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9A9F" w14:textId="63950F3E" w:rsidR="00994D68" w:rsidRDefault="00994D68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4D68">
        <w:rPr>
          <w:rFonts w:ascii="Times New Roman" w:eastAsia="Times New Roman" w:hAnsi="Times New Roman" w:cs="Times New Roman"/>
          <w:lang w:eastAsia="pl-PL"/>
        </w:rPr>
        <w:t>Załącznik</w:t>
      </w:r>
      <w:r w:rsidR="00CF62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lang w:eastAsia="pl-PL"/>
        </w:rPr>
        <w:t>B.</w:t>
      </w:r>
      <w:r w:rsidR="00440375">
        <w:rPr>
          <w:rFonts w:ascii="Times New Roman" w:eastAsia="Times New Roman" w:hAnsi="Times New Roman" w:cs="Times New Roman"/>
          <w:lang w:eastAsia="pl-PL"/>
        </w:rPr>
        <w:t>50.</w:t>
      </w:r>
    </w:p>
    <w:p w14:paraId="17580B3F" w14:textId="77777777" w:rsidR="00440375" w:rsidRPr="00994D68" w:rsidRDefault="00440375" w:rsidP="0044037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78A66" w14:textId="13F398BF" w:rsidR="00994D68" w:rsidRPr="00994D68" w:rsidRDefault="00994D68" w:rsidP="0044037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CHORYCH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JAJNIKA,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JAJOWODU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LUB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RAKA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OTRZEWNEJ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(ICD-10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: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C56,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C57,</w:t>
      </w:r>
      <w:r w:rsidR="00CF62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94D6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C48)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994D68" w:rsidRPr="00994D68" w14:paraId="69947FBA" w14:textId="77777777" w:rsidTr="00440375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8B52D37" w14:textId="1ECF5BC0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ZAKRES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GWARANTOWANEGO</w:t>
            </w:r>
          </w:p>
        </w:tc>
      </w:tr>
      <w:tr w:rsidR="00994D68" w:rsidRPr="00994D68" w14:paraId="66305E09" w14:textId="77777777" w:rsidTr="00FB0F1A">
        <w:trPr>
          <w:trHeight w:val="567"/>
        </w:trPr>
        <w:tc>
          <w:tcPr>
            <w:tcW w:w="2209" w:type="pct"/>
            <w:shd w:val="clear" w:color="auto" w:fill="auto"/>
            <w:vAlign w:val="center"/>
          </w:tcPr>
          <w:p w14:paraId="00F5003B" w14:textId="77777777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ŚWIADCZENIOBIORCY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52167BFF" w14:textId="7E61999A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SCHEMAT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DAWKOWANIA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LEKÓW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439FD80E" w14:textId="5BDB9AA2" w:rsidR="00994D68" w:rsidRPr="00994D68" w:rsidRDefault="00994D68" w:rsidP="0044037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BADANIA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DIAGNOSTYCZNE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WYKONYWANE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RAMACH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994D6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PROGRAMU</w:t>
            </w:r>
          </w:p>
        </w:tc>
      </w:tr>
      <w:tr w:rsidR="00994D68" w:rsidRPr="00994D68" w14:paraId="6072A3F8" w14:textId="77777777" w:rsidTr="00FB0F1A">
        <w:tc>
          <w:tcPr>
            <w:tcW w:w="2209" w:type="pct"/>
            <w:shd w:val="clear" w:color="auto" w:fill="auto"/>
          </w:tcPr>
          <w:p w14:paraId="68946E03" w14:textId="1FA48419" w:rsidR="00994D68" w:rsidRPr="00215F0C" w:rsidRDefault="00994D68" w:rsidP="004567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zaawansowanego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jajowodu,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bCs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14:paraId="2EB9975B" w14:textId="2AF20A43" w:rsidR="00994D68" w:rsidRPr="00215F0C" w:rsidRDefault="00994D68" w:rsidP="0045676C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kwalifikacji</w:t>
            </w:r>
          </w:p>
          <w:p w14:paraId="20F041B9" w14:textId="6ED91D3E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histologiczne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rozpoznanie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jajnika,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jajowodu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pierwotnego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otrzewnej;</w:t>
            </w:r>
          </w:p>
          <w:p w14:paraId="3C160A82" w14:textId="1B2CB935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stopień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zaawansowania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IV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III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chorobą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resztkową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cytoredukcji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˃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1cm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(suboptymalna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cytoredukcja</w:t>
            </w:r>
            <w:proofErr w:type="spellEnd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wymagane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resztkowych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zmian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nowotworowych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pozostawionych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operacji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określeniem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wielkości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centymetrach);</w:t>
            </w:r>
          </w:p>
          <w:p w14:paraId="349DEED3" w14:textId="7C34120C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niestosowanie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systemowego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jajnika.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neoadjuwantowa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dopuszczalna;</w:t>
            </w:r>
          </w:p>
          <w:p w14:paraId="29DFE713" w14:textId="10120206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stan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sprawności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ogólnej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stopniach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0-1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według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klasyfikacji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Zubroda</w:t>
            </w:r>
            <w:proofErr w:type="spellEnd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-WHO;</w:t>
            </w:r>
          </w:p>
          <w:p w14:paraId="0DB09640" w14:textId="160AD5B2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wiek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powyżej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roku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życia;</w:t>
            </w:r>
          </w:p>
          <w:p w14:paraId="4A80E0A1" w14:textId="3C1761CA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wyniki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morfologii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rozmazem:</w:t>
            </w:r>
          </w:p>
          <w:p w14:paraId="4D364FFD" w14:textId="1250F719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liczba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płytek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1,5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x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10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5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/mm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3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</w:p>
          <w:p w14:paraId="37A76C09" w14:textId="7B187C7C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bezwzględna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liczba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neutrofilów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1500/mm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3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</w:p>
          <w:p w14:paraId="2CE867EB" w14:textId="2BBC3495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hemoglobiny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10,0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g/dl;</w:t>
            </w:r>
          </w:p>
          <w:p w14:paraId="6AE76342" w14:textId="2FECB473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wskaźniki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koagulogiczne</w:t>
            </w:r>
            <w:proofErr w:type="spellEnd"/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:</w:t>
            </w:r>
          </w:p>
          <w:p w14:paraId="49D7C05B" w14:textId="2A5759C3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częściowej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tromboplastyny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(APTT)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zakresie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wartości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prawidłowych,</w:t>
            </w:r>
          </w:p>
          <w:p w14:paraId="74FB33C1" w14:textId="7352096D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czas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protrombinowy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(PT)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międzynarodowy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współczynnik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znormalizowany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(INR)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zakresie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wartości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prawidłowych;</w:t>
            </w:r>
          </w:p>
          <w:p w14:paraId="63FD6501" w14:textId="1F1380E8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wskaźniki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czynności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wątroby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nerek:</w:t>
            </w:r>
          </w:p>
          <w:p w14:paraId="0B18B4CD" w14:textId="483BDA90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całkowitej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bilirubiny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nieprzekraczające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2-krotnie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górnej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granicy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normy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wyjątkiem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zespołem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Gilberta),</w:t>
            </w:r>
          </w:p>
          <w:p w14:paraId="4DDCE35B" w14:textId="4C3900C6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aktywność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transaminaz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(alaninowej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asparaginowej)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surowicy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nieprzekraczająca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5-krotnie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górnej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granicy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normy,</w:t>
            </w:r>
          </w:p>
          <w:p w14:paraId="2E0AED75" w14:textId="4447A67E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kreatyniny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granicach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normy</w:t>
            </w:r>
            <w:r w:rsidR="0065738E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</w:p>
          <w:p w14:paraId="74445B58" w14:textId="790E13AA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wykluczenie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ciąży;</w:t>
            </w:r>
          </w:p>
          <w:p w14:paraId="7D7147DC" w14:textId="10C272DE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brak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przeciwwskazań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karboplatyną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paklitakselem</w:t>
            </w:r>
            <w:proofErr w:type="spellEnd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7DDEBDBA" w14:textId="1D2E298E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nieobecność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przeciwwskazań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zastosowania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bewacyzumabu</w:t>
            </w:r>
            <w:proofErr w:type="spellEnd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którymi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są:</w:t>
            </w:r>
          </w:p>
          <w:p w14:paraId="65217DAE" w14:textId="3E7145F5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przebyty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ciągu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mniej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4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tygodni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momentu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leczenia,</w:t>
            </w:r>
          </w:p>
          <w:p w14:paraId="50DF78D1" w14:textId="52E3D0B3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czynna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wrzodowa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żołądka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dwunastnicy,</w:t>
            </w:r>
          </w:p>
          <w:p w14:paraId="282AC664" w14:textId="794EB114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niestabilne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nadciśnienie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tętnicze,</w:t>
            </w:r>
          </w:p>
          <w:p w14:paraId="0C09A35A" w14:textId="02D33B31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niestabilna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niedokrwienna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serca,</w:t>
            </w:r>
          </w:p>
          <w:p w14:paraId="68CC6FEF" w14:textId="0D17A1D0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naczyniowe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ośrodkowego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układu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nerwowego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wywiadzie,</w:t>
            </w:r>
          </w:p>
          <w:p w14:paraId="05EF2587" w14:textId="01243FDC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wrodzona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skaza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krwotoczna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nabyta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koagulopatia,</w:t>
            </w:r>
          </w:p>
          <w:p w14:paraId="427F6FA1" w14:textId="13813D49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stany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chorobowe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przebiegające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zwiększonym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ryzykiem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krwawień,</w:t>
            </w:r>
          </w:p>
          <w:p w14:paraId="2DEA472F" w14:textId="3EA563EA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stosowanie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przeciwkrzepliwych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antyagregacyjnych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wyłączeniem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stosowania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profilaktycznych)</w:t>
            </w:r>
            <w:r w:rsidR="00A55045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</w:p>
          <w:p w14:paraId="0FB9ABCC" w14:textId="0D4624B2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niegojące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rany,</w:t>
            </w:r>
          </w:p>
          <w:p w14:paraId="61005CCA" w14:textId="77777777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białkomocz,</w:t>
            </w:r>
          </w:p>
          <w:p w14:paraId="65F4AD9D" w14:textId="4AE5AE99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nadwrażliwość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którąkolwiek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substancji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pomocniczych.</w:t>
            </w:r>
          </w:p>
          <w:p w14:paraId="2265CD72" w14:textId="002BECC0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Powyższe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muszą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spełnione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łącznie.</w:t>
            </w:r>
          </w:p>
          <w:p w14:paraId="56BA4815" w14:textId="77777777" w:rsidR="000D567E" w:rsidRDefault="000D567E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F000D99" w14:textId="2AEFF6E6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Ponadto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kwalifikowani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są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również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pacjenci,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warunkiem,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niniejszego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</w:t>
            </w:r>
            <w:r w:rsidR="00703594"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4016AAD5" w14:textId="77777777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6AE682C0" w14:textId="42FE853E" w:rsidR="00E23624" w:rsidRPr="00215F0C" w:rsidRDefault="00E23624" w:rsidP="004567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podtrzymujące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7C2D9E"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43662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obecnością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</w:t>
            </w:r>
            <w:r w:rsidR="00543662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  <w:p w14:paraId="2832E8A7" w14:textId="61C41C40" w:rsidR="00E23624" w:rsidRPr="00215F0C" w:rsidRDefault="00E23624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kwalifikacji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nowo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zdiagnozowanego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(leczenie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tylko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postacią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tabletek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)</w:t>
            </w:r>
          </w:p>
          <w:p w14:paraId="0EC715EE" w14:textId="451F1D85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histologiczne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zaawansowanego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III-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IV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FIGO)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G3)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otrzewnej;</w:t>
            </w:r>
          </w:p>
          <w:p w14:paraId="77B25550" w14:textId="60DC3818" w:rsidR="00351DF3" w:rsidRPr="00215F0C" w:rsidRDefault="00351DF3" w:rsidP="0045676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zaawansowania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(FIGO)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jednego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poniższych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hAnsi="Times New Roman" w:cs="Times New Roman"/>
                <w:sz w:val="20"/>
                <w:szCs w:val="20"/>
              </w:rPr>
              <w:t>kryteriów:</w:t>
            </w:r>
          </w:p>
          <w:p w14:paraId="56928A12" w14:textId="025448FF" w:rsidR="006F379C" w:rsidRPr="006F379C" w:rsidRDefault="006F379C" w:rsidP="006F379C">
            <w:p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FIGO III u chorych z mutacją patogenną lub prawdopodobnie patogenną w genach </w:t>
            </w:r>
            <w:r w:rsidRPr="006114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BRCA1/2</w:t>
            </w: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bez względu na chorobę resztkową i/lub zabieg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cytoredukcji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(w przypadku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olaparybu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) lub</w:t>
            </w:r>
          </w:p>
          <w:p w14:paraId="4EC7B7AB" w14:textId="76811E3F" w:rsidR="006F379C" w:rsidRPr="006F379C" w:rsidRDefault="006F379C" w:rsidP="006F379C">
            <w:p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b) FIGO III u chorych jedynie z widoczną chorobą resztkową po pierwotnym zabiegu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cytoredukcyjnym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(w przypadku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) lub</w:t>
            </w:r>
          </w:p>
          <w:p w14:paraId="5EDE00DF" w14:textId="52725F42" w:rsidR="006F379C" w:rsidRPr="006F379C" w:rsidRDefault="006F379C" w:rsidP="006F379C">
            <w:p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c) FIGO III lub IV po zastosowaniu chemioterapii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neoadjuwantowej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u chorych z mutacją patogenną lub prawdopodobnie patogenną w genach </w:t>
            </w:r>
            <w:r w:rsidRPr="006114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BRCA 1/2</w:t>
            </w: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7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w przypadku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olaparybu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albo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F6B09">
              <w:rPr>
                <w:rFonts w:ascii="Times New Roman" w:hAnsi="Times New Roman" w:cs="Times New Roman"/>
                <w:sz w:val="20"/>
                <w:szCs w:val="20"/>
              </w:rPr>
              <w:t xml:space="preserve"> albo bez mutacji (w przypadku </w:t>
            </w:r>
            <w:proofErr w:type="spellStart"/>
            <w:r w:rsidR="000F6B09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="000F6B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F37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5D45E7B" w14:textId="192BA8CE" w:rsidR="006F379C" w:rsidRPr="006F379C" w:rsidRDefault="006F379C" w:rsidP="006F379C">
            <w:p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d) FIGO IV (w przypadku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olapar</w:t>
            </w:r>
            <w:r w:rsidR="000F6B0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 xml:space="preserve"> albo </w:t>
            </w:r>
            <w:proofErr w:type="spellStart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niraparybu</w:t>
            </w:r>
            <w:proofErr w:type="spellEnd"/>
            <w:r w:rsidRPr="006F3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F35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A0F8DF" w14:textId="3F3944A3" w:rsidR="00994D68" w:rsidRPr="00215F0C" w:rsidRDefault="00994D68" w:rsidP="001F395F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somatycznej)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wymaganie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bezwzględne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E4863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olaparybu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68783955" w14:textId="6D000E1C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całkowita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42722" w:rsidRPr="00215F0C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CF6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722" w:rsidRPr="00215F0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chemioterapię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pierwszego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rzutu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opartą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zawierające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73C662A" w14:textId="23E9A726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0-1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32855DE" w14:textId="7D6E7AB2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0D72DBC0" w14:textId="3F5F36D6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0A650DC6" w14:textId="54919559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g/dl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1CE212C" w14:textId="71B48194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BDB7053" w14:textId="5AA7A551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C70E3BC" w14:textId="42AD84E3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65738E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1DD9D5B" w14:textId="6A59B9BA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6DEA81D9" w14:textId="0639724B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Gilberta)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58846135" w14:textId="49558753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wątroby)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992265D" w14:textId="26F76FDC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6D69E25" w14:textId="5CBDCDA4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ciąży.</w:t>
            </w:r>
          </w:p>
          <w:p w14:paraId="7C90B5FC" w14:textId="2FF8A05A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29523FD3" w14:textId="77777777" w:rsidR="000D567E" w:rsidRDefault="000D567E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130A980" w14:textId="7EB4873D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Ponadto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10E2"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68A9"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nirapar</w:t>
            </w:r>
            <w:r w:rsidR="00651472"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1168A9"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bem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lekowego.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CF49D95" w14:textId="77777777" w:rsidR="00440375" w:rsidRPr="00215F0C" w:rsidRDefault="00440375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E370DD" w14:textId="5222FEF6" w:rsidR="00994D68" w:rsidRPr="00215F0C" w:rsidRDefault="00994D68" w:rsidP="0045676C">
            <w:pPr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nawrotowego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jajnika,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jajowodu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lub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pierwotnego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raka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otrzewnej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(leczenie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olaparybem</w:t>
            </w:r>
            <w:proofErr w:type="spellEnd"/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postacią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tabletek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albo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E23624"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kapsułek)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3389F3F" w14:textId="3CB4A256" w:rsidR="00F21FBB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histologiczne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rozpoznanie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niskim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zróżnicowania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(ang.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high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grade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G2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G3),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jajowodu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pierwotnego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otrzewnej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(stosowanie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olaparybu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postacią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kapsułek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ograniczone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tylko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podtypu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surowiczego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ChPL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dla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21FBB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kapsułek)</w:t>
            </w:r>
            <w:r w:rsidR="0065738E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7F5120B" w14:textId="39503EE4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prawdopodobnie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patogennej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mutacji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BRCA2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(dziedzicznej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somatycznej);</w:t>
            </w:r>
          </w:p>
          <w:p w14:paraId="4FC20FD4" w14:textId="5248E1D1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platynowrażliwy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nawrotowy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jajnika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(nawrót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okresie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miesięcy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zakończenia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pochodnymi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platyny);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61E11" w14:textId="50AC2650" w:rsidR="00994D68" w:rsidRPr="00215F0C" w:rsidRDefault="00B95572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wcześniejsze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zastosowanie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przynajmniej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linii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udziałem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pochodnych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11C5B27" w14:textId="207E8DCC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całkowita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częściowa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kryteriów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odpowiedź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ostatnim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schemacie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platyny;</w:t>
            </w:r>
          </w:p>
          <w:p w14:paraId="27E1AD01" w14:textId="4FFBFBCB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stan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sprawności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ogólnej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stopniach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0-2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ECOG;</w:t>
            </w:r>
          </w:p>
          <w:p w14:paraId="17B6BDEE" w14:textId="6B1C3F59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powyżej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roku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życia;</w:t>
            </w:r>
          </w:p>
          <w:p w14:paraId="58A120A3" w14:textId="011AEE43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wyniki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morfologii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rozmazem:</w:t>
            </w:r>
          </w:p>
          <w:p w14:paraId="386DEA80" w14:textId="67573E70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hemoglobiny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g/dl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BCA0FCE" w14:textId="26488458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leukocytów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3,0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1CD53D6" w14:textId="2BAF88A3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bezwzględna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neutrofilów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AE55D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D161846" w14:textId="1145855D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liczba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płytek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większa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równa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x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/l</w:t>
            </w:r>
            <w:r w:rsidR="0065738E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3AE25F9" w14:textId="2A999EFD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wskaźniki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wątroby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nerek:</w:t>
            </w:r>
          </w:p>
          <w:p w14:paraId="5AF394B3" w14:textId="1D1BBD77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całkowitej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wyjątkiem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zespołem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Gilberta)</w:t>
            </w:r>
            <w:r w:rsidR="00593003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D9C8FA9" w14:textId="3F29AE44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aktywność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(alaninowej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asparaginowej)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2,5-krotnie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przerzutami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wątroby)</w:t>
            </w:r>
            <w:r w:rsidR="00593003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A40312C" w14:textId="4C95F4F0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nieprzekraczające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1,5-krotnie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</w:t>
            </w:r>
            <w:r w:rsidR="00A55045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5BAB123D" w14:textId="6BCF4B5A" w:rsidR="00994D68" w:rsidRPr="00215F0C" w:rsidRDefault="00CF622C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wykluczenie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440375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D6F8A98" w14:textId="4CCAF57C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Powyższe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muszą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spełnione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łącznie.</w:t>
            </w:r>
          </w:p>
          <w:p w14:paraId="770CFDA8" w14:textId="77777777" w:rsidR="00440375" w:rsidRPr="00215F0C" w:rsidRDefault="00440375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74ED7C" w14:textId="1DF3D5EE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Ponadto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kwalifikowani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również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pacjenci,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którzy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byli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leczeni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ramach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innego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sposobu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finansowania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terapii,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warunkiem,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chwili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rozpoczęcia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spełniali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kryteria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kwalifikacji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tego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D63F79"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1A9FB10" w14:textId="77777777" w:rsidR="00440375" w:rsidRPr="00215F0C" w:rsidRDefault="00440375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2F237B" w14:textId="436AC7B4" w:rsidR="00716A6D" w:rsidRPr="0045676C" w:rsidRDefault="00775A55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programie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istnieje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jednorazowa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możliwość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inhibitorami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PARP.</w:t>
            </w:r>
          </w:p>
          <w:p w14:paraId="3A74AD70" w14:textId="77777777" w:rsidR="00440375" w:rsidRPr="00215F0C" w:rsidRDefault="00440375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C770F4" w14:textId="7F75A865" w:rsidR="00994D68" w:rsidRPr="00215F0C" w:rsidRDefault="00994D68" w:rsidP="004567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Określenie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czasu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programie</w:t>
            </w:r>
          </w:p>
          <w:p w14:paraId="68034E19" w14:textId="248D700B" w:rsidR="00994D68" w:rsidRPr="00215F0C" w:rsidRDefault="00994D68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61D80912" w14:textId="6717F2BE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trwa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wyczerpania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podjęcia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lekarza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prowadzącego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decyzji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wyłączeniu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świadczeniobiorcy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kryteriami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wyłączenia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(pkt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5)</w:t>
            </w:r>
            <w:r w:rsidR="00631D00"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7E0D846" w14:textId="77777777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098AABD7" w14:textId="63418EED" w:rsidR="00994D68" w:rsidRPr="00215F0C" w:rsidRDefault="00994D68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bookmarkStart w:id="0" w:name="_Hlk88560041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27EF1333" w14:textId="382C2F16" w:rsidR="00994D68" w:rsidRPr="00215F0C" w:rsidRDefault="00F7039E" w:rsidP="0045676C">
            <w:pPr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olapar</w:t>
            </w:r>
            <w:r w:rsidR="009B7AD5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proofErr w:type="spellEnd"/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owo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p w14:paraId="19C058EE" w14:textId="7B6CF007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całkowitej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(CR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miesiące</w:t>
            </w:r>
            <w:r w:rsidR="00593003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14:paraId="03206E4B" w14:textId="56C0B428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przypadku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uzyskania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częściowej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(PR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wg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1.1.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–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pacjenci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częściową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odpowiedzią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latach,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którzy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opinii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prowadzącego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odnieść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korzyści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dalszego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mogą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kontynuować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je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powyżej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lat</w:t>
            </w:r>
            <w:r w:rsidR="00593003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</w:p>
          <w:p w14:paraId="0E33DFD5" w14:textId="2B30D18C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progresji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choroby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podstawowej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zgodnie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kryteriami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168A9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</w:t>
            </w:r>
            <w:r w:rsidR="00593003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71EA4C7" w14:textId="2187A128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do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czasu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wystąpienia</w:t>
            </w:r>
            <w:r w:rsidR="00CF62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B47EDE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F7039E" w:rsidRPr="00215F0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</w:p>
          <w:p w14:paraId="3480E64A" w14:textId="1AFD89E7" w:rsidR="00F7039E" w:rsidRPr="00215F0C" w:rsidRDefault="00F7039E" w:rsidP="0045676C">
            <w:pPr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nirapar</w:t>
            </w:r>
            <w:r w:rsidR="009B7AD5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proofErr w:type="spellEnd"/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nowo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zdiagnozowanego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p w14:paraId="752D15AD" w14:textId="73BBC1B5" w:rsidR="00F7039E" w:rsidRDefault="00F7039E" w:rsidP="0045676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A214E9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trwa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A214E9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36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miesięcy.</w:t>
            </w:r>
          </w:p>
          <w:p w14:paraId="7DA532B6" w14:textId="77777777" w:rsidR="0045676C" w:rsidRPr="00215F0C" w:rsidRDefault="0045676C" w:rsidP="0045676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DA45230" w14:textId="0E01A55A" w:rsidR="00994D68" w:rsidRPr="00215F0C" w:rsidRDefault="00F7039E" w:rsidP="0045676C">
            <w:pPr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1" w:name="_Hlk88560796"/>
            <w:bookmarkEnd w:id="0"/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Leczenie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olapar</w:t>
            </w:r>
            <w:r w:rsidR="009B7AD5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bem</w:t>
            </w:r>
            <w:proofErr w:type="spellEnd"/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awrotow</w:t>
            </w:r>
            <w:r w:rsidR="00651472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jajnika,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jajowodu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pierwotn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ego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rak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otrzewnej</w:t>
            </w:r>
          </w:p>
          <w:bookmarkEnd w:id="1"/>
          <w:p w14:paraId="53F1EADB" w14:textId="0BFF93B2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593003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2CBB14C" w14:textId="7402B1AA" w:rsidR="00994D68" w:rsidRPr="00215F0C" w:rsidRDefault="00994D68" w:rsidP="0045676C">
            <w:pPr>
              <w:numPr>
                <w:ilvl w:val="4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czasu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niemożliwej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zaakceptowania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toksyczności.</w:t>
            </w:r>
          </w:p>
          <w:p w14:paraId="5B5D6D00" w14:textId="63EA3F8C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6231B023" w14:textId="53E8C89A" w:rsidR="00994D68" w:rsidRPr="00215F0C" w:rsidRDefault="00994D68" w:rsidP="0045676C">
            <w:pPr>
              <w:numPr>
                <w:ilvl w:val="0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uniemożliwiające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udział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programie</w:t>
            </w:r>
          </w:p>
          <w:p w14:paraId="273F2075" w14:textId="6C2B0D46" w:rsidR="00994D68" w:rsidRPr="00215F0C" w:rsidRDefault="00994D68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zaawansowanego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</w:p>
          <w:p w14:paraId="3BCCF801" w14:textId="7687A0ED" w:rsidR="00994D68" w:rsidRPr="0045676C" w:rsidRDefault="00994D68" w:rsidP="0045676C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dotyczy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pacjentów,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warunkiem,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lekowego)</w:t>
            </w:r>
            <w:r w:rsidR="00440375"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2A39470F" w14:textId="77777777" w:rsidR="00994D68" w:rsidRPr="00215F0C" w:rsidRDefault="00994D68" w:rsidP="000D567E">
            <w:pPr>
              <w:spacing w:after="60" w:line="276" w:lineRule="auto"/>
              <w:ind w:left="72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267CB56" w14:textId="1274E71E" w:rsidR="00994D68" w:rsidRPr="00215F0C" w:rsidRDefault="00994D68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bookmarkStart w:id="2" w:name="_Hlk88561090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6114E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6114E8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6C889D86" w14:textId="764F472D" w:rsidR="00AA5766" w:rsidRPr="0045676C" w:rsidRDefault="00AA5766" w:rsidP="0045676C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trike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Wcześniejsze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inhibitorem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dotyczy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pacjentów,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którzy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byli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E510E2"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sposobu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finansowania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warunkiem,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że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chwili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spełniali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kwalifikacji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lekowego)</w:t>
            </w:r>
            <w:r w:rsidR="001E2A25"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bookmarkEnd w:id="2"/>
          <w:p w14:paraId="308FAF76" w14:textId="77777777" w:rsidR="00994D68" w:rsidRPr="00215F0C" w:rsidRDefault="00994D68" w:rsidP="000D567E">
            <w:pPr>
              <w:spacing w:after="60" w:line="276" w:lineRule="auto"/>
              <w:ind w:left="360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134B0D66" w14:textId="584FC1F4" w:rsidR="00994D68" w:rsidRPr="00215F0C" w:rsidRDefault="00994D68" w:rsidP="0045676C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lastRenderedPageBreak/>
              <w:t>Kryteria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wyłączenia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programu</w:t>
            </w:r>
          </w:p>
          <w:p w14:paraId="5DC3EDDE" w14:textId="1C9CE345" w:rsidR="00994D68" w:rsidRPr="00215F0C" w:rsidRDefault="00994D68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40895768" w14:textId="686C1357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objawy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nadwrażliwości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pomocniczą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</w:p>
          <w:p w14:paraId="6FEB10FD" w14:textId="44C99248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progresja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trakcie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(wg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5147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27F79C71" w14:textId="473A7905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długotrwałe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działania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niepożądane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stopniu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równym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większym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według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klasyfikacji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CTC;</w:t>
            </w:r>
          </w:p>
          <w:p w14:paraId="61396F7E" w14:textId="2B4FE209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utrzymujące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pogorszenie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sprawności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ogólnej.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737729CF" w14:textId="77777777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ind w:left="317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8BDFC3" w14:textId="72104E13" w:rsidR="00994D68" w:rsidRPr="00215F0C" w:rsidRDefault="00994D68" w:rsidP="0045676C">
            <w:pPr>
              <w:numPr>
                <w:ilvl w:val="1"/>
                <w:numId w:val="46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7C2D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7C2D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6114E8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6114E8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F7039E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3A141588" w14:textId="4D35B4CD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wystąpienie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nadwrażliwości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inhibitory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PARP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olaparyb</w:t>
            </w:r>
            <w:proofErr w:type="spellEnd"/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10E2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niraparyb</w:t>
            </w:r>
            <w:proofErr w:type="spellEnd"/>
            <w:r w:rsidR="00F7039E" w:rsidRPr="00215F0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którąkolwiek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substancję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pomocniczą;</w:t>
            </w:r>
          </w:p>
          <w:p w14:paraId="2F8AC625" w14:textId="75E2F6B7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progresja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podstawowej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(wg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68A9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79E034B5" w14:textId="150745CD" w:rsidR="00994D68" w:rsidRPr="00215F0C" w:rsidRDefault="00994D68" w:rsidP="0045676C">
            <w:pPr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długotrwałe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działania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niepożądane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stopniu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≥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według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klasyfikacji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CTC;</w:t>
            </w:r>
          </w:p>
          <w:p w14:paraId="22E0AE33" w14:textId="25C22701" w:rsidR="00994D68" w:rsidRPr="00215F0C" w:rsidRDefault="00994D68" w:rsidP="0045676C">
            <w:pPr>
              <w:numPr>
                <w:ilvl w:val="3"/>
                <w:numId w:val="46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karmienie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piersią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podczas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miesiąc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przyjęciu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ostatniej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leku.</w:t>
            </w:r>
          </w:p>
          <w:p w14:paraId="2952F798" w14:textId="1A3FF683" w:rsidR="00440375" w:rsidRPr="00215F0C" w:rsidRDefault="00440375" w:rsidP="000D567E">
            <w:pPr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shd w:val="clear" w:color="auto" w:fill="auto"/>
          </w:tcPr>
          <w:p w14:paraId="6EF15529" w14:textId="6DC6670B" w:rsidR="00994D68" w:rsidRPr="00215F0C" w:rsidRDefault="00994D68" w:rsidP="0045676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lastRenderedPageBreak/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7B2FD9DB" w14:textId="45EA2AF5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45676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-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7,5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mg/kg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masy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ciała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dożylnie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wlewie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trwającym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30-90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minut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</w:t>
            </w:r>
          </w:p>
          <w:p w14:paraId="75C5ACFA" w14:textId="7559E79A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Rytm: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tygodnie.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57987B9" w14:textId="7BA7EA5F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podaje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skojarzeniu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chemioterapią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(rozliczaną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NFZ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katalogu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prowadzoną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następujący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sposób:</w:t>
            </w:r>
          </w:p>
          <w:p w14:paraId="125889E5" w14:textId="6A5FB57C" w:rsidR="00994D68" w:rsidRPr="00215F0C" w:rsidRDefault="00994D68" w:rsidP="0045676C">
            <w:pPr>
              <w:numPr>
                <w:ilvl w:val="5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karboplatyna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(AUC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5-6)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–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1;</w:t>
            </w:r>
          </w:p>
          <w:p w14:paraId="69AEC6D1" w14:textId="0E79E815" w:rsidR="00994D68" w:rsidRPr="00215F0C" w:rsidRDefault="00994D68" w:rsidP="0045676C">
            <w:pPr>
              <w:numPr>
                <w:ilvl w:val="5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paklitaksel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175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mg/m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  <w:lang w:eastAsia="zh-TW"/>
              </w:rPr>
              <w:t>2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–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1;</w:t>
            </w:r>
          </w:p>
          <w:p w14:paraId="710E3BB4" w14:textId="3304E0ED" w:rsidR="00994D68" w:rsidRPr="00215F0C" w:rsidRDefault="00994D68" w:rsidP="0045676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Rytm: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tygodnie.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cykli.</w:t>
            </w:r>
          </w:p>
          <w:p w14:paraId="4A156B4A" w14:textId="21430075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zakończeniu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kontynuowane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3-tygodniowych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wyczerpania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18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wystąpienia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progresji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nieakceptowanych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działań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niepożądanych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tego,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wystąpi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pierwsze).</w:t>
            </w:r>
          </w:p>
          <w:p w14:paraId="32C1DC50" w14:textId="30219B4C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zakończenia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składników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przed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ukończeniem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6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kontynuować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według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zasad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punkcie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  <w:p w14:paraId="522DA827" w14:textId="31536D64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pierwszego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drugiego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="00A214E9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kiedy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chemioterapia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zostanie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rozpoczęta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upływem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28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poważnego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operacyjnego.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C98B7C2" w14:textId="21812316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przerwania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karboplatyną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ten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zastąpić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cisplatyną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kontynuować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leczenie.</w:t>
            </w:r>
          </w:p>
          <w:p w14:paraId="49CE7447" w14:textId="112CF1B3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przypadku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wtórnego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operacyjnego,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wykonać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28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bewacyzumabu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wznowienie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może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rozpocząć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wcześniej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28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dni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zabiegu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operacyjnym.</w:t>
            </w:r>
          </w:p>
          <w:p w14:paraId="104FA9BA" w14:textId="1261FA66" w:rsidR="00994D68" w:rsidRPr="00215F0C" w:rsidRDefault="00994D68" w:rsidP="0045676C">
            <w:pPr>
              <w:numPr>
                <w:ilvl w:val="3"/>
                <w:numId w:val="4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Modyfikacje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leków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zapisami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Charakterystyk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Leczniczych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aktualnych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dzień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wydania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decyzji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objęciu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refundacją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programu.</w:t>
            </w:r>
          </w:p>
          <w:p w14:paraId="5B2F078E" w14:textId="77777777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641BB43" w14:textId="172678C0" w:rsidR="00994D68" w:rsidRPr="00215F0C" w:rsidRDefault="00994D68" w:rsidP="0045676C">
            <w:pPr>
              <w:numPr>
                <w:ilvl w:val="0"/>
                <w:numId w:val="47"/>
              </w:numPr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lastRenderedPageBreak/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71DD6EBE" w14:textId="7F18DE98" w:rsidR="005128E6" w:rsidRPr="0045676C" w:rsidRDefault="005128E6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45676C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Olaparyb</w:t>
            </w:r>
            <w:proofErr w:type="spellEnd"/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–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maksymalna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całkowita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dawka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dobowa: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600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postaci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tabletek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800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postaci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A214E9"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kapsułek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.</w:t>
            </w:r>
          </w:p>
          <w:p w14:paraId="003E5206" w14:textId="5A3C1720" w:rsidR="005128E6" w:rsidRPr="0045676C" w:rsidRDefault="005128E6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 w:rsidRPr="0045676C">
              <w:rPr>
                <w:rFonts w:ascii="Times New Roman" w:eastAsia="PMingLiU" w:hAnsi="Times New Roman" w:cs="Times New Roman"/>
                <w:b/>
                <w:bCs/>
                <w:color w:val="000000" w:themeColor="text1"/>
                <w:sz w:val="20"/>
                <w:szCs w:val="20"/>
                <w:lang w:eastAsia="zh-TW"/>
              </w:rPr>
              <w:t>Niraparyb</w:t>
            </w:r>
            <w:proofErr w:type="spellEnd"/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–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maksymalna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całkowita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dawka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dobowa: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300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>mg.</w:t>
            </w:r>
            <w:r w:rsidR="00CF622C">
              <w:rPr>
                <w:rFonts w:ascii="Times New Roman" w:eastAsia="PMingLiU" w:hAnsi="Times New Roman" w:cs="Times New Roman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  <w:p w14:paraId="7986B2ED" w14:textId="77777777" w:rsidR="0045676C" w:rsidRDefault="0045676C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B07C9E0" w14:textId="73D8343D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Dawkowanie,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modyfikacja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dawkowania,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sposób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rytm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podawania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zapisami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Charakterystyk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Produktu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Leczniczego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aktualnych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dzień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wydania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decyzji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objęciu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refundacją</w:t>
            </w:r>
            <w:r w:rsidR="0028544D"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.</w:t>
            </w:r>
          </w:p>
          <w:p w14:paraId="5917762B" w14:textId="77777777" w:rsidR="0045676C" w:rsidRDefault="0045676C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19FA9B3" w14:textId="5B0FB77C" w:rsidR="0028544D" w:rsidRPr="0045676C" w:rsidRDefault="0028544D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Jeden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miligram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olaparybu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postaci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kapsułek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odpowiada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jednemu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miligramowi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olaparybu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postaci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tabletek,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dlatego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zastąpieniu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Lynparza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kapsułki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(50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Lynparza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tabletki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(100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150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mg)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należy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wziąć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uwagę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różnice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dawkowaniu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produktów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opisane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ChPL.</w:t>
            </w:r>
          </w:p>
          <w:p w14:paraId="586B260D" w14:textId="77777777" w:rsidR="0028544D" w:rsidRPr="00215F0C" w:rsidRDefault="0028544D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4D881E5" w14:textId="77777777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0FC2135" w14:textId="77777777" w:rsidR="00994D68" w:rsidRPr="00215F0C" w:rsidRDefault="00994D68" w:rsidP="000D567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5392C133" w14:textId="77777777" w:rsidR="00994D68" w:rsidRPr="00215F0C" w:rsidRDefault="00994D68" w:rsidP="000D567E">
            <w:pPr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6" w:type="pct"/>
            <w:shd w:val="clear" w:color="auto" w:fill="auto"/>
          </w:tcPr>
          <w:p w14:paraId="400A9E4A" w14:textId="58A4007A" w:rsidR="00994D68" w:rsidRPr="00215F0C" w:rsidRDefault="00994D68" w:rsidP="0045676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lastRenderedPageBreak/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bewacyzumabem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zaawansowanego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otrzewnej</w:t>
            </w:r>
          </w:p>
          <w:p w14:paraId="00B9116B" w14:textId="0D53EC10" w:rsidR="00994D68" w:rsidRPr="00215F0C" w:rsidRDefault="00994D68" w:rsidP="0045676C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Badania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przy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kwalifikacji</w:t>
            </w:r>
          </w:p>
          <w:p w14:paraId="56DDEC58" w14:textId="3B03690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histologiczne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potwierdzenie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otrzewnej;</w:t>
            </w:r>
          </w:p>
          <w:p w14:paraId="1AC0C7D6" w14:textId="49C1CE7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morfologia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rozmazem;</w:t>
            </w:r>
          </w:p>
          <w:p w14:paraId="70BF0FD7" w14:textId="1EF926C6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surowicy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stężenia:</w:t>
            </w:r>
          </w:p>
          <w:p w14:paraId="6CCFA6A9" w14:textId="77777777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mocznika,</w:t>
            </w:r>
          </w:p>
          <w:p w14:paraId="75398F76" w14:textId="77777777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kreatyniny,</w:t>
            </w:r>
          </w:p>
          <w:p w14:paraId="3C419BA0" w14:textId="77777777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bilirubiny;</w:t>
            </w:r>
          </w:p>
          <w:p w14:paraId="3BFC2969" w14:textId="0F395790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transaminaz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AspAT</w:t>
            </w:r>
            <w:proofErr w:type="spellEnd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AlAT</w:t>
            </w:r>
            <w:proofErr w:type="spellEnd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)</w:t>
            </w:r>
            <w:r w:rsidR="00631D00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</w:p>
          <w:p w14:paraId="53CD6448" w14:textId="277712D0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kaolinowokefalinowego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(APTT);</w:t>
            </w:r>
          </w:p>
          <w:p w14:paraId="098CEE68" w14:textId="7E9C5DDE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INR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czasu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protrombinowego</w:t>
            </w:r>
            <w:proofErr w:type="spellEnd"/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(PT);</w:t>
            </w:r>
          </w:p>
          <w:p w14:paraId="7EA2D3DC" w14:textId="4520A26B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CA125;</w:t>
            </w:r>
          </w:p>
          <w:p w14:paraId="47A69515" w14:textId="628547D2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moczu;</w:t>
            </w:r>
          </w:p>
          <w:p w14:paraId="5CB231B3" w14:textId="3AA39EC8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jeżeli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zachodzi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konieczność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wykluczenia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ciąży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wykonuje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próbę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ciążową;</w:t>
            </w:r>
          </w:p>
          <w:p w14:paraId="3B298F85" w14:textId="494718D0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jamy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brzusznej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miednicy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oraz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okolic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ciała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klinicznych;</w:t>
            </w:r>
          </w:p>
          <w:p w14:paraId="4473C5F2" w14:textId="78695F32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rezonansu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magnetycznego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mózgu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celu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obrazowania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przerzutów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OUN;</w:t>
            </w:r>
          </w:p>
          <w:p w14:paraId="287DAC95" w14:textId="19B5BE5A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RTG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klatki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piersiowej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–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jeżeli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wykonywana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okolicy;</w:t>
            </w:r>
          </w:p>
          <w:p w14:paraId="78529788" w14:textId="78B724BC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elektrokardiogram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(EKG);</w:t>
            </w:r>
          </w:p>
          <w:p w14:paraId="138C4095" w14:textId="4723668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pomiar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ciśnienia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tętniczego;</w:t>
            </w:r>
          </w:p>
          <w:p w14:paraId="0696577E" w14:textId="5DB13774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razie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klinicznych.</w:t>
            </w:r>
          </w:p>
          <w:p w14:paraId="50A73B90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ind w:left="720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AA4E565" w14:textId="74B352EA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Pooperacyjne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(przed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rozpoczęciem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bewacyzumabem</w:t>
            </w:r>
            <w:proofErr w:type="spellEnd"/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tomografii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komputerowej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jamy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brzusznej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miednicy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należy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wykonać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wcześniej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4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tygodnie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operacji,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ale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później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2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tygodnie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rozpoczęciu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chemioterapii.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</w:p>
          <w:p w14:paraId="6301249D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E67B78" w14:textId="5C44050B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Celem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wstępnych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obrazowych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jest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umożliwienie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późniejszego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monitorowania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progresji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choroby.</w:t>
            </w:r>
          </w:p>
          <w:p w14:paraId="4E1B7BAA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0F641721" w14:textId="656EAE28" w:rsidR="00994D68" w:rsidRPr="00215F0C" w:rsidRDefault="00CF622C" w:rsidP="0045676C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Monitorowanie</w:t>
            </w:r>
            <w: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bezpieczeństwa</w:t>
            </w:r>
            <w:r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994D68"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leczenia</w:t>
            </w:r>
          </w:p>
          <w:p w14:paraId="0DD815D2" w14:textId="56D1C2E1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morfologia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krwi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rozmazem;</w:t>
            </w:r>
          </w:p>
          <w:p w14:paraId="35C9E20C" w14:textId="19B6365D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surowicy:</w:t>
            </w:r>
          </w:p>
          <w:p w14:paraId="1CF1A826" w14:textId="77777777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kreatyniny,</w:t>
            </w:r>
          </w:p>
          <w:p w14:paraId="7DCC7FB6" w14:textId="77777777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bilirubiny,</w:t>
            </w:r>
          </w:p>
          <w:p w14:paraId="294C5504" w14:textId="0BF24C43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APTT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PT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INR;</w:t>
            </w:r>
          </w:p>
          <w:p w14:paraId="70664381" w14:textId="2CD65B2C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aktywności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transaminaz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AspAT</w:t>
            </w:r>
            <w:proofErr w:type="spellEnd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AlAT</w:t>
            </w:r>
            <w:proofErr w:type="spellEnd"/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)</w:t>
            </w:r>
            <w:r w:rsidR="001E2A25"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;</w:t>
            </w:r>
          </w:p>
          <w:p w14:paraId="1E38AFE4" w14:textId="773467E2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ogólne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moczu;</w:t>
            </w:r>
          </w:p>
          <w:p w14:paraId="7FC07366" w14:textId="4DAFA291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pomiar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ciśnienia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tętniczego;</w:t>
            </w:r>
          </w:p>
          <w:p w14:paraId="15180B64" w14:textId="2F7F01D2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razie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klinicznych.</w:t>
            </w:r>
          </w:p>
          <w:p w14:paraId="5679AE34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151CE78C" w14:textId="5360AABB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Ww.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ramach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monitorowania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bezpieczeństwa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wykonuje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przed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rozpoczęciem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każdego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kolejnego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cyklu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terapii.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10EB937E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8861401" w14:textId="2644C370" w:rsidR="00994D68" w:rsidRPr="00215F0C" w:rsidRDefault="00994D68" w:rsidP="0045676C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Monitorowanie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>skuteczności</w:t>
            </w:r>
            <w:r w:rsidR="00CF622C">
              <w:rPr>
                <w:rFonts w:ascii="Times New Roman" w:eastAsia="PMingLiU" w:hAnsi="Times New Roman" w:cs="Times New Roman"/>
                <w:b/>
                <w:bCs/>
                <w:sz w:val="20"/>
                <w:szCs w:val="20"/>
                <w:lang w:eastAsia="zh-TW"/>
              </w:rPr>
              <w:t xml:space="preserve"> </w:t>
            </w:r>
          </w:p>
          <w:p w14:paraId="0ABA2BEE" w14:textId="5EC87338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tomografii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komputerowej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odpowiednich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obszarów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ciała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zależności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klinicznych;</w:t>
            </w:r>
          </w:p>
          <w:p w14:paraId="2333FA77" w14:textId="6E34D30E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oznaczenie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stężenia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CA125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-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wykonuje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rzadziej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co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3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cykle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leczenia;</w:t>
            </w:r>
          </w:p>
          <w:p w14:paraId="1C1C7921" w14:textId="132BF277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inne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badania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razie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klinicznych.</w:t>
            </w:r>
          </w:p>
          <w:p w14:paraId="0B5FAEEC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03CE9B76" w14:textId="3871A62D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Badania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tomografii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komputerowej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wykonuje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się:</w:t>
            </w:r>
          </w:p>
          <w:p w14:paraId="282EBF6E" w14:textId="35FD6FF5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zakończeniu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chemioterapii</w:t>
            </w:r>
            <w:r w:rsidR="001E2A25"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,</w:t>
            </w:r>
          </w:p>
          <w:p w14:paraId="2472B654" w14:textId="37D6FAFB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trakcie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bewacyzumabem</w:t>
            </w:r>
            <w:proofErr w:type="spellEnd"/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: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rzadziej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24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tygodnie</w:t>
            </w:r>
            <w:r w:rsidR="001E2A25"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,</w:t>
            </w:r>
          </w:p>
          <w:p w14:paraId="5FC98669" w14:textId="2999085A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chwili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wyłączenia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programu,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ile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nastąpiło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innych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przyczyn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niż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udokumentowana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progresja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choroby</w:t>
            </w:r>
            <w:r w:rsidR="001E2A25"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,</w:t>
            </w:r>
          </w:p>
          <w:p w14:paraId="51365870" w14:textId="428A3D34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lastRenderedPageBreak/>
              <w:t>zawsze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przy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wzroście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stężenia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CA125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powyżej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dwukrotnej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wartości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nadiru</w:t>
            </w:r>
            <w:r w:rsidR="001E2A25"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,</w:t>
            </w:r>
          </w:p>
          <w:p w14:paraId="2CEBA8EA" w14:textId="4F2669F1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zawsze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przypadku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wskazań</w:t>
            </w:r>
            <w:r w:rsidR="00CF622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>klinicznych.</w:t>
            </w:r>
          </w:p>
          <w:p w14:paraId="67BBE5E2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E6EF6E1" w14:textId="7A9BB10A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Oceny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skuteczności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leczenia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dokonuje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się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zgodnie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kryteriami</w:t>
            </w:r>
            <w:r w:rsidR="00CF622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RECIST</w:t>
            </w:r>
            <w:r w:rsidR="00B424F1" w:rsidRPr="0045676C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.</w:t>
            </w:r>
          </w:p>
          <w:p w14:paraId="7201DF2A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4CDB4EC2" w14:textId="67D89D8B" w:rsidR="00994D68" w:rsidRPr="00215F0C" w:rsidRDefault="00994D68" w:rsidP="0045676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Leczenie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podtrzymujące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inhibitorami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PARP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chorych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niskozróżnicowanego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jajnika,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jajowodu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pierwotnego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raka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otrzewnej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z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obecnością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Pr="00215F0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>BRCA1/2</w:t>
            </w:r>
            <w:r w:rsidR="00CF622C"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olaparybem</w:t>
            </w:r>
            <w:proofErr w:type="spellEnd"/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albo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lub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niezależnie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od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obecności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mutacji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w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genach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BRCA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1/2</w:t>
            </w:r>
            <w:r w:rsidR="00CF622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(</w:t>
            </w:r>
            <w:proofErr w:type="spellStart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niraparybem</w:t>
            </w:r>
            <w:proofErr w:type="spellEnd"/>
            <w:r w:rsidR="005128E6" w:rsidRPr="00215F0C">
              <w:rPr>
                <w:rFonts w:ascii="Times New Roman" w:eastAsia="PMingLiU" w:hAnsi="Times New Roman" w:cs="Times New Roman"/>
                <w:b/>
                <w:color w:val="000000" w:themeColor="text1"/>
                <w:sz w:val="20"/>
                <w:szCs w:val="20"/>
                <w:lang w:eastAsia="zh-TW"/>
              </w:rPr>
              <w:t>)</w:t>
            </w:r>
          </w:p>
          <w:p w14:paraId="5A7B9E9B" w14:textId="5CCBEE79" w:rsidR="00994D68" w:rsidRPr="00215F0C" w:rsidRDefault="00994D68" w:rsidP="0045676C">
            <w:pPr>
              <w:pStyle w:val="Akapitzlist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Badania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przy</w:t>
            </w:r>
            <w:r w:rsidR="00CF6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kwalifikacji</w:t>
            </w:r>
          </w:p>
          <w:p w14:paraId="538084B6" w14:textId="645DC12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celu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potwierdzenia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uzyskania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obiektywnej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odpowiedzi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(całkowitej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częściowej)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schematem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chemioterapii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zawierającym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pochodne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platyny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należy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wykonać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klinicznych;</w:t>
            </w:r>
          </w:p>
          <w:p w14:paraId="0470233F" w14:textId="7A9E291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5D04D54B" w14:textId="7DE34250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surowicy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stężenia:</w:t>
            </w:r>
          </w:p>
          <w:p w14:paraId="1D777AEF" w14:textId="47FC54C1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B424F1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BB3F0C1" w14:textId="5173225F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1E2A25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1127CBFF" w14:textId="327618F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AspAT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AlAT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3EC9ABBC" w14:textId="6E7D9A3B" w:rsidR="00994D68" w:rsidRPr="00215F0C" w:rsidRDefault="00994D68" w:rsidP="0045676C">
            <w:pPr>
              <w:numPr>
                <w:ilvl w:val="3"/>
                <w:numId w:val="48"/>
              </w:num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jeżeli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zachodzi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konieczność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wykluczenia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ciąży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próbę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ciążową;</w:t>
            </w:r>
          </w:p>
          <w:p w14:paraId="59CE2AAE" w14:textId="4E67775F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CA125;</w:t>
            </w:r>
          </w:p>
          <w:p w14:paraId="554837D1" w14:textId="7D2C16E2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13C4E37E" w14:textId="77777777" w:rsidR="00FB0F1A" w:rsidRPr="00215F0C" w:rsidRDefault="00FB0F1A" w:rsidP="00215F0C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922843" w14:textId="690F1A17" w:rsidR="00994D68" w:rsidRPr="00215F0C" w:rsidRDefault="00994D68" w:rsidP="0045676C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81F7C4A" w14:textId="1C65F7A5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morfologia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rozmazem;</w:t>
            </w:r>
          </w:p>
          <w:p w14:paraId="4AEFF694" w14:textId="7CAC024D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surowicy:</w:t>
            </w:r>
          </w:p>
          <w:p w14:paraId="72D3617B" w14:textId="4ED84E81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kreatyniny</w:t>
            </w:r>
            <w:r w:rsidR="00B424F1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24FA418" w14:textId="4CC5E692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bilirubiny</w:t>
            </w:r>
            <w:r w:rsidR="001E2A25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345702AA" w14:textId="253A0314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aktywności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transaminaz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AspAT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AlAT</w:t>
            </w:r>
            <w:proofErr w:type="spellEnd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14:paraId="090DF45A" w14:textId="40D31A67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014250DE" w14:textId="16A2613A" w:rsidR="007574E3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miesiąc.</w:t>
            </w:r>
            <w:bookmarkStart w:id="3" w:name="_Hlk8748575"/>
          </w:p>
          <w:p w14:paraId="38968D02" w14:textId="5C7A59B5" w:rsidR="00FB0F1A" w:rsidRPr="0045676C" w:rsidRDefault="007574E3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niraparybu</w:t>
            </w:r>
            <w:proofErr w:type="spellEnd"/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pierwszym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miesiącu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zaleca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kontrolę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morfologii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tydzień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razie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konieczności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modyfikację</w:t>
            </w:r>
            <w:r w:rsidR="00CF622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dawkowania.</w:t>
            </w:r>
          </w:p>
          <w:p w14:paraId="68E17DAE" w14:textId="77777777" w:rsidR="00B47EDE" w:rsidRPr="00215F0C" w:rsidRDefault="00B47EDE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5CC9D9" w14:textId="21EE19A9" w:rsidR="00994D68" w:rsidRPr="00215F0C" w:rsidRDefault="00994D68" w:rsidP="0045676C">
            <w:pPr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Monitorowanie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skuteczności</w:t>
            </w:r>
            <w:r w:rsidR="00CF622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leczenia</w:t>
            </w:r>
          </w:p>
          <w:p w14:paraId="07B87343" w14:textId="3DB766A3" w:rsidR="00994D68" w:rsidRPr="00215F0C" w:rsidRDefault="0045676C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adanie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jamy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brzusznej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miednicy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okolic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ciała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  <w:r w:rsidR="00B424F1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4A2A7442" w14:textId="3968589D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co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3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miesiące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lub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przypadku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podejrzenia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progresji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choroby</w:t>
            </w:r>
            <w:r w:rsidR="00CF62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nowotworowej</w:t>
            </w:r>
            <w:r w:rsidR="00B424F1" w:rsidRPr="00215F0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;</w:t>
            </w:r>
          </w:p>
          <w:p w14:paraId="59BAD42D" w14:textId="66DC3034" w:rsidR="00994D68" w:rsidRPr="00215F0C" w:rsidRDefault="00994D68" w:rsidP="0045676C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razie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klinicznych.</w:t>
            </w:r>
          </w:p>
          <w:p w14:paraId="6F6AB822" w14:textId="50F04537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Badania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tomografii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komputerowej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rezonansu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magnetycznego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się:</w:t>
            </w:r>
          </w:p>
          <w:p w14:paraId="6C26DEDE" w14:textId="13D8B99B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trakcie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olaparybem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510E2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albo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D35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niraparibem</w:t>
            </w:r>
            <w:proofErr w:type="spellEnd"/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F39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miesięcy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zależności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wskazań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klinicznych</w:t>
            </w:r>
            <w:r w:rsidR="001E2A25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A40E7DB" w14:textId="2C4A40E6" w:rsidR="00994D68" w:rsidRPr="00215F0C" w:rsidRDefault="00994D68" w:rsidP="0045676C">
            <w:pPr>
              <w:numPr>
                <w:ilvl w:val="4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wzroście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stężenia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CA125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stwierdzonym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dwóch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kolejnych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oznaczeniach,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dokonanych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odstępie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najmniej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tygodnia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przekraczającym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2-krotną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wartość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nadiru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wartością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wyjściową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zakresem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2-krotnie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górną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granicę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normy.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Natomiast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braku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objawów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obrazowym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(TK/RMI)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kolejne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badanie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obrazowe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wykonuje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miesiące,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chyba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że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wcześniej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wystąpią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objawy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kliniczne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progresji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choroby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nowotworowej.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4E1A668" w14:textId="77777777" w:rsidR="0045676C" w:rsidRDefault="0045676C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0B841E" w14:textId="11ECD2DF" w:rsidR="00994D68" w:rsidRPr="0045676C" w:rsidRDefault="00994D68" w:rsidP="0045676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Oceny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skuteczności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dokonuje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kryteriami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RECIST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0D35"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45676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bookmarkEnd w:id="3"/>
          </w:p>
          <w:p w14:paraId="4B54C07B" w14:textId="77777777" w:rsidR="00FB0F1A" w:rsidRPr="00215F0C" w:rsidRDefault="00FB0F1A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2FD83849" w14:textId="26A14FF2" w:rsidR="00994D68" w:rsidRPr="00215F0C" w:rsidRDefault="00994D68" w:rsidP="0045676C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F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Monitorowanie</w:t>
            </w:r>
            <w:r w:rsidR="00CF622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215F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programu</w:t>
            </w:r>
          </w:p>
          <w:p w14:paraId="14F403A4" w14:textId="6597E620" w:rsidR="00994D68" w:rsidRPr="00215F0C" w:rsidRDefault="00DE6AD5" w:rsidP="00DE6AD5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romadzenie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dokumentacji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medycznej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dotyczących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każdorazowe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przedstawianie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żądanie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kontrolerów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Narodowego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Funduszu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Zdrowia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(NFZ)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03C6A1D" w14:textId="3150AB02" w:rsidR="00994D68" w:rsidRPr="00215F0C" w:rsidRDefault="00DE6AD5" w:rsidP="00DE6AD5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zupełnienie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danych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zawartych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rejestrze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(system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monitorowania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programów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terapeutycznych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SMPT)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dostępnym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pomocą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aplikacji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internetowej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udostępnionej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Oddział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Wojewódzki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częstotliwością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zgodną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opisem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zakończenie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8BFDBEF" w14:textId="582875FC" w:rsidR="00994D68" w:rsidRPr="00215F0C" w:rsidRDefault="00DE6AD5" w:rsidP="00DE6AD5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rzekazywanie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informacji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sprawozdawczo-rozliczeniowych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(informacje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przekazuje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się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NFZ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papierowej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formie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elektronicznej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wymaganiami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opublikowanymi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przez</w:t>
            </w:r>
            <w:r w:rsidR="00CF62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94D68" w:rsidRPr="00215F0C">
              <w:rPr>
                <w:rFonts w:ascii="Times New Roman" w:eastAsia="Calibri" w:hAnsi="Times New Roman" w:cs="Times New Roman"/>
                <w:sz w:val="20"/>
                <w:szCs w:val="20"/>
              </w:rPr>
              <w:t>NFZ).</w:t>
            </w:r>
          </w:p>
          <w:p w14:paraId="53655456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71615263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  <w:p w14:paraId="3DA2966D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171B42F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b/>
                <w:sz w:val="20"/>
                <w:szCs w:val="20"/>
                <w:lang w:eastAsia="zh-TW"/>
              </w:rPr>
            </w:pPr>
          </w:p>
          <w:p w14:paraId="221A27B9" w14:textId="77777777" w:rsidR="00994D68" w:rsidRPr="00215F0C" w:rsidRDefault="00994D68" w:rsidP="00215F0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14:paraId="2909510A" w14:textId="77777777" w:rsidR="005640FA" w:rsidRDefault="005640FA"/>
    <w:sectPr w:rsidR="005640FA" w:rsidSect="00440375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54B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F9E5452"/>
    <w:multiLevelType w:val="multilevel"/>
    <w:tmpl w:val="77E8811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2.%1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397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567" w:hanging="227"/>
      </w:pPr>
      <w:rPr>
        <w:rFonts w:hint="default"/>
      </w:rPr>
    </w:lvl>
    <w:lvl w:ilvl="5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71A6937"/>
    <w:multiLevelType w:val="hybridMultilevel"/>
    <w:tmpl w:val="66B6B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4B6F"/>
    <w:multiLevelType w:val="hybridMultilevel"/>
    <w:tmpl w:val="5E7E7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2370"/>
    <w:multiLevelType w:val="multilevel"/>
    <w:tmpl w:val="7B1E9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870B42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1585ED1"/>
    <w:multiLevelType w:val="hybridMultilevel"/>
    <w:tmpl w:val="84E4C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0301DF"/>
    <w:multiLevelType w:val="multilevel"/>
    <w:tmpl w:val="73D076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4E399A"/>
    <w:multiLevelType w:val="hybridMultilevel"/>
    <w:tmpl w:val="F0CC77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623FD"/>
    <w:multiLevelType w:val="hybridMultilevel"/>
    <w:tmpl w:val="A1F24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136BD"/>
    <w:multiLevelType w:val="hybridMultilevel"/>
    <w:tmpl w:val="7A406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562D4"/>
    <w:multiLevelType w:val="hybridMultilevel"/>
    <w:tmpl w:val="668A30BC"/>
    <w:lvl w:ilvl="0" w:tplc="D0F269C6">
      <w:start w:val="1"/>
      <w:numFmt w:val="lowerLetter"/>
      <w:lvlText w:val="%1)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2CDD4CFD"/>
    <w:multiLevelType w:val="multilevel"/>
    <w:tmpl w:val="76AE6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2E6EAE"/>
    <w:multiLevelType w:val="hybridMultilevel"/>
    <w:tmpl w:val="CA5008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D3E12"/>
    <w:multiLevelType w:val="hybridMultilevel"/>
    <w:tmpl w:val="D4868FD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301380"/>
    <w:multiLevelType w:val="hybridMultilevel"/>
    <w:tmpl w:val="879CF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E6448"/>
    <w:multiLevelType w:val="hybridMultilevel"/>
    <w:tmpl w:val="80664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759A7"/>
    <w:multiLevelType w:val="multilevel"/>
    <w:tmpl w:val="767CE1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FA57A7"/>
    <w:multiLevelType w:val="hybridMultilevel"/>
    <w:tmpl w:val="BC6E80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74C19F7"/>
    <w:multiLevelType w:val="multilevel"/>
    <w:tmpl w:val="0F3A8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AC6DFE"/>
    <w:multiLevelType w:val="hybridMultilevel"/>
    <w:tmpl w:val="E5A0C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009F5"/>
    <w:multiLevelType w:val="hybridMultilevel"/>
    <w:tmpl w:val="B37AE0DA"/>
    <w:lvl w:ilvl="0" w:tplc="9006D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607E4"/>
    <w:multiLevelType w:val="multilevel"/>
    <w:tmpl w:val="52D2A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EF3374"/>
    <w:multiLevelType w:val="multilevel"/>
    <w:tmpl w:val="0F6E4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58705E4"/>
    <w:multiLevelType w:val="hybridMultilevel"/>
    <w:tmpl w:val="6EC05762"/>
    <w:lvl w:ilvl="0" w:tplc="04150017">
      <w:start w:val="1"/>
      <w:numFmt w:val="lowerLetter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5" w15:restartNumberingAfterBreak="0">
    <w:nsid w:val="466438A5"/>
    <w:multiLevelType w:val="hybridMultilevel"/>
    <w:tmpl w:val="95D20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C24BD"/>
    <w:multiLevelType w:val="hybridMultilevel"/>
    <w:tmpl w:val="1384F69A"/>
    <w:lvl w:ilvl="0" w:tplc="C7246528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7" w15:restartNumberingAfterBreak="0">
    <w:nsid w:val="52304A2F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534249F6"/>
    <w:multiLevelType w:val="hybridMultilevel"/>
    <w:tmpl w:val="6F46281A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9" w15:restartNumberingAfterBreak="0">
    <w:nsid w:val="542552C9"/>
    <w:multiLevelType w:val="hybridMultilevel"/>
    <w:tmpl w:val="D3EC9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E64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62390"/>
    <w:multiLevelType w:val="multilevel"/>
    <w:tmpl w:val="3668A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097013"/>
    <w:multiLevelType w:val="hybridMultilevel"/>
    <w:tmpl w:val="A490B8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6D6B97"/>
    <w:multiLevelType w:val="hybridMultilevel"/>
    <w:tmpl w:val="92A06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D44"/>
    <w:multiLevelType w:val="hybridMultilevel"/>
    <w:tmpl w:val="1062068E"/>
    <w:lvl w:ilvl="0" w:tplc="04150017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 w15:restartNumberingAfterBreak="0">
    <w:nsid w:val="60207B28"/>
    <w:multiLevelType w:val="hybridMultilevel"/>
    <w:tmpl w:val="F90497CE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5" w15:restartNumberingAfterBreak="0">
    <w:nsid w:val="63021305"/>
    <w:multiLevelType w:val="multilevel"/>
    <w:tmpl w:val="69208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Calibri" w:hint="default"/>
        <w:b w:val="0"/>
      </w:rPr>
    </w:lvl>
  </w:abstractNum>
  <w:abstractNum w:abstractNumId="36" w15:restartNumberingAfterBreak="0">
    <w:nsid w:val="6C2504CC"/>
    <w:multiLevelType w:val="multilevel"/>
    <w:tmpl w:val="0F9AC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C2D507A"/>
    <w:multiLevelType w:val="hybridMultilevel"/>
    <w:tmpl w:val="9436861A"/>
    <w:lvl w:ilvl="0" w:tplc="59C8A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662119"/>
    <w:multiLevelType w:val="hybridMultilevel"/>
    <w:tmpl w:val="033EA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8C67AD"/>
    <w:multiLevelType w:val="hybridMultilevel"/>
    <w:tmpl w:val="0EBA5FB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1F468FC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1" w15:restartNumberingAfterBreak="0">
    <w:nsid w:val="741C2219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2" w15:restartNumberingAfterBreak="0">
    <w:nsid w:val="755F0D7A"/>
    <w:multiLevelType w:val="hybridMultilevel"/>
    <w:tmpl w:val="4142CAF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B32340"/>
    <w:multiLevelType w:val="multilevel"/>
    <w:tmpl w:val="D0864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6380C37"/>
    <w:multiLevelType w:val="hybridMultilevel"/>
    <w:tmpl w:val="C1F0B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16AAB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6" w15:restartNumberingAfterBreak="0">
    <w:nsid w:val="7A5309B5"/>
    <w:multiLevelType w:val="hybridMultilevel"/>
    <w:tmpl w:val="80664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B01F8"/>
    <w:multiLevelType w:val="hybridMultilevel"/>
    <w:tmpl w:val="735E3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8"/>
  </w:num>
  <w:num w:numId="4">
    <w:abstractNumId w:val="6"/>
  </w:num>
  <w:num w:numId="5">
    <w:abstractNumId w:val="22"/>
  </w:num>
  <w:num w:numId="6">
    <w:abstractNumId w:val="23"/>
  </w:num>
  <w:num w:numId="7">
    <w:abstractNumId w:val="43"/>
  </w:num>
  <w:num w:numId="8">
    <w:abstractNumId w:val="7"/>
  </w:num>
  <w:num w:numId="9">
    <w:abstractNumId w:val="19"/>
  </w:num>
  <w:num w:numId="10">
    <w:abstractNumId w:val="2"/>
  </w:num>
  <w:num w:numId="11">
    <w:abstractNumId w:val="15"/>
  </w:num>
  <w:num w:numId="12">
    <w:abstractNumId w:val="30"/>
  </w:num>
  <w:num w:numId="13">
    <w:abstractNumId w:val="9"/>
  </w:num>
  <w:num w:numId="14">
    <w:abstractNumId w:val="16"/>
  </w:num>
  <w:num w:numId="15">
    <w:abstractNumId w:val="29"/>
  </w:num>
  <w:num w:numId="16">
    <w:abstractNumId w:val="28"/>
  </w:num>
  <w:num w:numId="17">
    <w:abstractNumId w:val="24"/>
  </w:num>
  <w:num w:numId="18">
    <w:abstractNumId w:val="14"/>
  </w:num>
  <w:num w:numId="19">
    <w:abstractNumId w:val="33"/>
  </w:num>
  <w:num w:numId="20">
    <w:abstractNumId w:val="31"/>
  </w:num>
  <w:num w:numId="21">
    <w:abstractNumId w:val="36"/>
  </w:num>
  <w:num w:numId="22">
    <w:abstractNumId w:val="37"/>
  </w:num>
  <w:num w:numId="23">
    <w:abstractNumId w:val="39"/>
  </w:num>
  <w:num w:numId="24">
    <w:abstractNumId w:val="35"/>
  </w:num>
  <w:num w:numId="25">
    <w:abstractNumId w:val="13"/>
  </w:num>
  <w:num w:numId="26">
    <w:abstractNumId w:val="12"/>
  </w:num>
  <w:num w:numId="27">
    <w:abstractNumId w:val="44"/>
  </w:num>
  <w:num w:numId="28">
    <w:abstractNumId w:val="21"/>
  </w:num>
  <w:num w:numId="29">
    <w:abstractNumId w:val="32"/>
  </w:num>
  <w:num w:numId="30">
    <w:abstractNumId w:val="42"/>
  </w:num>
  <w:num w:numId="31">
    <w:abstractNumId w:val="17"/>
  </w:num>
  <w:num w:numId="32">
    <w:abstractNumId w:val="3"/>
  </w:num>
  <w:num w:numId="33">
    <w:abstractNumId w:val="20"/>
  </w:num>
  <w:num w:numId="34">
    <w:abstractNumId w:val="4"/>
  </w:num>
  <w:num w:numId="35">
    <w:abstractNumId w:val="38"/>
  </w:num>
  <w:num w:numId="36">
    <w:abstractNumId w:val="26"/>
  </w:num>
  <w:num w:numId="37">
    <w:abstractNumId w:val="47"/>
  </w:num>
  <w:num w:numId="38">
    <w:abstractNumId w:val="45"/>
  </w:num>
  <w:num w:numId="39">
    <w:abstractNumId w:val="5"/>
  </w:num>
  <w:num w:numId="40">
    <w:abstractNumId w:val="0"/>
  </w:num>
  <w:num w:numId="41">
    <w:abstractNumId w:val="46"/>
  </w:num>
  <w:num w:numId="42">
    <w:abstractNumId w:val="8"/>
  </w:num>
  <w:num w:numId="43">
    <w:abstractNumId w:val="11"/>
  </w:num>
  <w:num w:numId="44">
    <w:abstractNumId w:val="34"/>
  </w:num>
  <w:num w:numId="45">
    <w:abstractNumId w:val="1"/>
  </w:num>
  <w:num w:numId="46">
    <w:abstractNumId w:val="27"/>
  </w:num>
  <w:num w:numId="47">
    <w:abstractNumId w:val="4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68"/>
    <w:rsid w:val="0002599D"/>
    <w:rsid w:val="000C73C7"/>
    <w:rsid w:val="000D567E"/>
    <w:rsid w:val="000D5963"/>
    <w:rsid w:val="000F6B09"/>
    <w:rsid w:val="000F73D7"/>
    <w:rsid w:val="001168A9"/>
    <w:rsid w:val="00155C2A"/>
    <w:rsid w:val="001B5C2F"/>
    <w:rsid w:val="001E2A25"/>
    <w:rsid w:val="001E4863"/>
    <w:rsid w:val="001F395F"/>
    <w:rsid w:val="00215F0C"/>
    <w:rsid w:val="0022077B"/>
    <w:rsid w:val="00227A3C"/>
    <w:rsid w:val="00236085"/>
    <w:rsid w:val="00262294"/>
    <w:rsid w:val="0028544D"/>
    <w:rsid w:val="002D279F"/>
    <w:rsid w:val="002F15E9"/>
    <w:rsid w:val="00342ABC"/>
    <w:rsid w:val="003440BC"/>
    <w:rsid w:val="00344C41"/>
    <w:rsid w:val="00351DF3"/>
    <w:rsid w:val="0039796C"/>
    <w:rsid w:val="003B3BC6"/>
    <w:rsid w:val="003C5E6F"/>
    <w:rsid w:val="003E3833"/>
    <w:rsid w:val="003F7D6C"/>
    <w:rsid w:val="0043452E"/>
    <w:rsid w:val="00440375"/>
    <w:rsid w:val="0045676C"/>
    <w:rsid w:val="004C62A3"/>
    <w:rsid w:val="005128E6"/>
    <w:rsid w:val="00543662"/>
    <w:rsid w:val="00556A17"/>
    <w:rsid w:val="005640FA"/>
    <w:rsid w:val="00566213"/>
    <w:rsid w:val="00575374"/>
    <w:rsid w:val="00593003"/>
    <w:rsid w:val="00596215"/>
    <w:rsid w:val="005A3AB4"/>
    <w:rsid w:val="005F35F3"/>
    <w:rsid w:val="006114E8"/>
    <w:rsid w:val="00617BA6"/>
    <w:rsid w:val="00631D00"/>
    <w:rsid w:val="00643588"/>
    <w:rsid w:val="00651472"/>
    <w:rsid w:val="0065738E"/>
    <w:rsid w:val="0066147B"/>
    <w:rsid w:val="00692181"/>
    <w:rsid w:val="00697399"/>
    <w:rsid w:val="006C503F"/>
    <w:rsid w:val="006F379C"/>
    <w:rsid w:val="00703594"/>
    <w:rsid w:val="00711EDC"/>
    <w:rsid w:val="00716A6D"/>
    <w:rsid w:val="00722F96"/>
    <w:rsid w:val="00726C0F"/>
    <w:rsid w:val="00743C58"/>
    <w:rsid w:val="007574E3"/>
    <w:rsid w:val="00775A55"/>
    <w:rsid w:val="007955FB"/>
    <w:rsid w:val="007C2D9E"/>
    <w:rsid w:val="007D5CCA"/>
    <w:rsid w:val="007E2932"/>
    <w:rsid w:val="007E5AD9"/>
    <w:rsid w:val="00803D93"/>
    <w:rsid w:val="00804352"/>
    <w:rsid w:val="008973AB"/>
    <w:rsid w:val="008E6FD1"/>
    <w:rsid w:val="00956DEF"/>
    <w:rsid w:val="0098580F"/>
    <w:rsid w:val="009934D9"/>
    <w:rsid w:val="00994D68"/>
    <w:rsid w:val="009B7AD5"/>
    <w:rsid w:val="00A214E9"/>
    <w:rsid w:val="00A35748"/>
    <w:rsid w:val="00A55045"/>
    <w:rsid w:val="00AA5766"/>
    <w:rsid w:val="00AC1B4F"/>
    <w:rsid w:val="00AD6138"/>
    <w:rsid w:val="00AE55D2"/>
    <w:rsid w:val="00B424F1"/>
    <w:rsid w:val="00B47EDE"/>
    <w:rsid w:val="00B508A5"/>
    <w:rsid w:val="00B55F01"/>
    <w:rsid w:val="00B61E36"/>
    <w:rsid w:val="00B95572"/>
    <w:rsid w:val="00BC0EF9"/>
    <w:rsid w:val="00BC63DF"/>
    <w:rsid w:val="00C3638A"/>
    <w:rsid w:val="00CA207F"/>
    <w:rsid w:val="00CF622C"/>
    <w:rsid w:val="00D12DD7"/>
    <w:rsid w:val="00D22BBE"/>
    <w:rsid w:val="00D30D35"/>
    <w:rsid w:val="00D32D40"/>
    <w:rsid w:val="00D62674"/>
    <w:rsid w:val="00D63F79"/>
    <w:rsid w:val="00D7373B"/>
    <w:rsid w:val="00DE6AD5"/>
    <w:rsid w:val="00E00049"/>
    <w:rsid w:val="00E23624"/>
    <w:rsid w:val="00E42722"/>
    <w:rsid w:val="00E510E2"/>
    <w:rsid w:val="00EE026B"/>
    <w:rsid w:val="00F21FBB"/>
    <w:rsid w:val="00F25026"/>
    <w:rsid w:val="00F32153"/>
    <w:rsid w:val="00F7039E"/>
    <w:rsid w:val="00F97F41"/>
    <w:rsid w:val="00FB0F1A"/>
    <w:rsid w:val="00FC3007"/>
    <w:rsid w:val="00FC4016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B46"/>
  <w15:chartTrackingRefBased/>
  <w15:docId w15:val="{32CA43E1-50FF-4775-8DF3-A4D73E6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0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8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2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2715</Words>
  <Characters>16295</Characters>
  <Application>Microsoft Office Word</Application>
  <DocSecurity>4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Zdrowia</Company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cp:keywords/>
  <dc:description/>
  <cp:lastModifiedBy>Królak-Buzakowska Joanna</cp:lastModifiedBy>
  <cp:revision>2</cp:revision>
  <cp:lastPrinted>2021-04-15T06:40:00Z</cp:lastPrinted>
  <dcterms:created xsi:type="dcterms:W3CDTF">2021-12-16T17:44:00Z</dcterms:created>
  <dcterms:modified xsi:type="dcterms:W3CDTF">2021-12-16T17:44:00Z</dcterms:modified>
</cp:coreProperties>
</file>