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8BFC2" w14:textId="77777777" w:rsidR="0034170C" w:rsidRDefault="0034170C" w:rsidP="0034170C">
      <w:pPr>
        <w:rPr>
          <w:rFonts w:ascii="Lato" w:hAnsi="Lato"/>
          <w:color w:val="2C7FCE" w:themeColor="text2" w:themeTint="99"/>
          <w:sz w:val="28"/>
          <w:szCs w:val="28"/>
        </w:rPr>
      </w:pPr>
      <w:bookmarkStart w:id="0" w:name="_Hlk193964944"/>
      <w:bookmarkEnd w:id="0"/>
      <w:r w:rsidRPr="00132EB1">
        <w:rPr>
          <w:noProof/>
        </w:rPr>
        <w:drawing>
          <wp:inline distT="0" distB="0" distL="0" distR="0" wp14:anchorId="7EA7628E" wp14:editId="767CD9FE">
            <wp:extent cx="1407160" cy="1383665"/>
            <wp:effectExtent l="0" t="0" r="2540" b="6985"/>
            <wp:docPr id="666753157"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53157" name="Obraz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7160" cy="1383665"/>
                    </a:xfrm>
                    <a:prstGeom prst="rect">
                      <a:avLst/>
                    </a:prstGeom>
                    <a:noFill/>
                    <a:ln>
                      <a:noFill/>
                    </a:ln>
                  </pic:spPr>
                </pic:pic>
              </a:graphicData>
            </a:graphic>
          </wp:inline>
        </w:drawing>
      </w:r>
    </w:p>
    <w:p w14:paraId="7D21650B" w14:textId="77777777" w:rsidR="0034170C" w:rsidRDefault="0034170C" w:rsidP="0034170C"/>
    <w:p w14:paraId="052E4299" w14:textId="77777777" w:rsidR="0034170C" w:rsidRDefault="0034170C" w:rsidP="0034170C"/>
    <w:p w14:paraId="5ABD94C3" w14:textId="77777777" w:rsidR="0034170C" w:rsidRDefault="0034170C" w:rsidP="0034170C"/>
    <w:p w14:paraId="3600EAFC" w14:textId="77777777" w:rsidR="0034170C" w:rsidRDefault="0034170C" w:rsidP="0034170C">
      <w:pPr>
        <w:jc w:val="center"/>
        <w:rPr>
          <w:rFonts w:ascii="Calibri" w:hAnsi="Calibri" w:cs="Calibri"/>
          <w:sz w:val="44"/>
          <w:szCs w:val="44"/>
          <w14:shadow w14:blurRad="50800" w14:dist="38100" w14:dir="2700000" w14:sx="100000" w14:sy="100000" w14:kx="0" w14:ky="0" w14:algn="tl">
            <w14:srgbClr w14:val="000000">
              <w14:alpha w14:val="60000"/>
            </w14:srgbClr>
          </w14:shadow>
        </w:rPr>
      </w:pPr>
    </w:p>
    <w:p w14:paraId="5C439FD6" w14:textId="77777777" w:rsidR="0034170C" w:rsidRDefault="0034170C" w:rsidP="0034170C">
      <w:pPr>
        <w:jc w:val="center"/>
        <w:rPr>
          <w:rFonts w:ascii="Calibri" w:hAnsi="Calibri" w:cs="Calibri"/>
          <w:sz w:val="44"/>
          <w:szCs w:val="44"/>
          <w14:shadow w14:blurRad="50800" w14:dist="38100" w14:dir="2700000" w14:sx="100000" w14:sy="100000" w14:kx="0" w14:ky="0" w14:algn="tl">
            <w14:srgbClr w14:val="000000">
              <w14:alpha w14:val="60000"/>
            </w14:srgbClr>
          </w14:shadow>
        </w:rPr>
      </w:pPr>
    </w:p>
    <w:p w14:paraId="2957A9DD" w14:textId="77777777" w:rsidR="0034170C" w:rsidRDefault="0034170C" w:rsidP="0034170C">
      <w:pPr>
        <w:jc w:val="center"/>
        <w:rPr>
          <w:rFonts w:ascii="Calibri" w:hAnsi="Calibri" w:cs="Calibri"/>
          <w:sz w:val="44"/>
          <w:szCs w:val="44"/>
          <w14:shadow w14:blurRad="50800" w14:dist="38100" w14:dir="2700000" w14:sx="100000" w14:sy="100000" w14:kx="0" w14:ky="0" w14:algn="tl">
            <w14:srgbClr w14:val="000000">
              <w14:alpha w14:val="60000"/>
            </w14:srgbClr>
          </w14:shadow>
        </w:rPr>
      </w:pPr>
    </w:p>
    <w:p w14:paraId="231C43F3" w14:textId="77777777" w:rsidR="0034170C" w:rsidRDefault="0034170C" w:rsidP="0034170C">
      <w:pPr>
        <w:jc w:val="center"/>
        <w:rPr>
          <w:rFonts w:ascii="Calibri" w:hAnsi="Calibri" w:cs="Calibri"/>
          <w:sz w:val="44"/>
          <w:szCs w:val="44"/>
          <w14:shadow w14:blurRad="50800" w14:dist="38100" w14:dir="2700000" w14:sx="100000" w14:sy="100000" w14:kx="0" w14:ky="0" w14:algn="tl">
            <w14:srgbClr w14:val="000000">
              <w14:alpha w14:val="60000"/>
            </w14:srgbClr>
          </w14:shadow>
        </w:rPr>
      </w:pPr>
    </w:p>
    <w:p w14:paraId="0E6791C1" w14:textId="77777777" w:rsidR="0034170C" w:rsidRPr="00FC33E7" w:rsidRDefault="0034170C" w:rsidP="0034170C">
      <w:pPr>
        <w:jc w:val="center"/>
        <w:rPr>
          <w:rFonts w:ascii="Calibri" w:hAnsi="Calibri" w:cs="Calibri"/>
          <w:sz w:val="44"/>
          <w:szCs w:val="44"/>
          <w14:shadow w14:blurRad="50800" w14:dist="38100" w14:dir="2700000" w14:sx="100000" w14:sy="100000" w14:kx="0" w14:ky="0" w14:algn="tl">
            <w14:srgbClr w14:val="000000">
              <w14:alpha w14:val="60000"/>
            </w14:srgbClr>
          </w14:shadow>
        </w:rPr>
      </w:pPr>
      <w:r>
        <w:rPr>
          <w:rFonts w:ascii="Calibri" w:hAnsi="Calibri" w:cs="Calibri"/>
          <w:sz w:val="44"/>
          <w:szCs w:val="44"/>
          <w14:shadow w14:blurRad="50800" w14:dist="38100" w14:dir="2700000" w14:sx="100000" w14:sy="100000" w14:kx="0" w14:ky="0" w14:algn="tl">
            <w14:srgbClr w14:val="000000">
              <w14:alpha w14:val="60000"/>
            </w14:srgbClr>
          </w14:shadow>
        </w:rPr>
        <w:t>STAN SANITARNY WOJEWÓDZTWA ZACHODNIOPOMORSKIEGO W 2025 ROKU</w:t>
      </w:r>
    </w:p>
    <w:p w14:paraId="364F4FBD" w14:textId="77777777" w:rsidR="0034170C" w:rsidRDefault="0034170C" w:rsidP="0034170C">
      <w:pPr>
        <w:tabs>
          <w:tab w:val="left" w:pos="1080"/>
        </w:tabs>
        <w:jc w:val="center"/>
        <w:rPr>
          <w:rFonts w:ascii="Calibri" w:hAnsi="Calibri" w:cs="Calibri"/>
          <w:b/>
          <w:sz w:val="44"/>
          <w:szCs w:val="44"/>
        </w:rPr>
      </w:pPr>
    </w:p>
    <w:p w14:paraId="1BB2C919" w14:textId="77777777" w:rsidR="0034170C" w:rsidRDefault="0034170C" w:rsidP="0034170C">
      <w:pPr>
        <w:tabs>
          <w:tab w:val="left" w:pos="1080"/>
        </w:tabs>
        <w:rPr>
          <w:rFonts w:ascii="Calibri" w:hAnsi="Calibri" w:cs="Calibri"/>
          <w:b/>
          <w:sz w:val="44"/>
          <w:szCs w:val="44"/>
        </w:rPr>
      </w:pPr>
    </w:p>
    <w:p w14:paraId="34D989D7" w14:textId="77777777" w:rsidR="0034170C" w:rsidRDefault="0034170C" w:rsidP="0034170C">
      <w:pPr>
        <w:tabs>
          <w:tab w:val="left" w:pos="1080"/>
        </w:tabs>
        <w:rPr>
          <w:rFonts w:ascii="Calibri" w:hAnsi="Calibri" w:cs="Calibri"/>
          <w:b/>
          <w:sz w:val="44"/>
          <w:szCs w:val="44"/>
        </w:rPr>
      </w:pPr>
    </w:p>
    <w:p w14:paraId="1889DB11" w14:textId="77777777" w:rsidR="0034170C" w:rsidRDefault="0034170C" w:rsidP="0034170C">
      <w:pPr>
        <w:tabs>
          <w:tab w:val="left" w:pos="1080"/>
        </w:tabs>
        <w:rPr>
          <w:rFonts w:ascii="Calibri" w:hAnsi="Calibri" w:cs="Calibri"/>
          <w:b/>
          <w:sz w:val="44"/>
          <w:szCs w:val="44"/>
        </w:rPr>
      </w:pPr>
    </w:p>
    <w:p w14:paraId="7BA5EC78" w14:textId="77777777" w:rsidR="0034170C" w:rsidRDefault="0034170C" w:rsidP="0034170C">
      <w:pPr>
        <w:tabs>
          <w:tab w:val="left" w:pos="1080"/>
        </w:tabs>
        <w:rPr>
          <w:rFonts w:ascii="Calibri" w:hAnsi="Calibri" w:cs="Calibri"/>
          <w:b/>
          <w:sz w:val="44"/>
          <w:szCs w:val="44"/>
        </w:rPr>
      </w:pPr>
    </w:p>
    <w:p w14:paraId="276DBADF" w14:textId="77777777" w:rsidR="0034170C" w:rsidRDefault="0034170C" w:rsidP="0034170C">
      <w:pPr>
        <w:tabs>
          <w:tab w:val="left" w:pos="1080"/>
        </w:tabs>
        <w:rPr>
          <w:rFonts w:ascii="Calibri" w:hAnsi="Calibri" w:cs="Calibri"/>
          <w:b/>
          <w:sz w:val="44"/>
          <w:szCs w:val="44"/>
        </w:rPr>
      </w:pPr>
    </w:p>
    <w:p w14:paraId="37A6B97B" w14:textId="77777777" w:rsidR="0034170C" w:rsidRDefault="0034170C" w:rsidP="0034170C">
      <w:pPr>
        <w:tabs>
          <w:tab w:val="left" w:pos="1080"/>
        </w:tabs>
        <w:rPr>
          <w:rFonts w:ascii="Calibri" w:hAnsi="Calibri" w:cs="Calibri"/>
          <w:b/>
          <w:sz w:val="44"/>
          <w:szCs w:val="44"/>
        </w:rPr>
      </w:pPr>
    </w:p>
    <w:p w14:paraId="12266D91" w14:textId="77777777" w:rsidR="0034170C" w:rsidRDefault="0034170C" w:rsidP="0034170C">
      <w:pPr>
        <w:tabs>
          <w:tab w:val="left" w:pos="1080"/>
        </w:tabs>
        <w:jc w:val="center"/>
        <w:rPr>
          <w:rFonts w:cstheme="minorHAnsi"/>
          <w:b/>
        </w:rPr>
      </w:pPr>
    </w:p>
    <w:p w14:paraId="67460AE5" w14:textId="77777777" w:rsidR="0034170C" w:rsidRDefault="0034170C" w:rsidP="0034170C">
      <w:pPr>
        <w:tabs>
          <w:tab w:val="left" w:pos="1080"/>
        </w:tabs>
        <w:jc w:val="center"/>
        <w:rPr>
          <w:rFonts w:cstheme="minorHAnsi"/>
          <w:b/>
        </w:rPr>
      </w:pPr>
    </w:p>
    <w:p w14:paraId="051CEE61" w14:textId="77777777" w:rsidR="0034170C" w:rsidRDefault="0034170C" w:rsidP="0034170C">
      <w:pPr>
        <w:tabs>
          <w:tab w:val="left" w:pos="1080"/>
        </w:tabs>
        <w:jc w:val="center"/>
        <w:rPr>
          <w:rFonts w:cstheme="minorHAnsi"/>
          <w:b/>
        </w:rPr>
      </w:pPr>
    </w:p>
    <w:p w14:paraId="41F1A407" w14:textId="77777777" w:rsidR="0034170C" w:rsidRDefault="0034170C" w:rsidP="0034170C">
      <w:pPr>
        <w:tabs>
          <w:tab w:val="left" w:pos="1080"/>
        </w:tabs>
        <w:jc w:val="center"/>
        <w:rPr>
          <w:rFonts w:cstheme="minorHAnsi"/>
          <w:b/>
        </w:rPr>
      </w:pPr>
    </w:p>
    <w:p w14:paraId="6E2E817F" w14:textId="77777777" w:rsidR="0034170C" w:rsidRDefault="0034170C" w:rsidP="0034170C">
      <w:pPr>
        <w:tabs>
          <w:tab w:val="left" w:pos="1080"/>
        </w:tabs>
        <w:jc w:val="center"/>
        <w:rPr>
          <w:rFonts w:cstheme="minorHAnsi"/>
          <w:b/>
        </w:rPr>
      </w:pPr>
    </w:p>
    <w:p w14:paraId="092AE6FE" w14:textId="77777777" w:rsidR="0034170C" w:rsidRDefault="0034170C" w:rsidP="0034170C">
      <w:pPr>
        <w:tabs>
          <w:tab w:val="left" w:pos="1080"/>
        </w:tabs>
        <w:jc w:val="center"/>
        <w:rPr>
          <w:rFonts w:cstheme="minorHAnsi"/>
          <w:b/>
        </w:rPr>
      </w:pPr>
    </w:p>
    <w:p w14:paraId="4DEC4982" w14:textId="77777777" w:rsidR="0034170C" w:rsidRDefault="0034170C" w:rsidP="0034170C">
      <w:pPr>
        <w:tabs>
          <w:tab w:val="left" w:pos="1080"/>
        </w:tabs>
        <w:jc w:val="center"/>
        <w:rPr>
          <w:rFonts w:cstheme="minorHAnsi"/>
          <w:b/>
        </w:rPr>
      </w:pPr>
    </w:p>
    <w:p w14:paraId="7CCCD2A5" w14:textId="77777777" w:rsidR="0034170C" w:rsidRDefault="0034170C" w:rsidP="0034170C">
      <w:pPr>
        <w:tabs>
          <w:tab w:val="left" w:pos="1080"/>
        </w:tabs>
        <w:jc w:val="center"/>
        <w:rPr>
          <w:rFonts w:cstheme="minorHAnsi"/>
          <w:b/>
        </w:rPr>
      </w:pPr>
    </w:p>
    <w:p w14:paraId="58B9FCA6" w14:textId="77777777" w:rsidR="0034170C" w:rsidRPr="004249F8" w:rsidRDefault="0034170C" w:rsidP="0034170C">
      <w:pPr>
        <w:tabs>
          <w:tab w:val="left" w:pos="1080"/>
        </w:tabs>
        <w:jc w:val="center"/>
        <w:rPr>
          <w:rFonts w:cstheme="minorHAnsi"/>
          <w:b/>
        </w:rPr>
      </w:pPr>
      <w:r w:rsidRPr="004249F8">
        <w:rPr>
          <w:rFonts w:cstheme="minorHAnsi"/>
          <w:b/>
        </w:rPr>
        <w:t>Szczecin,</w:t>
      </w:r>
      <w:r>
        <w:rPr>
          <w:rFonts w:cstheme="minorHAnsi"/>
          <w:b/>
        </w:rPr>
        <w:t xml:space="preserve"> marzec </w:t>
      </w:r>
      <w:r w:rsidRPr="004249F8">
        <w:rPr>
          <w:rFonts w:cstheme="minorHAnsi"/>
          <w:b/>
        </w:rPr>
        <w:t>202</w:t>
      </w:r>
      <w:r>
        <w:rPr>
          <w:rFonts w:cstheme="minorHAnsi"/>
          <w:b/>
        </w:rPr>
        <w:t>6</w:t>
      </w:r>
      <w:r w:rsidRPr="004249F8">
        <w:rPr>
          <w:rFonts w:cstheme="minorHAnsi"/>
          <w:b/>
        </w:rPr>
        <w:t xml:space="preserve"> r.</w:t>
      </w:r>
    </w:p>
    <w:p w14:paraId="721E5E1E" w14:textId="77777777" w:rsidR="0034170C" w:rsidRDefault="0034170C" w:rsidP="0034170C">
      <w:pPr>
        <w:rPr>
          <w:rFonts w:cstheme="minorHAnsi"/>
        </w:rPr>
      </w:pPr>
    </w:p>
    <w:p w14:paraId="120DA1BB" w14:textId="77777777" w:rsidR="0034170C" w:rsidRDefault="0034170C" w:rsidP="0034170C">
      <w:pPr>
        <w:rPr>
          <w:rFonts w:cstheme="minorHAnsi"/>
        </w:rPr>
      </w:pPr>
    </w:p>
    <w:p w14:paraId="30024E17" w14:textId="77777777" w:rsidR="0034170C" w:rsidRDefault="0034170C" w:rsidP="0034170C">
      <w:pPr>
        <w:rPr>
          <w:rFonts w:cstheme="minorHAnsi"/>
        </w:rPr>
      </w:pPr>
    </w:p>
    <w:p w14:paraId="637A82F3" w14:textId="77777777" w:rsidR="0034170C" w:rsidRDefault="0034170C" w:rsidP="0034170C">
      <w:pPr>
        <w:rPr>
          <w:rFonts w:cstheme="minorHAnsi"/>
        </w:rPr>
      </w:pPr>
    </w:p>
    <w:p w14:paraId="6DFE7FC3" w14:textId="77777777" w:rsidR="0034170C" w:rsidRDefault="0034170C" w:rsidP="0034170C">
      <w:pPr>
        <w:rPr>
          <w:rFonts w:cstheme="minorHAnsi"/>
        </w:rPr>
      </w:pPr>
    </w:p>
    <w:p w14:paraId="577853B9" w14:textId="77777777" w:rsidR="0034170C" w:rsidRPr="005A59CB" w:rsidRDefault="0034170C" w:rsidP="0034170C">
      <w:pPr>
        <w:ind w:right="3969"/>
        <w:rPr>
          <w:rFonts w:cstheme="minorHAnsi"/>
          <w:sz w:val="20"/>
          <w:szCs w:val="20"/>
        </w:rPr>
      </w:pPr>
      <w:r w:rsidRPr="005A59CB">
        <w:rPr>
          <w:rFonts w:cstheme="minorHAnsi"/>
          <w:sz w:val="20"/>
          <w:szCs w:val="20"/>
        </w:rPr>
        <w:t>Wszelkie prawa zastrzeżone</w:t>
      </w:r>
      <w:r>
        <w:rPr>
          <w:rFonts w:cstheme="minorHAnsi"/>
          <w:sz w:val="20"/>
          <w:szCs w:val="20"/>
        </w:rPr>
        <w:t>.</w:t>
      </w:r>
    </w:p>
    <w:p w14:paraId="3E30D206" w14:textId="77777777" w:rsidR="0034170C" w:rsidRPr="005A59CB" w:rsidRDefault="0034170C" w:rsidP="0034170C">
      <w:pPr>
        <w:ind w:right="3969"/>
        <w:rPr>
          <w:rFonts w:cstheme="minorHAnsi"/>
          <w:sz w:val="20"/>
          <w:szCs w:val="20"/>
        </w:rPr>
      </w:pPr>
      <w:r w:rsidRPr="005A59CB">
        <w:rPr>
          <w:rFonts w:cstheme="minorHAnsi"/>
          <w:sz w:val="20"/>
          <w:szCs w:val="20"/>
        </w:rPr>
        <w:t>Niniejsze opracowanie łącznie ze wszystkimi ilustracjami i</w:t>
      </w:r>
      <w:r>
        <w:rPr>
          <w:rFonts w:cstheme="minorHAnsi"/>
          <w:sz w:val="20"/>
          <w:szCs w:val="20"/>
        </w:rPr>
        <w:t> </w:t>
      </w:r>
      <w:r w:rsidRPr="005A59CB">
        <w:rPr>
          <w:rFonts w:cstheme="minorHAnsi"/>
          <w:sz w:val="20"/>
          <w:szCs w:val="20"/>
        </w:rPr>
        <w:t>schematami jest chronione prawem autorskim.</w:t>
      </w:r>
    </w:p>
    <w:p w14:paraId="71F606A5" w14:textId="77777777" w:rsidR="0034170C" w:rsidRPr="005A59CB" w:rsidRDefault="0034170C" w:rsidP="0034170C">
      <w:pPr>
        <w:ind w:right="3969"/>
        <w:rPr>
          <w:rFonts w:cstheme="minorHAnsi"/>
          <w:sz w:val="20"/>
          <w:szCs w:val="20"/>
        </w:rPr>
      </w:pPr>
      <w:r w:rsidRPr="005A59CB">
        <w:rPr>
          <w:rFonts w:cstheme="minorHAnsi"/>
          <w:sz w:val="20"/>
          <w:szCs w:val="20"/>
        </w:rPr>
        <w:t>Kopiowanie, przetwarzanie w systemach elektronicznych, tłumaczenie oraz jakiekolwiek inne wykorzystanie</w:t>
      </w:r>
      <w:r>
        <w:rPr>
          <w:rFonts w:cstheme="minorHAnsi"/>
          <w:sz w:val="20"/>
          <w:szCs w:val="20"/>
        </w:rPr>
        <w:t xml:space="preserve"> </w:t>
      </w:r>
      <w:r w:rsidRPr="005A59CB">
        <w:rPr>
          <w:rFonts w:cstheme="minorHAnsi"/>
          <w:sz w:val="20"/>
          <w:szCs w:val="20"/>
        </w:rPr>
        <w:t>niniejszego opracowania lub jego fragmentu wymaga wskazania autorów opracowania i źródła.</w:t>
      </w:r>
    </w:p>
    <w:p w14:paraId="0669D950" w14:textId="77777777" w:rsidR="0034170C" w:rsidRPr="005A59CB" w:rsidRDefault="0034170C" w:rsidP="0034170C">
      <w:pPr>
        <w:ind w:right="3969"/>
        <w:rPr>
          <w:rFonts w:cstheme="minorHAnsi"/>
          <w:sz w:val="20"/>
          <w:szCs w:val="20"/>
        </w:rPr>
      </w:pPr>
      <w:r w:rsidRPr="005A59CB">
        <w:rPr>
          <w:rFonts w:cstheme="minorHAnsi"/>
          <w:sz w:val="20"/>
          <w:szCs w:val="20"/>
        </w:rPr>
        <w:t>Raport o stanie sanitarnym kraju zawiera dane na dzień 31</w:t>
      </w:r>
      <w:r>
        <w:rPr>
          <w:rFonts w:cstheme="minorHAnsi"/>
          <w:sz w:val="20"/>
          <w:szCs w:val="20"/>
        </w:rPr>
        <w:t> </w:t>
      </w:r>
      <w:r w:rsidRPr="005A59CB">
        <w:rPr>
          <w:rFonts w:cstheme="minorHAnsi"/>
          <w:sz w:val="20"/>
          <w:szCs w:val="20"/>
        </w:rPr>
        <w:t>grudnia 202</w:t>
      </w:r>
      <w:r>
        <w:rPr>
          <w:rFonts w:cstheme="minorHAnsi"/>
          <w:sz w:val="20"/>
          <w:szCs w:val="20"/>
        </w:rPr>
        <w:t>5 r.</w:t>
      </w:r>
    </w:p>
    <w:p w14:paraId="25C27ECC" w14:textId="77777777" w:rsidR="0034170C" w:rsidRPr="005A59CB" w:rsidRDefault="0034170C" w:rsidP="0034170C">
      <w:pPr>
        <w:ind w:right="3969"/>
        <w:rPr>
          <w:rFonts w:cstheme="minorHAnsi"/>
          <w:sz w:val="20"/>
          <w:szCs w:val="20"/>
        </w:rPr>
      </w:pPr>
    </w:p>
    <w:p w14:paraId="31871C72" w14:textId="77777777" w:rsidR="0034170C" w:rsidRDefault="0034170C" w:rsidP="0034170C">
      <w:pPr>
        <w:ind w:right="3969"/>
        <w:rPr>
          <w:rFonts w:cstheme="minorHAnsi"/>
        </w:rPr>
      </w:pPr>
    </w:p>
    <w:p w14:paraId="275B0E11" w14:textId="77777777" w:rsidR="0034170C" w:rsidRDefault="0034170C" w:rsidP="0034170C">
      <w:pPr>
        <w:rPr>
          <w:rFonts w:cstheme="minorHAnsi"/>
        </w:rPr>
      </w:pPr>
    </w:p>
    <w:p w14:paraId="6B37750B" w14:textId="77777777" w:rsidR="0034170C" w:rsidRDefault="0034170C" w:rsidP="0034170C">
      <w:pPr>
        <w:rPr>
          <w:rFonts w:cstheme="minorHAnsi"/>
        </w:rPr>
      </w:pPr>
    </w:p>
    <w:p w14:paraId="49922327" w14:textId="77777777" w:rsidR="0034170C" w:rsidRDefault="0034170C" w:rsidP="0034170C">
      <w:pPr>
        <w:rPr>
          <w:rFonts w:cstheme="minorHAnsi"/>
        </w:rPr>
      </w:pPr>
    </w:p>
    <w:p w14:paraId="065B6843" w14:textId="77777777" w:rsidR="0034170C" w:rsidRDefault="0034170C" w:rsidP="0034170C">
      <w:pPr>
        <w:rPr>
          <w:rFonts w:cstheme="minorHAnsi"/>
        </w:rPr>
      </w:pPr>
    </w:p>
    <w:p w14:paraId="7BBB84B0" w14:textId="77777777" w:rsidR="0034170C" w:rsidRDefault="0034170C" w:rsidP="0034170C">
      <w:pPr>
        <w:rPr>
          <w:rFonts w:cstheme="minorHAnsi"/>
        </w:rPr>
      </w:pPr>
    </w:p>
    <w:p w14:paraId="63DE5689" w14:textId="77777777" w:rsidR="0034170C" w:rsidRDefault="0034170C" w:rsidP="0034170C">
      <w:pPr>
        <w:rPr>
          <w:rFonts w:cstheme="minorHAnsi"/>
        </w:rPr>
      </w:pPr>
    </w:p>
    <w:p w14:paraId="63AAB6AF" w14:textId="77777777" w:rsidR="0034170C" w:rsidRDefault="0034170C" w:rsidP="0034170C">
      <w:pPr>
        <w:rPr>
          <w:rFonts w:cstheme="minorHAnsi"/>
        </w:rPr>
      </w:pPr>
    </w:p>
    <w:p w14:paraId="272F4D83" w14:textId="77777777" w:rsidR="0034170C" w:rsidRDefault="0034170C" w:rsidP="0034170C">
      <w:pPr>
        <w:rPr>
          <w:rFonts w:cstheme="minorHAnsi"/>
        </w:rPr>
      </w:pPr>
    </w:p>
    <w:p w14:paraId="5CBD70AE" w14:textId="77777777" w:rsidR="0034170C" w:rsidRDefault="0034170C" w:rsidP="0034170C">
      <w:pPr>
        <w:rPr>
          <w:rFonts w:cstheme="minorHAnsi"/>
        </w:rPr>
      </w:pPr>
    </w:p>
    <w:p w14:paraId="6A98B819" w14:textId="77777777" w:rsidR="0034170C" w:rsidRDefault="0034170C" w:rsidP="0034170C">
      <w:pPr>
        <w:rPr>
          <w:rFonts w:cstheme="minorHAnsi"/>
        </w:rPr>
      </w:pPr>
    </w:p>
    <w:p w14:paraId="7FDB7EB4" w14:textId="77777777" w:rsidR="0034170C" w:rsidRDefault="0034170C" w:rsidP="0034170C">
      <w:pPr>
        <w:rPr>
          <w:rFonts w:cstheme="minorHAnsi"/>
        </w:rPr>
      </w:pPr>
    </w:p>
    <w:p w14:paraId="2298C79D" w14:textId="77777777" w:rsidR="0034170C" w:rsidRDefault="0034170C" w:rsidP="0034170C">
      <w:pPr>
        <w:rPr>
          <w:rFonts w:cstheme="minorHAnsi"/>
        </w:rPr>
      </w:pPr>
    </w:p>
    <w:p w14:paraId="5A2E8E34" w14:textId="77777777" w:rsidR="0034170C" w:rsidRDefault="0034170C" w:rsidP="0034170C">
      <w:pPr>
        <w:rPr>
          <w:rFonts w:cstheme="minorHAnsi"/>
        </w:rPr>
      </w:pPr>
    </w:p>
    <w:p w14:paraId="47123543" w14:textId="77777777" w:rsidR="0034170C" w:rsidRDefault="0034170C" w:rsidP="0034170C">
      <w:pPr>
        <w:rPr>
          <w:rFonts w:cstheme="minorHAnsi"/>
        </w:rPr>
      </w:pPr>
    </w:p>
    <w:p w14:paraId="2092130C" w14:textId="77777777" w:rsidR="0034170C" w:rsidRDefault="0034170C" w:rsidP="0034170C">
      <w:pPr>
        <w:rPr>
          <w:rFonts w:cstheme="minorHAnsi"/>
        </w:rPr>
      </w:pPr>
    </w:p>
    <w:p w14:paraId="1EF186AF" w14:textId="77777777" w:rsidR="0034170C" w:rsidRDefault="0034170C" w:rsidP="0034170C">
      <w:pPr>
        <w:rPr>
          <w:rFonts w:cstheme="minorHAnsi"/>
        </w:rPr>
      </w:pPr>
    </w:p>
    <w:p w14:paraId="32C89A74" w14:textId="77777777" w:rsidR="0034170C" w:rsidRDefault="0034170C" w:rsidP="0034170C">
      <w:pPr>
        <w:rPr>
          <w:rFonts w:cstheme="minorHAnsi"/>
        </w:rPr>
      </w:pPr>
    </w:p>
    <w:p w14:paraId="54DA146E" w14:textId="77777777" w:rsidR="0034170C" w:rsidRDefault="0034170C" w:rsidP="0034170C">
      <w:pPr>
        <w:rPr>
          <w:rFonts w:cstheme="minorHAnsi"/>
        </w:rPr>
      </w:pPr>
    </w:p>
    <w:p w14:paraId="4D4E93F4" w14:textId="77777777" w:rsidR="0034170C" w:rsidRDefault="0034170C" w:rsidP="0034170C">
      <w:pPr>
        <w:rPr>
          <w:rFonts w:cstheme="minorHAnsi"/>
        </w:rPr>
      </w:pPr>
    </w:p>
    <w:p w14:paraId="5A8EE93B" w14:textId="77777777" w:rsidR="0034170C" w:rsidRDefault="0034170C" w:rsidP="0034170C">
      <w:pPr>
        <w:rPr>
          <w:rFonts w:cstheme="minorHAnsi"/>
        </w:rPr>
      </w:pPr>
    </w:p>
    <w:p w14:paraId="3796645C" w14:textId="77777777" w:rsidR="0034170C" w:rsidRDefault="0034170C" w:rsidP="0034170C">
      <w:pPr>
        <w:rPr>
          <w:rFonts w:cstheme="minorHAnsi"/>
        </w:rPr>
      </w:pPr>
    </w:p>
    <w:p w14:paraId="1F94F4CA" w14:textId="77777777" w:rsidR="0034170C" w:rsidRDefault="0034170C" w:rsidP="0034170C">
      <w:pPr>
        <w:rPr>
          <w:rFonts w:cstheme="minorHAnsi"/>
        </w:rPr>
      </w:pPr>
    </w:p>
    <w:p w14:paraId="307FBB48" w14:textId="77777777" w:rsidR="0034170C" w:rsidRDefault="0034170C" w:rsidP="0034170C">
      <w:pPr>
        <w:rPr>
          <w:rFonts w:cstheme="minorHAnsi"/>
        </w:rPr>
      </w:pPr>
    </w:p>
    <w:p w14:paraId="2F408117" w14:textId="77777777" w:rsidR="0034170C" w:rsidRDefault="0034170C" w:rsidP="0034170C">
      <w:pPr>
        <w:rPr>
          <w:rFonts w:cstheme="minorHAnsi"/>
        </w:rPr>
      </w:pPr>
    </w:p>
    <w:p w14:paraId="58A51137" w14:textId="77777777" w:rsidR="0034170C" w:rsidRDefault="0034170C" w:rsidP="0034170C">
      <w:pPr>
        <w:rPr>
          <w:rFonts w:cstheme="minorHAnsi"/>
        </w:rPr>
      </w:pPr>
    </w:p>
    <w:p w14:paraId="4F925E38" w14:textId="77777777" w:rsidR="0034170C" w:rsidRDefault="0034170C" w:rsidP="0034170C">
      <w:pPr>
        <w:rPr>
          <w:rFonts w:cstheme="minorHAnsi"/>
        </w:rPr>
      </w:pPr>
    </w:p>
    <w:p w14:paraId="3D35721F" w14:textId="77777777" w:rsidR="0034170C" w:rsidRDefault="0034170C" w:rsidP="0034170C">
      <w:pPr>
        <w:rPr>
          <w:rFonts w:cstheme="minorHAnsi"/>
        </w:rPr>
      </w:pPr>
    </w:p>
    <w:p w14:paraId="4667D8B1" w14:textId="77777777" w:rsidR="0034170C" w:rsidRDefault="0034170C" w:rsidP="0034170C">
      <w:pPr>
        <w:rPr>
          <w:rFonts w:cstheme="minorHAnsi"/>
        </w:rPr>
      </w:pPr>
    </w:p>
    <w:p w14:paraId="18F0D871" w14:textId="77777777" w:rsidR="0034170C" w:rsidRDefault="0034170C" w:rsidP="0034170C">
      <w:pPr>
        <w:rPr>
          <w:rFonts w:cstheme="minorHAnsi"/>
        </w:rPr>
      </w:pPr>
    </w:p>
    <w:p w14:paraId="6AAC2E3B" w14:textId="77777777" w:rsidR="0034170C" w:rsidRDefault="0034170C" w:rsidP="0034170C">
      <w:pPr>
        <w:rPr>
          <w:rFonts w:cstheme="minorHAnsi"/>
        </w:rPr>
      </w:pPr>
    </w:p>
    <w:p w14:paraId="6A767CB3" w14:textId="77777777" w:rsidR="0034170C" w:rsidRDefault="0034170C" w:rsidP="0034170C">
      <w:pPr>
        <w:jc w:val="center"/>
        <w:rPr>
          <w:rFonts w:cstheme="minorHAnsi"/>
        </w:rPr>
      </w:pPr>
      <w:r w:rsidRPr="00C03ED9">
        <w:rPr>
          <w:rFonts w:cstheme="minorHAnsi"/>
        </w:rPr>
        <w:t>Zachodniopomorski Państwowy Wojewódzki Inspektor Sanitarny</w:t>
      </w:r>
      <w:r>
        <w:rPr>
          <w:rFonts w:cstheme="minorHAnsi"/>
        </w:rPr>
        <w:t xml:space="preserve"> w </w:t>
      </w:r>
      <w:r w:rsidRPr="00C03ED9">
        <w:rPr>
          <w:rFonts w:cstheme="minorHAnsi"/>
        </w:rPr>
        <w:t>Szczecinie</w:t>
      </w:r>
    </w:p>
    <w:p w14:paraId="5E9AD51D" w14:textId="77777777" w:rsidR="0034170C" w:rsidRDefault="0034170C" w:rsidP="0034170C">
      <w:pPr>
        <w:jc w:val="center"/>
        <w:rPr>
          <w:rFonts w:cstheme="minorHAnsi"/>
          <w:i/>
        </w:rPr>
      </w:pPr>
      <w:r w:rsidRPr="00C03ED9">
        <w:rPr>
          <w:rFonts w:cstheme="minorHAnsi"/>
          <w:i/>
        </w:rPr>
        <w:t>dr n. med. Małgorzata Domagała-Dobrzycka</w:t>
      </w:r>
    </w:p>
    <w:p w14:paraId="74EE9D90" w14:textId="77777777" w:rsidR="0034170C" w:rsidRDefault="0034170C" w:rsidP="0034170C">
      <w:pPr>
        <w:rPr>
          <w:rFonts w:cstheme="minorHAnsi"/>
          <w:i/>
        </w:rPr>
      </w:pPr>
    </w:p>
    <w:p w14:paraId="011F89F6" w14:textId="77777777" w:rsidR="0034170C" w:rsidRPr="00C1153B" w:rsidRDefault="0034170C" w:rsidP="0034170C"/>
    <w:p w14:paraId="31FC6488" w14:textId="77777777" w:rsidR="0034170C" w:rsidRDefault="0034170C" w:rsidP="0034170C"/>
    <w:p w14:paraId="58EB5514" w14:textId="77777777" w:rsidR="00983F34" w:rsidRDefault="00983F34" w:rsidP="0034170C"/>
    <w:p w14:paraId="3AA977CB" w14:textId="77777777" w:rsidR="0034170C" w:rsidRDefault="0034170C" w:rsidP="0034170C"/>
    <w:p w14:paraId="1265898B" w14:textId="77777777" w:rsidR="0034170C" w:rsidRDefault="0034170C" w:rsidP="0034170C"/>
    <w:p w14:paraId="5C5A4CBF" w14:textId="77777777" w:rsidR="0034170C" w:rsidRDefault="0034170C" w:rsidP="0034170C"/>
    <w:p w14:paraId="1E697BB5" w14:textId="77777777" w:rsidR="0003454D" w:rsidRPr="00983F34" w:rsidRDefault="0003454D" w:rsidP="0003454D">
      <w:pPr>
        <w:pStyle w:val="Nagwek1"/>
        <w:rPr>
          <w:color w:val="153D63" w:themeColor="text2" w:themeTint="E6"/>
        </w:rPr>
      </w:pPr>
      <w:bookmarkStart w:id="1" w:name="_Toc225859026"/>
      <w:r w:rsidRPr="00983F34">
        <w:rPr>
          <w:color w:val="153D63" w:themeColor="text2" w:themeTint="E6"/>
        </w:rPr>
        <w:lastRenderedPageBreak/>
        <w:t>WSTĘP</w:t>
      </w:r>
      <w:bookmarkEnd w:id="1"/>
    </w:p>
    <w:p w14:paraId="4FBB9410" w14:textId="77777777" w:rsidR="0003454D" w:rsidRPr="00983F34" w:rsidRDefault="0003454D" w:rsidP="0003454D">
      <w:pPr>
        <w:spacing w:after="160" w:line="278" w:lineRule="auto"/>
      </w:pPr>
    </w:p>
    <w:p w14:paraId="6A2C0453" w14:textId="77777777" w:rsidR="0003454D" w:rsidRPr="00983F34" w:rsidRDefault="0003454D" w:rsidP="0003454D">
      <w:pPr>
        <w:spacing w:after="160" w:line="278" w:lineRule="auto"/>
        <w:rPr>
          <w:rFonts w:ascii="Lato" w:eastAsiaTheme="majorEastAsia" w:hAnsi="Lato" w:cstheme="majorBidi"/>
        </w:rPr>
      </w:pPr>
      <w:r w:rsidRPr="00983F34">
        <w:rPr>
          <w:rFonts w:ascii="Lato" w:eastAsiaTheme="majorEastAsia" w:hAnsi="Lato" w:cstheme="majorBidi"/>
        </w:rPr>
        <w:t>Szanowni Państwo,</w:t>
      </w:r>
    </w:p>
    <w:p w14:paraId="35AECE2D" w14:textId="77777777" w:rsidR="0003454D" w:rsidRPr="00983F34" w:rsidRDefault="0003454D" w:rsidP="0003454D">
      <w:pPr>
        <w:spacing w:after="160" w:line="278" w:lineRule="auto"/>
        <w:rPr>
          <w:rFonts w:ascii="Lato" w:eastAsiaTheme="majorEastAsia" w:hAnsi="Lato" w:cstheme="majorBidi"/>
        </w:rPr>
      </w:pPr>
      <w:r w:rsidRPr="00983F34">
        <w:rPr>
          <w:rFonts w:ascii="Lato" w:eastAsiaTheme="majorEastAsia" w:hAnsi="Lato" w:cstheme="majorBidi"/>
        </w:rPr>
        <w:t>rok 2025 był dla nas czasem wytężonej pracy, ciągłego monitorowania zagrożeń epidemiologicznych i środowiskowych dla utrzymania bezpieczeństwa zdrowotnego regionu. Szczególną uwagę poświęciliśmy nadzorowi nad warunkami higieniczno-sanitarnymi w placówkach ochrony zdrowia, zakładach pracy, placówkach oświatowo - wychowawczych i przestrzeni publicznej, a także intensyfikacji działań w zakresie profilaktyki chorób, bezpieczeństwa żywności i edukacji zdrowotnej. W niniejszym opracowaniu pragniemy Państwu przybliżyć stan sanitarny województwa zachodniopomorskiego, prezentując zarówno naszą pracę i wyzwania, z którymi się mierzymy, jak i osiągnięcia w zakresie promocji zdrowia i poprawy jego bezpieczeństwa. Mamy nadzieję, że publikacja ta pozwoli lepiej zrozumieć znaczenie pracy służb sanitarno- epidemiologicznych oraz jej wpływ na codzienne życie mieszkańców Pomorza Zachodniego.</w:t>
      </w:r>
    </w:p>
    <w:p w14:paraId="0E286F04" w14:textId="77777777" w:rsidR="0003454D" w:rsidRPr="00983F34" w:rsidRDefault="0003454D" w:rsidP="0003454D">
      <w:pPr>
        <w:spacing w:after="160" w:line="278" w:lineRule="auto"/>
        <w:rPr>
          <w:rFonts w:ascii="Lato" w:eastAsiaTheme="majorEastAsia" w:hAnsi="Lato" w:cstheme="majorBidi"/>
          <w:color w:val="4C94D8" w:themeColor="text2" w:themeTint="80"/>
        </w:rPr>
      </w:pPr>
    </w:p>
    <w:p w14:paraId="0F3F1E85" w14:textId="5F6EF2DC" w:rsidR="0003454D" w:rsidRDefault="0003454D">
      <w:pPr>
        <w:spacing w:after="160" w:line="278" w:lineRule="auto"/>
      </w:pPr>
      <w:r>
        <w:br w:type="page"/>
      </w:r>
    </w:p>
    <w:p w14:paraId="3E67C654" w14:textId="77777777" w:rsidR="0034170C" w:rsidRDefault="0034170C" w:rsidP="0034170C"/>
    <w:sdt>
      <w:sdtPr>
        <w:rPr>
          <w:rFonts w:ascii="Lato" w:eastAsia="Times New Roman" w:hAnsi="Lato" w:cs="Calibri"/>
          <w:color w:val="auto"/>
          <w:sz w:val="20"/>
          <w:szCs w:val="20"/>
        </w:rPr>
        <w:id w:val="-2073725883"/>
        <w:docPartObj>
          <w:docPartGallery w:val="Table of Contents"/>
          <w:docPartUnique/>
        </w:docPartObj>
      </w:sdtPr>
      <w:sdtEndPr>
        <w:rPr>
          <w:rFonts w:cs="Times New Roman"/>
          <w:bCs/>
        </w:rPr>
      </w:sdtEndPr>
      <w:sdtContent>
        <w:p w14:paraId="0A1D9747" w14:textId="0B874F88" w:rsidR="001342AA" w:rsidRPr="002A494C" w:rsidRDefault="001342AA">
          <w:pPr>
            <w:pStyle w:val="Nagwekspisutreci"/>
            <w:rPr>
              <w:rFonts w:ascii="Lato" w:hAnsi="Lato" w:cs="Calibri"/>
              <w:sz w:val="20"/>
              <w:szCs w:val="20"/>
            </w:rPr>
          </w:pPr>
          <w:r w:rsidRPr="002A494C">
            <w:rPr>
              <w:rFonts w:ascii="Lato" w:hAnsi="Lato" w:cs="Calibri"/>
              <w:sz w:val="20"/>
              <w:szCs w:val="20"/>
            </w:rPr>
            <w:t>Spis treści</w:t>
          </w:r>
        </w:p>
        <w:p w14:paraId="07BF244B" w14:textId="497E7562" w:rsidR="002A494C" w:rsidRPr="002A494C" w:rsidRDefault="001342AA" w:rsidP="004A1952">
          <w:pPr>
            <w:pStyle w:val="Spistreci1"/>
            <w:rPr>
              <w:rFonts w:eastAsiaTheme="minorEastAsia" w:cstheme="minorBidi"/>
              <w:kern w:val="2"/>
              <w14:ligatures w14:val="standardContextual"/>
            </w:rPr>
          </w:pPr>
          <w:r w:rsidRPr="002A494C">
            <w:rPr>
              <w:color w:val="0E2841" w:themeColor="text2"/>
              <w14:textFill>
                <w14:solidFill>
                  <w14:schemeClr w14:val="tx2">
                    <w14:lumMod w14:val="90000"/>
                    <w14:lumOff w14:val="10000"/>
                    <w14:lumMod w14:val="90000"/>
                    <w14:lumOff w14:val="10000"/>
                  </w14:schemeClr>
                </w14:solidFill>
              </w14:textFill>
            </w:rPr>
            <w:fldChar w:fldCharType="begin"/>
          </w:r>
          <w:r w:rsidRPr="002A494C">
            <w:instrText xml:space="preserve"> TOC \o "1-3" \h \z \u </w:instrText>
          </w:r>
          <w:r w:rsidRPr="002A494C">
            <w:rPr>
              <w:color w:val="0E2841" w:themeColor="text2"/>
              <w14:textFill>
                <w14:solidFill>
                  <w14:schemeClr w14:val="tx2">
                    <w14:lumMod w14:val="90000"/>
                    <w14:lumOff w14:val="10000"/>
                    <w14:lumMod w14:val="90000"/>
                    <w14:lumOff w14:val="10000"/>
                  </w14:schemeClr>
                </w14:solidFill>
              </w14:textFill>
            </w:rPr>
            <w:fldChar w:fldCharType="separate"/>
          </w:r>
          <w:hyperlink w:anchor="_Toc225859026" w:history="1">
            <w:r w:rsidR="002A494C" w:rsidRPr="002A494C">
              <w:rPr>
                <w:rStyle w:val="Hipercze"/>
                <w:color w:val="0E2841" w:themeColor="text2"/>
                <w14:textFill>
                  <w14:solidFill>
                    <w14:schemeClr w14:val="tx2">
                      <w14:lumMod w14:val="90000"/>
                      <w14:lumOff w14:val="10000"/>
                      <w14:lumMod w14:val="90000"/>
                      <w14:lumOff w14:val="10000"/>
                    </w14:schemeClr>
                  </w14:solidFill>
                </w14:textFill>
              </w:rPr>
              <w:t>WSTĘP</w:t>
            </w:r>
            <w:r w:rsidR="002A494C" w:rsidRPr="002A494C">
              <w:rPr>
                <w:webHidden/>
              </w:rPr>
              <w:tab/>
            </w:r>
            <w:r w:rsidR="002A494C" w:rsidRPr="002A494C">
              <w:rPr>
                <w:webHidden/>
              </w:rPr>
              <w:fldChar w:fldCharType="begin"/>
            </w:r>
            <w:r w:rsidR="002A494C" w:rsidRPr="002A494C">
              <w:rPr>
                <w:webHidden/>
              </w:rPr>
              <w:instrText xml:space="preserve"> PAGEREF _Toc225859026 \h </w:instrText>
            </w:r>
            <w:r w:rsidR="002A494C" w:rsidRPr="002A494C">
              <w:rPr>
                <w:webHidden/>
              </w:rPr>
            </w:r>
            <w:r w:rsidR="002A494C" w:rsidRPr="002A494C">
              <w:rPr>
                <w:webHidden/>
              </w:rPr>
              <w:fldChar w:fldCharType="separate"/>
            </w:r>
            <w:r w:rsidR="00E53DE8">
              <w:rPr>
                <w:webHidden/>
              </w:rPr>
              <w:t>3</w:t>
            </w:r>
            <w:r w:rsidR="002A494C" w:rsidRPr="002A494C">
              <w:rPr>
                <w:webHidden/>
              </w:rPr>
              <w:fldChar w:fldCharType="end"/>
            </w:r>
          </w:hyperlink>
        </w:p>
        <w:p w14:paraId="4ADFF609" w14:textId="7E63C806" w:rsidR="002A494C" w:rsidRPr="002A494C" w:rsidRDefault="002A494C" w:rsidP="004A1952">
          <w:pPr>
            <w:pStyle w:val="Spistreci1"/>
            <w:rPr>
              <w:rFonts w:eastAsiaTheme="minorEastAsia" w:cstheme="minorBidi"/>
              <w:kern w:val="2"/>
              <w:sz w:val="20"/>
              <w:szCs w:val="20"/>
              <w14:ligatures w14:val="standardContextual"/>
            </w:rPr>
          </w:pPr>
          <w:hyperlink w:anchor="_Toc225859027" w:history="1">
            <w:r w:rsidRPr="002A494C">
              <w:rPr>
                <w:rStyle w:val="Hipercze"/>
                <w:color w:val="0E2841" w:themeColor="text2"/>
                <w14:textFill>
                  <w14:solidFill>
                    <w14:schemeClr w14:val="tx2">
                      <w14:lumMod w14:val="90000"/>
                      <w14:lumOff w14:val="10000"/>
                      <w14:lumMod w14:val="90000"/>
                      <w14:lumOff w14:val="10000"/>
                    </w14:schemeClr>
                  </w14:solidFill>
                </w14:textFill>
              </w:rPr>
              <w:t>I. Zapobieganie oraz zwalczanie zakażeń i chorób zakaźnych u ludzi</w:t>
            </w:r>
            <w:r w:rsidRPr="002A494C">
              <w:rPr>
                <w:webHidden/>
              </w:rPr>
              <w:tab/>
            </w:r>
            <w:r w:rsidRPr="002A494C">
              <w:rPr>
                <w:webHidden/>
              </w:rPr>
              <w:fldChar w:fldCharType="begin"/>
            </w:r>
            <w:r w:rsidRPr="002A494C">
              <w:rPr>
                <w:webHidden/>
              </w:rPr>
              <w:instrText xml:space="preserve"> PAGEREF _Toc225859027 \h </w:instrText>
            </w:r>
            <w:r w:rsidRPr="002A494C">
              <w:rPr>
                <w:webHidden/>
              </w:rPr>
            </w:r>
            <w:r w:rsidRPr="002A494C">
              <w:rPr>
                <w:webHidden/>
              </w:rPr>
              <w:fldChar w:fldCharType="separate"/>
            </w:r>
            <w:r w:rsidR="00E53DE8">
              <w:rPr>
                <w:webHidden/>
              </w:rPr>
              <w:t>8</w:t>
            </w:r>
            <w:r w:rsidRPr="002A494C">
              <w:rPr>
                <w:webHidden/>
              </w:rPr>
              <w:fldChar w:fldCharType="end"/>
            </w:r>
          </w:hyperlink>
        </w:p>
        <w:p w14:paraId="0CEE983B" w14:textId="5F885B6A"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28" w:history="1">
            <w:r w:rsidRPr="002A494C">
              <w:rPr>
                <w:rStyle w:val="Hipercze"/>
                <w:rFonts w:ascii="Lato" w:hAnsi="Lato" w:cstheme="minorHAnsi"/>
                <w:bCs/>
                <w:noProof/>
                <w:sz w:val="20"/>
                <w:szCs w:val="20"/>
              </w:rPr>
              <w:t>1. Sytuacja epidemiologiczna wybranych chorób zakaźnych</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_Toc225859028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8</w:t>
            </w:r>
            <w:r w:rsidRPr="002A494C">
              <w:rPr>
                <w:rFonts w:ascii="Lato" w:hAnsi="Lato"/>
                <w:noProof/>
                <w:webHidden/>
                <w:sz w:val="20"/>
                <w:szCs w:val="20"/>
              </w:rPr>
              <w:fldChar w:fldCharType="end"/>
            </w:r>
          </w:hyperlink>
        </w:p>
        <w:p w14:paraId="3852C48F" w14:textId="54D1D238"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29" w:history="1">
            <w:r w:rsidRPr="002A494C">
              <w:rPr>
                <w:rStyle w:val="Hipercze"/>
                <w:rFonts w:ascii="Lato" w:hAnsi="Lato"/>
                <w:noProof/>
                <w:sz w:val="20"/>
                <w:szCs w:val="20"/>
              </w:rPr>
              <w:t>1.1. Zatrucia i zakażenia pokarmowe</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_Toc225859029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8</w:t>
            </w:r>
            <w:r w:rsidRPr="002A494C">
              <w:rPr>
                <w:rFonts w:ascii="Lato" w:hAnsi="Lato"/>
                <w:noProof/>
                <w:webHidden/>
                <w:sz w:val="20"/>
                <w:szCs w:val="20"/>
              </w:rPr>
              <w:fldChar w:fldCharType="end"/>
            </w:r>
          </w:hyperlink>
        </w:p>
        <w:p w14:paraId="5A4B7378" w14:textId="278739AE"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30" w:history="1">
            <w:r w:rsidRPr="002A494C">
              <w:rPr>
                <w:rStyle w:val="Hipercze"/>
                <w:rFonts w:ascii="Lato" w:hAnsi="Lato"/>
                <w:noProof/>
                <w:sz w:val="20"/>
                <w:szCs w:val="20"/>
              </w:rPr>
              <w:t>1.2. Wirusowe zapalenia wątroby</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_Toc225859030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10</w:t>
            </w:r>
            <w:r w:rsidRPr="002A494C">
              <w:rPr>
                <w:rFonts w:ascii="Lato" w:hAnsi="Lato"/>
                <w:noProof/>
                <w:webHidden/>
                <w:sz w:val="20"/>
                <w:szCs w:val="20"/>
              </w:rPr>
              <w:fldChar w:fldCharType="end"/>
            </w:r>
          </w:hyperlink>
        </w:p>
        <w:p w14:paraId="1B99B46A" w14:textId="07A86557"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31" w:history="1">
            <w:r w:rsidRPr="002A494C">
              <w:rPr>
                <w:rStyle w:val="Hipercze"/>
                <w:rFonts w:ascii="Lato" w:hAnsi="Lato"/>
                <w:noProof/>
                <w:sz w:val="20"/>
                <w:szCs w:val="20"/>
              </w:rPr>
              <w:t>1.3. Wybrane choroby infekcyjne układu oddechowego: Covid-19, grypa i RSV</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_Toc225859031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12</w:t>
            </w:r>
            <w:r w:rsidRPr="002A494C">
              <w:rPr>
                <w:rFonts w:ascii="Lato" w:hAnsi="Lato"/>
                <w:noProof/>
                <w:webHidden/>
                <w:sz w:val="20"/>
                <w:szCs w:val="20"/>
              </w:rPr>
              <w:fldChar w:fldCharType="end"/>
            </w:r>
          </w:hyperlink>
        </w:p>
        <w:p w14:paraId="72AAF69C" w14:textId="27591CC7"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32" w:history="1">
            <w:r w:rsidRPr="002A494C">
              <w:rPr>
                <w:rStyle w:val="Hipercze"/>
                <w:rFonts w:ascii="Lato" w:hAnsi="Lato"/>
                <w:noProof/>
                <w:sz w:val="20"/>
                <w:szCs w:val="20"/>
              </w:rPr>
              <w:t>1.4. Choroby wieku dziecięcego</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_Toc225859032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15</w:t>
            </w:r>
            <w:r w:rsidRPr="002A494C">
              <w:rPr>
                <w:rFonts w:ascii="Lato" w:hAnsi="Lato"/>
                <w:noProof/>
                <w:webHidden/>
                <w:sz w:val="20"/>
                <w:szCs w:val="20"/>
              </w:rPr>
              <w:fldChar w:fldCharType="end"/>
            </w:r>
          </w:hyperlink>
        </w:p>
        <w:p w14:paraId="23C3B00A" w14:textId="42F56646"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33" w:history="1">
            <w:r w:rsidRPr="002A494C">
              <w:rPr>
                <w:rStyle w:val="Hipercze"/>
                <w:rFonts w:ascii="Lato" w:hAnsi="Lato"/>
                <w:noProof/>
                <w:sz w:val="20"/>
                <w:szCs w:val="20"/>
              </w:rPr>
              <w:t>1.5. Zapalenie opon mózgowo-rdzeniowych i mózgu</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_Toc225859033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17</w:t>
            </w:r>
            <w:r w:rsidRPr="002A494C">
              <w:rPr>
                <w:rFonts w:ascii="Lato" w:hAnsi="Lato"/>
                <w:noProof/>
                <w:webHidden/>
                <w:sz w:val="20"/>
                <w:szCs w:val="20"/>
              </w:rPr>
              <w:fldChar w:fldCharType="end"/>
            </w:r>
          </w:hyperlink>
        </w:p>
        <w:p w14:paraId="254542BB" w14:textId="1A1513C6"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34" w:history="1">
            <w:r w:rsidRPr="002A494C">
              <w:rPr>
                <w:rStyle w:val="Hipercze"/>
                <w:rFonts w:ascii="Lato" w:hAnsi="Lato"/>
                <w:noProof/>
                <w:sz w:val="20"/>
                <w:szCs w:val="20"/>
              </w:rPr>
              <w:t>1.6. Inwazyjna choroba meningokokowa</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_Toc225859034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18</w:t>
            </w:r>
            <w:r w:rsidRPr="002A494C">
              <w:rPr>
                <w:rFonts w:ascii="Lato" w:hAnsi="Lato"/>
                <w:noProof/>
                <w:webHidden/>
                <w:sz w:val="20"/>
                <w:szCs w:val="20"/>
              </w:rPr>
              <w:fldChar w:fldCharType="end"/>
            </w:r>
          </w:hyperlink>
        </w:p>
        <w:p w14:paraId="6D1DC444" w14:textId="2A0A2315"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35" w:history="1">
            <w:r w:rsidRPr="002A494C">
              <w:rPr>
                <w:rStyle w:val="Hipercze"/>
                <w:rFonts w:ascii="Lato" w:hAnsi="Lato"/>
                <w:noProof/>
                <w:sz w:val="20"/>
                <w:szCs w:val="20"/>
              </w:rPr>
              <w:t>1.7. Borelioza z Lyme</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_Toc225859035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20</w:t>
            </w:r>
            <w:r w:rsidRPr="002A494C">
              <w:rPr>
                <w:rFonts w:ascii="Lato" w:hAnsi="Lato"/>
                <w:noProof/>
                <w:webHidden/>
                <w:sz w:val="20"/>
                <w:szCs w:val="20"/>
              </w:rPr>
              <w:fldChar w:fldCharType="end"/>
            </w:r>
          </w:hyperlink>
        </w:p>
        <w:p w14:paraId="29FF57B8" w14:textId="0D9EF872"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36" w:history="1">
            <w:r w:rsidRPr="002A494C">
              <w:rPr>
                <w:rStyle w:val="Hipercze"/>
                <w:rFonts w:ascii="Lato" w:hAnsi="Lato"/>
                <w:noProof/>
                <w:sz w:val="20"/>
                <w:szCs w:val="20"/>
              </w:rPr>
              <w:t>1.8. Wścieklizna</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_Toc225859036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20</w:t>
            </w:r>
            <w:r w:rsidRPr="002A494C">
              <w:rPr>
                <w:rFonts w:ascii="Lato" w:hAnsi="Lato"/>
                <w:noProof/>
                <w:webHidden/>
                <w:sz w:val="20"/>
                <w:szCs w:val="20"/>
              </w:rPr>
              <w:fldChar w:fldCharType="end"/>
            </w:r>
          </w:hyperlink>
        </w:p>
        <w:p w14:paraId="43D500CA" w14:textId="25709ADC"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37" w:history="1">
            <w:r w:rsidRPr="002A494C">
              <w:rPr>
                <w:rStyle w:val="Hipercze"/>
                <w:rFonts w:ascii="Lato" w:hAnsi="Lato"/>
                <w:noProof/>
                <w:sz w:val="20"/>
                <w:szCs w:val="20"/>
              </w:rPr>
              <w:t>1.9. Choroby przenoszone drogą płciową</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_Toc225859037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21</w:t>
            </w:r>
            <w:r w:rsidRPr="002A494C">
              <w:rPr>
                <w:rFonts w:ascii="Lato" w:hAnsi="Lato"/>
                <w:noProof/>
                <w:webHidden/>
                <w:sz w:val="20"/>
                <w:szCs w:val="20"/>
              </w:rPr>
              <w:fldChar w:fldCharType="end"/>
            </w:r>
          </w:hyperlink>
        </w:p>
        <w:p w14:paraId="5D8C2224" w14:textId="0BA6235A"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38" w:history="1">
            <w:r w:rsidRPr="002A494C">
              <w:rPr>
                <w:rStyle w:val="Hipercze"/>
                <w:rFonts w:ascii="Lato" w:hAnsi="Lato"/>
                <w:noProof/>
                <w:sz w:val="20"/>
                <w:szCs w:val="20"/>
              </w:rPr>
              <w:t>1.10. Gruźlica</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_Toc225859038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22</w:t>
            </w:r>
            <w:r w:rsidRPr="002A494C">
              <w:rPr>
                <w:rFonts w:ascii="Lato" w:hAnsi="Lato"/>
                <w:noProof/>
                <w:webHidden/>
                <w:sz w:val="20"/>
                <w:szCs w:val="20"/>
              </w:rPr>
              <w:fldChar w:fldCharType="end"/>
            </w:r>
          </w:hyperlink>
        </w:p>
        <w:p w14:paraId="6406BA55" w14:textId="490F2680"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39" w:history="1">
            <w:r w:rsidRPr="002A494C">
              <w:rPr>
                <w:rStyle w:val="Hipercze"/>
                <w:rFonts w:ascii="Lato" w:hAnsi="Lato"/>
                <w:noProof/>
                <w:sz w:val="20"/>
                <w:szCs w:val="20"/>
              </w:rPr>
              <w:t>1.11. Zakażenie wirusem HIV, choroba AIDS</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_Toc225859039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23</w:t>
            </w:r>
            <w:r w:rsidRPr="002A494C">
              <w:rPr>
                <w:rFonts w:ascii="Lato" w:hAnsi="Lato"/>
                <w:noProof/>
                <w:webHidden/>
                <w:sz w:val="20"/>
                <w:szCs w:val="20"/>
              </w:rPr>
              <w:fldChar w:fldCharType="end"/>
            </w:r>
          </w:hyperlink>
        </w:p>
        <w:p w14:paraId="7127475C" w14:textId="14F88F10"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40" w:history="1">
            <w:r w:rsidRPr="002A494C">
              <w:rPr>
                <w:rStyle w:val="Hipercze"/>
                <w:rFonts w:ascii="Lato" w:hAnsi="Lato"/>
                <w:noProof/>
                <w:sz w:val="20"/>
                <w:szCs w:val="20"/>
              </w:rPr>
              <w:t>1.12. Tularemia</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_Toc225859040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24</w:t>
            </w:r>
            <w:r w:rsidRPr="002A494C">
              <w:rPr>
                <w:rFonts w:ascii="Lato" w:hAnsi="Lato"/>
                <w:noProof/>
                <w:webHidden/>
                <w:sz w:val="20"/>
                <w:szCs w:val="20"/>
              </w:rPr>
              <w:fldChar w:fldCharType="end"/>
            </w:r>
          </w:hyperlink>
        </w:p>
        <w:p w14:paraId="0AE997A0" w14:textId="02C7C916"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41" w:history="1">
            <w:r w:rsidRPr="002A494C">
              <w:rPr>
                <w:rStyle w:val="Hipercze"/>
                <w:rFonts w:ascii="Lato" w:hAnsi="Lato"/>
                <w:noProof/>
                <w:sz w:val="20"/>
                <w:szCs w:val="20"/>
              </w:rPr>
              <w:t>1.13. Legioneloza</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_Toc225859041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24</w:t>
            </w:r>
            <w:r w:rsidRPr="002A494C">
              <w:rPr>
                <w:rFonts w:ascii="Lato" w:hAnsi="Lato"/>
                <w:noProof/>
                <w:webHidden/>
                <w:sz w:val="20"/>
                <w:szCs w:val="20"/>
              </w:rPr>
              <w:fldChar w:fldCharType="end"/>
            </w:r>
          </w:hyperlink>
        </w:p>
        <w:p w14:paraId="3E6A8AB3" w14:textId="311437C6"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42" w:history="1">
            <w:r w:rsidRPr="002A494C">
              <w:rPr>
                <w:rStyle w:val="Hipercze"/>
                <w:rFonts w:ascii="Lato" w:hAnsi="Lato"/>
                <w:noProof/>
                <w:sz w:val="20"/>
                <w:szCs w:val="20"/>
              </w:rPr>
              <w:t>1.14. Podsumowanie</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_Toc225859042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25</w:t>
            </w:r>
            <w:r w:rsidRPr="002A494C">
              <w:rPr>
                <w:rFonts w:ascii="Lato" w:hAnsi="Lato"/>
                <w:noProof/>
                <w:webHidden/>
                <w:sz w:val="20"/>
                <w:szCs w:val="20"/>
              </w:rPr>
              <w:fldChar w:fldCharType="end"/>
            </w:r>
          </w:hyperlink>
        </w:p>
        <w:p w14:paraId="1857CA00" w14:textId="6244F30F"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43" w:history="1">
            <w:r w:rsidRPr="002A494C">
              <w:rPr>
                <w:rStyle w:val="Hipercze"/>
                <w:rFonts w:ascii="Lato" w:hAnsi="Lato"/>
                <w:bCs/>
                <w:noProof/>
                <w:sz w:val="20"/>
                <w:szCs w:val="20"/>
              </w:rPr>
              <w:t>2. Szczepienia ochronne</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_Toc225859043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27</w:t>
            </w:r>
            <w:r w:rsidRPr="002A494C">
              <w:rPr>
                <w:rFonts w:ascii="Lato" w:hAnsi="Lato"/>
                <w:noProof/>
                <w:webHidden/>
                <w:sz w:val="20"/>
                <w:szCs w:val="20"/>
              </w:rPr>
              <w:fldChar w:fldCharType="end"/>
            </w:r>
          </w:hyperlink>
        </w:p>
        <w:p w14:paraId="7AED14B9" w14:textId="4E709C16"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44" w:history="1">
            <w:r w:rsidRPr="002A494C">
              <w:rPr>
                <w:rStyle w:val="Hipercze"/>
                <w:rFonts w:ascii="Lato" w:hAnsi="Lato"/>
                <w:noProof/>
                <w:sz w:val="20"/>
                <w:szCs w:val="20"/>
              </w:rPr>
              <w:t>2.1. Realizacja programu szczepień ochronnych (PSO)</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_Toc225859044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27</w:t>
            </w:r>
            <w:r w:rsidRPr="002A494C">
              <w:rPr>
                <w:rFonts w:ascii="Lato" w:hAnsi="Lato"/>
                <w:noProof/>
                <w:webHidden/>
                <w:sz w:val="20"/>
                <w:szCs w:val="20"/>
              </w:rPr>
              <w:fldChar w:fldCharType="end"/>
            </w:r>
          </w:hyperlink>
        </w:p>
        <w:p w14:paraId="7440FC48" w14:textId="35949FB6"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45" w:history="1">
            <w:r w:rsidRPr="002A494C">
              <w:rPr>
                <w:rStyle w:val="Hipercze"/>
                <w:rFonts w:ascii="Lato" w:hAnsi="Lato" w:cs="Calibri"/>
                <w:noProof/>
                <w:sz w:val="20"/>
                <w:szCs w:val="20"/>
              </w:rPr>
              <w:t>2.2.</w:t>
            </w:r>
            <w:r w:rsidRPr="002A494C">
              <w:rPr>
                <w:rStyle w:val="Hipercze"/>
                <w:rFonts w:ascii="Lato" w:hAnsi="Lato"/>
                <w:noProof/>
                <w:sz w:val="20"/>
                <w:szCs w:val="20"/>
              </w:rPr>
              <w:t xml:space="preserve"> Niepożądane odczyny poszczepienne (NOP)</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_Toc225859045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31</w:t>
            </w:r>
            <w:r w:rsidRPr="002A494C">
              <w:rPr>
                <w:rFonts w:ascii="Lato" w:hAnsi="Lato"/>
                <w:noProof/>
                <w:webHidden/>
                <w:sz w:val="20"/>
                <w:szCs w:val="20"/>
              </w:rPr>
              <w:fldChar w:fldCharType="end"/>
            </w:r>
          </w:hyperlink>
        </w:p>
        <w:p w14:paraId="7C1B58C1" w14:textId="1F0B2506"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46" w:history="1">
            <w:r w:rsidRPr="002A494C">
              <w:rPr>
                <w:rStyle w:val="Hipercze"/>
                <w:rFonts w:ascii="Lato" w:hAnsi="Lato"/>
                <w:noProof/>
                <w:sz w:val="20"/>
                <w:szCs w:val="20"/>
              </w:rPr>
              <w:t>2.3. Podsumowanie</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_Toc225859046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31</w:t>
            </w:r>
            <w:r w:rsidRPr="002A494C">
              <w:rPr>
                <w:rFonts w:ascii="Lato" w:hAnsi="Lato"/>
                <w:noProof/>
                <w:webHidden/>
                <w:sz w:val="20"/>
                <w:szCs w:val="20"/>
              </w:rPr>
              <w:fldChar w:fldCharType="end"/>
            </w:r>
          </w:hyperlink>
        </w:p>
        <w:p w14:paraId="4028D508" w14:textId="5D032E81"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47" w:history="1">
            <w:r w:rsidRPr="002A494C">
              <w:rPr>
                <w:rStyle w:val="Hipercze"/>
                <w:rFonts w:ascii="Lato" w:hAnsi="Lato"/>
                <w:bCs/>
                <w:noProof/>
                <w:sz w:val="20"/>
                <w:szCs w:val="20"/>
              </w:rPr>
              <w:t>3. Sytuacja epidemiologiczna w szpitalach</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_Toc225859047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31</w:t>
            </w:r>
            <w:r w:rsidRPr="002A494C">
              <w:rPr>
                <w:rFonts w:ascii="Lato" w:hAnsi="Lato"/>
                <w:noProof/>
                <w:webHidden/>
                <w:sz w:val="20"/>
                <w:szCs w:val="20"/>
              </w:rPr>
              <w:fldChar w:fldCharType="end"/>
            </w:r>
          </w:hyperlink>
        </w:p>
        <w:p w14:paraId="7981638D" w14:textId="4379E109"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48" w:history="1">
            <w:r w:rsidRPr="002A494C">
              <w:rPr>
                <w:rStyle w:val="Hipercze"/>
                <w:rFonts w:ascii="Lato" w:hAnsi="Lato"/>
                <w:noProof/>
                <w:sz w:val="20"/>
                <w:szCs w:val="20"/>
              </w:rPr>
              <w:t>3.1. Zakażenia szpitalne i działalność zespołów kontroli zakażeń szpitalnych</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_Toc225859048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31</w:t>
            </w:r>
            <w:r w:rsidRPr="002A494C">
              <w:rPr>
                <w:rFonts w:ascii="Lato" w:hAnsi="Lato"/>
                <w:noProof/>
                <w:webHidden/>
                <w:sz w:val="20"/>
                <w:szCs w:val="20"/>
              </w:rPr>
              <w:fldChar w:fldCharType="end"/>
            </w:r>
          </w:hyperlink>
        </w:p>
        <w:p w14:paraId="73D51BA5" w14:textId="2F62BCC2"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49" w:history="1">
            <w:r w:rsidRPr="002A494C">
              <w:rPr>
                <w:rStyle w:val="Hipercze"/>
                <w:rFonts w:ascii="Lato" w:hAnsi="Lato"/>
                <w:noProof/>
                <w:sz w:val="20"/>
                <w:szCs w:val="20"/>
              </w:rPr>
              <w:t>3.2. Nadzór nad czynnikami alarmowymi w podmiotach leczniczych</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_Toc225859049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32</w:t>
            </w:r>
            <w:r w:rsidRPr="002A494C">
              <w:rPr>
                <w:rFonts w:ascii="Lato" w:hAnsi="Lato"/>
                <w:noProof/>
                <w:webHidden/>
                <w:sz w:val="20"/>
                <w:szCs w:val="20"/>
              </w:rPr>
              <w:fldChar w:fldCharType="end"/>
            </w:r>
          </w:hyperlink>
        </w:p>
        <w:p w14:paraId="519279DC" w14:textId="5D906A57"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50" w:history="1">
            <w:r w:rsidRPr="002A494C">
              <w:rPr>
                <w:rStyle w:val="Hipercze"/>
                <w:rFonts w:ascii="Lato" w:hAnsi="Lato"/>
                <w:noProof/>
                <w:sz w:val="20"/>
                <w:szCs w:val="20"/>
              </w:rPr>
              <w:t>3.3. Podsumowanie</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_Toc225859050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33</w:t>
            </w:r>
            <w:r w:rsidRPr="002A494C">
              <w:rPr>
                <w:rFonts w:ascii="Lato" w:hAnsi="Lato"/>
                <w:noProof/>
                <w:webHidden/>
                <w:sz w:val="20"/>
                <w:szCs w:val="20"/>
              </w:rPr>
              <w:fldChar w:fldCharType="end"/>
            </w:r>
          </w:hyperlink>
        </w:p>
        <w:p w14:paraId="7B59BC91" w14:textId="6EC6D254" w:rsidR="002A494C" w:rsidRPr="002A494C" w:rsidRDefault="002A494C" w:rsidP="004A1952">
          <w:pPr>
            <w:pStyle w:val="Spistreci1"/>
            <w:rPr>
              <w:rFonts w:eastAsiaTheme="minorEastAsia" w:cstheme="minorBidi"/>
              <w:kern w:val="2"/>
              <w14:ligatures w14:val="standardContextual"/>
            </w:rPr>
          </w:pPr>
          <w:hyperlink w:anchor="_Toc225859051" w:history="1">
            <w:r w:rsidRPr="002A494C">
              <w:rPr>
                <w:rStyle w:val="Hipercze"/>
                <w:color w:val="0E2841" w:themeColor="text2"/>
                <w14:textFill>
                  <w14:solidFill>
                    <w14:schemeClr w14:val="tx2">
                      <w14:lumMod w14:val="90000"/>
                      <w14:lumOff w14:val="10000"/>
                      <w14:lumMod w14:val="90000"/>
                      <w14:lumOff w14:val="10000"/>
                    </w14:schemeClr>
                  </w14:solidFill>
                </w14:textFill>
              </w:rPr>
              <w:t>II. Stan sanitarny podmiotów działalności leczniczej</w:t>
            </w:r>
            <w:r w:rsidRPr="002A494C">
              <w:rPr>
                <w:webHidden/>
              </w:rPr>
              <w:tab/>
            </w:r>
            <w:r w:rsidRPr="002A494C">
              <w:rPr>
                <w:webHidden/>
              </w:rPr>
              <w:fldChar w:fldCharType="begin"/>
            </w:r>
            <w:r w:rsidRPr="002A494C">
              <w:rPr>
                <w:webHidden/>
              </w:rPr>
              <w:instrText xml:space="preserve"> PAGEREF _Toc225859051 \h </w:instrText>
            </w:r>
            <w:r w:rsidRPr="002A494C">
              <w:rPr>
                <w:webHidden/>
              </w:rPr>
            </w:r>
            <w:r w:rsidRPr="002A494C">
              <w:rPr>
                <w:webHidden/>
              </w:rPr>
              <w:fldChar w:fldCharType="separate"/>
            </w:r>
            <w:r w:rsidR="00E53DE8">
              <w:rPr>
                <w:webHidden/>
              </w:rPr>
              <w:t>35</w:t>
            </w:r>
            <w:r w:rsidRPr="002A494C">
              <w:rPr>
                <w:webHidden/>
              </w:rPr>
              <w:fldChar w:fldCharType="end"/>
            </w:r>
          </w:hyperlink>
        </w:p>
        <w:p w14:paraId="3CA40A1A" w14:textId="2FEACC86"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52" w:history="1">
            <w:r w:rsidRPr="002A494C">
              <w:rPr>
                <w:rStyle w:val="Hipercze"/>
                <w:rFonts w:ascii="Lato" w:hAnsi="Lato"/>
                <w:bCs/>
                <w:noProof/>
                <w:sz w:val="20"/>
                <w:szCs w:val="20"/>
              </w:rPr>
              <w:t>1. Szpitale</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_Toc225859052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36</w:t>
            </w:r>
            <w:r w:rsidRPr="002A494C">
              <w:rPr>
                <w:rFonts w:ascii="Lato" w:hAnsi="Lato"/>
                <w:noProof/>
                <w:webHidden/>
                <w:sz w:val="20"/>
                <w:szCs w:val="20"/>
              </w:rPr>
              <w:fldChar w:fldCharType="end"/>
            </w:r>
          </w:hyperlink>
        </w:p>
        <w:p w14:paraId="7C2451FF" w14:textId="1A9A32DB"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53" w:history="1">
            <w:r w:rsidRPr="002A494C">
              <w:rPr>
                <w:rStyle w:val="Hipercze"/>
                <w:rFonts w:ascii="Lato" w:hAnsi="Lato"/>
                <w:noProof/>
                <w:sz w:val="20"/>
                <w:szCs w:val="20"/>
              </w:rPr>
              <w:t>1.1. Infrastruktura obiektów, ich stan techniczny i funkcjonalność</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_Toc225859053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36</w:t>
            </w:r>
            <w:r w:rsidRPr="002A494C">
              <w:rPr>
                <w:rFonts w:ascii="Lato" w:hAnsi="Lato"/>
                <w:noProof/>
                <w:webHidden/>
                <w:sz w:val="20"/>
                <w:szCs w:val="20"/>
              </w:rPr>
              <w:fldChar w:fldCharType="end"/>
            </w:r>
          </w:hyperlink>
        </w:p>
        <w:p w14:paraId="186A9994" w14:textId="6ADA28C6"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54" w:history="1">
            <w:r w:rsidRPr="002A494C">
              <w:rPr>
                <w:rStyle w:val="Hipercze"/>
                <w:rFonts w:ascii="Lato" w:hAnsi="Lato"/>
                <w:noProof/>
                <w:sz w:val="20"/>
                <w:szCs w:val="20"/>
              </w:rPr>
              <w:t>1.2. Zaopatrzenie szpitali w wodę</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_Toc225859054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38</w:t>
            </w:r>
            <w:r w:rsidRPr="002A494C">
              <w:rPr>
                <w:rFonts w:ascii="Lato" w:hAnsi="Lato"/>
                <w:noProof/>
                <w:webHidden/>
                <w:sz w:val="20"/>
                <w:szCs w:val="20"/>
              </w:rPr>
              <w:fldChar w:fldCharType="end"/>
            </w:r>
          </w:hyperlink>
        </w:p>
        <w:p w14:paraId="4C9272A5" w14:textId="1BBBCA57" w:rsidR="002A494C" w:rsidRPr="001A5FD0" w:rsidRDefault="002A494C" w:rsidP="004A1952">
          <w:pPr>
            <w:pStyle w:val="Spistreci1"/>
            <w:rPr>
              <w:rFonts w:eastAsiaTheme="minorEastAsia" w:cstheme="minorBidi"/>
              <w:color w:val="auto"/>
              <w:kern w:val="2"/>
              <w:sz w:val="20"/>
              <w:szCs w:val="20"/>
              <w14:ligatures w14:val="standardContextual"/>
            </w:rPr>
          </w:pPr>
          <w:hyperlink w:anchor="_Toc225859055" w:history="1">
            <w:r w:rsidRPr="001A5FD0">
              <w:rPr>
                <w:rStyle w:val="Hipercze"/>
                <w:color w:val="auto"/>
                <w:sz w:val="20"/>
                <w:szCs w:val="20"/>
              </w:rPr>
              <w:t>1.3.</w:t>
            </w:r>
            <w:r w:rsidRPr="001A5FD0">
              <w:rPr>
                <w:rStyle w:val="Hipercze"/>
                <w:rFonts w:eastAsiaTheme="majorEastAsia" w:cstheme="majorBidi"/>
                <w:color w:val="auto"/>
                <w:sz w:val="20"/>
                <w:szCs w:val="20"/>
              </w:rPr>
              <w:t xml:space="preserve"> Bloki żywieniowe</w:t>
            </w:r>
            <w:r w:rsidRPr="001A5FD0">
              <w:rPr>
                <w:webHidden/>
                <w:color w:val="auto"/>
                <w:sz w:val="20"/>
                <w:szCs w:val="20"/>
              </w:rPr>
              <w:tab/>
            </w:r>
            <w:r w:rsidRPr="001A5FD0">
              <w:rPr>
                <w:webHidden/>
                <w:color w:val="auto"/>
                <w:sz w:val="20"/>
                <w:szCs w:val="20"/>
              </w:rPr>
              <w:fldChar w:fldCharType="begin"/>
            </w:r>
            <w:r w:rsidRPr="001A5FD0">
              <w:rPr>
                <w:webHidden/>
                <w:color w:val="auto"/>
                <w:sz w:val="20"/>
                <w:szCs w:val="20"/>
              </w:rPr>
              <w:instrText xml:space="preserve"> PAGEREF _Toc225859055 \h </w:instrText>
            </w:r>
            <w:r w:rsidRPr="001A5FD0">
              <w:rPr>
                <w:webHidden/>
                <w:color w:val="auto"/>
                <w:sz w:val="20"/>
                <w:szCs w:val="20"/>
              </w:rPr>
            </w:r>
            <w:r w:rsidRPr="001A5FD0">
              <w:rPr>
                <w:webHidden/>
                <w:color w:val="auto"/>
                <w:sz w:val="20"/>
                <w:szCs w:val="20"/>
              </w:rPr>
              <w:fldChar w:fldCharType="separate"/>
            </w:r>
            <w:r w:rsidR="00E53DE8">
              <w:rPr>
                <w:webHidden/>
                <w:color w:val="auto"/>
                <w:sz w:val="20"/>
                <w:szCs w:val="20"/>
              </w:rPr>
              <w:t>38</w:t>
            </w:r>
            <w:r w:rsidRPr="001A5FD0">
              <w:rPr>
                <w:webHidden/>
                <w:color w:val="auto"/>
                <w:sz w:val="20"/>
                <w:szCs w:val="20"/>
              </w:rPr>
              <w:fldChar w:fldCharType="end"/>
            </w:r>
          </w:hyperlink>
        </w:p>
        <w:p w14:paraId="29450068" w14:textId="0BD0025A" w:rsidR="002A494C" w:rsidRPr="001A5FD0" w:rsidRDefault="002A494C" w:rsidP="004A1952">
          <w:pPr>
            <w:pStyle w:val="Spistreci1"/>
            <w:rPr>
              <w:rFonts w:eastAsiaTheme="minorEastAsia" w:cstheme="minorBidi"/>
              <w:color w:val="auto"/>
              <w:kern w:val="2"/>
              <w:sz w:val="20"/>
              <w:szCs w:val="20"/>
              <w14:ligatures w14:val="standardContextual"/>
            </w:rPr>
          </w:pPr>
          <w:hyperlink w:anchor="_Toc225859056" w:history="1">
            <w:r w:rsidRPr="001A5FD0">
              <w:rPr>
                <w:rStyle w:val="Hipercze"/>
                <w:color w:val="auto"/>
                <w:sz w:val="20"/>
                <w:szCs w:val="20"/>
              </w:rPr>
              <w:t>1.4.</w:t>
            </w:r>
            <w:r w:rsidRPr="001A5FD0">
              <w:rPr>
                <w:rStyle w:val="Hipercze"/>
                <w:rFonts w:eastAsiaTheme="majorEastAsia" w:cstheme="majorBidi"/>
                <w:color w:val="auto"/>
                <w:sz w:val="20"/>
                <w:szCs w:val="20"/>
              </w:rPr>
              <w:t xml:space="preserve"> Dezynfekcja</w:t>
            </w:r>
            <w:r w:rsidRPr="001A5FD0">
              <w:rPr>
                <w:webHidden/>
                <w:color w:val="auto"/>
                <w:sz w:val="20"/>
                <w:szCs w:val="20"/>
              </w:rPr>
              <w:tab/>
            </w:r>
            <w:r w:rsidRPr="001A5FD0">
              <w:rPr>
                <w:webHidden/>
                <w:color w:val="auto"/>
                <w:sz w:val="20"/>
                <w:szCs w:val="20"/>
              </w:rPr>
              <w:fldChar w:fldCharType="begin"/>
            </w:r>
            <w:r w:rsidRPr="001A5FD0">
              <w:rPr>
                <w:webHidden/>
                <w:color w:val="auto"/>
                <w:sz w:val="20"/>
                <w:szCs w:val="20"/>
              </w:rPr>
              <w:instrText xml:space="preserve"> PAGEREF _Toc225859056 \h </w:instrText>
            </w:r>
            <w:r w:rsidRPr="001A5FD0">
              <w:rPr>
                <w:webHidden/>
                <w:color w:val="auto"/>
                <w:sz w:val="20"/>
                <w:szCs w:val="20"/>
              </w:rPr>
            </w:r>
            <w:r w:rsidRPr="001A5FD0">
              <w:rPr>
                <w:webHidden/>
                <w:color w:val="auto"/>
                <w:sz w:val="20"/>
                <w:szCs w:val="20"/>
              </w:rPr>
              <w:fldChar w:fldCharType="separate"/>
            </w:r>
            <w:r w:rsidR="00E53DE8">
              <w:rPr>
                <w:webHidden/>
                <w:color w:val="auto"/>
                <w:sz w:val="20"/>
                <w:szCs w:val="20"/>
              </w:rPr>
              <w:t>39</w:t>
            </w:r>
            <w:r w:rsidRPr="001A5FD0">
              <w:rPr>
                <w:webHidden/>
                <w:color w:val="auto"/>
                <w:sz w:val="20"/>
                <w:szCs w:val="20"/>
              </w:rPr>
              <w:fldChar w:fldCharType="end"/>
            </w:r>
          </w:hyperlink>
        </w:p>
        <w:p w14:paraId="572D4ECD" w14:textId="0B9AD487" w:rsidR="002A494C" w:rsidRPr="001A5FD0" w:rsidRDefault="002A494C" w:rsidP="004A1952">
          <w:pPr>
            <w:pStyle w:val="Spistreci1"/>
            <w:rPr>
              <w:rFonts w:eastAsiaTheme="minorEastAsia" w:cstheme="minorBidi"/>
              <w:color w:val="auto"/>
              <w:kern w:val="2"/>
              <w:sz w:val="20"/>
              <w:szCs w:val="20"/>
              <w14:ligatures w14:val="standardContextual"/>
            </w:rPr>
          </w:pPr>
          <w:hyperlink w:anchor="_Toc225859057" w:history="1">
            <w:r w:rsidRPr="001A5FD0">
              <w:rPr>
                <w:rStyle w:val="Hipercze"/>
                <w:color w:val="auto"/>
                <w:sz w:val="20"/>
                <w:szCs w:val="20"/>
              </w:rPr>
              <w:t>1.5.</w:t>
            </w:r>
            <w:r w:rsidRPr="001A5FD0">
              <w:rPr>
                <w:rStyle w:val="Hipercze"/>
                <w:rFonts w:eastAsiaTheme="majorEastAsia" w:cstheme="majorBidi"/>
                <w:color w:val="auto"/>
                <w:sz w:val="20"/>
                <w:szCs w:val="20"/>
              </w:rPr>
              <w:t xml:space="preserve"> Sterylizacja</w:t>
            </w:r>
            <w:r w:rsidRPr="001A5FD0">
              <w:rPr>
                <w:webHidden/>
                <w:color w:val="auto"/>
                <w:sz w:val="20"/>
                <w:szCs w:val="20"/>
              </w:rPr>
              <w:tab/>
            </w:r>
            <w:r w:rsidRPr="001A5FD0">
              <w:rPr>
                <w:webHidden/>
                <w:color w:val="auto"/>
                <w:sz w:val="20"/>
                <w:szCs w:val="20"/>
              </w:rPr>
              <w:fldChar w:fldCharType="begin"/>
            </w:r>
            <w:r w:rsidRPr="001A5FD0">
              <w:rPr>
                <w:webHidden/>
                <w:color w:val="auto"/>
                <w:sz w:val="20"/>
                <w:szCs w:val="20"/>
              </w:rPr>
              <w:instrText xml:space="preserve"> PAGEREF _Toc225859057 \h </w:instrText>
            </w:r>
            <w:r w:rsidRPr="001A5FD0">
              <w:rPr>
                <w:webHidden/>
                <w:color w:val="auto"/>
                <w:sz w:val="20"/>
                <w:szCs w:val="20"/>
              </w:rPr>
            </w:r>
            <w:r w:rsidRPr="001A5FD0">
              <w:rPr>
                <w:webHidden/>
                <w:color w:val="auto"/>
                <w:sz w:val="20"/>
                <w:szCs w:val="20"/>
              </w:rPr>
              <w:fldChar w:fldCharType="separate"/>
            </w:r>
            <w:r w:rsidR="00E53DE8">
              <w:rPr>
                <w:webHidden/>
                <w:color w:val="auto"/>
                <w:sz w:val="20"/>
                <w:szCs w:val="20"/>
              </w:rPr>
              <w:t>40</w:t>
            </w:r>
            <w:r w:rsidRPr="001A5FD0">
              <w:rPr>
                <w:webHidden/>
                <w:color w:val="auto"/>
                <w:sz w:val="20"/>
                <w:szCs w:val="20"/>
              </w:rPr>
              <w:fldChar w:fldCharType="end"/>
            </w:r>
          </w:hyperlink>
        </w:p>
        <w:p w14:paraId="0034F115" w14:textId="0D74DDC9" w:rsidR="002A494C" w:rsidRPr="001A5FD0" w:rsidRDefault="002A494C" w:rsidP="004A1952">
          <w:pPr>
            <w:pStyle w:val="Spistreci1"/>
            <w:rPr>
              <w:rFonts w:eastAsiaTheme="minorEastAsia" w:cstheme="minorBidi"/>
              <w:color w:val="auto"/>
              <w:kern w:val="2"/>
              <w:sz w:val="20"/>
              <w:szCs w:val="20"/>
              <w14:ligatures w14:val="standardContextual"/>
            </w:rPr>
          </w:pPr>
          <w:hyperlink w:anchor="_Toc225859058" w:history="1">
            <w:r w:rsidRPr="001A5FD0">
              <w:rPr>
                <w:rStyle w:val="Hipercze"/>
                <w:rFonts w:cstheme="minorHAnsi"/>
                <w:color w:val="auto"/>
                <w:sz w:val="20"/>
                <w:szCs w:val="20"/>
              </w:rPr>
              <w:t>1.6.</w:t>
            </w:r>
            <w:r w:rsidRPr="001A5FD0">
              <w:rPr>
                <w:rStyle w:val="Hipercze"/>
                <w:rFonts w:eastAsiaTheme="majorEastAsia" w:cstheme="majorBidi"/>
                <w:color w:val="auto"/>
                <w:sz w:val="20"/>
                <w:szCs w:val="20"/>
              </w:rPr>
              <w:t xml:space="preserve"> Utrzymanie bieżącej czystości i porządku</w:t>
            </w:r>
            <w:r w:rsidRPr="001A5FD0">
              <w:rPr>
                <w:webHidden/>
                <w:color w:val="auto"/>
                <w:sz w:val="20"/>
                <w:szCs w:val="20"/>
              </w:rPr>
              <w:tab/>
            </w:r>
            <w:r w:rsidRPr="001A5FD0">
              <w:rPr>
                <w:webHidden/>
                <w:color w:val="auto"/>
                <w:sz w:val="20"/>
                <w:szCs w:val="20"/>
              </w:rPr>
              <w:fldChar w:fldCharType="begin"/>
            </w:r>
            <w:r w:rsidRPr="001A5FD0">
              <w:rPr>
                <w:webHidden/>
                <w:color w:val="auto"/>
                <w:sz w:val="20"/>
                <w:szCs w:val="20"/>
              </w:rPr>
              <w:instrText xml:space="preserve"> PAGEREF _Toc225859058 \h </w:instrText>
            </w:r>
            <w:r w:rsidRPr="001A5FD0">
              <w:rPr>
                <w:webHidden/>
                <w:color w:val="auto"/>
                <w:sz w:val="20"/>
                <w:szCs w:val="20"/>
              </w:rPr>
            </w:r>
            <w:r w:rsidRPr="001A5FD0">
              <w:rPr>
                <w:webHidden/>
                <w:color w:val="auto"/>
                <w:sz w:val="20"/>
                <w:szCs w:val="20"/>
              </w:rPr>
              <w:fldChar w:fldCharType="separate"/>
            </w:r>
            <w:r w:rsidR="00E53DE8">
              <w:rPr>
                <w:webHidden/>
                <w:color w:val="auto"/>
                <w:sz w:val="20"/>
                <w:szCs w:val="20"/>
              </w:rPr>
              <w:t>41</w:t>
            </w:r>
            <w:r w:rsidRPr="001A5FD0">
              <w:rPr>
                <w:webHidden/>
                <w:color w:val="auto"/>
                <w:sz w:val="20"/>
                <w:szCs w:val="20"/>
              </w:rPr>
              <w:fldChar w:fldCharType="end"/>
            </w:r>
          </w:hyperlink>
        </w:p>
        <w:p w14:paraId="0A11679B" w14:textId="15185F2B" w:rsidR="002A494C" w:rsidRPr="001A5FD0" w:rsidRDefault="002A494C" w:rsidP="004A1952">
          <w:pPr>
            <w:pStyle w:val="Spistreci1"/>
            <w:rPr>
              <w:rFonts w:eastAsiaTheme="minorEastAsia" w:cstheme="minorBidi"/>
              <w:color w:val="auto"/>
              <w:kern w:val="2"/>
              <w:sz w:val="20"/>
              <w:szCs w:val="20"/>
              <w14:ligatures w14:val="standardContextual"/>
            </w:rPr>
          </w:pPr>
          <w:hyperlink w:anchor="_Toc225859059" w:history="1">
            <w:r w:rsidRPr="001A5FD0">
              <w:rPr>
                <w:rStyle w:val="Hipercze"/>
                <w:color w:val="auto"/>
                <w:sz w:val="20"/>
                <w:szCs w:val="20"/>
              </w:rPr>
              <w:t>1.7.</w:t>
            </w:r>
            <w:r w:rsidRPr="001A5FD0">
              <w:rPr>
                <w:rStyle w:val="Hipercze"/>
                <w:rFonts w:eastAsiaTheme="majorEastAsia" w:cstheme="majorBidi"/>
                <w:color w:val="auto"/>
                <w:sz w:val="20"/>
                <w:szCs w:val="20"/>
              </w:rPr>
              <w:t xml:space="preserve"> Postępowanie z bielizną szpitalną</w:t>
            </w:r>
            <w:r w:rsidRPr="001A5FD0">
              <w:rPr>
                <w:webHidden/>
                <w:color w:val="auto"/>
                <w:sz w:val="20"/>
                <w:szCs w:val="20"/>
              </w:rPr>
              <w:tab/>
            </w:r>
            <w:r w:rsidRPr="001A5FD0">
              <w:rPr>
                <w:webHidden/>
                <w:color w:val="auto"/>
                <w:sz w:val="20"/>
                <w:szCs w:val="20"/>
              </w:rPr>
              <w:fldChar w:fldCharType="begin"/>
            </w:r>
            <w:r w:rsidRPr="001A5FD0">
              <w:rPr>
                <w:webHidden/>
                <w:color w:val="auto"/>
                <w:sz w:val="20"/>
                <w:szCs w:val="20"/>
              </w:rPr>
              <w:instrText xml:space="preserve"> PAGEREF _Toc225859059 \h </w:instrText>
            </w:r>
            <w:r w:rsidRPr="001A5FD0">
              <w:rPr>
                <w:webHidden/>
                <w:color w:val="auto"/>
                <w:sz w:val="20"/>
                <w:szCs w:val="20"/>
              </w:rPr>
            </w:r>
            <w:r w:rsidRPr="001A5FD0">
              <w:rPr>
                <w:webHidden/>
                <w:color w:val="auto"/>
                <w:sz w:val="20"/>
                <w:szCs w:val="20"/>
              </w:rPr>
              <w:fldChar w:fldCharType="separate"/>
            </w:r>
            <w:r w:rsidR="00E53DE8">
              <w:rPr>
                <w:webHidden/>
                <w:color w:val="auto"/>
                <w:sz w:val="20"/>
                <w:szCs w:val="20"/>
              </w:rPr>
              <w:t>41</w:t>
            </w:r>
            <w:r w:rsidRPr="001A5FD0">
              <w:rPr>
                <w:webHidden/>
                <w:color w:val="auto"/>
                <w:sz w:val="20"/>
                <w:szCs w:val="20"/>
              </w:rPr>
              <w:fldChar w:fldCharType="end"/>
            </w:r>
          </w:hyperlink>
        </w:p>
        <w:p w14:paraId="58C068E5" w14:textId="374BC809" w:rsidR="002A494C" w:rsidRPr="001A5FD0" w:rsidRDefault="002A494C" w:rsidP="004A1952">
          <w:pPr>
            <w:pStyle w:val="Spistreci1"/>
            <w:rPr>
              <w:rFonts w:eastAsiaTheme="minorEastAsia" w:cstheme="minorBidi"/>
              <w:color w:val="auto"/>
              <w:kern w:val="2"/>
              <w:sz w:val="20"/>
              <w:szCs w:val="20"/>
              <w14:ligatures w14:val="standardContextual"/>
            </w:rPr>
          </w:pPr>
          <w:hyperlink w:anchor="_Toc225859060" w:history="1">
            <w:r w:rsidRPr="001A5FD0">
              <w:rPr>
                <w:rStyle w:val="Hipercze"/>
                <w:rFonts w:eastAsiaTheme="majorEastAsia" w:cstheme="majorBidi"/>
                <w:color w:val="auto"/>
                <w:sz w:val="20"/>
                <w:szCs w:val="20"/>
              </w:rPr>
              <w:t>1.8. Prosektoria i postępowanie ze zwłokami</w:t>
            </w:r>
            <w:r w:rsidRPr="001A5FD0">
              <w:rPr>
                <w:webHidden/>
                <w:color w:val="auto"/>
                <w:sz w:val="20"/>
                <w:szCs w:val="20"/>
              </w:rPr>
              <w:tab/>
            </w:r>
            <w:r w:rsidRPr="001A5FD0">
              <w:rPr>
                <w:webHidden/>
                <w:color w:val="auto"/>
                <w:sz w:val="20"/>
                <w:szCs w:val="20"/>
              </w:rPr>
              <w:fldChar w:fldCharType="begin"/>
            </w:r>
            <w:r w:rsidRPr="001A5FD0">
              <w:rPr>
                <w:webHidden/>
                <w:color w:val="auto"/>
                <w:sz w:val="20"/>
                <w:szCs w:val="20"/>
              </w:rPr>
              <w:instrText xml:space="preserve"> PAGEREF _Toc225859060 \h </w:instrText>
            </w:r>
            <w:r w:rsidRPr="001A5FD0">
              <w:rPr>
                <w:webHidden/>
                <w:color w:val="auto"/>
                <w:sz w:val="20"/>
                <w:szCs w:val="20"/>
              </w:rPr>
            </w:r>
            <w:r w:rsidRPr="001A5FD0">
              <w:rPr>
                <w:webHidden/>
                <w:color w:val="auto"/>
                <w:sz w:val="20"/>
                <w:szCs w:val="20"/>
              </w:rPr>
              <w:fldChar w:fldCharType="separate"/>
            </w:r>
            <w:r w:rsidR="00E53DE8">
              <w:rPr>
                <w:webHidden/>
                <w:color w:val="auto"/>
                <w:sz w:val="20"/>
                <w:szCs w:val="20"/>
              </w:rPr>
              <w:t>42</w:t>
            </w:r>
            <w:r w:rsidRPr="001A5FD0">
              <w:rPr>
                <w:webHidden/>
                <w:color w:val="auto"/>
                <w:sz w:val="20"/>
                <w:szCs w:val="20"/>
              </w:rPr>
              <w:fldChar w:fldCharType="end"/>
            </w:r>
          </w:hyperlink>
        </w:p>
        <w:p w14:paraId="6884FB43" w14:textId="06BCEBBD"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61" w:history="1">
            <w:r w:rsidRPr="002A494C">
              <w:rPr>
                <w:rStyle w:val="Hipercze"/>
                <w:rFonts w:ascii="Lato" w:hAnsi="Lato"/>
                <w:bCs/>
                <w:noProof/>
                <w:sz w:val="20"/>
                <w:szCs w:val="20"/>
              </w:rPr>
              <w:t>2. Przychodnie, ośrodki zdrowia, poradnie i ambulatoria</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_Toc225859061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43</w:t>
            </w:r>
            <w:r w:rsidRPr="002A494C">
              <w:rPr>
                <w:rFonts w:ascii="Lato" w:hAnsi="Lato"/>
                <w:noProof/>
                <w:webHidden/>
                <w:sz w:val="20"/>
                <w:szCs w:val="20"/>
              </w:rPr>
              <w:fldChar w:fldCharType="end"/>
            </w:r>
          </w:hyperlink>
        </w:p>
        <w:p w14:paraId="50A82157" w14:textId="0D6D956F"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62" w:history="1">
            <w:r w:rsidRPr="002A494C">
              <w:rPr>
                <w:rStyle w:val="Hipercze"/>
                <w:rFonts w:ascii="Lato" w:hAnsi="Lato"/>
                <w:bCs/>
                <w:noProof/>
                <w:sz w:val="20"/>
                <w:szCs w:val="20"/>
              </w:rPr>
              <w:t>3. Działalność lecznicza wykonywana przez praktykę zawodową</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_Toc225859062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43</w:t>
            </w:r>
            <w:r w:rsidRPr="002A494C">
              <w:rPr>
                <w:rFonts w:ascii="Lato" w:hAnsi="Lato"/>
                <w:noProof/>
                <w:webHidden/>
                <w:sz w:val="20"/>
                <w:szCs w:val="20"/>
              </w:rPr>
              <w:fldChar w:fldCharType="end"/>
            </w:r>
          </w:hyperlink>
        </w:p>
        <w:p w14:paraId="5D13E4F0" w14:textId="4DEA0520"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63" w:history="1">
            <w:r w:rsidRPr="002A494C">
              <w:rPr>
                <w:rStyle w:val="Hipercze"/>
                <w:rFonts w:ascii="Lato" w:hAnsi="Lato"/>
                <w:bCs/>
                <w:noProof/>
                <w:sz w:val="20"/>
                <w:szCs w:val="20"/>
              </w:rPr>
              <w:t>4. Postępowanie z odpadami medycznymi</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_Toc225859063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44</w:t>
            </w:r>
            <w:r w:rsidRPr="002A494C">
              <w:rPr>
                <w:rFonts w:ascii="Lato" w:hAnsi="Lato"/>
                <w:noProof/>
                <w:webHidden/>
                <w:sz w:val="20"/>
                <w:szCs w:val="20"/>
              </w:rPr>
              <w:fldChar w:fldCharType="end"/>
            </w:r>
          </w:hyperlink>
        </w:p>
        <w:p w14:paraId="5F42BF53" w14:textId="33EA1699" w:rsidR="002A494C" w:rsidRPr="002A494C" w:rsidRDefault="002A494C" w:rsidP="004A1952">
          <w:pPr>
            <w:pStyle w:val="Spistreci1"/>
            <w:rPr>
              <w:rFonts w:eastAsiaTheme="minorEastAsia" w:cstheme="minorBidi"/>
              <w:kern w:val="2"/>
              <w14:ligatures w14:val="standardContextual"/>
            </w:rPr>
          </w:pPr>
          <w:hyperlink w:anchor="_Toc225859064" w:history="1">
            <w:r w:rsidRPr="002A494C">
              <w:rPr>
                <w:rStyle w:val="Hipercze"/>
                <w:color w:val="0E2841" w:themeColor="text2"/>
                <w14:textFill>
                  <w14:solidFill>
                    <w14:schemeClr w14:val="tx2">
                      <w14:lumMod w14:val="90000"/>
                      <w14:lumOff w14:val="10000"/>
                      <w14:lumMod w14:val="90000"/>
                      <w14:lumOff w14:val="10000"/>
                    </w14:schemeClr>
                  </w14:solidFill>
                </w14:textFill>
              </w:rPr>
              <w:t>III. Higiena żywności, żywienia i przedmiotów użytku</w:t>
            </w:r>
            <w:r w:rsidRPr="002A494C">
              <w:rPr>
                <w:webHidden/>
              </w:rPr>
              <w:tab/>
            </w:r>
            <w:r w:rsidRPr="002A494C">
              <w:rPr>
                <w:webHidden/>
              </w:rPr>
              <w:fldChar w:fldCharType="begin"/>
            </w:r>
            <w:r w:rsidRPr="002A494C">
              <w:rPr>
                <w:webHidden/>
              </w:rPr>
              <w:instrText xml:space="preserve"> PAGEREF _Toc225859064 \h </w:instrText>
            </w:r>
            <w:r w:rsidRPr="002A494C">
              <w:rPr>
                <w:webHidden/>
              </w:rPr>
            </w:r>
            <w:r w:rsidRPr="002A494C">
              <w:rPr>
                <w:webHidden/>
              </w:rPr>
              <w:fldChar w:fldCharType="separate"/>
            </w:r>
            <w:r w:rsidR="00E53DE8">
              <w:rPr>
                <w:webHidden/>
              </w:rPr>
              <w:t>46</w:t>
            </w:r>
            <w:r w:rsidRPr="002A494C">
              <w:rPr>
                <w:webHidden/>
              </w:rPr>
              <w:fldChar w:fldCharType="end"/>
            </w:r>
          </w:hyperlink>
        </w:p>
        <w:p w14:paraId="1EB2C1D3" w14:textId="23D02005"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65" w:history="1">
            <w:r w:rsidRPr="002A494C">
              <w:rPr>
                <w:rStyle w:val="Hipercze"/>
                <w:rFonts w:ascii="Lato" w:hAnsi="Lato"/>
                <w:bCs/>
                <w:noProof/>
                <w:sz w:val="20"/>
                <w:szCs w:val="20"/>
              </w:rPr>
              <w:t>1. Zakłady produkcji i obrotu żywnością</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_Toc225859065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46</w:t>
            </w:r>
            <w:r w:rsidRPr="002A494C">
              <w:rPr>
                <w:rFonts w:ascii="Lato" w:hAnsi="Lato"/>
                <w:noProof/>
                <w:webHidden/>
                <w:sz w:val="20"/>
                <w:szCs w:val="20"/>
              </w:rPr>
              <w:fldChar w:fldCharType="end"/>
            </w:r>
          </w:hyperlink>
        </w:p>
        <w:p w14:paraId="4AC279FE" w14:textId="422C7FCE"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66" w:history="1">
            <w:r w:rsidRPr="002A494C">
              <w:rPr>
                <w:rStyle w:val="Hipercze"/>
                <w:rFonts w:ascii="Lato" w:hAnsi="Lato"/>
                <w:bCs/>
                <w:noProof/>
                <w:sz w:val="20"/>
                <w:szCs w:val="20"/>
              </w:rPr>
              <w:t>2. Zakłady produkcji i wprowadzania do obrotu materiałów i wyrobów przeznaczonych do kontaktu z żywnością</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_Toc225859066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49</w:t>
            </w:r>
            <w:r w:rsidRPr="002A494C">
              <w:rPr>
                <w:rFonts w:ascii="Lato" w:hAnsi="Lato"/>
                <w:noProof/>
                <w:webHidden/>
                <w:sz w:val="20"/>
                <w:szCs w:val="20"/>
              </w:rPr>
              <w:fldChar w:fldCharType="end"/>
            </w:r>
          </w:hyperlink>
        </w:p>
        <w:p w14:paraId="21CEE3E9" w14:textId="7AA72AC5"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67" w:history="1">
            <w:r w:rsidRPr="002A494C">
              <w:rPr>
                <w:rStyle w:val="Hipercze"/>
                <w:rFonts w:ascii="Lato" w:hAnsi="Lato"/>
                <w:bCs/>
                <w:noProof/>
                <w:sz w:val="20"/>
                <w:szCs w:val="20"/>
              </w:rPr>
              <w:t>3. Suplementy diety, żywność dla określonych grup odbiorców i żywność wzbogacana</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_Toc225859067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49</w:t>
            </w:r>
            <w:r w:rsidRPr="002A494C">
              <w:rPr>
                <w:rFonts w:ascii="Lato" w:hAnsi="Lato"/>
                <w:noProof/>
                <w:webHidden/>
                <w:sz w:val="20"/>
                <w:szCs w:val="20"/>
              </w:rPr>
              <w:fldChar w:fldCharType="end"/>
            </w:r>
          </w:hyperlink>
        </w:p>
        <w:p w14:paraId="190A24EF" w14:textId="4F4D5CFB"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68" w:history="1">
            <w:r w:rsidRPr="002A494C">
              <w:rPr>
                <w:rStyle w:val="Hipercze"/>
                <w:rFonts w:ascii="Lato" w:hAnsi="Lato"/>
                <w:bCs/>
                <w:noProof/>
                <w:sz w:val="20"/>
                <w:szCs w:val="20"/>
              </w:rPr>
              <w:t>4. System Wczesnego Ostrzegania o Niebezpiecznej Żywności i Paszach – RASFF</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_Toc225859068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50</w:t>
            </w:r>
            <w:r w:rsidRPr="002A494C">
              <w:rPr>
                <w:rFonts w:ascii="Lato" w:hAnsi="Lato"/>
                <w:noProof/>
                <w:webHidden/>
                <w:sz w:val="20"/>
                <w:szCs w:val="20"/>
              </w:rPr>
              <w:fldChar w:fldCharType="end"/>
            </w:r>
          </w:hyperlink>
        </w:p>
        <w:p w14:paraId="35379CA6" w14:textId="6771E7BB"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69" w:history="1">
            <w:r w:rsidRPr="002A494C">
              <w:rPr>
                <w:rStyle w:val="Hipercze"/>
                <w:rFonts w:ascii="Lato" w:hAnsi="Lato"/>
                <w:bCs/>
                <w:noProof/>
                <w:sz w:val="20"/>
                <w:szCs w:val="20"/>
              </w:rPr>
              <w:t>5. Obrót grzybami i przetwórstwo grzybów oraz zatrucia grzybami</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_Toc225859069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51</w:t>
            </w:r>
            <w:r w:rsidRPr="002A494C">
              <w:rPr>
                <w:rFonts w:ascii="Lato" w:hAnsi="Lato"/>
                <w:noProof/>
                <w:webHidden/>
                <w:sz w:val="20"/>
                <w:szCs w:val="20"/>
              </w:rPr>
              <w:fldChar w:fldCharType="end"/>
            </w:r>
          </w:hyperlink>
        </w:p>
        <w:p w14:paraId="31814C25" w14:textId="52498AD9" w:rsidR="002A494C" w:rsidRPr="004A1952" w:rsidRDefault="002A494C" w:rsidP="004A1952">
          <w:pPr>
            <w:pStyle w:val="Spistreci1"/>
            <w:rPr>
              <w:rFonts w:eastAsiaTheme="minorEastAsia" w:cstheme="minorBidi"/>
              <w:kern w:val="2"/>
              <w14:ligatures w14:val="standardContextual"/>
            </w:rPr>
          </w:pPr>
          <w:hyperlink w:anchor="_Toc225859070" w:history="1">
            <w:r w:rsidRPr="004A1952">
              <w:rPr>
                <w:rStyle w:val="Hipercze"/>
                <w:color w:val="153D63" w:themeColor="text2" w:themeTint="E6"/>
              </w:rPr>
              <w:t>IV. Jakość wody przeznaczonej do spożycia oraz ciepłej wody</w:t>
            </w:r>
            <w:r w:rsidRPr="004A1952">
              <w:rPr>
                <w:webHidden/>
              </w:rPr>
              <w:tab/>
            </w:r>
            <w:r w:rsidRPr="004A1952">
              <w:rPr>
                <w:webHidden/>
              </w:rPr>
              <w:fldChar w:fldCharType="begin"/>
            </w:r>
            <w:r w:rsidRPr="004A1952">
              <w:rPr>
                <w:webHidden/>
              </w:rPr>
              <w:instrText xml:space="preserve"> PAGEREF _Toc225859070 \h </w:instrText>
            </w:r>
            <w:r w:rsidRPr="004A1952">
              <w:rPr>
                <w:webHidden/>
              </w:rPr>
            </w:r>
            <w:r w:rsidRPr="004A1952">
              <w:rPr>
                <w:webHidden/>
              </w:rPr>
              <w:fldChar w:fldCharType="separate"/>
            </w:r>
            <w:r w:rsidR="00E53DE8">
              <w:rPr>
                <w:webHidden/>
              </w:rPr>
              <w:t>52</w:t>
            </w:r>
            <w:r w:rsidRPr="004A1952">
              <w:rPr>
                <w:webHidden/>
              </w:rPr>
              <w:fldChar w:fldCharType="end"/>
            </w:r>
          </w:hyperlink>
        </w:p>
        <w:p w14:paraId="4852F7FD" w14:textId="40836317"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71" w:history="1">
            <w:r w:rsidRPr="002A494C">
              <w:rPr>
                <w:rStyle w:val="Hipercze"/>
                <w:rFonts w:ascii="Lato" w:hAnsi="Lato"/>
                <w:bCs/>
                <w:noProof/>
                <w:sz w:val="20"/>
                <w:szCs w:val="20"/>
              </w:rPr>
              <w:t>1. Jakość wody do spożycia</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_Toc225859071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52</w:t>
            </w:r>
            <w:r w:rsidRPr="002A494C">
              <w:rPr>
                <w:rFonts w:ascii="Lato" w:hAnsi="Lato"/>
                <w:noProof/>
                <w:webHidden/>
                <w:sz w:val="20"/>
                <w:szCs w:val="20"/>
              </w:rPr>
              <w:fldChar w:fldCharType="end"/>
            </w:r>
          </w:hyperlink>
        </w:p>
        <w:p w14:paraId="320088DE" w14:textId="4222C5AE"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72" w:history="1">
            <w:r w:rsidRPr="002A494C">
              <w:rPr>
                <w:rStyle w:val="Hipercze"/>
                <w:rFonts w:ascii="Lato" w:hAnsi="Lato"/>
                <w:noProof/>
                <w:sz w:val="20"/>
                <w:szCs w:val="20"/>
              </w:rPr>
              <w:t>1.1. Infrastruktura zaopatrzenia ludności w wodę</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_Toc225859072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52</w:t>
            </w:r>
            <w:r w:rsidRPr="002A494C">
              <w:rPr>
                <w:rFonts w:ascii="Lato" w:hAnsi="Lato"/>
                <w:noProof/>
                <w:webHidden/>
                <w:sz w:val="20"/>
                <w:szCs w:val="20"/>
              </w:rPr>
              <w:fldChar w:fldCharType="end"/>
            </w:r>
          </w:hyperlink>
        </w:p>
        <w:p w14:paraId="598F6BF6" w14:textId="63562ACF"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73" w:history="1">
            <w:r w:rsidRPr="002A494C">
              <w:rPr>
                <w:rStyle w:val="Hipercze"/>
                <w:rFonts w:ascii="Lato" w:hAnsi="Lato"/>
                <w:noProof/>
                <w:sz w:val="20"/>
                <w:szCs w:val="20"/>
              </w:rPr>
              <w:t>1.2. Nadzór nad jakością wody do spożycia</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_Toc225859073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52</w:t>
            </w:r>
            <w:r w:rsidRPr="002A494C">
              <w:rPr>
                <w:rFonts w:ascii="Lato" w:hAnsi="Lato"/>
                <w:noProof/>
                <w:webHidden/>
                <w:sz w:val="20"/>
                <w:szCs w:val="20"/>
              </w:rPr>
              <w:fldChar w:fldCharType="end"/>
            </w:r>
          </w:hyperlink>
        </w:p>
        <w:p w14:paraId="6E2DA8DC" w14:textId="17AF9122"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74" w:history="1">
            <w:r w:rsidRPr="002A494C">
              <w:rPr>
                <w:rStyle w:val="Hipercze"/>
                <w:rFonts w:ascii="Lato" w:hAnsi="Lato"/>
                <w:noProof/>
                <w:sz w:val="20"/>
                <w:szCs w:val="20"/>
              </w:rPr>
              <w:t>1.3. Odstępstwa od wymaganej jakości wody do spożycia</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_Toc225859074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55</w:t>
            </w:r>
            <w:r w:rsidRPr="002A494C">
              <w:rPr>
                <w:rFonts w:ascii="Lato" w:hAnsi="Lato"/>
                <w:noProof/>
                <w:webHidden/>
                <w:sz w:val="20"/>
                <w:szCs w:val="20"/>
              </w:rPr>
              <w:fldChar w:fldCharType="end"/>
            </w:r>
          </w:hyperlink>
        </w:p>
        <w:p w14:paraId="68B400B9" w14:textId="2C90DDCF"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75" w:history="1">
            <w:r w:rsidRPr="002A494C">
              <w:rPr>
                <w:rStyle w:val="Hipercze"/>
                <w:rFonts w:ascii="Lato" w:hAnsi="Lato"/>
                <w:noProof/>
                <w:sz w:val="20"/>
                <w:szCs w:val="20"/>
              </w:rPr>
              <w:t>1.4. Substancje promieniotwórcze w wodzie przeznaczonej do spożycia</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_Toc225859075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56</w:t>
            </w:r>
            <w:r w:rsidRPr="002A494C">
              <w:rPr>
                <w:rFonts w:ascii="Lato" w:hAnsi="Lato"/>
                <w:noProof/>
                <w:webHidden/>
                <w:sz w:val="20"/>
                <w:szCs w:val="20"/>
              </w:rPr>
              <w:fldChar w:fldCharType="end"/>
            </w:r>
          </w:hyperlink>
        </w:p>
        <w:p w14:paraId="5C8C9C56" w14:textId="045AB9C5"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076" w:history="1">
            <w:r w:rsidRPr="002A494C">
              <w:rPr>
                <w:rStyle w:val="Hipercze"/>
                <w:rFonts w:ascii="Lato" w:hAnsi="Lato"/>
                <w:noProof/>
                <w:sz w:val="20"/>
                <w:szCs w:val="20"/>
              </w:rPr>
              <w:t>1.5. Ocena jakości wody przeznaczonej do spożycia</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_Toc225859076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56</w:t>
            </w:r>
            <w:r w:rsidRPr="002A494C">
              <w:rPr>
                <w:rFonts w:ascii="Lato" w:hAnsi="Lato"/>
                <w:noProof/>
                <w:webHidden/>
                <w:sz w:val="20"/>
                <w:szCs w:val="20"/>
              </w:rPr>
              <w:fldChar w:fldCharType="end"/>
            </w:r>
          </w:hyperlink>
        </w:p>
        <w:p w14:paraId="195674FF" w14:textId="24C0A25F"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77" w:history="1">
            <w:r w:rsidRPr="002A494C">
              <w:rPr>
                <w:rStyle w:val="Hipercze"/>
                <w:rFonts w:ascii="Lato" w:eastAsia="MyriadPro-Regular" w:hAnsi="Lato" w:cstheme="minorHAnsi"/>
                <w:bCs/>
                <w:noProof/>
                <w:sz w:val="20"/>
                <w:szCs w:val="20"/>
              </w:rPr>
              <w:t>2.</w:t>
            </w:r>
            <w:r w:rsidRPr="002A494C">
              <w:rPr>
                <w:rStyle w:val="Hipercze"/>
                <w:rFonts w:ascii="Lato" w:hAnsi="Lato"/>
                <w:bCs/>
                <w:noProof/>
                <w:sz w:val="20"/>
                <w:szCs w:val="20"/>
              </w:rPr>
              <w:t xml:space="preserve"> Jakość ciepłej wody użytkowej</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_Toc225859077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57</w:t>
            </w:r>
            <w:r w:rsidRPr="002A494C">
              <w:rPr>
                <w:rFonts w:ascii="Lato" w:hAnsi="Lato"/>
                <w:noProof/>
                <w:webHidden/>
                <w:sz w:val="20"/>
                <w:szCs w:val="20"/>
              </w:rPr>
              <w:fldChar w:fldCharType="end"/>
            </w:r>
          </w:hyperlink>
        </w:p>
        <w:p w14:paraId="24D327BD" w14:textId="22E6B1EE" w:rsidR="002A494C" w:rsidRPr="002A494C" w:rsidRDefault="002A494C" w:rsidP="004A1952">
          <w:pPr>
            <w:pStyle w:val="Spistreci1"/>
            <w:rPr>
              <w:rFonts w:eastAsiaTheme="minorEastAsia" w:cstheme="minorBidi"/>
              <w:kern w:val="2"/>
              <w14:ligatures w14:val="standardContextual"/>
            </w:rPr>
          </w:pPr>
          <w:hyperlink w:anchor="_Toc225859078" w:history="1">
            <w:r w:rsidRPr="002A494C">
              <w:rPr>
                <w:rStyle w:val="Hipercze"/>
                <w:color w:val="0E2841" w:themeColor="text2"/>
                <w14:textFill>
                  <w14:solidFill>
                    <w14:schemeClr w14:val="tx2">
                      <w14:lumMod w14:val="90000"/>
                      <w14:lumOff w14:val="10000"/>
                      <w14:lumMod w14:val="90000"/>
                      <w14:lumOff w14:val="10000"/>
                    </w14:schemeClr>
                  </w14:solidFill>
                </w14:textFill>
              </w:rPr>
              <w:t>V. Jakość wody w obiektach wyposażonych w niecki basenowe</w:t>
            </w:r>
            <w:r w:rsidRPr="002A494C">
              <w:rPr>
                <w:webHidden/>
              </w:rPr>
              <w:tab/>
            </w:r>
            <w:r w:rsidRPr="002A494C">
              <w:rPr>
                <w:webHidden/>
              </w:rPr>
              <w:fldChar w:fldCharType="begin"/>
            </w:r>
            <w:r w:rsidRPr="002A494C">
              <w:rPr>
                <w:webHidden/>
              </w:rPr>
              <w:instrText xml:space="preserve"> PAGEREF _Toc225859078 \h </w:instrText>
            </w:r>
            <w:r w:rsidRPr="002A494C">
              <w:rPr>
                <w:webHidden/>
              </w:rPr>
            </w:r>
            <w:r w:rsidRPr="002A494C">
              <w:rPr>
                <w:webHidden/>
              </w:rPr>
              <w:fldChar w:fldCharType="separate"/>
            </w:r>
            <w:r w:rsidR="00E53DE8">
              <w:rPr>
                <w:webHidden/>
              </w:rPr>
              <w:t>58</w:t>
            </w:r>
            <w:r w:rsidRPr="002A494C">
              <w:rPr>
                <w:webHidden/>
              </w:rPr>
              <w:fldChar w:fldCharType="end"/>
            </w:r>
          </w:hyperlink>
        </w:p>
        <w:p w14:paraId="53A853FA" w14:textId="6B1D6378" w:rsidR="002A494C" w:rsidRPr="002A494C" w:rsidRDefault="002A494C" w:rsidP="004A1952">
          <w:pPr>
            <w:pStyle w:val="Spistreci1"/>
            <w:rPr>
              <w:rFonts w:eastAsiaTheme="minorEastAsia" w:cstheme="minorBidi"/>
              <w:kern w:val="2"/>
              <w14:ligatures w14:val="standardContextual"/>
            </w:rPr>
          </w:pPr>
          <w:hyperlink w:anchor="_Toc225859079" w:history="1">
            <w:r w:rsidRPr="002A494C">
              <w:rPr>
                <w:rStyle w:val="Hipercze"/>
                <w:color w:val="0E2841" w:themeColor="text2"/>
                <w14:textFill>
                  <w14:solidFill>
                    <w14:schemeClr w14:val="tx2">
                      <w14:lumMod w14:val="90000"/>
                      <w14:lumOff w14:val="10000"/>
                      <w14:lumMod w14:val="90000"/>
                      <w14:lumOff w14:val="10000"/>
                    </w14:schemeClr>
                  </w14:solidFill>
                </w14:textFill>
              </w:rPr>
              <w:t>VI. Stan sanitarny kąpielisk i miejsc okazjonalnie wykorzystywanych do kąpieli</w:t>
            </w:r>
            <w:r w:rsidRPr="002A494C">
              <w:rPr>
                <w:webHidden/>
              </w:rPr>
              <w:tab/>
            </w:r>
            <w:r w:rsidRPr="002A494C">
              <w:rPr>
                <w:webHidden/>
              </w:rPr>
              <w:fldChar w:fldCharType="begin"/>
            </w:r>
            <w:r w:rsidRPr="002A494C">
              <w:rPr>
                <w:webHidden/>
              </w:rPr>
              <w:instrText xml:space="preserve"> PAGEREF _Toc225859079 \h </w:instrText>
            </w:r>
            <w:r w:rsidRPr="002A494C">
              <w:rPr>
                <w:webHidden/>
              </w:rPr>
            </w:r>
            <w:r w:rsidRPr="002A494C">
              <w:rPr>
                <w:webHidden/>
              </w:rPr>
              <w:fldChar w:fldCharType="separate"/>
            </w:r>
            <w:r w:rsidR="00E53DE8">
              <w:rPr>
                <w:webHidden/>
              </w:rPr>
              <w:t>60</w:t>
            </w:r>
            <w:r w:rsidRPr="002A494C">
              <w:rPr>
                <w:webHidden/>
              </w:rPr>
              <w:fldChar w:fldCharType="end"/>
            </w:r>
          </w:hyperlink>
        </w:p>
        <w:p w14:paraId="7BAA813F" w14:textId="5A714BB4"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80" w:history="1">
            <w:r w:rsidRPr="002A494C">
              <w:rPr>
                <w:rStyle w:val="Hipercze"/>
                <w:rFonts w:ascii="Lato" w:hAnsi="Lato"/>
                <w:bCs/>
                <w:noProof/>
                <w:sz w:val="20"/>
                <w:szCs w:val="20"/>
              </w:rPr>
              <w:t>1. Stan sanitarny i jakość wody w kąpieliskach</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_Toc225859080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60</w:t>
            </w:r>
            <w:r w:rsidRPr="002A494C">
              <w:rPr>
                <w:rFonts w:ascii="Lato" w:hAnsi="Lato"/>
                <w:noProof/>
                <w:webHidden/>
                <w:sz w:val="20"/>
                <w:szCs w:val="20"/>
              </w:rPr>
              <w:fldChar w:fldCharType="end"/>
            </w:r>
          </w:hyperlink>
        </w:p>
        <w:p w14:paraId="572D4F83" w14:textId="07D84CE6"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81" w:history="1">
            <w:r w:rsidRPr="002A494C">
              <w:rPr>
                <w:rStyle w:val="Hipercze"/>
                <w:rFonts w:ascii="Lato" w:hAnsi="Lato"/>
                <w:bCs/>
                <w:noProof/>
                <w:sz w:val="20"/>
                <w:szCs w:val="20"/>
              </w:rPr>
              <w:t>2. Stan sanitarny i jakość wody w miejscach okazjonalnie wykorzystywanych do kąpieli (mowdk)</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_Toc225859081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61</w:t>
            </w:r>
            <w:r w:rsidRPr="002A494C">
              <w:rPr>
                <w:rFonts w:ascii="Lato" w:hAnsi="Lato"/>
                <w:noProof/>
                <w:webHidden/>
                <w:sz w:val="20"/>
                <w:szCs w:val="20"/>
              </w:rPr>
              <w:fldChar w:fldCharType="end"/>
            </w:r>
          </w:hyperlink>
        </w:p>
        <w:p w14:paraId="005037B9" w14:textId="42E72BAE" w:rsidR="002A494C" w:rsidRPr="004A1952" w:rsidRDefault="002A494C" w:rsidP="004A1952">
          <w:pPr>
            <w:pStyle w:val="Spistreci1"/>
            <w:rPr>
              <w:rFonts w:eastAsiaTheme="minorEastAsia" w:cstheme="minorBidi"/>
              <w:kern w:val="2"/>
              <w14:ligatures w14:val="standardContextual"/>
            </w:rPr>
          </w:pPr>
          <w:hyperlink w:anchor="_Toc225859082" w:history="1">
            <w:r w:rsidRPr="004A1952">
              <w:rPr>
                <w:rStyle w:val="Hipercze"/>
                <w:color w:val="153D63" w:themeColor="text2" w:themeTint="E6"/>
              </w:rPr>
              <w:t>VII. Stan sanitarny miejsc ogólnie dostępnych oraz obiektów użyteczności publicznej</w:t>
            </w:r>
            <w:r w:rsidRPr="004A1952">
              <w:rPr>
                <w:webHidden/>
              </w:rPr>
              <w:tab/>
            </w:r>
            <w:r w:rsidRPr="004A1952">
              <w:rPr>
                <w:webHidden/>
              </w:rPr>
              <w:fldChar w:fldCharType="begin"/>
            </w:r>
            <w:r w:rsidRPr="004A1952">
              <w:rPr>
                <w:webHidden/>
              </w:rPr>
              <w:instrText xml:space="preserve"> PAGEREF _Toc225859082 \h </w:instrText>
            </w:r>
            <w:r w:rsidRPr="004A1952">
              <w:rPr>
                <w:webHidden/>
              </w:rPr>
            </w:r>
            <w:r w:rsidRPr="004A1952">
              <w:rPr>
                <w:webHidden/>
              </w:rPr>
              <w:fldChar w:fldCharType="separate"/>
            </w:r>
            <w:r w:rsidR="00E53DE8">
              <w:rPr>
                <w:webHidden/>
              </w:rPr>
              <w:t>63</w:t>
            </w:r>
            <w:r w:rsidRPr="004A1952">
              <w:rPr>
                <w:webHidden/>
              </w:rPr>
              <w:fldChar w:fldCharType="end"/>
            </w:r>
          </w:hyperlink>
        </w:p>
        <w:p w14:paraId="20767399" w14:textId="10A61D5E"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83" w:history="1">
            <w:r w:rsidRPr="002A494C">
              <w:rPr>
                <w:rStyle w:val="Hipercze"/>
                <w:rFonts w:ascii="Lato" w:hAnsi="Lato"/>
                <w:bCs/>
                <w:noProof/>
                <w:sz w:val="20"/>
                <w:szCs w:val="20"/>
              </w:rPr>
              <w:t>1. Nadzór nad obiektami użyteczności publicznej</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_Toc225859083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63</w:t>
            </w:r>
            <w:r w:rsidRPr="002A494C">
              <w:rPr>
                <w:rFonts w:ascii="Lato" w:hAnsi="Lato"/>
                <w:noProof/>
                <w:webHidden/>
                <w:sz w:val="20"/>
                <w:szCs w:val="20"/>
              </w:rPr>
              <w:fldChar w:fldCharType="end"/>
            </w:r>
          </w:hyperlink>
        </w:p>
        <w:p w14:paraId="7B3D81AE" w14:textId="43337B9F"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84" w:history="1">
            <w:r w:rsidRPr="002A494C">
              <w:rPr>
                <w:rStyle w:val="Hipercze"/>
                <w:rFonts w:ascii="Lato" w:hAnsi="Lato"/>
                <w:bCs/>
                <w:noProof/>
                <w:sz w:val="20"/>
                <w:szCs w:val="20"/>
              </w:rPr>
              <w:t>2. Zabezpieczenie sanitarne imprez masowych</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_Toc225859084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63</w:t>
            </w:r>
            <w:r w:rsidRPr="002A494C">
              <w:rPr>
                <w:rFonts w:ascii="Lato" w:hAnsi="Lato"/>
                <w:noProof/>
                <w:webHidden/>
                <w:sz w:val="20"/>
                <w:szCs w:val="20"/>
              </w:rPr>
              <w:fldChar w:fldCharType="end"/>
            </w:r>
          </w:hyperlink>
        </w:p>
        <w:p w14:paraId="01A4FB48" w14:textId="15A9E03C"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85" w:history="1">
            <w:r w:rsidRPr="002A494C">
              <w:rPr>
                <w:rStyle w:val="Hipercze"/>
                <w:rFonts w:ascii="Lato" w:hAnsi="Lato"/>
                <w:bCs/>
                <w:noProof/>
                <w:sz w:val="20"/>
                <w:szCs w:val="20"/>
              </w:rPr>
              <w:t>3. Nadzór nad postępowaniem ze zwłokami i szczątkami ludzkimi</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_Toc225859085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65</w:t>
            </w:r>
            <w:r w:rsidRPr="002A494C">
              <w:rPr>
                <w:rFonts w:ascii="Lato" w:hAnsi="Lato"/>
                <w:noProof/>
                <w:webHidden/>
                <w:sz w:val="20"/>
                <w:szCs w:val="20"/>
              </w:rPr>
              <w:fldChar w:fldCharType="end"/>
            </w:r>
          </w:hyperlink>
        </w:p>
        <w:p w14:paraId="3148B16E" w14:textId="0AE11F1D" w:rsidR="002A494C" w:rsidRPr="004A1952" w:rsidRDefault="002A494C" w:rsidP="004A1952">
          <w:pPr>
            <w:pStyle w:val="Spistreci1"/>
            <w:rPr>
              <w:rFonts w:eastAsiaTheme="minorEastAsia" w:cstheme="minorBidi"/>
              <w:kern w:val="2"/>
              <w14:ligatures w14:val="standardContextual"/>
            </w:rPr>
          </w:pPr>
          <w:hyperlink w:anchor="_Toc225859086" w:history="1">
            <w:r w:rsidRPr="004A1952">
              <w:rPr>
                <w:rStyle w:val="Hipercze"/>
                <w:color w:val="153D63" w:themeColor="text2" w:themeTint="E6"/>
              </w:rPr>
              <w:t>VIII. Warunki higieniczno-sanitarne w placówkach oświatowo-wychowawczych</w:t>
            </w:r>
            <w:r w:rsidRPr="004A1952">
              <w:rPr>
                <w:webHidden/>
              </w:rPr>
              <w:tab/>
            </w:r>
            <w:r w:rsidRPr="004A1952">
              <w:rPr>
                <w:webHidden/>
              </w:rPr>
              <w:fldChar w:fldCharType="begin"/>
            </w:r>
            <w:r w:rsidRPr="004A1952">
              <w:rPr>
                <w:webHidden/>
              </w:rPr>
              <w:instrText xml:space="preserve"> PAGEREF _Toc225859086 \h </w:instrText>
            </w:r>
            <w:r w:rsidRPr="004A1952">
              <w:rPr>
                <w:webHidden/>
              </w:rPr>
            </w:r>
            <w:r w:rsidRPr="004A1952">
              <w:rPr>
                <w:webHidden/>
              </w:rPr>
              <w:fldChar w:fldCharType="separate"/>
            </w:r>
            <w:r w:rsidR="00E53DE8">
              <w:rPr>
                <w:webHidden/>
              </w:rPr>
              <w:t>66</w:t>
            </w:r>
            <w:r w:rsidRPr="004A1952">
              <w:rPr>
                <w:webHidden/>
              </w:rPr>
              <w:fldChar w:fldCharType="end"/>
            </w:r>
          </w:hyperlink>
        </w:p>
        <w:p w14:paraId="4CCB8C3F" w14:textId="30E2703F"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87" w:history="1">
            <w:r w:rsidRPr="002A494C">
              <w:rPr>
                <w:rStyle w:val="Hipercze"/>
                <w:rFonts w:ascii="Lato" w:hAnsi="Lato"/>
                <w:bCs/>
                <w:noProof/>
                <w:sz w:val="20"/>
                <w:szCs w:val="20"/>
              </w:rPr>
              <w:t>1. Stan higieniczno-sanitarny placówek oświatowo – wychowawczych</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_Toc225859087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66</w:t>
            </w:r>
            <w:r w:rsidRPr="002A494C">
              <w:rPr>
                <w:rFonts w:ascii="Lato" w:hAnsi="Lato"/>
                <w:noProof/>
                <w:webHidden/>
                <w:sz w:val="20"/>
                <w:szCs w:val="20"/>
              </w:rPr>
              <w:fldChar w:fldCharType="end"/>
            </w:r>
          </w:hyperlink>
        </w:p>
        <w:p w14:paraId="37D03693" w14:textId="40778CB3"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88" w:history="1">
            <w:r w:rsidRPr="002A494C">
              <w:rPr>
                <w:rStyle w:val="Hipercze"/>
                <w:rFonts w:ascii="Lato" w:hAnsi="Lato"/>
                <w:bCs/>
                <w:noProof/>
                <w:sz w:val="20"/>
                <w:szCs w:val="20"/>
              </w:rPr>
              <w:t>2. Higiena procesów nauczania</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_Toc225859088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67</w:t>
            </w:r>
            <w:r w:rsidRPr="002A494C">
              <w:rPr>
                <w:rFonts w:ascii="Lato" w:hAnsi="Lato"/>
                <w:noProof/>
                <w:webHidden/>
                <w:sz w:val="20"/>
                <w:szCs w:val="20"/>
              </w:rPr>
              <w:fldChar w:fldCharType="end"/>
            </w:r>
          </w:hyperlink>
        </w:p>
        <w:p w14:paraId="49CA73ED" w14:textId="3D09D4A8"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89" w:history="1">
            <w:r w:rsidRPr="002A494C">
              <w:rPr>
                <w:rStyle w:val="Hipercze"/>
                <w:rFonts w:ascii="Lato" w:hAnsi="Lato"/>
                <w:bCs/>
                <w:noProof/>
                <w:sz w:val="20"/>
                <w:szCs w:val="20"/>
              </w:rPr>
              <w:t>3. Warunki do prowadzenia zajęć wychowania fizycznego</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_Toc225859089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68</w:t>
            </w:r>
            <w:r w:rsidRPr="002A494C">
              <w:rPr>
                <w:rFonts w:ascii="Lato" w:hAnsi="Lato"/>
                <w:noProof/>
                <w:webHidden/>
                <w:sz w:val="20"/>
                <w:szCs w:val="20"/>
              </w:rPr>
              <w:fldChar w:fldCharType="end"/>
            </w:r>
          </w:hyperlink>
        </w:p>
        <w:p w14:paraId="76CE32B8" w14:textId="60316112"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90" w:history="1">
            <w:r w:rsidRPr="002A494C">
              <w:rPr>
                <w:rStyle w:val="Hipercze"/>
                <w:rFonts w:ascii="Lato" w:eastAsia="Calibri" w:hAnsi="Lato"/>
                <w:bCs/>
                <w:noProof/>
                <w:sz w:val="20"/>
                <w:szCs w:val="20"/>
              </w:rPr>
              <w:t>4. Warunki realizacji profilaktycznej opieki zdrowotnej nad uczniami w szkołach</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_Toc225859090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68</w:t>
            </w:r>
            <w:r w:rsidRPr="002A494C">
              <w:rPr>
                <w:rFonts w:ascii="Lato" w:hAnsi="Lato"/>
                <w:noProof/>
                <w:webHidden/>
                <w:sz w:val="20"/>
                <w:szCs w:val="20"/>
              </w:rPr>
              <w:fldChar w:fldCharType="end"/>
            </w:r>
          </w:hyperlink>
        </w:p>
        <w:p w14:paraId="5F7CC510" w14:textId="24FE479A"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91" w:history="1">
            <w:r w:rsidRPr="002A494C">
              <w:rPr>
                <w:rStyle w:val="Hipercze"/>
                <w:rFonts w:ascii="Lato" w:hAnsi="Lato"/>
                <w:bCs/>
                <w:noProof/>
                <w:sz w:val="20"/>
                <w:szCs w:val="20"/>
                <w:lang w:eastAsia="ar-SA" w:bidi="en-US"/>
              </w:rPr>
              <w:t>5. Żywienie dzieci i młodzieży w placówkach</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_Toc225859091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69</w:t>
            </w:r>
            <w:r w:rsidRPr="002A494C">
              <w:rPr>
                <w:rFonts w:ascii="Lato" w:hAnsi="Lato"/>
                <w:noProof/>
                <w:webHidden/>
                <w:sz w:val="20"/>
                <w:szCs w:val="20"/>
              </w:rPr>
              <w:fldChar w:fldCharType="end"/>
            </w:r>
          </w:hyperlink>
        </w:p>
        <w:p w14:paraId="50A0D958" w14:textId="256F8E7F" w:rsidR="002A494C" w:rsidRPr="002A494C" w:rsidRDefault="002A494C" w:rsidP="004A1952">
          <w:pPr>
            <w:pStyle w:val="Spistreci1"/>
            <w:rPr>
              <w:rFonts w:eastAsiaTheme="minorEastAsia" w:cstheme="minorBidi"/>
              <w:kern w:val="2"/>
              <w14:ligatures w14:val="standardContextual"/>
            </w:rPr>
          </w:pPr>
          <w:hyperlink w:anchor="_Toc225859092" w:history="1">
            <w:r w:rsidRPr="002A494C">
              <w:rPr>
                <w:rStyle w:val="Hipercze"/>
                <w:color w:val="0E2841" w:themeColor="text2"/>
                <w14:textFill>
                  <w14:solidFill>
                    <w14:schemeClr w14:val="tx2">
                      <w14:lumMod w14:val="90000"/>
                      <w14:lumOff w14:val="10000"/>
                      <w14:lumMod w14:val="90000"/>
                      <w14:lumOff w14:val="10000"/>
                    </w14:schemeClr>
                  </w14:solidFill>
                </w14:textFill>
              </w:rPr>
              <w:t>IX. Warunki wypoczynku oraz rekreacji dzieci i młodzieży – stan sanitarno-techniczny obiektów wypoczynkowych</w:t>
            </w:r>
            <w:r w:rsidRPr="002A494C">
              <w:rPr>
                <w:webHidden/>
              </w:rPr>
              <w:tab/>
            </w:r>
            <w:r w:rsidRPr="002A494C">
              <w:rPr>
                <w:webHidden/>
              </w:rPr>
              <w:fldChar w:fldCharType="begin"/>
            </w:r>
            <w:r w:rsidRPr="002A494C">
              <w:rPr>
                <w:webHidden/>
              </w:rPr>
              <w:instrText xml:space="preserve"> PAGEREF _Toc225859092 \h </w:instrText>
            </w:r>
            <w:r w:rsidRPr="002A494C">
              <w:rPr>
                <w:webHidden/>
              </w:rPr>
            </w:r>
            <w:r w:rsidRPr="002A494C">
              <w:rPr>
                <w:webHidden/>
              </w:rPr>
              <w:fldChar w:fldCharType="separate"/>
            </w:r>
            <w:r w:rsidR="00E53DE8">
              <w:rPr>
                <w:webHidden/>
              </w:rPr>
              <w:t>71</w:t>
            </w:r>
            <w:r w:rsidRPr="002A494C">
              <w:rPr>
                <w:webHidden/>
              </w:rPr>
              <w:fldChar w:fldCharType="end"/>
            </w:r>
          </w:hyperlink>
        </w:p>
        <w:p w14:paraId="45BED957" w14:textId="1D719F5B" w:rsidR="002A494C" w:rsidRPr="002A494C" w:rsidRDefault="002A494C" w:rsidP="004A1952">
          <w:pPr>
            <w:pStyle w:val="Spistreci1"/>
            <w:rPr>
              <w:rFonts w:eastAsiaTheme="minorEastAsia" w:cstheme="minorBidi"/>
              <w:kern w:val="2"/>
              <w14:ligatures w14:val="standardContextual"/>
            </w:rPr>
          </w:pPr>
          <w:hyperlink w:anchor="_Toc225859093" w:history="1">
            <w:r w:rsidRPr="002A494C">
              <w:rPr>
                <w:rStyle w:val="Hipercze"/>
                <w:color w:val="0E2841" w:themeColor="text2"/>
                <w14:textFill>
                  <w14:solidFill>
                    <w14:schemeClr w14:val="tx2">
                      <w14:lumMod w14:val="90000"/>
                      <w14:lumOff w14:val="10000"/>
                      <w14:lumMod w14:val="90000"/>
                      <w14:lumOff w14:val="10000"/>
                    </w14:schemeClr>
                  </w14:solidFill>
                </w14:textFill>
              </w:rPr>
              <w:t>X. Warunki higienicznosanitarne środowiska pracy</w:t>
            </w:r>
            <w:r w:rsidRPr="002A494C">
              <w:rPr>
                <w:webHidden/>
              </w:rPr>
              <w:tab/>
            </w:r>
            <w:r w:rsidRPr="002A494C">
              <w:rPr>
                <w:webHidden/>
              </w:rPr>
              <w:fldChar w:fldCharType="begin"/>
            </w:r>
            <w:r w:rsidRPr="002A494C">
              <w:rPr>
                <w:webHidden/>
              </w:rPr>
              <w:instrText xml:space="preserve"> PAGEREF _Toc225859093 \h </w:instrText>
            </w:r>
            <w:r w:rsidRPr="002A494C">
              <w:rPr>
                <w:webHidden/>
              </w:rPr>
            </w:r>
            <w:r w:rsidRPr="002A494C">
              <w:rPr>
                <w:webHidden/>
              </w:rPr>
              <w:fldChar w:fldCharType="separate"/>
            </w:r>
            <w:r w:rsidR="00E53DE8">
              <w:rPr>
                <w:webHidden/>
              </w:rPr>
              <w:t>72</w:t>
            </w:r>
            <w:r w:rsidRPr="002A494C">
              <w:rPr>
                <w:webHidden/>
              </w:rPr>
              <w:fldChar w:fldCharType="end"/>
            </w:r>
          </w:hyperlink>
        </w:p>
        <w:p w14:paraId="45A4A650" w14:textId="75AF34C0"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94" w:history="1">
            <w:r w:rsidRPr="002A494C">
              <w:rPr>
                <w:rStyle w:val="Hipercze"/>
                <w:rFonts w:ascii="Lato" w:hAnsi="Lato"/>
                <w:noProof/>
                <w:sz w:val="20"/>
                <w:szCs w:val="20"/>
              </w:rPr>
              <w:t>1.</w:t>
            </w:r>
            <w:r w:rsidRPr="002A494C">
              <w:rPr>
                <w:rStyle w:val="Hipercze"/>
                <w:rFonts w:ascii="Lato" w:hAnsi="Lato"/>
                <w:bCs/>
                <w:noProof/>
                <w:sz w:val="20"/>
                <w:szCs w:val="20"/>
              </w:rPr>
              <w:t xml:space="preserve"> Stan sanitarny zakładów pracy</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_Toc225859094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72</w:t>
            </w:r>
            <w:r w:rsidRPr="002A494C">
              <w:rPr>
                <w:rFonts w:ascii="Lato" w:hAnsi="Lato"/>
                <w:noProof/>
                <w:webHidden/>
                <w:sz w:val="20"/>
                <w:szCs w:val="20"/>
              </w:rPr>
              <w:fldChar w:fldCharType="end"/>
            </w:r>
          </w:hyperlink>
        </w:p>
        <w:p w14:paraId="588D1E62" w14:textId="16774CE8"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95" w:history="1">
            <w:r w:rsidRPr="002A494C">
              <w:rPr>
                <w:rStyle w:val="Hipercze"/>
                <w:rFonts w:ascii="Lato" w:hAnsi="Lato"/>
                <w:noProof/>
                <w:sz w:val="20"/>
                <w:szCs w:val="20"/>
              </w:rPr>
              <w:t>2.</w:t>
            </w:r>
            <w:r w:rsidRPr="002A494C">
              <w:rPr>
                <w:rStyle w:val="Hipercze"/>
                <w:rFonts w:ascii="Lato" w:hAnsi="Lato"/>
                <w:bCs/>
                <w:noProof/>
                <w:sz w:val="20"/>
                <w:szCs w:val="20"/>
              </w:rPr>
              <w:t xml:space="preserve"> Narażenie na czynniki szkodliwe i uciążliwe dla zdrowia w środowisku pracy</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_Toc225859095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73</w:t>
            </w:r>
            <w:r w:rsidRPr="002A494C">
              <w:rPr>
                <w:rFonts w:ascii="Lato" w:hAnsi="Lato"/>
                <w:noProof/>
                <w:webHidden/>
                <w:sz w:val="20"/>
                <w:szCs w:val="20"/>
              </w:rPr>
              <w:fldChar w:fldCharType="end"/>
            </w:r>
          </w:hyperlink>
        </w:p>
        <w:p w14:paraId="38D36ED8" w14:textId="5DE3D9BE"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96" w:history="1">
            <w:r w:rsidRPr="002A494C">
              <w:rPr>
                <w:rStyle w:val="Hipercze"/>
                <w:rFonts w:ascii="Lato" w:hAnsi="Lato"/>
                <w:noProof/>
                <w:sz w:val="20"/>
                <w:szCs w:val="20"/>
              </w:rPr>
              <w:t>3.</w:t>
            </w:r>
            <w:r w:rsidRPr="002A494C">
              <w:rPr>
                <w:rStyle w:val="Hipercze"/>
                <w:rFonts w:ascii="Lato" w:hAnsi="Lato"/>
                <w:bCs/>
                <w:noProof/>
                <w:sz w:val="20"/>
                <w:szCs w:val="20"/>
              </w:rPr>
              <w:t xml:space="preserve"> Narażenie na czynniki rakotwórcze, mutagenne i reprotoksyczne w środowisku pracy</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_Toc225859096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74</w:t>
            </w:r>
            <w:r w:rsidRPr="002A494C">
              <w:rPr>
                <w:rFonts w:ascii="Lato" w:hAnsi="Lato"/>
                <w:noProof/>
                <w:webHidden/>
                <w:sz w:val="20"/>
                <w:szCs w:val="20"/>
              </w:rPr>
              <w:fldChar w:fldCharType="end"/>
            </w:r>
          </w:hyperlink>
        </w:p>
        <w:p w14:paraId="225014C2" w14:textId="1AE8AF11"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97" w:history="1">
            <w:r w:rsidRPr="002A494C">
              <w:rPr>
                <w:rStyle w:val="Hipercze"/>
                <w:rFonts w:ascii="Lato" w:hAnsi="Lato"/>
                <w:noProof/>
                <w:sz w:val="20"/>
                <w:szCs w:val="20"/>
              </w:rPr>
              <w:t>4.</w:t>
            </w:r>
            <w:r w:rsidRPr="002A494C">
              <w:rPr>
                <w:rStyle w:val="Hipercze"/>
                <w:rFonts w:ascii="Lato" w:hAnsi="Lato"/>
                <w:bCs/>
                <w:noProof/>
                <w:sz w:val="20"/>
                <w:szCs w:val="20"/>
              </w:rPr>
              <w:t xml:space="preserve"> Narażenie na szkodliwe czynniki biologiczne w środowisku pracy</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_Toc225859097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75</w:t>
            </w:r>
            <w:r w:rsidRPr="002A494C">
              <w:rPr>
                <w:rFonts w:ascii="Lato" w:hAnsi="Lato"/>
                <w:noProof/>
                <w:webHidden/>
                <w:sz w:val="20"/>
                <w:szCs w:val="20"/>
              </w:rPr>
              <w:fldChar w:fldCharType="end"/>
            </w:r>
          </w:hyperlink>
        </w:p>
        <w:p w14:paraId="75392A78" w14:textId="1335D87F"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98" w:history="1">
            <w:r w:rsidRPr="002A494C">
              <w:rPr>
                <w:rStyle w:val="Hipercze"/>
                <w:rFonts w:ascii="Lato" w:hAnsi="Lato" w:cstheme="minorHAnsi"/>
                <w:noProof/>
                <w:sz w:val="20"/>
                <w:szCs w:val="20"/>
              </w:rPr>
              <w:t>5.</w:t>
            </w:r>
            <w:r w:rsidRPr="002A494C">
              <w:rPr>
                <w:rStyle w:val="Hipercze"/>
                <w:rFonts w:ascii="Lato" w:hAnsi="Lato"/>
                <w:bCs/>
                <w:noProof/>
                <w:sz w:val="20"/>
                <w:szCs w:val="20"/>
              </w:rPr>
              <w:t xml:space="preserve"> Stosowanie substancji chemicznych i ich mieszanin</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_Toc225859098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76</w:t>
            </w:r>
            <w:r w:rsidRPr="002A494C">
              <w:rPr>
                <w:rFonts w:ascii="Lato" w:hAnsi="Lato"/>
                <w:noProof/>
                <w:webHidden/>
                <w:sz w:val="20"/>
                <w:szCs w:val="20"/>
              </w:rPr>
              <w:fldChar w:fldCharType="end"/>
            </w:r>
          </w:hyperlink>
        </w:p>
        <w:p w14:paraId="2D1F2F30" w14:textId="5A9002DD"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099" w:history="1">
            <w:r w:rsidRPr="002A494C">
              <w:rPr>
                <w:rStyle w:val="Hipercze"/>
                <w:rFonts w:ascii="Lato" w:hAnsi="Lato"/>
                <w:noProof/>
                <w:sz w:val="20"/>
                <w:szCs w:val="20"/>
              </w:rPr>
              <w:t>6.</w:t>
            </w:r>
            <w:r w:rsidRPr="002A494C">
              <w:rPr>
                <w:rStyle w:val="Hipercze"/>
                <w:rFonts w:ascii="Lato" w:hAnsi="Lato"/>
                <w:bCs/>
                <w:noProof/>
                <w:sz w:val="20"/>
                <w:szCs w:val="20"/>
              </w:rPr>
              <w:t xml:space="preserve"> Choroby zawodowe</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_Toc225859099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76</w:t>
            </w:r>
            <w:r w:rsidRPr="002A494C">
              <w:rPr>
                <w:rFonts w:ascii="Lato" w:hAnsi="Lato"/>
                <w:noProof/>
                <w:webHidden/>
                <w:sz w:val="20"/>
                <w:szCs w:val="20"/>
              </w:rPr>
              <w:fldChar w:fldCharType="end"/>
            </w:r>
          </w:hyperlink>
        </w:p>
        <w:p w14:paraId="20620601" w14:textId="25DE2137" w:rsidR="002A494C" w:rsidRPr="002A494C" w:rsidRDefault="002A494C" w:rsidP="004A1952">
          <w:pPr>
            <w:pStyle w:val="Spistreci1"/>
            <w:rPr>
              <w:rFonts w:eastAsiaTheme="minorEastAsia" w:cstheme="minorBidi"/>
              <w:kern w:val="2"/>
              <w14:ligatures w14:val="standardContextual"/>
            </w:rPr>
          </w:pPr>
          <w:hyperlink w:anchor="_Toc225859100" w:history="1">
            <w:r w:rsidRPr="002A494C">
              <w:rPr>
                <w:rStyle w:val="Hipercze"/>
                <w:color w:val="0E2841" w:themeColor="text2"/>
                <w14:textFill>
                  <w14:solidFill>
                    <w14:schemeClr w14:val="tx2">
                      <w14:lumMod w14:val="90000"/>
                      <w14:lumOff w14:val="10000"/>
                      <w14:lumMod w14:val="90000"/>
                      <w14:lumOff w14:val="10000"/>
                    </w14:schemeClr>
                  </w14:solidFill>
                </w14:textFill>
              </w:rPr>
              <w:t>XI. Higiena Radiacyjna</w:t>
            </w:r>
            <w:r w:rsidRPr="002A494C">
              <w:rPr>
                <w:webHidden/>
              </w:rPr>
              <w:tab/>
            </w:r>
            <w:r w:rsidRPr="002A494C">
              <w:rPr>
                <w:webHidden/>
              </w:rPr>
              <w:fldChar w:fldCharType="begin"/>
            </w:r>
            <w:r w:rsidRPr="002A494C">
              <w:rPr>
                <w:webHidden/>
              </w:rPr>
              <w:instrText xml:space="preserve"> PAGEREF _Toc225859100 \h </w:instrText>
            </w:r>
            <w:r w:rsidRPr="002A494C">
              <w:rPr>
                <w:webHidden/>
              </w:rPr>
            </w:r>
            <w:r w:rsidRPr="002A494C">
              <w:rPr>
                <w:webHidden/>
              </w:rPr>
              <w:fldChar w:fldCharType="separate"/>
            </w:r>
            <w:r w:rsidR="00E53DE8">
              <w:rPr>
                <w:webHidden/>
              </w:rPr>
              <w:t>79</w:t>
            </w:r>
            <w:r w:rsidRPr="002A494C">
              <w:rPr>
                <w:webHidden/>
              </w:rPr>
              <w:fldChar w:fldCharType="end"/>
            </w:r>
          </w:hyperlink>
        </w:p>
        <w:p w14:paraId="6B8D055D" w14:textId="4583DDBB" w:rsidR="002A494C" w:rsidRPr="002A494C" w:rsidRDefault="002A494C" w:rsidP="004A1952">
          <w:pPr>
            <w:pStyle w:val="Spistreci1"/>
            <w:rPr>
              <w:rFonts w:eastAsiaTheme="minorEastAsia" w:cstheme="minorBidi"/>
              <w:kern w:val="2"/>
              <w14:ligatures w14:val="standardContextual"/>
            </w:rPr>
          </w:pPr>
          <w:hyperlink w:anchor="_Toc225859101" w:history="1">
            <w:r w:rsidRPr="002A494C">
              <w:rPr>
                <w:rStyle w:val="Hipercze"/>
                <w:color w:val="0E2841" w:themeColor="text2"/>
                <w14:textFill>
                  <w14:solidFill>
                    <w14:schemeClr w14:val="tx2">
                      <w14:lumMod w14:val="90000"/>
                      <w14:lumOff w14:val="10000"/>
                      <w14:lumMod w14:val="90000"/>
                      <w14:lumOff w14:val="10000"/>
                    </w14:schemeClr>
                  </w14:solidFill>
                </w14:textFill>
              </w:rPr>
              <w:t>XII. Nadzór nad Chemikaliami</w:t>
            </w:r>
            <w:r w:rsidRPr="002A494C">
              <w:rPr>
                <w:webHidden/>
              </w:rPr>
              <w:tab/>
            </w:r>
            <w:r w:rsidRPr="002A494C">
              <w:rPr>
                <w:webHidden/>
              </w:rPr>
              <w:fldChar w:fldCharType="begin"/>
            </w:r>
            <w:r w:rsidRPr="002A494C">
              <w:rPr>
                <w:webHidden/>
              </w:rPr>
              <w:instrText xml:space="preserve"> PAGEREF _Toc225859101 \h </w:instrText>
            </w:r>
            <w:r w:rsidRPr="002A494C">
              <w:rPr>
                <w:webHidden/>
              </w:rPr>
            </w:r>
            <w:r w:rsidRPr="002A494C">
              <w:rPr>
                <w:webHidden/>
              </w:rPr>
              <w:fldChar w:fldCharType="separate"/>
            </w:r>
            <w:r w:rsidR="00E53DE8">
              <w:rPr>
                <w:webHidden/>
              </w:rPr>
              <w:t>82</w:t>
            </w:r>
            <w:r w:rsidRPr="002A494C">
              <w:rPr>
                <w:webHidden/>
              </w:rPr>
              <w:fldChar w:fldCharType="end"/>
            </w:r>
          </w:hyperlink>
        </w:p>
        <w:p w14:paraId="1C13B90C" w14:textId="039F08FB"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102" w:history="1">
            <w:r w:rsidRPr="002A494C">
              <w:rPr>
                <w:rStyle w:val="Hipercze"/>
                <w:rFonts w:ascii="Lato" w:hAnsi="Lato"/>
                <w:bCs/>
                <w:noProof/>
                <w:sz w:val="20"/>
                <w:szCs w:val="20"/>
              </w:rPr>
              <w:t>1. Substancje chemiczne i ich mieszaniny</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_Toc225859102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82</w:t>
            </w:r>
            <w:r w:rsidRPr="002A494C">
              <w:rPr>
                <w:rFonts w:ascii="Lato" w:hAnsi="Lato"/>
                <w:noProof/>
                <w:webHidden/>
                <w:sz w:val="20"/>
                <w:szCs w:val="20"/>
              </w:rPr>
              <w:fldChar w:fldCharType="end"/>
            </w:r>
          </w:hyperlink>
        </w:p>
        <w:p w14:paraId="3BAEC95E" w14:textId="572DC366"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103" w:history="1">
            <w:r w:rsidRPr="002A494C">
              <w:rPr>
                <w:rStyle w:val="Hipercze"/>
                <w:rFonts w:ascii="Lato" w:hAnsi="Lato"/>
                <w:bCs/>
                <w:noProof/>
                <w:sz w:val="20"/>
                <w:szCs w:val="20"/>
              </w:rPr>
              <w:t>2. Produkty biobójcze</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_Toc225859103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82</w:t>
            </w:r>
            <w:r w:rsidRPr="002A494C">
              <w:rPr>
                <w:rFonts w:ascii="Lato" w:hAnsi="Lato"/>
                <w:noProof/>
                <w:webHidden/>
                <w:sz w:val="20"/>
                <w:szCs w:val="20"/>
              </w:rPr>
              <w:fldChar w:fldCharType="end"/>
            </w:r>
          </w:hyperlink>
        </w:p>
        <w:p w14:paraId="3B6FE3FB" w14:textId="063E906E"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104" w:history="1">
            <w:r w:rsidRPr="002A494C">
              <w:rPr>
                <w:rStyle w:val="Hipercze"/>
                <w:rFonts w:ascii="Lato" w:hAnsi="Lato"/>
                <w:bCs/>
                <w:noProof/>
                <w:sz w:val="20"/>
                <w:szCs w:val="20"/>
              </w:rPr>
              <w:t>3. Środki zastępcze, nowe substancje psychoaktywne oraz prekursory narkotyków kat. 2 i 3</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_Toc225859104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83</w:t>
            </w:r>
            <w:r w:rsidRPr="002A494C">
              <w:rPr>
                <w:rFonts w:ascii="Lato" w:hAnsi="Lato"/>
                <w:noProof/>
                <w:webHidden/>
                <w:sz w:val="20"/>
                <w:szCs w:val="20"/>
              </w:rPr>
              <w:fldChar w:fldCharType="end"/>
            </w:r>
          </w:hyperlink>
        </w:p>
        <w:p w14:paraId="4E89DCF0" w14:textId="08412BE3" w:rsidR="002A494C" w:rsidRPr="002A494C" w:rsidRDefault="002A494C" w:rsidP="004A1952">
          <w:pPr>
            <w:pStyle w:val="Spistreci1"/>
            <w:rPr>
              <w:rFonts w:eastAsiaTheme="minorEastAsia" w:cstheme="minorBidi"/>
              <w:kern w:val="2"/>
              <w14:ligatures w14:val="standardContextual"/>
            </w:rPr>
          </w:pPr>
          <w:hyperlink w:anchor="_Toc225859105" w:history="1">
            <w:r w:rsidRPr="002A494C">
              <w:rPr>
                <w:rStyle w:val="Hipercze"/>
                <w:color w:val="0E2841" w:themeColor="text2"/>
                <w14:textFill>
                  <w14:solidFill>
                    <w14:schemeClr w14:val="tx2">
                      <w14:lumMod w14:val="90000"/>
                      <w14:lumOff w14:val="10000"/>
                      <w14:lumMod w14:val="90000"/>
                      <w14:lumOff w14:val="10000"/>
                    </w14:schemeClr>
                  </w14:solidFill>
                </w14:textFill>
              </w:rPr>
              <w:t>XIII. Nadzór nad produktami kosmetycznymi</w:t>
            </w:r>
            <w:r w:rsidRPr="002A494C">
              <w:rPr>
                <w:webHidden/>
              </w:rPr>
              <w:tab/>
            </w:r>
            <w:r w:rsidRPr="002A494C">
              <w:rPr>
                <w:webHidden/>
              </w:rPr>
              <w:fldChar w:fldCharType="begin"/>
            </w:r>
            <w:r w:rsidRPr="002A494C">
              <w:rPr>
                <w:webHidden/>
              </w:rPr>
              <w:instrText xml:space="preserve"> PAGEREF _Toc225859105 \h </w:instrText>
            </w:r>
            <w:r w:rsidRPr="002A494C">
              <w:rPr>
                <w:webHidden/>
              </w:rPr>
            </w:r>
            <w:r w:rsidRPr="002A494C">
              <w:rPr>
                <w:webHidden/>
              </w:rPr>
              <w:fldChar w:fldCharType="separate"/>
            </w:r>
            <w:r w:rsidR="00E53DE8">
              <w:rPr>
                <w:webHidden/>
              </w:rPr>
              <w:t>84</w:t>
            </w:r>
            <w:r w:rsidRPr="002A494C">
              <w:rPr>
                <w:webHidden/>
              </w:rPr>
              <w:fldChar w:fldCharType="end"/>
            </w:r>
          </w:hyperlink>
        </w:p>
        <w:p w14:paraId="19EDCB57" w14:textId="673F6A37" w:rsidR="002A494C" w:rsidRPr="002A494C" w:rsidRDefault="002A494C" w:rsidP="004A1952">
          <w:pPr>
            <w:pStyle w:val="Spistreci1"/>
            <w:rPr>
              <w:rFonts w:eastAsiaTheme="minorEastAsia" w:cstheme="minorBidi"/>
              <w:kern w:val="2"/>
              <w14:ligatures w14:val="standardContextual"/>
            </w:rPr>
          </w:pPr>
          <w:hyperlink w:anchor="_Toc225859106" w:history="1">
            <w:r w:rsidRPr="002A494C">
              <w:rPr>
                <w:rStyle w:val="Hipercze"/>
                <w:color w:val="0E2841" w:themeColor="text2"/>
                <w14:textFill>
                  <w14:solidFill>
                    <w14:schemeClr w14:val="tx2">
                      <w14:lumMod w14:val="90000"/>
                      <w14:lumOff w14:val="10000"/>
                      <w14:lumMod w14:val="90000"/>
                      <w14:lumOff w14:val="10000"/>
                    </w14:schemeClr>
                  </w14:solidFill>
                </w14:textFill>
              </w:rPr>
              <w:t>XIV. Zapobiegawczy Nadzór Sanitarny</w:t>
            </w:r>
            <w:r w:rsidRPr="002A494C">
              <w:rPr>
                <w:webHidden/>
              </w:rPr>
              <w:tab/>
            </w:r>
            <w:r w:rsidRPr="002A494C">
              <w:rPr>
                <w:webHidden/>
              </w:rPr>
              <w:fldChar w:fldCharType="begin"/>
            </w:r>
            <w:r w:rsidRPr="002A494C">
              <w:rPr>
                <w:webHidden/>
              </w:rPr>
              <w:instrText xml:space="preserve"> PAGEREF _Toc225859106 \h </w:instrText>
            </w:r>
            <w:r w:rsidRPr="002A494C">
              <w:rPr>
                <w:webHidden/>
              </w:rPr>
            </w:r>
            <w:r w:rsidRPr="002A494C">
              <w:rPr>
                <w:webHidden/>
              </w:rPr>
              <w:fldChar w:fldCharType="separate"/>
            </w:r>
            <w:r w:rsidR="00E53DE8">
              <w:rPr>
                <w:webHidden/>
              </w:rPr>
              <w:t>85</w:t>
            </w:r>
            <w:r w:rsidRPr="002A494C">
              <w:rPr>
                <w:webHidden/>
              </w:rPr>
              <w:fldChar w:fldCharType="end"/>
            </w:r>
          </w:hyperlink>
        </w:p>
        <w:p w14:paraId="529E8E83" w14:textId="40F99A7D" w:rsidR="002A494C" w:rsidRPr="002A494C" w:rsidRDefault="002A494C" w:rsidP="004A1952">
          <w:pPr>
            <w:pStyle w:val="Spistreci1"/>
            <w:rPr>
              <w:rFonts w:eastAsiaTheme="minorEastAsia" w:cstheme="minorBidi"/>
              <w:kern w:val="2"/>
              <w14:ligatures w14:val="standardContextual"/>
            </w:rPr>
          </w:pPr>
          <w:hyperlink w:anchor="_Toc225859107" w:history="1">
            <w:r w:rsidRPr="002A494C">
              <w:rPr>
                <w:rStyle w:val="Hipercze"/>
                <w:rFonts w:eastAsia="Calibri"/>
                <w:color w:val="0E2841" w:themeColor="text2"/>
                <w14:textFill>
                  <w14:solidFill>
                    <w14:schemeClr w14:val="tx2">
                      <w14:lumMod w14:val="90000"/>
                      <w14:lumOff w14:val="10000"/>
                      <w14:lumMod w14:val="90000"/>
                      <w14:lumOff w14:val="10000"/>
                    </w14:schemeClr>
                  </w14:solidFill>
                </w14:textFill>
              </w:rPr>
              <w:t>XV. Profilaktyka i Promocja Zdrowia</w:t>
            </w:r>
            <w:r w:rsidRPr="002A494C">
              <w:rPr>
                <w:webHidden/>
              </w:rPr>
              <w:tab/>
            </w:r>
            <w:r w:rsidRPr="002A494C">
              <w:rPr>
                <w:webHidden/>
              </w:rPr>
              <w:fldChar w:fldCharType="begin"/>
            </w:r>
            <w:r w:rsidRPr="002A494C">
              <w:rPr>
                <w:webHidden/>
              </w:rPr>
              <w:instrText xml:space="preserve"> PAGEREF _Toc225859107 \h </w:instrText>
            </w:r>
            <w:r w:rsidRPr="002A494C">
              <w:rPr>
                <w:webHidden/>
              </w:rPr>
            </w:r>
            <w:r w:rsidRPr="002A494C">
              <w:rPr>
                <w:webHidden/>
              </w:rPr>
              <w:fldChar w:fldCharType="separate"/>
            </w:r>
            <w:r w:rsidR="00E53DE8">
              <w:rPr>
                <w:webHidden/>
              </w:rPr>
              <w:t>88</w:t>
            </w:r>
            <w:r w:rsidRPr="002A494C">
              <w:rPr>
                <w:webHidden/>
              </w:rPr>
              <w:fldChar w:fldCharType="end"/>
            </w:r>
          </w:hyperlink>
        </w:p>
        <w:p w14:paraId="27CE237D" w14:textId="5A808867"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108" w:history="1">
            <w:r w:rsidRPr="002A494C">
              <w:rPr>
                <w:rStyle w:val="Hipercze"/>
                <w:rFonts w:ascii="Lato" w:eastAsia="Calibri" w:hAnsi="Lato"/>
                <w:noProof/>
                <w:sz w:val="20"/>
                <w:szCs w:val="20"/>
              </w:rPr>
              <w:t>1.</w:t>
            </w:r>
            <w:r w:rsidRPr="002A494C">
              <w:rPr>
                <w:rStyle w:val="Hipercze"/>
                <w:rFonts w:ascii="Lato" w:eastAsia="Calibri" w:hAnsi="Lato"/>
                <w:bCs/>
                <w:noProof/>
                <w:sz w:val="20"/>
                <w:szCs w:val="20"/>
              </w:rPr>
              <w:t xml:space="preserve"> Profilaktyka nadwagi i otyłości</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_Toc225859108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88</w:t>
            </w:r>
            <w:r w:rsidRPr="002A494C">
              <w:rPr>
                <w:rFonts w:ascii="Lato" w:hAnsi="Lato"/>
                <w:noProof/>
                <w:webHidden/>
                <w:sz w:val="20"/>
                <w:szCs w:val="20"/>
              </w:rPr>
              <w:fldChar w:fldCharType="end"/>
            </w:r>
          </w:hyperlink>
        </w:p>
        <w:p w14:paraId="2A343B78" w14:textId="57BF1E46"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09" w:history="1">
            <w:r w:rsidRPr="002A494C">
              <w:rPr>
                <w:rStyle w:val="Hipercze"/>
                <w:rFonts w:ascii="Lato" w:hAnsi="Lato"/>
                <w:noProof/>
                <w:sz w:val="20"/>
                <w:szCs w:val="20"/>
              </w:rPr>
              <w:t>1.1. Krajowy Program Edukacyjny „Trzymaj Formę!”</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_Toc225859109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88</w:t>
            </w:r>
            <w:r w:rsidRPr="002A494C">
              <w:rPr>
                <w:rFonts w:ascii="Lato" w:hAnsi="Lato"/>
                <w:noProof/>
                <w:webHidden/>
                <w:sz w:val="20"/>
                <w:szCs w:val="20"/>
              </w:rPr>
              <w:fldChar w:fldCharType="end"/>
            </w:r>
          </w:hyperlink>
        </w:p>
        <w:p w14:paraId="30DA21E4" w14:textId="3305A70E"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10" w:history="1">
            <w:r w:rsidRPr="002A494C">
              <w:rPr>
                <w:rStyle w:val="Hipercze"/>
                <w:rFonts w:ascii="Lato" w:eastAsia="Calibri" w:hAnsi="Lato" w:cs="Calibri"/>
                <w:noProof/>
                <w:sz w:val="20"/>
                <w:szCs w:val="20"/>
              </w:rPr>
              <w:t>1.2.</w:t>
            </w:r>
            <w:r w:rsidRPr="002A494C">
              <w:rPr>
                <w:rStyle w:val="Hipercze"/>
                <w:rFonts w:ascii="Lato" w:hAnsi="Lato"/>
                <w:noProof/>
                <w:sz w:val="20"/>
                <w:szCs w:val="20"/>
              </w:rPr>
              <w:t xml:space="preserve"> Promocja aktywności fizycznej i prawidłowego odżywiania</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_Toc225859110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88</w:t>
            </w:r>
            <w:r w:rsidRPr="002A494C">
              <w:rPr>
                <w:rFonts w:ascii="Lato" w:hAnsi="Lato"/>
                <w:noProof/>
                <w:webHidden/>
                <w:sz w:val="20"/>
                <w:szCs w:val="20"/>
              </w:rPr>
              <w:fldChar w:fldCharType="end"/>
            </w:r>
          </w:hyperlink>
        </w:p>
        <w:p w14:paraId="3B53039E" w14:textId="1D4E7020"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111" w:history="1">
            <w:r w:rsidRPr="002A494C">
              <w:rPr>
                <w:rStyle w:val="Hipercze"/>
                <w:rFonts w:ascii="Lato" w:eastAsia="Calibri" w:hAnsi="Lato" w:cs="Calibri"/>
                <w:noProof/>
                <w:sz w:val="20"/>
                <w:szCs w:val="20"/>
              </w:rPr>
              <w:t>2.</w:t>
            </w:r>
            <w:r w:rsidRPr="002A494C">
              <w:rPr>
                <w:rStyle w:val="Hipercze"/>
                <w:rFonts w:ascii="Lato" w:hAnsi="Lato"/>
                <w:bCs/>
                <w:noProof/>
                <w:sz w:val="20"/>
                <w:szCs w:val="20"/>
              </w:rPr>
              <w:t xml:space="preserve"> Profilaktyka palenia tytoniu</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_Toc225859111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89</w:t>
            </w:r>
            <w:r w:rsidRPr="002A494C">
              <w:rPr>
                <w:rFonts w:ascii="Lato" w:hAnsi="Lato"/>
                <w:noProof/>
                <w:webHidden/>
                <w:sz w:val="20"/>
                <w:szCs w:val="20"/>
              </w:rPr>
              <w:fldChar w:fldCharType="end"/>
            </w:r>
          </w:hyperlink>
        </w:p>
        <w:p w14:paraId="7ABE8B6D" w14:textId="35D2E96A"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12" w:history="1">
            <w:r w:rsidRPr="002A494C">
              <w:rPr>
                <w:rStyle w:val="Hipercze"/>
                <w:rFonts w:ascii="Lato" w:eastAsia="Calibri" w:hAnsi="Lato"/>
                <w:noProof/>
                <w:sz w:val="20"/>
                <w:szCs w:val="20"/>
              </w:rPr>
              <w:t>2.1. Światowy Dzień bez Tytoniu</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_Toc225859112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89</w:t>
            </w:r>
            <w:r w:rsidRPr="002A494C">
              <w:rPr>
                <w:rFonts w:ascii="Lato" w:hAnsi="Lato"/>
                <w:noProof/>
                <w:webHidden/>
                <w:sz w:val="20"/>
                <w:szCs w:val="20"/>
              </w:rPr>
              <w:fldChar w:fldCharType="end"/>
            </w:r>
          </w:hyperlink>
        </w:p>
        <w:p w14:paraId="7AF7DC4A" w14:textId="1D75D244"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13" w:history="1">
            <w:r w:rsidRPr="002A494C">
              <w:rPr>
                <w:rStyle w:val="Hipercze"/>
                <w:rFonts w:ascii="Lato" w:eastAsia="Calibri" w:hAnsi="Lato" w:cs="Calibri"/>
                <w:noProof/>
                <w:sz w:val="20"/>
                <w:szCs w:val="20"/>
              </w:rPr>
              <w:t>2.2.</w:t>
            </w:r>
            <w:r w:rsidRPr="002A494C">
              <w:rPr>
                <w:rStyle w:val="Hipercze"/>
                <w:rFonts w:ascii="Lato" w:hAnsi="Lato"/>
                <w:noProof/>
                <w:sz w:val="20"/>
                <w:szCs w:val="20"/>
              </w:rPr>
              <w:t xml:space="preserve"> Światowy Dzień Rzucania Palenia</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_Toc225859113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89</w:t>
            </w:r>
            <w:r w:rsidRPr="002A494C">
              <w:rPr>
                <w:rFonts w:ascii="Lato" w:hAnsi="Lato"/>
                <w:noProof/>
                <w:webHidden/>
                <w:sz w:val="20"/>
                <w:szCs w:val="20"/>
              </w:rPr>
              <w:fldChar w:fldCharType="end"/>
            </w:r>
          </w:hyperlink>
        </w:p>
        <w:p w14:paraId="11CB014A" w14:textId="337DD1C3"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114" w:history="1">
            <w:r w:rsidRPr="002A494C">
              <w:rPr>
                <w:rStyle w:val="Hipercze"/>
                <w:rFonts w:ascii="Lato" w:eastAsia="Calibri" w:hAnsi="Lato" w:cs="Calibri"/>
                <w:noProof/>
                <w:sz w:val="20"/>
                <w:szCs w:val="20"/>
              </w:rPr>
              <w:t>3.</w:t>
            </w:r>
            <w:r w:rsidRPr="002A494C">
              <w:rPr>
                <w:rStyle w:val="Hipercze"/>
                <w:rFonts w:ascii="Lato" w:hAnsi="Lato"/>
                <w:bCs/>
                <w:noProof/>
                <w:sz w:val="20"/>
                <w:szCs w:val="20"/>
              </w:rPr>
              <w:t xml:space="preserve"> Profilaktyka uzależnień</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_Toc225859114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90</w:t>
            </w:r>
            <w:r w:rsidRPr="002A494C">
              <w:rPr>
                <w:rFonts w:ascii="Lato" w:hAnsi="Lato"/>
                <w:noProof/>
                <w:webHidden/>
                <w:sz w:val="20"/>
                <w:szCs w:val="20"/>
              </w:rPr>
              <w:fldChar w:fldCharType="end"/>
            </w:r>
          </w:hyperlink>
        </w:p>
        <w:p w14:paraId="33FD37D8" w14:textId="05A4A902"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15" w:history="1">
            <w:r w:rsidRPr="002A494C">
              <w:rPr>
                <w:rStyle w:val="Hipercze"/>
                <w:rFonts w:ascii="Lato" w:eastAsia="Lato" w:hAnsi="Lato"/>
                <w:noProof/>
                <w:sz w:val="20"/>
                <w:szCs w:val="20"/>
              </w:rPr>
              <w:t>3.1. Wojewódzki program profilaktyki używania substancji psychoaktywnych, w tym nowych narkotyków „Porozmawiajmy o zdrowiu i nowych zagrożeniach”</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_Toc225859115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90</w:t>
            </w:r>
            <w:r w:rsidRPr="002A494C">
              <w:rPr>
                <w:rFonts w:ascii="Lato" w:hAnsi="Lato"/>
                <w:noProof/>
                <w:webHidden/>
                <w:sz w:val="20"/>
                <w:szCs w:val="20"/>
              </w:rPr>
              <w:fldChar w:fldCharType="end"/>
            </w:r>
          </w:hyperlink>
        </w:p>
        <w:p w14:paraId="145429A5" w14:textId="63CE822B"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16" w:history="1">
            <w:r w:rsidRPr="002A494C">
              <w:rPr>
                <w:rStyle w:val="Hipercze"/>
                <w:rFonts w:ascii="Lato" w:hAnsi="Lato"/>
                <w:noProof/>
                <w:sz w:val="20"/>
                <w:szCs w:val="20"/>
              </w:rPr>
              <w:t>3.2. Profilaktyka używania substancji psychoaktywnych, w tym nowych narkotyków</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_Toc225859116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91</w:t>
            </w:r>
            <w:r w:rsidRPr="002A494C">
              <w:rPr>
                <w:rFonts w:ascii="Lato" w:hAnsi="Lato"/>
                <w:noProof/>
                <w:webHidden/>
                <w:sz w:val="20"/>
                <w:szCs w:val="20"/>
              </w:rPr>
              <w:fldChar w:fldCharType="end"/>
            </w:r>
          </w:hyperlink>
        </w:p>
        <w:p w14:paraId="7BCE600D" w14:textId="432D0AFB"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117" w:history="1">
            <w:r w:rsidRPr="002A494C">
              <w:rPr>
                <w:rStyle w:val="Hipercze"/>
                <w:rFonts w:ascii="Lato" w:eastAsia="Calibri" w:hAnsi="Lato" w:cs="Calibri"/>
                <w:noProof/>
                <w:sz w:val="20"/>
                <w:szCs w:val="20"/>
              </w:rPr>
              <w:t>4.</w:t>
            </w:r>
            <w:r w:rsidRPr="002A494C">
              <w:rPr>
                <w:rStyle w:val="Hipercze"/>
                <w:rFonts w:ascii="Lato" w:hAnsi="Lato"/>
                <w:bCs/>
                <w:noProof/>
                <w:sz w:val="20"/>
                <w:szCs w:val="20"/>
              </w:rPr>
              <w:t xml:space="preserve"> Profilaktyka zdrowia psychicznego</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_Toc225859117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91</w:t>
            </w:r>
            <w:r w:rsidRPr="002A494C">
              <w:rPr>
                <w:rFonts w:ascii="Lato" w:hAnsi="Lato"/>
                <w:noProof/>
                <w:webHidden/>
                <w:sz w:val="20"/>
                <w:szCs w:val="20"/>
              </w:rPr>
              <w:fldChar w:fldCharType="end"/>
            </w:r>
          </w:hyperlink>
        </w:p>
        <w:p w14:paraId="3747CD02" w14:textId="636E6979"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18" w:history="1">
            <w:r w:rsidRPr="002A494C">
              <w:rPr>
                <w:rStyle w:val="Hipercze"/>
                <w:rFonts w:ascii="Lato" w:eastAsia="Calibri" w:hAnsi="Lato" w:cs="Calibri"/>
                <w:noProof/>
                <w:sz w:val="20"/>
                <w:szCs w:val="20"/>
              </w:rPr>
              <w:t>4.1.</w:t>
            </w:r>
            <w:r w:rsidRPr="002A494C">
              <w:rPr>
                <w:rStyle w:val="Hipercze"/>
                <w:rFonts w:ascii="Lato" w:hAnsi="Lato"/>
                <w:noProof/>
                <w:sz w:val="20"/>
                <w:szCs w:val="20"/>
              </w:rPr>
              <w:t xml:space="preserve"> Powiatowy Program Zwalczania Depresji prowadzony przez PPIS w Łobzie na terenie powiatu łobeskiego.</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_Toc225859118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91</w:t>
            </w:r>
            <w:r w:rsidRPr="002A494C">
              <w:rPr>
                <w:rFonts w:ascii="Lato" w:hAnsi="Lato"/>
                <w:noProof/>
                <w:webHidden/>
                <w:sz w:val="20"/>
                <w:szCs w:val="20"/>
              </w:rPr>
              <w:fldChar w:fldCharType="end"/>
            </w:r>
          </w:hyperlink>
        </w:p>
        <w:p w14:paraId="589089FC" w14:textId="094DB1D2"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119" w:history="1">
            <w:r w:rsidRPr="002A494C">
              <w:rPr>
                <w:rStyle w:val="Hipercze"/>
                <w:rFonts w:ascii="Lato" w:eastAsia="Calibri" w:hAnsi="Lato" w:cs="Calibri"/>
                <w:noProof/>
                <w:sz w:val="20"/>
                <w:szCs w:val="20"/>
              </w:rPr>
              <w:t>5.</w:t>
            </w:r>
            <w:r w:rsidRPr="002A494C">
              <w:rPr>
                <w:rStyle w:val="Hipercze"/>
                <w:rFonts w:ascii="Lato" w:hAnsi="Lato"/>
                <w:bCs/>
                <w:noProof/>
                <w:sz w:val="20"/>
                <w:szCs w:val="20"/>
              </w:rPr>
              <w:t xml:space="preserve"> Profilaktyka chorób zakaźnych, w tym realizacja programu profilaktyki HIV/AIDS</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_Toc225859119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92</w:t>
            </w:r>
            <w:r w:rsidRPr="002A494C">
              <w:rPr>
                <w:rFonts w:ascii="Lato" w:hAnsi="Lato"/>
                <w:noProof/>
                <w:webHidden/>
                <w:sz w:val="20"/>
                <w:szCs w:val="20"/>
              </w:rPr>
              <w:fldChar w:fldCharType="end"/>
            </w:r>
          </w:hyperlink>
        </w:p>
        <w:p w14:paraId="3C0A7498" w14:textId="20E3404C"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20" w:history="1">
            <w:r w:rsidRPr="002A494C">
              <w:rPr>
                <w:rStyle w:val="Hipercze"/>
                <w:rFonts w:ascii="Lato" w:eastAsia="Calibri" w:hAnsi="Lato" w:cs="Calibri"/>
                <w:noProof/>
                <w:sz w:val="20"/>
                <w:szCs w:val="20"/>
              </w:rPr>
              <w:t>5.1.</w:t>
            </w:r>
            <w:r w:rsidRPr="002A494C">
              <w:rPr>
                <w:rStyle w:val="Hipercze"/>
                <w:rFonts w:ascii="Lato" w:hAnsi="Lato"/>
                <w:noProof/>
                <w:sz w:val="20"/>
                <w:szCs w:val="20"/>
              </w:rPr>
              <w:t xml:space="preserve"> Krajowy Program Zapobiegania Zakażeniom HIV i Zwalczania AIDS</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_Toc225859120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92</w:t>
            </w:r>
            <w:r w:rsidRPr="002A494C">
              <w:rPr>
                <w:rFonts w:ascii="Lato" w:hAnsi="Lato"/>
                <w:noProof/>
                <w:webHidden/>
                <w:sz w:val="20"/>
                <w:szCs w:val="20"/>
              </w:rPr>
              <w:fldChar w:fldCharType="end"/>
            </w:r>
          </w:hyperlink>
        </w:p>
        <w:p w14:paraId="7827C235" w14:textId="55743353"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21" w:history="1">
            <w:r w:rsidRPr="002A494C">
              <w:rPr>
                <w:rStyle w:val="Hipercze"/>
                <w:rFonts w:ascii="Lato" w:eastAsia="Calibri" w:hAnsi="Lato" w:cs="Calibri"/>
                <w:noProof/>
                <w:sz w:val="20"/>
                <w:szCs w:val="20"/>
              </w:rPr>
              <w:t>5.2.</w:t>
            </w:r>
            <w:r w:rsidRPr="002A494C">
              <w:rPr>
                <w:rStyle w:val="Hipercze"/>
                <w:rFonts w:ascii="Lato" w:hAnsi="Lato"/>
                <w:noProof/>
                <w:sz w:val="20"/>
                <w:szCs w:val="20"/>
              </w:rPr>
              <w:t xml:space="preserve"> Wojewódzki program higieny i profilaktyki wybranych chorób zakaźnych „Higiena naszą tarczą ochronną”</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_Toc225859121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92</w:t>
            </w:r>
            <w:r w:rsidRPr="002A494C">
              <w:rPr>
                <w:rFonts w:ascii="Lato" w:hAnsi="Lato"/>
                <w:noProof/>
                <w:webHidden/>
                <w:sz w:val="20"/>
                <w:szCs w:val="20"/>
              </w:rPr>
              <w:fldChar w:fldCharType="end"/>
            </w:r>
          </w:hyperlink>
        </w:p>
        <w:p w14:paraId="2852670A" w14:textId="3BEB0572"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22" w:history="1">
            <w:r w:rsidRPr="002A494C">
              <w:rPr>
                <w:rStyle w:val="Hipercze"/>
                <w:rFonts w:ascii="Lato" w:eastAsia="Calibri" w:hAnsi="Lato" w:cs="Calibri"/>
                <w:noProof/>
                <w:sz w:val="20"/>
                <w:szCs w:val="20"/>
              </w:rPr>
              <w:t>5.3.</w:t>
            </w:r>
            <w:r w:rsidRPr="002A494C">
              <w:rPr>
                <w:rStyle w:val="Hipercze"/>
                <w:rFonts w:ascii="Lato" w:hAnsi="Lato"/>
                <w:noProof/>
                <w:sz w:val="20"/>
                <w:szCs w:val="20"/>
              </w:rPr>
              <w:t xml:space="preserve"> Wojewódzki przedszkolny program zdrowia jamy ustnej i zapobiegania próchnicy „Zdrowe zęby mamy marchewkę zajadamy”</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_Toc225859122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93</w:t>
            </w:r>
            <w:r w:rsidRPr="002A494C">
              <w:rPr>
                <w:rFonts w:ascii="Lato" w:hAnsi="Lato"/>
                <w:noProof/>
                <w:webHidden/>
                <w:sz w:val="20"/>
                <w:szCs w:val="20"/>
              </w:rPr>
              <w:fldChar w:fldCharType="end"/>
            </w:r>
          </w:hyperlink>
        </w:p>
        <w:p w14:paraId="7C47A0CD" w14:textId="45434752"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23" w:history="1">
            <w:r w:rsidRPr="002A494C">
              <w:rPr>
                <w:rStyle w:val="Hipercze"/>
                <w:rFonts w:ascii="Lato" w:eastAsia="Calibri" w:hAnsi="Lato" w:cs="Calibri"/>
                <w:noProof/>
                <w:sz w:val="20"/>
                <w:szCs w:val="20"/>
              </w:rPr>
              <w:t>5.4.</w:t>
            </w:r>
            <w:r w:rsidRPr="002A494C">
              <w:rPr>
                <w:rStyle w:val="Hipercze"/>
                <w:rFonts w:ascii="Lato" w:hAnsi="Lato"/>
                <w:noProof/>
                <w:sz w:val="20"/>
                <w:szCs w:val="20"/>
              </w:rPr>
              <w:t xml:space="preserve"> Profilaktyka chorób zakaźnych, w tym WZW i promocja szczepień ochronnych</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_Toc225859123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93</w:t>
            </w:r>
            <w:r w:rsidRPr="002A494C">
              <w:rPr>
                <w:rFonts w:ascii="Lato" w:hAnsi="Lato"/>
                <w:noProof/>
                <w:webHidden/>
                <w:sz w:val="20"/>
                <w:szCs w:val="20"/>
              </w:rPr>
              <w:fldChar w:fldCharType="end"/>
            </w:r>
          </w:hyperlink>
        </w:p>
        <w:p w14:paraId="62F0E530" w14:textId="405279BE"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124" w:history="1">
            <w:r w:rsidRPr="002A494C">
              <w:rPr>
                <w:rStyle w:val="Hipercze"/>
                <w:rFonts w:ascii="Lato" w:eastAsia="Calibri" w:hAnsi="Lato" w:cs="Calibri"/>
                <w:noProof/>
                <w:sz w:val="20"/>
                <w:szCs w:val="20"/>
              </w:rPr>
              <w:t>6.</w:t>
            </w:r>
            <w:r w:rsidRPr="002A494C">
              <w:rPr>
                <w:rStyle w:val="Hipercze"/>
                <w:rFonts w:ascii="Lato" w:hAnsi="Lato"/>
                <w:bCs/>
                <w:noProof/>
                <w:sz w:val="20"/>
                <w:szCs w:val="20"/>
              </w:rPr>
              <w:t xml:space="preserve"> Profilaktyka chorób nowotworowych</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_Toc225859124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94</w:t>
            </w:r>
            <w:r w:rsidRPr="002A494C">
              <w:rPr>
                <w:rFonts w:ascii="Lato" w:hAnsi="Lato"/>
                <w:noProof/>
                <w:webHidden/>
                <w:sz w:val="20"/>
                <w:szCs w:val="20"/>
              </w:rPr>
              <w:fldChar w:fldCharType="end"/>
            </w:r>
          </w:hyperlink>
        </w:p>
        <w:p w14:paraId="4E954112" w14:textId="61C457D1"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25" w:history="1">
            <w:r w:rsidRPr="002A494C">
              <w:rPr>
                <w:rStyle w:val="Hipercze"/>
                <w:rFonts w:ascii="Lato" w:eastAsia="Calibri" w:hAnsi="Lato" w:cs="Calibri"/>
                <w:noProof/>
                <w:sz w:val="20"/>
                <w:szCs w:val="20"/>
              </w:rPr>
              <w:t>6.1.</w:t>
            </w:r>
            <w:r w:rsidRPr="002A494C">
              <w:rPr>
                <w:rStyle w:val="Hipercze"/>
                <w:rFonts w:ascii="Lato" w:hAnsi="Lato"/>
                <w:noProof/>
                <w:sz w:val="20"/>
                <w:szCs w:val="20"/>
              </w:rPr>
              <w:t xml:space="preserve"> Program edukacyjny "Znamię! Znam je?"</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_Toc225859125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94</w:t>
            </w:r>
            <w:r w:rsidRPr="002A494C">
              <w:rPr>
                <w:rFonts w:ascii="Lato" w:hAnsi="Lato"/>
                <w:noProof/>
                <w:webHidden/>
                <w:sz w:val="20"/>
                <w:szCs w:val="20"/>
              </w:rPr>
              <w:fldChar w:fldCharType="end"/>
            </w:r>
          </w:hyperlink>
        </w:p>
        <w:p w14:paraId="4EEE3930" w14:textId="5FEE0CE9"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26" w:history="1">
            <w:r w:rsidRPr="002A494C">
              <w:rPr>
                <w:rStyle w:val="Hipercze"/>
                <w:rFonts w:ascii="Lato" w:eastAsia="Calibri" w:hAnsi="Lato" w:cs="Calibri"/>
                <w:noProof/>
                <w:sz w:val="20"/>
                <w:szCs w:val="20"/>
              </w:rPr>
              <w:t>6.2.</w:t>
            </w:r>
            <w:r w:rsidRPr="002A494C">
              <w:rPr>
                <w:rStyle w:val="Hipercze"/>
                <w:rFonts w:ascii="Lato" w:hAnsi="Lato"/>
                <w:noProof/>
                <w:sz w:val="20"/>
                <w:szCs w:val="20"/>
              </w:rPr>
              <w:t xml:space="preserve"> Kampania wojewódzka „Bądź swoją bohaterką, Bądź swoim bohaterem”</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_Toc225859126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94</w:t>
            </w:r>
            <w:r w:rsidRPr="002A494C">
              <w:rPr>
                <w:rFonts w:ascii="Lato" w:hAnsi="Lato"/>
                <w:noProof/>
                <w:webHidden/>
                <w:sz w:val="20"/>
                <w:szCs w:val="20"/>
              </w:rPr>
              <w:fldChar w:fldCharType="end"/>
            </w:r>
          </w:hyperlink>
        </w:p>
        <w:p w14:paraId="2414C4A0" w14:textId="50F4C157"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27" w:history="1">
            <w:r w:rsidRPr="002A494C">
              <w:rPr>
                <w:rStyle w:val="Hipercze"/>
                <w:rFonts w:ascii="Lato" w:hAnsi="Lato"/>
                <w:noProof/>
                <w:sz w:val="20"/>
                <w:szCs w:val="20"/>
              </w:rPr>
              <w:t>6.3. Profilaktyka HPV</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_Toc225859127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95</w:t>
            </w:r>
            <w:r w:rsidRPr="002A494C">
              <w:rPr>
                <w:rFonts w:ascii="Lato" w:hAnsi="Lato"/>
                <w:noProof/>
                <w:webHidden/>
                <w:sz w:val="20"/>
                <w:szCs w:val="20"/>
              </w:rPr>
              <w:fldChar w:fldCharType="end"/>
            </w:r>
          </w:hyperlink>
        </w:p>
        <w:p w14:paraId="4BC7EDF7" w14:textId="1FA75E0D"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128" w:history="1">
            <w:r w:rsidRPr="002A494C">
              <w:rPr>
                <w:rStyle w:val="Hipercze"/>
                <w:rFonts w:ascii="Lato" w:eastAsia="Calibri" w:hAnsi="Lato" w:cs="Calibri"/>
                <w:noProof/>
                <w:sz w:val="20"/>
                <w:szCs w:val="20"/>
              </w:rPr>
              <w:t>7.</w:t>
            </w:r>
            <w:r w:rsidRPr="002A494C">
              <w:rPr>
                <w:rStyle w:val="Hipercze"/>
                <w:rFonts w:ascii="Lato" w:hAnsi="Lato"/>
                <w:bCs/>
                <w:noProof/>
                <w:sz w:val="20"/>
                <w:szCs w:val="20"/>
              </w:rPr>
              <w:t xml:space="preserve"> Promocja zdrowego stylu życia</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_Toc225859128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95</w:t>
            </w:r>
            <w:r w:rsidRPr="002A494C">
              <w:rPr>
                <w:rFonts w:ascii="Lato" w:hAnsi="Lato"/>
                <w:noProof/>
                <w:webHidden/>
                <w:sz w:val="20"/>
                <w:szCs w:val="20"/>
              </w:rPr>
              <w:fldChar w:fldCharType="end"/>
            </w:r>
          </w:hyperlink>
        </w:p>
        <w:p w14:paraId="5000ED47" w14:textId="05F12E5A"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29" w:history="1">
            <w:r w:rsidRPr="002A494C">
              <w:rPr>
                <w:rStyle w:val="Hipercze"/>
                <w:rFonts w:ascii="Lato" w:eastAsia="Calibri" w:hAnsi="Lato" w:cs="Calibri"/>
                <w:noProof/>
                <w:sz w:val="20"/>
                <w:szCs w:val="20"/>
              </w:rPr>
              <w:t>7.1.</w:t>
            </w:r>
            <w:r w:rsidRPr="002A494C">
              <w:rPr>
                <w:rStyle w:val="Hipercze"/>
                <w:rFonts w:ascii="Lato" w:hAnsi="Lato"/>
                <w:noProof/>
                <w:sz w:val="20"/>
                <w:szCs w:val="20"/>
              </w:rPr>
              <w:t xml:space="preserve"> Światowy Dzień Zdrowia</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_Toc225859129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95</w:t>
            </w:r>
            <w:r w:rsidRPr="002A494C">
              <w:rPr>
                <w:rFonts w:ascii="Lato" w:hAnsi="Lato"/>
                <w:noProof/>
                <w:webHidden/>
                <w:sz w:val="20"/>
                <w:szCs w:val="20"/>
              </w:rPr>
              <w:fldChar w:fldCharType="end"/>
            </w:r>
          </w:hyperlink>
        </w:p>
        <w:p w14:paraId="4E9BA0BF" w14:textId="25F4C96E"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30" w:history="1">
            <w:r w:rsidRPr="002A494C">
              <w:rPr>
                <w:rStyle w:val="Hipercze"/>
                <w:rFonts w:ascii="Lato" w:eastAsia="Calibri" w:hAnsi="Lato" w:cs="Calibri"/>
                <w:noProof/>
                <w:sz w:val="20"/>
                <w:szCs w:val="20"/>
              </w:rPr>
              <w:t>7.2.</w:t>
            </w:r>
            <w:r w:rsidRPr="002A494C">
              <w:rPr>
                <w:rStyle w:val="Hipercze"/>
                <w:rFonts w:ascii="Lato" w:hAnsi="Lato"/>
                <w:noProof/>
                <w:sz w:val="20"/>
                <w:szCs w:val="20"/>
              </w:rPr>
              <w:t xml:space="preserve"> Dni Otwarte pod hasłem „Bezpieczeństwo zdrowotne – wspólna odpowiedzialność”</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_Toc225859130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96</w:t>
            </w:r>
            <w:r w:rsidRPr="002A494C">
              <w:rPr>
                <w:rFonts w:ascii="Lato" w:hAnsi="Lato"/>
                <w:noProof/>
                <w:webHidden/>
                <w:sz w:val="20"/>
                <w:szCs w:val="20"/>
              </w:rPr>
              <w:fldChar w:fldCharType="end"/>
            </w:r>
          </w:hyperlink>
        </w:p>
        <w:p w14:paraId="4372A511" w14:textId="624CE579"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31" w:history="1">
            <w:r w:rsidRPr="002A494C">
              <w:rPr>
                <w:rStyle w:val="Hipercze"/>
                <w:rFonts w:ascii="Lato" w:eastAsia="Calibri" w:hAnsi="Lato" w:cs="Calibri"/>
                <w:noProof/>
                <w:sz w:val="20"/>
                <w:szCs w:val="20"/>
              </w:rPr>
              <w:t>7.3.</w:t>
            </w:r>
            <w:r w:rsidRPr="002A494C">
              <w:rPr>
                <w:rStyle w:val="Hipercze"/>
                <w:rFonts w:ascii="Lato" w:hAnsi="Lato"/>
                <w:noProof/>
                <w:sz w:val="20"/>
                <w:szCs w:val="20"/>
              </w:rPr>
              <w:t xml:space="preserve"> Promocja bezpiecznego grzybobrania i profilaktyka zatruć grzybami</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_Toc225859131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96</w:t>
            </w:r>
            <w:r w:rsidRPr="002A494C">
              <w:rPr>
                <w:rFonts w:ascii="Lato" w:hAnsi="Lato"/>
                <w:noProof/>
                <w:webHidden/>
                <w:sz w:val="20"/>
                <w:szCs w:val="20"/>
              </w:rPr>
              <w:fldChar w:fldCharType="end"/>
            </w:r>
          </w:hyperlink>
        </w:p>
        <w:p w14:paraId="20334350" w14:textId="2149ED10"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32" w:history="1">
            <w:r w:rsidRPr="002A494C">
              <w:rPr>
                <w:rStyle w:val="Hipercze"/>
                <w:rFonts w:ascii="Lato" w:eastAsia="Calibri" w:hAnsi="Lato" w:cs="Calibri"/>
                <w:noProof/>
                <w:sz w:val="20"/>
                <w:szCs w:val="20"/>
              </w:rPr>
              <w:t>7.4.</w:t>
            </w:r>
            <w:r w:rsidRPr="002A494C">
              <w:rPr>
                <w:rStyle w:val="Hipercze"/>
                <w:rFonts w:ascii="Lato" w:hAnsi="Lato"/>
                <w:noProof/>
                <w:sz w:val="20"/>
                <w:szCs w:val="20"/>
              </w:rPr>
              <w:t xml:space="preserve"> Europejski i Światowy Dzień Wiedzy o Antybiotykach</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_Toc225859132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97</w:t>
            </w:r>
            <w:r w:rsidRPr="002A494C">
              <w:rPr>
                <w:rFonts w:ascii="Lato" w:hAnsi="Lato"/>
                <w:noProof/>
                <w:webHidden/>
                <w:sz w:val="20"/>
                <w:szCs w:val="20"/>
              </w:rPr>
              <w:fldChar w:fldCharType="end"/>
            </w:r>
          </w:hyperlink>
        </w:p>
        <w:p w14:paraId="69AA0823" w14:textId="10B39F61"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33" w:history="1">
            <w:r w:rsidRPr="002A494C">
              <w:rPr>
                <w:rStyle w:val="Hipercze"/>
                <w:rFonts w:ascii="Lato" w:eastAsia="Calibri" w:hAnsi="Lato" w:cs="Calibri"/>
                <w:noProof/>
                <w:sz w:val="20"/>
                <w:szCs w:val="20"/>
              </w:rPr>
              <w:t>7.5.</w:t>
            </w:r>
            <w:r w:rsidRPr="002A494C">
              <w:rPr>
                <w:rStyle w:val="Hipercze"/>
                <w:rFonts w:ascii="Lato" w:hAnsi="Lato"/>
                <w:noProof/>
                <w:sz w:val="20"/>
                <w:szCs w:val="20"/>
              </w:rPr>
              <w:t xml:space="preserve"> Bezpieczeństwo dzieci podczas wypoczynku letniego i zimowego Bezpieczne Ferie i Wakacje</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_Toc225859133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97</w:t>
            </w:r>
            <w:r w:rsidRPr="002A494C">
              <w:rPr>
                <w:rFonts w:ascii="Lato" w:hAnsi="Lato"/>
                <w:noProof/>
                <w:webHidden/>
                <w:sz w:val="20"/>
                <w:szCs w:val="20"/>
              </w:rPr>
              <w:fldChar w:fldCharType="end"/>
            </w:r>
          </w:hyperlink>
        </w:p>
        <w:p w14:paraId="3B0709C5" w14:textId="1DCA3240"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34" w:history="1">
            <w:r w:rsidRPr="002A494C">
              <w:rPr>
                <w:rStyle w:val="Hipercze"/>
                <w:rFonts w:ascii="Lato" w:eastAsia="Calibri" w:hAnsi="Lato" w:cs="Calibri"/>
                <w:noProof/>
                <w:sz w:val="20"/>
                <w:szCs w:val="20"/>
              </w:rPr>
              <w:t>7.6.</w:t>
            </w:r>
            <w:r w:rsidRPr="002A494C">
              <w:rPr>
                <w:rStyle w:val="Hipercze"/>
                <w:rFonts w:ascii="Lato" w:hAnsi="Lato"/>
                <w:noProof/>
                <w:sz w:val="20"/>
                <w:szCs w:val="20"/>
              </w:rPr>
              <w:t xml:space="preserve"> Zdrowy Senior</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_Toc225859134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99</w:t>
            </w:r>
            <w:r w:rsidRPr="002A494C">
              <w:rPr>
                <w:rFonts w:ascii="Lato" w:hAnsi="Lato"/>
                <w:noProof/>
                <w:webHidden/>
                <w:sz w:val="20"/>
                <w:szCs w:val="20"/>
              </w:rPr>
              <w:fldChar w:fldCharType="end"/>
            </w:r>
          </w:hyperlink>
        </w:p>
        <w:p w14:paraId="180EA95A" w14:textId="22E6D3DD" w:rsidR="002A494C" w:rsidRPr="002A494C" w:rsidRDefault="002A494C">
          <w:pPr>
            <w:pStyle w:val="Spistreci2"/>
            <w:rPr>
              <w:rFonts w:ascii="Lato" w:eastAsiaTheme="minorEastAsia" w:hAnsi="Lato" w:cstheme="minorBidi"/>
              <w:noProof/>
              <w:kern w:val="2"/>
              <w:sz w:val="20"/>
              <w:szCs w:val="20"/>
              <w14:ligatures w14:val="standardContextual"/>
            </w:rPr>
          </w:pPr>
          <w:hyperlink w:anchor="_Toc225859135" w:history="1">
            <w:r w:rsidRPr="002A494C">
              <w:rPr>
                <w:rStyle w:val="Hipercze"/>
                <w:rFonts w:ascii="Lato" w:eastAsia="Calibri" w:hAnsi="Lato" w:cs="Calibri"/>
                <w:noProof/>
                <w:sz w:val="20"/>
                <w:szCs w:val="20"/>
              </w:rPr>
              <w:t>8.</w:t>
            </w:r>
            <w:r w:rsidRPr="002A494C">
              <w:rPr>
                <w:rStyle w:val="Hipercze"/>
                <w:rFonts w:ascii="Lato" w:hAnsi="Lato"/>
                <w:bCs/>
                <w:noProof/>
                <w:sz w:val="20"/>
                <w:szCs w:val="20"/>
              </w:rPr>
              <w:t xml:space="preserve"> Inne działania:</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_Toc225859135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99</w:t>
            </w:r>
            <w:r w:rsidRPr="002A494C">
              <w:rPr>
                <w:rFonts w:ascii="Lato" w:hAnsi="Lato"/>
                <w:noProof/>
                <w:webHidden/>
                <w:sz w:val="20"/>
                <w:szCs w:val="20"/>
              </w:rPr>
              <w:fldChar w:fldCharType="end"/>
            </w:r>
          </w:hyperlink>
        </w:p>
        <w:p w14:paraId="0583B2EC" w14:textId="3791D3DF"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36" w:history="1">
            <w:r w:rsidRPr="002A494C">
              <w:rPr>
                <w:rStyle w:val="Hipercze"/>
                <w:rFonts w:ascii="Lato" w:eastAsia="Calibri" w:hAnsi="Lato"/>
                <w:noProof/>
                <w:sz w:val="20"/>
                <w:szCs w:val="20"/>
              </w:rPr>
              <w:t xml:space="preserve">8.1. Obchody Światowego Dnia Wody 2025, w tym wojewódzki konkurs </w:t>
            </w:r>
            <w:r w:rsidRPr="002A494C">
              <w:rPr>
                <w:rStyle w:val="Hipercze"/>
                <w:rFonts w:ascii="Lato" w:hAnsi="Lato"/>
                <w:noProof/>
                <w:sz w:val="20"/>
                <w:szCs w:val="20"/>
              </w:rPr>
              <w:t>na rolkę „Woda życiowym viralem” dla młodzieży szkół ponadpodstawowych.</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_Toc225859136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99</w:t>
            </w:r>
            <w:r w:rsidRPr="002A494C">
              <w:rPr>
                <w:rFonts w:ascii="Lato" w:hAnsi="Lato"/>
                <w:noProof/>
                <w:webHidden/>
                <w:sz w:val="20"/>
                <w:szCs w:val="20"/>
              </w:rPr>
              <w:fldChar w:fldCharType="end"/>
            </w:r>
          </w:hyperlink>
        </w:p>
        <w:p w14:paraId="2873B751" w14:textId="58791EB6"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37" w:history="1">
            <w:r w:rsidRPr="002A494C">
              <w:rPr>
                <w:rStyle w:val="Hipercze"/>
                <w:rFonts w:ascii="Lato" w:eastAsia="Calibri" w:hAnsi="Lato" w:cs="Calibri"/>
                <w:noProof/>
                <w:sz w:val="20"/>
                <w:szCs w:val="20"/>
              </w:rPr>
              <w:t>8.2.</w:t>
            </w:r>
            <w:r w:rsidRPr="002A494C">
              <w:rPr>
                <w:rStyle w:val="Hipercze"/>
                <w:rFonts w:ascii="Lato" w:hAnsi="Lato"/>
                <w:noProof/>
                <w:sz w:val="20"/>
                <w:szCs w:val="20"/>
              </w:rPr>
              <w:t xml:space="preserve"> Powiatowy Program Edukacyjny „Zero Papierosów Setki Możliwości” PPIS w Gryficach na terenie powiatu gryfickiego</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_Toc225859137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100</w:t>
            </w:r>
            <w:r w:rsidRPr="002A494C">
              <w:rPr>
                <w:rFonts w:ascii="Lato" w:hAnsi="Lato"/>
                <w:noProof/>
                <w:webHidden/>
                <w:sz w:val="20"/>
                <w:szCs w:val="20"/>
              </w:rPr>
              <w:fldChar w:fldCharType="end"/>
            </w:r>
          </w:hyperlink>
        </w:p>
        <w:p w14:paraId="7A4C5F03" w14:textId="7C990D83"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38" w:history="1">
            <w:r w:rsidRPr="002A494C">
              <w:rPr>
                <w:rStyle w:val="Hipercze"/>
                <w:rFonts w:ascii="Lato" w:eastAsia="Calibri" w:hAnsi="Lato" w:cs="Calibri"/>
                <w:noProof/>
                <w:sz w:val="20"/>
                <w:szCs w:val="20"/>
              </w:rPr>
              <w:t>8.3.</w:t>
            </w:r>
            <w:r w:rsidRPr="002A494C">
              <w:rPr>
                <w:rStyle w:val="Hipercze"/>
                <w:rFonts w:ascii="Lato" w:hAnsi="Lato"/>
                <w:noProof/>
                <w:sz w:val="20"/>
                <w:szCs w:val="20"/>
              </w:rPr>
              <w:t xml:space="preserve"> Pierwsza pomoc przedmedyczna</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_Toc225859138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100</w:t>
            </w:r>
            <w:r w:rsidRPr="002A494C">
              <w:rPr>
                <w:rFonts w:ascii="Lato" w:hAnsi="Lato"/>
                <w:noProof/>
                <w:webHidden/>
                <w:sz w:val="20"/>
                <w:szCs w:val="20"/>
              </w:rPr>
              <w:fldChar w:fldCharType="end"/>
            </w:r>
          </w:hyperlink>
        </w:p>
        <w:p w14:paraId="5EE5E5F5" w14:textId="23597CEF"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39" w:history="1">
            <w:r w:rsidRPr="002A494C">
              <w:rPr>
                <w:rStyle w:val="Hipercze"/>
                <w:rFonts w:ascii="Lato" w:eastAsia="Calibri" w:hAnsi="Lato" w:cs="Calibri"/>
                <w:noProof/>
                <w:sz w:val="20"/>
                <w:szCs w:val="20"/>
              </w:rPr>
              <w:t>8.4.</w:t>
            </w:r>
            <w:r w:rsidRPr="002A494C">
              <w:rPr>
                <w:rStyle w:val="Hipercze"/>
                <w:rFonts w:ascii="Lato" w:hAnsi="Lato"/>
                <w:noProof/>
                <w:sz w:val="20"/>
                <w:szCs w:val="20"/>
              </w:rPr>
              <w:t xml:space="preserve"> Akcja Movember</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_Toc225859139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100</w:t>
            </w:r>
            <w:r w:rsidRPr="002A494C">
              <w:rPr>
                <w:rFonts w:ascii="Lato" w:hAnsi="Lato"/>
                <w:noProof/>
                <w:webHidden/>
                <w:sz w:val="20"/>
                <w:szCs w:val="20"/>
              </w:rPr>
              <w:fldChar w:fldCharType="end"/>
            </w:r>
          </w:hyperlink>
        </w:p>
        <w:p w14:paraId="34B3C930" w14:textId="57B6ADD2"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40" w:history="1">
            <w:r w:rsidRPr="002A494C">
              <w:rPr>
                <w:rStyle w:val="Hipercze"/>
                <w:rFonts w:ascii="Lato" w:hAnsi="Lato"/>
                <w:noProof/>
                <w:sz w:val="20"/>
                <w:szCs w:val="20"/>
              </w:rPr>
              <w:t>8.5. Zdrowie psychiczne – depresja</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_Toc225859140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101</w:t>
            </w:r>
            <w:r w:rsidRPr="002A494C">
              <w:rPr>
                <w:rFonts w:ascii="Lato" w:hAnsi="Lato"/>
                <w:noProof/>
                <w:webHidden/>
                <w:sz w:val="20"/>
                <w:szCs w:val="20"/>
              </w:rPr>
              <w:fldChar w:fldCharType="end"/>
            </w:r>
          </w:hyperlink>
        </w:p>
        <w:p w14:paraId="703A0077" w14:textId="7CC7D26A"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41" w:history="1">
            <w:r w:rsidRPr="002A494C">
              <w:rPr>
                <w:rStyle w:val="Hipercze"/>
                <w:rFonts w:ascii="Lato" w:eastAsia="Calibri" w:hAnsi="Lato" w:cs="Calibri"/>
                <w:noProof/>
                <w:sz w:val="20"/>
                <w:szCs w:val="20"/>
              </w:rPr>
              <w:t>8.6.</w:t>
            </w:r>
            <w:r w:rsidRPr="002A494C">
              <w:rPr>
                <w:rStyle w:val="Hipercze"/>
                <w:rFonts w:ascii="Lato" w:hAnsi="Lato"/>
                <w:noProof/>
                <w:sz w:val="20"/>
                <w:szCs w:val="20"/>
              </w:rPr>
              <w:t xml:space="preserve"> Program edukacyjny dla dzieci w wieku przedszkolnym, ich rodziców i opiekunów pt. „Czyste powietrze wokół nas”</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_Toc225859141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101</w:t>
            </w:r>
            <w:r w:rsidRPr="002A494C">
              <w:rPr>
                <w:rFonts w:ascii="Lato" w:hAnsi="Lato"/>
                <w:noProof/>
                <w:webHidden/>
                <w:sz w:val="20"/>
                <w:szCs w:val="20"/>
              </w:rPr>
              <w:fldChar w:fldCharType="end"/>
            </w:r>
          </w:hyperlink>
        </w:p>
        <w:p w14:paraId="7C30C0C0" w14:textId="5350D1E7"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42" w:history="1">
            <w:r w:rsidRPr="002A494C">
              <w:rPr>
                <w:rStyle w:val="Hipercze"/>
                <w:rFonts w:ascii="Lato" w:eastAsia="Calibri" w:hAnsi="Lato" w:cs="Calibri"/>
                <w:noProof/>
                <w:sz w:val="20"/>
                <w:szCs w:val="20"/>
              </w:rPr>
              <w:t>8.7.</w:t>
            </w:r>
            <w:r w:rsidRPr="002A494C">
              <w:rPr>
                <w:rStyle w:val="Hipercze"/>
                <w:rFonts w:ascii="Lato" w:hAnsi="Lato"/>
                <w:noProof/>
                <w:sz w:val="20"/>
                <w:szCs w:val="20"/>
              </w:rPr>
              <w:t xml:space="preserve"> „Nie pal przy mnie, proszę!”</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_Toc225859142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102</w:t>
            </w:r>
            <w:r w:rsidRPr="002A494C">
              <w:rPr>
                <w:rFonts w:ascii="Lato" w:hAnsi="Lato"/>
                <w:noProof/>
                <w:webHidden/>
                <w:sz w:val="20"/>
                <w:szCs w:val="20"/>
              </w:rPr>
              <w:fldChar w:fldCharType="end"/>
            </w:r>
          </w:hyperlink>
        </w:p>
        <w:p w14:paraId="755F78C3" w14:textId="47DB30CA"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43" w:history="1">
            <w:r w:rsidRPr="002A494C">
              <w:rPr>
                <w:rStyle w:val="Hipercze"/>
                <w:rFonts w:ascii="Lato" w:hAnsi="Lato"/>
                <w:noProof/>
                <w:sz w:val="20"/>
                <w:szCs w:val="20"/>
              </w:rPr>
              <w:t>8.8. Program „Bieg po zdrowie”</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_Toc225859143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102</w:t>
            </w:r>
            <w:r w:rsidRPr="002A494C">
              <w:rPr>
                <w:rFonts w:ascii="Lato" w:hAnsi="Lato"/>
                <w:noProof/>
                <w:webHidden/>
                <w:sz w:val="20"/>
                <w:szCs w:val="20"/>
              </w:rPr>
              <w:fldChar w:fldCharType="end"/>
            </w:r>
          </w:hyperlink>
        </w:p>
        <w:p w14:paraId="6AA8CA25" w14:textId="70D64151"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44" w:history="1">
            <w:r w:rsidRPr="002A494C">
              <w:rPr>
                <w:rStyle w:val="Hipercze"/>
                <w:rFonts w:ascii="Lato" w:eastAsia="Calibri" w:hAnsi="Lato" w:cs="Calibri"/>
                <w:noProof/>
                <w:sz w:val="20"/>
                <w:szCs w:val="20"/>
              </w:rPr>
              <w:t>8.9.</w:t>
            </w:r>
            <w:r w:rsidRPr="002A494C">
              <w:rPr>
                <w:rStyle w:val="Hipercze"/>
                <w:rFonts w:ascii="Lato" w:hAnsi="Lato"/>
                <w:noProof/>
                <w:sz w:val="20"/>
                <w:szCs w:val="20"/>
              </w:rPr>
              <w:t xml:space="preserve"> Profilaktyka wszawicy</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_Toc225859144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102</w:t>
            </w:r>
            <w:r w:rsidRPr="002A494C">
              <w:rPr>
                <w:rFonts w:ascii="Lato" w:hAnsi="Lato"/>
                <w:noProof/>
                <w:webHidden/>
                <w:sz w:val="20"/>
                <w:szCs w:val="20"/>
              </w:rPr>
              <w:fldChar w:fldCharType="end"/>
            </w:r>
          </w:hyperlink>
        </w:p>
        <w:p w14:paraId="685FF0A4" w14:textId="3CDE7B10"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45" w:history="1">
            <w:r w:rsidRPr="002A494C">
              <w:rPr>
                <w:rStyle w:val="Hipercze"/>
                <w:rFonts w:ascii="Lato" w:eastAsia="Calibri" w:hAnsi="Lato" w:cs="Calibri"/>
                <w:noProof/>
                <w:sz w:val="20"/>
                <w:szCs w:val="20"/>
              </w:rPr>
              <w:t>8.10.</w:t>
            </w:r>
            <w:r w:rsidRPr="002A494C">
              <w:rPr>
                <w:rStyle w:val="Hipercze"/>
                <w:rFonts w:ascii="Lato" w:hAnsi="Lato"/>
                <w:noProof/>
                <w:sz w:val="20"/>
                <w:szCs w:val="20"/>
              </w:rPr>
              <w:t xml:space="preserve"> „Uwaga - kleszcz! Uwaga - borelioza!”, Profilaktyka chorób</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_Toc225859145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102</w:t>
            </w:r>
            <w:r w:rsidRPr="002A494C">
              <w:rPr>
                <w:rFonts w:ascii="Lato" w:hAnsi="Lato"/>
                <w:noProof/>
                <w:webHidden/>
                <w:sz w:val="20"/>
                <w:szCs w:val="20"/>
              </w:rPr>
              <w:fldChar w:fldCharType="end"/>
            </w:r>
          </w:hyperlink>
        </w:p>
        <w:p w14:paraId="439F9F71" w14:textId="34C9D595"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46" w:history="1">
            <w:r w:rsidRPr="002A494C">
              <w:rPr>
                <w:rStyle w:val="Hipercze"/>
                <w:rFonts w:ascii="Lato" w:eastAsia="Calibri" w:hAnsi="Lato" w:cs="Calibri"/>
                <w:noProof/>
                <w:sz w:val="20"/>
                <w:szCs w:val="20"/>
              </w:rPr>
              <w:t>8.11.</w:t>
            </w:r>
            <w:r w:rsidRPr="002A494C">
              <w:rPr>
                <w:rStyle w:val="Hipercze"/>
                <w:rFonts w:ascii="Lato" w:hAnsi="Lato"/>
                <w:noProof/>
                <w:sz w:val="20"/>
                <w:szCs w:val="20"/>
              </w:rPr>
              <w:t xml:space="preserve"> Festiwal Piosenki o Zdrowiu</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_Toc225859146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103</w:t>
            </w:r>
            <w:r w:rsidRPr="002A494C">
              <w:rPr>
                <w:rFonts w:ascii="Lato" w:hAnsi="Lato"/>
                <w:noProof/>
                <w:webHidden/>
                <w:sz w:val="20"/>
                <w:szCs w:val="20"/>
              </w:rPr>
              <w:fldChar w:fldCharType="end"/>
            </w:r>
          </w:hyperlink>
        </w:p>
        <w:p w14:paraId="5DB4800D" w14:textId="3AF6A600"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47" w:history="1">
            <w:r w:rsidRPr="002A494C">
              <w:rPr>
                <w:rStyle w:val="Hipercze"/>
                <w:rFonts w:ascii="Lato" w:eastAsia="Calibri" w:hAnsi="Lato" w:cs="Calibri"/>
                <w:noProof/>
                <w:sz w:val="20"/>
                <w:szCs w:val="20"/>
              </w:rPr>
              <w:t>8.12.</w:t>
            </w:r>
            <w:r w:rsidRPr="002A494C">
              <w:rPr>
                <w:rStyle w:val="Hipercze"/>
                <w:rFonts w:ascii="Lato" w:hAnsi="Lato"/>
                <w:noProof/>
                <w:sz w:val="20"/>
                <w:szCs w:val="20"/>
              </w:rPr>
              <w:t xml:space="preserve"> Profilaktyka FAS</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_Toc225859147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103</w:t>
            </w:r>
            <w:r w:rsidRPr="002A494C">
              <w:rPr>
                <w:rFonts w:ascii="Lato" w:hAnsi="Lato"/>
                <w:noProof/>
                <w:webHidden/>
                <w:sz w:val="20"/>
                <w:szCs w:val="20"/>
              </w:rPr>
              <w:fldChar w:fldCharType="end"/>
            </w:r>
          </w:hyperlink>
        </w:p>
        <w:p w14:paraId="70A14FEE" w14:textId="44DD5C0E" w:rsidR="002A494C" w:rsidRPr="002A494C" w:rsidRDefault="002A494C">
          <w:pPr>
            <w:pStyle w:val="Spistreci3"/>
            <w:rPr>
              <w:rFonts w:ascii="Lato" w:eastAsiaTheme="minorEastAsia" w:hAnsi="Lato" w:cstheme="minorBidi"/>
              <w:noProof/>
              <w:kern w:val="2"/>
              <w:sz w:val="20"/>
              <w:szCs w:val="20"/>
              <w14:ligatures w14:val="standardContextual"/>
            </w:rPr>
          </w:pPr>
          <w:hyperlink w:anchor="_Toc225859148" w:history="1">
            <w:r w:rsidRPr="002A494C">
              <w:rPr>
                <w:rStyle w:val="Hipercze"/>
                <w:rFonts w:ascii="Lato" w:eastAsia="Calibri" w:hAnsi="Lato" w:cs="Calibri"/>
                <w:noProof/>
                <w:sz w:val="20"/>
                <w:szCs w:val="20"/>
              </w:rPr>
              <w:t>8.13.</w:t>
            </w:r>
            <w:r w:rsidRPr="002A494C">
              <w:rPr>
                <w:rStyle w:val="Hipercze"/>
                <w:rFonts w:ascii="Lato" w:hAnsi="Lato"/>
                <w:noProof/>
                <w:sz w:val="20"/>
                <w:szCs w:val="20"/>
              </w:rPr>
              <w:t xml:space="preserve"> Kampania EFSA</w:t>
            </w:r>
            <w:r w:rsidRPr="002A494C">
              <w:rPr>
                <w:rFonts w:ascii="Lato" w:hAnsi="Lato"/>
                <w:noProof/>
                <w:webHidden/>
                <w:sz w:val="20"/>
                <w:szCs w:val="20"/>
              </w:rPr>
              <w:tab/>
            </w:r>
            <w:r w:rsidRPr="002A494C">
              <w:rPr>
                <w:rFonts w:ascii="Lato" w:hAnsi="Lato"/>
                <w:noProof/>
                <w:webHidden/>
                <w:sz w:val="20"/>
                <w:szCs w:val="20"/>
              </w:rPr>
              <w:fldChar w:fldCharType="begin"/>
            </w:r>
            <w:r w:rsidRPr="002A494C">
              <w:rPr>
                <w:rFonts w:ascii="Lato" w:hAnsi="Lato"/>
                <w:noProof/>
                <w:webHidden/>
                <w:sz w:val="20"/>
                <w:szCs w:val="20"/>
              </w:rPr>
              <w:instrText xml:space="preserve"> PAGEREF _Toc225859148 \h </w:instrText>
            </w:r>
            <w:r w:rsidRPr="002A494C">
              <w:rPr>
                <w:rFonts w:ascii="Lato" w:hAnsi="Lato"/>
                <w:noProof/>
                <w:webHidden/>
                <w:sz w:val="20"/>
                <w:szCs w:val="20"/>
              </w:rPr>
            </w:r>
            <w:r w:rsidRPr="002A494C">
              <w:rPr>
                <w:rFonts w:ascii="Lato" w:hAnsi="Lato"/>
                <w:noProof/>
                <w:webHidden/>
                <w:sz w:val="20"/>
                <w:szCs w:val="20"/>
              </w:rPr>
              <w:fldChar w:fldCharType="separate"/>
            </w:r>
            <w:r w:rsidR="00E53DE8">
              <w:rPr>
                <w:rFonts w:ascii="Lato" w:hAnsi="Lato"/>
                <w:noProof/>
                <w:webHidden/>
                <w:sz w:val="20"/>
                <w:szCs w:val="20"/>
              </w:rPr>
              <w:t>103</w:t>
            </w:r>
            <w:r w:rsidRPr="002A494C">
              <w:rPr>
                <w:rFonts w:ascii="Lato" w:hAnsi="Lato"/>
                <w:noProof/>
                <w:webHidden/>
                <w:sz w:val="20"/>
                <w:szCs w:val="20"/>
              </w:rPr>
              <w:fldChar w:fldCharType="end"/>
            </w:r>
          </w:hyperlink>
        </w:p>
        <w:p w14:paraId="2C4121F0" w14:textId="77845C29" w:rsidR="001342AA" w:rsidRPr="002A494C" w:rsidRDefault="001342AA">
          <w:pPr>
            <w:rPr>
              <w:rFonts w:ascii="Lato" w:hAnsi="Lato"/>
              <w:sz w:val="20"/>
              <w:szCs w:val="20"/>
            </w:rPr>
          </w:pPr>
          <w:r w:rsidRPr="002A494C">
            <w:rPr>
              <w:rFonts w:ascii="Lato" w:hAnsi="Lato" w:cs="Calibri"/>
              <w:bCs/>
              <w:sz w:val="20"/>
              <w:szCs w:val="20"/>
            </w:rPr>
            <w:fldChar w:fldCharType="end"/>
          </w:r>
        </w:p>
      </w:sdtContent>
    </w:sdt>
    <w:p w14:paraId="7E03B646" w14:textId="77777777" w:rsidR="003141C3" w:rsidRDefault="003141C3" w:rsidP="003141C3">
      <w:pPr>
        <w:spacing w:line="276" w:lineRule="auto"/>
        <w:rPr>
          <w:rFonts w:ascii="Lato" w:hAnsi="Lato" w:cs="Calibri"/>
          <w:b/>
          <w:color w:val="000000"/>
        </w:rPr>
      </w:pPr>
    </w:p>
    <w:p w14:paraId="75E92644" w14:textId="0CFA014B" w:rsidR="00983F34" w:rsidRPr="00CA70AD" w:rsidRDefault="00A0275A">
      <w:pPr>
        <w:spacing w:after="160" w:line="278" w:lineRule="auto"/>
      </w:pPr>
      <w:bookmarkStart w:id="2" w:name="_Toc225235840"/>
      <w:r>
        <w:br w:type="page"/>
      </w:r>
    </w:p>
    <w:p w14:paraId="330FE1C3" w14:textId="2931CF83" w:rsidR="00986DE0" w:rsidRPr="00BA2854" w:rsidRDefault="00986DE0">
      <w:pPr>
        <w:pStyle w:val="Nagwek1"/>
        <w:numPr>
          <w:ilvl w:val="0"/>
          <w:numId w:val="16"/>
        </w:numPr>
        <w:rPr>
          <w:color w:val="153D63" w:themeColor="text2" w:themeTint="E6"/>
        </w:rPr>
      </w:pPr>
      <w:bookmarkStart w:id="3" w:name="_Toc225859027"/>
      <w:r w:rsidRPr="00BA2854">
        <w:rPr>
          <w:color w:val="153D63" w:themeColor="text2" w:themeTint="E6"/>
        </w:rPr>
        <w:lastRenderedPageBreak/>
        <w:t>Zapobieganie oraz zwalczanie zakażeń i chorób zakaźnych u</w:t>
      </w:r>
      <w:r w:rsidR="00C92B81">
        <w:rPr>
          <w:color w:val="153D63" w:themeColor="text2" w:themeTint="E6"/>
        </w:rPr>
        <w:t> </w:t>
      </w:r>
      <w:r w:rsidRPr="00BA2854">
        <w:rPr>
          <w:color w:val="153D63" w:themeColor="text2" w:themeTint="E6"/>
        </w:rPr>
        <w:t>ludzi</w:t>
      </w:r>
      <w:bookmarkEnd w:id="2"/>
      <w:bookmarkEnd w:id="3"/>
    </w:p>
    <w:p w14:paraId="69AD3317" w14:textId="77777777" w:rsidR="001E187C" w:rsidRPr="009476ED" w:rsidRDefault="001E187C" w:rsidP="001E187C">
      <w:pPr>
        <w:rPr>
          <w:b/>
          <w:bCs/>
        </w:rPr>
      </w:pPr>
    </w:p>
    <w:p w14:paraId="0354B622" w14:textId="77777777" w:rsidR="00986DE0" w:rsidRPr="009476ED" w:rsidRDefault="00986DE0">
      <w:pPr>
        <w:pStyle w:val="Nagwek2"/>
        <w:numPr>
          <w:ilvl w:val="0"/>
          <w:numId w:val="9"/>
        </w:numPr>
        <w:spacing w:before="0" w:after="0" w:line="276" w:lineRule="auto"/>
        <w:ind w:left="568" w:right="284" w:hanging="284"/>
        <w:rPr>
          <w:rFonts w:cstheme="minorHAnsi"/>
          <w:b/>
          <w:bCs/>
          <w:color w:val="000000" w:themeColor="text1"/>
          <w:szCs w:val="24"/>
        </w:rPr>
      </w:pPr>
      <w:bookmarkStart w:id="4" w:name="_Toc225235841"/>
      <w:bookmarkStart w:id="5" w:name="_Toc225859028"/>
      <w:r w:rsidRPr="009476ED">
        <w:rPr>
          <w:rFonts w:cstheme="minorHAnsi"/>
          <w:b/>
          <w:bCs/>
          <w:color w:val="000000" w:themeColor="text1"/>
          <w:szCs w:val="24"/>
        </w:rPr>
        <w:t>Sytuacja epidemiologiczna wybranych chorób zakaźnych</w:t>
      </w:r>
      <w:bookmarkEnd w:id="4"/>
      <w:bookmarkEnd w:id="5"/>
    </w:p>
    <w:p w14:paraId="2AB49E08" w14:textId="77777777" w:rsidR="001E187C" w:rsidRPr="001E187C" w:rsidRDefault="001E187C" w:rsidP="001E187C"/>
    <w:p w14:paraId="63DBE3FB" w14:textId="20AFEE6F" w:rsidR="00986DE0" w:rsidRPr="00EC00AF" w:rsidRDefault="00986DE0" w:rsidP="001E187C">
      <w:pPr>
        <w:spacing w:line="360" w:lineRule="auto"/>
        <w:rPr>
          <w:rFonts w:ascii="Lato" w:hAnsi="Lato"/>
          <w:strike/>
          <w:color w:val="000000" w:themeColor="text1"/>
          <w:sz w:val="22"/>
          <w:szCs w:val="22"/>
        </w:rPr>
      </w:pPr>
      <w:r w:rsidRPr="00EC00AF">
        <w:rPr>
          <w:rFonts w:ascii="Lato" w:hAnsi="Lato"/>
          <w:color w:val="000000" w:themeColor="text1"/>
          <w:sz w:val="22"/>
          <w:szCs w:val="22"/>
        </w:rPr>
        <w:t xml:space="preserve">Ocena sytuacji epidemiologicznej </w:t>
      </w:r>
      <w:r w:rsidR="001E187C">
        <w:rPr>
          <w:rFonts w:ascii="Lato" w:hAnsi="Lato"/>
          <w:color w:val="000000" w:themeColor="text1"/>
          <w:sz w:val="22"/>
          <w:szCs w:val="22"/>
        </w:rPr>
        <w:t>woj</w:t>
      </w:r>
      <w:r w:rsidRPr="00EC00AF">
        <w:rPr>
          <w:rFonts w:ascii="Lato" w:hAnsi="Lato"/>
          <w:color w:val="000000" w:themeColor="text1"/>
          <w:sz w:val="22"/>
          <w:szCs w:val="22"/>
        </w:rPr>
        <w:t>. zachodniopomorskiego</w:t>
      </w:r>
      <w:r w:rsidR="00F54205">
        <w:rPr>
          <w:rFonts w:ascii="Lato" w:hAnsi="Lato"/>
          <w:color w:val="000000" w:themeColor="text1"/>
          <w:sz w:val="22"/>
          <w:szCs w:val="22"/>
        </w:rPr>
        <w:t xml:space="preserve"> została</w:t>
      </w:r>
      <w:r w:rsidRPr="00EC00AF">
        <w:rPr>
          <w:rFonts w:ascii="Lato" w:hAnsi="Lato"/>
          <w:color w:val="000000" w:themeColor="text1"/>
          <w:sz w:val="22"/>
          <w:szCs w:val="22"/>
        </w:rPr>
        <w:t xml:space="preserve"> dokon</w:t>
      </w:r>
      <w:r w:rsidR="00F54205">
        <w:rPr>
          <w:rFonts w:ascii="Lato" w:hAnsi="Lato"/>
          <w:color w:val="000000" w:themeColor="text1"/>
          <w:sz w:val="22"/>
          <w:szCs w:val="22"/>
        </w:rPr>
        <w:t>ana</w:t>
      </w:r>
      <w:r w:rsidRPr="00EC00AF">
        <w:rPr>
          <w:rFonts w:ascii="Lato" w:hAnsi="Lato"/>
          <w:color w:val="000000" w:themeColor="text1"/>
          <w:sz w:val="22"/>
          <w:szCs w:val="22"/>
        </w:rPr>
        <w:t xml:space="preserve"> na podstawie analizy chorób zakaźnych oraz danych z nadzoru epidemiologicznego i weryfikacji zgłoszonych zachorowań na choroby zakaźne, zakażenia i zatrucia. Rejestracja zgłoszonych zachorowań na</w:t>
      </w:r>
      <w:r w:rsidR="00861843">
        <w:rPr>
          <w:rFonts w:ascii="Lato" w:hAnsi="Lato"/>
          <w:color w:val="000000" w:themeColor="text1"/>
          <w:sz w:val="22"/>
          <w:szCs w:val="22"/>
        </w:rPr>
        <w:t> </w:t>
      </w:r>
      <w:r w:rsidRPr="00EC00AF">
        <w:rPr>
          <w:rFonts w:ascii="Lato" w:hAnsi="Lato"/>
          <w:color w:val="000000" w:themeColor="text1"/>
          <w:sz w:val="22"/>
          <w:szCs w:val="22"/>
        </w:rPr>
        <w:t>choroby zakaźne odbywała się w oparciu o aktualne definicje przypadków chorób zakaźnych na</w:t>
      </w:r>
      <w:r w:rsidR="00C92B81">
        <w:rPr>
          <w:rFonts w:ascii="Lato" w:hAnsi="Lato"/>
          <w:color w:val="000000" w:themeColor="text1"/>
          <w:sz w:val="22"/>
          <w:szCs w:val="22"/>
        </w:rPr>
        <w:t> </w:t>
      </w:r>
      <w:r w:rsidRPr="00EC00AF">
        <w:rPr>
          <w:rFonts w:ascii="Lato" w:hAnsi="Lato"/>
          <w:color w:val="000000" w:themeColor="text1"/>
          <w:sz w:val="22"/>
          <w:szCs w:val="22"/>
        </w:rPr>
        <w:t>potrzeby nadzoru epidemiologicznego opracowane przez NIZP-PZH PIB.</w:t>
      </w:r>
    </w:p>
    <w:p w14:paraId="05C605C8" w14:textId="1D5FE29C" w:rsidR="00986DE0" w:rsidRDefault="00986DE0" w:rsidP="001E187C">
      <w:pPr>
        <w:autoSpaceDE w:val="0"/>
        <w:autoSpaceDN w:val="0"/>
        <w:adjustRightInd w:val="0"/>
        <w:spacing w:line="360" w:lineRule="auto"/>
        <w:rPr>
          <w:rFonts w:ascii="Lato" w:hAnsi="Lato" w:cs="Calibri"/>
          <w:color w:val="000000" w:themeColor="text1"/>
          <w:sz w:val="22"/>
          <w:szCs w:val="22"/>
        </w:rPr>
      </w:pPr>
      <w:r w:rsidRPr="00EC00AF">
        <w:rPr>
          <w:rFonts w:ascii="Lato" w:hAnsi="Lato" w:cs="Calibri"/>
          <w:color w:val="000000" w:themeColor="text1"/>
          <w:sz w:val="22"/>
          <w:szCs w:val="22"/>
        </w:rPr>
        <w:t>W 2025 r. kontynuowane były przez pracowników Państwowej Inspekcji Sanitarnej działania edukacyjne wśród pracowników ochrony zdrowia oraz współpraca z Oddziałem Zachodniopomorskim NFZ celem poprawy czułości nadzoru epidemiologicznego. Rzetelna analiza danych epidemiologicznych stanowi podstawę do oceny ryzyka zdrowotnego, podejmowania działań przeciwepidemicznych oraz wdrażania strategii profilaktycznych na</w:t>
      </w:r>
      <w:r w:rsidR="00C92B81">
        <w:rPr>
          <w:rFonts w:ascii="Lato" w:hAnsi="Lato" w:cs="Calibri"/>
          <w:color w:val="000000" w:themeColor="text1"/>
          <w:sz w:val="22"/>
          <w:szCs w:val="22"/>
        </w:rPr>
        <w:t> </w:t>
      </w:r>
      <w:r w:rsidRPr="00EC00AF">
        <w:rPr>
          <w:rFonts w:ascii="Lato" w:hAnsi="Lato" w:cs="Calibri"/>
          <w:color w:val="000000" w:themeColor="text1"/>
          <w:sz w:val="22"/>
          <w:szCs w:val="22"/>
        </w:rPr>
        <w:t>terenie województwa.</w:t>
      </w:r>
    </w:p>
    <w:p w14:paraId="6FC493E3" w14:textId="77777777" w:rsidR="00927094" w:rsidRPr="00EC00AF" w:rsidRDefault="00927094" w:rsidP="00927094">
      <w:pPr>
        <w:autoSpaceDE w:val="0"/>
        <w:autoSpaceDN w:val="0"/>
        <w:adjustRightInd w:val="0"/>
        <w:rPr>
          <w:rFonts w:ascii="Lato" w:hAnsi="Lato" w:cs="Calibri"/>
          <w:color w:val="000000" w:themeColor="text1"/>
          <w:sz w:val="22"/>
          <w:szCs w:val="22"/>
        </w:rPr>
      </w:pPr>
    </w:p>
    <w:p w14:paraId="18D87BDC" w14:textId="0DA14282" w:rsidR="00986DE0" w:rsidRPr="00986DE0" w:rsidRDefault="00986DE0">
      <w:pPr>
        <w:pStyle w:val="Nagwek3"/>
        <w:numPr>
          <w:ilvl w:val="1"/>
          <w:numId w:val="9"/>
        </w:numPr>
        <w:spacing w:before="0" w:after="0" w:line="360" w:lineRule="auto"/>
        <w:ind w:right="284" w:hanging="284"/>
        <w:rPr>
          <w:color w:val="auto"/>
          <w:sz w:val="24"/>
          <w:szCs w:val="24"/>
        </w:rPr>
      </w:pPr>
      <w:bookmarkStart w:id="6" w:name="_Toc225235842"/>
      <w:bookmarkStart w:id="7" w:name="_Toc225859029"/>
      <w:r w:rsidRPr="00986DE0">
        <w:rPr>
          <w:color w:val="auto"/>
          <w:sz w:val="24"/>
          <w:szCs w:val="24"/>
        </w:rPr>
        <w:t>Zatrucia i zakażenia pokarmowe</w:t>
      </w:r>
      <w:bookmarkEnd w:id="6"/>
      <w:bookmarkEnd w:id="7"/>
    </w:p>
    <w:p w14:paraId="2690179B" w14:textId="77777777" w:rsidR="002B6034" w:rsidRDefault="002B6034" w:rsidP="00927094">
      <w:pPr>
        <w:autoSpaceDE w:val="0"/>
        <w:autoSpaceDN w:val="0"/>
        <w:adjustRightInd w:val="0"/>
        <w:rPr>
          <w:rFonts w:ascii="Lato" w:hAnsi="Lato" w:cstheme="minorHAnsi"/>
          <w:b/>
          <w:bCs/>
          <w:sz w:val="22"/>
          <w:szCs w:val="22"/>
        </w:rPr>
      </w:pPr>
    </w:p>
    <w:p w14:paraId="18030DC8" w14:textId="77777777" w:rsidR="00F45A42" w:rsidRDefault="00986DE0" w:rsidP="00F45A42">
      <w:pPr>
        <w:spacing w:line="360" w:lineRule="auto"/>
        <w:rPr>
          <w:rFonts w:ascii="Lato" w:hAnsi="Lato" w:cstheme="minorHAnsi"/>
          <w:bCs/>
          <w:color w:val="000000" w:themeColor="text1"/>
          <w:spacing w:val="-2"/>
          <w:sz w:val="22"/>
          <w:szCs w:val="22"/>
        </w:rPr>
      </w:pPr>
      <w:r w:rsidRPr="00EC00AF">
        <w:rPr>
          <w:rFonts w:ascii="Lato" w:hAnsi="Lato" w:cstheme="minorHAnsi"/>
          <w:color w:val="000000" w:themeColor="text1"/>
          <w:sz w:val="22"/>
          <w:szCs w:val="22"/>
        </w:rPr>
        <w:t xml:space="preserve">W 2025 r. sytuacja epidemiologiczna zatruć i zakażeń pokarmowych o etiologii Salmonella uległa poprawie (zarejestrowano </w:t>
      </w:r>
      <w:r w:rsidR="00F54205">
        <w:rPr>
          <w:rFonts w:ascii="Lato" w:hAnsi="Lato" w:cstheme="minorHAnsi"/>
          <w:color w:val="000000" w:themeColor="text1"/>
          <w:sz w:val="22"/>
          <w:szCs w:val="22"/>
        </w:rPr>
        <w:t xml:space="preserve">ponad </w:t>
      </w:r>
      <w:r w:rsidRPr="00EC00AF">
        <w:rPr>
          <w:rFonts w:ascii="Lato" w:hAnsi="Lato" w:cstheme="minorHAnsi"/>
          <w:color w:val="000000" w:themeColor="text1"/>
          <w:sz w:val="22"/>
          <w:szCs w:val="22"/>
        </w:rPr>
        <w:t>4 razy mniej przypadków niż w 2024 r.).</w:t>
      </w:r>
      <w:r w:rsidRPr="00EC00AF">
        <w:rPr>
          <w:rFonts w:ascii="Lato" w:hAnsi="Lato" w:cstheme="minorHAnsi"/>
          <w:color w:val="00B050"/>
          <w:sz w:val="22"/>
          <w:szCs w:val="22"/>
        </w:rPr>
        <w:t xml:space="preserve"> </w:t>
      </w:r>
      <w:r w:rsidRPr="00EC00AF">
        <w:rPr>
          <w:rFonts w:ascii="Lato" w:hAnsi="Lato" w:cstheme="minorHAnsi"/>
          <w:color w:val="000000" w:themeColor="text1"/>
          <w:sz w:val="22"/>
          <w:szCs w:val="22"/>
        </w:rPr>
        <w:t xml:space="preserve">Stwierdzono natomiast wzrost liczby przypadków zakażeń </w:t>
      </w:r>
      <w:proofErr w:type="spellStart"/>
      <w:r w:rsidRPr="00EC00AF">
        <w:rPr>
          <w:rFonts w:ascii="Lato" w:hAnsi="Lato" w:cstheme="minorHAnsi"/>
          <w:color w:val="000000" w:themeColor="text1"/>
          <w:sz w:val="22"/>
          <w:szCs w:val="22"/>
        </w:rPr>
        <w:t>rotawirusowych</w:t>
      </w:r>
      <w:proofErr w:type="spellEnd"/>
      <w:r w:rsidRPr="00EC00AF">
        <w:rPr>
          <w:rFonts w:ascii="Lato" w:hAnsi="Lato" w:cstheme="minorHAnsi"/>
          <w:color w:val="000000" w:themeColor="text1"/>
          <w:sz w:val="22"/>
          <w:szCs w:val="22"/>
        </w:rPr>
        <w:t xml:space="preserve"> (</w:t>
      </w:r>
      <w:r w:rsidR="00F54205">
        <w:rPr>
          <w:rFonts w:ascii="Lato" w:hAnsi="Lato" w:cstheme="minorHAnsi"/>
          <w:color w:val="000000" w:themeColor="text1"/>
          <w:sz w:val="22"/>
          <w:szCs w:val="22"/>
        </w:rPr>
        <w:t xml:space="preserve">ponad </w:t>
      </w:r>
      <w:r w:rsidRPr="00EC00AF">
        <w:rPr>
          <w:rFonts w:ascii="Lato" w:hAnsi="Lato" w:cstheme="minorHAnsi"/>
          <w:color w:val="000000" w:themeColor="text1"/>
          <w:sz w:val="22"/>
          <w:szCs w:val="22"/>
        </w:rPr>
        <w:t xml:space="preserve">4 razy więcej niż w 2024 r.) oraz zakażeń </w:t>
      </w:r>
      <w:proofErr w:type="spellStart"/>
      <w:r w:rsidRPr="00EC00AF">
        <w:rPr>
          <w:rFonts w:ascii="Lato" w:hAnsi="Lato" w:cstheme="minorHAnsi"/>
          <w:color w:val="000000" w:themeColor="text1"/>
          <w:sz w:val="22"/>
          <w:szCs w:val="22"/>
        </w:rPr>
        <w:t>norowirusowych</w:t>
      </w:r>
      <w:proofErr w:type="spellEnd"/>
      <w:r w:rsidRPr="00EC00AF">
        <w:rPr>
          <w:rFonts w:ascii="Lato" w:hAnsi="Lato" w:cstheme="minorHAnsi"/>
          <w:color w:val="000000" w:themeColor="text1"/>
          <w:sz w:val="22"/>
          <w:szCs w:val="22"/>
        </w:rPr>
        <w:t xml:space="preserve"> (470 w 2024 r. vs. 507). Należy wskazać, że zachorowalność na choroby przenoszone drogą pokarmową na terenie województwa była niższa niż w Polsce (tabela 1).</w:t>
      </w:r>
      <w:r w:rsidR="00F45A42" w:rsidRPr="00F45A42">
        <w:rPr>
          <w:rFonts w:ascii="Lato" w:hAnsi="Lato" w:cstheme="minorHAnsi"/>
          <w:bCs/>
          <w:color w:val="000000" w:themeColor="text1"/>
          <w:spacing w:val="-2"/>
          <w:sz w:val="22"/>
          <w:szCs w:val="22"/>
        </w:rPr>
        <w:t xml:space="preserve"> </w:t>
      </w:r>
    </w:p>
    <w:p w14:paraId="088B93EF" w14:textId="15527945" w:rsidR="00F45A42" w:rsidRPr="00EC00AF" w:rsidRDefault="00F45A42" w:rsidP="00F45A42">
      <w:pPr>
        <w:spacing w:line="360" w:lineRule="auto"/>
        <w:rPr>
          <w:rFonts w:ascii="Lato" w:hAnsi="Lato" w:cstheme="minorHAnsi"/>
          <w:color w:val="000000" w:themeColor="text1"/>
          <w:sz w:val="22"/>
          <w:szCs w:val="22"/>
        </w:rPr>
      </w:pPr>
      <w:r w:rsidRPr="00EC00AF">
        <w:rPr>
          <w:rFonts w:ascii="Lato" w:hAnsi="Lato" w:cstheme="minorHAnsi"/>
          <w:bCs/>
          <w:color w:val="000000" w:themeColor="text1"/>
          <w:spacing w:val="-2"/>
          <w:sz w:val="22"/>
          <w:szCs w:val="22"/>
        </w:rPr>
        <w:t>W woj. zachodniopomorskim,</w:t>
      </w:r>
      <w:r w:rsidRPr="00EC00AF">
        <w:rPr>
          <w:rFonts w:ascii="Lato" w:hAnsi="Lato" w:cstheme="minorHAnsi"/>
          <w:bCs/>
          <w:color w:val="000000" w:themeColor="text1"/>
          <w:sz w:val="22"/>
          <w:szCs w:val="22"/>
        </w:rPr>
        <w:t xml:space="preserve"> </w:t>
      </w:r>
      <w:r w:rsidRPr="00EC00AF">
        <w:rPr>
          <w:rFonts w:ascii="Lato" w:hAnsi="Lato" w:cstheme="minorHAnsi"/>
          <w:bCs/>
          <w:color w:val="000000" w:themeColor="text1"/>
          <w:spacing w:val="-2"/>
          <w:sz w:val="22"/>
          <w:szCs w:val="22"/>
        </w:rPr>
        <w:t>w 2025 roku</w:t>
      </w:r>
      <w:r w:rsidRPr="00EC00AF">
        <w:rPr>
          <w:rFonts w:ascii="Lato" w:hAnsi="Lato" w:cstheme="minorHAnsi"/>
          <w:b/>
          <w:color w:val="000000" w:themeColor="text1"/>
          <w:spacing w:val="-2"/>
          <w:sz w:val="22"/>
          <w:szCs w:val="22"/>
        </w:rPr>
        <w:t xml:space="preserve"> </w:t>
      </w:r>
      <w:r w:rsidRPr="00EC00AF">
        <w:rPr>
          <w:rFonts w:ascii="Lato" w:hAnsi="Lato" w:cstheme="minorHAnsi"/>
          <w:color w:val="000000" w:themeColor="text1"/>
          <w:sz w:val="22"/>
          <w:szCs w:val="22"/>
        </w:rPr>
        <w:t>wystąpiło ogółem 58 ognisk chorób przenoszonych drogą pokarmową, z czego ponad połowa to ogniska rodzinne (33 ogniska). W pozostałych przypadkach ogniska wyst</w:t>
      </w:r>
      <w:r>
        <w:rPr>
          <w:rFonts w:ascii="Lato" w:hAnsi="Lato" w:cstheme="minorHAnsi"/>
          <w:color w:val="000000" w:themeColor="text1"/>
          <w:sz w:val="22"/>
          <w:szCs w:val="22"/>
        </w:rPr>
        <w:t>ępowały głownie</w:t>
      </w:r>
      <w:r w:rsidRPr="00EC00AF">
        <w:rPr>
          <w:rFonts w:ascii="Lato" w:hAnsi="Lato" w:cstheme="minorHAnsi"/>
          <w:color w:val="000000" w:themeColor="text1"/>
          <w:sz w:val="22"/>
          <w:szCs w:val="22"/>
        </w:rPr>
        <w:t xml:space="preserve"> w ośrodkach wypoczynkowych i sanatoryjno-uzdrowiskowych</w:t>
      </w:r>
      <w:r>
        <w:rPr>
          <w:rFonts w:ascii="Lato" w:hAnsi="Lato" w:cstheme="minorHAnsi"/>
          <w:color w:val="000000" w:themeColor="text1"/>
          <w:sz w:val="22"/>
          <w:szCs w:val="22"/>
        </w:rPr>
        <w:t xml:space="preserve"> oraz </w:t>
      </w:r>
      <w:r w:rsidRPr="00EC00AF">
        <w:rPr>
          <w:rFonts w:ascii="Lato" w:hAnsi="Lato" w:cstheme="minorHAnsi"/>
          <w:color w:val="000000" w:themeColor="text1"/>
          <w:sz w:val="22"/>
          <w:szCs w:val="22"/>
        </w:rPr>
        <w:t>podczas przyjęć okolicznościowych.</w:t>
      </w:r>
    </w:p>
    <w:p w14:paraId="6DB6FE54" w14:textId="77777777" w:rsidR="00F45A42" w:rsidRPr="00EC00AF" w:rsidRDefault="00F45A42" w:rsidP="00F45A42">
      <w:pPr>
        <w:spacing w:line="360" w:lineRule="auto"/>
        <w:rPr>
          <w:rFonts w:ascii="Lato" w:hAnsi="Lato" w:cstheme="minorHAnsi"/>
          <w:color w:val="000000" w:themeColor="text1"/>
          <w:sz w:val="22"/>
          <w:szCs w:val="22"/>
        </w:rPr>
      </w:pPr>
      <w:r w:rsidRPr="00EC00AF">
        <w:rPr>
          <w:rFonts w:ascii="Lato" w:hAnsi="Lato" w:cstheme="minorHAnsi"/>
          <w:color w:val="000000" w:themeColor="text1"/>
          <w:sz w:val="22"/>
          <w:szCs w:val="22"/>
        </w:rPr>
        <w:t>W ogniskach narażonych na zachorowanie było 7458 osób, łącznie zachorowały 772 osoby (w tym 86 dzieci do 14 roku życia), a hospitalizowano 37 osób, w tym 23 dzieci do 14 roku życia.</w:t>
      </w:r>
    </w:p>
    <w:p w14:paraId="2047D9CC" w14:textId="77777777" w:rsidR="00F45A42" w:rsidRPr="00EC00AF" w:rsidRDefault="00F45A42" w:rsidP="00F45A42">
      <w:pPr>
        <w:spacing w:line="360" w:lineRule="auto"/>
        <w:rPr>
          <w:rFonts w:ascii="Lato" w:hAnsi="Lato" w:cstheme="minorHAnsi"/>
          <w:color w:val="000000" w:themeColor="text1"/>
          <w:sz w:val="22"/>
          <w:szCs w:val="22"/>
        </w:rPr>
      </w:pPr>
      <w:r w:rsidRPr="00EC00AF">
        <w:rPr>
          <w:rFonts w:ascii="Lato" w:hAnsi="Lato" w:cstheme="minorHAnsi"/>
          <w:color w:val="000000" w:themeColor="text1"/>
          <w:sz w:val="22"/>
          <w:szCs w:val="22"/>
        </w:rPr>
        <w:t xml:space="preserve">W 34 ogniskach zidentyfikowano czynnik etiologiczny: w 14 ogniskach były to </w:t>
      </w:r>
      <w:proofErr w:type="spellStart"/>
      <w:r w:rsidRPr="00EC00AF">
        <w:rPr>
          <w:rFonts w:ascii="Lato" w:hAnsi="Lato" w:cstheme="minorHAnsi"/>
          <w:color w:val="000000" w:themeColor="text1"/>
          <w:sz w:val="22"/>
          <w:szCs w:val="22"/>
        </w:rPr>
        <w:t>norowirusy</w:t>
      </w:r>
      <w:proofErr w:type="spellEnd"/>
      <w:r w:rsidRPr="00EC00AF">
        <w:rPr>
          <w:rFonts w:ascii="Lato" w:hAnsi="Lato" w:cstheme="minorHAnsi"/>
          <w:color w:val="000000" w:themeColor="text1"/>
          <w:sz w:val="22"/>
          <w:szCs w:val="22"/>
        </w:rPr>
        <w:t xml:space="preserve">, w 9 - Salmonella, w 5 - </w:t>
      </w:r>
      <w:proofErr w:type="spellStart"/>
      <w:r w:rsidRPr="00EC00AF">
        <w:rPr>
          <w:rFonts w:ascii="Lato" w:hAnsi="Lato" w:cstheme="minorHAnsi"/>
          <w:color w:val="000000" w:themeColor="text1"/>
          <w:sz w:val="22"/>
          <w:szCs w:val="22"/>
        </w:rPr>
        <w:t>rotawirusy</w:t>
      </w:r>
      <w:proofErr w:type="spellEnd"/>
      <w:r w:rsidRPr="00EC00AF">
        <w:rPr>
          <w:rFonts w:ascii="Lato" w:hAnsi="Lato" w:cstheme="minorHAnsi"/>
          <w:color w:val="000000" w:themeColor="text1"/>
          <w:sz w:val="22"/>
          <w:szCs w:val="22"/>
        </w:rPr>
        <w:t xml:space="preserve">, w 3 </w:t>
      </w:r>
      <w:r>
        <w:rPr>
          <w:rFonts w:ascii="Lato" w:hAnsi="Lato" w:cstheme="minorHAnsi"/>
          <w:color w:val="000000" w:themeColor="text1"/>
          <w:sz w:val="22"/>
          <w:szCs w:val="22"/>
        </w:rPr>
        <w:t xml:space="preserve">- </w:t>
      </w:r>
      <w:r w:rsidRPr="00EC00AF">
        <w:rPr>
          <w:rFonts w:ascii="Lato" w:hAnsi="Lato" w:cstheme="minorHAnsi"/>
          <w:color w:val="000000" w:themeColor="text1"/>
          <w:sz w:val="22"/>
          <w:szCs w:val="22"/>
        </w:rPr>
        <w:t xml:space="preserve">wirus HAV, a w pojedynczych przypadkach </w:t>
      </w:r>
      <w:proofErr w:type="spellStart"/>
      <w:r w:rsidRPr="00EC00AF">
        <w:rPr>
          <w:rFonts w:ascii="Lato" w:hAnsi="Lato" w:cstheme="minorHAnsi"/>
          <w:color w:val="000000" w:themeColor="text1"/>
          <w:sz w:val="22"/>
          <w:szCs w:val="22"/>
        </w:rPr>
        <w:t>Campylobacter</w:t>
      </w:r>
      <w:proofErr w:type="spellEnd"/>
      <w:r w:rsidRPr="00EC00AF">
        <w:rPr>
          <w:rFonts w:ascii="Lato" w:hAnsi="Lato" w:cstheme="minorHAnsi"/>
          <w:color w:val="000000" w:themeColor="text1"/>
          <w:sz w:val="22"/>
          <w:szCs w:val="22"/>
        </w:rPr>
        <w:t>, E. coli STEC oraz adenowirusy.</w:t>
      </w:r>
    </w:p>
    <w:p w14:paraId="7F7B358E" w14:textId="77777777" w:rsidR="00F45A42" w:rsidRPr="00383E25" w:rsidRDefault="00F45A42" w:rsidP="00F45A42">
      <w:pPr>
        <w:spacing w:line="360" w:lineRule="auto"/>
        <w:rPr>
          <w:rFonts w:ascii="Lato" w:hAnsi="Lato" w:cstheme="minorHAnsi"/>
          <w:color w:val="000000" w:themeColor="text1"/>
          <w:sz w:val="22"/>
          <w:szCs w:val="22"/>
        </w:rPr>
      </w:pPr>
      <w:r w:rsidRPr="00EC00AF">
        <w:rPr>
          <w:rFonts w:ascii="Lato" w:hAnsi="Lato" w:cstheme="minorHAnsi"/>
          <w:color w:val="000000" w:themeColor="text1"/>
          <w:sz w:val="22"/>
          <w:szCs w:val="22"/>
        </w:rPr>
        <w:t>W porównaniu do 2024 r. liczba ognisk chorób przenoszonych drogą pokarmową zgłoszonych do Państwowej Inspekcji Sanitarnej zmniejszyła się o prawie 40%.</w:t>
      </w:r>
    </w:p>
    <w:p w14:paraId="49A32360" w14:textId="34C28F9C" w:rsidR="001E187C" w:rsidRPr="00383E25" w:rsidRDefault="001E187C" w:rsidP="00383E25">
      <w:pPr>
        <w:autoSpaceDE w:val="0"/>
        <w:autoSpaceDN w:val="0"/>
        <w:adjustRightInd w:val="0"/>
        <w:spacing w:line="360" w:lineRule="auto"/>
        <w:rPr>
          <w:rFonts w:ascii="Lato" w:hAnsi="Lato" w:cstheme="minorHAnsi"/>
          <w:color w:val="000000" w:themeColor="text1"/>
          <w:sz w:val="22"/>
          <w:szCs w:val="22"/>
        </w:rPr>
      </w:pPr>
    </w:p>
    <w:p w14:paraId="2FF2B917" w14:textId="1C045A38" w:rsidR="005D1F63" w:rsidRPr="003A377E" w:rsidRDefault="00E5412B" w:rsidP="003A377E">
      <w:pPr>
        <w:pStyle w:val="Legenda"/>
        <w:rPr>
          <w:rFonts w:ascii="Lato" w:hAnsi="Lato"/>
          <w:b w:val="0"/>
          <w:bCs w:val="0"/>
          <w:sz w:val="18"/>
          <w:szCs w:val="18"/>
        </w:rPr>
      </w:pPr>
      <w:bookmarkStart w:id="8" w:name="_Toc225859357"/>
      <w:r w:rsidRPr="00E5412B">
        <w:rPr>
          <w:rFonts w:ascii="Lato" w:hAnsi="Lato"/>
          <w:b w:val="0"/>
          <w:bCs w:val="0"/>
          <w:sz w:val="18"/>
          <w:szCs w:val="18"/>
        </w:rPr>
        <w:t xml:space="preserve">Tabela </w:t>
      </w:r>
      <w:r w:rsidRPr="00E5412B">
        <w:rPr>
          <w:rFonts w:ascii="Lato" w:hAnsi="Lato"/>
          <w:b w:val="0"/>
          <w:bCs w:val="0"/>
          <w:sz w:val="18"/>
          <w:szCs w:val="18"/>
        </w:rPr>
        <w:fldChar w:fldCharType="begin"/>
      </w:r>
      <w:r w:rsidRPr="00E5412B">
        <w:rPr>
          <w:rFonts w:ascii="Lato" w:hAnsi="Lato"/>
          <w:b w:val="0"/>
          <w:bCs w:val="0"/>
          <w:sz w:val="18"/>
          <w:szCs w:val="18"/>
        </w:rPr>
        <w:instrText xml:space="preserve"> SEQ Tabela \* ARABIC </w:instrText>
      </w:r>
      <w:r w:rsidRPr="00E5412B">
        <w:rPr>
          <w:rFonts w:ascii="Lato" w:hAnsi="Lato"/>
          <w:b w:val="0"/>
          <w:bCs w:val="0"/>
          <w:sz w:val="18"/>
          <w:szCs w:val="18"/>
        </w:rPr>
        <w:fldChar w:fldCharType="separate"/>
      </w:r>
      <w:r w:rsidR="002A3179">
        <w:rPr>
          <w:rFonts w:ascii="Lato" w:hAnsi="Lato"/>
          <w:b w:val="0"/>
          <w:bCs w:val="0"/>
          <w:noProof/>
          <w:sz w:val="18"/>
          <w:szCs w:val="18"/>
        </w:rPr>
        <w:t>1</w:t>
      </w:r>
      <w:r w:rsidRPr="00E5412B">
        <w:rPr>
          <w:rFonts w:ascii="Lato" w:hAnsi="Lato"/>
          <w:b w:val="0"/>
          <w:bCs w:val="0"/>
          <w:sz w:val="18"/>
          <w:szCs w:val="18"/>
        </w:rPr>
        <w:fldChar w:fldCharType="end"/>
      </w:r>
      <w:r>
        <w:rPr>
          <w:rFonts w:ascii="Lato" w:hAnsi="Lato"/>
          <w:b w:val="0"/>
          <w:bCs w:val="0"/>
          <w:sz w:val="18"/>
          <w:szCs w:val="18"/>
        </w:rPr>
        <w:t>.</w:t>
      </w:r>
      <w:r w:rsidRPr="00E5412B">
        <w:rPr>
          <w:rFonts w:ascii="Lato" w:hAnsi="Lato"/>
          <w:b w:val="0"/>
          <w:bCs w:val="0"/>
          <w:sz w:val="18"/>
          <w:szCs w:val="18"/>
        </w:rPr>
        <w:t>Wybrane dane epidemiologiczne dotyczące chorób zakaźnych przenoszonych drogą pokarmową w Polsce i</w:t>
      </w:r>
      <w:r w:rsidR="00E31B5B">
        <w:rPr>
          <w:rFonts w:ascii="Lato" w:hAnsi="Lato"/>
          <w:b w:val="0"/>
          <w:bCs w:val="0"/>
          <w:sz w:val="18"/>
          <w:szCs w:val="18"/>
        </w:rPr>
        <w:t> </w:t>
      </w:r>
      <w:r w:rsidRPr="00E5412B">
        <w:rPr>
          <w:rFonts w:ascii="Lato" w:hAnsi="Lato"/>
          <w:b w:val="0"/>
          <w:bCs w:val="0"/>
          <w:sz w:val="18"/>
          <w:szCs w:val="18"/>
        </w:rPr>
        <w:t>woj. zachodniopomorskim w 2025 r.</w:t>
      </w:r>
      <w:bookmarkEnd w:id="8"/>
    </w:p>
    <w:tbl>
      <w:tblPr>
        <w:tblW w:w="957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ybrane dane epidemiologiczne dotyczące chorób zakaźnych przenoszonych drogą pokarmową w Polsce i woj. zachodniopomorskim w 2025 r."/>
        <w:tblDescription w:val="Tabela przedstawia dane dotyczące wybranych chorób zakaźnych przenoszonych drogą pokarmową. Najwięcej zachorowań odnotowano w związku z wirusowymi zakażeniami jelitowymi wywołanymi przez norowirusy - 507 przypadków, oraz wirusowymi zakażeniami jelitowymi wywołanymi przez rotawirusy - 426 przypadków."/>
      </w:tblPr>
      <w:tblGrid>
        <w:gridCol w:w="568"/>
        <w:gridCol w:w="2268"/>
        <w:gridCol w:w="1984"/>
        <w:gridCol w:w="1701"/>
        <w:gridCol w:w="1560"/>
        <w:gridCol w:w="1496"/>
      </w:tblGrid>
      <w:tr w:rsidR="00986DE0" w:rsidRPr="0035656C" w14:paraId="2D4BEEB1" w14:textId="77777777" w:rsidTr="00130F95">
        <w:tc>
          <w:tcPr>
            <w:tcW w:w="568" w:type="dxa"/>
            <w:vMerge w:val="restart"/>
            <w:shd w:val="clear" w:color="auto" w:fill="D9D9D9" w:themeFill="background1" w:themeFillShade="D9"/>
            <w:vAlign w:val="center"/>
          </w:tcPr>
          <w:p w14:paraId="77FCD82E" w14:textId="77777777" w:rsidR="00986DE0" w:rsidRPr="00BB41D4" w:rsidRDefault="00986DE0" w:rsidP="003C7140">
            <w:pPr>
              <w:jc w:val="center"/>
              <w:rPr>
                <w:rFonts w:ascii="Lato" w:hAnsi="Lato" w:cstheme="minorHAnsi"/>
                <w:b/>
                <w:bCs/>
                <w:sz w:val="20"/>
                <w:szCs w:val="20"/>
              </w:rPr>
            </w:pPr>
            <w:r w:rsidRPr="00BB41D4">
              <w:rPr>
                <w:rFonts w:ascii="Lato" w:hAnsi="Lato" w:cstheme="minorHAnsi"/>
                <w:b/>
                <w:bCs/>
                <w:sz w:val="20"/>
                <w:szCs w:val="20"/>
              </w:rPr>
              <w:t>Lp.</w:t>
            </w:r>
          </w:p>
        </w:tc>
        <w:tc>
          <w:tcPr>
            <w:tcW w:w="2268" w:type="dxa"/>
            <w:vMerge w:val="restart"/>
            <w:shd w:val="clear" w:color="auto" w:fill="D9D9D9" w:themeFill="background1" w:themeFillShade="D9"/>
            <w:vAlign w:val="center"/>
          </w:tcPr>
          <w:p w14:paraId="39FE5439" w14:textId="77777777" w:rsidR="00986DE0" w:rsidRPr="00BB41D4" w:rsidRDefault="00986DE0" w:rsidP="003C7140">
            <w:pPr>
              <w:jc w:val="center"/>
              <w:rPr>
                <w:rFonts w:ascii="Lato" w:hAnsi="Lato" w:cstheme="minorHAnsi"/>
                <w:b/>
                <w:bCs/>
                <w:sz w:val="20"/>
                <w:szCs w:val="20"/>
              </w:rPr>
            </w:pPr>
            <w:r w:rsidRPr="00BB41D4">
              <w:rPr>
                <w:rFonts w:ascii="Lato" w:hAnsi="Lato" w:cstheme="minorHAnsi"/>
                <w:b/>
                <w:bCs/>
                <w:sz w:val="20"/>
                <w:szCs w:val="20"/>
              </w:rPr>
              <w:t>Jednostka chorobowa</w:t>
            </w:r>
          </w:p>
        </w:tc>
        <w:tc>
          <w:tcPr>
            <w:tcW w:w="3685" w:type="dxa"/>
            <w:gridSpan w:val="2"/>
            <w:shd w:val="clear" w:color="auto" w:fill="D9D9D9" w:themeFill="background1" w:themeFillShade="D9"/>
            <w:vAlign w:val="center"/>
          </w:tcPr>
          <w:p w14:paraId="6CF1DDC1" w14:textId="77777777" w:rsidR="00986DE0" w:rsidRPr="00BB41D4" w:rsidRDefault="00986DE0" w:rsidP="003C7140">
            <w:pPr>
              <w:jc w:val="center"/>
              <w:rPr>
                <w:rFonts w:ascii="Lato" w:hAnsi="Lato" w:cstheme="minorHAnsi"/>
                <w:b/>
                <w:bCs/>
                <w:sz w:val="20"/>
                <w:szCs w:val="20"/>
              </w:rPr>
            </w:pPr>
            <w:r w:rsidRPr="00BB41D4">
              <w:rPr>
                <w:rFonts w:ascii="Lato" w:hAnsi="Lato" w:cstheme="minorHAnsi"/>
                <w:b/>
                <w:bCs/>
                <w:sz w:val="20"/>
                <w:szCs w:val="20"/>
              </w:rPr>
              <w:t>Polska</w:t>
            </w:r>
          </w:p>
        </w:tc>
        <w:tc>
          <w:tcPr>
            <w:tcW w:w="3056" w:type="dxa"/>
            <w:gridSpan w:val="2"/>
            <w:shd w:val="clear" w:color="auto" w:fill="D9D9D9" w:themeFill="background1" w:themeFillShade="D9"/>
            <w:vAlign w:val="center"/>
          </w:tcPr>
          <w:p w14:paraId="15D52728" w14:textId="77777777" w:rsidR="00986DE0" w:rsidRPr="00BB41D4" w:rsidRDefault="00986DE0" w:rsidP="003C7140">
            <w:pPr>
              <w:jc w:val="center"/>
              <w:rPr>
                <w:rFonts w:ascii="Lato" w:hAnsi="Lato" w:cstheme="minorHAnsi"/>
                <w:b/>
                <w:bCs/>
                <w:sz w:val="20"/>
                <w:szCs w:val="20"/>
              </w:rPr>
            </w:pPr>
            <w:r w:rsidRPr="00BB41D4">
              <w:rPr>
                <w:rFonts w:ascii="Lato" w:hAnsi="Lato" w:cstheme="minorHAnsi"/>
                <w:b/>
                <w:bCs/>
                <w:sz w:val="20"/>
                <w:szCs w:val="20"/>
              </w:rPr>
              <w:t>woj. zachodniopomorskie</w:t>
            </w:r>
          </w:p>
        </w:tc>
      </w:tr>
      <w:tr w:rsidR="00986DE0" w:rsidRPr="0035656C" w14:paraId="7FD0567E" w14:textId="77777777" w:rsidTr="00130F95">
        <w:trPr>
          <w:trHeight w:val="392"/>
        </w:trPr>
        <w:tc>
          <w:tcPr>
            <w:tcW w:w="568" w:type="dxa"/>
            <w:vMerge/>
            <w:shd w:val="clear" w:color="auto" w:fill="D9D9D9" w:themeFill="background1" w:themeFillShade="D9"/>
            <w:vAlign w:val="center"/>
          </w:tcPr>
          <w:p w14:paraId="5510C8E0" w14:textId="77777777" w:rsidR="00986DE0" w:rsidRPr="00BB41D4" w:rsidRDefault="00986DE0" w:rsidP="003C7140">
            <w:pPr>
              <w:jc w:val="center"/>
              <w:rPr>
                <w:rFonts w:ascii="Lato" w:hAnsi="Lato" w:cstheme="minorHAnsi"/>
                <w:b/>
                <w:bCs/>
                <w:sz w:val="20"/>
                <w:szCs w:val="20"/>
              </w:rPr>
            </w:pPr>
          </w:p>
        </w:tc>
        <w:tc>
          <w:tcPr>
            <w:tcW w:w="2268" w:type="dxa"/>
            <w:vMerge/>
            <w:shd w:val="clear" w:color="auto" w:fill="D9D9D9" w:themeFill="background1" w:themeFillShade="D9"/>
            <w:vAlign w:val="center"/>
          </w:tcPr>
          <w:p w14:paraId="7FF72BA3" w14:textId="77777777" w:rsidR="00986DE0" w:rsidRPr="00BB41D4" w:rsidRDefault="00986DE0" w:rsidP="003C7140">
            <w:pPr>
              <w:jc w:val="center"/>
              <w:rPr>
                <w:rFonts w:ascii="Lato" w:hAnsi="Lato" w:cstheme="minorHAnsi"/>
                <w:b/>
                <w:bCs/>
                <w:sz w:val="20"/>
                <w:szCs w:val="20"/>
              </w:rPr>
            </w:pPr>
          </w:p>
        </w:tc>
        <w:tc>
          <w:tcPr>
            <w:tcW w:w="1984" w:type="dxa"/>
            <w:shd w:val="clear" w:color="auto" w:fill="D9D9D9" w:themeFill="background1" w:themeFillShade="D9"/>
            <w:vAlign w:val="center"/>
          </w:tcPr>
          <w:p w14:paraId="48520C7E" w14:textId="77777777" w:rsidR="00986DE0" w:rsidRPr="00BB41D4" w:rsidRDefault="00986DE0" w:rsidP="003C7140">
            <w:pPr>
              <w:jc w:val="center"/>
              <w:rPr>
                <w:rFonts w:ascii="Lato" w:hAnsi="Lato" w:cstheme="minorHAnsi"/>
                <w:b/>
                <w:bCs/>
                <w:sz w:val="20"/>
                <w:szCs w:val="20"/>
              </w:rPr>
            </w:pPr>
            <w:r w:rsidRPr="00BB41D4">
              <w:rPr>
                <w:rFonts w:ascii="Lato" w:hAnsi="Lato" w:cstheme="minorHAnsi"/>
                <w:b/>
                <w:bCs/>
                <w:sz w:val="20"/>
                <w:szCs w:val="20"/>
              </w:rPr>
              <w:t>Liczba zachorowań</w:t>
            </w:r>
          </w:p>
        </w:tc>
        <w:tc>
          <w:tcPr>
            <w:tcW w:w="1701" w:type="dxa"/>
            <w:shd w:val="clear" w:color="auto" w:fill="D9D9D9" w:themeFill="background1" w:themeFillShade="D9"/>
            <w:vAlign w:val="center"/>
          </w:tcPr>
          <w:p w14:paraId="0EB6166B" w14:textId="77777777" w:rsidR="00986DE0" w:rsidRPr="00BB41D4" w:rsidRDefault="00986DE0" w:rsidP="003C7140">
            <w:pPr>
              <w:jc w:val="center"/>
              <w:rPr>
                <w:rFonts w:ascii="Lato" w:hAnsi="Lato" w:cstheme="minorHAnsi"/>
                <w:b/>
                <w:bCs/>
                <w:sz w:val="20"/>
                <w:szCs w:val="20"/>
              </w:rPr>
            </w:pPr>
            <w:r w:rsidRPr="00BB41D4">
              <w:rPr>
                <w:rFonts w:ascii="Lato" w:hAnsi="Lato" w:cstheme="minorHAnsi"/>
                <w:b/>
                <w:bCs/>
                <w:sz w:val="20"/>
                <w:szCs w:val="20"/>
              </w:rPr>
              <w:t>Zapadalność</w:t>
            </w:r>
          </w:p>
        </w:tc>
        <w:tc>
          <w:tcPr>
            <w:tcW w:w="1560" w:type="dxa"/>
            <w:shd w:val="clear" w:color="auto" w:fill="D9D9D9" w:themeFill="background1" w:themeFillShade="D9"/>
            <w:vAlign w:val="center"/>
          </w:tcPr>
          <w:p w14:paraId="7A86B5C6" w14:textId="77777777" w:rsidR="00986DE0" w:rsidRPr="00BB41D4" w:rsidRDefault="00986DE0" w:rsidP="003C7140">
            <w:pPr>
              <w:jc w:val="center"/>
              <w:rPr>
                <w:rFonts w:ascii="Lato" w:hAnsi="Lato" w:cstheme="minorHAnsi"/>
                <w:b/>
                <w:bCs/>
                <w:sz w:val="20"/>
                <w:szCs w:val="20"/>
              </w:rPr>
            </w:pPr>
            <w:r w:rsidRPr="00BB41D4">
              <w:rPr>
                <w:rFonts w:ascii="Lato" w:hAnsi="Lato" w:cstheme="minorHAnsi"/>
                <w:b/>
                <w:bCs/>
                <w:sz w:val="20"/>
                <w:szCs w:val="20"/>
              </w:rPr>
              <w:t>Liczba zachorowań</w:t>
            </w:r>
          </w:p>
        </w:tc>
        <w:tc>
          <w:tcPr>
            <w:tcW w:w="1496" w:type="dxa"/>
            <w:shd w:val="clear" w:color="auto" w:fill="D9D9D9" w:themeFill="background1" w:themeFillShade="D9"/>
            <w:vAlign w:val="center"/>
          </w:tcPr>
          <w:p w14:paraId="1CF861E5" w14:textId="77777777" w:rsidR="00986DE0" w:rsidRPr="00BB41D4" w:rsidRDefault="00986DE0" w:rsidP="003C7140">
            <w:pPr>
              <w:jc w:val="center"/>
              <w:rPr>
                <w:rFonts w:ascii="Lato" w:hAnsi="Lato" w:cstheme="minorHAnsi"/>
                <w:b/>
                <w:bCs/>
                <w:sz w:val="20"/>
                <w:szCs w:val="20"/>
              </w:rPr>
            </w:pPr>
            <w:r w:rsidRPr="00BB41D4">
              <w:rPr>
                <w:rFonts w:ascii="Lato" w:hAnsi="Lato" w:cstheme="minorHAnsi"/>
                <w:b/>
                <w:bCs/>
                <w:sz w:val="20"/>
                <w:szCs w:val="20"/>
              </w:rPr>
              <w:t>Zapadalność</w:t>
            </w:r>
          </w:p>
        </w:tc>
      </w:tr>
      <w:tr w:rsidR="00986DE0" w:rsidRPr="004B2BBB" w14:paraId="5C6FF56C" w14:textId="77777777" w:rsidTr="003C7140">
        <w:trPr>
          <w:trHeight w:val="445"/>
        </w:trPr>
        <w:tc>
          <w:tcPr>
            <w:tcW w:w="568" w:type="dxa"/>
            <w:vAlign w:val="center"/>
          </w:tcPr>
          <w:p w14:paraId="76932AD6"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1.</w:t>
            </w:r>
          </w:p>
        </w:tc>
        <w:tc>
          <w:tcPr>
            <w:tcW w:w="2268" w:type="dxa"/>
            <w:vAlign w:val="center"/>
          </w:tcPr>
          <w:p w14:paraId="06DF58BE"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Salmonelloza – zatrucie pokarmowe</w:t>
            </w:r>
          </w:p>
        </w:tc>
        <w:tc>
          <w:tcPr>
            <w:tcW w:w="1984" w:type="dxa"/>
            <w:vAlign w:val="center"/>
          </w:tcPr>
          <w:p w14:paraId="415C3462"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7875</w:t>
            </w:r>
          </w:p>
        </w:tc>
        <w:tc>
          <w:tcPr>
            <w:tcW w:w="1701" w:type="dxa"/>
            <w:vAlign w:val="center"/>
          </w:tcPr>
          <w:p w14:paraId="095278C2"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21.05</w:t>
            </w:r>
          </w:p>
        </w:tc>
        <w:tc>
          <w:tcPr>
            <w:tcW w:w="1560" w:type="dxa"/>
            <w:vAlign w:val="center"/>
          </w:tcPr>
          <w:p w14:paraId="3BEF6632"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143</w:t>
            </w:r>
          </w:p>
        </w:tc>
        <w:tc>
          <w:tcPr>
            <w:tcW w:w="1496" w:type="dxa"/>
            <w:vAlign w:val="center"/>
          </w:tcPr>
          <w:p w14:paraId="6A305D16"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8,84</w:t>
            </w:r>
          </w:p>
        </w:tc>
      </w:tr>
      <w:tr w:rsidR="00986DE0" w:rsidRPr="004B2BBB" w14:paraId="4EB5F130" w14:textId="77777777" w:rsidTr="003C7140">
        <w:trPr>
          <w:trHeight w:val="424"/>
        </w:trPr>
        <w:tc>
          <w:tcPr>
            <w:tcW w:w="568" w:type="dxa"/>
            <w:vAlign w:val="center"/>
          </w:tcPr>
          <w:p w14:paraId="4E2727AB"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2.</w:t>
            </w:r>
          </w:p>
        </w:tc>
        <w:tc>
          <w:tcPr>
            <w:tcW w:w="2268" w:type="dxa"/>
            <w:vAlign w:val="center"/>
          </w:tcPr>
          <w:p w14:paraId="4F29B97D"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Salmonelloza- posocznica</w:t>
            </w:r>
          </w:p>
        </w:tc>
        <w:tc>
          <w:tcPr>
            <w:tcW w:w="1984" w:type="dxa"/>
            <w:vAlign w:val="center"/>
          </w:tcPr>
          <w:p w14:paraId="0EBDDF9B"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335</w:t>
            </w:r>
          </w:p>
        </w:tc>
        <w:tc>
          <w:tcPr>
            <w:tcW w:w="1701" w:type="dxa"/>
            <w:vAlign w:val="center"/>
          </w:tcPr>
          <w:p w14:paraId="25380611"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0,90</w:t>
            </w:r>
          </w:p>
        </w:tc>
        <w:tc>
          <w:tcPr>
            <w:tcW w:w="1560" w:type="dxa"/>
            <w:vAlign w:val="center"/>
          </w:tcPr>
          <w:p w14:paraId="714D7BF6"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17</w:t>
            </w:r>
          </w:p>
        </w:tc>
        <w:tc>
          <w:tcPr>
            <w:tcW w:w="1496" w:type="dxa"/>
            <w:vAlign w:val="center"/>
          </w:tcPr>
          <w:p w14:paraId="449978A3"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1,05</w:t>
            </w:r>
          </w:p>
        </w:tc>
      </w:tr>
      <w:tr w:rsidR="00986DE0" w:rsidRPr="004B2BBB" w14:paraId="288242F2" w14:textId="77777777" w:rsidTr="003C7140">
        <w:tc>
          <w:tcPr>
            <w:tcW w:w="568" w:type="dxa"/>
            <w:vAlign w:val="center"/>
          </w:tcPr>
          <w:p w14:paraId="34F28E76"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3.</w:t>
            </w:r>
          </w:p>
        </w:tc>
        <w:tc>
          <w:tcPr>
            <w:tcW w:w="2268" w:type="dxa"/>
            <w:vAlign w:val="center"/>
          </w:tcPr>
          <w:p w14:paraId="58501E68"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Salmonelloza – inne zakażenia pozajelitowe</w:t>
            </w:r>
          </w:p>
        </w:tc>
        <w:tc>
          <w:tcPr>
            <w:tcW w:w="1984" w:type="dxa"/>
            <w:vAlign w:val="center"/>
          </w:tcPr>
          <w:p w14:paraId="14AB57F2"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158</w:t>
            </w:r>
          </w:p>
        </w:tc>
        <w:tc>
          <w:tcPr>
            <w:tcW w:w="1701" w:type="dxa"/>
            <w:vAlign w:val="center"/>
          </w:tcPr>
          <w:p w14:paraId="0C59A26E"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0,42</w:t>
            </w:r>
          </w:p>
        </w:tc>
        <w:tc>
          <w:tcPr>
            <w:tcW w:w="1560" w:type="dxa"/>
            <w:vAlign w:val="center"/>
          </w:tcPr>
          <w:p w14:paraId="65B8FC52"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6</w:t>
            </w:r>
          </w:p>
        </w:tc>
        <w:tc>
          <w:tcPr>
            <w:tcW w:w="1496" w:type="dxa"/>
            <w:vAlign w:val="center"/>
          </w:tcPr>
          <w:p w14:paraId="04B4D5FF"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0,37</w:t>
            </w:r>
          </w:p>
        </w:tc>
      </w:tr>
      <w:tr w:rsidR="00986DE0" w:rsidRPr="004B2BBB" w14:paraId="22F3B91D" w14:textId="77777777" w:rsidTr="003C7140">
        <w:trPr>
          <w:trHeight w:val="338"/>
        </w:trPr>
        <w:tc>
          <w:tcPr>
            <w:tcW w:w="568" w:type="dxa"/>
            <w:vAlign w:val="center"/>
          </w:tcPr>
          <w:p w14:paraId="284F174E"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4.</w:t>
            </w:r>
          </w:p>
        </w:tc>
        <w:tc>
          <w:tcPr>
            <w:tcW w:w="2268" w:type="dxa"/>
            <w:vAlign w:val="center"/>
          </w:tcPr>
          <w:p w14:paraId="7D3DD98F"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Czerwonka bakteryjna</w:t>
            </w:r>
          </w:p>
        </w:tc>
        <w:tc>
          <w:tcPr>
            <w:tcW w:w="1984" w:type="dxa"/>
            <w:vAlign w:val="center"/>
          </w:tcPr>
          <w:p w14:paraId="48D03511"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59</w:t>
            </w:r>
          </w:p>
        </w:tc>
        <w:tc>
          <w:tcPr>
            <w:tcW w:w="1701" w:type="dxa"/>
            <w:vAlign w:val="center"/>
          </w:tcPr>
          <w:p w14:paraId="7690993A"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0,16</w:t>
            </w:r>
          </w:p>
        </w:tc>
        <w:tc>
          <w:tcPr>
            <w:tcW w:w="1560" w:type="dxa"/>
            <w:vAlign w:val="center"/>
          </w:tcPr>
          <w:p w14:paraId="24532DEC"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w:t>
            </w:r>
          </w:p>
        </w:tc>
        <w:tc>
          <w:tcPr>
            <w:tcW w:w="1496" w:type="dxa"/>
            <w:vAlign w:val="center"/>
          </w:tcPr>
          <w:p w14:paraId="26158749"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w:t>
            </w:r>
          </w:p>
        </w:tc>
      </w:tr>
      <w:tr w:rsidR="00986DE0" w:rsidRPr="004B2BBB" w14:paraId="56B549D0" w14:textId="77777777" w:rsidTr="003C7140">
        <w:trPr>
          <w:trHeight w:val="414"/>
        </w:trPr>
        <w:tc>
          <w:tcPr>
            <w:tcW w:w="568" w:type="dxa"/>
            <w:vAlign w:val="center"/>
          </w:tcPr>
          <w:p w14:paraId="7B114CD9"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5.</w:t>
            </w:r>
          </w:p>
        </w:tc>
        <w:tc>
          <w:tcPr>
            <w:tcW w:w="2268" w:type="dxa"/>
            <w:vAlign w:val="center"/>
          </w:tcPr>
          <w:p w14:paraId="61BE0D54"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 xml:space="preserve">E. coli </w:t>
            </w:r>
            <w:proofErr w:type="spellStart"/>
            <w:r w:rsidRPr="00082590">
              <w:rPr>
                <w:rFonts w:ascii="Lato" w:hAnsi="Lato" w:cstheme="minorHAnsi"/>
                <w:color w:val="000000" w:themeColor="text1"/>
                <w:sz w:val="20"/>
                <w:szCs w:val="20"/>
              </w:rPr>
              <w:t>biegunkotwórcza</w:t>
            </w:r>
            <w:proofErr w:type="spellEnd"/>
          </w:p>
        </w:tc>
        <w:tc>
          <w:tcPr>
            <w:tcW w:w="1984" w:type="dxa"/>
            <w:vAlign w:val="center"/>
          </w:tcPr>
          <w:p w14:paraId="531229F4"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293</w:t>
            </w:r>
          </w:p>
        </w:tc>
        <w:tc>
          <w:tcPr>
            <w:tcW w:w="1701" w:type="dxa"/>
            <w:vAlign w:val="center"/>
          </w:tcPr>
          <w:p w14:paraId="7AE058B1"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0,78</w:t>
            </w:r>
          </w:p>
        </w:tc>
        <w:tc>
          <w:tcPr>
            <w:tcW w:w="1560" w:type="dxa"/>
            <w:vAlign w:val="center"/>
          </w:tcPr>
          <w:p w14:paraId="0BB78374"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5</w:t>
            </w:r>
          </w:p>
        </w:tc>
        <w:tc>
          <w:tcPr>
            <w:tcW w:w="1496" w:type="dxa"/>
            <w:vAlign w:val="center"/>
          </w:tcPr>
          <w:p w14:paraId="1A3AA414"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0,31</w:t>
            </w:r>
          </w:p>
        </w:tc>
      </w:tr>
      <w:tr w:rsidR="00986DE0" w:rsidRPr="004B2BBB" w14:paraId="3A292EB6" w14:textId="77777777" w:rsidTr="003C7140">
        <w:tc>
          <w:tcPr>
            <w:tcW w:w="568" w:type="dxa"/>
            <w:vAlign w:val="center"/>
          </w:tcPr>
          <w:p w14:paraId="03DD9366"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6.</w:t>
            </w:r>
          </w:p>
        </w:tc>
        <w:tc>
          <w:tcPr>
            <w:tcW w:w="2268" w:type="dxa"/>
            <w:vAlign w:val="center"/>
          </w:tcPr>
          <w:p w14:paraId="666C5392" w14:textId="77777777" w:rsidR="00986DE0" w:rsidRPr="00082590" w:rsidRDefault="00986DE0" w:rsidP="003C7140">
            <w:pPr>
              <w:jc w:val="center"/>
              <w:rPr>
                <w:rFonts w:ascii="Lato" w:hAnsi="Lato" w:cstheme="minorHAnsi"/>
                <w:color w:val="000000" w:themeColor="text1"/>
                <w:sz w:val="20"/>
                <w:szCs w:val="20"/>
              </w:rPr>
            </w:pPr>
            <w:proofErr w:type="spellStart"/>
            <w:r w:rsidRPr="00082590">
              <w:rPr>
                <w:rFonts w:ascii="Lato" w:hAnsi="Lato" w:cstheme="minorHAnsi"/>
                <w:color w:val="000000" w:themeColor="text1"/>
                <w:sz w:val="20"/>
                <w:szCs w:val="20"/>
              </w:rPr>
              <w:t>Yersinia</w:t>
            </w:r>
            <w:proofErr w:type="spellEnd"/>
            <w:r w:rsidRPr="00082590">
              <w:rPr>
                <w:rFonts w:ascii="Lato" w:hAnsi="Lato" w:cstheme="minorHAnsi"/>
                <w:color w:val="000000" w:themeColor="text1"/>
                <w:sz w:val="20"/>
                <w:szCs w:val="20"/>
              </w:rPr>
              <w:t xml:space="preserve"> </w:t>
            </w:r>
            <w:proofErr w:type="spellStart"/>
            <w:r w:rsidRPr="00082590">
              <w:rPr>
                <w:rFonts w:ascii="Lato" w:hAnsi="Lato" w:cstheme="minorHAnsi"/>
                <w:color w:val="000000" w:themeColor="text1"/>
                <w:sz w:val="20"/>
                <w:szCs w:val="20"/>
              </w:rPr>
              <w:t>enterocolitica</w:t>
            </w:r>
            <w:proofErr w:type="spellEnd"/>
            <w:r w:rsidRPr="00082590">
              <w:rPr>
                <w:rFonts w:ascii="Lato" w:hAnsi="Lato" w:cstheme="minorHAnsi"/>
                <w:color w:val="000000" w:themeColor="text1"/>
                <w:sz w:val="20"/>
                <w:szCs w:val="20"/>
              </w:rPr>
              <w:t xml:space="preserve"> lub </w:t>
            </w:r>
            <w:proofErr w:type="spellStart"/>
            <w:r w:rsidRPr="00082590">
              <w:rPr>
                <w:rFonts w:ascii="Lato" w:hAnsi="Lato" w:cstheme="minorHAnsi"/>
                <w:color w:val="000000" w:themeColor="text1"/>
                <w:sz w:val="20"/>
                <w:szCs w:val="20"/>
              </w:rPr>
              <w:t>pseudotuberculosis</w:t>
            </w:r>
            <w:proofErr w:type="spellEnd"/>
          </w:p>
        </w:tc>
        <w:tc>
          <w:tcPr>
            <w:tcW w:w="1984" w:type="dxa"/>
            <w:vAlign w:val="center"/>
          </w:tcPr>
          <w:p w14:paraId="64CEE59F"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377</w:t>
            </w:r>
          </w:p>
        </w:tc>
        <w:tc>
          <w:tcPr>
            <w:tcW w:w="1701" w:type="dxa"/>
            <w:vAlign w:val="center"/>
          </w:tcPr>
          <w:p w14:paraId="704BFFF1"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1,01</w:t>
            </w:r>
          </w:p>
        </w:tc>
        <w:tc>
          <w:tcPr>
            <w:tcW w:w="1560" w:type="dxa"/>
            <w:vAlign w:val="center"/>
          </w:tcPr>
          <w:p w14:paraId="2EA6B212"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23</w:t>
            </w:r>
          </w:p>
        </w:tc>
        <w:tc>
          <w:tcPr>
            <w:tcW w:w="1496" w:type="dxa"/>
            <w:vAlign w:val="center"/>
          </w:tcPr>
          <w:p w14:paraId="4C0A1735"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1,42</w:t>
            </w:r>
          </w:p>
        </w:tc>
      </w:tr>
      <w:tr w:rsidR="00986DE0" w:rsidRPr="004B2BBB" w14:paraId="6E1C6387" w14:textId="77777777" w:rsidTr="003C7140">
        <w:trPr>
          <w:trHeight w:val="438"/>
        </w:trPr>
        <w:tc>
          <w:tcPr>
            <w:tcW w:w="568" w:type="dxa"/>
            <w:vAlign w:val="center"/>
          </w:tcPr>
          <w:p w14:paraId="58F1C984"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7.</w:t>
            </w:r>
          </w:p>
        </w:tc>
        <w:tc>
          <w:tcPr>
            <w:tcW w:w="2268" w:type="dxa"/>
            <w:vAlign w:val="center"/>
          </w:tcPr>
          <w:p w14:paraId="4ECCBF25"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Zatrucie jadem kiełbasianym /botulizm/</w:t>
            </w:r>
          </w:p>
        </w:tc>
        <w:tc>
          <w:tcPr>
            <w:tcW w:w="1984" w:type="dxa"/>
            <w:vAlign w:val="center"/>
          </w:tcPr>
          <w:p w14:paraId="1FCDC164"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16</w:t>
            </w:r>
          </w:p>
        </w:tc>
        <w:tc>
          <w:tcPr>
            <w:tcW w:w="1701" w:type="dxa"/>
            <w:vAlign w:val="center"/>
          </w:tcPr>
          <w:p w14:paraId="3380CFBA"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0,04</w:t>
            </w:r>
          </w:p>
        </w:tc>
        <w:tc>
          <w:tcPr>
            <w:tcW w:w="1560" w:type="dxa"/>
            <w:vAlign w:val="center"/>
          </w:tcPr>
          <w:p w14:paraId="6FADE776"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w:t>
            </w:r>
          </w:p>
        </w:tc>
        <w:tc>
          <w:tcPr>
            <w:tcW w:w="1496" w:type="dxa"/>
            <w:vAlign w:val="center"/>
          </w:tcPr>
          <w:p w14:paraId="7D959259"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w:t>
            </w:r>
          </w:p>
        </w:tc>
      </w:tr>
      <w:tr w:rsidR="00986DE0" w:rsidRPr="00082590" w14:paraId="577C67A1" w14:textId="77777777" w:rsidTr="003C7140">
        <w:trPr>
          <w:trHeight w:val="218"/>
        </w:trPr>
        <w:tc>
          <w:tcPr>
            <w:tcW w:w="568" w:type="dxa"/>
            <w:vAlign w:val="center"/>
          </w:tcPr>
          <w:p w14:paraId="52233458"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8.</w:t>
            </w:r>
          </w:p>
        </w:tc>
        <w:tc>
          <w:tcPr>
            <w:tcW w:w="2268" w:type="dxa"/>
            <w:vAlign w:val="center"/>
          </w:tcPr>
          <w:p w14:paraId="2B9BE904"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 xml:space="preserve">Wirusowe zakażenia jelitowe wywołane przez </w:t>
            </w:r>
            <w:proofErr w:type="spellStart"/>
            <w:r w:rsidRPr="00082590">
              <w:rPr>
                <w:rFonts w:ascii="Lato" w:hAnsi="Lato" w:cstheme="minorHAnsi"/>
                <w:color w:val="000000" w:themeColor="text1"/>
                <w:sz w:val="20"/>
                <w:szCs w:val="20"/>
              </w:rPr>
              <w:t>rotawirusy</w:t>
            </w:r>
            <w:proofErr w:type="spellEnd"/>
          </w:p>
        </w:tc>
        <w:tc>
          <w:tcPr>
            <w:tcW w:w="1984" w:type="dxa"/>
            <w:vAlign w:val="center"/>
          </w:tcPr>
          <w:p w14:paraId="1746F827"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12252</w:t>
            </w:r>
          </w:p>
        </w:tc>
        <w:tc>
          <w:tcPr>
            <w:tcW w:w="1701" w:type="dxa"/>
            <w:vAlign w:val="center"/>
          </w:tcPr>
          <w:p w14:paraId="18AA9E67"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32,76</w:t>
            </w:r>
          </w:p>
        </w:tc>
        <w:tc>
          <w:tcPr>
            <w:tcW w:w="1560" w:type="dxa"/>
            <w:vAlign w:val="center"/>
          </w:tcPr>
          <w:p w14:paraId="648B8BAA"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426</w:t>
            </w:r>
          </w:p>
        </w:tc>
        <w:tc>
          <w:tcPr>
            <w:tcW w:w="1496" w:type="dxa"/>
            <w:vAlign w:val="center"/>
          </w:tcPr>
          <w:p w14:paraId="5879E614"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26,34</w:t>
            </w:r>
          </w:p>
        </w:tc>
      </w:tr>
      <w:tr w:rsidR="00986DE0" w:rsidRPr="00082590" w14:paraId="58E3B215" w14:textId="77777777" w:rsidTr="003C7140">
        <w:tc>
          <w:tcPr>
            <w:tcW w:w="568" w:type="dxa"/>
            <w:vAlign w:val="center"/>
          </w:tcPr>
          <w:p w14:paraId="5AA06793"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9.</w:t>
            </w:r>
          </w:p>
        </w:tc>
        <w:tc>
          <w:tcPr>
            <w:tcW w:w="2268" w:type="dxa"/>
            <w:vAlign w:val="center"/>
          </w:tcPr>
          <w:p w14:paraId="56B2554E"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 xml:space="preserve">Wirusowe zakażenia jelitowe wywołane przez </w:t>
            </w:r>
            <w:proofErr w:type="spellStart"/>
            <w:r w:rsidRPr="00082590">
              <w:rPr>
                <w:rFonts w:ascii="Lato" w:hAnsi="Lato" w:cstheme="minorHAnsi"/>
                <w:color w:val="000000" w:themeColor="text1"/>
                <w:sz w:val="20"/>
                <w:szCs w:val="20"/>
              </w:rPr>
              <w:t>norowirusy</w:t>
            </w:r>
            <w:proofErr w:type="spellEnd"/>
          </w:p>
        </w:tc>
        <w:tc>
          <w:tcPr>
            <w:tcW w:w="1984" w:type="dxa"/>
            <w:vAlign w:val="center"/>
          </w:tcPr>
          <w:p w14:paraId="127F888D"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12626</w:t>
            </w:r>
          </w:p>
        </w:tc>
        <w:tc>
          <w:tcPr>
            <w:tcW w:w="1701" w:type="dxa"/>
            <w:vAlign w:val="center"/>
          </w:tcPr>
          <w:p w14:paraId="41A63C53"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33,76</w:t>
            </w:r>
          </w:p>
        </w:tc>
        <w:tc>
          <w:tcPr>
            <w:tcW w:w="1560" w:type="dxa"/>
            <w:vAlign w:val="center"/>
          </w:tcPr>
          <w:p w14:paraId="21651159"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507</w:t>
            </w:r>
          </w:p>
        </w:tc>
        <w:tc>
          <w:tcPr>
            <w:tcW w:w="1496" w:type="dxa"/>
            <w:vAlign w:val="center"/>
          </w:tcPr>
          <w:p w14:paraId="3D574AF7"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31,35</w:t>
            </w:r>
          </w:p>
        </w:tc>
      </w:tr>
      <w:tr w:rsidR="00986DE0" w:rsidRPr="00082590" w14:paraId="28A62BD7" w14:textId="77777777" w:rsidTr="003C7140">
        <w:trPr>
          <w:trHeight w:val="694"/>
        </w:trPr>
        <w:tc>
          <w:tcPr>
            <w:tcW w:w="568" w:type="dxa"/>
            <w:vAlign w:val="center"/>
          </w:tcPr>
          <w:p w14:paraId="3233ACFE" w14:textId="77777777" w:rsidR="00986DE0" w:rsidRPr="00082590" w:rsidRDefault="00986DE0" w:rsidP="003C7140">
            <w:pPr>
              <w:spacing w:after="240"/>
              <w:jc w:val="center"/>
              <w:rPr>
                <w:rFonts w:ascii="Lato" w:hAnsi="Lato" w:cstheme="minorHAnsi"/>
                <w:color w:val="000000" w:themeColor="text1"/>
                <w:sz w:val="20"/>
                <w:szCs w:val="20"/>
              </w:rPr>
            </w:pPr>
            <w:r w:rsidRPr="00082590">
              <w:rPr>
                <w:rFonts w:ascii="Lato" w:hAnsi="Lato" w:cstheme="minorHAnsi"/>
                <w:color w:val="000000" w:themeColor="text1"/>
                <w:sz w:val="20"/>
                <w:szCs w:val="20"/>
              </w:rPr>
              <w:t>10.</w:t>
            </w:r>
          </w:p>
        </w:tc>
        <w:tc>
          <w:tcPr>
            <w:tcW w:w="2268" w:type="dxa"/>
            <w:vAlign w:val="center"/>
          </w:tcPr>
          <w:p w14:paraId="03804C31"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 xml:space="preserve">Biegunka i zapalenie żołądkowo – jelitowe </w:t>
            </w:r>
            <w:bookmarkStart w:id="9" w:name="_Hlk164249787"/>
            <w:r w:rsidRPr="00082590">
              <w:rPr>
                <w:rFonts w:ascii="Lato" w:hAnsi="Lato" w:cstheme="minorHAnsi"/>
                <w:color w:val="000000" w:themeColor="text1"/>
                <w:sz w:val="20"/>
                <w:szCs w:val="20"/>
              </w:rPr>
              <w:t>o prawdopodobnie zakaźnym pochodzeniu u dzieci do lat 2</w:t>
            </w:r>
            <w:bookmarkEnd w:id="9"/>
          </w:p>
        </w:tc>
        <w:tc>
          <w:tcPr>
            <w:tcW w:w="1984" w:type="dxa"/>
            <w:vAlign w:val="center"/>
          </w:tcPr>
          <w:p w14:paraId="6BF7A4F4"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olor w:val="000000" w:themeColor="text1"/>
                <w:sz w:val="20"/>
                <w:szCs w:val="20"/>
              </w:rPr>
              <w:t>11734</w:t>
            </w:r>
          </w:p>
        </w:tc>
        <w:tc>
          <w:tcPr>
            <w:tcW w:w="1701" w:type="dxa"/>
            <w:vAlign w:val="center"/>
          </w:tcPr>
          <w:p w14:paraId="51825961" w14:textId="77777777" w:rsidR="00986DE0" w:rsidRDefault="00986DE0" w:rsidP="003C7140">
            <w:pPr>
              <w:jc w:val="center"/>
              <w:rPr>
                <w:rFonts w:ascii="Lato" w:hAnsi="Lato"/>
                <w:color w:val="000000" w:themeColor="text1"/>
                <w:sz w:val="20"/>
                <w:szCs w:val="20"/>
              </w:rPr>
            </w:pPr>
            <w:r w:rsidRPr="00082590">
              <w:rPr>
                <w:rFonts w:ascii="Lato" w:hAnsi="Lato"/>
                <w:color w:val="000000" w:themeColor="text1"/>
                <w:sz w:val="20"/>
                <w:szCs w:val="20"/>
              </w:rPr>
              <w:t>2347,73</w:t>
            </w:r>
          </w:p>
          <w:p w14:paraId="1680047A" w14:textId="064B7039" w:rsidR="00C9497A" w:rsidRPr="00082590" w:rsidRDefault="00C9497A" w:rsidP="003C7140">
            <w:pPr>
              <w:jc w:val="center"/>
              <w:rPr>
                <w:rFonts w:ascii="Lato" w:hAnsi="Lato" w:cstheme="minorHAnsi"/>
                <w:color w:val="000000" w:themeColor="text1"/>
                <w:sz w:val="20"/>
                <w:szCs w:val="20"/>
              </w:rPr>
            </w:pPr>
            <w:r w:rsidRPr="00C9497A">
              <w:rPr>
                <w:rFonts w:ascii="Lato" w:hAnsi="Lato" w:cstheme="minorHAnsi"/>
                <w:color w:val="000000" w:themeColor="text1"/>
                <w:sz w:val="20"/>
                <w:szCs w:val="20"/>
              </w:rPr>
              <w:t>na 100 tys. dzieci do lat 2</w:t>
            </w:r>
          </w:p>
        </w:tc>
        <w:tc>
          <w:tcPr>
            <w:tcW w:w="1560" w:type="dxa"/>
            <w:vAlign w:val="center"/>
          </w:tcPr>
          <w:p w14:paraId="48387C16"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327</w:t>
            </w:r>
          </w:p>
        </w:tc>
        <w:tc>
          <w:tcPr>
            <w:tcW w:w="1496" w:type="dxa"/>
            <w:vAlign w:val="center"/>
          </w:tcPr>
          <w:p w14:paraId="39FD2193" w14:textId="77777777" w:rsidR="00986DE0" w:rsidRPr="00082590" w:rsidRDefault="00986DE0" w:rsidP="003C7140">
            <w:pPr>
              <w:jc w:val="center"/>
              <w:rPr>
                <w:rFonts w:ascii="Lato" w:hAnsi="Lato" w:cstheme="minorHAnsi"/>
                <w:color w:val="000000" w:themeColor="text1"/>
                <w:sz w:val="20"/>
                <w:szCs w:val="20"/>
              </w:rPr>
            </w:pPr>
            <w:r w:rsidRPr="00082590">
              <w:rPr>
                <w:rFonts w:ascii="Lato" w:hAnsi="Lato" w:cstheme="minorHAnsi"/>
                <w:color w:val="000000" w:themeColor="text1"/>
                <w:sz w:val="20"/>
                <w:szCs w:val="20"/>
              </w:rPr>
              <w:t>1087,53</w:t>
            </w:r>
          </w:p>
          <w:p w14:paraId="3EFDC61D" w14:textId="77777777" w:rsidR="00986DE0" w:rsidRPr="00082590" w:rsidRDefault="00986DE0" w:rsidP="003C7140">
            <w:pPr>
              <w:jc w:val="center"/>
              <w:rPr>
                <w:rFonts w:ascii="Lato" w:hAnsi="Lato" w:cstheme="minorHAnsi"/>
                <w:color w:val="000000" w:themeColor="text1"/>
              </w:rPr>
            </w:pPr>
            <w:r w:rsidRPr="00082590">
              <w:rPr>
                <w:rFonts w:ascii="Lato" w:hAnsi="Lato" w:cstheme="minorHAnsi"/>
                <w:color w:val="000000" w:themeColor="text1"/>
                <w:sz w:val="20"/>
                <w:szCs w:val="20"/>
              </w:rPr>
              <w:t>na 100 tys. dzieci do lat 2</w:t>
            </w:r>
          </w:p>
        </w:tc>
      </w:tr>
    </w:tbl>
    <w:p w14:paraId="51FDEACB" w14:textId="77777777" w:rsidR="00DB07EC" w:rsidRPr="00EC00AF" w:rsidRDefault="00DB07EC" w:rsidP="001E187C">
      <w:pPr>
        <w:spacing w:line="360" w:lineRule="auto"/>
        <w:rPr>
          <w:rFonts w:ascii="Lato" w:hAnsi="Lato" w:cstheme="minorHAnsi"/>
          <w:color w:val="000000" w:themeColor="text1"/>
          <w:spacing w:val="-2"/>
          <w:sz w:val="22"/>
          <w:szCs w:val="22"/>
        </w:rPr>
      </w:pPr>
    </w:p>
    <w:p w14:paraId="5FECCE84" w14:textId="7537C360" w:rsidR="00986DE0" w:rsidRPr="001C08B4" w:rsidRDefault="00E5412B" w:rsidP="00E5412B">
      <w:pPr>
        <w:pStyle w:val="Legenda"/>
        <w:rPr>
          <w:rFonts w:ascii="Lato" w:hAnsi="Lato" w:cs="Calibri"/>
          <w:i/>
          <w:iCs/>
          <w:color w:val="000000" w:themeColor="text1"/>
          <w:sz w:val="18"/>
          <w:szCs w:val="18"/>
        </w:rPr>
      </w:pPr>
      <w:bookmarkStart w:id="10" w:name="_Toc225859358"/>
      <w:r w:rsidRPr="00E5412B">
        <w:rPr>
          <w:rFonts w:ascii="Lato" w:hAnsi="Lato"/>
          <w:b w:val="0"/>
          <w:bCs w:val="0"/>
          <w:sz w:val="18"/>
          <w:szCs w:val="18"/>
        </w:rPr>
        <w:t xml:space="preserve">Tabela </w:t>
      </w:r>
      <w:r w:rsidRPr="00E5412B">
        <w:rPr>
          <w:rFonts w:ascii="Lato" w:hAnsi="Lato"/>
          <w:b w:val="0"/>
          <w:bCs w:val="0"/>
          <w:sz w:val="18"/>
          <w:szCs w:val="18"/>
        </w:rPr>
        <w:fldChar w:fldCharType="begin"/>
      </w:r>
      <w:r w:rsidRPr="00E5412B">
        <w:rPr>
          <w:rFonts w:ascii="Lato" w:hAnsi="Lato"/>
          <w:b w:val="0"/>
          <w:bCs w:val="0"/>
          <w:sz w:val="18"/>
          <w:szCs w:val="18"/>
        </w:rPr>
        <w:instrText xml:space="preserve"> SEQ Tabela \* ARABIC </w:instrText>
      </w:r>
      <w:r w:rsidRPr="00E5412B">
        <w:rPr>
          <w:rFonts w:ascii="Lato" w:hAnsi="Lato"/>
          <w:b w:val="0"/>
          <w:bCs w:val="0"/>
          <w:sz w:val="18"/>
          <w:szCs w:val="18"/>
        </w:rPr>
        <w:fldChar w:fldCharType="separate"/>
      </w:r>
      <w:r w:rsidR="002A3179">
        <w:rPr>
          <w:rFonts w:ascii="Lato" w:hAnsi="Lato"/>
          <w:b w:val="0"/>
          <w:bCs w:val="0"/>
          <w:noProof/>
          <w:sz w:val="18"/>
          <w:szCs w:val="18"/>
        </w:rPr>
        <w:t>2</w:t>
      </w:r>
      <w:r w:rsidRPr="00E5412B">
        <w:rPr>
          <w:rFonts w:ascii="Lato" w:hAnsi="Lato"/>
          <w:b w:val="0"/>
          <w:bCs w:val="0"/>
          <w:sz w:val="18"/>
          <w:szCs w:val="18"/>
        </w:rPr>
        <w:fldChar w:fldCharType="end"/>
      </w:r>
      <w:r w:rsidRPr="00E5412B">
        <w:rPr>
          <w:rFonts w:ascii="Lato" w:hAnsi="Lato"/>
          <w:b w:val="0"/>
          <w:bCs w:val="0"/>
          <w:sz w:val="18"/>
          <w:szCs w:val="18"/>
        </w:rPr>
        <w:t>.</w:t>
      </w:r>
      <w:r w:rsidRPr="00EF15F9">
        <w:t xml:space="preserve"> </w:t>
      </w:r>
      <w:r w:rsidRPr="00E5412B">
        <w:rPr>
          <w:rFonts w:ascii="Lato" w:hAnsi="Lato"/>
          <w:b w:val="0"/>
          <w:bCs w:val="0"/>
          <w:sz w:val="18"/>
          <w:szCs w:val="18"/>
        </w:rPr>
        <w:t>Zestawienie liczby ognisk zbiorowych zachorowań na choroby przenoszone drogą pokarmową oraz liczby narażonych i chorych, w tym dzieci do 14 roku życia na terenie woj. zachodniopomorskiego w latach 2021 – 2025</w:t>
      </w:r>
      <w:r>
        <w:rPr>
          <w:rFonts w:ascii="Lato" w:hAnsi="Lato"/>
          <w:b w:val="0"/>
          <w:bCs w:val="0"/>
          <w:sz w:val="18"/>
          <w:szCs w:val="18"/>
        </w:rPr>
        <w:t>.</w:t>
      </w:r>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Zestawienie liczby ognisk zbiorowych zachorowań na choroby przenoszone drogą pokarmową oraz liczby narażonych i chorych, w tym dzieci do 14 roku życia na terenie woj. zachodniopomorskiego w latach 2021 – 2025"/>
        <w:tblDescription w:val="Tabela przedstawia dane dotyczące ognisk zbiorowych zachorowań na choroby przenoszone drogą pokarmową w latach 2021-2025. W 2025 roku odnotowano 58 ognisk (w 2024 roku - 96 ognisk, w 2023 roku - 56 ognisk, 2022 rok - 78 ognisk, 2021 rok - 37 ognisk)."/>
      </w:tblPr>
      <w:tblGrid>
        <w:gridCol w:w="860"/>
        <w:gridCol w:w="1559"/>
        <w:gridCol w:w="1985"/>
        <w:gridCol w:w="1134"/>
        <w:gridCol w:w="1559"/>
      </w:tblGrid>
      <w:tr w:rsidR="00986DE0" w:rsidRPr="001C08B4" w14:paraId="54B57751" w14:textId="77777777" w:rsidTr="00130F95">
        <w:trPr>
          <w:trHeight w:val="469"/>
          <w:jc w:val="center"/>
        </w:trPr>
        <w:tc>
          <w:tcPr>
            <w:tcW w:w="860" w:type="dxa"/>
            <w:vMerge w:val="restart"/>
            <w:shd w:val="clear" w:color="auto" w:fill="D9D9D9" w:themeFill="background1" w:themeFillShade="D9"/>
            <w:vAlign w:val="center"/>
          </w:tcPr>
          <w:p w14:paraId="1ABB77F2" w14:textId="77777777" w:rsidR="00986DE0" w:rsidRPr="00B42AAB" w:rsidRDefault="00986DE0" w:rsidP="003C7140">
            <w:pPr>
              <w:jc w:val="center"/>
              <w:rPr>
                <w:rFonts w:ascii="Lato" w:hAnsi="Lato" w:cstheme="minorHAnsi"/>
                <w:b/>
                <w:color w:val="000000" w:themeColor="text1"/>
                <w:sz w:val="20"/>
                <w:szCs w:val="20"/>
              </w:rPr>
            </w:pPr>
            <w:r w:rsidRPr="00B42AAB">
              <w:rPr>
                <w:rFonts w:ascii="Lato" w:hAnsi="Lato" w:cstheme="minorHAnsi"/>
                <w:b/>
                <w:color w:val="000000" w:themeColor="text1"/>
                <w:sz w:val="20"/>
                <w:szCs w:val="20"/>
              </w:rPr>
              <w:t>Rok</w:t>
            </w:r>
          </w:p>
        </w:tc>
        <w:tc>
          <w:tcPr>
            <w:tcW w:w="1559" w:type="dxa"/>
            <w:vMerge w:val="restart"/>
            <w:shd w:val="clear" w:color="auto" w:fill="D9D9D9" w:themeFill="background1" w:themeFillShade="D9"/>
            <w:vAlign w:val="center"/>
          </w:tcPr>
          <w:p w14:paraId="24F53829" w14:textId="77777777" w:rsidR="00986DE0" w:rsidRPr="00B42AAB" w:rsidRDefault="00986DE0" w:rsidP="003C7140">
            <w:pPr>
              <w:jc w:val="center"/>
              <w:rPr>
                <w:rFonts w:ascii="Lato" w:hAnsi="Lato" w:cstheme="minorHAnsi"/>
                <w:b/>
                <w:color w:val="000000" w:themeColor="text1"/>
                <w:sz w:val="20"/>
                <w:szCs w:val="20"/>
              </w:rPr>
            </w:pPr>
            <w:r w:rsidRPr="00B42AAB">
              <w:rPr>
                <w:rFonts w:ascii="Lato" w:hAnsi="Lato" w:cstheme="minorHAnsi"/>
                <w:b/>
                <w:color w:val="000000" w:themeColor="text1"/>
                <w:sz w:val="20"/>
                <w:szCs w:val="20"/>
              </w:rPr>
              <w:t>liczba ognisk</w:t>
            </w:r>
          </w:p>
        </w:tc>
        <w:tc>
          <w:tcPr>
            <w:tcW w:w="1985" w:type="dxa"/>
            <w:vMerge w:val="restart"/>
            <w:shd w:val="clear" w:color="auto" w:fill="D9D9D9" w:themeFill="background1" w:themeFillShade="D9"/>
            <w:vAlign w:val="center"/>
          </w:tcPr>
          <w:p w14:paraId="6E784E0A" w14:textId="77777777" w:rsidR="00986DE0" w:rsidRPr="00B42AAB" w:rsidRDefault="00986DE0" w:rsidP="003C7140">
            <w:pPr>
              <w:jc w:val="center"/>
              <w:rPr>
                <w:rFonts w:ascii="Lato" w:hAnsi="Lato" w:cstheme="minorHAnsi"/>
                <w:b/>
                <w:color w:val="000000" w:themeColor="text1"/>
                <w:sz w:val="20"/>
                <w:szCs w:val="20"/>
              </w:rPr>
            </w:pPr>
            <w:r w:rsidRPr="00B42AAB">
              <w:rPr>
                <w:rFonts w:ascii="Lato" w:hAnsi="Lato" w:cstheme="minorHAnsi"/>
                <w:b/>
                <w:color w:val="000000" w:themeColor="text1"/>
                <w:sz w:val="20"/>
                <w:szCs w:val="20"/>
              </w:rPr>
              <w:t>liczba narażonych</w:t>
            </w:r>
          </w:p>
        </w:tc>
        <w:tc>
          <w:tcPr>
            <w:tcW w:w="2693" w:type="dxa"/>
            <w:gridSpan w:val="2"/>
            <w:shd w:val="clear" w:color="auto" w:fill="D9D9D9" w:themeFill="background1" w:themeFillShade="D9"/>
            <w:vAlign w:val="center"/>
          </w:tcPr>
          <w:p w14:paraId="1856CAF9" w14:textId="77777777" w:rsidR="00986DE0" w:rsidRPr="00B42AAB" w:rsidRDefault="00986DE0" w:rsidP="003C7140">
            <w:pPr>
              <w:jc w:val="center"/>
              <w:rPr>
                <w:rFonts w:ascii="Lato" w:hAnsi="Lato" w:cstheme="minorHAnsi"/>
                <w:b/>
                <w:color w:val="000000" w:themeColor="text1"/>
                <w:sz w:val="20"/>
                <w:szCs w:val="20"/>
              </w:rPr>
            </w:pPr>
            <w:r w:rsidRPr="00B42AAB">
              <w:rPr>
                <w:rFonts w:ascii="Lato" w:hAnsi="Lato" w:cstheme="minorHAnsi"/>
                <w:b/>
                <w:color w:val="000000" w:themeColor="text1"/>
                <w:sz w:val="20"/>
                <w:szCs w:val="20"/>
              </w:rPr>
              <w:t>liczba chorych</w:t>
            </w:r>
          </w:p>
        </w:tc>
      </w:tr>
      <w:tr w:rsidR="00986DE0" w:rsidRPr="001C08B4" w14:paraId="4855506B" w14:textId="77777777" w:rsidTr="00130F95">
        <w:trPr>
          <w:jc w:val="center"/>
        </w:trPr>
        <w:tc>
          <w:tcPr>
            <w:tcW w:w="860" w:type="dxa"/>
            <w:vMerge/>
            <w:shd w:val="clear" w:color="auto" w:fill="D9D9D9" w:themeFill="background1" w:themeFillShade="D9"/>
            <w:vAlign w:val="center"/>
          </w:tcPr>
          <w:p w14:paraId="50AF357E" w14:textId="77777777" w:rsidR="00986DE0" w:rsidRPr="00B42AAB" w:rsidRDefault="00986DE0" w:rsidP="003C7140">
            <w:pPr>
              <w:rPr>
                <w:rFonts w:ascii="Lato" w:hAnsi="Lato" w:cstheme="minorHAnsi"/>
                <w:b/>
                <w:color w:val="000000" w:themeColor="text1"/>
                <w:sz w:val="20"/>
                <w:szCs w:val="20"/>
              </w:rPr>
            </w:pPr>
          </w:p>
        </w:tc>
        <w:tc>
          <w:tcPr>
            <w:tcW w:w="1559" w:type="dxa"/>
            <w:vMerge/>
            <w:shd w:val="clear" w:color="auto" w:fill="D9D9D9" w:themeFill="background1" w:themeFillShade="D9"/>
            <w:vAlign w:val="center"/>
          </w:tcPr>
          <w:p w14:paraId="6CA3FF28" w14:textId="77777777" w:rsidR="00986DE0" w:rsidRPr="00B42AAB" w:rsidRDefault="00986DE0" w:rsidP="003C7140">
            <w:pPr>
              <w:rPr>
                <w:rFonts w:ascii="Lato" w:hAnsi="Lato" w:cstheme="minorHAnsi"/>
                <w:b/>
                <w:color w:val="000000" w:themeColor="text1"/>
                <w:sz w:val="20"/>
                <w:szCs w:val="20"/>
              </w:rPr>
            </w:pPr>
          </w:p>
        </w:tc>
        <w:tc>
          <w:tcPr>
            <w:tcW w:w="1985" w:type="dxa"/>
            <w:vMerge/>
            <w:shd w:val="clear" w:color="auto" w:fill="D9D9D9" w:themeFill="background1" w:themeFillShade="D9"/>
            <w:vAlign w:val="center"/>
          </w:tcPr>
          <w:p w14:paraId="6A80A04F" w14:textId="77777777" w:rsidR="00986DE0" w:rsidRPr="00B42AAB" w:rsidRDefault="00986DE0" w:rsidP="003C7140">
            <w:pPr>
              <w:rPr>
                <w:rFonts w:ascii="Lato" w:hAnsi="Lato" w:cstheme="minorHAnsi"/>
                <w:b/>
                <w:color w:val="000000" w:themeColor="text1"/>
                <w:sz w:val="20"/>
                <w:szCs w:val="20"/>
              </w:rPr>
            </w:pPr>
          </w:p>
        </w:tc>
        <w:tc>
          <w:tcPr>
            <w:tcW w:w="1134" w:type="dxa"/>
            <w:shd w:val="clear" w:color="auto" w:fill="D9D9D9" w:themeFill="background1" w:themeFillShade="D9"/>
            <w:vAlign w:val="center"/>
          </w:tcPr>
          <w:p w14:paraId="6392DD6D" w14:textId="77777777" w:rsidR="00986DE0" w:rsidRPr="00B42AAB" w:rsidRDefault="00986DE0" w:rsidP="003C7140">
            <w:pPr>
              <w:jc w:val="center"/>
              <w:rPr>
                <w:rFonts w:ascii="Lato" w:hAnsi="Lato" w:cstheme="minorHAnsi"/>
                <w:b/>
                <w:color w:val="000000" w:themeColor="text1"/>
                <w:sz w:val="20"/>
                <w:szCs w:val="20"/>
              </w:rPr>
            </w:pPr>
            <w:r w:rsidRPr="00B42AAB">
              <w:rPr>
                <w:rFonts w:ascii="Lato" w:hAnsi="Lato" w:cstheme="minorHAnsi"/>
                <w:b/>
                <w:color w:val="000000" w:themeColor="text1"/>
                <w:sz w:val="20"/>
                <w:szCs w:val="20"/>
              </w:rPr>
              <w:t>ogółem</w:t>
            </w:r>
          </w:p>
        </w:tc>
        <w:tc>
          <w:tcPr>
            <w:tcW w:w="1559" w:type="dxa"/>
            <w:shd w:val="clear" w:color="auto" w:fill="D9D9D9" w:themeFill="background1" w:themeFillShade="D9"/>
            <w:vAlign w:val="center"/>
          </w:tcPr>
          <w:p w14:paraId="14457990" w14:textId="77777777" w:rsidR="00986DE0" w:rsidRPr="00B42AAB" w:rsidRDefault="00986DE0" w:rsidP="003C7140">
            <w:pPr>
              <w:jc w:val="center"/>
              <w:rPr>
                <w:rFonts w:ascii="Lato" w:hAnsi="Lato" w:cstheme="minorHAnsi"/>
                <w:b/>
                <w:color w:val="000000" w:themeColor="text1"/>
                <w:sz w:val="20"/>
                <w:szCs w:val="20"/>
              </w:rPr>
            </w:pPr>
            <w:r w:rsidRPr="00B42AAB">
              <w:rPr>
                <w:rFonts w:ascii="Lato" w:hAnsi="Lato" w:cstheme="minorHAnsi"/>
                <w:b/>
                <w:color w:val="000000" w:themeColor="text1"/>
                <w:sz w:val="20"/>
                <w:szCs w:val="20"/>
              </w:rPr>
              <w:t>w tym dzieci do 14 r.ż.</w:t>
            </w:r>
          </w:p>
        </w:tc>
      </w:tr>
      <w:tr w:rsidR="00986DE0" w:rsidRPr="001C08B4" w14:paraId="01B8C072" w14:textId="77777777" w:rsidTr="003C7140">
        <w:trPr>
          <w:trHeight w:val="510"/>
          <w:jc w:val="center"/>
        </w:trPr>
        <w:tc>
          <w:tcPr>
            <w:tcW w:w="860" w:type="dxa"/>
            <w:vAlign w:val="center"/>
          </w:tcPr>
          <w:p w14:paraId="0BFB012D" w14:textId="77777777" w:rsidR="00986DE0" w:rsidRPr="00B42AAB" w:rsidRDefault="00986DE0" w:rsidP="003C7140">
            <w:pPr>
              <w:jc w:val="center"/>
              <w:rPr>
                <w:rFonts w:ascii="Lato" w:hAnsi="Lato" w:cstheme="minorHAnsi"/>
                <w:bCs/>
                <w:color w:val="000000" w:themeColor="text1"/>
                <w:sz w:val="20"/>
                <w:szCs w:val="20"/>
              </w:rPr>
            </w:pPr>
            <w:r w:rsidRPr="00B42AAB">
              <w:rPr>
                <w:rFonts w:ascii="Lato" w:hAnsi="Lato" w:cstheme="minorHAnsi"/>
                <w:bCs/>
                <w:color w:val="000000" w:themeColor="text1"/>
                <w:sz w:val="20"/>
                <w:szCs w:val="20"/>
              </w:rPr>
              <w:t>2021</w:t>
            </w:r>
          </w:p>
        </w:tc>
        <w:tc>
          <w:tcPr>
            <w:tcW w:w="1559" w:type="dxa"/>
            <w:vAlign w:val="center"/>
          </w:tcPr>
          <w:p w14:paraId="3768C8D4" w14:textId="77777777" w:rsidR="00986DE0" w:rsidRPr="00B42AAB" w:rsidRDefault="00986DE0" w:rsidP="003C7140">
            <w:pPr>
              <w:jc w:val="center"/>
              <w:rPr>
                <w:rFonts w:ascii="Lato" w:hAnsi="Lato" w:cstheme="minorHAnsi"/>
                <w:bCs/>
                <w:color w:val="000000" w:themeColor="text1"/>
                <w:sz w:val="20"/>
                <w:szCs w:val="20"/>
              </w:rPr>
            </w:pPr>
            <w:r w:rsidRPr="00B42AAB">
              <w:rPr>
                <w:rFonts w:ascii="Lato" w:hAnsi="Lato" w:cstheme="minorHAnsi"/>
                <w:bCs/>
                <w:color w:val="000000" w:themeColor="text1"/>
                <w:sz w:val="20"/>
                <w:szCs w:val="20"/>
              </w:rPr>
              <w:t>37</w:t>
            </w:r>
          </w:p>
        </w:tc>
        <w:tc>
          <w:tcPr>
            <w:tcW w:w="1985" w:type="dxa"/>
            <w:vAlign w:val="center"/>
          </w:tcPr>
          <w:p w14:paraId="49ED50AC" w14:textId="77777777" w:rsidR="00986DE0" w:rsidRPr="00B42AAB" w:rsidRDefault="00986DE0" w:rsidP="003C7140">
            <w:pPr>
              <w:jc w:val="center"/>
              <w:rPr>
                <w:rFonts w:ascii="Lato" w:hAnsi="Lato" w:cstheme="minorHAnsi"/>
                <w:bCs/>
                <w:color w:val="000000" w:themeColor="text1"/>
                <w:sz w:val="20"/>
                <w:szCs w:val="20"/>
              </w:rPr>
            </w:pPr>
            <w:r w:rsidRPr="00B42AAB">
              <w:rPr>
                <w:rFonts w:ascii="Lato" w:hAnsi="Lato" w:cstheme="minorHAnsi"/>
                <w:bCs/>
                <w:color w:val="000000" w:themeColor="text1"/>
                <w:sz w:val="20"/>
                <w:szCs w:val="20"/>
              </w:rPr>
              <w:t>4433</w:t>
            </w:r>
          </w:p>
        </w:tc>
        <w:tc>
          <w:tcPr>
            <w:tcW w:w="1134" w:type="dxa"/>
            <w:vAlign w:val="center"/>
          </w:tcPr>
          <w:p w14:paraId="303CA04A" w14:textId="77777777" w:rsidR="00986DE0" w:rsidRPr="00B42AAB" w:rsidRDefault="00986DE0" w:rsidP="003C7140">
            <w:pPr>
              <w:jc w:val="center"/>
              <w:rPr>
                <w:rFonts w:ascii="Lato" w:hAnsi="Lato" w:cstheme="minorHAnsi"/>
                <w:bCs/>
                <w:color w:val="000000" w:themeColor="text1"/>
                <w:sz w:val="20"/>
                <w:szCs w:val="20"/>
              </w:rPr>
            </w:pPr>
            <w:r w:rsidRPr="00B42AAB">
              <w:rPr>
                <w:rFonts w:ascii="Lato" w:hAnsi="Lato" w:cstheme="minorHAnsi"/>
                <w:bCs/>
                <w:color w:val="000000" w:themeColor="text1"/>
                <w:sz w:val="20"/>
                <w:szCs w:val="20"/>
              </w:rPr>
              <w:t>643</w:t>
            </w:r>
          </w:p>
        </w:tc>
        <w:tc>
          <w:tcPr>
            <w:tcW w:w="1559" w:type="dxa"/>
            <w:vAlign w:val="center"/>
          </w:tcPr>
          <w:p w14:paraId="20DE0D81" w14:textId="77777777" w:rsidR="00986DE0" w:rsidRPr="00B42AAB" w:rsidRDefault="00986DE0" w:rsidP="003C7140">
            <w:pPr>
              <w:jc w:val="center"/>
              <w:rPr>
                <w:rFonts w:ascii="Lato" w:hAnsi="Lato" w:cstheme="minorHAnsi"/>
                <w:bCs/>
                <w:color w:val="000000" w:themeColor="text1"/>
                <w:sz w:val="20"/>
                <w:szCs w:val="20"/>
              </w:rPr>
            </w:pPr>
            <w:r w:rsidRPr="00B42AAB">
              <w:rPr>
                <w:rFonts w:ascii="Lato" w:hAnsi="Lato" w:cstheme="minorHAnsi"/>
                <w:bCs/>
                <w:color w:val="000000" w:themeColor="text1"/>
                <w:sz w:val="20"/>
                <w:szCs w:val="20"/>
              </w:rPr>
              <w:t>392</w:t>
            </w:r>
          </w:p>
        </w:tc>
      </w:tr>
      <w:tr w:rsidR="00986DE0" w:rsidRPr="001C08B4" w14:paraId="69B885E0" w14:textId="77777777" w:rsidTr="003C7140">
        <w:trPr>
          <w:trHeight w:val="510"/>
          <w:jc w:val="center"/>
        </w:trPr>
        <w:tc>
          <w:tcPr>
            <w:tcW w:w="860" w:type="dxa"/>
            <w:vAlign w:val="center"/>
          </w:tcPr>
          <w:p w14:paraId="27BB79D5" w14:textId="77777777" w:rsidR="00986DE0" w:rsidRPr="00B42AAB" w:rsidRDefault="00986DE0" w:rsidP="003C7140">
            <w:pPr>
              <w:jc w:val="center"/>
              <w:rPr>
                <w:rFonts w:ascii="Lato" w:hAnsi="Lato" w:cstheme="minorHAnsi"/>
                <w:bCs/>
                <w:color w:val="000000" w:themeColor="text1"/>
                <w:sz w:val="20"/>
                <w:szCs w:val="20"/>
              </w:rPr>
            </w:pPr>
            <w:r w:rsidRPr="00B42AAB">
              <w:rPr>
                <w:rFonts w:ascii="Lato" w:hAnsi="Lato" w:cstheme="minorHAnsi"/>
                <w:bCs/>
                <w:color w:val="000000" w:themeColor="text1"/>
                <w:sz w:val="20"/>
                <w:szCs w:val="20"/>
              </w:rPr>
              <w:t>2022</w:t>
            </w:r>
          </w:p>
        </w:tc>
        <w:tc>
          <w:tcPr>
            <w:tcW w:w="1559" w:type="dxa"/>
            <w:vAlign w:val="center"/>
          </w:tcPr>
          <w:p w14:paraId="5E3D9E7F" w14:textId="77777777" w:rsidR="00986DE0" w:rsidRPr="00B42AAB" w:rsidRDefault="00986DE0" w:rsidP="003C7140">
            <w:pPr>
              <w:jc w:val="center"/>
              <w:rPr>
                <w:rFonts w:ascii="Lato" w:hAnsi="Lato" w:cstheme="minorHAnsi"/>
                <w:bCs/>
                <w:color w:val="000000" w:themeColor="text1"/>
                <w:sz w:val="20"/>
                <w:szCs w:val="20"/>
              </w:rPr>
            </w:pPr>
            <w:r w:rsidRPr="00B42AAB">
              <w:rPr>
                <w:rFonts w:ascii="Lato" w:hAnsi="Lato" w:cstheme="minorHAnsi"/>
                <w:bCs/>
                <w:color w:val="000000" w:themeColor="text1"/>
                <w:sz w:val="20"/>
                <w:szCs w:val="20"/>
              </w:rPr>
              <w:t>78</w:t>
            </w:r>
          </w:p>
        </w:tc>
        <w:tc>
          <w:tcPr>
            <w:tcW w:w="1985" w:type="dxa"/>
            <w:vAlign w:val="center"/>
          </w:tcPr>
          <w:p w14:paraId="7CF64EDE" w14:textId="77777777" w:rsidR="00986DE0" w:rsidRPr="00B42AAB" w:rsidRDefault="00986DE0" w:rsidP="003C7140">
            <w:pPr>
              <w:jc w:val="center"/>
              <w:rPr>
                <w:rFonts w:ascii="Lato" w:hAnsi="Lato" w:cstheme="minorHAnsi"/>
                <w:bCs/>
                <w:color w:val="000000" w:themeColor="text1"/>
                <w:sz w:val="20"/>
                <w:szCs w:val="20"/>
              </w:rPr>
            </w:pPr>
            <w:r w:rsidRPr="00B42AAB">
              <w:rPr>
                <w:rFonts w:ascii="Lato" w:hAnsi="Lato" w:cstheme="minorHAnsi"/>
                <w:bCs/>
                <w:color w:val="000000" w:themeColor="text1"/>
                <w:sz w:val="20"/>
                <w:szCs w:val="20"/>
              </w:rPr>
              <w:t>6515</w:t>
            </w:r>
          </w:p>
        </w:tc>
        <w:tc>
          <w:tcPr>
            <w:tcW w:w="1134" w:type="dxa"/>
            <w:vAlign w:val="center"/>
          </w:tcPr>
          <w:p w14:paraId="103C8799" w14:textId="77777777" w:rsidR="00986DE0" w:rsidRPr="00B42AAB" w:rsidRDefault="00986DE0" w:rsidP="003C7140">
            <w:pPr>
              <w:jc w:val="center"/>
              <w:rPr>
                <w:rFonts w:ascii="Lato" w:hAnsi="Lato" w:cstheme="minorHAnsi"/>
                <w:bCs/>
                <w:color w:val="000000" w:themeColor="text1"/>
                <w:sz w:val="20"/>
                <w:szCs w:val="20"/>
              </w:rPr>
            </w:pPr>
            <w:r w:rsidRPr="00B42AAB">
              <w:rPr>
                <w:rFonts w:ascii="Lato" w:hAnsi="Lato" w:cstheme="minorHAnsi"/>
                <w:bCs/>
                <w:color w:val="000000" w:themeColor="text1"/>
                <w:sz w:val="20"/>
                <w:szCs w:val="20"/>
              </w:rPr>
              <w:t>650</w:t>
            </w:r>
          </w:p>
        </w:tc>
        <w:tc>
          <w:tcPr>
            <w:tcW w:w="1559" w:type="dxa"/>
            <w:vAlign w:val="center"/>
          </w:tcPr>
          <w:p w14:paraId="7D2AB040" w14:textId="77777777" w:rsidR="00986DE0" w:rsidRPr="00B42AAB" w:rsidRDefault="00986DE0" w:rsidP="003C7140">
            <w:pPr>
              <w:jc w:val="center"/>
              <w:rPr>
                <w:rFonts w:ascii="Lato" w:hAnsi="Lato" w:cstheme="minorHAnsi"/>
                <w:bCs/>
                <w:color w:val="000000" w:themeColor="text1"/>
                <w:sz w:val="20"/>
                <w:szCs w:val="20"/>
              </w:rPr>
            </w:pPr>
            <w:r w:rsidRPr="00B42AAB">
              <w:rPr>
                <w:rFonts w:ascii="Lato" w:hAnsi="Lato" w:cstheme="minorHAnsi"/>
                <w:bCs/>
                <w:color w:val="000000" w:themeColor="text1"/>
                <w:sz w:val="20"/>
                <w:szCs w:val="20"/>
              </w:rPr>
              <w:t>301</w:t>
            </w:r>
          </w:p>
        </w:tc>
      </w:tr>
      <w:tr w:rsidR="00986DE0" w:rsidRPr="001C08B4" w14:paraId="34434525" w14:textId="77777777" w:rsidTr="003C7140">
        <w:trPr>
          <w:trHeight w:val="510"/>
          <w:jc w:val="center"/>
        </w:trPr>
        <w:tc>
          <w:tcPr>
            <w:tcW w:w="860" w:type="dxa"/>
            <w:vAlign w:val="center"/>
          </w:tcPr>
          <w:p w14:paraId="66F4E1AD" w14:textId="77777777" w:rsidR="00986DE0" w:rsidRPr="00B42AAB" w:rsidRDefault="00986DE0" w:rsidP="003C7140">
            <w:pPr>
              <w:jc w:val="center"/>
              <w:rPr>
                <w:rFonts w:ascii="Lato" w:hAnsi="Lato" w:cstheme="minorHAnsi"/>
                <w:color w:val="000000" w:themeColor="text1"/>
                <w:sz w:val="20"/>
                <w:szCs w:val="20"/>
              </w:rPr>
            </w:pPr>
            <w:r w:rsidRPr="00B42AAB">
              <w:rPr>
                <w:rFonts w:ascii="Lato" w:hAnsi="Lato" w:cstheme="minorHAnsi"/>
                <w:color w:val="000000" w:themeColor="text1"/>
                <w:sz w:val="20"/>
                <w:szCs w:val="20"/>
              </w:rPr>
              <w:t>2023</w:t>
            </w:r>
          </w:p>
        </w:tc>
        <w:tc>
          <w:tcPr>
            <w:tcW w:w="1559" w:type="dxa"/>
            <w:vAlign w:val="center"/>
          </w:tcPr>
          <w:p w14:paraId="5B829AFD" w14:textId="77777777" w:rsidR="00986DE0" w:rsidRPr="00B42AAB" w:rsidRDefault="00986DE0" w:rsidP="003C7140">
            <w:pPr>
              <w:jc w:val="center"/>
              <w:rPr>
                <w:rFonts w:ascii="Lato" w:hAnsi="Lato" w:cstheme="minorHAnsi"/>
                <w:color w:val="000000" w:themeColor="text1"/>
                <w:sz w:val="20"/>
                <w:szCs w:val="20"/>
              </w:rPr>
            </w:pPr>
            <w:r w:rsidRPr="00B42AAB">
              <w:rPr>
                <w:rFonts w:ascii="Lato" w:hAnsi="Lato" w:cstheme="minorHAnsi"/>
                <w:color w:val="000000" w:themeColor="text1"/>
                <w:sz w:val="20"/>
                <w:szCs w:val="20"/>
              </w:rPr>
              <w:t>56</w:t>
            </w:r>
          </w:p>
        </w:tc>
        <w:tc>
          <w:tcPr>
            <w:tcW w:w="1985" w:type="dxa"/>
            <w:vAlign w:val="center"/>
          </w:tcPr>
          <w:p w14:paraId="3C80C064" w14:textId="77777777" w:rsidR="00986DE0" w:rsidRPr="00B42AAB" w:rsidRDefault="00986DE0" w:rsidP="003C7140">
            <w:pPr>
              <w:jc w:val="center"/>
              <w:rPr>
                <w:rFonts w:ascii="Lato" w:hAnsi="Lato" w:cstheme="minorHAnsi"/>
                <w:color w:val="000000" w:themeColor="text1"/>
                <w:sz w:val="20"/>
                <w:szCs w:val="20"/>
              </w:rPr>
            </w:pPr>
            <w:r w:rsidRPr="00B42AAB">
              <w:rPr>
                <w:rFonts w:ascii="Lato" w:hAnsi="Lato" w:cstheme="minorHAnsi"/>
                <w:color w:val="000000" w:themeColor="text1"/>
                <w:sz w:val="20"/>
                <w:szCs w:val="20"/>
              </w:rPr>
              <w:t>3325</w:t>
            </w:r>
          </w:p>
        </w:tc>
        <w:tc>
          <w:tcPr>
            <w:tcW w:w="1134" w:type="dxa"/>
            <w:vAlign w:val="center"/>
          </w:tcPr>
          <w:p w14:paraId="3261860F" w14:textId="77777777" w:rsidR="00986DE0" w:rsidRPr="00B42AAB" w:rsidRDefault="00986DE0" w:rsidP="003C7140">
            <w:pPr>
              <w:jc w:val="center"/>
              <w:rPr>
                <w:rFonts w:ascii="Lato" w:hAnsi="Lato" w:cstheme="minorHAnsi"/>
                <w:color w:val="000000" w:themeColor="text1"/>
                <w:sz w:val="20"/>
                <w:szCs w:val="20"/>
              </w:rPr>
            </w:pPr>
            <w:r w:rsidRPr="00B42AAB">
              <w:rPr>
                <w:rFonts w:ascii="Lato" w:hAnsi="Lato" w:cstheme="minorHAnsi"/>
                <w:color w:val="000000" w:themeColor="text1"/>
                <w:sz w:val="20"/>
                <w:szCs w:val="20"/>
              </w:rPr>
              <w:t>441</w:t>
            </w:r>
          </w:p>
        </w:tc>
        <w:tc>
          <w:tcPr>
            <w:tcW w:w="1559" w:type="dxa"/>
            <w:vAlign w:val="center"/>
          </w:tcPr>
          <w:p w14:paraId="6260BD19" w14:textId="77777777" w:rsidR="00986DE0" w:rsidRPr="00B42AAB" w:rsidRDefault="00986DE0" w:rsidP="003C7140">
            <w:pPr>
              <w:jc w:val="center"/>
              <w:rPr>
                <w:rFonts w:ascii="Lato" w:hAnsi="Lato" w:cstheme="minorHAnsi"/>
                <w:color w:val="000000" w:themeColor="text1"/>
                <w:sz w:val="20"/>
                <w:szCs w:val="20"/>
              </w:rPr>
            </w:pPr>
            <w:r w:rsidRPr="00B42AAB">
              <w:rPr>
                <w:rFonts w:ascii="Lato" w:hAnsi="Lato" w:cstheme="minorHAnsi"/>
                <w:color w:val="000000" w:themeColor="text1"/>
                <w:sz w:val="20"/>
                <w:szCs w:val="20"/>
              </w:rPr>
              <w:t>225</w:t>
            </w:r>
          </w:p>
        </w:tc>
      </w:tr>
      <w:tr w:rsidR="00986DE0" w:rsidRPr="001C08B4" w14:paraId="680C7EEF" w14:textId="77777777" w:rsidTr="003C7140">
        <w:trPr>
          <w:trHeight w:val="510"/>
          <w:jc w:val="center"/>
        </w:trPr>
        <w:tc>
          <w:tcPr>
            <w:tcW w:w="860" w:type="dxa"/>
            <w:vAlign w:val="center"/>
          </w:tcPr>
          <w:p w14:paraId="13C066D9" w14:textId="77777777" w:rsidR="00986DE0" w:rsidRPr="00B42AAB" w:rsidRDefault="00986DE0" w:rsidP="003C7140">
            <w:pPr>
              <w:spacing w:before="100" w:beforeAutospacing="1"/>
              <w:jc w:val="center"/>
              <w:rPr>
                <w:rFonts w:ascii="Lato" w:hAnsi="Lato" w:cstheme="minorHAnsi"/>
                <w:color w:val="000000" w:themeColor="text1"/>
                <w:sz w:val="20"/>
                <w:szCs w:val="20"/>
              </w:rPr>
            </w:pPr>
            <w:r w:rsidRPr="00B42AAB">
              <w:rPr>
                <w:rFonts w:ascii="Lato" w:hAnsi="Lato" w:cstheme="minorHAnsi"/>
                <w:color w:val="000000" w:themeColor="text1"/>
                <w:sz w:val="20"/>
                <w:szCs w:val="20"/>
              </w:rPr>
              <w:t>2024</w:t>
            </w:r>
          </w:p>
        </w:tc>
        <w:tc>
          <w:tcPr>
            <w:tcW w:w="1559" w:type="dxa"/>
            <w:vAlign w:val="center"/>
          </w:tcPr>
          <w:p w14:paraId="57365478" w14:textId="77777777" w:rsidR="00986DE0" w:rsidRPr="00B42AAB" w:rsidRDefault="00986DE0" w:rsidP="003C7140">
            <w:pPr>
              <w:spacing w:before="100" w:beforeAutospacing="1"/>
              <w:jc w:val="center"/>
              <w:rPr>
                <w:rFonts w:ascii="Lato" w:hAnsi="Lato" w:cstheme="minorHAnsi"/>
                <w:color w:val="000000" w:themeColor="text1"/>
                <w:sz w:val="20"/>
                <w:szCs w:val="20"/>
              </w:rPr>
            </w:pPr>
            <w:r w:rsidRPr="00B42AAB">
              <w:rPr>
                <w:rFonts w:ascii="Lato" w:hAnsi="Lato"/>
                <w:color w:val="000000" w:themeColor="text1"/>
                <w:sz w:val="20"/>
                <w:szCs w:val="20"/>
              </w:rPr>
              <w:t>96</w:t>
            </w:r>
          </w:p>
        </w:tc>
        <w:tc>
          <w:tcPr>
            <w:tcW w:w="1985" w:type="dxa"/>
            <w:vAlign w:val="center"/>
          </w:tcPr>
          <w:p w14:paraId="5A535DED" w14:textId="77777777" w:rsidR="00986DE0" w:rsidRPr="00B42AAB" w:rsidRDefault="00986DE0" w:rsidP="003C7140">
            <w:pPr>
              <w:spacing w:before="100" w:beforeAutospacing="1"/>
              <w:jc w:val="center"/>
              <w:rPr>
                <w:rFonts w:ascii="Lato" w:hAnsi="Lato" w:cstheme="minorHAnsi"/>
                <w:color w:val="000000" w:themeColor="text1"/>
                <w:sz w:val="20"/>
                <w:szCs w:val="20"/>
              </w:rPr>
            </w:pPr>
            <w:r w:rsidRPr="00B42AAB">
              <w:rPr>
                <w:rFonts w:ascii="Lato" w:hAnsi="Lato"/>
                <w:color w:val="000000" w:themeColor="text1"/>
                <w:sz w:val="20"/>
                <w:szCs w:val="20"/>
              </w:rPr>
              <w:t>9668</w:t>
            </w:r>
          </w:p>
        </w:tc>
        <w:tc>
          <w:tcPr>
            <w:tcW w:w="1134" w:type="dxa"/>
            <w:vAlign w:val="center"/>
          </w:tcPr>
          <w:p w14:paraId="4B47413C" w14:textId="77777777" w:rsidR="00986DE0" w:rsidRPr="00B42AAB" w:rsidRDefault="00986DE0" w:rsidP="003C7140">
            <w:pPr>
              <w:spacing w:before="100" w:beforeAutospacing="1"/>
              <w:jc w:val="center"/>
              <w:rPr>
                <w:rFonts w:ascii="Lato" w:hAnsi="Lato" w:cstheme="minorHAnsi"/>
                <w:color w:val="000000" w:themeColor="text1"/>
                <w:sz w:val="20"/>
                <w:szCs w:val="20"/>
              </w:rPr>
            </w:pPr>
            <w:r w:rsidRPr="00B42AAB">
              <w:rPr>
                <w:rFonts w:ascii="Lato" w:hAnsi="Lato"/>
                <w:color w:val="000000" w:themeColor="text1"/>
                <w:sz w:val="20"/>
                <w:szCs w:val="20"/>
              </w:rPr>
              <w:t>1418</w:t>
            </w:r>
          </w:p>
        </w:tc>
        <w:tc>
          <w:tcPr>
            <w:tcW w:w="1559" w:type="dxa"/>
            <w:vAlign w:val="center"/>
          </w:tcPr>
          <w:p w14:paraId="079E8978" w14:textId="77777777" w:rsidR="00986DE0" w:rsidRPr="00B42AAB" w:rsidRDefault="00986DE0" w:rsidP="003C7140">
            <w:pPr>
              <w:spacing w:before="100" w:beforeAutospacing="1"/>
              <w:jc w:val="center"/>
              <w:rPr>
                <w:rFonts w:ascii="Lato" w:hAnsi="Lato" w:cstheme="minorHAnsi"/>
                <w:color w:val="000000" w:themeColor="text1"/>
                <w:sz w:val="20"/>
                <w:szCs w:val="20"/>
              </w:rPr>
            </w:pPr>
            <w:r w:rsidRPr="00B42AAB">
              <w:rPr>
                <w:rFonts w:ascii="Lato" w:hAnsi="Lato"/>
                <w:color w:val="000000" w:themeColor="text1"/>
                <w:sz w:val="20"/>
                <w:szCs w:val="20"/>
              </w:rPr>
              <w:t>360</w:t>
            </w:r>
          </w:p>
        </w:tc>
      </w:tr>
      <w:tr w:rsidR="00986DE0" w:rsidRPr="001C08B4" w14:paraId="4F73D466" w14:textId="77777777" w:rsidTr="003C7140">
        <w:trPr>
          <w:trHeight w:val="510"/>
          <w:jc w:val="center"/>
        </w:trPr>
        <w:tc>
          <w:tcPr>
            <w:tcW w:w="860" w:type="dxa"/>
            <w:vAlign w:val="center"/>
          </w:tcPr>
          <w:p w14:paraId="426E7575" w14:textId="77777777" w:rsidR="00986DE0" w:rsidRPr="00B42AAB" w:rsidRDefault="00986DE0" w:rsidP="003C7140">
            <w:pPr>
              <w:spacing w:before="100" w:beforeAutospacing="1"/>
              <w:jc w:val="center"/>
              <w:rPr>
                <w:rFonts w:ascii="Lato" w:hAnsi="Lato" w:cstheme="minorHAnsi"/>
                <w:b/>
                <w:bCs/>
                <w:color w:val="000000" w:themeColor="text1"/>
                <w:sz w:val="20"/>
                <w:szCs w:val="20"/>
              </w:rPr>
            </w:pPr>
            <w:r w:rsidRPr="00B42AAB">
              <w:rPr>
                <w:rFonts w:ascii="Lato" w:hAnsi="Lato"/>
                <w:b/>
                <w:bCs/>
                <w:color w:val="000000" w:themeColor="text1"/>
                <w:sz w:val="20"/>
                <w:szCs w:val="20"/>
              </w:rPr>
              <w:t>2025</w:t>
            </w:r>
          </w:p>
        </w:tc>
        <w:tc>
          <w:tcPr>
            <w:tcW w:w="1559" w:type="dxa"/>
            <w:vAlign w:val="center"/>
          </w:tcPr>
          <w:p w14:paraId="229CF328" w14:textId="77777777" w:rsidR="00986DE0" w:rsidRPr="00B42AAB" w:rsidRDefault="00986DE0" w:rsidP="003C7140">
            <w:pPr>
              <w:spacing w:before="100" w:beforeAutospacing="1"/>
              <w:jc w:val="center"/>
              <w:rPr>
                <w:rFonts w:ascii="Lato" w:hAnsi="Lato"/>
                <w:b/>
                <w:bCs/>
                <w:color w:val="000000" w:themeColor="text1"/>
                <w:sz w:val="20"/>
                <w:szCs w:val="20"/>
              </w:rPr>
            </w:pPr>
            <w:r w:rsidRPr="00B42AAB">
              <w:rPr>
                <w:rFonts w:ascii="Lato" w:hAnsi="Lato"/>
                <w:b/>
                <w:bCs/>
                <w:color w:val="000000" w:themeColor="text1"/>
                <w:sz w:val="20"/>
                <w:szCs w:val="20"/>
              </w:rPr>
              <w:t>58</w:t>
            </w:r>
          </w:p>
        </w:tc>
        <w:tc>
          <w:tcPr>
            <w:tcW w:w="1985" w:type="dxa"/>
            <w:vAlign w:val="center"/>
          </w:tcPr>
          <w:p w14:paraId="7A28FD59" w14:textId="77777777" w:rsidR="00986DE0" w:rsidRPr="00B42AAB" w:rsidRDefault="00986DE0" w:rsidP="003C7140">
            <w:pPr>
              <w:spacing w:before="100" w:beforeAutospacing="1"/>
              <w:jc w:val="center"/>
              <w:rPr>
                <w:rFonts w:ascii="Lato" w:hAnsi="Lato"/>
                <w:b/>
                <w:bCs/>
                <w:color w:val="000000" w:themeColor="text1"/>
                <w:sz w:val="20"/>
                <w:szCs w:val="20"/>
              </w:rPr>
            </w:pPr>
            <w:r w:rsidRPr="00B42AAB">
              <w:rPr>
                <w:rFonts w:ascii="Lato" w:hAnsi="Lato"/>
                <w:b/>
                <w:bCs/>
                <w:color w:val="000000" w:themeColor="text1"/>
                <w:sz w:val="20"/>
                <w:szCs w:val="20"/>
              </w:rPr>
              <w:t>7458</w:t>
            </w:r>
          </w:p>
        </w:tc>
        <w:tc>
          <w:tcPr>
            <w:tcW w:w="1134" w:type="dxa"/>
            <w:vAlign w:val="center"/>
          </w:tcPr>
          <w:p w14:paraId="118C4BE7" w14:textId="77777777" w:rsidR="00986DE0" w:rsidRPr="00B42AAB" w:rsidRDefault="00986DE0" w:rsidP="003C7140">
            <w:pPr>
              <w:spacing w:before="100" w:beforeAutospacing="1"/>
              <w:jc w:val="center"/>
              <w:rPr>
                <w:rFonts w:ascii="Lato" w:hAnsi="Lato"/>
                <w:b/>
                <w:bCs/>
                <w:color w:val="000000" w:themeColor="text1"/>
                <w:sz w:val="20"/>
                <w:szCs w:val="20"/>
              </w:rPr>
            </w:pPr>
            <w:r w:rsidRPr="00B42AAB">
              <w:rPr>
                <w:rFonts w:ascii="Lato" w:hAnsi="Lato"/>
                <w:b/>
                <w:bCs/>
                <w:color w:val="000000" w:themeColor="text1"/>
                <w:sz w:val="20"/>
                <w:szCs w:val="20"/>
              </w:rPr>
              <w:t>772</w:t>
            </w:r>
          </w:p>
        </w:tc>
        <w:tc>
          <w:tcPr>
            <w:tcW w:w="1559" w:type="dxa"/>
            <w:vAlign w:val="center"/>
          </w:tcPr>
          <w:p w14:paraId="4E48871A" w14:textId="77777777" w:rsidR="00986DE0" w:rsidRPr="00B42AAB" w:rsidRDefault="00986DE0" w:rsidP="003C7140">
            <w:pPr>
              <w:spacing w:before="100" w:beforeAutospacing="1"/>
              <w:jc w:val="center"/>
              <w:rPr>
                <w:rFonts w:ascii="Lato" w:hAnsi="Lato"/>
                <w:b/>
                <w:bCs/>
                <w:color w:val="000000" w:themeColor="text1"/>
                <w:sz w:val="20"/>
                <w:szCs w:val="20"/>
              </w:rPr>
            </w:pPr>
            <w:r w:rsidRPr="00B42AAB">
              <w:rPr>
                <w:rFonts w:ascii="Lato" w:hAnsi="Lato"/>
                <w:b/>
                <w:bCs/>
                <w:color w:val="000000" w:themeColor="text1"/>
                <w:sz w:val="20"/>
                <w:szCs w:val="20"/>
              </w:rPr>
              <w:t>86</w:t>
            </w:r>
          </w:p>
        </w:tc>
      </w:tr>
    </w:tbl>
    <w:p w14:paraId="7B7DE17A" w14:textId="77777777" w:rsidR="003A377E" w:rsidRDefault="003A377E" w:rsidP="001E187C">
      <w:pPr>
        <w:spacing w:line="360" w:lineRule="auto"/>
        <w:rPr>
          <w:rFonts w:ascii="Lato" w:hAnsi="Lato" w:cstheme="minorHAnsi"/>
          <w:color w:val="000000" w:themeColor="text1"/>
          <w:sz w:val="22"/>
          <w:szCs w:val="22"/>
        </w:rPr>
      </w:pPr>
    </w:p>
    <w:p w14:paraId="29A832BC" w14:textId="26FAB852" w:rsidR="00986DE0" w:rsidRPr="00EC00AF" w:rsidRDefault="00986DE0" w:rsidP="001E187C">
      <w:pPr>
        <w:spacing w:line="360" w:lineRule="auto"/>
        <w:rPr>
          <w:rFonts w:cstheme="minorHAnsi"/>
          <w:color w:val="000000" w:themeColor="text1"/>
          <w:sz w:val="22"/>
          <w:szCs w:val="22"/>
        </w:rPr>
      </w:pPr>
      <w:r w:rsidRPr="00EC00AF">
        <w:rPr>
          <w:rFonts w:ascii="Lato" w:hAnsi="Lato" w:cstheme="minorHAnsi"/>
          <w:color w:val="000000" w:themeColor="text1"/>
          <w:sz w:val="22"/>
          <w:szCs w:val="22"/>
        </w:rPr>
        <w:t xml:space="preserve">Każdorazowo po zgłoszeniu zachorowań prowadzono dochodzenie epidemiologiczne oraz wzmożony nadzór nad pionem kuchennym, jeżeli ogniska związane były z żywieniem zbiorowym. Dochodzenia epidemiologiczne ujawniły w części ognisk niezachowanie zasad </w:t>
      </w:r>
      <w:r w:rsidRPr="00EC00AF">
        <w:rPr>
          <w:rFonts w:ascii="Lato" w:hAnsi="Lato" w:cstheme="minorHAnsi"/>
          <w:color w:val="000000" w:themeColor="text1"/>
          <w:sz w:val="22"/>
          <w:szCs w:val="22"/>
        </w:rPr>
        <w:lastRenderedPageBreak/>
        <w:t xml:space="preserve">higieny w pionie kuchennym, w tym nieprzestrzeganie higieny rąk przez personel zatrudniony przy przygotowywaniu i podawaniu posiłków, bieżące zaniedbania w utrzymaniu czystości powierzchni produkcyjnych, nieprawidłowości w zakresie przechowywania żywności, a także nosicielstwo pałeczek Salmonella u personelu kuchni. </w:t>
      </w:r>
    </w:p>
    <w:p w14:paraId="5B4E4A2B" w14:textId="2243E3AA" w:rsidR="00EC00AF" w:rsidRDefault="00986DE0" w:rsidP="00B327E0">
      <w:pPr>
        <w:spacing w:line="360" w:lineRule="auto"/>
        <w:rPr>
          <w:rFonts w:ascii="Lato" w:hAnsi="Lato" w:cstheme="minorHAnsi"/>
          <w:color w:val="000000" w:themeColor="text1"/>
          <w:sz w:val="22"/>
          <w:szCs w:val="22"/>
        </w:rPr>
      </w:pPr>
      <w:r w:rsidRPr="00EC00AF">
        <w:rPr>
          <w:rFonts w:ascii="Lato" w:hAnsi="Lato" w:cstheme="minorHAnsi"/>
          <w:color w:val="000000" w:themeColor="text1"/>
          <w:sz w:val="22"/>
          <w:szCs w:val="22"/>
        </w:rPr>
        <w:t>Celem podniesienia bezpieczeństwa wypoczywających na terenie naszego województwa osób, przed sezonem letnim, zorganizowano webinaria dla organizatorów wypoczynków realizujących żywienie zbiorowe. Podczas szkoleń poruszana była tematyka zagrożeń zdrowia związanych z ogniskami zatruć pokarmowych oraz możliwości ich zapobiegania poprzez odpowiedzialne zachowania, jak również przestrzeganie zasad przeciwepidemicznych. Prowadzone cyklicznie działania edukacyjne przekładają się na podniesienie świadomości przedsiębiorców w zakresie odpowiedzialności za jakość usług</w:t>
      </w:r>
      <w:r w:rsidR="003A377E">
        <w:rPr>
          <w:rFonts w:ascii="Lato" w:hAnsi="Lato" w:cstheme="minorHAnsi"/>
          <w:color w:val="000000" w:themeColor="text1"/>
          <w:sz w:val="22"/>
          <w:szCs w:val="22"/>
        </w:rPr>
        <w:t>,</w:t>
      </w:r>
      <w:r w:rsidRPr="00EC00AF">
        <w:rPr>
          <w:rFonts w:ascii="Lato" w:hAnsi="Lato" w:cstheme="minorHAnsi"/>
          <w:color w:val="000000" w:themeColor="text1"/>
          <w:sz w:val="22"/>
          <w:szCs w:val="22"/>
        </w:rPr>
        <w:t xml:space="preserve"> w tym bezpieczeństwo żywności. Działania edukacyjne prowadzono również w czasie czynności kontrolnych.</w:t>
      </w:r>
    </w:p>
    <w:p w14:paraId="47C748C0" w14:textId="77777777" w:rsidR="00BA2854" w:rsidRPr="00EC00AF" w:rsidRDefault="00BA2854" w:rsidP="00B327E0">
      <w:pPr>
        <w:spacing w:line="360" w:lineRule="auto"/>
        <w:rPr>
          <w:rFonts w:ascii="Lato" w:hAnsi="Lato" w:cstheme="minorHAnsi"/>
          <w:color w:val="000000" w:themeColor="text1"/>
          <w:sz w:val="22"/>
          <w:szCs w:val="22"/>
        </w:rPr>
      </w:pPr>
    </w:p>
    <w:p w14:paraId="3CE28266" w14:textId="7BC632A5" w:rsidR="00986DE0" w:rsidRDefault="00986DE0">
      <w:pPr>
        <w:pStyle w:val="Nagwek3"/>
        <w:numPr>
          <w:ilvl w:val="1"/>
          <w:numId w:val="9"/>
        </w:numPr>
        <w:spacing w:before="0" w:after="0" w:line="360" w:lineRule="auto"/>
        <w:ind w:right="284" w:hanging="284"/>
        <w:rPr>
          <w:color w:val="auto"/>
          <w:szCs w:val="22"/>
        </w:rPr>
      </w:pPr>
      <w:bookmarkStart w:id="11" w:name="_Toc225235843"/>
      <w:bookmarkStart w:id="12" w:name="_Toc225859030"/>
      <w:r w:rsidRPr="005E716D">
        <w:rPr>
          <w:color w:val="auto"/>
          <w:szCs w:val="22"/>
        </w:rPr>
        <w:t>Wirusowe zapalenia wątroby</w:t>
      </w:r>
      <w:bookmarkEnd w:id="11"/>
      <w:bookmarkEnd w:id="12"/>
    </w:p>
    <w:p w14:paraId="5C1C8AC6" w14:textId="77777777" w:rsidR="00BA2854" w:rsidRPr="00BA2854" w:rsidRDefault="00BA2854" w:rsidP="00BA2854">
      <w:pPr>
        <w:rPr>
          <w:sz w:val="22"/>
          <w:szCs w:val="22"/>
        </w:rPr>
      </w:pPr>
    </w:p>
    <w:p w14:paraId="4B50472F" w14:textId="3FC3AE64" w:rsidR="007E2B79" w:rsidRDefault="00986DE0" w:rsidP="00383E25">
      <w:pPr>
        <w:tabs>
          <w:tab w:val="left" w:pos="851"/>
        </w:tabs>
        <w:spacing w:line="360" w:lineRule="auto"/>
        <w:rPr>
          <w:rFonts w:ascii="Lato" w:hAnsi="Lato" w:cstheme="minorHAnsi"/>
          <w:color w:val="000000" w:themeColor="text1"/>
          <w:sz w:val="22"/>
          <w:szCs w:val="22"/>
        </w:rPr>
      </w:pPr>
      <w:r w:rsidRPr="00EC00AF">
        <w:rPr>
          <w:rFonts w:ascii="Lato" w:hAnsi="Lato" w:cstheme="minorHAnsi"/>
          <w:color w:val="000000" w:themeColor="text1"/>
          <w:sz w:val="22"/>
          <w:szCs w:val="22"/>
        </w:rPr>
        <w:t>W 2025 r. liczba przypadków wirusowych zapaleń wątroby w woj. zachodniopomorskim utrzymywała się na podobnym poziomie jak w roku ubiegłym.</w:t>
      </w:r>
    </w:p>
    <w:p w14:paraId="20916D9D" w14:textId="77777777" w:rsidR="00373DED" w:rsidRPr="00383E25" w:rsidRDefault="00373DED" w:rsidP="00383E25">
      <w:pPr>
        <w:tabs>
          <w:tab w:val="left" w:pos="851"/>
        </w:tabs>
        <w:spacing w:line="360" w:lineRule="auto"/>
        <w:rPr>
          <w:rFonts w:ascii="Lato" w:hAnsi="Lato" w:cstheme="minorHAnsi"/>
          <w:color w:val="000000" w:themeColor="text1"/>
          <w:sz w:val="22"/>
          <w:szCs w:val="22"/>
        </w:rPr>
      </w:pPr>
    </w:p>
    <w:p w14:paraId="7E93FF72" w14:textId="58943499" w:rsidR="00986DE0" w:rsidRPr="003818A5" w:rsidRDefault="00986DE0" w:rsidP="001E187C">
      <w:pPr>
        <w:widowControl w:val="0"/>
        <w:tabs>
          <w:tab w:val="left" w:pos="851"/>
        </w:tabs>
        <w:suppressAutoHyphens/>
        <w:spacing w:line="360" w:lineRule="auto"/>
        <w:jc w:val="both"/>
        <w:rPr>
          <w:rFonts w:ascii="Lato" w:hAnsi="Lato" w:cstheme="minorHAnsi"/>
          <w:bCs/>
          <w:color w:val="000000" w:themeColor="text1"/>
          <w:sz w:val="22"/>
          <w:szCs w:val="22"/>
          <w:u w:val="single"/>
        </w:rPr>
      </w:pPr>
      <w:r w:rsidRPr="003818A5">
        <w:rPr>
          <w:rFonts w:ascii="Lato" w:hAnsi="Lato" w:cstheme="minorHAnsi"/>
          <w:bCs/>
          <w:color w:val="000000" w:themeColor="text1"/>
          <w:sz w:val="22"/>
          <w:szCs w:val="22"/>
          <w:u w:val="single"/>
        </w:rPr>
        <w:t>Wirusowe zapalenie wątroby typu A</w:t>
      </w:r>
    </w:p>
    <w:p w14:paraId="5F70E638" w14:textId="77777777" w:rsidR="003573F2" w:rsidRDefault="00986DE0" w:rsidP="001E187C">
      <w:pPr>
        <w:widowControl w:val="0"/>
        <w:tabs>
          <w:tab w:val="left" w:pos="851"/>
        </w:tabs>
        <w:suppressAutoHyphens/>
        <w:spacing w:line="360" w:lineRule="auto"/>
        <w:rPr>
          <w:rFonts w:ascii="Lato" w:hAnsi="Lato" w:cstheme="minorHAnsi"/>
          <w:color w:val="000000" w:themeColor="text1"/>
          <w:sz w:val="22"/>
          <w:szCs w:val="22"/>
        </w:rPr>
      </w:pPr>
      <w:r w:rsidRPr="00EC00AF">
        <w:rPr>
          <w:rFonts w:ascii="Lato" w:hAnsi="Lato" w:cstheme="minorHAnsi"/>
          <w:color w:val="000000" w:themeColor="text1"/>
          <w:sz w:val="22"/>
          <w:szCs w:val="22"/>
        </w:rPr>
        <w:t xml:space="preserve">W 2025 r. na terenie woj. zachodniopomorskiego nie odnotowano pogorszenia sytuacji epidemiologicznej wirusowego zapalenia wątroby typu A. W Polsce natomiast zaobserwowano ponad trzykrotny wzrost zachorowań. </w:t>
      </w:r>
    </w:p>
    <w:p w14:paraId="54D28E28" w14:textId="2334E236" w:rsidR="00986DE0" w:rsidRPr="00EC00AF" w:rsidRDefault="00986DE0" w:rsidP="001E187C">
      <w:pPr>
        <w:widowControl w:val="0"/>
        <w:tabs>
          <w:tab w:val="left" w:pos="851"/>
        </w:tabs>
        <w:suppressAutoHyphens/>
        <w:spacing w:line="360" w:lineRule="auto"/>
        <w:rPr>
          <w:rFonts w:ascii="Lato" w:hAnsi="Lato" w:cs="Calibri"/>
          <w:color w:val="000000" w:themeColor="text1"/>
          <w:sz w:val="22"/>
          <w:szCs w:val="22"/>
        </w:rPr>
      </w:pPr>
      <w:r w:rsidRPr="00EC00AF">
        <w:rPr>
          <w:rFonts w:ascii="Lato" w:hAnsi="Lato" w:cstheme="minorHAnsi"/>
          <w:color w:val="000000" w:themeColor="text1"/>
          <w:sz w:val="22"/>
          <w:szCs w:val="22"/>
        </w:rPr>
        <w:t xml:space="preserve">W toku dochodzeń epidemiologicznych ustalono w regionie 3 domowe </w:t>
      </w:r>
      <w:r w:rsidRPr="00EC00AF">
        <w:rPr>
          <w:rFonts w:ascii="Lato" w:hAnsi="Lato" w:cs="Calibri"/>
          <w:color w:val="000000" w:themeColor="text1"/>
          <w:sz w:val="22"/>
          <w:szCs w:val="22"/>
        </w:rPr>
        <w:t>ogniska wirusow</w:t>
      </w:r>
      <w:r w:rsidR="003573F2">
        <w:rPr>
          <w:rFonts w:ascii="Lato" w:hAnsi="Lato" w:cs="Calibri"/>
          <w:color w:val="000000" w:themeColor="text1"/>
          <w:sz w:val="22"/>
          <w:szCs w:val="22"/>
        </w:rPr>
        <w:t>ego</w:t>
      </w:r>
      <w:r w:rsidRPr="00EC00AF">
        <w:rPr>
          <w:rFonts w:ascii="Lato" w:hAnsi="Lato" w:cs="Calibri"/>
          <w:color w:val="000000" w:themeColor="text1"/>
          <w:sz w:val="22"/>
          <w:szCs w:val="22"/>
        </w:rPr>
        <w:t xml:space="preserve"> zapale</w:t>
      </w:r>
      <w:r w:rsidR="003573F2">
        <w:rPr>
          <w:rFonts w:ascii="Lato" w:hAnsi="Lato" w:cs="Calibri"/>
          <w:color w:val="000000" w:themeColor="text1"/>
          <w:sz w:val="22"/>
          <w:szCs w:val="22"/>
        </w:rPr>
        <w:t>nia</w:t>
      </w:r>
      <w:r w:rsidRPr="00EC00AF">
        <w:rPr>
          <w:rFonts w:ascii="Lato" w:hAnsi="Lato" w:cs="Calibri"/>
          <w:color w:val="000000" w:themeColor="text1"/>
          <w:sz w:val="22"/>
          <w:szCs w:val="22"/>
        </w:rPr>
        <w:t xml:space="preserve"> wątroby typu A, w których zachorowało łącznie 8 osób.</w:t>
      </w:r>
      <w:r w:rsidR="003573F2">
        <w:rPr>
          <w:rFonts w:ascii="Lato" w:hAnsi="Lato" w:cs="Calibri"/>
          <w:color w:val="000000" w:themeColor="text1"/>
          <w:sz w:val="22"/>
          <w:szCs w:val="22"/>
        </w:rPr>
        <w:t xml:space="preserve"> </w:t>
      </w:r>
      <w:r w:rsidRPr="00EC00AF">
        <w:rPr>
          <w:rFonts w:ascii="Lato" w:hAnsi="Lato" w:cs="Calibri"/>
          <w:color w:val="000000" w:themeColor="text1"/>
          <w:sz w:val="22"/>
          <w:szCs w:val="22"/>
        </w:rPr>
        <w:t>Na podstawie prowadzonych wywiadów epidemiologicznych ustalono, że część osób zakażenie wiązało z zagranicznymi podróżami.</w:t>
      </w:r>
    </w:p>
    <w:p w14:paraId="395ABCBB" w14:textId="3ED703AA" w:rsidR="00986DE0" w:rsidRDefault="00986DE0" w:rsidP="00383E25">
      <w:pPr>
        <w:widowControl w:val="0"/>
        <w:tabs>
          <w:tab w:val="left" w:pos="851"/>
        </w:tabs>
        <w:suppressAutoHyphens/>
        <w:spacing w:line="360" w:lineRule="auto"/>
        <w:rPr>
          <w:rFonts w:ascii="Lato" w:hAnsi="Lato" w:cs="Calibri"/>
          <w:color w:val="000000" w:themeColor="text1"/>
          <w:sz w:val="22"/>
          <w:szCs w:val="22"/>
        </w:rPr>
      </w:pPr>
      <w:r w:rsidRPr="00EC00AF">
        <w:rPr>
          <w:rFonts w:ascii="Lato" w:hAnsi="Lato" w:cs="Calibri"/>
          <w:color w:val="000000" w:themeColor="text1"/>
          <w:sz w:val="22"/>
          <w:szCs w:val="22"/>
        </w:rPr>
        <w:t>Dochodzenia epidemiologiczne po zgłoszeniu przypadków zachorowań skupione są na próbie ustalenia źródła zakażenia oraz przecięciu dróg szerzenia choroby poprzez utrzymanie wzmożonych zasad higieny osobistej, w tym higieny rąk oraz przygotowywanie środków spożywczych z zachowaniem zasad higieny, a także stosowanie zabiegów mycia i dezynfekcji potencjalnie skażonych powierzchni i sprzętu.</w:t>
      </w:r>
    </w:p>
    <w:p w14:paraId="65E96944" w14:textId="77777777" w:rsidR="00130F95" w:rsidRDefault="00130F95" w:rsidP="00383E25">
      <w:pPr>
        <w:widowControl w:val="0"/>
        <w:tabs>
          <w:tab w:val="left" w:pos="851"/>
        </w:tabs>
        <w:suppressAutoHyphens/>
        <w:spacing w:line="360" w:lineRule="auto"/>
        <w:rPr>
          <w:rFonts w:ascii="Lato" w:hAnsi="Lato" w:cs="Calibri"/>
          <w:color w:val="000000" w:themeColor="text1"/>
          <w:sz w:val="22"/>
          <w:szCs w:val="22"/>
        </w:rPr>
      </w:pPr>
    </w:p>
    <w:p w14:paraId="06C7BE9B" w14:textId="77777777" w:rsidR="00130F95" w:rsidRDefault="00130F95" w:rsidP="00383E25">
      <w:pPr>
        <w:widowControl w:val="0"/>
        <w:tabs>
          <w:tab w:val="left" w:pos="851"/>
        </w:tabs>
        <w:suppressAutoHyphens/>
        <w:spacing w:line="360" w:lineRule="auto"/>
        <w:rPr>
          <w:rFonts w:ascii="Lato" w:hAnsi="Lato" w:cs="Calibri"/>
          <w:color w:val="000000" w:themeColor="text1"/>
          <w:sz w:val="22"/>
          <w:szCs w:val="22"/>
        </w:rPr>
      </w:pPr>
    </w:p>
    <w:p w14:paraId="3B00165A" w14:textId="77777777" w:rsidR="00130F95" w:rsidRDefault="00130F95" w:rsidP="00383E25">
      <w:pPr>
        <w:widowControl w:val="0"/>
        <w:tabs>
          <w:tab w:val="left" w:pos="851"/>
        </w:tabs>
        <w:suppressAutoHyphens/>
        <w:spacing w:line="360" w:lineRule="auto"/>
        <w:rPr>
          <w:rFonts w:ascii="Lato" w:hAnsi="Lato" w:cs="Calibri"/>
          <w:color w:val="000000" w:themeColor="text1"/>
          <w:sz w:val="22"/>
          <w:szCs w:val="22"/>
        </w:rPr>
      </w:pPr>
    </w:p>
    <w:p w14:paraId="72CB727A" w14:textId="77777777" w:rsidR="00130F95" w:rsidRPr="00383E25" w:rsidRDefault="00130F95" w:rsidP="00383E25">
      <w:pPr>
        <w:widowControl w:val="0"/>
        <w:tabs>
          <w:tab w:val="left" w:pos="851"/>
        </w:tabs>
        <w:suppressAutoHyphens/>
        <w:spacing w:line="360" w:lineRule="auto"/>
        <w:rPr>
          <w:rFonts w:ascii="Lato" w:hAnsi="Lato" w:cs="Calibri"/>
          <w:color w:val="000000" w:themeColor="text1"/>
          <w:sz w:val="22"/>
          <w:szCs w:val="22"/>
        </w:rPr>
      </w:pPr>
    </w:p>
    <w:p w14:paraId="690711EC" w14:textId="38AF920D" w:rsidR="00986DE0" w:rsidRPr="007E2B79" w:rsidRDefault="007E2B79" w:rsidP="007E2B79">
      <w:pPr>
        <w:pStyle w:val="Legenda"/>
        <w:rPr>
          <w:rFonts w:ascii="Lato" w:hAnsi="Lato"/>
          <w:b w:val="0"/>
          <w:bCs w:val="0"/>
          <w:i/>
          <w:iCs/>
          <w:color w:val="000000" w:themeColor="text1"/>
          <w:sz w:val="18"/>
          <w:szCs w:val="18"/>
        </w:rPr>
      </w:pPr>
      <w:bookmarkStart w:id="13" w:name="_Toc225859359"/>
      <w:r w:rsidRPr="007E2B79">
        <w:rPr>
          <w:rFonts w:ascii="Lato" w:hAnsi="Lato"/>
          <w:b w:val="0"/>
          <w:bCs w:val="0"/>
          <w:sz w:val="18"/>
          <w:szCs w:val="18"/>
        </w:rPr>
        <w:lastRenderedPageBreak/>
        <w:t xml:space="preserve">Tabela </w:t>
      </w:r>
      <w:r w:rsidRPr="007E2B79">
        <w:rPr>
          <w:rFonts w:ascii="Lato" w:hAnsi="Lato"/>
          <w:b w:val="0"/>
          <w:bCs w:val="0"/>
          <w:sz w:val="18"/>
          <w:szCs w:val="18"/>
        </w:rPr>
        <w:fldChar w:fldCharType="begin"/>
      </w:r>
      <w:r w:rsidRPr="007E2B79">
        <w:rPr>
          <w:rFonts w:ascii="Lato" w:hAnsi="Lato"/>
          <w:b w:val="0"/>
          <w:bCs w:val="0"/>
          <w:sz w:val="18"/>
          <w:szCs w:val="18"/>
        </w:rPr>
        <w:instrText xml:space="preserve"> SEQ Tabela \* ARABIC </w:instrText>
      </w:r>
      <w:r w:rsidRPr="007E2B79">
        <w:rPr>
          <w:rFonts w:ascii="Lato" w:hAnsi="Lato"/>
          <w:b w:val="0"/>
          <w:bCs w:val="0"/>
          <w:sz w:val="18"/>
          <w:szCs w:val="18"/>
        </w:rPr>
        <w:fldChar w:fldCharType="separate"/>
      </w:r>
      <w:r w:rsidR="002A3179">
        <w:rPr>
          <w:rFonts w:ascii="Lato" w:hAnsi="Lato"/>
          <w:b w:val="0"/>
          <w:bCs w:val="0"/>
          <w:noProof/>
          <w:sz w:val="18"/>
          <w:szCs w:val="18"/>
        </w:rPr>
        <w:t>3</w:t>
      </w:r>
      <w:r w:rsidRPr="007E2B79">
        <w:rPr>
          <w:rFonts w:ascii="Lato" w:hAnsi="Lato"/>
          <w:b w:val="0"/>
          <w:bCs w:val="0"/>
          <w:sz w:val="18"/>
          <w:szCs w:val="18"/>
        </w:rPr>
        <w:fldChar w:fldCharType="end"/>
      </w:r>
      <w:r>
        <w:rPr>
          <w:rFonts w:ascii="Lato" w:hAnsi="Lato"/>
          <w:b w:val="0"/>
          <w:bCs w:val="0"/>
          <w:sz w:val="18"/>
          <w:szCs w:val="18"/>
        </w:rPr>
        <w:t>.</w:t>
      </w:r>
      <w:r w:rsidRPr="007E2B79">
        <w:rPr>
          <w:rFonts w:ascii="Lato" w:hAnsi="Lato"/>
          <w:b w:val="0"/>
          <w:bCs w:val="0"/>
          <w:sz w:val="18"/>
          <w:szCs w:val="18"/>
        </w:rPr>
        <w:t xml:space="preserve"> Liczba zachorowań i współczynnik zapadalności na wirusowe zapalenie wątroby typu A w Polsce i na terenie woj. zachodniopomorskiego w latach 2021-2025.</w:t>
      </w:r>
      <w:bookmarkEnd w:id="13"/>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Liczba zachorowań i współczynnik zapadalności na wirusowe zapalenie wątroby typu A w Polsce i na terenie woj. zachodniopomorskiego w latach 2021-2025"/>
        <w:tblDescription w:val="Tabela przedstawia dane na temat liczby przypadków zachorowań na wirusowe zapalenie wątroby typu A w latach 2021-2025. Na terenie województwa zachodniopomroskiego odnotowano w 2025 roku 26 przypadków zachorowań (w roku 2024 - 24 przypdaki, w 2023 roku - 9 przypadków). Na terenie całego kraju odnotowano wzrost liczby przypadków - 1085 przypadków (w 2024 roki odnotowano 316 pprzypadków)."/>
      </w:tblPr>
      <w:tblGrid>
        <w:gridCol w:w="2078"/>
        <w:gridCol w:w="708"/>
        <w:gridCol w:w="709"/>
        <w:gridCol w:w="708"/>
        <w:gridCol w:w="709"/>
        <w:gridCol w:w="708"/>
        <w:gridCol w:w="709"/>
        <w:gridCol w:w="708"/>
        <w:gridCol w:w="709"/>
        <w:gridCol w:w="708"/>
        <w:gridCol w:w="709"/>
      </w:tblGrid>
      <w:tr w:rsidR="00986DE0" w:rsidRPr="006A728B" w14:paraId="06FE1D74" w14:textId="77777777" w:rsidTr="00130F95">
        <w:trPr>
          <w:jc w:val="center"/>
        </w:trPr>
        <w:tc>
          <w:tcPr>
            <w:tcW w:w="2078" w:type="dxa"/>
            <w:vMerge w:val="restart"/>
            <w:shd w:val="clear" w:color="auto" w:fill="D9D9D9" w:themeFill="background1" w:themeFillShade="D9"/>
          </w:tcPr>
          <w:p w14:paraId="4F476938" w14:textId="77777777" w:rsidR="00986DE0" w:rsidRPr="006A728B" w:rsidRDefault="00986DE0" w:rsidP="003C7140">
            <w:pPr>
              <w:tabs>
                <w:tab w:val="left" w:pos="851"/>
              </w:tabs>
              <w:spacing w:line="276" w:lineRule="auto"/>
              <w:jc w:val="both"/>
              <w:outlineLvl w:val="3"/>
              <w:rPr>
                <w:rFonts w:ascii="Lato" w:hAnsi="Lato" w:cstheme="minorHAnsi"/>
                <w:b/>
                <w:color w:val="000000" w:themeColor="text1"/>
                <w:sz w:val="18"/>
                <w:szCs w:val="18"/>
              </w:rPr>
            </w:pPr>
          </w:p>
        </w:tc>
        <w:tc>
          <w:tcPr>
            <w:tcW w:w="1417" w:type="dxa"/>
            <w:gridSpan w:val="2"/>
            <w:shd w:val="clear" w:color="auto" w:fill="D9D9D9" w:themeFill="background1" w:themeFillShade="D9"/>
            <w:vAlign w:val="center"/>
          </w:tcPr>
          <w:p w14:paraId="019C650F" w14:textId="77777777" w:rsidR="00986DE0" w:rsidRPr="006A728B" w:rsidRDefault="00986DE0" w:rsidP="003C7140">
            <w:pPr>
              <w:tabs>
                <w:tab w:val="left" w:pos="851"/>
              </w:tabs>
              <w:spacing w:line="276" w:lineRule="auto"/>
              <w:jc w:val="center"/>
              <w:outlineLvl w:val="3"/>
              <w:rPr>
                <w:rFonts w:ascii="Lato" w:hAnsi="Lato" w:cstheme="minorHAnsi"/>
                <w:color w:val="000000" w:themeColor="text1"/>
                <w:sz w:val="18"/>
                <w:szCs w:val="18"/>
              </w:rPr>
            </w:pPr>
            <w:r w:rsidRPr="006A728B">
              <w:rPr>
                <w:rFonts w:ascii="Lato" w:hAnsi="Lato" w:cstheme="minorHAnsi"/>
                <w:color w:val="000000" w:themeColor="text1"/>
                <w:sz w:val="18"/>
                <w:szCs w:val="18"/>
              </w:rPr>
              <w:t>2021 r.</w:t>
            </w:r>
          </w:p>
        </w:tc>
        <w:tc>
          <w:tcPr>
            <w:tcW w:w="1417" w:type="dxa"/>
            <w:gridSpan w:val="2"/>
            <w:shd w:val="clear" w:color="auto" w:fill="D9D9D9" w:themeFill="background1" w:themeFillShade="D9"/>
            <w:vAlign w:val="center"/>
          </w:tcPr>
          <w:p w14:paraId="67DDB083" w14:textId="77777777" w:rsidR="00986DE0" w:rsidRPr="006A728B" w:rsidRDefault="00986DE0" w:rsidP="003C7140">
            <w:pPr>
              <w:tabs>
                <w:tab w:val="left" w:pos="851"/>
              </w:tabs>
              <w:spacing w:line="276" w:lineRule="auto"/>
              <w:jc w:val="center"/>
              <w:outlineLvl w:val="3"/>
              <w:rPr>
                <w:rFonts w:ascii="Lato" w:hAnsi="Lato" w:cstheme="minorHAnsi"/>
                <w:color w:val="000000" w:themeColor="text1"/>
                <w:sz w:val="18"/>
                <w:szCs w:val="18"/>
              </w:rPr>
            </w:pPr>
            <w:r w:rsidRPr="006A728B">
              <w:rPr>
                <w:rFonts w:ascii="Lato" w:hAnsi="Lato" w:cstheme="minorHAnsi"/>
                <w:color w:val="000000" w:themeColor="text1"/>
                <w:sz w:val="18"/>
                <w:szCs w:val="18"/>
              </w:rPr>
              <w:t>2022 r.</w:t>
            </w:r>
          </w:p>
        </w:tc>
        <w:tc>
          <w:tcPr>
            <w:tcW w:w="1417" w:type="dxa"/>
            <w:gridSpan w:val="2"/>
            <w:shd w:val="clear" w:color="auto" w:fill="D9D9D9" w:themeFill="background1" w:themeFillShade="D9"/>
            <w:vAlign w:val="center"/>
          </w:tcPr>
          <w:p w14:paraId="3EC9770B" w14:textId="77777777" w:rsidR="00986DE0" w:rsidRPr="006A728B" w:rsidRDefault="00986DE0" w:rsidP="003C7140">
            <w:pPr>
              <w:tabs>
                <w:tab w:val="left" w:pos="851"/>
              </w:tabs>
              <w:spacing w:line="276" w:lineRule="auto"/>
              <w:jc w:val="center"/>
              <w:outlineLvl w:val="3"/>
              <w:rPr>
                <w:rFonts w:ascii="Lato" w:hAnsi="Lato" w:cstheme="minorHAnsi"/>
                <w:color w:val="000000" w:themeColor="text1"/>
                <w:sz w:val="18"/>
                <w:szCs w:val="18"/>
              </w:rPr>
            </w:pPr>
            <w:r w:rsidRPr="006A728B">
              <w:rPr>
                <w:rFonts w:ascii="Lato" w:hAnsi="Lato" w:cstheme="minorHAnsi"/>
                <w:color w:val="000000" w:themeColor="text1"/>
                <w:sz w:val="18"/>
                <w:szCs w:val="18"/>
              </w:rPr>
              <w:t>2023 r.</w:t>
            </w:r>
          </w:p>
        </w:tc>
        <w:tc>
          <w:tcPr>
            <w:tcW w:w="1417" w:type="dxa"/>
            <w:gridSpan w:val="2"/>
            <w:shd w:val="clear" w:color="auto" w:fill="D9D9D9" w:themeFill="background1" w:themeFillShade="D9"/>
            <w:vAlign w:val="center"/>
          </w:tcPr>
          <w:p w14:paraId="51E8C40D" w14:textId="77777777" w:rsidR="00986DE0" w:rsidRPr="006A728B" w:rsidRDefault="00986DE0" w:rsidP="003C7140">
            <w:pPr>
              <w:tabs>
                <w:tab w:val="left" w:pos="851"/>
              </w:tabs>
              <w:spacing w:line="276" w:lineRule="auto"/>
              <w:jc w:val="center"/>
              <w:outlineLvl w:val="3"/>
              <w:rPr>
                <w:rFonts w:ascii="Lato" w:hAnsi="Lato" w:cstheme="minorHAnsi"/>
                <w:color w:val="000000" w:themeColor="text1"/>
                <w:sz w:val="18"/>
                <w:szCs w:val="18"/>
              </w:rPr>
            </w:pPr>
            <w:r w:rsidRPr="006A728B">
              <w:rPr>
                <w:rFonts w:ascii="Lato" w:hAnsi="Lato" w:cstheme="minorHAnsi"/>
                <w:color w:val="000000" w:themeColor="text1"/>
                <w:sz w:val="18"/>
                <w:szCs w:val="18"/>
              </w:rPr>
              <w:t>2024 r.</w:t>
            </w:r>
          </w:p>
        </w:tc>
        <w:tc>
          <w:tcPr>
            <w:tcW w:w="1417" w:type="dxa"/>
            <w:gridSpan w:val="2"/>
            <w:shd w:val="clear" w:color="auto" w:fill="D9D9D9" w:themeFill="background1" w:themeFillShade="D9"/>
            <w:vAlign w:val="center"/>
          </w:tcPr>
          <w:p w14:paraId="69B60581" w14:textId="77777777" w:rsidR="00986DE0" w:rsidRPr="006A728B" w:rsidRDefault="00986DE0" w:rsidP="003C7140">
            <w:pPr>
              <w:tabs>
                <w:tab w:val="left" w:pos="851"/>
              </w:tabs>
              <w:spacing w:line="276" w:lineRule="auto"/>
              <w:jc w:val="center"/>
              <w:outlineLvl w:val="3"/>
              <w:rPr>
                <w:rFonts w:ascii="Lato" w:hAnsi="Lato" w:cstheme="minorHAnsi"/>
                <w:b/>
                <w:bCs/>
                <w:color w:val="000000" w:themeColor="text1"/>
                <w:sz w:val="18"/>
                <w:szCs w:val="18"/>
              </w:rPr>
            </w:pPr>
            <w:r w:rsidRPr="006A728B">
              <w:rPr>
                <w:rFonts w:ascii="Lato" w:hAnsi="Lato" w:cstheme="minorHAnsi"/>
                <w:b/>
                <w:bCs/>
                <w:color w:val="000000" w:themeColor="text1"/>
                <w:sz w:val="18"/>
                <w:szCs w:val="18"/>
              </w:rPr>
              <w:t>2025 r.</w:t>
            </w:r>
          </w:p>
        </w:tc>
      </w:tr>
      <w:tr w:rsidR="00986DE0" w:rsidRPr="006A728B" w14:paraId="1D88D5D8" w14:textId="77777777" w:rsidTr="00130F95">
        <w:trPr>
          <w:cantSplit/>
          <w:trHeight w:val="1946"/>
          <w:jc w:val="center"/>
        </w:trPr>
        <w:tc>
          <w:tcPr>
            <w:tcW w:w="2078" w:type="dxa"/>
            <w:vMerge/>
            <w:shd w:val="clear" w:color="auto" w:fill="D9D9D9" w:themeFill="background1" w:themeFillShade="D9"/>
          </w:tcPr>
          <w:p w14:paraId="5DBC9AB8" w14:textId="77777777" w:rsidR="00986DE0" w:rsidRPr="006A728B" w:rsidRDefault="00986DE0" w:rsidP="003C7140">
            <w:pPr>
              <w:tabs>
                <w:tab w:val="left" w:pos="851"/>
              </w:tabs>
              <w:spacing w:line="276" w:lineRule="auto"/>
              <w:jc w:val="both"/>
              <w:outlineLvl w:val="3"/>
              <w:rPr>
                <w:rFonts w:ascii="Lato" w:hAnsi="Lato" w:cstheme="minorHAnsi"/>
                <w:b/>
                <w:color w:val="000000" w:themeColor="text1"/>
                <w:sz w:val="18"/>
                <w:szCs w:val="18"/>
              </w:rPr>
            </w:pPr>
          </w:p>
        </w:tc>
        <w:tc>
          <w:tcPr>
            <w:tcW w:w="708" w:type="dxa"/>
            <w:shd w:val="clear" w:color="auto" w:fill="D9D9D9" w:themeFill="background1" w:themeFillShade="D9"/>
            <w:textDirection w:val="btLr"/>
          </w:tcPr>
          <w:p w14:paraId="27886BCC" w14:textId="77777777" w:rsidR="00986DE0" w:rsidRPr="006A728B" w:rsidRDefault="00986DE0" w:rsidP="003C7140">
            <w:pPr>
              <w:tabs>
                <w:tab w:val="left" w:pos="851"/>
              </w:tabs>
              <w:ind w:left="113" w:right="113"/>
              <w:jc w:val="center"/>
              <w:outlineLvl w:val="3"/>
              <w:rPr>
                <w:rFonts w:ascii="Lato" w:hAnsi="Lato" w:cstheme="minorHAnsi"/>
                <w:color w:val="000000" w:themeColor="text1"/>
                <w:sz w:val="18"/>
                <w:szCs w:val="18"/>
              </w:rPr>
            </w:pPr>
            <w:r w:rsidRPr="006A728B">
              <w:rPr>
                <w:rFonts w:ascii="Lato" w:hAnsi="Lato" w:cstheme="minorHAnsi"/>
                <w:color w:val="000000" w:themeColor="text1"/>
                <w:sz w:val="18"/>
                <w:szCs w:val="18"/>
              </w:rPr>
              <w:t>Liczba zachorowań</w:t>
            </w:r>
          </w:p>
        </w:tc>
        <w:tc>
          <w:tcPr>
            <w:tcW w:w="709" w:type="dxa"/>
            <w:shd w:val="clear" w:color="auto" w:fill="D9D9D9" w:themeFill="background1" w:themeFillShade="D9"/>
            <w:textDirection w:val="btLr"/>
          </w:tcPr>
          <w:p w14:paraId="379C3A9D" w14:textId="77777777" w:rsidR="00986DE0" w:rsidRPr="006A728B" w:rsidRDefault="00986DE0" w:rsidP="003C7140">
            <w:pPr>
              <w:tabs>
                <w:tab w:val="left" w:pos="851"/>
              </w:tabs>
              <w:ind w:left="113" w:right="113"/>
              <w:jc w:val="center"/>
              <w:outlineLvl w:val="3"/>
              <w:rPr>
                <w:rFonts w:ascii="Lato" w:hAnsi="Lato" w:cstheme="minorHAnsi"/>
                <w:color w:val="000000" w:themeColor="text1"/>
                <w:sz w:val="18"/>
                <w:szCs w:val="18"/>
              </w:rPr>
            </w:pPr>
            <w:r w:rsidRPr="006A728B">
              <w:rPr>
                <w:rFonts w:ascii="Lato" w:hAnsi="Lato" w:cstheme="minorHAnsi"/>
                <w:color w:val="000000" w:themeColor="text1"/>
                <w:sz w:val="18"/>
                <w:szCs w:val="18"/>
              </w:rPr>
              <w:t>Zapadalność</w:t>
            </w:r>
            <w:r w:rsidRPr="006A728B">
              <w:rPr>
                <w:rFonts w:ascii="Lato" w:hAnsi="Lato" w:cstheme="minorHAnsi"/>
                <w:color w:val="000000" w:themeColor="text1"/>
                <w:sz w:val="18"/>
                <w:szCs w:val="18"/>
              </w:rPr>
              <w:br/>
              <w:t>na 100 tys.</w:t>
            </w:r>
          </w:p>
        </w:tc>
        <w:tc>
          <w:tcPr>
            <w:tcW w:w="708" w:type="dxa"/>
            <w:shd w:val="clear" w:color="auto" w:fill="D9D9D9" w:themeFill="background1" w:themeFillShade="D9"/>
            <w:textDirection w:val="btLr"/>
          </w:tcPr>
          <w:p w14:paraId="7F817A23" w14:textId="77777777" w:rsidR="00986DE0" w:rsidRPr="006A728B" w:rsidRDefault="00986DE0" w:rsidP="003C7140">
            <w:pPr>
              <w:tabs>
                <w:tab w:val="left" w:pos="851"/>
              </w:tabs>
              <w:ind w:left="113" w:right="113"/>
              <w:jc w:val="center"/>
              <w:outlineLvl w:val="3"/>
              <w:rPr>
                <w:rFonts w:ascii="Lato" w:hAnsi="Lato" w:cstheme="minorHAnsi"/>
                <w:color w:val="000000" w:themeColor="text1"/>
                <w:sz w:val="18"/>
                <w:szCs w:val="18"/>
              </w:rPr>
            </w:pPr>
            <w:r w:rsidRPr="006A728B">
              <w:rPr>
                <w:rFonts w:ascii="Lato" w:hAnsi="Lato" w:cstheme="minorHAnsi"/>
                <w:color w:val="000000" w:themeColor="text1"/>
                <w:sz w:val="18"/>
                <w:szCs w:val="18"/>
              </w:rPr>
              <w:t>Liczba zachorowań</w:t>
            </w:r>
          </w:p>
        </w:tc>
        <w:tc>
          <w:tcPr>
            <w:tcW w:w="709" w:type="dxa"/>
            <w:shd w:val="clear" w:color="auto" w:fill="D9D9D9" w:themeFill="background1" w:themeFillShade="D9"/>
            <w:textDirection w:val="btLr"/>
          </w:tcPr>
          <w:p w14:paraId="2537A081" w14:textId="77777777" w:rsidR="00986DE0" w:rsidRPr="006A728B" w:rsidRDefault="00986DE0" w:rsidP="003C7140">
            <w:pPr>
              <w:tabs>
                <w:tab w:val="left" w:pos="851"/>
              </w:tabs>
              <w:ind w:left="113" w:right="113"/>
              <w:jc w:val="center"/>
              <w:outlineLvl w:val="3"/>
              <w:rPr>
                <w:rFonts w:ascii="Lato" w:hAnsi="Lato" w:cstheme="minorHAnsi"/>
                <w:color w:val="000000" w:themeColor="text1"/>
                <w:sz w:val="18"/>
                <w:szCs w:val="18"/>
              </w:rPr>
            </w:pPr>
            <w:r w:rsidRPr="006A728B">
              <w:rPr>
                <w:rFonts w:ascii="Lato" w:hAnsi="Lato" w:cstheme="minorHAnsi"/>
                <w:color w:val="000000" w:themeColor="text1"/>
                <w:sz w:val="18"/>
                <w:szCs w:val="18"/>
              </w:rPr>
              <w:t>Zapadalność</w:t>
            </w:r>
            <w:r w:rsidRPr="006A728B">
              <w:rPr>
                <w:rFonts w:ascii="Lato" w:hAnsi="Lato" w:cstheme="minorHAnsi"/>
                <w:color w:val="000000" w:themeColor="text1"/>
                <w:sz w:val="18"/>
                <w:szCs w:val="18"/>
              </w:rPr>
              <w:br/>
              <w:t>na 100 tys.</w:t>
            </w:r>
          </w:p>
        </w:tc>
        <w:tc>
          <w:tcPr>
            <w:tcW w:w="708" w:type="dxa"/>
            <w:shd w:val="clear" w:color="auto" w:fill="D9D9D9" w:themeFill="background1" w:themeFillShade="D9"/>
            <w:textDirection w:val="btLr"/>
          </w:tcPr>
          <w:p w14:paraId="62153E37" w14:textId="77777777" w:rsidR="00986DE0" w:rsidRPr="006A728B" w:rsidRDefault="00986DE0" w:rsidP="003C7140">
            <w:pPr>
              <w:tabs>
                <w:tab w:val="left" w:pos="851"/>
              </w:tabs>
              <w:ind w:left="113" w:right="113"/>
              <w:jc w:val="center"/>
              <w:outlineLvl w:val="3"/>
              <w:rPr>
                <w:rFonts w:ascii="Lato" w:hAnsi="Lato" w:cstheme="minorHAnsi"/>
                <w:color w:val="000000" w:themeColor="text1"/>
                <w:sz w:val="18"/>
                <w:szCs w:val="18"/>
              </w:rPr>
            </w:pPr>
            <w:r w:rsidRPr="006A728B">
              <w:rPr>
                <w:rFonts w:ascii="Lato" w:hAnsi="Lato" w:cstheme="minorHAnsi"/>
                <w:color w:val="000000" w:themeColor="text1"/>
                <w:sz w:val="18"/>
                <w:szCs w:val="18"/>
              </w:rPr>
              <w:t>Liczba zachorowań</w:t>
            </w:r>
          </w:p>
        </w:tc>
        <w:tc>
          <w:tcPr>
            <w:tcW w:w="709" w:type="dxa"/>
            <w:shd w:val="clear" w:color="auto" w:fill="D9D9D9" w:themeFill="background1" w:themeFillShade="D9"/>
            <w:textDirection w:val="btLr"/>
          </w:tcPr>
          <w:p w14:paraId="6400BD83" w14:textId="77777777" w:rsidR="00986DE0" w:rsidRPr="006A728B" w:rsidRDefault="00986DE0" w:rsidP="003C7140">
            <w:pPr>
              <w:tabs>
                <w:tab w:val="left" w:pos="851"/>
              </w:tabs>
              <w:ind w:left="113" w:right="113"/>
              <w:jc w:val="center"/>
              <w:outlineLvl w:val="3"/>
              <w:rPr>
                <w:rFonts w:ascii="Lato" w:hAnsi="Lato" w:cstheme="minorHAnsi"/>
                <w:color w:val="000000" w:themeColor="text1"/>
                <w:sz w:val="18"/>
                <w:szCs w:val="18"/>
              </w:rPr>
            </w:pPr>
            <w:r w:rsidRPr="006A728B">
              <w:rPr>
                <w:rFonts w:ascii="Lato" w:hAnsi="Lato" w:cstheme="minorHAnsi"/>
                <w:color w:val="000000" w:themeColor="text1"/>
                <w:sz w:val="18"/>
                <w:szCs w:val="18"/>
              </w:rPr>
              <w:t>Zapadalność</w:t>
            </w:r>
            <w:r w:rsidRPr="006A728B">
              <w:rPr>
                <w:rFonts w:ascii="Lato" w:hAnsi="Lato" w:cstheme="minorHAnsi"/>
                <w:color w:val="000000" w:themeColor="text1"/>
                <w:sz w:val="18"/>
                <w:szCs w:val="18"/>
              </w:rPr>
              <w:br/>
              <w:t>na 100 tys.</w:t>
            </w:r>
          </w:p>
        </w:tc>
        <w:tc>
          <w:tcPr>
            <w:tcW w:w="708" w:type="dxa"/>
            <w:shd w:val="clear" w:color="auto" w:fill="D9D9D9" w:themeFill="background1" w:themeFillShade="D9"/>
            <w:textDirection w:val="btLr"/>
          </w:tcPr>
          <w:p w14:paraId="0B733C42" w14:textId="77777777" w:rsidR="00986DE0" w:rsidRPr="006A728B" w:rsidRDefault="00986DE0" w:rsidP="003C7140">
            <w:pPr>
              <w:tabs>
                <w:tab w:val="left" w:pos="851"/>
              </w:tabs>
              <w:ind w:left="113" w:right="113"/>
              <w:jc w:val="center"/>
              <w:outlineLvl w:val="3"/>
              <w:rPr>
                <w:rFonts w:ascii="Lato" w:hAnsi="Lato" w:cstheme="minorHAnsi"/>
                <w:bCs/>
                <w:color w:val="000000" w:themeColor="text1"/>
                <w:sz w:val="18"/>
                <w:szCs w:val="18"/>
              </w:rPr>
            </w:pPr>
            <w:r w:rsidRPr="006A728B">
              <w:rPr>
                <w:rFonts w:ascii="Lato" w:hAnsi="Lato" w:cstheme="minorHAnsi"/>
                <w:color w:val="000000" w:themeColor="text1"/>
                <w:sz w:val="18"/>
                <w:szCs w:val="18"/>
              </w:rPr>
              <w:t>Liczba zachorowań</w:t>
            </w:r>
          </w:p>
        </w:tc>
        <w:tc>
          <w:tcPr>
            <w:tcW w:w="709" w:type="dxa"/>
            <w:shd w:val="clear" w:color="auto" w:fill="D9D9D9" w:themeFill="background1" w:themeFillShade="D9"/>
            <w:textDirection w:val="btLr"/>
          </w:tcPr>
          <w:p w14:paraId="5EDB7881" w14:textId="77777777" w:rsidR="00986DE0" w:rsidRPr="006A728B" w:rsidRDefault="00986DE0" w:rsidP="003C7140">
            <w:pPr>
              <w:tabs>
                <w:tab w:val="left" w:pos="851"/>
              </w:tabs>
              <w:ind w:left="113" w:right="113"/>
              <w:jc w:val="center"/>
              <w:outlineLvl w:val="3"/>
              <w:rPr>
                <w:rFonts w:ascii="Lato" w:hAnsi="Lato" w:cstheme="minorHAnsi"/>
                <w:bCs/>
                <w:color w:val="000000" w:themeColor="text1"/>
                <w:sz w:val="18"/>
                <w:szCs w:val="18"/>
              </w:rPr>
            </w:pPr>
            <w:r w:rsidRPr="006A728B">
              <w:rPr>
                <w:rFonts w:ascii="Lato" w:hAnsi="Lato" w:cstheme="minorHAnsi"/>
                <w:color w:val="000000" w:themeColor="text1"/>
                <w:sz w:val="18"/>
                <w:szCs w:val="18"/>
              </w:rPr>
              <w:t>Zapadalność</w:t>
            </w:r>
            <w:r w:rsidRPr="006A728B">
              <w:rPr>
                <w:rFonts w:ascii="Lato" w:hAnsi="Lato" w:cstheme="minorHAnsi"/>
                <w:color w:val="000000" w:themeColor="text1"/>
                <w:sz w:val="18"/>
                <w:szCs w:val="18"/>
              </w:rPr>
              <w:br/>
              <w:t>na 100 tys.</w:t>
            </w:r>
          </w:p>
        </w:tc>
        <w:tc>
          <w:tcPr>
            <w:tcW w:w="708" w:type="dxa"/>
            <w:shd w:val="clear" w:color="auto" w:fill="D9D9D9" w:themeFill="background1" w:themeFillShade="D9"/>
            <w:textDirection w:val="btLr"/>
          </w:tcPr>
          <w:p w14:paraId="24AAE679" w14:textId="77777777" w:rsidR="00986DE0" w:rsidRPr="006A728B" w:rsidRDefault="00986DE0" w:rsidP="003C7140">
            <w:pPr>
              <w:tabs>
                <w:tab w:val="left" w:pos="851"/>
              </w:tabs>
              <w:ind w:left="113" w:right="113"/>
              <w:jc w:val="center"/>
              <w:outlineLvl w:val="3"/>
              <w:rPr>
                <w:rFonts w:ascii="Lato" w:hAnsi="Lato" w:cstheme="minorHAnsi"/>
                <w:b/>
                <w:color w:val="000000" w:themeColor="text1"/>
                <w:sz w:val="18"/>
                <w:szCs w:val="18"/>
              </w:rPr>
            </w:pPr>
            <w:r w:rsidRPr="006A728B">
              <w:rPr>
                <w:rFonts w:ascii="Lato" w:hAnsi="Lato" w:cstheme="minorHAnsi"/>
                <w:b/>
                <w:color w:val="000000" w:themeColor="text1"/>
                <w:sz w:val="18"/>
                <w:szCs w:val="18"/>
              </w:rPr>
              <w:t>Liczba zachorowań</w:t>
            </w:r>
          </w:p>
        </w:tc>
        <w:tc>
          <w:tcPr>
            <w:tcW w:w="709" w:type="dxa"/>
            <w:shd w:val="clear" w:color="auto" w:fill="D9D9D9" w:themeFill="background1" w:themeFillShade="D9"/>
            <w:textDirection w:val="btLr"/>
          </w:tcPr>
          <w:p w14:paraId="4B58823A" w14:textId="77777777" w:rsidR="00986DE0" w:rsidRPr="006A728B" w:rsidRDefault="00986DE0" w:rsidP="003C7140">
            <w:pPr>
              <w:tabs>
                <w:tab w:val="left" w:pos="851"/>
              </w:tabs>
              <w:ind w:left="113" w:right="113"/>
              <w:jc w:val="center"/>
              <w:outlineLvl w:val="3"/>
              <w:rPr>
                <w:rFonts w:ascii="Lato" w:hAnsi="Lato" w:cstheme="minorHAnsi"/>
                <w:b/>
                <w:color w:val="000000" w:themeColor="text1"/>
                <w:sz w:val="18"/>
                <w:szCs w:val="18"/>
              </w:rPr>
            </w:pPr>
            <w:r w:rsidRPr="006A728B">
              <w:rPr>
                <w:rFonts w:ascii="Lato" w:hAnsi="Lato" w:cstheme="minorHAnsi"/>
                <w:b/>
                <w:color w:val="000000" w:themeColor="text1"/>
                <w:sz w:val="18"/>
                <w:szCs w:val="18"/>
              </w:rPr>
              <w:t>Zapadalność</w:t>
            </w:r>
            <w:r w:rsidRPr="006A728B">
              <w:rPr>
                <w:rFonts w:ascii="Lato" w:hAnsi="Lato" w:cstheme="minorHAnsi"/>
                <w:b/>
                <w:color w:val="000000" w:themeColor="text1"/>
                <w:sz w:val="18"/>
                <w:szCs w:val="18"/>
              </w:rPr>
              <w:br/>
              <w:t>na 100 tys.</w:t>
            </w:r>
          </w:p>
        </w:tc>
      </w:tr>
      <w:tr w:rsidR="00986DE0" w:rsidRPr="006A728B" w14:paraId="63F7AB4E" w14:textId="77777777" w:rsidTr="003C7140">
        <w:trPr>
          <w:trHeight w:val="491"/>
          <w:jc w:val="center"/>
        </w:trPr>
        <w:tc>
          <w:tcPr>
            <w:tcW w:w="2078" w:type="dxa"/>
            <w:vAlign w:val="center"/>
          </w:tcPr>
          <w:p w14:paraId="25809317" w14:textId="77777777" w:rsidR="00986DE0" w:rsidRPr="006A728B" w:rsidRDefault="00986DE0" w:rsidP="003C7140">
            <w:pPr>
              <w:tabs>
                <w:tab w:val="left" w:pos="851"/>
              </w:tabs>
              <w:spacing w:line="276" w:lineRule="auto"/>
              <w:jc w:val="center"/>
              <w:outlineLvl w:val="3"/>
              <w:rPr>
                <w:rFonts w:ascii="Lato" w:hAnsi="Lato" w:cstheme="minorHAnsi"/>
                <w:b/>
                <w:color w:val="000000" w:themeColor="text1"/>
                <w:sz w:val="18"/>
                <w:szCs w:val="18"/>
              </w:rPr>
            </w:pPr>
            <w:r w:rsidRPr="006A728B">
              <w:rPr>
                <w:rFonts w:ascii="Lato" w:hAnsi="Lato" w:cstheme="minorHAnsi"/>
                <w:color w:val="000000" w:themeColor="text1"/>
                <w:sz w:val="18"/>
                <w:szCs w:val="18"/>
              </w:rPr>
              <w:t>Polska</w:t>
            </w:r>
          </w:p>
        </w:tc>
        <w:tc>
          <w:tcPr>
            <w:tcW w:w="708" w:type="dxa"/>
            <w:vAlign w:val="center"/>
          </w:tcPr>
          <w:p w14:paraId="5097A81B" w14:textId="77777777" w:rsidR="00986DE0" w:rsidRPr="006A728B" w:rsidRDefault="00986DE0" w:rsidP="003C7140">
            <w:pPr>
              <w:tabs>
                <w:tab w:val="left" w:pos="1890"/>
              </w:tabs>
              <w:spacing w:line="276" w:lineRule="auto"/>
              <w:jc w:val="center"/>
              <w:rPr>
                <w:rFonts w:ascii="Lato" w:hAnsi="Lato" w:cstheme="minorHAnsi"/>
                <w:color w:val="000000" w:themeColor="text1"/>
                <w:sz w:val="18"/>
                <w:szCs w:val="18"/>
              </w:rPr>
            </w:pPr>
            <w:r w:rsidRPr="006A728B">
              <w:rPr>
                <w:rFonts w:ascii="Lato" w:hAnsi="Lato" w:cstheme="minorHAnsi"/>
                <w:bCs/>
                <w:color w:val="000000" w:themeColor="text1"/>
                <w:sz w:val="18"/>
                <w:szCs w:val="18"/>
              </w:rPr>
              <w:t>92</w:t>
            </w:r>
          </w:p>
        </w:tc>
        <w:tc>
          <w:tcPr>
            <w:tcW w:w="709" w:type="dxa"/>
            <w:vAlign w:val="center"/>
          </w:tcPr>
          <w:p w14:paraId="6518E9F9" w14:textId="77777777" w:rsidR="00986DE0" w:rsidRPr="006A728B" w:rsidRDefault="00986DE0" w:rsidP="003C7140">
            <w:pPr>
              <w:tabs>
                <w:tab w:val="left" w:pos="1890"/>
              </w:tabs>
              <w:spacing w:line="276" w:lineRule="auto"/>
              <w:jc w:val="center"/>
              <w:rPr>
                <w:rFonts w:ascii="Lato" w:hAnsi="Lato" w:cstheme="minorHAnsi"/>
                <w:color w:val="000000" w:themeColor="text1"/>
                <w:sz w:val="18"/>
                <w:szCs w:val="18"/>
              </w:rPr>
            </w:pPr>
            <w:r w:rsidRPr="006A728B">
              <w:rPr>
                <w:rFonts w:ascii="Lato" w:hAnsi="Lato" w:cstheme="minorHAnsi"/>
                <w:bCs/>
                <w:color w:val="000000" w:themeColor="text1"/>
                <w:sz w:val="18"/>
                <w:szCs w:val="18"/>
              </w:rPr>
              <w:t>0,24</w:t>
            </w:r>
          </w:p>
        </w:tc>
        <w:tc>
          <w:tcPr>
            <w:tcW w:w="708" w:type="dxa"/>
            <w:vAlign w:val="center"/>
          </w:tcPr>
          <w:p w14:paraId="07D4F151" w14:textId="77777777" w:rsidR="00986DE0" w:rsidRPr="006A728B" w:rsidRDefault="00986DE0" w:rsidP="003C7140">
            <w:pPr>
              <w:tabs>
                <w:tab w:val="left" w:pos="1890"/>
              </w:tabs>
              <w:spacing w:line="276" w:lineRule="auto"/>
              <w:jc w:val="center"/>
              <w:rPr>
                <w:rFonts w:ascii="Lato" w:hAnsi="Lato" w:cstheme="minorHAnsi"/>
                <w:color w:val="000000" w:themeColor="text1"/>
                <w:sz w:val="18"/>
                <w:szCs w:val="18"/>
              </w:rPr>
            </w:pPr>
            <w:r w:rsidRPr="006A728B">
              <w:rPr>
                <w:rFonts w:ascii="Lato" w:hAnsi="Lato" w:cstheme="minorHAnsi"/>
                <w:bCs/>
                <w:color w:val="000000" w:themeColor="text1"/>
                <w:sz w:val="18"/>
                <w:szCs w:val="18"/>
              </w:rPr>
              <w:t>233</w:t>
            </w:r>
          </w:p>
        </w:tc>
        <w:tc>
          <w:tcPr>
            <w:tcW w:w="709" w:type="dxa"/>
            <w:vAlign w:val="center"/>
          </w:tcPr>
          <w:p w14:paraId="0F3A6D92" w14:textId="77777777" w:rsidR="00986DE0" w:rsidRPr="006A728B" w:rsidRDefault="00986DE0" w:rsidP="003C7140">
            <w:pPr>
              <w:tabs>
                <w:tab w:val="left" w:pos="1890"/>
              </w:tabs>
              <w:spacing w:line="276" w:lineRule="auto"/>
              <w:jc w:val="center"/>
              <w:rPr>
                <w:rFonts w:ascii="Lato" w:hAnsi="Lato" w:cstheme="minorHAnsi"/>
                <w:color w:val="000000" w:themeColor="text1"/>
                <w:sz w:val="18"/>
                <w:szCs w:val="18"/>
              </w:rPr>
            </w:pPr>
            <w:r w:rsidRPr="006A728B">
              <w:rPr>
                <w:rFonts w:ascii="Lato" w:hAnsi="Lato" w:cstheme="minorHAnsi"/>
                <w:bCs/>
                <w:color w:val="000000" w:themeColor="text1"/>
                <w:sz w:val="18"/>
                <w:szCs w:val="18"/>
              </w:rPr>
              <w:t>0,62</w:t>
            </w:r>
          </w:p>
        </w:tc>
        <w:tc>
          <w:tcPr>
            <w:tcW w:w="708" w:type="dxa"/>
            <w:vAlign w:val="center"/>
          </w:tcPr>
          <w:p w14:paraId="4F8A35E8" w14:textId="77777777" w:rsidR="00986DE0" w:rsidRPr="006A728B" w:rsidRDefault="00986DE0" w:rsidP="003C7140">
            <w:pPr>
              <w:tabs>
                <w:tab w:val="left" w:pos="1890"/>
              </w:tabs>
              <w:spacing w:line="276" w:lineRule="auto"/>
              <w:jc w:val="center"/>
              <w:rPr>
                <w:rFonts w:ascii="Lato" w:hAnsi="Lato" w:cstheme="minorHAnsi"/>
                <w:color w:val="000000" w:themeColor="text1"/>
                <w:sz w:val="18"/>
                <w:szCs w:val="18"/>
              </w:rPr>
            </w:pPr>
            <w:r w:rsidRPr="006A728B">
              <w:rPr>
                <w:rFonts w:ascii="Lato" w:hAnsi="Lato" w:cstheme="minorHAnsi"/>
                <w:bCs/>
                <w:color w:val="000000" w:themeColor="text1"/>
                <w:sz w:val="18"/>
                <w:szCs w:val="18"/>
              </w:rPr>
              <w:t>206</w:t>
            </w:r>
          </w:p>
        </w:tc>
        <w:tc>
          <w:tcPr>
            <w:tcW w:w="709" w:type="dxa"/>
            <w:vAlign w:val="center"/>
          </w:tcPr>
          <w:p w14:paraId="0442E425" w14:textId="77777777" w:rsidR="00986DE0" w:rsidRPr="006A728B" w:rsidRDefault="00986DE0" w:rsidP="003C7140">
            <w:pPr>
              <w:tabs>
                <w:tab w:val="left" w:pos="1890"/>
              </w:tabs>
              <w:spacing w:line="276" w:lineRule="auto"/>
              <w:jc w:val="center"/>
              <w:rPr>
                <w:rFonts w:ascii="Lato" w:hAnsi="Lato" w:cstheme="minorHAnsi"/>
                <w:color w:val="000000" w:themeColor="text1"/>
                <w:sz w:val="18"/>
                <w:szCs w:val="18"/>
              </w:rPr>
            </w:pPr>
            <w:r w:rsidRPr="006A728B">
              <w:rPr>
                <w:rFonts w:ascii="Lato" w:hAnsi="Lato" w:cstheme="minorHAnsi"/>
                <w:bCs/>
                <w:color w:val="000000" w:themeColor="text1"/>
                <w:sz w:val="18"/>
                <w:szCs w:val="18"/>
              </w:rPr>
              <w:t>0,55</w:t>
            </w:r>
          </w:p>
        </w:tc>
        <w:tc>
          <w:tcPr>
            <w:tcW w:w="708" w:type="dxa"/>
            <w:vAlign w:val="center"/>
          </w:tcPr>
          <w:p w14:paraId="15371146" w14:textId="77777777" w:rsidR="00986DE0" w:rsidRPr="006A728B" w:rsidRDefault="00986DE0" w:rsidP="003C7140">
            <w:pPr>
              <w:tabs>
                <w:tab w:val="left" w:pos="851"/>
              </w:tabs>
              <w:spacing w:line="276" w:lineRule="auto"/>
              <w:jc w:val="center"/>
              <w:outlineLvl w:val="3"/>
              <w:rPr>
                <w:rFonts w:ascii="Lato" w:hAnsi="Lato" w:cstheme="minorHAnsi"/>
                <w:bCs/>
                <w:color w:val="000000" w:themeColor="text1"/>
                <w:sz w:val="18"/>
                <w:szCs w:val="18"/>
              </w:rPr>
            </w:pPr>
            <w:r w:rsidRPr="006A728B">
              <w:rPr>
                <w:rFonts w:ascii="Lato" w:hAnsi="Lato" w:cstheme="minorHAnsi"/>
                <w:color w:val="000000" w:themeColor="text1"/>
                <w:sz w:val="18"/>
                <w:szCs w:val="18"/>
              </w:rPr>
              <w:t>316</w:t>
            </w:r>
          </w:p>
        </w:tc>
        <w:tc>
          <w:tcPr>
            <w:tcW w:w="709" w:type="dxa"/>
            <w:vAlign w:val="center"/>
          </w:tcPr>
          <w:p w14:paraId="7C9E55E2" w14:textId="77777777" w:rsidR="00986DE0" w:rsidRPr="006A728B" w:rsidRDefault="00986DE0" w:rsidP="003C7140">
            <w:pPr>
              <w:tabs>
                <w:tab w:val="left" w:pos="851"/>
              </w:tabs>
              <w:spacing w:line="276" w:lineRule="auto"/>
              <w:jc w:val="center"/>
              <w:outlineLvl w:val="3"/>
              <w:rPr>
                <w:rFonts w:ascii="Lato" w:hAnsi="Lato" w:cstheme="minorHAnsi"/>
                <w:bCs/>
                <w:color w:val="000000" w:themeColor="text1"/>
                <w:sz w:val="18"/>
                <w:szCs w:val="18"/>
              </w:rPr>
            </w:pPr>
            <w:r w:rsidRPr="006A728B">
              <w:rPr>
                <w:rFonts w:ascii="Lato" w:hAnsi="Lato" w:cstheme="minorHAnsi"/>
                <w:color w:val="000000" w:themeColor="text1"/>
                <w:sz w:val="18"/>
                <w:szCs w:val="18"/>
              </w:rPr>
              <w:t>0,84</w:t>
            </w:r>
          </w:p>
        </w:tc>
        <w:tc>
          <w:tcPr>
            <w:tcW w:w="708" w:type="dxa"/>
            <w:vAlign w:val="center"/>
          </w:tcPr>
          <w:p w14:paraId="6151CCCA" w14:textId="77777777" w:rsidR="00986DE0" w:rsidRPr="006A728B" w:rsidRDefault="00986DE0" w:rsidP="003C7140">
            <w:pPr>
              <w:tabs>
                <w:tab w:val="left" w:pos="851"/>
              </w:tabs>
              <w:spacing w:line="276" w:lineRule="auto"/>
              <w:jc w:val="center"/>
              <w:outlineLvl w:val="3"/>
              <w:rPr>
                <w:rFonts w:ascii="Lato" w:hAnsi="Lato" w:cstheme="minorHAnsi"/>
                <w:b/>
                <w:color w:val="000000" w:themeColor="text1"/>
                <w:sz w:val="18"/>
                <w:szCs w:val="18"/>
              </w:rPr>
            </w:pPr>
            <w:r w:rsidRPr="006A728B">
              <w:rPr>
                <w:rFonts w:ascii="Lato" w:hAnsi="Lato" w:cstheme="minorHAnsi"/>
                <w:b/>
                <w:color w:val="000000" w:themeColor="text1"/>
                <w:sz w:val="18"/>
                <w:szCs w:val="18"/>
              </w:rPr>
              <w:t>1085</w:t>
            </w:r>
          </w:p>
        </w:tc>
        <w:tc>
          <w:tcPr>
            <w:tcW w:w="709" w:type="dxa"/>
            <w:vAlign w:val="center"/>
          </w:tcPr>
          <w:p w14:paraId="1A2A4DCF" w14:textId="77777777" w:rsidR="00986DE0" w:rsidRPr="006A728B" w:rsidRDefault="00986DE0" w:rsidP="003C7140">
            <w:pPr>
              <w:tabs>
                <w:tab w:val="left" w:pos="851"/>
              </w:tabs>
              <w:spacing w:line="276" w:lineRule="auto"/>
              <w:jc w:val="center"/>
              <w:outlineLvl w:val="3"/>
              <w:rPr>
                <w:rFonts w:ascii="Lato" w:hAnsi="Lato" w:cstheme="minorHAnsi"/>
                <w:b/>
                <w:color w:val="000000" w:themeColor="text1"/>
                <w:sz w:val="18"/>
                <w:szCs w:val="18"/>
              </w:rPr>
            </w:pPr>
            <w:r w:rsidRPr="006A728B">
              <w:rPr>
                <w:rFonts w:ascii="Lato" w:hAnsi="Lato" w:cstheme="minorHAnsi"/>
                <w:b/>
                <w:color w:val="000000" w:themeColor="text1"/>
                <w:sz w:val="18"/>
                <w:szCs w:val="18"/>
              </w:rPr>
              <w:t>2,9</w:t>
            </w:r>
          </w:p>
        </w:tc>
      </w:tr>
      <w:tr w:rsidR="00986DE0" w:rsidRPr="006A728B" w14:paraId="7D2312E1" w14:textId="77777777" w:rsidTr="003C7140">
        <w:trPr>
          <w:trHeight w:val="289"/>
          <w:jc w:val="center"/>
        </w:trPr>
        <w:tc>
          <w:tcPr>
            <w:tcW w:w="2078" w:type="dxa"/>
            <w:vAlign w:val="center"/>
          </w:tcPr>
          <w:p w14:paraId="2F73B683" w14:textId="77777777" w:rsidR="00986DE0" w:rsidRPr="006A728B" w:rsidRDefault="00986DE0" w:rsidP="003C7140">
            <w:pPr>
              <w:jc w:val="center"/>
              <w:rPr>
                <w:rFonts w:ascii="Lato" w:hAnsi="Lato" w:cstheme="minorHAnsi"/>
                <w:color w:val="000000" w:themeColor="text1"/>
                <w:sz w:val="18"/>
                <w:szCs w:val="18"/>
              </w:rPr>
            </w:pPr>
            <w:r w:rsidRPr="006A728B">
              <w:rPr>
                <w:rFonts w:ascii="Lato" w:hAnsi="Lato" w:cstheme="minorHAnsi"/>
                <w:color w:val="000000" w:themeColor="text1"/>
                <w:sz w:val="18"/>
                <w:szCs w:val="18"/>
              </w:rPr>
              <w:t>województwo</w:t>
            </w:r>
          </w:p>
          <w:p w14:paraId="052D9E01" w14:textId="77777777" w:rsidR="00986DE0" w:rsidRPr="006A728B" w:rsidRDefault="00986DE0" w:rsidP="003C7140">
            <w:pPr>
              <w:jc w:val="center"/>
              <w:rPr>
                <w:rFonts w:ascii="Lato" w:hAnsi="Lato" w:cstheme="minorHAnsi"/>
                <w:b/>
                <w:color w:val="000000" w:themeColor="text1"/>
                <w:sz w:val="18"/>
                <w:szCs w:val="18"/>
              </w:rPr>
            </w:pPr>
            <w:r w:rsidRPr="006A728B">
              <w:rPr>
                <w:rFonts w:ascii="Lato" w:hAnsi="Lato" w:cstheme="minorHAnsi"/>
                <w:color w:val="000000" w:themeColor="text1"/>
                <w:sz w:val="18"/>
                <w:szCs w:val="18"/>
              </w:rPr>
              <w:t>zachodniopomorskie</w:t>
            </w:r>
          </w:p>
        </w:tc>
        <w:tc>
          <w:tcPr>
            <w:tcW w:w="708" w:type="dxa"/>
            <w:vAlign w:val="center"/>
          </w:tcPr>
          <w:p w14:paraId="42133ABE" w14:textId="77777777" w:rsidR="00986DE0" w:rsidRPr="006A728B" w:rsidRDefault="00986DE0" w:rsidP="003C7140">
            <w:pPr>
              <w:tabs>
                <w:tab w:val="left" w:pos="1890"/>
              </w:tabs>
              <w:spacing w:line="276" w:lineRule="auto"/>
              <w:jc w:val="center"/>
              <w:rPr>
                <w:rFonts w:ascii="Lato" w:hAnsi="Lato" w:cstheme="minorHAnsi"/>
                <w:color w:val="000000" w:themeColor="text1"/>
                <w:sz w:val="18"/>
                <w:szCs w:val="18"/>
              </w:rPr>
            </w:pPr>
            <w:r w:rsidRPr="006A728B">
              <w:rPr>
                <w:rFonts w:ascii="Lato" w:hAnsi="Lato" w:cstheme="minorHAnsi"/>
                <w:bCs/>
                <w:color w:val="000000" w:themeColor="text1"/>
                <w:sz w:val="18"/>
                <w:szCs w:val="18"/>
              </w:rPr>
              <w:t>3</w:t>
            </w:r>
          </w:p>
        </w:tc>
        <w:tc>
          <w:tcPr>
            <w:tcW w:w="709" w:type="dxa"/>
            <w:vAlign w:val="center"/>
          </w:tcPr>
          <w:p w14:paraId="76C17592" w14:textId="77777777" w:rsidR="00986DE0" w:rsidRPr="006A728B" w:rsidRDefault="00986DE0" w:rsidP="003C7140">
            <w:pPr>
              <w:tabs>
                <w:tab w:val="left" w:pos="1890"/>
              </w:tabs>
              <w:spacing w:line="276" w:lineRule="auto"/>
              <w:jc w:val="center"/>
              <w:rPr>
                <w:rFonts w:ascii="Lato" w:hAnsi="Lato" w:cstheme="minorHAnsi"/>
                <w:color w:val="000000" w:themeColor="text1"/>
                <w:sz w:val="18"/>
                <w:szCs w:val="18"/>
              </w:rPr>
            </w:pPr>
            <w:r w:rsidRPr="006A728B">
              <w:rPr>
                <w:rFonts w:ascii="Lato" w:hAnsi="Lato" w:cstheme="minorHAnsi"/>
                <w:bCs/>
                <w:color w:val="000000" w:themeColor="text1"/>
                <w:sz w:val="18"/>
                <w:szCs w:val="18"/>
              </w:rPr>
              <w:t>0,18</w:t>
            </w:r>
          </w:p>
        </w:tc>
        <w:tc>
          <w:tcPr>
            <w:tcW w:w="708" w:type="dxa"/>
            <w:vAlign w:val="center"/>
          </w:tcPr>
          <w:p w14:paraId="76C8471D" w14:textId="77777777" w:rsidR="00986DE0" w:rsidRPr="006A728B" w:rsidRDefault="00986DE0" w:rsidP="003C7140">
            <w:pPr>
              <w:tabs>
                <w:tab w:val="left" w:pos="1890"/>
              </w:tabs>
              <w:spacing w:line="276" w:lineRule="auto"/>
              <w:jc w:val="center"/>
              <w:rPr>
                <w:rFonts w:ascii="Lato" w:hAnsi="Lato" w:cstheme="minorHAnsi"/>
                <w:color w:val="000000" w:themeColor="text1"/>
                <w:sz w:val="18"/>
                <w:szCs w:val="18"/>
              </w:rPr>
            </w:pPr>
            <w:r w:rsidRPr="006A728B">
              <w:rPr>
                <w:rFonts w:ascii="Lato" w:hAnsi="Lato" w:cstheme="minorHAnsi"/>
                <w:bCs/>
                <w:color w:val="000000" w:themeColor="text1"/>
                <w:sz w:val="18"/>
                <w:szCs w:val="18"/>
              </w:rPr>
              <w:t>5</w:t>
            </w:r>
          </w:p>
        </w:tc>
        <w:tc>
          <w:tcPr>
            <w:tcW w:w="709" w:type="dxa"/>
            <w:vAlign w:val="center"/>
          </w:tcPr>
          <w:p w14:paraId="7C5D2515" w14:textId="77777777" w:rsidR="00986DE0" w:rsidRPr="006A728B" w:rsidRDefault="00986DE0" w:rsidP="003C7140">
            <w:pPr>
              <w:tabs>
                <w:tab w:val="left" w:pos="1890"/>
              </w:tabs>
              <w:spacing w:line="276" w:lineRule="auto"/>
              <w:jc w:val="center"/>
              <w:rPr>
                <w:rFonts w:ascii="Lato" w:hAnsi="Lato" w:cstheme="minorHAnsi"/>
                <w:color w:val="000000" w:themeColor="text1"/>
                <w:sz w:val="18"/>
                <w:szCs w:val="18"/>
              </w:rPr>
            </w:pPr>
            <w:r w:rsidRPr="006A728B">
              <w:rPr>
                <w:rFonts w:ascii="Lato" w:hAnsi="Lato" w:cstheme="minorHAnsi"/>
                <w:bCs/>
                <w:color w:val="000000" w:themeColor="text1"/>
                <w:sz w:val="18"/>
                <w:szCs w:val="18"/>
              </w:rPr>
              <w:t>0,30</w:t>
            </w:r>
          </w:p>
        </w:tc>
        <w:tc>
          <w:tcPr>
            <w:tcW w:w="708" w:type="dxa"/>
            <w:vAlign w:val="center"/>
          </w:tcPr>
          <w:p w14:paraId="1C649915" w14:textId="77777777" w:rsidR="00986DE0" w:rsidRPr="006A728B" w:rsidRDefault="00986DE0" w:rsidP="003C7140">
            <w:pPr>
              <w:tabs>
                <w:tab w:val="left" w:pos="1890"/>
              </w:tabs>
              <w:spacing w:line="276" w:lineRule="auto"/>
              <w:jc w:val="center"/>
              <w:rPr>
                <w:rFonts w:ascii="Lato" w:hAnsi="Lato" w:cstheme="minorHAnsi"/>
                <w:color w:val="000000" w:themeColor="text1"/>
                <w:sz w:val="18"/>
                <w:szCs w:val="18"/>
              </w:rPr>
            </w:pPr>
            <w:r w:rsidRPr="006A728B">
              <w:rPr>
                <w:rFonts w:ascii="Lato" w:hAnsi="Lato" w:cstheme="minorHAnsi"/>
                <w:bCs/>
                <w:color w:val="000000" w:themeColor="text1"/>
                <w:sz w:val="18"/>
                <w:szCs w:val="18"/>
              </w:rPr>
              <w:t>9</w:t>
            </w:r>
          </w:p>
        </w:tc>
        <w:tc>
          <w:tcPr>
            <w:tcW w:w="709" w:type="dxa"/>
            <w:vAlign w:val="center"/>
          </w:tcPr>
          <w:p w14:paraId="5A51773F" w14:textId="77777777" w:rsidR="00986DE0" w:rsidRPr="006A728B" w:rsidRDefault="00986DE0" w:rsidP="003C7140">
            <w:pPr>
              <w:tabs>
                <w:tab w:val="left" w:pos="1890"/>
              </w:tabs>
              <w:spacing w:line="276" w:lineRule="auto"/>
              <w:jc w:val="center"/>
              <w:rPr>
                <w:rFonts w:ascii="Lato" w:hAnsi="Lato" w:cstheme="minorHAnsi"/>
                <w:color w:val="000000" w:themeColor="text1"/>
                <w:sz w:val="18"/>
                <w:szCs w:val="18"/>
              </w:rPr>
            </w:pPr>
            <w:r w:rsidRPr="006A728B">
              <w:rPr>
                <w:rFonts w:ascii="Lato" w:hAnsi="Lato" w:cstheme="minorHAnsi"/>
                <w:bCs/>
                <w:color w:val="000000" w:themeColor="text1"/>
                <w:sz w:val="18"/>
                <w:szCs w:val="18"/>
              </w:rPr>
              <w:t>0,55</w:t>
            </w:r>
          </w:p>
        </w:tc>
        <w:tc>
          <w:tcPr>
            <w:tcW w:w="708" w:type="dxa"/>
            <w:vAlign w:val="center"/>
          </w:tcPr>
          <w:p w14:paraId="025883B5" w14:textId="77777777" w:rsidR="00986DE0" w:rsidRPr="006A728B" w:rsidRDefault="00986DE0" w:rsidP="003C7140">
            <w:pPr>
              <w:tabs>
                <w:tab w:val="left" w:pos="851"/>
              </w:tabs>
              <w:spacing w:line="276" w:lineRule="auto"/>
              <w:jc w:val="center"/>
              <w:outlineLvl w:val="3"/>
              <w:rPr>
                <w:rFonts w:ascii="Lato" w:hAnsi="Lato" w:cstheme="minorHAnsi"/>
                <w:bCs/>
                <w:color w:val="000000" w:themeColor="text1"/>
                <w:sz w:val="18"/>
                <w:szCs w:val="18"/>
              </w:rPr>
            </w:pPr>
            <w:r w:rsidRPr="006A728B">
              <w:rPr>
                <w:rFonts w:ascii="Lato" w:hAnsi="Lato" w:cstheme="minorHAnsi"/>
                <w:color w:val="000000" w:themeColor="text1"/>
                <w:sz w:val="18"/>
                <w:szCs w:val="18"/>
              </w:rPr>
              <w:t>24</w:t>
            </w:r>
          </w:p>
        </w:tc>
        <w:tc>
          <w:tcPr>
            <w:tcW w:w="709" w:type="dxa"/>
            <w:vAlign w:val="center"/>
          </w:tcPr>
          <w:p w14:paraId="18C165BD" w14:textId="77777777" w:rsidR="00986DE0" w:rsidRPr="006A728B" w:rsidRDefault="00986DE0" w:rsidP="003C7140">
            <w:pPr>
              <w:tabs>
                <w:tab w:val="left" w:pos="851"/>
              </w:tabs>
              <w:spacing w:line="276" w:lineRule="auto"/>
              <w:jc w:val="center"/>
              <w:outlineLvl w:val="3"/>
              <w:rPr>
                <w:rFonts w:ascii="Lato" w:hAnsi="Lato" w:cstheme="minorHAnsi"/>
                <w:bCs/>
                <w:color w:val="000000" w:themeColor="text1"/>
                <w:sz w:val="18"/>
                <w:szCs w:val="18"/>
              </w:rPr>
            </w:pPr>
            <w:r w:rsidRPr="006A728B">
              <w:rPr>
                <w:rFonts w:ascii="Lato" w:hAnsi="Lato" w:cstheme="minorHAnsi"/>
                <w:color w:val="000000" w:themeColor="text1"/>
                <w:sz w:val="18"/>
                <w:szCs w:val="18"/>
              </w:rPr>
              <w:t>1,48</w:t>
            </w:r>
          </w:p>
        </w:tc>
        <w:tc>
          <w:tcPr>
            <w:tcW w:w="708" w:type="dxa"/>
            <w:vAlign w:val="center"/>
          </w:tcPr>
          <w:p w14:paraId="4E68B2DE" w14:textId="77777777" w:rsidR="00986DE0" w:rsidRPr="006A728B" w:rsidRDefault="00986DE0" w:rsidP="003C7140">
            <w:pPr>
              <w:tabs>
                <w:tab w:val="left" w:pos="851"/>
              </w:tabs>
              <w:spacing w:line="276" w:lineRule="auto"/>
              <w:jc w:val="center"/>
              <w:outlineLvl w:val="3"/>
              <w:rPr>
                <w:rFonts w:ascii="Lato" w:hAnsi="Lato" w:cstheme="minorHAnsi"/>
                <w:b/>
                <w:color w:val="000000" w:themeColor="text1"/>
                <w:sz w:val="18"/>
                <w:szCs w:val="18"/>
              </w:rPr>
            </w:pPr>
            <w:r w:rsidRPr="006A728B">
              <w:rPr>
                <w:rFonts w:ascii="Lato" w:hAnsi="Lato" w:cstheme="minorHAnsi"/>
                <w:b/>
                <w:color w:val="000000" w:themeColor="text1"/>
                <w:sz w:val="18"/>
                <w:szCs w:val="18"/>
              </w:rPr>
              <w:t>26</w:t>
            </w:r>
          </w:p>
        </w:tc>
        <w:tc>
          <w:tcPr>
            <w:tcW w:w="709" w:type="dxa"/>
            <w:vAlign w:val="center"/>
          </w:tcPr>
          <w:p w14:paraId="21A2C9C3" w14:textId="77777777" w:rsidR="00986DE0" w:rsidRPr="006A728B" w:rsidRDefault="00986DE0" w:rsidP="003C7140">
            <w:pPr>
              <w:tabs>
                <w:tab w:val="left" w:pos="851"/>
              </w:tabs>
              <w:spacing w:line="276" w:lineRule="auto"/>
              <w:jc w:val="center"/>
              <w:outlineLvl w:val="3"/>
              <w:rPr>
                <w:rFonts w:ascii="Lato" w:hAnsi="Lato" w:cstheme="minorHAnsi"/>
                <w:b/>
                <w:color w:val="000000" w:themeColor="text1"/>
                <w:sz w:val="18"/>
                <w:szCs w:val="18"/>
              </w:rPr>
            </w:pPr>
            <w:r w:rsidRPr="006A728B">
              <w:rPr>
                <w:rFonts w:ascii="Lato" w:hAnsi="Lato" w:cstheme="minorHAnsi"/>
                <w:b/>
                <w:color w:val="000000" w:themeColor="text1"/>
                <w:sz w:val="18"/>
                <w:szCs w:val="18"/>
              </w:rPr>
              <w:t>1,61</w:t>
            </w:r>
          </w:p>
        </w:tc>
      </w:tr>
    </w:tbl>
    <w:p w14:paraId="4A65EFD7" w14:textId="77777777" w:rsidR="001E187C" w:rsidRDefault="001E187C" w:rsidP="001E187C">
      <w:pPr>
        <w:tabs>
          <w:tab w:val="left" w:pos="851"/>
        </w:tabs>
        <w:spacing w:line="360" w:lineRule="auto"/>
        <w:rPr>
          <w:rFonts w:ascii="Lato" w:hAnsi="Lato" w:cstheme="minorHAnsi"/>
          <w:color w:val="000000" w:themeColor="text1"/>
          <w:sz w:val="22"/>
          <w:szCs w:val="22"/>
        </w:rPr>
      </w:pPr>
    </w:p>
    <w:p w14:paraId="45984829" w14:textId="62AE0E42" w:rsidR="00986DE0" w:rsidRPr="00EC00AF" w:rsidRDefault="00986DE0" w:rsidP="001E187C">
      <w:pPr>
        <w:tabs>
          <w:tab w:val="left" w:pos="851"/>
        </w:tabs>
        <w:spacing w:line="360" w:lineRule="auto"/>
        <w:rPr>
          <w:rFonts w:ascii="Lato" w:hAnsi="Lato" w:cstheme="minorHAnsi"/>
          <w:color w:val="000000" w:themeColor="text1"/>
          <w:sz w:val="22"/>
          <w:szCs w:val="22"/>
        </w:rPr>
      </w:pPr>
      <w:r w:rsidRPr="00EC00AF">
        <w:rPr>
          <w:rFonts w:ascii="Lato" w:hAnsi="Lato" w:cstheme="minorHAnsi"/>
          <w:color w:val="000000" w:themeColor="text1"/>
          <w:sz w:val="22"/>
          <w:szCs w:val="22"/>
        </w:rPr>
        <w:t xml:space="preserve">W działaniach zapobiegawczych bardzo ważne jest propagowanie szczepienia przeciw wirusowemu zapaleniu wątroby typu A ( cykl II dawkowy) oraz wdrażanie szczepień </w:t>
      </w:r>
      <w:proofErr w:type="spellStart"/>
      <w:r w:rsidRPr="00EC00AF">
        <w:rPr>
          <w:rFonts w:ascii="Lato" w:hAnsi="Lato" w:cstheme="minorHAnsi"/>
          <w:color w:val="000000" w:themeColor="text1"/>
          <w:sz w:val="22"/>
          <w:szCs w:val="22"/>
        </w:rPr>
        <w:t>poekspozycyjnych</w:t>
      </w:r>
      <w:proofErr w:type="spellEnd"/>
      <w:r w:rsidRPr="00EC00AF">
        <w:rPr>
          <w:rFonts w:ascii="Lato" w:hAnsi="Lato" w:cstheme="minorHAnsi"/>
          <w:color w:val="000000" w:themeColor="text1"/>
          <w:sz w:val="22"/>
          <w:szCs w:val="22"/>
        </w:rPr>
        <w:t xml:space="preserve"> wśród osób z kontaktu, zwłaszcza w ogniskach zachorowań.</w:t>
      </w:r>
    </w:p>
    <w:p w14:paraId="25C467BA" w14:textId="77777777" w:rsidR="00C92B81" w:rsidRDefault="00C92B81" w:rsidP="001E187C">
      <w:pPr>
        <w:tabs>
          <w:tab w:val="left" w:pos="851"/>
        </w:tabs>
        <w:spacing w:line="360" w:lineRule="auto"/>
        <w:rPr>
          <w:rFonts w:ascii="Lato" w:hAnsi="Lato" w:cstheme="minorHAnsi"/>
          <w:b/>
          <w:color w:val="000000" w:themeColor="text1"/>
          <w:sz w:val="22"/>
          <w:szCs w:val="22"/>
        </w:rPr>
      </w:pPr>
    </w:p>
    <w:p w14:paraId="1ED0673D" w14:textId="77777777" w:rsidR="00F45A42" w:rsidRDefault="00F45A42" w:rsidP="001E187C">
      <w:pPr>
        <w:tabs>
          <w:tab w:val="left" w:pos="851"/>
        </w:tabs>
        <w:spacing w:line="360" w:lineRule="auto"/>
        <w:rPr>
          <w:rFonts w:ascii="Lato" w:hAnsi="Lato" w:cstheme="minorHAnsi"/>
          <w:b/>
          <w:color w:val="000000" w:themeColor="text1"/>
          <w:sz w:val="22"/>
          <w:szCs w:val="22"/>
        </w:rPr>
      </w:pPr>
    </w:p>
    <w:p w14:paraId="7E1521A3" w14:textId="5D9E8796" w:rsidR="00986DE0" w:rsidRPr="003818A5" w:rsidRDefault="00986DE0" w:rsidP="001E187C">
      <w:pPr>
        <w:tabs>
          <w:tab w:val="left" w:pos="851"/>
        </w:tabs>
        <w:spacing w:line="360" w:lineRule="auto"/>
        <w:rPr>
          <w:rFonts w:ascii="Lato" w:hAnsi="Lato" w:cstheme="minorHAnsi"/>
          <w:bCs/>
          <w:color w:val="000000" w:themeColor="text1"/>
          <w:sz w:val="22"/>
          <w:szCs w:val="22"/>
          <w:u w:val="single"/>
        </w:rPr>
      </w:pPr>
      <w:r w:rsidRPr="003818A5">
        <w:rPr>
          <w:rFonts w:ascii="Lato" w:hAnsi="Lato" w:cstheme="minorHAnsi"/>
          <w:bCs/>
          <w:color w:val="000000" w:themeColor="text1"/>
          <w:sz w:val="22"/>
          <w:szCs w:val="22"/>
          <w:u w:val="single"/>
        </w:rPr>
        <w:t>Wirusowe zapalenie wątroby typu B</w:t>
      </w:r>
    </w:p>
    <w:p w14:paraId="25F6DC15" w14:textId="6E1975CB" w:rsidR="001E187C" w:rsidRPr="005170BB" w:rsidRDefault="00986DE0" w:rsidP="001E187C">
      <w:pPr>
        <w:tabs>
          <w:tab w:val="left" w:pos="851"/>
        </w:tabs>
        <w:spacing w:line="360" w:lineRule="auto"/>
        <w:rPr>
          <w:rFonts w:ascii="Lato" w:hAnsi="Lato" w:cstheme="minorHAnsi"/>
          <w:color w:val="000000" w:themeColor="text1"/>
          <w:sz w:val="22"/>
          <w:szCs w:val="22"/>
        </w:rPr>
      </w:pPr>
      <w:r w:rsidRPr="005170BB">
        <w:rPr>
          <w:rFonts w:ascii="Lato" w:hAnsi="Lato" w:cstheme="minorHAnsi"/>
          <w:color w:val="000000" w:themeColor="text1"/>
          <w:sz w:val="22"/>
          <w:szCs w:val="22"/>
        </w:rPr>
        <w:t>W 2025 r. w woj. zachodniopomorskim sytuacja epidemiologiczna była lepsza niż w Polsce, choć odnotowano nieznaczny wzrost liczby zachorowań na wirusowe zapalenie wątroby typu B.</w:t>
      </w:r>
    </w:p>
    <w:p w14:paraId="3998A212" w14:textId="3B167E3D" w:rsidR="00986DE0" w:rsidRPr="00512B3C" w:rsidRDefault="00512B3C" w:rsidP="00512B3C">
      <w:pPr>
        <w:pStyle w:val="Legenda"/>
        <w:rPr>
          <w:rFonts w:ascii="Lato" w:hAnsi="Lato"/>
          <w:b w:val="0"/>
          <w:bCs w:val="0"/>
          <w:i/>
          <w:iCs/>
          <w:color w:val="000000" w:themeColor="text1"/>
          <w:sz w:val="18"/>
          <w:szCs w:val="18"/>
        </w:rPr>
      </w:pPr>
      <w:bookmarkStart w:id="14" w:name="_Toc225859360"/>
      <w:r w:rsidRPr="00512B3C">
        <w:rPr>
          <w:rFonts w:ascii="Lato" w:hAnsi="Lato"/>
          <w:b w:val="0"/>
          <w:bCs w:val="0"/>
          <w:sz w:val="18"/>
          <w:szCs w:val="18"/>
        </w:rPr>
        <w:t xml:space="preserve">Tabela </w:t>
      </w:r>
      <w:r w:rsidRPr="00512B3C">
        <w:rPr>
          <w:rFonts w:ascii="Lato" w:hAnsi="Lato"/>
          <w:b w:val="0"/>
          <w:bCs w:val="0"/>
          <w:sz w:val="18"/>
          <w:szCs w:val="18"/>
        </w:rPr>
        <w:fldChar w:fldCharType="begin"/>
      </w:r>
      <w:r w:rsidRPr="00512B3C">
        <w:rPr>
          <w:rFonts w:ascii="Lato" w:hAnsi="Lato"/>
          <w:b w:val="0"/>
          <w:bCs w:val="0"/>
          <w:sz w:val="18"/>
          <w:szCs w:val="18"/>
        </w:rPr>
        <w:instrText xml:space="preserve"> SEQ Tabela \* ARABIC </w:instrText>
      </w:r>
      <w:r w:rsidRPr="00512B3C">
        <w:rPr>
          <w:rFonts w:ascii="Lato" w:hAnsi="Lato"/>
          <w:b w:val="0"/>
          <w:bCs w:val="0"/>
          <w:sz w:val="18"/>
          <w:szCs w:val="18"/>
        </w:rPr>
        <w:fldChar w:fldCharType="separate"/>
      </w:r>
      <w:r w:rsidR="002A3179">
        <w:rPr>
          <w:rFonts w:ascii="Lato" w:hAnsi="Lato"/>
          <w:b w:val="0"/>
          <w:bCs w:val="0"/>
          <w:noProof/>
          <w:sz w:val="18"/>
          <w:szCs w:val="18"/>
        </w:rPr>
        <w:t>4</w:t>
      </w:r>
      <w:r w:rsidRPr="00512B3C">
        <w:rPr>
          <w:rFonts w:ascii="Lato" w:hAnsi="Lato"/>
          <w:b w:val="0"/>
          <w:bCs w:val="0"/>
          <w:sz w:val="18"/>
          <w:szCs w:val="18"/>
        </w:rPr>
        <w:fldChar w:fldCharType="end"/>
      </w:r>
      <w:r w:rsidRPr="00512B3C">
        <w:rPr>
          <w:rFonts w:ascii="Lato" w:hAnsi="Lato"/>
          <w:b w:val="0"/>
          <w:bCs w:val="0"/>
          <w:sz w:val="18"/>
          <w:szCs w:val="18"/>
        </w:rPr>
        <w:t>. Liczba zachorowań i współczynnik zapadalności na wirusowe zapalenie wątroby typu B w latach 2021-2025 w Polsce i woj. zachodniopomorskim.</w:t>
      </w:r>
      <w:bookmarkEnd w:id="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Liczba zachorowań i współczynnik zapadalności na wirusowe zapalenie wątroby typu B w latach 2021-2025 w Polsce i woj. zachodniopomorskim"/>
        <w:tblDescription w:val="Tabela przedstawi adane dotyczące liczby zachorowań na wirusowe zapalenie wątroby typu B w latach 2021-20258. W województwie zachodniopomroskim oraz na terenie całego kraju liczba zachorowań na WZW typu B znajduje się na zbliżonym poziomie w prównaniu do lat poprzednich."/>
      </w:tblPr>
      <w:tblGrid>
        <w:gridCol w:w="2447"/>
        <w:gridCol w:w="661"/>
        <w:gridCol w:w="661"/>
        <w:gridCol w:w="661"/>
        <w:gridCol w:w="662"/>
        <w:gridCol w:w="661"/>
        <w:gridCol w:w="661"/>
        <w:gridCol w:w="662"/>
        <w:gridCol w:w="661"/>
        <w:gridCol w:w="661"/>
        <w:gridCol w:w="662"/>
      </w:tblGrid>
      <w:tr w:rsidR="00986DE0" w:rsidRPr="00E615FE" w14:paraId="34E7E4EA" w14:textId="77777777" w:rsidTr="00130F95">
        <w:trPr>
          <w:cantSplit/>
          <w:trHeight w:val="211"/>
          <w:jc w:val="center"/>
        </w:trPr>
        <w:tc>
          <w:tcPr>
            <w:tcW w:w="2449" w:type="dxa"/>
            <w:vMerge w:val="restart"/>
            <w:shd w:val="clear" w:color="auto" w:fill="D9D9D9" w:themeFill="background1" w:themeFillShade="D9"/>
            <w:vAlign w:val="center"/>
          </w:tcPr>
          <w:p w14:paraId="2F8E4F3A" w14:textId="77777777" w:rsidR="00986DE0" w:rsidRPr="003300D7" w:rsidRDefault="00986DE0" w:rsidP="003C7140">
            <w:pPr>
              <w:tabs>
                <w:tab w:val="left" w:pos="1890"/>
              </w:tabs>
              <w:spacing w:line="276" w:lineRule="auto"/>
              <w:contextualSpacing/>
              <w:jc w:val="center"/>
              <w:rPr>
                <w:rFonts w:ascii="Lato" w:hAnsi="Lato" w:cstheme="minorHAnsi"/>
                <w:color w:val="000000" w:themeColor="text1"/>
                <w:sz w:val="18"/>
                <w:szCs w:val="18"/>
              </w:rPr>
            </w:pPr>
          </w:p>
        </w:tc>
        <w:tc>
          <w:tcPr>
            <w:tcW w:w="1322" w:type="dxa"/>
            <w:gridSpan w:val="2"/>
            <w:shd w:val="clear" w:color="auto" w:fill="D9D9D9" w:themeFill="background1" w:themeFillShade="D9"/>
            <w:vAlign w:val="center"/>
          </w:tcPr>
          <w:p w14:paraId="018230E0" w14:textId="77777777" w:rsidR="00986DE0" w:rsidRPr="003300D7" w:rsidRDefault="00986DE0" w:rsidP="003C7140">
            <w:pPr>
              <w:tabs>
                <w:tab w:val="left" w:pos="1890"/>
              </w:tabs>
              <w:spacing w:line="276" w:lineRule="auto"/>
              <w:contextualSpacing/>
              <w:jc w:val="center"/>
              <w:rPr>
                <w:rFonts w:ascii="Lato" w:hAnsi="Lato" w:cstheme="minorHAnsi"/>
                <w:color w:val="000000" w:themeColor="text1"/>
                <w:sz w:val="18"/>
                <w:szCs w:val="18"/>
              </w:rPr>
            </w:pPr>
            <w:r w:rsidRPr="003300D7">
              <w:rPr>
                <w:rFonts w:ascii="Lato" w:hAnsi="Lato" w:cstheme="minorHAnsi"/>
                <w:bCs/>
                <w:color w:val="000000" w:themeColor="text1"/>
                <w:sz w:val="18"/>
                <w:szCs w:val="18"/>
              </w:rPr>
              <w:t>2021 r.</w:t>
            </w:r>
          </w:p>
        </w:tc>
        <w:tc>
          <w:tcPr>
            <w:tcW w:w="1323" w:type="dxa"/>
            <w:gridSpan w:val="2"/>
            <w:shd w:val="clear" w:color="auto" w:fill="D9D9D9" w:themeFill="background1" w:themeFillShade="D9"/>
            <w:vAlign w:val="center"/>
          </w:tcPr>
          <w:p w14:paraId="7A99BBD1" w14:textId="77777777" w:rsidR="00986DE0" w:rsidRPr="003300D7" w:rsidRDefault="00986DE0" w:rsidP="003C7140">
            <w:pPr>
              <w:tabs>
                <w:tab w:val="left" w:pos="1890"/>
              </w:tabs>
              <w:spacing w:line="276" w:lineRule="auto"/>
              <w:contextualSpacing/>
              <w:jc w:val="center"/>
              <w:rPr>
                <w:rFonts w:ascii="Lato" w:hAnsi="Lato" w:cstheme="minorHAnsi"/>
                <w:color w:val="000000" w:themeColor="text1"/>
                <w:sz w:val="18"/>
                <w:szCs w:val="18"/>
              </w:rPr>
            </w:pPr>
            <w:r w:rsidRPr="003300D7">
              <w:rPr>
                <w:rFonts w:ascii="Lato" w:hAnsi="Lato" w:cstheme="minorHAnsi"/>
                <w:bCs/>
                <w:color w:val="000000" w:themeColor="text1"/>
                <w:sz w:val="18"/>
                <w:szCs w:val="18"/>
              </w:rPr>
              <w:t>2022 r.</w:t>
            </w:r>
          </w:p>
        </w:tc>
        <w:tc>
          <w:tcPr>
            <w:tcW w:w="1322" w:type="dxa"/>
            <w:gridSpan w:val="2"/>
            <w:shd w:val="clear" w:color="auto" w:fill="D9D9D9" w:themeFill="background1" w:themeFillShade="D9"/>
            <w:vAlign w:val="center"/>
          </w:tcPr>
          <w:p w14:paraId="76C734D7" w14:textId="77777777" w:rsidR="00986DE0" w:rsidRPr="003300D7" w:rsidRDefault="00986DE0" w:rsidP="003C7140">
            <w:pPr>
              <w:tabs>
                <w:tab w:val="left" w:pos="1890"/>
              </w:tabs>
              <w:spacing w:line="276" w:lineRule="auto"/>
              <w:contextualSpacing/>
              <w:jc w:val="center"/>
              <w:rPr>
                <w:rFonts w:ascii="Lato" w:hAnsi="Lato" w:cstheme="minorHAnsi"/>
                <w:color w:val="000000" w:themeColor="text1"/>
                <w:sz w:val="18"/>
                <w:szCs w:val="18"/>
              </w:rPr>
            </w:pPr>
            <w:r w:rsidRPr="003300D7">
              <w:rPr>
                <w:rFonts w:ascii="Lato" w:hAnsi="Lato" w:cstheme="minorHAnsi"/>
                <w:bCs/>
                <w:color w:val="000000" w:themeColor="text1"/>
                <w:sz w:val="18"/>
                <w:szCs w:val="18"/>
              </w:rPr>
              <w:t>2023 r.</w:t>
            </w:r>
          </w:p>
        </w:tc>
        <w:tc>
          <w:tcPr>
            <w:tcW w:w="1323" w:type="dxa"/>
            <w:gridSpan w:val="2"/>
            <w:shd w:val="clear" w:color="auto" w:fill="D9D9D9" w:themeFill="background1" w:themeFillShade="D9"/>
            <w:vAlign w:val="center"/>
          </w:tcPr>
          <w:p w14:paraId="5343017C" w14:textId="77777777" w:rsidR="00986DE0" w:rsidRPr="003300D7" w:rsidRDefault="00986DE0" w:rsidP="003C7140">
            <w:pPr>
              <w:tabs>
                <w:tab w:val="left" w:pos="1890"/>
              </w:tabs>
              <w:spacing w:line="276" w:lineRule="auto"/>
              <w:contextualSpacing/>
              <w:jc w:val="center"/>
              <w:rPr>
                <w:rFonts w:ascii="Lato" w:hAnsi="Lato" w:cstheme="minorHAnsi"/>
                <w:bCs/>
                <w:color w:val="000000" w:themeColor="text1"/>
                <w:sz w:val="18"/>
                <w:szCs w:val="18"/>
              </w:rPr>
            </w:pPr>
            <w:r w:rsidRPr="003300D7">
              <w:rPr>
                <w:rFonts w:ascii="Lato" w:hAnsi="Lato" w:cstheme="minorHAnsi"/>
                <w:bCs/>
                <w:color w:val="000000" w:themeColor="text1"/>
                <w:sz w:val="18"/>
                <w:szCs w:val="18"/>
              </w:rPr>
              <w:t>2024 r.</w:t>
            </w:r>
          </w:p>
        </w:tc>
        <w:tc>
          <w:tcPr>
            <w:tcW w:w="1323" w:type="dxa"/>
            <w:gridSpan w:val="2"/>
            <w:shd w:val="clear" w:color="auto" w:fill="D9D9D9" w:themeFill="background1" w:themeFillShade="D9"/>
            <w:vAlign w:val="center"/>
          </w:tcPr>
          <w:p w14:paraId="4C9CC2BF" w14:textId="77777777" w:rsidR="00986DE0" w:rsidRPr="003300D7" w:rsidRDefault="00986DE0" w:rsidP="003C7140">
            <w:pPr>
              <w:tabs>
                <w:tab w:val="left" w:pos="1890"/>
              </w:tabs>
              <w:spacing w:line="276" w:lineRule="auto"/>
              <w:contextualSpacing/>
              <w:jc w:val="center"/>
              <w:rPr>
                <w:rFonts w:ascii="Lato" w:hAnsi="Lato" w:cstheme="minorHAnsi"/>
                <w:b/>
                <w:color w:val="000000" w:themeColor="text1"/>
                <w:sz w:val="18"/>
                <w:szCs w:val="18"/>
              </w:rPr>
            </w:pPr>
            <w:r w:rsidRPr="003300D7">
              <w:rPr>
                <w:rFonts w:ascii="Lato" w:hAnsi="Lato" w:cstheme="minorHAnsi"/>
                <w:b/>
                <w:color w:val="000000" w:themeColor="text1"/>
                <w:sz w:val="18"/>
                <w:szCs w:val="18"/>
              </w:rPr>
              <w:t>2025 r.</w:t>
            </w:r>
          </w:p>
        </w:tc>
      </w:tr>
      <w:tr w:rsidR="00986DE0" w:rsidRPr="00E615FE" w14:paraId="2DD7C77B" w14:textId="77777777" w:rsidTr="00130F95">
        <w:trPr>
          <w:cantSplit/>
          <w:trHeight w:val="1321"/>
          <w:jc w:val="center"/>
        </w:trPr>
        <w:tc>
          <w:tcPr>
            <w:tcW w:w="2449" w:type="dxa"/>
            <w:vMerge/>
            <w:shd w:val="clear" w:color="auto" w:fill="D9D9D9" w:themeFill="background1" w:themeFillShade="D9"/>
            <w:vAlign w:val="center"/>
          </w:tcPr>
          <w:p w14:paraId="3F45C272" w14:textId="77777777" w:rsidR="00986DE0" w:rsidRPr="003300D7" w:rsidRDefault="00986DE0" w:rsidP="003C7140">
            <w:pPr>
              <w:tabs>
                <w:tab w:val="left" w:pos="1890"/>
              </w:tabs>
              <w:spacing w:line="276" w:lineRule="auto"/>
              <w:ind w:left="113" w:right="113"/>
              <w:contextualSpacing/>
              <w:jc w:val="center"/>
              <w:rPr>
                <w:rFonts w:ascii="Lato" w:hAnsi="Lato" w:cstheme="minorHAnsi"/>
                <w:color w:val="000000" w:themeColor="text1"/>
                <w:sz w:val="18"/>
                <w:szCs w:val="18"/>
              </w:rPr>
            </w:pPr>
          </w:p>
        </w:tc>
        <w:tc>
          <w:tcPr>
            <w:tcW w:w="661" w:type="dxa"/>
            <w:shd w:val="clear" w:color="auto" w:fill="D9D9D9" w:themeFill="background1" w:themeFillShade="D9"/>
            <w:textDirection w:val="btLr"/>
            <w:vAlign w:val="center"/>
          </w:tcPr>
          <w:p w14:paraId="7241564B" w14:textId="77777777" w:rsidR="00986DE0" w:rsidRPr="003300D7" w:rsidRDefault="00986DE0" w:rsidP="003C7140">
            <w:pPr>
              <w:tabs>
                <w:tab w:val="left" w:pos="1890"/>
              </w:tabs>
              <w:ind w:left="113" w:right="113"/>
              <w:contextualSpacing/>
              <w:jc w:val="center"/>
              <w:rPr>
                <w:rFonts w:ascii="Lato" w:hAnsi="Lato" w:cstheme="minorHAnsi"/>
                <w:color w:val="000000" w:themeColor="text1"/>
                <w:spacing w:val="-10"/>
                <w:sz w:val="18"/>
                <w:szCs w:val="18"/>
              </w:rPr>
            </w:pPr>
            <w:r w:rsidRPr="003300D7">
              <w:rPr>
                <w:rFonts w:ascii="Lato" w:hAnsi="Lato" w:cstheme="minorHAnsi"/>
                <w:color w:val="000000" w:themeColor="text1"/>
                <w:spacing w:val="-10"/>
                <w:sz w:val="18"/>
                <w:szCs w:val="18"/>
              </w:rPr>
              <w:t>zachorowania</w:t>
            </w:r>
          </w:p>
        </w:tc>
        <w:tc>
          <w:tcPr>
            <w:tcW w:w="661" w:type="dxa"/>
            <w:shd w:val="clear" w:color="auto" w:fill="D9D9D9" w:themeFill="background1" w:themeFillShade="D9"/>
            <w:textDirection w:val="btLr"/>
            <w:vAlign w:val="center"/>
          </w:tcPr>
          <w:p w14:paraId="4F987501" w14:textId="77777777" w:rsidR="00986DE0" w:rsidRPr="003300D7" w:rsidRDefault="00986DE0" w:rsidP="003C7140">
            <w:pPr>
              <w:tabs>
                <w:tab w:val="left" w:pos="1890"/>
              </w:tabs>
              <w:ind w:left="113" w:right="113"/>
              <w:contextualSpacing/>
              <w:jc w:val="center"/>
              <w:rPr>
                <w:rFonts w:ascii="Lato" w:hAnsi="Lato" w:cstheme="minorHAnsi"/>
                <w:color w:val="000000" w:themeColor="text1"/>
                <w:sz w:val="18"/>
                <w:szCs w:val="18"/>
              </w:rPr>
            </w:pPr>
            <w:r w:rsidRPr="003300D7">
              <w:rPr>
                <w:rFonts w:ascii="Lato" w:hAnsi="Lato" w:cstheme="minorHAnsi"/>
                <w:color w:val="000000" w:themeColor="text1"/>
                <w:sz w:val="18"/>
                <w:szCs w:val="18"/>
              </w:rPr>
              <w:t>zapadalność na 100 tys.</w:t>
            </w:r>
          </w:p>
        </w:tc>
        <w:tc>
          <w:tcPr>
            <w:tcW w:w="661" w:type="dxa"/>
            <w:shd w:val="clear" w:color="auto" w:fill="D9D9D9" w:themeFill="background1" w:themeFillShade="D9"/>
            <w:textDirection w:val="btLr"/>
            <w:vAlign w:val="center"/>
          </w:tcPr>
          <w:p w14:paraId="26CD87A6" w14:textId="77777777" w:rsidR="00986DE0" w:rsidRPr="003300D7" w:rsidRDefault="00986DE0" w:rsidP="003C7140">
            <w:pPr>
              <w:tabs>
                <w:tab w:val="left" w:pos="1890"/>
              </w:tabs>
              <w:ind w:left="113" w:right="113"/>
              <w:contextualSpacing/>
              <w:jc w:val="center"/>
              <w:rPr>
                <w:rFonts w:ascii="Lato" w:hAnsi="Lato" w:cstheme="minorHAnsi"/>
                <w:color w:val="000000" w:themeColor="text1"/>
                <w:spacing w:val="-10"/>
                <w:sz w:val="18"/>
                <w:szCs w:val="18"/>
              </w:rPr>
            </w:pPr>
            <w:r w:rsidRPr="003300D7">
              <w:rPr>
                <w:rFonts w:ascii="Lato" w:hAnsi="Lato" w:cstheme="minorHAnsi"/>
                <w:color w:val="000000" w:themeColor="text1"/>
                <w:spacing w:val="-10"/>
                <w:sz w:val="18"/>
                <w:szCs w:val="18"/>
              </w:rPr>
              <w:t>zachorowania</w:t>
            </w:r>
          </w:p>
        </w:tc>
        <w:tc>
          <w:tcPr>
            <w:tcW w:w="662" w:type="dxa"/>
            <w:shd w:val="clear" w:color="auto" w:fill="D9D9D9" w:themeFill="background1" w:themeFillShade="D9"/>
            <w:textDirection w:val="btLr"/>
            <w:vAlign w:val="center"/>
          </w:tcPr>
          <w:p w14:paraId="35D9AE71" w14:textId="77777777" w:rsidR="00986DE0" w:rsidRPr="003300D7" w:rsidRDefault="00986DE0" w:rsidP="003C7140">
            <w:pPr>
              <w:tabs>
                <w:tab w:val="left" w:pos="1890"/>
              </w:tabs>
              <w:ind w:left="113" w:right="113"/>
              <w:contextualSpacing/>
              <w:jc w:val="center"/>
              <w:rPr>
                <w:rFonts w:ascii="Lato" w:hAnsi="Lato" w:cstheme="minorHAnsi"/>
                <w:color w:val="000000" w:themeColor="text1"/>
                <w:sz w:val="18"/>
                <w:szCs w:val="18"/>
              </w:rPr>
            </w:pPr>
            <w:r w:rsidRPr="003300D7">
              <w:rPr>
                <w:rFonts w:ascii="Lato" w:hAnsi="Lato" w:cstheme="minorHAnsi"/>
                <w:color w:val="000000" w:themeColor="text1"/>
                <w:sz w:val="18"/>
                <w:szCs w:val="18"/>
              </w:rPr>
              <w:t>zapadalność na 100 tys.</w:t>
            </w:r>
          </w:p>
        </w:tc>
        <w:tc>
          <w:tcPr>
            <w:tcW w:w="661" w:type="dxa"/>
            <w:shd w:val="clear" w:color="auto" w:fill="D9D9D9" w:themeFill="background1" w:themeFillShade="D9"/>
            <w:textDirection w:val="btLr"/>
            <w:vAlign w:val="center"/>
          </w:tcPr>
          <w:p w14:paraId="7B05F54C" w14:textId="77777777" w:rsidR="00986DE0" w:rsidRPr="003300D7" w:rsidRDefault="00986DE0" w:rsidP="003C7140">
            <w:pPr>
              <w:tabs>
                <w:tab w:val="left" w:pos="1890"/>
              </w:tabs>
              <w:ind w:left="113" w:right="113"/>
              <w:contextualSpacing/>
              <w:jc w:val="center"/>
              <w:rPr>
                <w:rFonts w:ascii="Lato" w:hAnsi="Lato" w:cstheme="minorHAnsi"/>
                <w:color w:val="000000" w:themeColor="text1"/>
                <w:spacing w:val="-10"/>
                <w:sz w:val="18"/>
                <w:szCs w:val="18"/>
              </w:rPr>
            </w:pPr>
            <w:r w:rsidRPr="003300D7">
              <w:rPr>
                <w:rFonts w:ascii="Lato" w:hAnsi="Lato" w:cstheme="minorHAnsi"/>
                <w:color w:val="000000" w:themeColor="text1"/>
                <w:spacing w:val="-10"/>
                <w:sz w:val="18"/>
                <w:szCs w:val="18"/>
              </w:rPr>
              <w:t>zachorowania</w:t>
            </w:r>
          </w:p>
        </w:tc>
        <w:tc>
          <w:tcPr>
            <w:tcW w:w="661" w:type="dxa"/>
            <w:shd w:val="clear" w:color="auto" w:fill="D9D9D9" w:themeFill="background1" w:themeFillShade="D9"/>
            <w:textDirection w:val="btLr"/>
            <w:vAlign w:val="center"/>
          </w:tcPr>
          <w:p w14:paraId="2EA0530E" w14:textId="77777777" w:rsidR="00986DE0" w:rsidRPr="003300D7" w:rsidRDefault="00986DE0" w:rsidP="003C7140">
            <w:pPr>
              <w:tabs>
                <w:tab w:val="left" w:pos="1890"/>
              </w:tabs>
              <w:ind w:left="113" w:right="113"/>
              <w:contextualSpacing/>
              <w:jc w:val="center"/>
              <w:rPr>
                <w:rFonts w:ascii="Lato" w:hAnsi="Lato" w:cstheme="minorHAnsi"/>
                <w:color w:val="000000" w:themeColor="text1"/>
                <w:sz w:val="18"/>
                <w:szCs w:val="18"/>
              </w:rPr>
            </w:pPr>
            <w:r w:rsidRPr="003300D7">
              <w:rPr>
                <w:rFonts w:ascii="Lato" w:hAnsi="Lato" w:cstheme="minorHAnsi"/>
                <w:color w:val="000000" w:themeColor="text1"/>
                <w:sz w:val="18"/>
                <w:szCs w:val="18"/>
              </w:rPr>
              <w:t>zapadalność na 100 tys.</w:t>
            </w:r>
          </w:p>
        </w:tc>
        <w:tc>
          <w:tcPr>
            <w:tcW w:w="662" w:type="dxa"/>
            <w:shd w:val="clear" w:color="auto" w:fill="D9D9D9" w:themeFill="background1" w:themeFillShade="D9"/>
            <w:textDirection w:val="btLr"/>
            <w:vAlign w:val="center"/>
          </w:tcPr>
          <w:p w14:paraId="579F1009" w14:textId="77777777" w:rsidR="00986DE0" w:rsidRPr="003300D7" w:rsidRDefault="00986DE0" w:rsidP="003C7140">
            <w:pPr>
              <w:tabs>
                <w:tab w:val="left" w:pos="1890"/>
              </w:tabs>
              <w:ind w:left="113" w:right="113"/>
              <w:contextualSpacing/>
              <w:jc w:val="center"/>
              <w:rPr>
                <w:rFonts w:ascii="Lato" w:hAnsi="Lato" w:cstheme="minorHAnsi"/>
                <w:bCs/>
                <w:color w:val="000000" w:themeColor="text1"/>
                <w:spacing w:val="-10"/>
                <w:sz w:val="18"/>
                <w:szCs w:val="18"/>
              </w:rPr>
            </w:pPr>
            <w:r w:rsidRPr="003300D7">
              <w:rPr>
                <w:rFonts w:ascii="Lato" w:hAnsi="Lato" w:cstheme="minorHAnsi"/>
                <w:bCs/>
                <w:color w:val="000000" w:themeColor="text1"/>
                <w:spacing w:val="-10"/>
                <w:sz w:val="18"/>
                <w:szCs w:val="18"/>
              </w:rPr>
              <w:t>zachorowania</w:t>
            </w:r>
          </w:p>
        </w:tc>
        <w:tc>
          <w:tcPr>
            <w:tcW w:w="661" w:type="dxa"/>
            <w:shd w:val="clear" w:color="auto" w:fill="D9D9D9" w:themeFill="background1" w:themeFillShade="D9"/>
            <w:textDirection w:val="btLr"/>
            <w:vAlign w:val="center"/>
          </w:tcPr>
          <w:p w14:paraId="0C36FBD8" w14:textId="77777777" w:rsidR="00986DE0" w:rsidRPr="003300D7" w:rsidRDefault="00986DE0" w:rsidP="003C7140">
            <w:pPr>
              <w:tabs>
                <w:tab w:val="left" w:pos="1890"/>
              </w:tabs>
              <w:ind w:left="113" w:right="113"/>
              <w:contextualSpacing/>
              <w:jc w:val="center"/>
              <w:rPr>
                <w:rFonts w:ascii="Lato" w:hAnsi="Lato" w:cstheme="minorHAnsi"/>
                <w:bCs/>
                <w:color w:val="000000" w:themeColor="text1"/>
                <w:sz w:val="18"/>
                <w:szCs w:val="18"/>
              </w:rPr>
            </w:pPr>
            <w:r w:rsidRPr="003300D7">
              <w:rPr>
                <w:rFonts w:ascii="Lato" w:hAnsi="Lato" w:cstheme="minorHAnsi"/>
                <w:bCs/>
                <w:color w:val="000000" w:themeColor="text1"/>
                <w:sz w:val="18"/>
                <w:szCs w:val="18"/>
              </w:rPr>
              <w:t>zapadalność na 100 tys.</w:t>
            </w:r>
          </w:p>
        </w:tc>
        <w:tc>
          <w:tcPr>
            <w:tcW w:w="661" w:type="dxa"/>
            <w:shd w:val="clear" w:color="auto" w:fill="D9D9D9" w:themeFill="background1" w:themeFillShade="D9"/>
            <w:textDirection w:val="btLr"/>
            <w:vAlign w:val="center"/>
          </w:tcPr>
          <w:p w14:paraId="34684764" w14:textId="77777777" w:rsidR="00986DE0" w:rsidRPr="003300D7" w:rsidRDefault="00986DE0" w:rsidP="003C7140">
            <w:pPr>
              <w:tabs>
                <w:tab w:val="left" w:pos="1890"/>
              </w:tabs>
              <w:ind w:left="113" w:right="113"/>
              <w:contextualSpacing/>
              <w:jc w:val="center"/>
              <w:rPr>
                <w:rFonts w:ascii="Lato" w:hAnsi="Lato" w:cstheme="minorHAnsi"/>
                <w:b/>
                <w:color w:val="000000" w:themeColor="text1"/>
                <w:spacing w:val="-10"/>
                <w:sz w:val="18"/>
                <w:szCs w:val="18"/>
              </w:rPr>
            </w:pPr>
            <w:r w:rsidRPr="003300D7">
              <w:rPr>
                <w:rFonts w:ascii="Lato" w:hAnsi="Lato" w:cstheme="minorHAnsi"/>
                <w:b/>
                <w:color w:val="000000" w:themeColor="text1"/>
                <w:spacing w:val="-10"/>
                <w:sz w:val="18"/>
                <w:szCs w:val="18"/>
              </w:rPr>
              <w:t>zachorowania</w:t>
            </w:r>
          </w:p>
        </w:tc>
        <w:tc>
          <w:tcPr>
            <w:tcW w:w="662" w:type="dxa"/>
            <w:shd w:val="clear" w:color="auto" w:fill="D9D9D9" w:themeFill="background1" w:themeFillShade="D9"/>
            <w:textDirection w:val="btLr"/>
            <w:vAlign w:val="center"/>
          </w:tcPr>
          <w:p w14:paraId="1F878A77" w14:textId="77777777" w:rsidR="00986DE0" w:rsidRPr="003300D7" w:rsidRDefault="00986DE0" w:rsidP="003C7140">
            <w:pPr>
              <w:tabs>
                <w:tab w:val="left" w:pos="1890"/>
              </w:tabs>
              <w:ind w:left="113" w:right="113"/>
              <w:contextualSpacing/>
              <w:jc w:val="center"/>
              <w:rPr>
                <w:rFonts w:ascii="Lato" w:hAnsi="Lato" w:cstheme="minorHAnsi"/>
                <w:b/>
                <w:color w:val="000000" w:themeColor="text1"/>
                <w:sz w:val="18"/>
                <w:szCs w:val="18"/>
              </w:rPr>
            </w:pPr>
            <w:r w:rsidRPr="003300D7">
              <w:rPr>
                <w:rFonts w:ascii="Lato" w:hAnsi="Lato" w:cstheme="minorHAnsi"/>
                <w:b/>
                <w:color w:val="000000" w:themeColor="text1"/>
                <w:sz w:val="18"/>
                <w:szCs w:val="18"/>
              </w:rPr>
              <w:t>zapadalność na 100 tys.</w:t>
            </w:r>
          </w:p>
        </w:tc>
      </w:tr>
      <w:tr w:rsidR="00986DE0" w:rsidRPr="00E615FE" w14:paraId="5A7E5E92" w14:textId="77777777" w:rsidTr="003C7140">
        <w:trPr>
          <w:trHeight w:val="319"/>
          <w:jc w:val="center"/>
        </w:trPr>
        <w:tc>
          <w:tcPr>
            <w:tcW w:w="2449" w:type="dxa"/>
            <w:vAlign w:val="center"/>
          </w:tcPr>
          <w:p w14:paraId="4A0C81C4" w14:textId="77777777" w:rsidR="00986DE0" w:rsidRPr="003300D7" w:rsidRDefault="00986DE0" w:rsidP="003C7140">
            <w:pPr>
              <w:jc w:val="center"/>
              <w:rPr>
                <w:rFonts w:ascii="Lato" w:hAnsi="Lato" w:cstheme="minorHAnsi"/>
                <w:color w:val="000000" w:themeColor="text1"/>
              </w:rPr>
            </w:pPr>
            <w:r w:rsidRPr="003300D7">
              <w:rPr>
                <w:rFonts w:ascii="Lato" w:hAnsi="Lato" w:cstheme="minorHAnsi"/>
                <w:color w:val="000000" w:themeColor="text1"/>
                <w:sz w:val="18"/>
                <w:szCs w:val="18"/>
              </w:rPr>
              <w:t>Polska</w:t>
            </w:r>
          </w:p>
        </w:tc>
        <w:tc>
          <w:tcPr>
            <w:tcW w:w="661" w:type="dxa"/>
            <w:vAlign w:val="center"/>
          </w:tcPr>
          <w:p w14:paraId="5CDB0C00" w14:textId="77777777" w:rsidR="00986DE0" w:rsidRPr="003300D7" w:rsidRDefault="00986DE0" w:rsidP="003C7140">
            <w:pPr>
              <w:tabs>
                <w:tab w:val="left" w:pos="1890"/>
              </w:tabs>
              <w:spacing w:line="276" w:lineRule="auto"/>
              <w:contextualSpacing/>
              <w:jc w:val="center"/>
              <w:rPr>
                <w:rFonts w:ascii="Lato" w:hAnsi="Lato" w:cstheme="minorHAnsi"/>
                <w:color w:val="000000" w:themeColor="text1"/>
                <w:sz w:val="18"/>
                <w:szCs w:val="18"/>
              </w:rPr>
            </w:pPr>
            <w:r w:rsidRPr="003300D7">
              <w:rPr>
                <w:rFonts w:ascii="Lato" w:hAnsi="Lato" w:cstheme="minorHAnsi"/>
                <w:bCs/>
                <w:color w:val="000000" w:themeColor="text1"/>
                <w:sz w:val="18"/>
                <w:szCs w:val="18"/>
              </w:rPr>
              <w:t>1547</w:t>
            </w:r>
          </w:p>
        </w:tc>
        <w:tc>
          <w:tcPr>
            <w:tcW w:w="661" w:type="dxa"/>
            <w:vAlign w:val="center"/>
          </w:tcPr>
          <w:p w14:paraId="5A6846FF" w14:textId="77777777" w:rsidR="00986DE0" w:rsidRPr="003300D7" w:rsidRDefault="00986DE0" w:rsidP="003C7140">
            <w:pPr>
              <w:tabs>
                <w:tab w:val="left" w:pos="1890"/>
              </w:tabs>
              <w:spacing w:line="276" w:lineRule="auto"/>
              <w:contextualSpacing/>
              <w:jc w:val="center"/>
              <w:rPr>
                <w:rFonts w:ascii="Lato" w:hAnsi="Lato" w:cstheme="minorHAnsi"/>
                <w:color w:val="000000" w:themeColor="text1"/>
                <w:sz w:val="18"/>
                <w:szCs w:val="18"/>
              </w:rPr>
            </w:pPr>
            <w:r w:rsidRPr="003300D7">
              <w:rPr>
                <w:rFonts w:ascii="Lato" w:hAnsi="Lato" w:cstheme="minorHAnsi"/>
                <w:bCs/>
                <w:color w:val="000000" w:themeColor="text1"/>
                <w:sz w:val="18"/>
                <w:szCs w:val="18"/>
              </w:rPr>
              <w:t>4,06</w:t>
            </w:r>
          </w:p>
        </w:tc>
        <w:tc>
          <w:tcPr>
            <w:tcW w:w="661" w:type="dxa"/>
            <w:vAlign w:val="center"/>
          </w:tcPr>
          <w:p w14:paraId="6D788D29" w14:textId="77777777" w:rsidR="00986DE0" w:rsidRPr="003300D7" w:rsidRDefault="00986DE0" w:rsidP="003C7140">
            <w:pPr>
              <w:tabs>
                <w:tab w:val="left" w:pos="1890"/>
              </w:tabs>
              <w:spacing w:line="276" w:lineRule="auto"/>
              <w:contextualSpacing/>
              <w:jc w:val="center"/>
              <w:rPr>
                <w:rFonts w:ascii="Lato" w:hAnsi="Lato" w:cstheme="minorHAnsi"/>
                <w:color w:val="000000" w:themeColor="text1"/>
                <w:sz w:val="18"/>
                <w:szCs w:val="18"/>
              </w:rPr>
            </w:pPr>
            <w:r w:rsidRPr="003300D7">
              <w:rPr>
                <w:rFonts w:ascii="Lato" w:hAnsi="Lato" w:cstheme="minorHAnsi"/>
                <w:bCs/>
                <w:color w:val="000000" w:themeColor="text1"/>
                <w:sz w:val="18"/>
                <w:szCs w:val="18"/>
              </w:rPr>
              <w:t>2500</w:t>
            </w:r>
          </w:p>
        </w:tc>
        <w:tc>
          <w:tcPr>
            <w:tcW w:w="662" w:type="dxa"/>
            <w:vAlign w:val="center"/>
          </w:tcPr>
          <w:p w14:paraId="44CC46A5" w14:textId="77777777" w:rsidR="00986DE0" w:rsidRPr="003300D7" w:rsidRDefault="00986DE0" w:rsidP="003C7140">
            <w:pPr>
              <w:tabs>
                <w:tab w:val="left" w:pos="1890"/>
              </w:tabs>
              <w:spacing w:line="276" w:lineRule="auto"/>
              <w:contextualSpacing/>
              <w:jc w:val="center"/>
              <w:rPr>
                <w:rFonts w:ascii="Lato" w:hAnsi="Lato" w:cstheme="minorHAnsi"/>
                <w:color w:val="000000" w:themeColor="text1"/>
                <w:sz w:val="18"/>
                <w:szCs w:val="18"/>
              </w:rPr>
            </w:pPr>
            <w:r w:rsidRPr="003300D7">
              <w:rPr>
                <w:rFonts w:ascii="Lato" w:hAnsi="Lato" w:cstheme="minorHAnsi"/>
                <w:bCs/>
                <w:color w:val="000000" w:themeColor="text1"/>
                <w:sz w:val="18"/>
                <w:szCs w:val="18"/>
              </w:rPr>
              <w:t>6,61</w:t>
            </w:r>
          </w:p>
        </w:tc>
        <w:tc>
          <w:tcPr>
            <w:tcW w:w="661" w:type="dxa"/>
            <w:vAlign w:val="center"/>
          </w:tcPr>
          <w:p w14:paraId="6BBEFF61" w14:textId="77777777" w:rsidR="00986DE0" w:rsidRPr="003300D7" w:rsidRDefault="00986DE0" w:rsidP="003C7140">
            <w:pPr>
              <w:tabs>
                <w:tab w:val="left" w:pos="1890"/>
              </w:tabs>
              <w:spacing w:line="276" w:lineRule="auto"/>
              <w:contextualSpacing/>
              <w:jc w:val="center"/>
              <w:rPr>
                <w:rFonts w:ascii="Lato" w:hAnsi="Lato" w:cstheme="minorHAnsi"/>
                <w:color w:val="000000" w:themeColor="text1"/>
                <w:sz w:val="18"/>
                <w:szCs w:val="18"/>
              </w:rPr>
            </w:pPr>
            <w:r w:rsidRPr="003300D7">
              <w:rPr>
                <w:rFonts w:ascii="Lato" w:hAnsi="Lato" w:cstheme="minorHAnsi"/>
                <w:bCs/>
                <w:color w:val="000000" w:themeColor="text1"/>
                <w:sz w:val="18"/>
                <w:szCs w:val="18"/>
              </w:rPr>
              <w:t>3142</w:t>
            </w:r>
          </w:p>
        </w:tc>
        <w:tc>
          <w:tcPr>
            <w:tcW w:w="661" w:type="dxa"/>
            <w:vAlign w:val="center"/>
          </w:tcPr>
          <w:p w14:paraId="19582B78" w14:textId="77777777" w:rsidR="00986DE0" w:rsidRPr="003300D7" w:rsidRDefault="00986DE0" w:rsidP="003C7140">
            <w:pPr>
              <w:tabs>
                <w:tab w:val="left" w:pos="1890"/>
              </w:tabs>
              <w:spacing w:line="276" w:lineRule="auto"/>
              <w:contextualSpacing/>
              <w:jc w:val="center"/>
              <w:rPr>
                <w:rFonts w:ascii="Lato" w:hAnsi="Lato" w:cstheme="minorHAnsi"/>
                <w:color w:val="000000" w:themeColor="text1"/>
                <w:sz w:val="18"/>
                <w:szCs w:val="18"/>
              </w:rPr>
            </w:pPr>
            <w:r w:rsidRPr="003300D7">
              <w:rPr>
                <w:rFonts w:ascii="Lato" w:hAnsi="Lato" w:cstheme="minorHAnsi"/>
                <w:bCs/>
                <w:color w:val="000000" w:themeColor="text1"/>
                <w:sz w:val="18"/>
                <w:szCs w:val="18"/>
              </w:rPr>
              <w:t>8,34</w:t>
            </w:r>
          </w:p>
        </w:tc>
        <w:tc>
          <w:tcPr>
            <w:tcW w:w="662" w:type="dxa"/>
            <w:vAlign w:val="center"/>
          </w:tcPr>
          <w:p w14:paraId="66885E8D" w14:textId="77777777" w:rsidR="00986DE0" w:rsidRPr="003300D7" w:rsidRDefault="00986DE0" w:rsidP="003C7140">
            <w:pPr>
              <w:tabs>
                <w:tab w:val="left" w:pos="1890"/>
              </w:tabs>
              <w:spacing w:line="276" w:lineRule="auto"/>
              <w:contextualSpacing/>
              <w:jc w:val="center"/>
              <w:rPr>
                <w:rFonts w:ascii="Lato" w:hAnsi="Lato" w:cstheme="minorHAnsi"/>
                <w:bCs/>
                <w:color w:val="000000" w:themeColor="text1"/>
                <w:sz w:val="18"/>
                <w:szCs w:val="18"/>
              </w:rPr>
            </w:pPr>
            <w:r w:rsidRPr="003300D7">
              <w:rPr>
                <w:rFonts w:ascii="Lato" w:hAnsi="Lato" w:cstheme="minorHAnsi"/>
                <w:bCs/>
                <w:color w:val="000000" w:themeColor="text1"/>
                <w:sz w:val="18"/>
                <w:szCs w:val="18"/>
              </w:rPr>
              <w:t>3552</w:t>
            </w:r>
          </w:p>
        </w:tc>
        <w:tc>
          <w:tcPr>
            <w:tcW w:w="661" w:type="dxa"/>
            <w:vAlign w:val="center"/>
          </w:tcPr>
          <w:p w14:paraId="18A03DC3" w14:textId="77777777" w:rsidR="00986DE0" w:rsidRPr="003300D7" w:rsidRDefault="00986DE0" w:rsidP="003C7140">
            <w:pPr>
              <w:tabs>
                <w:tab w:val="left" w:pos="1890"/>
              </w:tabs>
              <w:spacing w:line="276" w:lineRule="auto"/>
              <w:contextualSpacing/>
              <w:jc w:val="center"/>
              <w:rPr>
                <w:rFonts w:ascii="Lato" w:hAnsi="Lato" w:cstheme="minorHAnsi"/>
                <w:bCs/>
                <w:color w:val="000000" w:themeColor="text1"/>
                <w:sz w:val="18"/>
                <w:szCs w:val="18"/>
              </w:rPr>
            </w:pPr>
            <w:r w:rsidRPr="003300D7">
              <w:rPr>
                <w:rFonts w:ascii="Lato" w:hAnsi="Lato" w:cstheme="minorHAnsi"/>
                <w:bCs/>
                <w:color w:val="000000" w:themeColor="text1"/>
                <w:sz w:val="18"/>
                <w:szCs w:val="18"/>
              </w:rPr>
              <w:t>9,46</w:t>
            </w:r>
          </w:p>
        </w:tc>
        <w:tc>
          <w:tcPr>
            <w:tcW w:w="661" w:type="dxa"/>
            <w:vAlign w:val="center"/>
          </w:tcPr>
          <w:p w14:paraId="566E22F4" w14:textId="77777777" w:rsidR="00986DE0" w:rsidRPr="003300D7" w:rsidRDefault="00986DE0" w:rsidP="003C7140">
            <w:pPr>
              <w:tabs>
                <w:tab w:val="left" w:pos="1890"/>
              </w:tabs>
              <w:spacing w:line="276" w:lineRule="auto"/>
              <w:contextualSpacing/>
              <w:jc w:val="center"/>
              <w:rPr>
                <w:rFonts w:ascii="Lato" w:hAnsi="Lato" w:cstheme="minorHAnsi"/>
                <w:b/>
                <w:color w:val="000000" w:themeColor="text1"/>
                <w:sz w:val="18"/>
                <w:szCs w:val="18"/>
              </w:rPr>
            </w:pPr>
            <w:r w:rsidRPr="003300D7">
              <w:rPr>
                <w:rFonts w:ascii="Lato" w:hAnsi="Lato" w:cstheme="minorHAnsi"/>
                <w:b/>
                <w:color w:val="000000" w:themeColor="text1"/>
                <w:sz w:val="18"/>
                <w:szCs w:val="18"/>
              </w:rPr>
              <w:t>3496</w:t>
            </w:r>
          </w:p>
        </w:tc>
        <w:tc>
          <w:tcPr>
            <w:tcW w:w="662" w:type="dxa"/>
            <w:vAlign w:val="center"/>
          </w:tcPr>
          <w:p w14:paraId="5A3FBE8F" w14:textId="77777777" w:rsidR="00986DE0" w:rsidRPr="003300D7" w:rsidRDefault="00986DE0" w:rsidP="003C7140">
            <w:pPr>
              <w:tabs>
                <w:tab w:val="left" w:pos="1890"/>
              </w:tabs>
              <w:spacing w:line="276" w:lineRule="auto"/>
              <w:contextualSpacing/>
              <w:jc w:val="center"/>
              <w:rPr>
                <w:rFonts w:ascii="Lato" w:hAnsi="Lato" w:cstheme="minorHAnsi"/>
                <w:b/>
                <w:color w:val="000000" w:themeColor="text1"/>
                <w:sz w:val="18"/>
                <w:szCs w:val="18"/>
              </w:rPr>
            </w:pPr>
            <w:r w:rsidRPr="003300D7">
              <w:rPr>
                <w:rFonts w:ascii="Lato" w:hAnsi="Lato" w:cstheme="minorHAnsi"/>
                <w:b/>
                <w:color w:val="000000" w:themeColor="text1"/>
                <w:sz w:val="18"/>
                <w:szCs w:val="18"/>
              </w:rPr>
              <w:t>9,35</w:t>
            </w:r>
          </w:p>
        </w:tc>
      </w:tr>
      <w:tr w:rsidR="00986DE0" w:rsidRPr="00E615FE" w14:paraId="75B6E6F7" w14:textId="77777777" w:rsidTr="003C7140">
        <w:trPr>
          <w:trHeight w:val="386"/>
          <w:jc w:val="center"/>
        </w:trPr>
        <w:tc>
          <w:tcPr>
            <w:tcW w:w="2449" w:type="dxa"/>
            <w:vAlign w:val="center"/>
          </w:tcPr>
          <w:p w14:paraId="3CFEF316" w14:textId="77777777" w:rsidR="00986DE0" w:rsidRPr="003300D7" w:rsidRDefault="00986DE0" w:rsidP="003C7140">
            <w:pPr>
              <w:tabs>
                <w:tab w:val="left" w:pos="1890"/>
              </w:tabs>
              <w:spacing w:line="276" w:lineRule="auto"/>
              <w:contextualSpacing/>
              <w:jc w:val="center"/>
              <w:rPr>
                <w:rFonts w:ascii="Lato" w:hAnsi="Lato" w:cstheme="minorHAnsi"/>
                <w:bCs/>
                <w:color w:val="000000" w:themeColor="text1"/>
                <w:sz w:val="18"/>
                <w:szCs w:val="18"/>
              </w:rPr>
            </w:pPr>
            <w:r w:rsidRPr="003300D7">
              <w:rPr>
                <w:rFonts w:ascii="Lato" w:hAnsi="Lato" w:cstheme="minorHAnsi"/>
                <w:bCs/>
                <w:color w:val="000000" w:themeColor="text1"/>
                <w:sz w:val="18"/>
                <w:szCs w:val="18"/>
              </w:rPr>
              <w:t xml:space="preserve">województwo </w:t>
            </w:r>
            <w:r w:rsidRPr="003300D7">
              <w:rPr>
                <w:rFonts w:ascii="Lato" w:hAnsi="Lato" w:cstheme="minorHAnsi"/>
                <w:bCs/>
                <w:color w:val="000000" w:themeColor="text1"/>
                <w:spacing w:val="-6"/>
                <w:sz w:val="18"/>
                <w:szCs w:val="18"/>
              </w:rPr>
              <w:t>zachodniopomorskie</w:t>
            </w:r>
          </w:p>
        </w:tc>
        <w:tc>
          <w:tcPr>
            <w:tcW w:w="661" w:type="dxa"/>
            <w:vAlign w:val="center"/>
          </w:tcPr>
          <w:p w14:paraId="1BC069FD" w14:textId="77777777" w:rsidR="00986DE0" w:rsidRPr="003300D7" w:rsidRDefault="00986DE0" w:rsidP="003C7140">
            <w:pPr>
              <w:tabs>
                <w:tab w:val="left" w:pos="1890"/>
              </w:tabs>
              <w:spacing w:line="276" w:lineRule="auto"/>
              <w:contextualSpacing/>
              <w:jc w:val="center"/>
              <w:rPr>
                <w:rFonts w:ascii="Lato" w:hAnsi="Lato" w:cstheme="minorHAnsi"/>
                <w:color w:val="000000" w:themeColor="text1"/>
                <w:sz w:val="18"/>
                <w:szCs w:val="18"/>
              </w:rPr>
            </w:pPr>
            <w:r w:rsidRPr="003300D7">
              <w:rPr>
                <w:rFonts w:ascii="Lato" w:hAnsi="Lato" w:cstheme="minorHAnsi"/>
                <w:bCs/>
                <w:color w:val="000000" w:themeColor="text1"/>
                <w:sz w:val="18"/>
                <w:szCs w:val="18"/>
              </w:rPr>
              <w:t>75</w:t>
            </w:r>
          </w:p>
        </w:tc>
        <w:tc>
          <w:tcPr>
            <w:tcW w:w="661" w:type="dxa"/>
            <w:vAlign w:val="center"/>
          </w:tcPr>
          <w:p w14:paraId="3FAEBDF7" w14:textId="77777777" w:rsidR="00986DE0" w:rsidRPr="003300D7" w:rsidRDefault="00986DE0" w:rsidP="003C7140">
            <w:pPr>
              <w:tabs>
                <w:tab w:val="left" w:pos="1890"/>
              </w:tabs>
              <w:spacing w:line="276" w:lineRule="auto"/>
              <w:contextualSpacing/>
              <w:jc w:val="center"/>
              <w:rPr>
                <w:rFonts w:ascii="Lato" w:hAnsi="Lato" w:cstheme="minorHAnsi"/>
                <w:color w:val="000000" w:themeColor="text1"/>
                <w:sz w:val="18"/>
                <w:szCs w:val="18"/>
              </w:rPr>
            </w:pPr>
            <w:r w:rsidRPr="003300D7">
              <w:rPr>
                <w:rFonts w:ascii="Lato" w:hAnsi="Lato" w:cstheme="minorHAnsi"/>
                <w:bCs/>
                <w:color w:val="000000" w:themeColor="text1"/>
                <w:sz w:val="18"/>
                <w:szCs w:val="18"/>
              </w:rPr>
              <w:t>4,46</w:t>
            </w:r>
          </w:p>
        </w:tc>
        <w:tc>
          <w:tcPr>
            <w:tcW w:w="661" w:type="dxa"/>
            <w:vAlign w:val="center"/>
          </w:tcPr>
          <w:p w14:paraId="2DBA8945" w14:textId="77777777" w:rsidR="00986DE0" w:rsidRPr="003300D7" w:rsidRDefault="00986DE0" w:rsidP="003C7140">
            <w:pPr>
              <w:tabs>
                <w:tab w:val="left" w:pos="1890"/>
              </w:tabs>
              <w:spacing w:line="276" w:lineRule="auto"/>
              <w:contextualSpacing/>
              <w:jc w:val="center"/>
              <w:rPr>
                <w:rFonts w:ascii="Lato" w:hAnsi="Lato" w:cstheme="minorHAnsi"/>
                <w:color w:val="000000" w:themeColor="text1"/>
                <w:sz w:val="18"/>
                <w:szCs w:val="18"/>
              </w:rPr>
            </w:pPr>
            <w:r w:rsidRPr="003300D7">
              <w:rPr>
                <w:rFonts w:ascii="Lato" w:hAnsi="Lato" w:cstheme="minorHAnsi"/>
                <w:bCs/>
                <w:color w:val="000000" w:themeColor="text1"/>
                <w:sz w:val="18"/>
                <w:szCs w:val="18"/>
              </w:rPr>
              <w:t>113</w:t>
            </w:r>
          </w:p>
        </w:tc>
        <w:tc>
          <w:tcPr>
            <w:tcW w:w="662" w:type="dxa"/>
            <w:vAlign w:val="center"/>
          </w:tcPr>
          <w:p w14:paraId="6830DC0E" w14:textId="77777777" w:rsidR="00986DE0" w:rsidRPr="003300D7" w:rsidRDefault="00986DE0" w:rsidP="003C7140">
            <w:pPr>
              <w:tabs>
                <w:tab w:val="left" w:pos="1890"/>
              </w:tabs>
              <w:spacing w:line="276" w:lineRule="auto"/>
              <w:contextualSpacing/>
              <w:jc w:val="center"/>
              <w:rPr>
                <w:rFonts w:ascii="Lato" w:hAnsi="Lato" w:cstheme="minorHAnsi"/>
                <w:color w:val="000000" w:themeColor="text1"/>
                <w:sz w:val="18"/>
                <w:szCs w:val="18"/>
              </w:rPr>
            </w:pPr>
            <w:r w:rsidRPr="003300D7">
              <w:rPr>
                <w:rFonts w:ascii="Lato" w:hAnsi="Lato" w:cstheme="minorHAnsi"/>
                <w:bCs/>
                <w:color w:val="000000" w:themeColor="text1"/>
                <w:sz w:val="18"/>
                <w:szCs w:val="18"/>
              </w:rPr>
              <w:t>6,87</w:t>
            </w:r>
          </w:p>
        </w:tc>
        <w:tc>
          <w:tcPr>
            <w:tcW w:w="661" w:type="dxa"/>
            <w:vAlign w:val="center"/>
          </w:tcPr>
          <w:p w14:paraId="3576E392" w14:textId="77777777" w:rsidR="00986DE0" w:rsidRPr="003300D7" w:rsidRDefault="00986DE0" w:rsidP="003C7140">
            <w:pPr>
              <w:tabs>
                <w:tab w:val="left" w:pos="1890"/>
              </w:tabs>
              <w:spacing w:line="276" w:lineRule="auto"/>
              <w:contextualSpacing/>
              <w:jc w:val="center"/>
              <w:rPr>
                <w:rFonts w:ascii="Lato" w:hAnsi="Lato" w:cstheme="minorHAnsi"/>
                <w:color w:val="000000" w:themeColor="text1"/>
                <w:sz w:val="18"/>
                <w:szCs w:val="18"/>
              </w:rPr>
            </w:pPr>
            <w:r w:rsidRPr="003300D7">
              <w:rPr>
                <w:rFonts w:ascii="Lato" w:hAnsi="Lato" w:cstheme="minorHAnsi"/>
                <w:bCs/>
                <w:color w:val="000000" w:themeColor="text1"/>
                <w:sz w:val="18"/>
                <w:szCs w:val="18"/>
              </w:rPr>
              <w:t>137</w:t>
            </w:r>
          </w:p>
        </w:tc>
        <w:tc>
          <w:tcPr>
            <w:tcW w:w="661" w:type="dxa"/>
            <w:vAlign w:val="center"/>
          </w:tcPr>
          <w:p w14:paraId="2D0533C1" w14:textId="77777777" w:rsidR="00986DE0" w:rsidRPr="003300D7" w:rsidRDefault="00986DE0" w:rsidP="003C7140">
            <w:pPr>
              <w:tabs>
                <w:tab w:val="left" w:pos="1890"/>
              </w:tabs>
              <w:spacing w:line="276" w:lineRule="auto"/>
              <w:contextualSpacing/>
              <w:jc w:val="center"/>
              <w:rPr>
                <w:rFonts w:ascii="Lato" w:hAnsi="Lato" w:cstheme="minorHAnsi"/>
                <w:color w:val="000000" w:themeColor="text1"/>
                <w:sz w:val="18"/>
                <w:szCs w:val="18"/>
              </w:rPr>
            </w:pPr>
            <w:r w:rsidRPr="003300D7">
              <w:rPr>
                <w:rFonts w:ascii="Lato" w:hAnsi="Lato" w:cstheme="minorHAnsi"/>
                <w:bCs/>
                <w:color w:val="000000" w:themeColor="text1"/>
                <w:sz w:val="18"/>
                <w:szCs w:val="18"/>
              </w:rPr>
              <w:t>8,37</w:t>
            </w:r>
          </w:p>
        </w:tc>
        <w:tc>
          <w:tcPr>
            <w:tcW w:w="662" w:type="dxa"/>
            <w:vAlign w:val="center"/>
          </w:tcPr>
          <w:p w14:paraId="3B9F332D" w14:textId="77777777" w:rsidR="00986DE0" w:rsidRPr="003300D7" w:rsidRDefault="00986DE0" w:rsidP="003C7140">
            <w:pPr>
              <w:tabs>
                <w:tab w:val="left" w:pos="1890"/>
              </w:tabs>
              <w:spacing w:line="276" w:lineRule="auto"/>
              <w:contextualSpacing/>
              <w:jc w:val="center"/>
              <w:rPr>
                <w:rFonts w:ascii="Lato" w:hAnsi="Lato" w:cstheme="minorHAnsi"/>
                <w:bCs/>
                <w:color w:val="000000" w:themeColor="text1"/>
                <w:sz w:val="18"/>
                <w:szCs w:val="18"/>
              </w:rPr>
            </w:pPr>
            <w:r w:rsidRPr="003300D7">
              <w:rPr>
                <w:rFonts w:ascii="Lato" w:hAnsi="Lato" w:cstheme="minorHAnsi"/>
                <w:bCs/>
                <w:color w:val="000000" w:themeColor="text1"/>
                <w:sz w:val="18"/>
                <w:szCs w:val="18"/>
              </w:rPr>
              <w:t>112</w:t>
            </w:r>
          </w:p>
        </w:tc>
        <w:tc>
          <w:tcPr>
            <w:tcW w:w="661" w:type="dxa"/>
            <w:vAlign w:val="center"/>
          </w:tcPr>
          <w:p w14:paraId="657B2ACC" w14:textId="77777777" w:rsidR="00986DE0" w:rsidRPr="003300D7" w:rsidRDefault="00986DE0" w:rsidP="003C7140">
            <w:pPr>
              <w:tabs>
                <w:tab w:val="left" w:pos="1890"/>
              </w:tabs>
              <w:spacing w:line="276" w:lineRule="auto"/>
              <w:contextualSpacing/>
              <w:rPr>
                <w:rFonts w:ascii="Lato" w:hAnsi="Lato" w:cstheme="minorHAnsi"/>
                <w:bCs/>
                <w:color w:val="000000" w:themeColor="text1"/>
                <w:sz w:val="18"/>
                <w:szCs w:val="18"/>
              </w:rPr>
            </w:pPr>
            <w:r w:rsidRPr="003300D7">
              <w:rPr>
                <w:rFonts w:ascii="Lato" w:hAnsi="Lato" w:cstheme="minorHAnsi"/>
                <w:bCs/>
                <w:color w:val="000000" w:themeColor="text1"/>
                <w:sz w:val="18"/>
                <w:szCs w:val="18"/>
              </w:rPr>
              <w:t>6,88</w:t>
            </w:r>
          </w:p>
        </w:tc>
        <w:tc>
          <w:tcPr>
            <w:tcW w:w="661" w:type="dxa"/>
            <w:vAlign w:val="center"/>
          </w:tcPr>
          <w:p w14:paraId="4125D210" w14:textId="77777777" w:rsidR="00986DE0" w:rsidRPr="003300D7" w:rsidRDefault="00986DE0" w:rsidP="003C7140">
            <w:pPr>
              <w:tabs>
                <w:tab w:val="left" w:pos="1890"/>
              </w:tabs>
              <w:spacing w:line="276" w:lineRule="auto"/>
              <w:contextualSpacing/>
              <w:jc w:val="center"/>
              <w:rPr>
                <w:rFonts w:ascii="Lato" w:hAnsi="Lato" w:cstheme="minorHAnsi"/>
                <w:b/>
                <w:color w:val="000000" w:themeColor="text1"/>
                <w:sz w:val="18"/>
                <w:szCs w:val="18"/>
              </w:rPr>
            </w:pPr>
            <w:r w:rsidRPr="003300D7">
              <w:rPr>
                <w:rFonts w:ascii="Lato" w:hAnsi="Lato" w:cstheme="minorHAnsi"/>
                <w:b/>
                <w:color w:val="000000" w:themeColor="text1"/>
                <w:sz w:val="18"/>
                <w:szCs w:val="18"/>
              </w:rPr>
              <w:t>122</w:t>
            </w:r>
          </w:p>
        </w:tc>
        <w:tc>
          <w:tcPr>
            <w:tcW w:w="662" w:type="dxa"/>
            <w:vAlign w:val="center"/>
          </w:tcPr>
          <w:p w14:paraId="62F8969D" w14:textId="77777777" w:rsidR="00986DE0" w:rsidRPr="003300D7" w:rsidRDefault="00986DE0" w:rsidP="003C7140">
            <w:pPr>
              <w:tabs>
                <w:tab w:val="left" w:pos="1890"/>
              </w:tabs>
              <w:spacing w:line="276" w:lineRule="auto"/>
              <w:contextualSpacing/>
              <w:rPr>
                <w:rFonts w:ascii="Lato" w:hAnsi="Lato" w:cstheme="minorHAnsi"/>
                <w:b/>
                <w:color w:val="000000" w:themeColor="text1"/>
                <w:sz w:val="18"/>
                <w:szCs w:val="18"/>
              </w:rPr>
            </w:pPr>
            <w:r w:rsidRPr="003300D7">
              <w:rPr>
                <w:rFonts w:ascii="Lato" w:hAnsi="Lato" w:cstheme="minorHAnsi"/>
                <w:b/>
                <w:color w:val="000000" w:themeColor="text1"/>
                <w:sz w:val="18"/>
                <w:szCs w:val="18"/>
              </w:rPr>
              <w:t>7,54</w:t>
            </w:r>
          </w:p>
        </w:tc>
      </w:tr>
    </w:tbl>
    <w:p w14:paraId="7F9E7B5D" w14:textId="77777777" w:rsidR="00C92B81" w:rsidRDefault="00C92B81" w:rsidP="001E187C">
      <w:pPr>
        <w:tabs>
          <w:tab w:val="left" w:pos="851"/>
        </w:tabs>
        <w:spacing w:line="360" w:lineRule="auto"/>
        <w:rPr>
          <w:rFonts w:ascii="Lato" w:hAnsi="Lato" w:cstheme="minorHAnsi"/>
          <w:color w:val="000000" w:themeColor="text1"/>
          <w:sz w:val="22"/>
          <w:szCs w:val="22"/>
        </w:rPr>
      </w:pPr>
    </w:p>
    <w:p w14:paraId="04C77B15" w14:textId="7ACC0310" w:rsidR="00986DE0" w:rsidRPr="005170BB" w:rsidRDefault="00986DE0" w:rsidP="001E187C">
      <w:pPr>
        <w:tabs>
          <w:tab w:val="left" w:pos="851"/>
        </w:tabs>
        <w:spacing w:line="360" w:lineRule="auto"/>
        <w:rPr>
          <w:rFonts w:ascii="Lato" w:hAnsi="Lato" w:cstheme="minorHAnsi"/>
          <w:color w:val="000000" w:themeColor="text1"/>
          <w:sz w:val="22"/>
          <w:szCs w:val="22"/>
        </w:rPr>
      </w:pPr>
      <w:r w:rsidRPr="005170BB">
        <w:rPr>
          <w:rFonts w:ascii="Lato" w:hAnsi="Lato" w:cstheme="minorHAnsi"/>
          <w:color w:val="000000" w:themeColor="text1"/>
          <w:sz w:val="22"/>
          <w:szCs w:val="22"/>
        </w:rPr>
        <w:t>Wśród chorych dominowały osoby w wieku 51-40 lat oraz 61-70 lat (po 30 osób).</w:t>
      </w:r>
    </w:p>
    <w:p w14:paraId="11AD4CD1" w14:textId="77777777" w:rsidR="002B6034" w:rsidRDefault="002B6034" w:rsidP="001E187C">
      <w:pPr>
        <w:tabs>
          <w:tab w:val="left" w:pos="851"/>
        </w:tabs>
        <w:spacing w:line="360" w:lineRule="auto"/>
        <w:rPr>
          <w:rFonts w:ascii="Lato" w:hAnsi="Lato" w:cstheme="minorHAnsi"/>
          <w:b/>
          <w:color w:val="000000" w:themeColor="text1"/>
          <w:sz w:val="22"/>
          <w:szCs w:val="22"/>
        </w:rPr>
      </w:pPr>
    </w:p>
    <w:p w14:paraId="19D7B44A" w14:textId="77777777" w:rsidR="00F45A42" w:rsidRDefault="00F45A42" w:rsidP="001E187C">
      <w:pPr>
        <w:tabs>
          <w:tab w:val="left" w:pos="851"/>
        </w:tabs>
        <w:spacing w:line="360" w:lineRule="auto"/>
        <w:rPr>
          <w:rFonts w:ascii="Lato" w:hAnsi="Lato" w:cstheme="minorHAnsi"/>
          <w:b/>
          <w:color w:val="000000" w:themeColor="text1"/>
          <w:sz w:val="22"/>
          <w:szCs w:val="22"/>
        </w:rPr>
      </w:pPr>
    </w:p>
    <w:p w14:paraId="73C99716" w14:textId="27550202" w:rsidR="00986DE0" w:rsidRPr="003818A5" w:rsidRDefault="00986DE0" w:rsidP="001E187C">
      <w:pPr>
        <w:tabs>
          <w:tab w:val="left" w:pos="851"/>
        </w:tabs>
        <w:spacing w:line="360" w:lineRule="auto"/>
        <w:rPr>
          <w:rFonts w:ascii="Lato" w:hAnsi="Lato" w:cstheme="minorHAnsi"/>
          <w:bCs/>
          <w:color w:val="000000" w:themeColor="text1"/>
          <w:spacing w:val="-2"/>
          <w:sz w:val="22"/>
          <w:szCs w:val="22"/>
          <w:u w:val="single"/>
        </w:rPr>
      </w:pPr>
      <w:r w:rsidRPr="003818A5">
        <w:rPr>
          <w:rFonts w:ascii="Lato" w:hAnsi="Lato" w:cstheme="minorHAnsi"/>
          <w:bCs/>
          <w:color w:val="000000" w:themeColor="text1"/>
          <w:sz w:val="22"/>
          <w:szCs w:val="22"/>
          <w:u w:val="single"/>
        </w:rPr>
        <w:t>Wirusowe zapalenie wątroby typu C</w:t>
      </w:r>
    </w:p>
    <w:p w14:paraId="029DA464" w14:textId="7196631F" w:rsidR="00B327E0" w:rsidRDefault="00986DE0" w:rsidP="002B6034">
      <w:pPr>
        <w:tabs>
          <w:tab w:val="left" w:pos="851"/>
        </w:tabs>
        <w:spacing w:line="360" w:lineRule="auto"/>
        <w:rPr>
          <w:rFonts w:ascii="Lato" w:hAnsi="Lato" w:cstheme="minorHAnsi"/>
          <w:color w:val="000000" w:themeColor="text1"/>
          <w:sz w:val="22"/>
          <w:szCs w:val="22"/>
        </w:rPr>
      </w:pPr>
      <w:r w:rsidRPr="005170BB">
        <w:rPr>
          <w:rFonts w:ascii="Lato" w:hAnsi="Lato" w:cstheme="minorHAnsi"/>
          <w:color w:val="000000" w:themeColor="text1"/>
          <w:sz w:val="22"/>
          <w:szCs w:val="22"/>
        </w:rPr>
        <w:t>W 2025 r. w woj. zachodniopomorskim liczba zachorowań była nieco niższa w odniesieniu do</w:t>
      </w:r>
      <w:r w:rsidR="00861843">
        <w:rPr>
          <w:rFonts w:ascii="Lato" w:hAnsi="Lato" w:cstheme="minorHAnsi"/>
          <w:color w:val="000000" w:themeColor="text1"/>
          <w:sz w:val="22"/>
          <w:szCs w:val="22"/>
        </w:rPr>
        <w:t> </w:t>
      </w:r>
      <w:r w:rsidRPr="005170BB">
        <w:rPr>
          <w:rFonts w:ascii="Lato" w:hAnsi="Lato" w:cstheme="minorHAnsi"/>
          <w:color w:val="000000" w:themeColor="text1"/>
          <w:sz w:val="22"/>
          <w:szCs w:val="22"/>
        </w:rPr>
        <w:t>roku poprzedzającego.</w:t>
      </w:r>
    </w:p>
    <w:p w14:paraId="545C8A2A" w14:textId="77777777" w:rsidR="00F45A42" w:rsidRPr="002B6034" w:rsidRDefault="00F45A42" w:rsidP="002B6034">
      <w:pPr>
        <w:tabs>
          <w:tab w:val="left" w:pos="851"/>
        </w:tabs>
        <w:spacing w:line="360" w:lineRule="auto"/>
        <w:rPr>
          <w:rFonts w:ascii="Lato" w:hAnsi="Lato" w:cstheme="minorHAnsi"/>
          <w:color w:val="000000" w:themeColor="text1"/>
          <w:sz w:val="22"/>
          <w:szCs w:val="22"/>
        </w:rPr>
      </w:pPr>
    </w:p>
    <w:p w14:paraId="42B4135B" w14:textId="4C70095A" w:rsidR="00986DE0" w:rsidRDefault="00CB2CA2" w:rsidP="00CB2CA2">
      <w:pPr>
        <w:pStyle w:val="Legenda"/>
        <w:rPr>
          <w:rFonts w:ascii="Lato" w:hAnsi="Lato"/>
          <w:b w:val="0"/>
          <w:bCs w:val="0"/>
          <w:sz w:val="18"/>
          <w:szCs w:val="18"/>
        </w:rPr>
      </w:pPr>
      <w:bookmarkStart w:id="15" w:name="_Toc225859361"/>
      <w:r w:rsidRPr="00CB2CA2">
        <w:rPr>
          <w:rFonts w:ascii="Lato" w:hAnsi="Lato"/>
          <w:b w:val="0"/>
          <w:bCs w:val="0"/>
          <w:sz w:val="18"/>
          <w:szCs w:val="18"/>
        </w:rPr>
        <w:lastRenderedPageBreak/>
        <w:t xml:space="preserve">Tabela </w:t>
      </w:r>
      <w:r w:rsidRPr="00CB2CA2">
        <w:rPr>
          <w:rFonts w:ascii="Lato" w:hAnsi="Lato"/>
          <w:b w:val="0"/>
          <w:bCs w:val="0"/>
          <w:sz w:val="18"/>
          <w:szCs w:val="18"/>
        </w:rPr>
        <w:fldChar w:fldCharType="begin"/>
      </w:r>
      <w:r w:rsidRPr="00CB2CA2">
        <w:rPr>
          <w:rFonts w:ascii="Lato" w:hAnsi="Lato"/>
          <w:b w:val="0"/>
          <w:bCs w:val="0"/>
          <w:sz w:val="18"/>
          <w:szCs w:val="18"/>
        </w:rPr>
        <w:instrText xml:space="preserve"> SEQ Tabela \* ARABIC </w:instrText>
      </w:r>
      <w:r w:rsidRPr="00CB2CA2">
        <w:rPr>
          <w:rFonts w:ascii="Lato" w:hAnsi="Lato"/>
          <w:b w:val="0"/>
          <w:bCs w:val="0"/>
          <w:sz w:val="18"/>
          <w:szCs w:val="18"/>
        </w:rPr>
        <w:fldChar w:fldCharType="separate"/>
      </w:r>
      <w:r w:rsidR="002A3179">
        <w:rPr>
          <w:rFonts w:ascii="Lato" w:hAnsi="Lato"/>
          <w:b w:val="0"/>
          <w:bCs w:val="0"/>
          <w:noProof/>
          <w:sz w:val="18"/>
          <w:szCs w:val="18"/>
        </w:rPr>
        <w:t>5</w:t>
      </w:r>
      <w:r w:rsidRPr="00CB2CA2">
        <w:rPr>
          <w:rFonts w:ascii="Lato" w:hAnsi="Lato"/>
          <w:b w:val="0"/>
          <w:bCs w:val="0"/>
          <w:sz w:val="18"/>
          <w:szCs w:val="18"/>
        </w:rPr>
        <w:fldChar w:fldCharType="end"/>
      </w:r>
      <w:r w:rsidRPr="00CB2CA2">
        <w:rPr>
          <w:rFonts w:ascii="Lato" w:hAnsi="Lato"/>
          <w:b w:val="0"/>
          <w:bCs w:val="0"/>
          <w:sz w:val="18"/>
          <w:szCs w:val="18"/>
        </w:rPr>
        <w:t>.  Liczba zachorowań i współczynnik zapadalności na wirusowe zapalenie wątroby typu C w latach 2021-2025 w Polsce i woj. zachodniopomorskim.</w:t>
      </w:r>
      <w:bookmarkEnd w:id="15"/>
    </w:p>
    <w:p w14:paraId="6B11A941" w14:textId="77777777" w:rsidR="00766557" w:rsidRPr="00766557" w:rsidRDefault="00766557" w:rsidP="00766557"/>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Liczba zachorowań i współczynnik zapadalności na wirusowe zapalenie wątroby typu C w latach 2021-2025 w Polsce i woj. zachodniopomorskim"/>
        <w:tblDescription w:val="Tabela przedstawi adane dotyczące liczby zachorowań na wirusowe zapalenie wątroby typu C w latach 2021-20258. W województwie zachodniopomroskim na przestrzeni lat, liczba zachorowań znajduje się na zbliżonym poziomie. W Polsce odnotowano wzrost zachorowań w 2025 roku (4074 przypadki)"/>
      </w:tblPr>
      <w:tblGrid>
        <w:gridCol w:w="2213"/>
        <w:gridCol w:w="674"/>
        <w:gridCol w:w="675"/>
        <w:gridCol w:w="675"/>
        <w:gridCol w:w="674"/>
        <w:gridCol w:w="675"/>
        <w:gridCol w:w="675"/>
        <w:gridCol w:w="674"/>
        <w:gridCol w:w="675"/>
        <w:gridCol w:w="675"/>
        <w:gridCol w:w="675"/>
      </w:tblGrid>
      <w:tr w:rsidR="00986DE0" w:rsidRPr="003300D7" w14:paraId="6E086315" w14:textId="77777777" w:rsidTr="00130F95">
        <w:trPr>
          <w:cantSplit/>
          <w:trHeight w:val="310"/>
          <w:jc w:val="center"/>
        </w:trPr>
        <w:tc>
          <w:tcPr>
            <w:tcW w:w="2213" w:type="dxa"/>
            <w:vMerge w:val="restart"/>
            <w:tcBorders>
              <w:top w:val="single" w:sz="4" w:space="0" w:color="auto"/>
              <w:left w:val="single" w:sz="4" w:space="0" w:color="auto"/>
            </w:tcBorders>
            <w:shd w:val="clear" w:color="auto" w:fill="D9D9D9" w:themeFill="background1" w:themeFillShade="D9"/>
          </w:tcPr>
          <w:p w14:paraId="1157646D"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p>
        </w:tc>
        <w:tc>
          <w:tcPr>
            <w:tcW w:w="1349" w:type="dxa"/>
            <w:gridSpan w:val="2"/>
            <w:shd w:val="clear" w:color="auto" w:fill="D9D9D9" w:themeFill="background1" w:themeFillShade="D9"/>
          </w:tcPr>
          <w:p w14:paraId="60B45F52"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r w:rsidRPr="003300D7">
              <w:rPr>
                <w:rFonts w:ascii="Lato" w:hAnsi="Lato" w:cstheme="minorHAnsi"/>
                <w:color w:val="000000" w:themeColor="text1"/>
                <w:sz w:val="18"/>
                <w:szCs w:val="18"/>
              </w:rPr>
              <w:t>2021 r.</w:t>
            </w:r>
          </w:p>
        </w:tc>
        <w:tc>
          <w:tcPr>
            <w:tcW w:w="1349" w:type="dxa"/>
            <w:gridSpan w:val="2"/>
            <w:shd w:val="clear" w:color="auto" w:fill="D9D9D9" w:themeFill="background1" w:themeFillShade="D9"/>
          </w:tcPr>
          <w:p w14:paraId="02B9AFB3"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r w:rsidRPr="003300D7">
              <w:rPr>
                <w:rFonts w:ascii="Lato" w:hAnsi="Lato" w:cstheme="minorHAnsi"/>
                <w:color w:val="000000" w:themeColor="text1"/>
                <w:sz w:val="18"/>
                <w:szCs w:val="18"/>
              </w:rPr>
              <w:t>2022 r.</w:t>
            </w:r>
          </w:p>
        </w:tc>
        <w:tc>
          <w:tcPr>
            <w:tcW w:w="1350" w:type="dxa"/>
            <w:gridSpan w:val="2"/>
            <w:shd w:val="clear" w:color="auto" w:fill="D9D9D9" w:themeFill="background1" w:themeFillShade="D9"/>
          </w:tcPr>
          <w:p w14:paraId="28961083"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r w:rsidRPr="003300D7">
              <w:rPr>
                <w:rFonts w:ascii="Lato" w:hAnsi="Lato" w:cstheme="minorHAnsi"/>
                <w:color w:val="000000" w:themeColor="text1"/>
                <w:sz w:val="18"/>
                <w:szCs w:val="18"/>
              </w:rPr>
              <w:t>2023 r.</w:t>
            </w:r>
          </w:p>
        </w:tc>
        <w:tc>
          <w:tcPr>
            <w:tcW w:w="1349" w:type="dxa"/>
            <w:gridSpan w:val="2"/>
            <w:shd w:val="clear" w:color="auto" w:fill="D9D9D9" w:themeFill="background1" w:themeFillShade="D9"/>
          </w:tcPr>
          <w:p w14:paraId="20044B0F"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r w:rsidRPr="003300D7">
              <w:rPr>
                <w:rFonts w:ascii="Lato" w:hAnsi="Lato" w:cstheme="minorHAnsi"/>
                <w:color w:val="000000" w:themeColor="text1"/>
                <w:sz w:val="18"/>
                <w:szCs w:val="18"/>
              </w:rPr>
              <w:t>2024 r.</w:t>
            </w:r>
          </w:p>
        </w:tc>
        <w:tc>
          <w:tcPr>
            <w:tcW w:w="1350" w:type="dxa"/>
            <w:gridSpan w:val="2"/>
            <w:shd w:val="clear" w:color="auto" w:fill="D9D9D9" w:themeFill="background1" w:themeFillShade="D9"/>
          </w:tcPr>
          <w:p w14:paraId="5FC04448" w14:textId="77777777" w:rsidR="00986DE0" w:rsidRPr="003300D7" w:rsidRDefault="00986DE0" w:rsidP="003C7140">
            <w:pPr>
              <w:tabs>
                <w:tab w:val="left" w:pos="1890"/>
              </w:tabs>
              <w:spacing w:line="276" w:lineRule="auto"/>
              <w:jc w:val="center"/>
              <w:rPr>
                <w:rFonts w:ascii="Lato" w:hAnsi="Lato" w:cstheme="minorHAnsi"/>
                <w:b/>
                <w:bCs/>
                <w:color w:val="000000" w:themeColor="text1"/>
                <w:sz w:val="18"/>
                <w:szCs w:val="18"/>
              </w:rPr>
            </w:pPr>
            <w:r>
              <w:rPr>
                <w:rFonts w:ascii="Lato" w:hAnsi="Lato" w:cstheme="minorHAnsi"/>
                <w:b/>
                <w:bCs/>
                <w:color w:val="000000" w:themeColor="text1"/>
                <w:sz w:val="18"/>
                <w:szCs w:val="18"/>
              </w:rPr>
              <w:t>2025 r.</w:t>
            </w:r>
          </w:p>
        </w:tc>
      </w:tr>
      <w:tr w:rsidR="00986DE0" w:rsidRPr="003300D7" w14:paraId="4BD74088" w14:textId="77777777" w:rsidTr="00130F95">
        <w:trPr>
          <w:cantSplit/>
          <w:trHeight w:hRule="exact" w:val="1361"/>
          <w:jc w:val="center"/>
        </w:trPr>
        <w:tc>
          <w:tcPr>
            <w:tcW w:w="2213" w:type="dxa"/>
            <w:vMerge/>
            <w:tcBorders>
              <w:left w:val="single" w:sz="4" w:space="0" w:color="auto"/>
            </w:tcBorders>
            <w:shd w:val="clear" w:color="auto" w:fill="D9D9D9" w:themeFill="background1" w:themeFillShade="D9"/>
          </w:tcPr>
          <w:p w14:paraId="52CE102B" w14:textId="77777777" w:rsidR="00986DE0" w:rsidRPr="003300D7" w:rsidRDefault="00986DE0" w:rsidP="003C7140">
            <w:pPr>
              <w:tabs>
                <w:tab w:val="left" w:pos="1890"/>
              </w:tabs>
              <w:spacing w:line="276" w:lineRule="auto"/>
              <w:ind w:left="113" w:right="113"/>
              <w:jc w:val="center"/>
              <w:rPr>
                <w:rFonts w:ascii="Lato" w:hAnsi="Lato" w:cstheme="minorHAnsi"/>
                <w:color w:val="000000" w:themeColor="text1"/>
                <w:sz w:val="18"/>
                <w:szCs w:val="18"/>
              </w:rPr>
            </w:pPr>
          </w:p>
        </w:tc>
        <w:tc>
          <w:tcPr>
            <w:tcW w:w="674" w:type="dxa"/>
            <w:shd w:val="clear" w:color="auto" w:fill="D9D9D9" w:themeFill="background1" w:themeFillShade="D9"/>
            <w:textDirection w:val="btLr"/>
            <w:vAlign w:val="center"/>
          </w:tcPr>
          <w:p w14:paraId="464F1F0E" w14:textId="77777777" w:rsidR="00986DE0" w:rsidRPr="003300D7" w:rsidRDefault="00986DE0" w:rsidP="003C7140">
            <w:pPr>
              <w:tabs>
                <w:tab w:val="left" w:pos="1890"/>
              </w:tabs>
              <w:spacing w:line="276" w:lineRule="auto"/>
              <w:ind w:left="113" w:right="113"/>
              <w:jc w:val="center"/>
              <w:rPr>
                <w:rFonts w:ascii="Lato" w:hAnsi="Lato" w:cstheme="minorHAnsi"/>
                <w:color w:val="000000" w:themeColor="text1"/>
                <w:spacing w:val="-10"/>
                <w:sz w:val="18"/>
                <w:szCs w:val="18"/>
              </w:rPr>
            </w:pPr>
            <w:r w:rsidRPr="003300D7">
              <w:rPr>
                <w:rFonts w:ascii="Lato" w:hAnsi="Lato" w:cstheme="minorHAnsi"/>
                <w:color w:val="000000" w:themeColor="text1"/>
                <w:spacing w:val="-10"/>
                <w:sz w:val="18"/>
                <w:szCs w:val="18"/>
              </w:rPr>
              <w:t>zachorowania</w:t>
            </w:r>
          </w:p>
        </w:tc>
        <w:tc>
          <w:tcPr>
            <w:tcW w:w="675" w:type="dxa"/>
            <w:shd w:val="clear" w:color="auto" w:fill="D9D9D9" w:themeFill="background1" w:themeFillShade="D9"/>
            <w:textDirection w:val="btLr"/>
            <w:vAlign w:val="center"/>
          </w:tcPr>
          <w:p w14:paraId="64674954" w14:textId="77777777" w:rsidR="00986DE0" w:rsidRPr="003300D7" w:rsidRDefault="00986DE0" w:rsidP="003C7140">
            <w:pPr>
              <w:tabs>
                <w:tab w:val="left" w:pos="1890"/>
              </w:tabs>
              <w:spacing w:line="276" w:lineRule="auto"/>
              <w:ind w:left="113" w:right="113"/>
              <w:jc w:val="center"/>
              <w:rPr>
                <w:rFonts w:ascii="Lato" w:hAnsi="Lato" w:cstheme="minorHAnsi"/>
                <w:color w:val="000000" w:themeColor="text1"/>
                <w:spacing w:val="-10"/>
                <w:sz w:val="18"/>
                <w:szCs w:val="18"/>
              </w:rPr>
            </w:pPr>
            <w:r w:rsidRPr="003300D7">
              <w:rPr>
                <w:rFonts w:ascii="Lato" w:hAnsi="Lato" w:cstheme="minorHAnsi"/>
                <w:color w:val="000000" w:themeColor="text1"/>
                <w:sz w:val="18"/>
                <w:szCs w:val="18"/>
              </w:rPr>
              <w:t>zapadalność na 100 tys.</w:t>
            </w:r>
          </w:p>
        </w:tc>
        <w:tc>
          <w:tcPr>
            <w:tcW w:w="675" w:type="dxa"/>
            <w:shd w:val="clear" w:color="auto" w:fill="D9D9D9" w:themeFill="background1" w:themeFillShade="D9"/>
            <w:textDirection w:val="btLr"/>
            <w:vAlign w:val="center"/>
          </w:tcPr>
          <w:p w14:paraId="69751546" w14:textId="77777777" w:rsidR="00986DE0" w:rsidRPr="003300D7" w:rsidRDefault="00986DE0" w:rsidP="003C7140">
            <w:pPr>
              <w:tabs>
                <w:tab w:val="left" w:pos="1890"/>
              </w:tabs>
              <w:spacing w:line="276" w:lineRule="auto"/>
              <w:ind w:left="113" w:right="113"/>
              <w:jc w:val="center"/>
              <w:rPr>
                <w:rFonts w:ascii="Lato" w:hAnsi="Lato" w:cstheme="minorHAnsi"/>
                <w:color w:val="000000" w:themeColor="text1"/>
                <w:spacing w:val="-10"/>
                <w:sz w:val="18"/>
                <w:szCs w:val="18"/>
              </w:rPr>
            </w:pPr>
            <w:r w:rsidRPr="003300D7">
              <w:rPr>
                <w:rFonts w:ascii="Lato" w:hAnsi="Lato" w:cstheme="minorHAnsi"/>
                <w:color w:val="000000" w:themeColor="text1"/>
                <w:spacing w:val="-10"/>
                <w:sz w:val="18"/>
                <w:szCs w:val="18"/>
              </w:rPr>
              <w:t>zachorowania</w:t>
            </w:r>
          </w:p>
        </w:tc>
        <w:tc>
          <w:tcPr>
            <w:tcW w:w="674" w:type="dxa"/>
            <w:shd w:val="clear" w:color="auto" w:fill="D9D9D9" w:themeFill="background1" w:themeFillShade="D9"/>
            <w:textDirection w:val="btLr"/>
            <w:vAlign w:val="center"/>
          </w:tcPr>
          <w:p w14:paraId="4BBDFEA3" w14:textId="77777777" w:rsidR="00986DE0" w:rsidRPr="003300D7" w:rsidRDefault="00986DE0" w:rsidP="003C7140">
            <w:pPr>
              <w:tabs>
                <w:tab w:val="left" w:pos="1890"/>
              </w:tabs>
              <w:spacing w:line="276" w:lineRule="auto"/>
              <w:ind w:left="113" w:right="113"/>
              <w:jc w:val="center"/>
              <w:rPr>
                <w:rFonts w:ascii="Lato" w:hAnsi="Lato" w:cstheme="minorHAnsi"/>
                <w:color w:val="000000" w:themeColor="text1"/>
                <w:spacing w:val="-10"/>
                <w:sz w:val="18"/>
                <w:szCs w:val="18"/>
              </w:rPr>
            </w:pPr>
            <w:r w:rsidRPr="003300D7">
              <w:rPr>
                <w:rFonts w:ascii="Lato" w:hAnsi="Lato" w:cstheme="minorHAnsi"/>
                <w:color w:val="000000" w:themeColor="text1"/>
                <w:sz w:val="18"/>
                <w:szCs w:val="18"/>
              </w:rPr>
              <w:t>zapadalność na 100 tys.</w:t>
            </w:r>
          </w:p>
        </w:tc>
        <w:tc>
          <w:tcPr>
            <w:tcW w:w="675" w:type="dxa"/>
            <w:shd w:val="clear" w:color="auto" w:fill="D9D9D9" w:themeFill="background1" w:themeFillShade="D9"/>
            <w:textDirection w:val="btLr"/>
            <w:vAlign w:val="center"/>
          </w:tcPr>
          <w:p w14:paraId="52DE95BF" w14:textId="77777777" w:rsidR="00986DE0" w:rsidRPr="003300D7" w:rsidRDefault="00986DE0" w:rsidP="003C7140">
            <w:pPr>
              <w:tabs>
                <w:tab w:val="left" w:pos="1890"/>
              </w:tabs>
              <w:spacing w:line="276" w:lineRule="auto"/>
              <w:ind w:left="113" w:right="113"/>
              <w:jc w:val="center"/>
              <w:rPr>
                <w:rFonts w:ascii="Lato" w:hAnsi="Lato" w:cstheme="minorHAnsi"/>
                <w:color w:val="000000" w:themeColor="text1"/>
                <w:spacing w:val="-10"/>
                <w:sz w:val="18"/>
                <w:szCs w:val="18"/>
              </w:rPr>
            </w:pPr>
            <w:r w:rsidRPr="003300D7">
              <w:rPr>
                <w:rFonts w:ascii="Lato" w:hAnsi="Lato" w:cstheme="minorHAnsi"/>
                <w:color w:val="000000" w:themeColor="text1"/>
                <w:spacing w:val="-10"/>
                <w:sz w:val="18"/>
                <w:szCs w:val="18"/>
              </w:rPr>
              <w:t>zachorowania</w:t>
            </w:r>
          </w:p>
        </w:tc>
        <w:tc>
          <w:tcPr>
            <w:tcW w:w="675" w:type="dxa"/>
            <w:shd w:val="clear" w:color="auto" w:fill="D9D9D9" w:themeFill="background1" w:themeFillShade="D9"/>
            <w:textDirection w:val="btLr"/>
            <w:vAlign w:val="center"/>
          </w:tcPr>
          <w:p w14:paraId="402394C2" w14:textId="77777777" w:rsidR="00986DE0" w:rsidRPr="003300D7" w:rsidRDefault="00986DE0" w:rsidP="003C7140">
            <w:pPr>
              <w:tabs>
                <w:tab w:val="left" w:pos="1890"/>
              </w:tabs>
              <w:spacing w:line="276" w:lineRule="auto"/>
              <w:ind w:left="113" w:right="113"/>
              <w:jc w:val="center"/>
              <w:rPr>
                <w:rFonts w:ascii="Lato" w:hAnsi="Lato" w:cstheme="minorHAnsi"/>
                <w:color w:val="000000" w:themeColor="text1"/>
                <w:spacing w:val="-10"/>
                <w:sz w:val="18"/>
                <w:szCs w:val="18"/>
              </w:rPr>
            </w:pPr>
            <w:r w:rsidRPr="003300D7">
              <w:rPr>
                <w:rFonts w:ascii="Lato" w:hAnsi="Lato" w:cstheme="minorHAnsi"/>
                <w:color w:val="000000" w:themeColor="text1"/>
                <w:sz w:val="18"/>
                <w:szCs w:val="18"/>
              </w:rPr>
              <w:t>zapadalność na 100 tys.</w:t>
            </w:r>
          </w:p>
        </w:tc>
        <w:tc>
          <w:tcPr>
            <w:tcW w:w="674" w:type="dxa"/>
            <w:shd w:val="clear" w:color="auto" w:fill="D9D9D9" w:themeFill="background1" w:themeFillShade="D9"/>
            <w:textDirection w:val="btLr"/>
            <w:vAlign w:val="center"/>
          </w:tcPr>
          <w:p w14:paraId="300E9E2F" w14:textId="77777777" w:rsidR="00986DE0" w:rsidRPr="003300D7" w:rsidRDefault="00986DE0" w:rsidP="003C7140">
            <w:pPr>
              <w:tabs>
                <w:tab w:val="left" w:pos="1890"/>
              </w:tabs>
              <w:spacing w:line="276" w:lineRule="auto"/>
              <w:ind w:left="113" w:right="113"/>
              <w:jc w:val="center"/>
              <w:rPr>
                <w:rFonts w:ascii="Lato" w:hAnsi="Lato" w:cstheme="minorHAnsi"/>
                <w:bCs/>
                <w:color w:val="000000" w:themeColor="text1"/>
                <w:spacing w:val="-10"/>
                <w:sz w:val="18"/>
                <w:szCs w:val="18"/>
              </w:rPr>
            </w:pPr>
            <w:r w:rsidRPr="003300D7">
              <w:rPr>
                <w:rFonts w:ascii="Lato" w:hAnsi="Lato" w:cstheme="minorHAnsi"/>
                <w:bCs/>
                <w:color w:val="000000" w:themeColor="text1"/>
                <w:spacing w:val="-10"/>
                <w:sz w:val="18"/>
                <w:szCs w:val="18"/>
              </w:rPr>
              <w:t>zachorowania</w:t>
            </w:r>
          </w:p>
        </w:tc>
        <w:tc>
          <w:tcPr>
            <w:tcW w:w="675" w:type="dxa"/>
            <w:shd w:val="clear" w:color="auto" w:fill="D9D9D9" w:themeFill="background1" w:themeFillShade="D9"/>
            <w:textDirection w:val="btLr"/>
            <w:vAlign w:val="center"/>
          </w:tcPr>
          <w:p w14:paraId="3BD74465" w14:textId="77777777" w:rsidR="00986DE0" w:rsidRPr="003300D7" w:rsidRDefault="00986DE0" w:rsidP="003C7140">
            <w:pPr>
              <w:tabs>
                <w:tab w:val="left" w:pos="1890"/>
              </w:tabs>
              <w:spacing w:line="276" w:lineRule="auto"/>
              <w:ind w:left="113" w:right="113"/>
              <w:jc w:val="center"/>
              <w:rPr>
                <w:rFonts w:ascii="Lato" w:hAnsi="Lato" w:cstheme="minorHAnsi"/>
                <w:bCs/>
                <w:color w:val="000000" w:themeColor="text1"/>
                <w:spacing w:val="-10"/>
                <w:sz w:val="18"/>
                <w:szCs w:val="18"/>
              </w:rPr>
            </w:pPr>
            <w:r w:rsidRPr="003300D7">
              <w:rPr>
                <w:rFonts w:ascii="Lato" w:hAnsi="Lato" w:cstheme="minorHAnsi"/>
                <w:bCs/>
                <w:color w:val="000000" w:themeColor="text1"/>
                <w:sz w:val="18"/>
                <w:szCs w:val="18"/>
              </w:rPr>
              <w:t>zapadalność na 100 tys.</w:t>
            </w:r>
          </w:p>
        </w:tc>
        <w:tc>
          <w:tcPr>
            <w:tcW w:w="675" w:type="dxa"/>
            <w:tcBorders>
              <w:bottom w:val="nil"/>
            </w:tcBorders>
            <w:shd w:val="clear" w:color="auto" w:fill="D9D9D9" w:themeFill="background1" w:themeFillShade="D9"/>
            <w:textDirection w:val="btLr"/>
            <w:vAlign w:val="center"/>
          </w:tcPr>
          <w:p w14:paraId="4C67AFEE" w14:textId="77777777" w:rsidR="00986DE0" w:rsidRPr="003300D7" w:rsidRDefault="00986DE0" w:rsidP="003C7140">
            <w:pPr>
              <w:tabs>
                <w:tab w:val="left" w:pos="1890"/>
              </w:tabs>
              <w:spacing w:line="276" w:lineRule="auto"/>
              <w:ind w:left="113" w:right="113"/>
              <w:jc w:val="center"/>
              <w:rPr>
                <w:rFonts w:ascii="Lato" w:hAnsi="Lato" w:cstheme="minorHAnsi"/>
                <w:b/>
                <w:bCs/>
                <w:color w:val="000000" w:themeColor="text1"/>
                <w:spacing w:val="-10"/>
                <w:sz w:val="18"/>
                <w:szCs w:val="18"/>
              </w:rPr>
            </w:pPr>
            <w:r w:rsidRPr="003300D7">
              <w:rPr>
                <w:rFonts w:ascii="Lato" w:hAnsi="Lato" w:cstheme="minorHAnsi"/>
                <w:b/>
                <w:bCs/>
                <w:color w:val="000000" w:themeColor="text1"/>
                <w:spacing w:val="-10"/>
                <w:sz w:val="18"/>
                <w:szCs w:val="18"/>
              </w:rPr>
              <w:t>zachorowania</w:t>
            </w:r>
          </w:p>
        </w:tc>
        <w:tc>
          <w:tcPr>
            <w:tcW w:w="675" w:type="dxa"/>
            <w:tcBorders>
              <w:bottom w:val="nil"/>
            </w:tcBorders>
            <w:shd w:val="clear" w:color="auto" w:fill="D9D9D9" w:themeFill="background1" w:themeFillShade="D9"/>
            <w:textDirection w:val="btLr"/>
            <w:vAlign w:val="center"/>
          </w:tcPr>
          <w:p w14:paraId="40D5241D" w14:textId="77777777" w:rsidR="00986DE0" w:rsidRPr="003300D7" w:rsidRDefault="00986DE0" w:rsidP="003C7140">
            <w:pPr>
              <w:tabs>
                <w:tab w:val="left" w:pos="1890"/>
              </w:tabs>
              <w:spacing w:line="276" w:lineRule="auto"/>
              <w:ind w:left="113" w:right="113"/>
              <w:jc w:val="center"/>
              <w:rPr>
                <w:rFonts w:ascii="Lato" w:hAnsi="Lato" w:cstheme="minorHAnsi"/>
                <w:b/>
                <w:bCs/>
                <w:color w:val="000000" w:themeColor="text1"/>
                <w:sz w:val="18"/>
                <w:szCs w:val="18"/>
              </w:rPr>
            </w:pPr>
            <w:r w:rsidRPr="003300D7">
              <w:rPr>
                <w:rFonts w:ascii="Lato" w:hAnsi="Lato" w:cstheme="minorHAnsi"/>
                <w:b/>
                <w:bCs/>
                <w:color w:val="000000" w:themeColor="text1"/>
                <w:sz w:val="18"/>
                <w:szCs w:val="18"/>
              </w:rPr>
              <w:t>zapadalność na 100 tys.</w:t>
            </w:r>
          </w:p>
        </w:tc>
      </w:tr>
      <w:tr w:rsidR="00986DE0" w:rsidRPr="003300D7" w14:paraId="5E15CD3E" w14:textId="77777777" w:rsidTr="003C7140">
        <w:trPr>
          <w:cantSplit/>
          <w:trHeight w:hRule="exact" w:val="284"/>
          <w:jc w:val="center"/>
        </w:trPr>
        <w:tc>
          <w:tcPr>
            <w:tcW w:w="2213" w:type="dxa"/>
            <w:tcBorders>
              <w:bottom w:val="single" w:sz="4" w:space="0" w:color="auto"/>
            </w:tcBorders>
            <w:shd w:val="clear" w:color="auto" w:fill="FFFFFF"/>
            <w:vAlign w:val="center"/>
          </w:tcPr>
          <w:p w14:paraId="1BD36CA3"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r w:rsidRPr="003300D7">
              <w:rPr>
                <w:rFonts w:ascii="Lato" w:hAnsi="Lato" w:cstheme="minorHAnsi"/>
                <w:color w:val="000000" w:themeColor="text1"/>
                <w:sz w:val="18"/>
                <w:szCs w:val="18"/>
              </w:rPr>
              <w:t>Polska</w:t>
            </w:r>
          </w:p>
        </w:tc>
        <w:tc>
          <w:tcPr>
            <w:tcW w:w="674" w:type="dxa"/>
            <w:shd w:val="clear" w:color="auto" w:fill="FFFFFF"/>
            <w:vAlign w:val="center"/>
          </w:tcPr>
          <w:p w14:paraId="18FB6AC8"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r w:rsidRPr="003300D7">
              <w:rPr>
                <w:rFonts w:ascii="Lato" w:hAnsi="Lato" w:cstheme="minorHAnsi"/>
                <w:color w:val="000000" w:themeColor="text1"/>
                <w:sz w:val="18"/>
                <w:szCs w:val="18"/>
              </w:rPr>
              <w:t>1244</w:t>
            </w:r>
          </w:p>
        </w:tc>
        <w:tc>
          <w:tcPr>
            <w:tcW w:w="675" w:type="dxa"/>
            <w:shd w:val="clear" w:color="auto" w:fill="FFFFFF"/>
            <w:vAlign w:val="center"/>
          </w:tcPr>
          <w:p w14:paraId="003C2BAA"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r w:rsidRPr="003300D7">
              <w:rPr>
                <w:rFonts w:ascii="Lato" w:hAnsi="Lato" w:cstheme="minorHAnsi"/>
                <w:color w:val="000000" w:themeColor="text1"/>
                <w:sz w:val="18"/>
                <w:szCs w:val="18"/>
              </w:rPr>
              <w:t>3,26</w:t>
            </w:r>
          </w:p>
        </w:tc>
        <w:tc>
          <w:tcPr>
            <w:tcW w:w="675" w:type="dxa"/>
            <w:shd w:val="clear" w:color="auto" w:fill="FFFFFF"/>
            <w:vAlign w:val="center"/>
          </w:tcPr>
          <w:p w14:paraId="1F63C44B"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r w:rsidRPr="003300D7">
              <w:rPr>
                <w:rFonts w:ascii="Lato" w:hAnsi="Lato" w:cstheme="minorHAnsi"/>
                <w:color w:val="000000" w:themeColor="text1"/>
                <w:sz w:val="18"/>
                <w:szCs w:val="18"/>
              </w:rPr>
              <w:t>2525</w:t>
            </w:r>
          </w:p>
        </w:tc>
        <w:tc>
          <w:tcPr>
            <w:tcW w:w="674" w:type="dxa"/>
            <w:shd w:val="clear" w:color="auto" w:fill="FFFFFF"/>
            <w:vAlign w:val="center"/>
          </w:tcPr>
          <w:p w14:paraId="516E392E"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r w:rsidRPr="003300D7">
              <w:rPr>
                <w:rFonts w:ascii="Lato" w:hAnsi="Lato" w:cstheme="minorHAnsi"/>
                <w:color w:val="000000" w:themeColor="text1"/>
                <w:sz w:val="18"/>
                <w:szCs w:val="18"/>
              </w:rPr>
              <w:t>6,69</w:t>
            </w:r>
          </w:p>
        </w:tc>
        <w:tc>
          <w:tcPr>
            <w:tcW w:w="675" w:type="dxa"/>
            <w:shd w:val="clear" w:color="auto" w:fill="FFFFFF"/>
            <w:vAlign w:val="center"/>
          </w:tcPr>
          <w:p w14:paraId="0C9469F6"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r w:rsidRPr="003300D7">
              <w:rPr>
                <w:rFonts w:ascii="Lato" w:hAnsi="Lato" w:cstheme="minorHAnsi"/>
                <w:color w:val="000000" w:themeColor="text1"/>
                <w:sz w:val="18"/>
                <w:szCs w:val="18"/>
              </w:rPr>
              <w:t>3267</w:t>
            </w:r>
          </w:p>
        </w:tc>
        <w:tc>
          <w:tcPr>
            <w:tcW w:w="675" w:type="dxa"/>
            <w:shd w:val="clear" w:color="auto" w:fill="FFFFFF"/>
            <w:vAlign w:val="center"/>
          </w:tcPr>
          <w:p w14:paraId="34B1CA73"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r w:rsidRPr="003300D7">
              <w:rPr>
                <w:rFonts w:ascii="Lato" w:hAnsi="Lato" w:cstheme="minorHAnsi"/>
                <w:color w:val="000000" w:themeColor="text1"/>
                <w:sz w:val="18"/>
                <w:szCs w:val="18"/>
              </w:rPr>
              <w:t>8,66</w:t>
            </w:r>
          </w:p>
        </w:tc>
        <w:tc>
          <w:tcPr>
            <w:tcW w:w="674" w:type="dxa"/>
            <w:shd w:val="clear" w:color="auto" w:fill="FFFFFF"/>
            <w:vAlign w:val="center"/>
          </w:tcPr>
          <w:p w14:paraId="23B06D94"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r w:rsidRPr="003300D7">
              <w:rPr>
                <w:rFonts w:ascii="Lato" w:hAnsi="Lato" w:cstheme="minorHAnsi"/>
                <w:color w:val="000000" w:themeColor="text1"/>
                <w:sz w:val="18"/>
                <w:szCs w:val="18"/>
              </w:rPr>
              <w:t>3570</w:t>
            </w:r>
          </w:p>
        </w:tc>
        <w:tc>
          <w:tcPr>
            <w:tcW w:w="675" w:type="dxa"/>
            <w:shd w:val="clear" w:color="auto" w:fill="FFFFFF"/>
            <w:vAlign w:val="center"/>
          </w:tcPr>
          <w:p w14:paraId="42688B66"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r w:rsidRPr="003300D7">
              <w:rPr>
                <w:rFonts w:ascii="Lato" w:hAnsi="Lato" w:cstheme="minorHAnsi"/>
                <w:color w:val="000000" w:themeColor="text1"/>
                <w:sz w:val="18"/>
                <w:szCs w:val="18"/>
              </w:rPr>
              <w:t>9,51</w:t>
            </w:r>
          </w:p>
        </w:tc>
        <w:tc>
          <w:tcPr>
            <w:tcW w:w="675" w:type="dxa"/>
            <w:shd w:val="clear" w:color="auto" w:fill="FFFFFF"/>
            <w:vAlign w:val="center"/>
          </w:tcPr>
          <w:p w14:paraId="3FB8B094" w14:textId="77777777" w:rsidR="00986DE0" w:rsidRPr="003300D7" w:rsidRDefault="00986DE0" w:rsidP="003C7140">
            <w:pPr>
              <w:tabs>
                <w:tab w:val="left" w:pos="1890"/>
              </w:tabs>
              <w:spacing w:line="276" w:lineRule="auto"/>
              <w:jc w:val="center"/>
              <w:rPr>
                <w:rFonts w:ascii="Lato" w:hAnsi="Lato" w:cstheme="minorHAnsi"/>
                <w:b/>
                <w:bCs/>
                <w:color w:val="000000" w:themeColor="text1"/>
                <w:sz w:val="18"/>
                <w:szCs w:val="18"/>
              </w:rPr>
            </w:pPr>
            <w:r w:rsidRPr="003300D7">
              <w:rPr>
                <w:rFonts w:ascii="Lato" w:hAnsi="Lato" w:cstheme="minorHAnsi"/>
                <w:b/>
                <w:bCs/>
                <w:color w:val="000000" w:themeColor="text1"/>
                <w:sz w:val="18"/>
                <w:szCs w:val="18"/>
              </w:rPr>
              <w:t>4074</w:t>
            </w:r>
          </w:p>
        </w:tc>
        <w:tc>
          <w:tcPr>
            <w:tcW w:w="675" w:type="dxa"/>
            <w:shd w:val="clear" w:color="auto" w:fill="FFFFFF"/>
            <w:vAlign w:val="center"/>
          </w:tcPr>
          <w:p w14:paraId="2B5B0684" w14:textId="77777777" w:rsidR="00986DE0" w:rsidRPr="003300D7" w:rsidRDefault="00986DE0" w:rsidP="003C7140">
            <w:pPr>
              <w:tabs>
                <w:tab w:val="left" w:pos="1890"/>
              </w:tabs>
              <w:spacing w:line="276" w:lineRule="auto"/>
              <w:jc w:val="center"/>
              <w:rPr>
                <w:rFonts w:ascii="Lato" w:hAnsi="Lato" w:cstheme="minorHAnsi"/>
                <w:b/>
                <w:bCs/>
                <w:color w:val="000000" w:themeColor="text1"/>
                <w:sz w:val="18"/>
                <w:szCs w:val="18"/>
              </w:rPr>
            </w:pPr>
            <w:r w:rsidRPr="003300D7">
              <w:rPr>
                <w:rFonts w:ascii="Lato" w:hAnsi="Lato" w:cstheme="minorHAnsi"/>
                <w:b/>
                <w:bCs/>
                <w:color w:val="000000" w:themeColor="text1"/>
                <w:sz w:val="18"/>
                <w:szCs w:val="18"/>
              </w:rPr>
              <w:t>10,89</w:t>
            </w:r>
          </w:p>
        </w:tc>
      </w:tr>
      <w:tr w:rsidR="00986DE0" w:rsidRPr="003300D7" w14:paraId="284703D6" w14:textId="77777777" w:rsidTr="003C7140">
        <w:trPr>
          <w:cantSplit/>
          <w:trHeight w:val="333"/>
          <w:jc w:val="center"/>
        </w:trPr>
        <w:tc>
          <w:tcPr>
            <w:tcW w:w="2213" w:type="dxa"/>
            <w:vAlign w:val="center"/>
          </w:tcPr>
          <w:p w14:paraId="056FB4D2" w14:textId="77777777" w:rsidR="00986DE0" w:rsidRPr="003300D7" w:rsidRDefault="00986DE0" w:rsidP="003C7140">
            <w:pPr>
              <w:tabs>
                <w:tab w:val="left" w:pos="1890"/>
              </w:tabs>
              <w:spacing w:line="276" w:lineRule="auto"/>
              <w:jc w:val="center"/>
              <w:rPr>
                <w:rFonts w:ascii="Lato" w:hAnsi="Lato" w:cstheme="minorHAnsi"/>
                <w:bCs/>
                <w:color w:val="000000" w:themeColor="text1"/>
                <w:sz w:val="18"/>
                <w:szCs w:val="18"/>
              </w:rPr>
            </w:pPr>
            <w:r w:rsidRPr="003300D7">
              <w:rPr>
                <w:rFonts w:ascii="Lato" w:hAnsi="Lato" w:cstheme="minorHAnsi"/>
                <w:bCs/>
                <w:color w:val="000000" w:themeColor="text1"/>
                <w:sz w:val="18"/>
                <w:szCs w:val="18"/>
              </w:rPr>
              <w:t xml:space="preserve">województwo </w:t>
            </w:r>
            <w:r w:rsidRPr="003300D7">
              <w:rPr>
                <w:rFonts w:ascii="Lato" w:hAnsi="Lato" w:cstheme="minorHAnsi"/>
                <w:bCs/>
                <w:color w:val="000000" w:themeColor="text1"/>
                <w:spacing w:val="-6"/>
                <w:sz w:val="18"/>
                <w:szCs w:val="18"/>
              </w:rPr>
              <w:t>zachodniopomorskie</w:t>
            </w:r>
          </w:p>
        </w:tc>
        <w:tc>
          <w:tcPr>
            <w:tcW w:w="674" w:type="dxa"/>
            <w:vAlign w:val="center"/>
          </w:tcPr>
          <w:p w14:paraId="297881FB"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r w:rsidRPr="003300D7">
              <w:rPr>
                <w:rFonts w:ascii="Lato" w:hAnsi="Lato" w:cstheme="minorHAnsi"/>
                <w:color w:val="000000" w:themeColor="text1"/>
                <w:sz w:val="18"/>
                <w:szCs w:val="18"/>
              </w:rPr>
              <w:t>46</w:t>
            </w:r>
          </w:p>
        </w:tc>
        <w:tc>
          <w:tcPr>
            <w:tcW w:w="675" w:type="dxa"/>
            <w:vAlign w:val="center"/>
          </w:tcPr>
          <w:p w14:paraId="0F1F3BAD"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r w:rsidRPr="003300D7">
              <w:rPr>
                <w:rFonts w:ascii="Lato" w:hAnsi="Lato" w:cstheme="minorHAnsi"/>
                <w:color w:val="000000" w:themeColor="text1"/>
                <w:sz w:val="18"/>
                <w:szCs w:val="18"/>
              </w:rPr>
              <w:t>2,73</w:t>
            </w:r>
          </w:p>
        </w:tc>
        <w:tc>
          <w:tcPr>
            <w:tcW w:w="675" w:type="dxa"/>
            <w:vAlign w:val="center"/>
          </w:tcPr>
          <w:p w14:paraId="3C4105E2"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r w:rsidRPr="003300D7">
              <w:rPr>
                <w:rFonts w:ascii="Lato" w:hAnsi="Lato" w:cstheme="minorHAnsi"/>
                <w:color w:val="000000" w:themeColor="text1"/>
                <w:sz w:val="18"/>
                <w:szCs w:val="18"/>
              </w:rPr>
              <w:t>261</w:t>
            </w:r>
          </w:p>
        </w:tc>
        <w:tc>
          <w:tcPr>
            <w:tcW w:w="674" w:type="dxa"/>
            <w:vAlign w:val="center"/>
          </w:tcPr>
          <w:p w14:paraId="258B851F"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r w:rsidRPr="003300D7">
              <w:rPr>
                <w:rFonts w:ascii="Lato" w:hAnsi="Lato" w:cstheme="minorHAnsi"/>
                <w:color w:val="000000" w:themeColor="text1"/>
                <w:sz w:val="18"/>
                <w:szCs w:val="18"/>
              </w:rPr>
              <w:t>15,87</w:t>
            </w:r>
          </w:p>
        </w:tc>
        <w:tc>
          <w:tcPr>
            <w:tcW w:w="675" w:type="dxa"/>
            <w:vAlign w:val="center"/>
          </w:tcPr>
          <w:p w14:paraId="747EBDD1"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r w:rsidRPr="003300D7">
              <w:rPr>
                <w:rFonts w:ascii="Lato" w:hAnsi="Lato" w:cstheme="minorHAnsi"/>
                <w:color w:val="000000" w:themeColor="text1"/>
                <w:sz w:val="18"/>
                <w:szCs w:val="18"/>
              </w:rPr>
              <w:t>238</w:t>
            </w:r>
          </w:p>
        </w:tc>
        <w:tc>
          <w:tcPr>
            <w:tcW w:w="675" w:type="dxa"/>
            <w:vAlign w:val="center"/>
          </w:tcPr>
          <w:p w14:paraId="3D44E6AC"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r w:rsidRPr="003300D7">
              <w:rPr>
                <w:rFonts w:ascii="Lato" w:hAnsi="Lato" w:cstheme="minorHAnsi"/>
                <w:color w:val="000000" w:themeColor="text1"/>
                <w:sz w:val="18"/>
                <w:szCs w:val="18"/>
              </w:rPr>
              <w:t>14,55</w:t>
            </w:r>
          </w:p>
        </w:tc>
        <w:tc>
          <w:tcPr>
            <w:tcW w:w="674" w:type="dxa"/>
            <w:vAlign w:val="center"/>
          </w:tcPr>
          <w:p w14:paraId="1752361E"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r w:rsidRPr="003300D7">
              <w:rPr>
                <w:rFonts w:ascii="Lato" w:hAnsi="Lato" w:cstheme="minorHAnsi"/>
                <w:color w:val="000000" w:themeColor="text1"/>
                <w:sz w:val="18"/>
                <w:szCs w:val="18"/>
              </w:rPr>
              <w:t>256</w:t>
            </w:r>
          </w:p>
        </w:tc>
        <w:tc>
          <w:tcPr>
            <w:tcW w:w="675" w:type="dxa"/>
            <w:vAlign w:val="center"/>
          </w:tcPr>
          <w:p w14:paraId="47F2EA60" w14:textId="77777777" w:rsidR="00986DE0" w:rsidRPr="003300D7" w:rsidRDefault="00986DE0" w:rsidP="003C7140">
            <w:pPr>
              <w:tabs>
                <w:tab w:val="left" w:pos="1890"/>
              </w:tabs>
              <w:spacing w:line="276" w:lineRule="auto"/>
              <w:jc w:val="center"/>
              <w:rPr>
                <w:rFonts w:ascii="Lato" w:hAnsi="Lato" w:cstheme="minorHAnsi"/>
                <w:color w:val="000000" w:themeColor="text1"/>
                <w:sz w:val="18"/>
                <w:szCs w:val="18"/>
              </w:rPr>
            </w:pPr>
            <w:r w:rsidRPr="003300D7">
              <w:rPr>
                <w:rFonts w:ascii="Lato" w:hAnsi="Lato" w:cstheme="minorHAnsi"/>
                <w:color w:val="000000" w:themeColor="text1"/>
                <w:sz w:val="18"/>
                <w:szCs w:val="18"/>
              </w:rPr>
              <w:t>15,74</w:t>
            </w:r>
          </w:p>
        </w:tc>
        <w:tc>
          <w:tcPr>
            <w:tcW w:w="675" w:type="dxa"/>
            <w:shd w:val="clear" w:color="auto" w:fill="FFFFFF"/>
            <w:vAlign w:val="center"/>
          </w:tcPr>
          <w:p w14:paraId="4D1637AC" w14:textId="77777777" w:rsidR="00986DE0" w:rsidRPr="003300D7" w:rsidRDefault="00986DE0" w:rsidP="003C7140">
            <w:pPr>
              <w:tabs>
                <w:tab w:val="left" w:pos="1890"/>
              </w:tabs>
              <w:spacing w:line="276" w:lineRule="auto"/>
              <w:jc w:val="center"/>
              <w:rPr>
                <w:rFonts w:ascii="Lato" w:hAnsi="Lato" w:cstheme="minorHAnsi"/>
                <w:b/>
                <w:bCs/>
                <w:color w:val="000000" w:themeColor="text1"/>
                <w:sz w:val="18"/>
                <w:szCs w:val="18"/>
              </w:rPr>
            </w:pPr>
            <w:r w:rsidRPr="003300D7">
              <w:rPr>
                <w:rFonts w:ascii="Lato" w:hAnsi="Lato" w:cstheme="minorHAnsi"/>
                <w:b/>
                <w:bCs/>
                <w:color w:val="000000" w:themeColor="text1"/>
                <w:sz w:val="18"/>
                <w:szCs w:val="18"/>
              </w:rPr>
              <w:t>248</w:t>
            </w:r>
          </w:p>
        </w:tc>
        <w:tc>
          <w:tcPr>
            <w:tcW w:w="675" w:type="dxa"/>
            <w:shd w:val="clear" w:color="auto" w:fill="FFFFFF"/>
            <w:vAlign w:val="center"/>
          </w:tcPr>
          <w:p w14:paraId="6862904F" w14:textId="77777777" w:rsidR="00986DE0" w:rsidRPr="003300D7" w:rsidRDefault="00986DE0" w:rsidP="003C7140">
            <w:pPr>
              <w:tabs>
                <w:tab w:val="left" w:pos="1890"/>
              </w:tabs>
              <w:spacing w:line="276" w:lineRule="auto"/>
              <w:jc w:val="center"/>
              <w:rPr>
                <w:rFonts w:ascii="Lato" w:hAnsi="Lato" w:cstheme="minorHAnsi"/>
                <w:b/>
                <w:bCs/>
                <w:color w:val="000000" w:themeColor="text1"/>
                <w:sz w:val="18"/>
                <w:szCs w:val="18"/>
              </w:rPr>
            </w:pPr>
            <w:r w:rsidRPr="003300D7">
              <w:rPr>
                <w:rFonts w:ascii="Lato" w:hAnsi="Lato" w:cstheme="minorHAnsi"/>
                <w:b/>
                <w:bCs/>
                <w:color w:val="000000" w:themeColor="text1"/>
                <w:sz w:val="18"/>
                <w:szCs w:val="18"/>
              </w:rPr>
              <w:t>15,33</w:t>
            </w:r>
          </w:p>
        </w:tc>
      </w:tr>
    </w:tbl>
    <w:p w14:paraId="27AB1F6E" w14:textId="77777777" w:rsidR="00766557" w:rsidRDefault="00766557" w:rsidP="001E187C">
      <w:pPr>
        <w:tabs>
          <w:tab w:val="left" w:pos="851"/>
        </w:tabs>
        <w:spacing w:line="360" w:lineRule="auto"/>
        <w:rPr>
          <w:rFonts w:ascii="Lato" w:hAnsi="Lato" w:cstheme="minorHAnsi"/>
          <w:color w:val="000000" w:themeColor="text1"/>
          <w:sz w:val="22"/>
          <w:szCs w:val="22"/>
        </w:rPr>
      </w:pPr>
    </w:p>
    <w:p w14:paraId="476AFA1D" w14:textId="3F1BC6EC" w:rsidR="00986DE0" w:rsidRPr="005170BB" w:rsidRDefault="00986DE0" w:rsidP="001E187C">
      <w:pPr>
        <w:tabs>
          <w:tab w:val="left" w:pos="851"/>
        </w:tabs>
        <w:spacing w:line="360" w:lineRule="auto"/>
        <w:rPr>
          <w:rFonts w:ascii="Lato" w:hAnsi="Lato" w:cstheme="minorHAnsi"/>
          <w:color w:val="000000" w:themeColor="text1"/>
          <w:sz w:val="22"/>
          <w:szCs w:val="22"/>
        </w:rPr>
      </w:pPr>
      <w:r w:rsidRPr="005170BB">
        <w:rPr>
          <w:rFonts w:ascii="Lato" w:hAnsi="Lato" w:cstheme="minorHAnsi"/>
          <w:color w:val="000000" w:themeColor="text1"/>
          <w:sz w:val="22"/>
          <w:szCs w:val="22"/>
        </w:rPr>
        <w:t>Wśród chorych dominowały osoby w wieku 41-50 lat (71 osób) oraz 51-60 lat (50 osób).</w:t>
      </w:r>
    </w:p>
    <w:p w14:paraId="6B826F5D" w14:textId="77777777" w:rsidR="00C92B81" w:rsidRDefault="00C92B81" w:rsidP="001E187C">
      <w:pPr>
        <w:tabs>
          <w:tab w:val="left" w:pos="851"/>
        </w:tabs>
        <w:spacing w:line="360" w:lineRule="auto"/>
        <w:rPr>
          <w:rFonts w:ascii="Lato" w:hAnsi="Lato" w:cstheme="minorHAnsi"/>
          <w:b/>
          <w:color w:val="000000" w:themeColor="text1"/>
          <w:sz w:val="22"/>
          <w:szCs w:val="22"/>
        </w:rPr>
      </w:pPr>
    </w:p>
    <w:p w14:paraId="6E0A0E69" w14:textId="7DEF970B" w:rsidR="00986DE0" w:rsidRPr="003818A5" w:rsidRDefault="00986DE0" w:rsidP="001E187C">
      <w:pPr>
        <w:tabs>
          <w:tab w:val="left" w:pos="851"/>
        </w:tabs>
        <w:spacing w:line="360" w:lineRule="auto"/>
        <w:rPr>
          <w:rFonts w:ascii="Lato" w:hAnsi="Lato" w:cstheme="minorHAnsi"/>
          <w:bCs/>
          <w:color w:val="000000" w:themeColor="text1"/>
          <w:sz w:val="22"/>
          <w:szCs w:val="22"/>
          <w:u w:val="single"/>
        </w:rPr>
      </w:pPr>
      <w:r w:rsidRPr="003818A5">
        <w:rPr>
          <w:rFonts w:ascii="Lato" w:hAnsi="Lato" w:cstheme="minorHAnsi"/>
          <w:bCs/>
          <w:color w:val="000000" w:themeColor="text1"/>
          <w:sz w:val="22"/>
          <w:szCs w:val="22"/>
          <w:u w:val="single"/>
        </w:rPr>
        <w:t>Wirusowe zapalenie wątroby inne i nieokreślone</w:t>
      </w:r>
    </w:p>
    <w:p w14:paraId="12D7D738" w14:textId="270F2464" w:rsidR="00986DE0" w:rsidRDefault="00986DE0" w:rsidP="001E187C">
      <w:pPr>
        <w:spacing w:line="360" w:lineRule="auto"/>
        <w:rPr>
          <w:rFonts w:ascii="Lato" w:hAnsi="Lato" w:cstheme="minorHAnsi"/>
          <w:color w:val="000000" w:themeColor="text1"/>
          <w:sz w:val="22"/>
          <w:szCs w:val="22"/>
        </w:rPr>
      </w:pPr>
      <w:r w:rsidRPr="005170BB">
        <w:rPr>
          <w:rFonts w:ascii="Lato" w:hAnsi="Lato" w:cstheme="minorHAnsi"/>
          <w:color w:val="000000" w:themeColor="text1"/>
          <w:sz w:val="22"/>
          <w:szCs w:val="22"/>
        </w:rPr>
        <w:t>W woj. zachodniopomorskim w 2025 roku zarejestrowano 2 przypadki zachorowań na</w:t>
      </w:r>
      <w:r w:rsidR="00E31B5B">
        <w:rPr>
          <w:rFonts w:ascii="Lato" w:hAnsi="Lato" w:cstheme="minorHAnsi"/>
          <w:color w:val="000000" w:themeColor="text1"/>
          <w:sz w:val="22"/>
          <w:szCs w:val="22"/>
        </w:rPr>
        <w:t> </w:t>
      </w:r>
      <w:r w:rsidRPr="005170BB">
        <w:rPr>
          <w:rFonts w:ascii="Lato" w:hAnsi="Lato" w:cstheme="minorHAnsi"/>
          <w:color w:val="000000" w:themeColor="text1"/>
          <w:sz w:val="22"/>
          <w:szCs w:val="22"/>
        </w:rPr>
        <w:t>wirusowe zapalenie wątroby o etiologii innej i nieokreślonej (współczynnik zapadalności 0,12 na 100 tys. mieszkańców), tj. o 3 osoby mniej niż w roku ubiegłym.</w:t>
      </w:r>
    </w:p>
    <w:p w14:paraId="68A76237" w14:textId="77777777" w:rsidR="00B65EF5" w:rsidRPr="005170BB" w:rsidRDefault="00B65EF5" w:rsidP="001E187C">
      <w:pPr>
        <w:spacing w:line="360" w:lineRule="auto"/>
        <w:rPr>
          <w:rFonts w:ascii="Lato" w:hAnsi="Lato" w:cstheme="minorHAnsi"/>
          <w:color w:val="000000" w:themeColor="text1"/>
          <w:sz w:val="22"/>
          <w:szCs w:val="22"/>
        </w:rPr>
      </w:pPr>
    </w:p>
    <w:p w14:paraId="7D684998" w14:textId="4AF0DA85" w:rsidR="00986DE0" w:rsidRDefault="00986DE0">
      <w:pPr>
        <w:pStyle w:val="Nagwek3"/>
        <w:numPr>
          <w:ilvl w:val="1"/>
          <w:numId w:val="9"/>
        </w:numPr>
        <w:spacing w:before="0" w:after="0" w:line="360" w:lineRule="auto"/>
        <w:ind w:right="284" w:hanging="284"/>
        <w:rPr>
          <w:color w:val="auto"/>
          <w:szCs w:val="22"/>
        </w:rPr>
      </w:pPr>
      <w:bookmarkStart w:id="16" w:name="_Toc225235844"/>
      <w:bookmarkStart w:id="17" w:name="_Toc225859031"/>
      <w:r w:rsidRPr="005E716D">
        <w:rPr>
          <w:color w:val="auto"/>
          <w:szCs w:val="22"/>
        </w:rPr>
        <w:t>Wybrane choroby infekcyjne układu oddechowego: Covid-19, grypa i RSV</w:t>
      </w:r>
      <w:bookmarkEnd w:id="16"/>
      <w:bookmarkEnd w:id="17"/>
    </w:p>
    <w:p w14:paraId="22091F17" w14:textId="77777777" w:rsidR="00BA2854" w:rsidRPr="00BA2854" w:rsidRDefault="00BA2854" w:rsidP="00BA2854">
      <w:pPr>
        <w:rPr>
          <w:sz w:val="22"/>
          <w:szCs w:val="22"/>
        </w:rPr>
      </w:pPr>
    </w:p>
    <w:p w14:paraId="24DC4CA6" w14:textId="77777777" w:rsidR="00986DE0" w:rsidRPr="005170BB" w:rsidRDefault="00986DE0" w:rsidP="001E187C">
      <w:pPr>
        <w:autoSpaceDE w:val="0"/>
        <w:autoSpaceDN w:val="0"/>
        <w:adjustRightInd w:val="0"/>
        <w:spacing w:line="360" w:lineRule="auto"/>
        <w:rPr>
          <w:rFonts w:ascii="Lato" w:hAnsi="Lato" w:cstheme="minorHAnsi"/>
          <w:color w:val="000000" w:themeColor="text1"/>
          <w:sz w:val="22"/>
          <w:szCs w:val="22"/>
        </w:rPr>
      </w:pPr>
      <w:r w:rsidRPr="005170BB">
        <w:rPr>
          <w:rFonts w:ascii="Lato" w:hAnsi="Lato" w:cstheme="minorHAnsi"/>
          <w:color w:val="000000" w:themeColor="text1"/>
          <w:sz w:val="22"/>
          <w:szCs w:val="22"/>
        </w:rPr>
        <w:t xml:space="preserve">W 2025 r. głównymi chorobami infekcyjnymi podlegającymi raportowaniu zgodnie z przepisami ustawy z dnia 5 grudnia 2008 r. </w:t>
      </w:r>
      <w:r w:rsidRPr="005170BB">
        <w:rPr>
          <w:rFonts w:ascii="Lato" w:hAnsi="Lato" w:cstheme="minorHAnsi"/>
          <w:i/>
          <w:iCs/>
          <w:color w:val="000000" w:themeColor="text1"/>
          <w:sz w:val="22"/>
          <w:szCs w:val="22"/>
        </w:rPr>
        <w:t>o zapobieganiu i zwalczaniu zakażeń i chorób zakaźnych u ludzi</w:t>
      </w:r>
      <w:r w:rsidRPr="005170BB">
        <w:rPr>
          <w:rFonts w:ascii="Lato" w:hAnsi="Lato" w:cstheme="minorHAnsi"/>
          <w:color w:val="000000" w:themeColor="text1"/>
          <w:sz w:val="22"/>
          <w:szCs w:val="22"/>
        </w:rPr>
        <w:t xml:space="preserve"> były zakażenia SARS-CoV-2 (COVID-19), grypa oraz zakażenia RSV.</w:t>
      </w:r>
    </w:p>
    <w:p w14:paraId="32753CAB" w14:textId="7E020393" w:rsidR="00986DE0" w:rsidRPr="005170BB" w:rsidRDefault="00986DE0" w:rsidP="001E187C">
      <w:pPr>
        <w:pStyle w:val="NormalnyWeb"/>
        <w:spacing w:before="0" w:beforeAutospacing="0" w:after="0" w:afterAutospacing="0" w:line="360" w:lineRule="auto"/>
        <w:rPr>
          <w:rFonts w:ascii="Lato" w:hAnsi="Lato" w:cstheme="minorHAnsi"/>
          <w:color w:val="000000" w:themeColor="text1"/>
          <w:sz w:val="22"/>
          <w:szCs w:val="22"/>
        </w:rPr>
      </w:pPr>
      <w:r w:rsidRPr="005170BB">
        <w:rPr>
          <w:rFonts w:ascii="Lato" w:hAnsi="Lato" w:cstheme="minorHAnsi"/>
          <w:color w:val="000000" w:themeColor="text1"/>
          <w:sz w:val="22"/>
          <w:szCs w:val="22"/>
        </w:rPr>
        <w:t xml:space="preserve">Według danych NIZP PZH-PIB zapadalność potwierdzonych, jak również zaklasyfikowanych jako możliwe (zgłoszonych przez lekarzy na podstawie objawów klinicznych), przypadków SARS-CoV-2 w Polsce w 2025 r. była niższa niż w roku poprzedzającym i trend ten utrzymuje się od 2023 r. (tabela </w:t>
      </w:r>
      <w:r w:rsidR="006446AC">
        <w:rPr>
          <w:rFonts w:ascii="Lato" w:hAnsi="Lato" w:cstheme="minorHAnsi"/>
          <w:color w:val="000000" w:themeColor="text1"/>
          <w:sz w:val="22"/>
          <w:szCs w:val="22"/>
        </w:rPr>
        <w:t>6</w:t>
      </w:r>
      <w:r w:rsidRPr="005170BB">
        <w:rPr>
          <w:rFonts w:ascii="Lato" w:hAnsi="Lato" w:cstheme="minorHAnsi"/>
          <w:color w:val="000000" w:themeColor="text1"/>
          <w:sz w:val="22"/>
          <w:szCs w:val="22"/>
        </w:rPr>
        <w:t>). Podobną sytuację obserwowano w woj. zachodniopomorskim.</w:t>
      </w:r>
    </w:p>
    <w:p w14:paraId="56A54715" w14:textId="7CF8DEBA" w:rsidR="00986DE0" w:rsidRPr="00B42AAB" w:rsidRDefault="00986DE0" w:rsidP="001E187C">
      <w:pPr>
        <w:pStyle w:val="NormalnyWeb"/>
        <w:spacing w:before="0" w:beforeAutospacing="0" w:after="0" w:afterAutospacing="0" w:line="360" w:lineRule="auto"/>
        <w:rPr>
          <w:rFonts w:ascii="Lato" w:hAnsi="Lato" w:cstheme="minorHAnsi"/>
          <w:sz w:val="22"/>
          <w:szCs w:val="22"/>
        </w:rPr>
      </w:pPr>
      <w:r>
        <w:rPr>
          <w:rFonts w:ascii="Lato" w:hAnsi="Lato" w:cstheme="minorHAnsi"/>
          <w:sz w:val="22"/>
          <w:szCs w:val="22"/>
        </w:rPr>
        <w:t>Sytuacja epidemiologiczna</w:t>
      </w:r>
      <w:r w:rsidRPr="00B42AAB">
        <w:rPr>
          <w:rFonts w:ascii="Lato" w:hAnsi="Lato" w:cstheme="minorHAnsi"/>
          <w:sz w:val="22"/>
          <w:szCs w:val="22"/>
        </w:rPr>
        <w:t xml:space="preserve"> zakażeń SARS-CoV-2 w woj. zachodniopomorskim, w odniesieniu do roku poprzedniego, znacząco się poprawiła i była zbliżona do ogólnopolskiej, tj. stwierdzono o ponad 28 % mniej potwierdzonych zakażeń i ponad 98% mniej zakażeń możliwych. Analiza zachorowań na COVID-19 w latach 2024-2025 wykazała ich sezonow</w:t>
      </w:r>
      <w:r w:rsidR="003573F2">
        <w:rPr>
          <w:rFonts w:ascii="Lato" w:hAnsi="Lato" w:cstheme="minorHAnsi"/>
          <w:sz w:val="22"/>
          <w:szCs w:val="22"/>
        </w:rPr>
        <w:t>y wzrost</w:t>
      </w:r>
      <w:r w:rsidRPr="00B42AAB">
        <w:rPr>
          <w:rFonts w:ascii="Lato" w:hAnsi="Lato" w:cstheme="minorHAnsi"/>
          <w:sz w:val="22"/>
          <w:szCs w:val="22"/>
        </w:rPr>
        <w:t xml:space="preserve"> </w:t>
      </w:r>
      <w:r w:rsidR="003573F2" w:rsidRPr="00B42AAB">
        <w:rPr>
          <w:rFonts w:ascii="Lato" w:hAnsi="Lato" w:cstheme="minorHAnsi"/>
          <w:sz w:val="22"/>
          <w:szCs w:val="22"/>
        </w:rPr>
        <w:t xml:space="preserve">w okresie jesienno-zimowym </w:t>
      </w:r>
      <w:r w:rsidRPr="00B42AAB">
        <w:rPr>
          <w:rFonts w:ascii="Lato" w:hAnsi="Lato" w:cstheme="minorHAnsi"/>
          <w:sz w:val="22"/>
          <w:szCs w:val="22"/>
        </w:rPr>
        <w:t>(</w:t>
      </w:r>
      <w:r w:rsidR="00F72D7A" w:rsidRPr="00B2243B">
        <w:rPr>
          <w:rFonts w:ascii="Lato" w:hAnsi="Lato" w:cstheme="minorHAnsi"/>
          <w:sz w:val="22"/>
          <w:szCs w:val="22"/>
        </w:rPr>
        <w:t>wykres</w:t>
      </w:r>
      <w:r w:rsidRPr="00B2243B">
        <w:rPr>
          <w:rFonts w:ascii="Lato" w:hAnsi="Lato" w:cstheme="minorHAnsi"/>
          <w:sz w:val="22"/>
          <w:szCs w:val="22"/>
        </w:rPr>
        <w:t xml:space="preserve"> 1</w:t>
      </w:r>
      <w:r w:rsidR="003573F2" w:rsidRPr="00B2243B">
        <w:rPr>
          <w:rFonts w:ascii="Lato" w:hAnsi="Lato" w:cstheme="minorHAnsi"/>
          <w:sz w:val="22"/>
          <w:szCs w:val="22"/>
        </w:rPr>
        <w:t>)</w:t>
      </w:r>
      <w:r w:rsidRPr="00B2243B">
        <w:rPr>
          <w:rFonts w:ascii="Lato" w:hAnsi="Lato" w:cstheme="minorHAnsi"/>
          <w:sz w:val="22"/>
          <w:szCs w:val="22"/>
        </w:rPr>
        <w:t>,</w:t>
      </w:r>
      <w:r w:rsidRPr="00B42AAB">
        <w:rPr>
          <w:rFonts w:ascii="Lato" w:hAnsi="Lato" w:cstheme="minorHAnsi"/>
          <w:sz w:val="22"/>
          <w:szCs w:val="22"/>
        </w:rPr>
        <w:t xml:space="preserve"> podobnie jak w przypadku grypy czy RSV.</w:t>
      </w:r>
    </w:p>
    <w:p w14:paraId="0959BD83" w14:textId="038A0467" w:rsidR="001E187C" w:rsidRDefault="00986DE0" w:rsidP="00383E25">
      <w:pPr>
        <w:pStyle w:val="NormalnyWeb"/>
        <w:spacing w:before="0" w:beforeAutospacing="0" w:after="0" w:afterAutospacing="0" w:line="360" w:lineRule="auto"/>
        <w:rPr>
          <w:rFonts w:ascii="Lato" w:hAnsi="Lato" w:cstheme="minorHAnsi"/>
          <w:sz w:val="22"/>
          <w:szCs w:val="22"/>
        </w:rPr>
      </w:pPr>
      <w:r w:rsidRPr="00B42AAB">
        <w:rPr>
          <w:rFonts w:ascii="Lato" w:hAnsi="Lato" w:cstheme="minorHAnsi"/>
          <w:sz w:val="22"/>
          <w:szCs w:val="22"/>
        </w:rPr>
        <w:t>W 2025 r. śmiertelność z powodu COVID-19 zmniejszyła się</w:t>
      </w:r>
      <w:r w:rsidR="00766557">
        <w:rPr>
          <w:rFonts w:ascii="Lato" w:hAnsi="Lato" w:cstheme="minorHAnsi"/>
          <w:sz w:val="22"/>
          <w:szCs w:val="22"/>
        </w:rPr>
        <w:t>,</w:t>
      </w:r>
      <w:r w:rsidRPr="00B42AAB">
        <w:rPr>
          <w:rFonts w:ascii="Lato" w:hAnsi="Lato" w:cstheme="minorHAnsi"/>
          <w:sz w:val="22"/>
          <w:szCs w:val="22"/>
        </w:rPr>
        <w:t xml:space="preserve"> tj. zaraportowano 11 zgonów z</w:t>
      </w:r>
      <w:r>
        <w:rPr>
          <w:rFonts w:ascii="Lato" w:hAnsi="Lato" w:cstheme="minorHAnsi"/>
          <w:sz w:val="22"/>
          <w:szCs w:val="22"/>
        </w:rPr>
        <w:t> </w:t>
      </w:r>
      <w:r w:rsidRPr="00B42AAB">
        <w:rPr>
          <w:rFonts w:ascii="Lato" w:hAnsi="Lato" w:cstheme="minorHAnsi"/>
          <w:sz w:val="22"/>
          <w:szCs w:val="22"/>
        </w:rPr>
        <w:t>powodu zakażeń SARS-CoV-2 i choroby COVID-19, w porównaniu do 33 zgonów w 2024 r. (spadek o prawie 67%).</w:t>
      </w:r>
    </w:p>
    <w:p w14:paraId="784CDC29" w14:textId="77777777" w:rsidR="00130F95" w:rsidRDefault="00130F95" w:rsidP="00383E25">
      <w:pPr>
        <w:pStyle w:val="NormalnyWeb"/>
        <w:spacing w:before="0" w:beforeAutospacing="0" w:after="0" w:afterAutospacing="0" w:line="360" w:lineRule="auto"/>
        <w:rPr>
          <w:rFonts w:ascii="Lato" w:hAnsi="Lato" w:cstheme="minorHAnsi"/>
          <w:sz w:val="22"/>
          <w:szCs w:val="22"/>
        </w:rPr>
      </w:pPr>
    </w:p>
    <w:p w14:paraId="4346A726" w14:textId="77777777" w:rsidR="00130F95" w:rsidRPr="00383E25" w:rsidRDefault="00130F95" w:rsidP="00383E25">
      <w:pPr>
        <w:pStyle w:val="NormalnyWeb"/>
        <w:spacing w:before="0" w:beforeAutospacing="0" w:after="0" w:afterAutospacing="0" w:line="360" w:lineRule="auto"/>
        <w:rPr>
          <w:rFonts w:ascii="Lato" w:hAnsi="Lato" w:cstheme="minorHAnsi"/>
          <w:sz w:val="22"/>
          <w:szCs w:val="22"/>
        </w:rPr>
      </w:pPr>
    </w:p>
    <w:p w14:paraId="6D8ACE88" w14:textId="77777777" w:rsidR="00B327E0" w:rsidRDefault="00B327E0" w:rsidP="00CB2CA2">
      <w:pPr>
        <w:pStyle w:val="Legenda"/>
        <w:rPr>
          <w:rFonts w:ascii="Lato" w:hAnsi="Lato"/>
          <w:b w:val="0"/>
          <w:bCs w:val="0"/>
          <w:sz w:val="18"/>
          <w:szCs w:val="18"/>
        </w:rPr>
      </w:pPr>
    </w:p>
    <w:p w14:paraId="58E94D62" w14:textId="4BD00DAE" w:rsidR="00986DE0" w:rsidRDefault="00CB2CA2" w:rsidP="00CB2CA2">
      <w:pPr>
        <w:pStyle w:val="Legenda"/>
        <w:rPr>
          <w:rFonts w:ascii="Lato" w:hAnsi="Lato"/>
          <w:b w:val="0"/>
          <w:bCs w:val="0"/>
          <w:sz w:val="18"/>
          <w:szCs w:val="18"/>
        </w:rPr>
      </w:pPr>
      <w:bookmarkStart w:id="18" w:name="_Toc225859362"/>
      <w:r w:rsidRPr="00CB2CA2">
        <w:rPr>
          <w:rFonts w:ascii="Lato" w:hAnsi="Lato"/>
          <w:b w:val="0"/>
          <w:bCs w:val="0"/>
          <w:sz w:val="18"/>
          <w:szCs w:val="18"/>
        </w:rPr>
        <w:lastRenderedPageBreak/>
        <w:t xml:space="preserve">Tabela </w:t>
      </w:r>
      <w:r w:rsidRPr="00CB2CA2">
        <w:rPr>
          <w:rFonts w:ascii="Lato" w:hAnsi="Lato"/>
          <w:b w:val="0"/>
          <w:bCs w:val="0"/>
          <w:sz w:val="18"/>
          <w:szCs w:val="18"/>
        </w:rPr>
        <w:fldChar w:fldCharType="begin"/>
      </w:r>
      <w:r w:rsidRPr="00CB2CA2">
        <w:rPr>
          <w:rFonts w:ascii="Lato" w:hAnsi="Lato"/>
          <w:b w:val="0"/>
          <w:bCs w:val="0"/>
          <w:sz w:val="18"/>
          <w:szCs w:val="18"/>
        </w:rPr>
        <w:instrText xml:space="preserve"> SEQ Tabela \* ARABIC </w:instrText>
      </w:r>
      <w:r w:rsidRPr="00CB2CA2">
        <w:rPr>
          <w:rFonts w:ascii="Lato" w:hAnsi="Lato"/>
          <w:b w:val="0"/>
          <w:bCs w:val="0"/>
          <w:sz w:val="18"/>
          <w:szCs w:val="18"/>
        </w:rPr>
        <w:fldChar w:fldCharType="separate"/>
      </w:r>
      <w:r w:rsidR="002A3179">
        <w:rPr>
          <w:rFonts w:ascii="Lato" w:hAnsi="Lato"/>
          <w:b w:val="0"/>
          <w:bCs w:val="0"/>
          <w:noProof/>
          <w:sz w:val="18"/>
          <w:szCs w:val="18"/>
        </w:rPr>
        <w:t>6</w:t>
      </w:r>
      <w:r w:rsidRPr="00CB2CA2">
        <w:rPr>
          <w:rFonts w:ascii="Lato" w:hAnsi="Lato"/>
          <w:b w:val="0"/>
          <w:bCs w:val="0"/>
          <w:sz w:val="18"/>
          <w:szCs w:val="18"/>
        </w:rPr>
        <w:fldChar w:fldCharType="end"/>
      </w:r>
      <w:r w:rsidRPr="00CB2CA2">
        <w:rPr>
          <w:rFonts w:ascii="Lato" w:hAnsi="Lato"/>
          <w:b w:val="0"/>
          <w:bCs w:val="0"/>
          <w:sz w:val="18"/>
          <w:szCs w:val="18"/>
        </w:rPr>
        <w:t>. Liczba zachorowań (współczynnik zapadalności na 100 tys.) na zakażenia SARS-CoV-2 w Polsce i woj. zachodniopomorskim w latach 2023-2025.</w:t>
      </w:r>
      <w:bookmarkEnd w:id="18"/>
    </w:p>
    <w:p w14:paraId="261BF669" w14:textId="77777777" w:rsidR="00766557" w:rsidRPr="00766557" w:rsidRDefault="00766557" w:rsidP="00766557"/>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 Liczba zachorowań (współczynnik zapadalności na 100 tys.) na zakażenia SARS-CoV-2 w Polsce i woj. zachodniopomorskim w latach 2023-2025"/>
        <w:tblDescription w:val="Tabela przedstawia liczbę zachorowań na zakażenia SARS-CoV-2 w latach 2023-2025 na terenie województwa zachodniopomorskiego oraz na terenie całego kraju z podziałem przypadków na potwierdzone i możliwe. "/>
      </w:tblPr>
      <w:tblGrid>
        <w:gridCol w:w="846"/>
        <w:gridCol w:w="1568"/>
        <w:gridCol w:w="1334"/>
        <w:gridCol w:w="1334"/>
        <w:gridCol w:w="1335"/>
        <w:gridCol w:w="1380"/>
        <w:gridCol w:w="16"/>
        <w:gridCol w:w="1396"/>
      </w:tblGrid>
      <w:tr w:rsidR="00986DE0" w:rsidRPr="003113AD" w14:paraId="3D00F66F" w14:textId="77777777" w:rsidTr="00130F95">
        <w:trPr>
          <w:trHeight w:val="272"/>
          <w:jc w:val="center"/>
        </w:trPr>
        <w:tc>
          <w:tcPr>
            <w:tcW w:w="846" w:type="dxa"/>
            <w:vMerge w:val="restart"/>
            <w:shd w:val="clear" w:color="auto" w:fill="D9D9D9" w:themeFill="background1" w:themeFillShade="D9"/>
          </w:tcPr>
          <w:p w14:paraId="094A7C73" w14:textId="77777777" w:rsidR="00986DE0" w:rsidRPr="00D34A9D" w:rsidRDefault="00986DE0" w:rsidP="003C7140">
            <w:pPr>
              <w:tabs>
                <w:tab w:val="left" w:pos="851"/>
              </w:tabs>
              <w:spacing w:line="276" w:lineRule="auto"/>
              <w:jc w:val="both"/>
              <w:outlineLvl w:val="3"/>
              <w:rPr>
                <w:rFonts w:ascii="Lato" w:hAnsi="Lato" w:cstheme="minorHAnsi"/>
                <w:bCs/>
                <w:color w:val="000000" w:themeColor="text1"/>
                <w:sz w:val="18"/>
                <w:szCs w:val="18"/>
              </w:rPr>
            </w:pPr>
          </w:p>
        </w:tc>
        <w:tc>
          <w:tcPr>
            <w:tcW w:w="2902" w:type="dxa"/>
            <w:gridSpan w:val="2"/>
            <w:shd w:val="clear" w:color="auto" w:fill="D9D9D9" w:themeFill="background1" w:themeFillShade="D9"/>
            <w:vAlign w:val="center"/>
          </w:tcPr>
          <w:p w14:paraId="09950513" w14:textId="77777777" w:rsidR="00986DE0" w:rsidRPr="00D34A9D" w:rsidRDefault="00986DE0" w:rsidP="003C7140">
            <w:pPr>
              <w:tabs>
                <w:tab w:val="left" w:pos="851"/>
              </w:tabs>
              <w:spacing w:line="276" w:lineRule="auto"/>
              <w:jc w:val="center"/>
              <w:outlineLvl w:val="3"/>
              <w:rPr>
                <w:rFonts w:ascii="Lato" w:hAnsi="Lato" w:cstheme="minorHAnsi"/>
                <w:bCs/>
                <w:color w:val="000000" w:themeColor="text1"/>
                <w:sz w:val="18"/>
                <w:szCs w:val="18"/>
              </w:rPr>
            </w:pPr>
            <w:r w:rsidRPr="00D34A9D">
              <w:rPr>
                <w:rFonts w:ascii="Lato" w:hAnsi="Lato" w:cstheme="minorHAnsi"/>
                <w:bCs/>
                <w:color w:val="000000" w:themeColor="text1"/>
                <w:sz w:val="18"/>
                <w:szCs w:val="18"/>
              </w:rPr>
              <w:t>2023 r.</w:t>
            </w:r>
          </w:p>
        </w:tc>
        <w:tc>
          <w:tcPr>
            <w:tcW w:w="2669" w:type="dxa"/>
            <w:gridSpan w:val="2"/>
            <w:shd w:val="clear" w:color="auto" w:fill="D9D9D9" w:themeFill="background1" w:themeFillShade="D9"/>
            <w:vAlign w:val="center"/>
          </w:tcPr>
          <w:p w14:paraId="34F04D58" w14:textId="77777777" w:rsidR="00986DE0" w:rsidRPr="00D34A9D" w:rsidRDefault="00986DE0" w:rsidP="003C7140">
            <w:pPr>
              <w:tabs>
                <w:tab w:val="left" w:pos="851"/>
              </w:tabs>
              <w:spacing w:line="276" w:lineRule="auto"/>
              <w:jc w:val="center"/>
              <w:outlineLvl w:val="3"/>
              <w:rPr>
                <w:rFonts w:ascii="Lato" w:hAnsi="Lato" w:cstheme="minorHAnsi"/>
                <w:bCs/>
                <w:color w:val="000000" w:themeColor="text1"/>
                <w:sz w:val="18"/>
                <w:szCs w:val="18"/>
              </w:rPr>
            </w:pPr>
            <w:r w:rsidRPr="00D34A9D">
              <w:rPr>
                <w:rFonts w:ascii="Lato" w:hAnsi="Lato" w:cstheme="minorHAnsi"/>
                <w:bCs/>
                <w:color w:val="000000" w:themeColor="text1"/>
                <w:sz w:val="18"/>
                <w:szCs w:val="18"/>
              </w:rPr>
              <w:t>2024 r.</w:t>
            </w:r>
          </w:p>
        </w:tc>
        <w:tc>
          <w:tcPr>
            <w:tcW w:w="2792" w:type="dxa"/>
            <w:gridSpan w:val="3"/>
            <w:shd w:val="clear" w:color="auto" w:fill="D9D9D9" w:themeFill="background1" w:themeFillShade="D9"/>
          </w:tcPr>
          <w:p w14:paraId="01D3FF97" w14:textId="77777777" w:rsidR="00986DE0" w:rsidRPr="00D34A9D" w:rsidRDefault="00986DE0" w:rsidP="003C7140">
            <w:pPr>
              <w:tabs>
                <w:tab w:val="left" w:pos="851"/>
              </w:tabs>
              <w:spacing w:line="276" w:lineRule="auto"/>
              <w:jc w:val="center"/>
              <w:outlineLvl w:val="3"/>
              <w:rPr>
                <w:rFonts w:ascii="Lato" w:hAnsi="Lato" w:cstheme="minorHAnsi"/>
                <w:b/>
                <w:color w:val="000000" w:themeColor="text1"/>
                <w:sz w:val="18"/>
                <w:szCs w:val="18"/>
              </w:rPr>
            </w:pPr>
            <w:r w:rsidRPr="00D34A9D">
              <w:rPr>
                <w:rFonts w:ascii="Lato" w:hAnsi="Lato" w:cstheme="minorHAnsi"/>
                <w:b/>
                <w:color w:val="000000" w:themeColor="text1"/>
                <w:sz w:val="18"/>
                <w:szCs w:val="18"/>
              </w:rPr>
              <w:t>2025</w:t>
            </w:r>
          </w:p>
        </w:tc>
      </w:tr>
      <w:tr w:rsidR="00986DE0" w:rsidRPr="003113AD" w14:paraId="6357DA4C" w14:textId="77777777" w:rsidTr="00130F95">
        <w:trPr>
          <w:cantSplit/>
          <w:trHeight w:val="968"/>
          <w:jc w:val="center"/>
        </w:trPr>
        <w:tc>
          <w:tcPr>
            <w:tcW w:w="846" w:type="dxa"/>
            <w:vMerge/>
            <w:shd w:val="clear" w:color="auto" w:fill="D9D9D9" w:themeFill="background1" w:themeFillShade="D9"/>
          </w:tcPr>
          <w:p w14:paraId="68FACB1A" w14:textId="77777777" w:rsidR="00986DE0" w:rsidRPr="00D34A9D" w:rsidRDefault="00986DE0" w:rsidP="003C7140">
            <w:pPr>
              <w:tabs>
                <w:tab w:val="left" w:pos="851"/>
              </w:tabs>
              <w:spacing w:line="276" w:lineRule="auto"/>
              <w:jc w:val="both"/>
              <w:outlineLvl w:val="3"/>
              <w:rPr>
                <w:rFonts w:ascii="Lato" w:hAnsi="Lato" w:cstheme="minorHAnsi"/>
                <w:bCs/>
                <w:color w:val="000000" w:themeColor="text1"/>
                <w:sz w:val="18"/>
                <w:szCs w:val="18"/>
              </w:rPr>
            </w:pPr>
          </w:p>
        </w:tc>
        <w:tc>
          <w:tcPr>
            <w:tcW w:w="1568" w:type="dxa"/>
            <w:shd w:val="clear" w:color="auto" w:fill="D9D9D9" w:themeFill="background1" w:themeFillShade="D9"/>
            <w:vAlign w:val="center"/>
          </w:tcPr>
          <w:p w14:paraId="784E9FED" w14:textId="77777777" w:rsidR="00986DE0" w:rsidRPr="00D34A9D" w:rsidRDefault="00986DE0" w:rsidP="003C7140">
            <w:pPr>
              <w:tabs>
                <w:tab w:val="left" w:pos="851"/>
              </w:tabs>
              <w:jc w:val="center"/>
              <w:outlineLvl w:val="3"/>
              <w:rPr>
                <w:rFonts w:ascii="Lato" w:hAnsi="Lato" w:cstheme="minorHAnsi"/>
                <w:bCs/>
                <w:color w:val="000000" w:themeColor="text1"/>
                <w:sz w:val="18"/>
                <w:szCs w:val="18"/>
              </w:rPr>
            </w:pPr>
            <w:r w:rsidRPr="00D34A9D">
              <w:rPr>
                <w:rFonts w:ascii="Lato" w:hAnsi="Lato" w:cstheme="minorHAnsi"/>
                <w:bCs/>
                <w:color w:val="000000" w:themeColor="text1"/>
                <w:sz w:val="18"/>
                <w:szCs w:val="18"/>
              </w:rPr>
              <w:t xml:space="preserve">Liczba zachorowań </w:t>
            </w:r>
            <w:r w:rsidRPr="00D34A9D">
              <w:rPr>
                <w:rFonts w:ascii="Lato" w:hAnsi="Lato" w:cstheme="minorHAnsi"/>
                <w:bCs/>
                <w:color w:val="000000" w:themeColor="text1"/>
                <w:spacing w:val="-12"/>
                <w:sz w:val="18"/>
                <w:szCs w:val="18"/>
              </w:rPr>
              <w:t>potwierdzonych</w:t>
            </w:r>
            <w:r>
              <w:rPr>
                <w:rFonts w:ascii="Lato" w:hAnsi="Lato" w:cstheme="minorHAnsi"/>
                <w:bCs/>
                <w:color w:val="000000" w:themeColor="text1"/>
                <w:spacing w:val="-12"/>
                <w:sz w:val="18"/>
                <w:szCs w:val="18"/>
              </w:rPr>
              <w:t xml:space="preserve"> </w:t>
            </w:r>
            <w:r w:rsidRPr="00D34A9D">
              <w:rPr>
                <w:rFonts w:ascii="Lato" w:hAnsi="Lato" w:cstheme="minorHAnsi"/>
                <w:bCs/>
                <w:color w:val="000000" w:themeColor="text1"/>
                <w:sz w:val="18"/>
                <w:szCs w:val="18"/>
              </w:rPr>
              <w:t>(zapadalność)</w:t>
            </w:r>
          </w:p>
        </w:tc>
        <w:tc>
          <w:tcPr>
            <w:tcW w:w="1334" w:type="dxa"/>
            <w:shd w:val="clear" w:color="auto" w:fill="D9D9D9" w:themeFill="background1" w:themeFillShade="D9"/>
            <w:vAlign w:val="center"/>
          </w:tcPr>
          <w:p w14:paraId="7B5A2E1F" w14:textId="77777777" w:rsidR="00986DE0" w:rsidRPr="00D34A9D" w:rsidRDefault="00986DE0" w:rsidP="003C7140">
            <w:pPr>
              <w:tabs>
                <w:tab w:val="left" w:pos="851"/>
              </w:tabs>
              <w:jc w:val="center"/>
              <w:outlineLvl w:val="3"/>
              <w:rPr>
                <w:rFonts w:ascii="Lato" w:hAnsi="Lato" w:cstheme="minorHAnsi"/>
                <w:bCs/>
                <w:color w:val="000000" w:themeColor="text1"/>
                <w:sz w:val="18"/>
                <w:szCs w:val="18"/>
              </w:rPr>
            </w:pPr>
            <w:r w:rsidRPr="00D34A9D">
              <w:rPr>
                <w:rFonts w:ascii="Lato" w:hAnsi="Lato" w:cstheme="minorHAnsi"/>
                <w:bCs/>
                <w:color w:val="000000" w:themeColor="text1"/>
                <w:sz w:val="18"/>
                <w:szCs w:val="18"/>
              </w:rPr>
              <w:t>Liczba zachorowań możliwych</w:t>
            </w:r>
            <w:r>
              <w:rPr>
                <w:rFonts w:ascii="Lato" w:hAnsi="Lato" w:cstheme="minorHAnsi"/>
                <w:bCs/>
                <w:color w:val="000000" w:themeColor="text1"/>
                <w:sz w:val="18"/>
                <w:szCs w:val="18"/>
              </w:rPr>
              <w:t xml:space="preserve"> </w:t>
            </w:r>
            <w:r w:rsidRPr="00D34A9D">
              <w:rPr>
                <w:rFonts w:ascii="Lato" w:hAnsi="Lato" w:cstheme="minorHAnsi"/>
                <w:bCs/>
                <w:color w:val="000000" w:themeColor="text1"/>
                <w:sz w:val="18"/>
                <w:szCs w:val="18"/>
              </w:rPr>
              <w:t>(zapadalność)</w:t>
            </w:r>
          </w:p>
        </w:tc>
        <w:tc>
          <w:tcPr>
            <w:tcW w:w="1334" w:type="dxa"/>
            <w:shd w:val="clear" w:color="auto" w:fill="D9D9D9" w:themeFill="background1" w:themeFillShade="D9"/>
            <w:vAlign w:val="center"/>
          </w:tcPr>
          <w:p w14:paraId="4DA8522C" w14:textId="77777777" w:rsidR="00986DE0" w:rsidRPr="00D34A9D" w:rsidRDefault="00986DE0" w:rsidP="003C7140">
            <w:pPr>
              <w:tabs>
                <w:tab w:val="left" w:pos="851"/>
              </w:tabs>
              <w:jc w:val="center"/>
              <w:outlineLvl w:val="3"/>
              <w:rPr>
                <w:rFonts w:ascii="Lato" w:hAnsi="Lato" w:cstheme="minorHAnsi"/>
                <w:bCs/>
                <w:color w:val="000000" w:themeColor="text1"/>
                <w:sz w:val="18"/>
                <w:szCs w:val="18"/>
              </w:rPr>
            </w:pPr>
            <w:r w:rsidRPr="00D34A9D">
              <w:rPr>
                <w:rFonts w:ascii="Lato" w:hAnsi="Lato" w:cstheme="minorHAnsi"/>
                <w:bCs/>
                <w:color w:val="000000" w:themeColor="text1"/>
                <w:sz w:val="18"/>
                <w:szCs w:val="18"/>
              </w:rPr>
              <w:t xml:space="preserve">Liczba zachorowań </w:t>
            </w:r>
            <w:r w:rsidRPr="00D34A9D">
              <w:rPr>
                <w:rFonts w:ascii="Lato" w:hAnsi="Lato" w:cstheme="minorHAnsi"/>
                <w:bCs/>
                <w:color w:val="000000" w:themeColor="text1"/>
                <w:spacing w:val="-14"/>
                <w:sz w:val="18"/>
                <w:szCs w:val="18"/>
              </w:rPr>
              <w:t>potwierdzonych</w:t>
            </w:r>
            <w:r>
              <w:rPr>
                <w:rFonts w:ascii="Lato" w:hAnsi="Lato" w:cstheme="minorHAnsi"/>
                <w:bCs/>
                <w:color w:val="000000" w:themeColor="text1"/>
                <w:spacing w:val="-14"/>
                <w:sz w:val="18"/>
                <w:szCs w:val="18"/>
              </w:rPr>
              <w:t xml:space="preserve"> </w:t>
            </w:r>
            <w:r w:rsidRPr="00D34A9D">
              <w:rPr>
                <w:rFonts w:ascii="Lato" w:hAnsi="Lato" w:cstheme="minorHAnsi"/>
                <w:bCs/>
                <w:color w:val="000000" w:themeColor="text1"/>
                <w:sz w:val="18"/>
                <w:szCs w:val="18"/>
              </w:rPr>
              <w:t>(zapadalność)</w:t>
            </w:r>
          </w:p>
        </w:tc>
        <w:tc>
          <w:tcPr>
            <w:tcW w:w="1335" w:type="dxa"/>
            <w:shd w:val="clear" w:color="auto" w:fill="D9D9D9" w:themeFill="background1" w:themeFillShade="D9"/>
            <w:vAlign w:val="center"/>
          </w:tcPr>
          <w:p w14:paraId="4D654603" w14:textId="77777777" w:rsidR="00986DE0" w:rsidRPr="00D34A9D" w:rsidRDefault="00986DE0" w:rsidP="003C7140">
            <w:pPr>
              <w:tabs>
                <w:tab w:val="left" w:pos="851"/>
              </w:tabs>
              <w:jc w:val="center"/>
              <w:outlineLvl w:val="3"/>
              <w:rPr>
                <w:rFonts w:ascii="Lato" w:hAnsi="Lato" w:cstheme="minorHAnsi"/>
                <w:bCs/>
                <w:color w:val="000000" w:themeColor="text1"/>
                <w:sz w:val="18"/>
                <w:szCs w:val="18"/>
              </w:rPr>
            </w:pPr>
            <w:r w:rsidRPr="00D34A9D">
              <w:rPr>
                <w:rFonts w:ascii="Lato" w:hAnsi="Lato" w:cstheme="minorHAnsi"/>
                <w:bCs/>
                <w:color w:val="000000" w:themeColor="text1"/>
                <w:sz w:val="18"/>
                <w:szCs w:val="18"/>
              </w:rPr>
              <w:t>Liczba zachorowań możliwych</w:t>
            </w:r>
            <w:r>
              <w:rPr>
                <w:rFonts w:ascii="Lato" w:hAnsi="Lato" w:cstheme="minorHAnsi"/>
                <w:bCs/>
                <w:color w:val="000000" w:themeColor="text1"/>
                <w:sz w:val="18"/>
                <w:szCs w:val="18"/>
              </w:rPr>
              <w:t xml:space="preserve"> </w:t>
            </w:r>
            <w:r w:rsidRPr="00D34A9D">
              <w:rPr>
                <w:rFonts w:ascii="Lato" w:hAnsi="Lato" w:cstheme="minorHAnsi"/>
                <w:bCs/>
                <w:color w:val="000000" w:themeColor="text1"/>
                <w:sz w:val="18"/>
                <w:szCs w:val="18"/>
              </w:rPr>
              <w:t>(zapadalność)</w:t>
            </w:r>
          </w:p>
        </w:tc>
        <w:tc>
          <w:tcPr>
            <w:tcW w:w="1380" w:type="dxa"/>
            <w:shd w:val="clear" w:color="auto" w:fill="D9D9D9" w:themeFill="background1" w:themeFillShade="D9"/>
          </w:tcPr>
          <w:p w14:paraId="413BCDBC" w14:textId="77777777" w:rsidR="00986DE0" w:rsidRPr="00D34A9D" w:rsidRDefault="00986DE0" w:rsidP="003C7140">
            <w:pPr>
              <w:tabs>
                <w:tab w:val="left" w:pos="851"/>
              </w:tabs>
              <w:jc w:val="center"/>
              <w:outlineLvl w:val="3"/>
              <w:rPr>
                <w:rFonts w:ascii="Lato" w:hAnsi="Lato" w:cstheme="minorHAnsi"/>
                <w:b/>
                <w:color w:val="000000" w:themeColor="text1"/>
                <w:sz w:val="18"/>
                <w:szCs w:val="18"/>
              </w:rPr>
            </w:pPr>
            <w:r w:rsidRPr="00D34A9D">
              <w:rPr>
                <w:rFonts w:ascii="Lato" w:hAnsi="Lato" w:cstheme="minorHAnsi"/>
                <w:bCs/>
                <w:color w:val="000000" w:themeColor="text1"/>
                <w:sz w:val="18"/>
                <w:szCs w:val="18"/>
              </w:rPr>
              <w:t xml:space="preserve">Liczba zachorowań </w:t>
            </w:r>
            <w:r w:rsidRPr="00D34A9D">
              <w:rPr>
                <w:rFonts w:ascii="Lato" w:hAnsi="Lato" w:cstheme="minorHAnsi"/>
                <w:bCs/>
                <w:color w:val="000000" w:themeColor="text1"/>
                <w:spacing w:val="-14"/>
                <w:sz w:val="18"/>
                <w:szCs w:val="18"/>
              </w:rPr>
              <w:t>potwierdzonych</w:t>
            </w:r>
            <w:r>
              <w:rPr>
                <w:rFonts w:ascii="Lato" w:hAnsi="Lato" w:cstheme="minorHAnsi"/>
                <w:bCs/>
                <w:color w:val="000000" w:themeColor="text1"/>
                <w:spacing w:val="-14"/>
                <w:sz w:val="18"/>
                <w:szCs w:val="18"/>
              </w:rPr>
              <w:t xml:space="preserve"> </w:t>
            </w:r>
            <w:r w:rsidRPr="00D34A9D">
              <w:rPr>
                <w:rFonts w:ascii="Lato" w:hAnsi="Lato" w:cstheme="minorHAnsi"/>
                <w:bCs/>
                <w:color w:val="000000" w:themeColor="text1"/>
                <w:sz w:val="18"/>
                <w:szCs w:val="18"/>
              </w:rPr>
              <w:t>(zapadalność)</w:t>
            </w:r>
          </w:p>
        </w:tc>
        <w:tc>
          <w:tcPr>
            <w:tcW w:w="1412" w:type="dxa"/>
            <w:gridSpan w:val="2"/>
            <w:shd w:val="clear" w:color="auto" w:fill="D9D9D9" w:themeFill="background1" w:themeFillShade="D9"/>
          </w:tcPr>
          <w:p w14:paraId="2E508DAC" w14:textId="77777777" w:rsidR="00986DE0" w:rsidRPr="00D34A9D" w:rsidRDefault="00986DE0" w:rsidP="003C7140">
            <w:pPr>
              <w:tabs>
                <w:tab w:val="left" w:pos="851"/>
              </w:tabs>
              <w:jc w:val="center"/>
              <w:outlineLvl w:val="3"/>
              <w:rPr>
                <w:rFonts w:ascii="Lato" w:hAnsi="Lato" w:cstheme="minorHAnsi"/>
                <w:b/>
                <w:color w:val="000000" w:themeColor="text1"/>
                <w:sz w:val="18"/>
                <w:szCs w:val="18"/>
              </w:rPr>
            </w:pPr>
            <w:r w:rsidRPr="00D34A9D">
              <w:rPr>
                <w:rFonts w:ascii="Lato" w:hAnsi="Lato" w:cstheme="minorHAnsi"/>
                <w:bCs/>
                <w:color w:val="000000" w:themeColor="text1"/>
                <w:sz w:val="18"/>
                <w:szCs w:val="18"/>
              </w:rPr>
              <w:t>Liczba zachorowań możliwych</w:t>
            </w:r>
            <w:r>
              <w:rPr>
                <w:rFonts w:ascii="Lato" w:hAnsi="Lato" w:cstheme="minorHAnsi"/>
                <w:bCs/>
                <w:color w:val="000000" w:themeColor="text1"/>
                <w:sz w:val="18"/>
                <w:szCs w:val="18"/>
              </w:rPr>
              <w:t xml:space="preserve"> </w:t>
            </w:r>
            <w:r w:rsidRPr="00D34A9D">
              <w:rPr>
                <w:rFonts w:ascii="Lato" w:hAnsi="Lato" w:cstheme="minorHAnsi"/>
                <w:bCs/>
                <w:color w:val="000000" w:themeColor="text1"/>
                <w:sz w:val="18"/>
                <w:szCs w:val="18"/>
              </w:rPr>
              <w:t>(zapadalność)</w:t>
            </w:r>
          </w:p>
        </w:tc>
      </w:tr>
      <w:tr w:rsidR="00986DE0" w:rsidRPr="003113AD" w14:paraId="36322BD4" w14:textId="77777777" w:rsidTr="003C7140">
        <w:trPr>
          <w:cantSplit/>
          <w:trHeight w:val="736"/>
          <w:jc w:val="center"/>
        </w:trPr>
        <w:tc>
          <w:tcPr>
            <w:tcW w:w="846" w:type="dxa"/>
            <w:vAlign w:val="center"/>
          </w:tcPr>
          <w:p w14:paraId="3C5E7525" w14:textId="77777777" w:rsidR="00986DE0" w:rsidRPr="00D34A9D" w:rsidRDefault="00986DE0" w:rsidP="003C7140">
            <w:pPr>
              <w:tabs>
                <w:tab w:val="left" w:pos="851"/>
              </w:tabs>
              <w:jc w:val="center"/>
              <w:outlineLvl w:val="3"/>
              <w:rPr>
                <w:rFonts w:ascii="Lato" w:hAnsi="Lato" w:cstheme="minorHAnsi"/>
                <w:bCs/>
                <w:color w:val="000000" w:themeColor="text1"/>
                <w:sz w:val="18"/>
                <w:szCs w:val="18"/>
              </w:rPr>
            </w:pPr>
            <w:r w:rsidRPr="00D34A9D">
              <w:rPr>
                <w:rFonts w:ascii="Lato" w:hAnsi="Lato" w:cstheme="minorHAnsi"/>
                <w:bCs/>
                <w:smallCaps/>
                <w:color w:val="000000" w:themeColor="text1"/>
                <w:sz w:val="18"/>
                <w:szCs w:val="18"/>
              </w:rPr>
              <w:t>Polska</w:t>
            </w:r>
          </w:p>
        </w:tc>
        <w:tc>
          <w:tcPr>
            <w:tcW w:w="1568" w:type="dxa"/>
            <w:vAlign w:val="center"/>
          </w:tcPr>
          <w:p w14:paraId="0EC0D6A0" w14:textId="77777777" w:rsidR="00986DE0" w:rsidRPr="00D34A9D" w:rsidRDefault="00986DE0" w:rsidP="003C7140">
            <w:pPr>
              <w:jc w:val="center"/>
              <w:rPr>
                <w:rFonts w:ascii="Lato" w:hAnsi="Lato" w:cstheme="minorHAnsi"/>
                <w:bCs/>
                <w:color w:val="000000" w:themeColor="text1"/>
                <w:sz w:val="18"/>
                <w:szCs w:val="18"/>
              </w:rPr>
            </w:pPr>
            <w:r w:rsidRPr="00D34A9D">
              <w:rPr>
                <w:rFonts w:ascii="Lato" w:hAnsi="Lato" w:cstheme="minorHAnsi"/>
                <w:bCs/>
                <w:color w:val="000000" w:themeColor="text1"/>
                <w:sz w:val="18"/>
                <w:szCs w:val="18"/>
              </w:rPr>
              <w:t>341 694 (906,39)</w:t>
            </w:r>
          </w:p>
        </w:tc>
        <w:tc>
          <w:tcPr>
            <w:tcW w:w="1334" w:type="dxa"/>
            <w:vAlign w:val="center"/>
          </w:tcPr>
          <w:p w14:paraId="16F664DC" w14:textId="77777777" w:rsidR="00986DE0" w:rsidRPr="00D34A9D" w:rsidRDefault="00986DE0" w:rsidP="003C7140">
            <w:pPr>
              <w:tabs>
                <w:tab w:val="left" w:pos="851"/>
              </w:tabs>
              <w:jc w:val="center"/>
              <w:outlineLvl w:val="3"/>
              <w:rPr>
                <w:rFonts w:ascii="Lato" w:hAnsi="Lato" w:cstheme="minorHAnsi"/>
                <w:bCs/>
                <w:color w:val="000000" w:themeColor="text1"/>
                <w:sz w:val="18"/>
                <w:szCs w:val="18"/>
              </w:rPr>
            </w:pPr>
            <w:r w:rsidRPr="00D34A9D">
              <w:rPr>
                <w:rFonts w:ascii="Lato" w:hAnsi="Lato" w:cstheme="minorHAnsi"/>
                <w:bCs/>
                <w:color w:val="000000" w:themeColor="text1"/>
                <w:sz w:val="18"/>
                <w:szCs w:val="18"/>
              </w:rPr>
              <w:t>39 550 (104,91)</w:t>
            </w:r>
          </w:p>
        </w:tc>
        <w:tc>
          <w:tcPr>
            <w:tcW w:w="1334" w:type="dxa"/>
            <w:vAlign w:val="center"/>
          </w:tcPr>
          <w:p w14:paraId="05881043" w14:textId="77777777" w:rsidR="00986DE0" w:rsidRPr="00D34A9D" w:rsidRDefault="00986DE0" w:rsidP="003C7140">
            <w:pPr>
              <w:tabs>
                <w:tab w:val="left" w:pos="851"/>
              </w:tabs>
              <w:jc w:val="center"/>
              <w:outlineLvl w:val="3"/>
              <w:rPr>
                <w:rFonts w:ascii="Lato" w:hAnsi="Lato" w:cstheme="minorHAnsi"/>
                <w:bCs/>
                <w:color w:val="000000" w:themeColor="text1"/>
                <w:sz w:val="18"/>
                <w:szCs w:val="18"/>
              </w:rPr>
            </w:pPr>
            <w:r w:rsidRPr="00D34A9D">
              <w:rPr>
                <w:rFonts w:ascii="Lato" w:hAnsi="Lato" w:cstheme="minorHAnsi"/>
                <w:bCs/>
                <w:color w:val="000000" w:themeColor="text1"/>
                <w:sz w:val="18"/>
                <w:szCs w:val="18"/>
              </w:rPr>
              <w:t xml:space="preserve">276 </w:t>
            </w:r>
            <w:r>
              <w:rPr>
                <w:rFonts w:ascii="Lato" w:hAnsi="Lato" w:cstheme="minorHAnsi"/>
                <w:bCs/>
                <w:color w:val="000000" w:themeColor="text1"/>
                <w:sz w:val="18"/>
                <w:szCs w:val="18"/>
              </w:rPr>
              <w:t>066</w:t>
            </w:r>
          </w:p>
          <w:p w14:paraId="4FE480A1" w14:textId="77777777" w:rsidR="00986DE0" w:rsidRPr="00D34A9D" w:rsidRDefault="00986DE0" w:rsidP="003C7140">
            <w:pPr>
              <w:tabs>
                <w:tab w:val="left" w:pos="851"/>
              </w:tabs>
              <w:jc w:val="center"/>
              <w:outlineLvl w:val="3"/>
              <w:rPr>
                <w:rFonts w:ascii="Lato" w:hAnsi="Lato" w:cstheme="minorHAnsi"/>
                <w:bCs/>
                <w:color w:val="000000" w:themeColor="text1"/>
                <w:sz w:val="18"/>
                <w:szCs w:val="18"/>
              </w:rPr>
            </w:pPr>
            <w:r w:rsidRPr="00D34A9D">
              <w:rPr>
                <w:rFonts w:ascii="Lato" w:hAnsi="Lato" w:cstheme="minorHAnsi"/>
                <w:bCs/>
                <w:color w:val="000000" w:themeColor="text1"/>
                <w:sz w:val="18"/>
                <w:szCs w:val="18"/>
              </w:rPr>
              <w:t>(73</w:t>
            </w:r>
            <w:r>
              <w:rPr>
                <w:rFonts w:ascii="Lato" w:hAnsi="Lato" w:cstheme="minorHAnsi"/>
                <w:bCs/>
                <w:color w:val="000000" w:themeColor="text1"/>
                <w:sz w:val="18"/>
                <w:szCs w:val="18"/>
              </w:rPr>
              <w:t>4</w:t>
            </w:r>
            <w:r w:rsidRPr="00D34A9D">
              <w:rPr>
                <w:rFonts w:ascii="Lato" w:hAnsi="Lato" w:cstheme="minorHAnsi"/>
                <w:bCs/>
                <w:color w:val="000000" w:themeColor="text1"/>
                <w:sz w:val="18"/>
                <w:szCs w:val="18"/>
              </w:rPr>
              <w:t>,</w:t>
            </w:r>
            <w:r>
              <w:rPr>
                <w:rFonts w:ascii="Lato" w:hAnsi="Lato" w:cstheme="minorHAnsi"/>
                <w:bCs/>
                <w:color w:val="000000" w:themeColor="text1"/>
                <w:sz w:val="18"/>
                <w:szCs w:val="18"/>
              </w:rPr>
              <w:t>94</w:t>
            </w:r>
            <w:r w:rsidRPr="00D34A9D">
              <w:rPr>
                <w:rFonts w:ascii="Lato" w:hAnsi="Lato" w:cstheme="minorHAnsi"/>
                <w:bCs/>
                <w:color w:val="000000" w:themeColor="text1"/>
                <w:sz w:val="18"/>
                <w:szCs w:val="18"/>
              </w:rPr>
              <w:t>)</w:t>
            </w:r>
          </w:p>
        </w:tc>
        <w:tc>
          <w:tcPr>
            <w:tcW w:w="1335" w:type="dxa"/>
            <w:vAlign w:val="center"/>
          </w:tcPr>
          <w:p w14:paraId="0C27735D" w14:textId="77777777" w:rsidR="00986DE0" w:rsidRPr="00D34A9D" w:rsidRDefault="00986DE0" w:rsidP="003C7140">
            <w:pPr>
              <w:tabs>
                <w:tab w:val="left" w:pos="851"/>
              </w:tabs>
              <w:jc w:val="center"/>
              <w:outlineLvl w:val="3"/>
              <w:rPr>
                <w:rFonts w:ascii="Lato" w:hAnsi="Lato" w:cstheme="minorHAnsi"/>
                <w:bCs/>
                <w:color w:val="000000" w:themeColor="text1"/>
                <w:sz w:val="18"/>
                <w:szCs w:val="18"/>
              </w:rPr>
            </w:pPr>
            <w:r w:rsidRPr="00D34A9D">
              <w:rPr>
                <w:rFonts w:ascii="Lato" w:hAnsi="Lato" w:cstheme="minorHAnsi"/>
                <w:bCs/>
                <w:color w:val="000000" w:themeColor="text1"/>
                <w:sz w:val="18"/>
                <w:szCs w:val="18"/>
              </w:rPr>
              <w:t xml:space="preserve">27 </w:t>
            </w:r>
            <w:r>
              <w:rPr>
                <w:rFonts w:ascii="Lato" w:hAnsi="Lato" w:cstheme="minorHAnsi"/>
                <w:bCs/>
                <w:color w:val="000000" w:themeColor="text1"/>
                <w:sz w:val="18"/>
                <w:szCs w:val="18"/>
              </w:rPr>
              <w:t>558</w:t>
            </w:r>
          </w:p>
          <w:p w14:paraId="60816637" w14:textId="77777777" w:rsidR="00986DE0" w:rsidRPr="00D34A9D" w:rsidRDefault="00986DE0" w:rsidP="003C7140">
            <w:pPr>
              <w:tabs>
                <w:tab w:val="left" w:pos="851"/>
              </w:tabs>
              <w:jc w:val="center"/>
              <w:outlineLvl w:val="3"/>
              <w:rPr>
                <w:rFonts w:ascii="Lato" w:hAnsi="Lato" w:cstheme="minorHAnsi"/>
                <w:bCs/>
                <w:color w:val="000000" w:themeColor="text1"/>
                <w:sz w:val="18"/>
                <w:szCs w:val="18"/>
              </w:rPr>
            </w:pPr>
            <w:r w:rsidRPr="00D34A9D">
              <w:rPr>
                <w:rFonts w:ascii="Lato" w:hAnsi="Lato" w:cstheme="minorHAnsi"/>
                <w:bCs/>
                <w:color w:val="000000" w:themeColor="text1"/>
                <w:sz w:val="18"/>
                <w:szCs w:val="18"/>
              </w:rPr>
              <w:t>(73,</w:t>
            </w:r>
            <w:r>
              <w:rPr>
                <w:rFonts w:ascii="Lato" w:hAnsi="Lato" w:cstheme="minorHAnsi"/>
                <w:bCs/>
                <w:color w:val="000000" w:themeColor="text1"/>
                <w:sz w:val="18"/>
                <w:szCs w:val="18"/>
              </w:rPr>
              <w:t>36</w:t>
            </w:r>
            <w:r w:rsidRPr="00D34A9D">
              <w:rPr>
                <w:rFonts w:ascii="Lato" w:hAnsi="Lato" w:cstheme="minorHAnsi"/>
                <w:bCs/>
                <w:color w:val="000000" w:themeColor="text1"/>
                <w:sz w:val="18"/>
                <w:szCs w:val="18"/>
              </w:rPr>
              <w:t>)</w:t>
            </w:r>
          </w:p>
        </w:tc>
        <w:tc>
          <w:tcPr>
            <w:tcW w:w="1396" w:type="dxa"/>
            <w:gridSpan w:val="2"/>
            <w:vAlign w:val="center"/>
          </w:tcPr>
          <w:p w14:paraId="5F3B24FE" w14:textId="77777777" w:rsidR="00986DE0" w:rsidRPr="00D34A9D" w:rsidRDefault="00986DE0" w:rsidP="003C7140">
            <w:pPr>
              <w:tabs>
                <w:tab w:val="left" w:pos="851"/>
              </w:tabs>
              <w:jc w:val="center"/>
              <w:outlineLvl w:val="3"/>
              <w:rPr>
                <w:rFonts w:ascii="Lato" w:hAnsi="Lato" w:cstheme="minorHAnsi"/>
                <w:b/>
                <w:color w:val="000000" w:themeColor="text1"/>
                <w:sz w:val="18"/>
                <w:szCs w:val="18"/>
              </w:rPr>
            </w:pPr>
            <w:r w:rsidRPr="00D34A9D">
              <w:rPr>
                <w:rFonts w:ascii="Lato" w:hAnsi="Lato" w:cstheme="minorHAnsi"/>
                <w:b/>
                <w:color w:val="000000" w:themeColor="text1"/>
                <w:sz w:val="18"/>
                <w:szCs w:val="18"/>
              </w:rPr>
              <w:t>222 497</w:t>
            </w:r>
          </w:p>
          <w:p w14:paraId="7B071C61" w14:textId="77777777" w:rsidR="00986DE0" w:rsidRPr="00D34A9D" w:rsidRDefault="00986DE0" w:rsidP="003C7140">
            <w:pPr>
              <w:tabs>
                <w:tab w:val="left" w:pos="851"/>
              </w:tabs>
              <w:jc w:val="center"/>
              <w:outlineLvl w:val="3"/>
              <w:rPr>
                <w:rFonts w:ascii="Lato" w:hAnsi="Lato" w:cstheme="minorHAnsi"/>
                <w:b/>
                <w:color w:val="000000" w:themeColor="text1"/>
                <w:sz w:val="18"/>
                <w:szCs w:val="18"/>
              </w:rPr>
            </w:pPr>
            <w:r w:rsidRPr="00D34A9D">
              <w:rPr>
                <w:rFonts w:ascii="Lato" w:hAnsi="Lato" w:cstheme="minorHAnsi"/>
                <w:b/>
                <w:color w:val="000000" w:themeColor="text1"/>
                <w:sz w:val="18"/>
                <w:szCs w:val="18"/>
              </w:rPr>
              <w:t>(584,88)</w:t>
            </w:r>
          </w:p>
        </w:tc>
        <w:tc>
          <w:tcPr>
            <w:tcW w:w="1396" w:type="dxa"/>
            <w:vAlign w:val="center"/>
          </w:tcPr>
          <w:p w14:paraId="5AD8BBF5" w14:textId="77777777" w:rsidR="00986DE0" w:rsidRPr="00D34A9D" w:rsidRDefault="00986DE0" w:rsidP="003C7140">
            <w:pPr>
              <w:tabs>
                <w:tab w:val="left" w:pos="851"/>
              </w:tabs>
              <w:jc w:val="center"/>
              <w:outlineLvl w:val="3"/>
              <w:rPr>
                <w:rFonts w:ascii="Lato" w:hAnsi="Lato" w:cstheme="minorHAnsi"/>
                <w:b/>
                <w:color w:val="000000" w:themeColor="text1"/>
                <w:sz w:val="18"/>
                <w:szCs w:val="18"/>
              </w:rPr>
            </w:pPr>
            <w:r w:rsidRPr="00D34A9D">
              <w:rPr>
                <w:rFonts w:ascii="Lato" w:hAnsi="Lato" w:cstheme="minorHAnsi"/>
                <w:b/>
                <w:color w:val="000000" w:themeColor="text1"/>
                <w:sz w:val="18"/>
                <w:szCs w:val="18"/>
              </w:rPr>
              <w:t>14 715</w:t>
            </w:r>
          </w:p>
          <w:p w14:paraId="47AF969F" w14:textId="77777777" w:rsidR="00986DE0" w:rsidRPr="00D34A9D" w:rsidRDefault="00986DE0" w:rsidP="003C7140">
            <w:pPr>
              <w:tabs>
                <w:tab w:val="left" w:pos="851"/>
              </w:tabs>
              <w:jc w:val="center"/>
              <w:outlineLvl w:val="3"/>
              <w:rPr>
                <w:rFonts w:ascii="Lato" w:hAnsi="Lato" w:cstheme="minorHAnsi"/>
                <w:b/>
                <w:color w:val="000000" w:themeColor="text1"/>
                <w:sz w:val="18"/>
                <w:szCs w:val="18"/>
              </w:rPr>
            </w:pPr>
            <w:r w:rsidRPr="00D34A9D">
              <w:rPr>
                <w:rFonts w:ascii="Lato" w:hAnsi="Lato" w:cstheme="minorHAnsi"/>
                <w:b/>
                <w:color w:val="000000" w:themeColor="text1"/>
                <w:sz w:val="18"/>
                <w:szCs w:val="18"/>
              </w:rPr>
              <w:t>(39,34)</w:t>
            </w:r>
          </w:p>
        </w:tc>
      </w:tr>
      <w:tr w:rsidR="00986DE0" w:rsidRPr="003113AD" w14:paraId="00C9676C" w14:textId="77777777" w:rsidTr="003C7140">
        <w:trPr>
          <w:cantSplit/>
          <w:trHeight w:val="736"/>
          <w:jc w:val="center"/>
        </w:trPr>
        <w:tc>
          <w:tcPr>
            <w:tcW w:w="846" w:type="dxa"/>
            <w:vAlign w:val="center"/>
          </w:tcPr>
          <w:p w14:paraId="3DC8243B" w14:textId="77777777" w:rsidR="00986DE0" w:rsidRPr="00D34A9D" w:rsidRDefault="00986DE0" w:rsidP="003C7140">
            <w:pPr>
              <w:jc w:val="center"/>
              <w:rPr>
                <w:rFonts w:ascii="Lato" w:hAnsi="Lato" w:cstheme="minorHAnsi"/>
                <w:color w:val="000000" w:themeColor="text1"/>
                <w:sz w:val="18"/>
                <w:szCs w:val="18"/>
              </w:rPr>
            </w:pPr>
            <w:r w:rsidRPr="00D34A9D">
              <w:rPr>
                <w:rFonts w:ascii="Lato" w:hAnsi="Lato" w:cstheme="minorHAnsi"/>
                <w:color w:val="000000" w:themeColor="text1"/>
                <w:sz w:val="18"/>
                <w:szCs w:val="18"/>
              </w:rPr>
              <w:t>woj.</w:t>
            </w:r>
            <w:r>
              <w:rPr>
                <w:rFonts w:ascii="Lato" w:hAnsi="Lato" w:cstheme="minorHAnsi"/>
                <w:color w:val="000000" w:themeColor="text1"/>
                <w:sz w:val="18"/>
                <w:szCs w:val="18"/>
              </w:rPr>
              <w:t xml:space="preserve"> </w:t>
            </w:r>
            <w:r w:rsidRPr="00D34A9D">
              <w:rPr>
                <w:rFonts w:ascii="Lato" w:hAnsi="Lato" w:cstheme="minorHAnsi"/>
                <w:color w:val="000000" w:themeColor="text1"/>
                <w:sz w:val="18"/>
                <w:szCs w:val="18"/>
              </w:rPr>
              <w:t>zach.-pom.</w:t>
            </w:r>
          </w:p>
        </w:tc>
        <w:tc>
          <w:tcPr>
            <w:tcW w:w="1568" w:type="dxa"/>
            <w:vAlign w:val="center"/>
          </w:tcPr>
          <w:p w14:paraId="21050C83" w14:textId="77777777" w:rsidR="00C03C32" w:rsidRDefault="00986DE0" w:rsidP="003C7140">
            <w:pPr>
              <w:jc w:val="center"/>
              <w:rPr>
                <w:rFonts w:ascii="Lato" w:hAnsi="Lato" w:cstheme="minorHAnsi"/>
                <w:bCs/>
                <w:color w:val="000000" w:themeColor="text1"/>
                <w:sz w:val="18"/>
                <w:szCs w:val="18"/>
              </w:rPr>
            </w:pPr>
            <w:r w:rsidRPr="00D34A9D">
              <w:rPr>
                <w:rFonts w:ascii="Lato" w:hAnsi="Lato" w:cstheme="minorHAnsi"/>
                <w:bCs/>
                <w:color w:val="000000" w:themeColor="text1"/>
                <w:sz w:val="18"/>
                <w:szCs w:val="18"/>
              </w:rPr>
              <w:t>13</w:t>
            </w:r>
            <w:r w:rsidR="00C03C32">
              <w:rPr>
                <w:rFonts w:ascii="Lato" w:hAnsi="Lato" w:cstheme="minorHAnsi"/>
                <w:bCs/>
                <w:color w:val="000000" w:themeColor="text1"/>
                <w:sz w:val="18"/>
                <w:szCs w:val="18"/>
              </w:rPr>
              <w:t> </w:t>
            </w:r>
            <w:r w:rsidRPr="00D34A9D">
              <w:rPr>
                <w:rFonts w:ascii="Lato" w:hAnsi="Lato" w:cstheme="minorHAnsi"/>
                <w:bCs/>
                <w:color w:val="000000" w:themeColor="text1"/>
                <w:sz w:val="18"/>
                <w:szCs w:val="18"/>
              </w:rPr>
              <w:t xml:space="preserve">828 </w:t>
            </w:r>
          </w:p>
          <w:p w14:paraId="4222B876" w14:textId="4C101BBD" w:rsidR="00986DE0" w:rsidRPr="00D34A9D" w:rsidRDefault="00986DE0" w:rsidP="003C7140">
            <w:pPr>
              <w:jc w:val="center"/>
              <w:rPr>
                <w:rFonts w:ascii="Lato" w:hAnsi="Lato" w:cstheme="minorHAnsi"/>
                <w:bCs/>
                <w:color w:val="000000" w:themeColor="text1"/>
                <w:sz w:val="18"/>
                <w:szCs w:val="18"/>
              </w:rPr>
            </w:pPr>
            <w:r w:rsidRPr="00D34A9D">
              <w:rPr>
                <w:rFonts w:ascii="Lato" w:hAnsi="Lato" w:cstheme="minorHAnsi"/>
                <w:bCs/>
                <w:color w:val="000000" w:themeColor="text1"/>
                <w:sz w:val="18"/>
                <w:szCs w:val="18"/>
              </w:rPr>
              <w:t>(845,08)</w:t>
            </w:r>
          </w:p>
        </w:tc>
        <w:tc>
          <w:tcPr>
            <w:tcW w:w="1334" w:type="dxa"/>
            <w:vAlign w:val="center"/>
          </w:tcPr>
          <w:p w14:paraId="490B5637" w14:textId="77777777" w:rsidR="00986DE0" w:rsidRPr="00D34A9D" w:rsidRDefault="00986DE0" w:rsidP="003C7140">
            <w:pPr>
              <w:tabs>
                <w:tab w:val="left" w:pos="851"/>
              </w:tabs>
              <w:jc w:val="center"/>
              <w:outlineLvl w:val="3"/>
              <w:rPr>
                <w:rFonts w:ascii="Lato" w:hAnsi="Lato" w:cstheme="minorHAnsi"/>
                <w:bCs/>
                <w:color w:val="000000" w:themeColor="text1"/>
                <w:sz w:val="18"/>
                <w:szCs w:val="18"/>
              </w:rPr>
            </w:pPr>
            <w:r w:rsidRPr="00D34A9D">
              <w:rPr>
                <w:rFonts w:ascii="Lato" w:hAnsi="Lato" w:cstheme="minorHAnsi"/>
                <w:bCs/>
                <w:color w:val="000000" w:themeColor="text1"/>
                <w:sz w:val="18"/>
                <w:szCs w:val="18"/>
              </w:rPr>
              <w:t xml:space="preserve">2 728 </w:t>
            </w:r>
          </w:p>
          <w:p w14:paraId="52F76388" w14:textId="77777777" w:rsidR="00986DE0" w:rsidRPr="00D34A9D" w:rsidRDefault="00986DE0" w:rsidP="003C7140">
            <w:pPr>
              <w:tabs>
                <w:tab w:val="left" w:pos="851"/>
              </w:tabs>
              <w:jc w:val="center"/>
              <w:outlineLvl w:val="3"/>
              <w:rPr>
                <w:rFonts w:ascii="Lato" w:hAnsi="Lato" w:cstheme="minorHAnsi"/>
                <w:bCs/>
                <w:color w:val="000000" w:themeColor="text1"/>
                <w:sz w:val="18"/>
                <w:szCs w:val="18"/>
              </w:rPr>
            </w:pPr>
            <w:r w:rsidRPr="00D34A9D">
              <w:rPr>
                <w:rFonts w:ascii="Lato" w:hAnsi="Lato" w:cstheme="minorHAnsi"/>
                <w:bCs/>
                <w:color w:val="000000" w:themeColor="text1"/>
                <w:sz w:val="18"/>
                <w:szCs w:val="18"/>
              </w:rPr>
              <w:t>(166,72)</w:t>
            </w:r>
          </w:p>
        </w:tc>
        <w:tc>
          <w:tcPr>
            <w:tcW w:w="1334" w:type="dxa"/>
            <w:vAlign w:val="center"/>
          </w:tcPr>
          <w:p w14:paraId="77B2334B" w14:textId="77777777" w:rsidR="00986DE0" w:rsidRPr="00D34A9D" w:rsidRDefault="00986DE0" w:rsidP="003C7140">
            <w:pPr>
              <w:tabs>
                <w:tab w:val="left" w:pos="851"/>
              </w:tabs>
              <w:jc w:val="center"/>
              <w:outlineLvl w:val="3"/>
              <w:rPr>
                <w:rFonts w:ascii="Lato" w:hAnsi="Lato" w:cstheme="minorHAnsi"/>
                <w:bCs/>
                <w:color w:val="000000" w:themeColor="text1"/>
                <w:sz w:val="18"/>
                <w:szCs w:val="18"/>
              </w:rPr>
            </w:pPr>
            <w:r w:rsidRPr="00D34A9D">
              <w:rPr>
                <w:rFonts w:ascii="Lato" w:hAnsi="Lato" w:cstheme="minorHAnsi"/>
                <w:bCs/>
                <w:color w:val="000000" w:themeColor="text1"/>
                <w:sz w:val="18"/>
                <w:szCs w:val="18"/>
              </w:rPr>
              <w:t>8775</w:t>
            </w:r>
          </w:p>
          <w:p w14:paraId="0A66AAC0" w14:textId="77777777" w:rsidR="00986DE0" w:rsidRPr="00D34A9D" w:rsidRDefault="00986DE0" w:rsidP="003C7140">
            <w:pPr>
              <w:tabs>
                <w:tab w:val="left" w:pos="851"/>
              </w:tabs>
              <w:jc w:val="center"/>
              <w:outlineLvl w:val="3"/>
              <w:rPr>
                <w:rFonts w:ascii="Lato" w:hAnsi="Lato" w:cstheme="minorHAnsi"/>
                <w:bCs/>
                <w:color w:val="000000" w:themeColor="text1"/>
                <w:sz w:val="18"/>
                <w:szCs w:val="18"/>
              </w:rPr>
            </w:pPr>
            <w:r w:rsidRPr="00D34A9D">
              <w:rPr>
                <w:rFonts w:ascii="Lato" w:hAnsi="Lato" w:cstheme="minorHAnsi"/>
                <w:bCs/>
                <w:color w:val="000000" w:themeColor="text1"/>
                <w:sz w:val="18"/>
                <w:szCs w:val="18"/>
              </w:rPr>
              <w:t>(539,38)</w:t>
            </w:r>
          </w:p>
        </w:tc>
        <w:tc>
          <w:tcPr>
            <w:tcW w:w="1335" w:type="dxa"/>
            <w:vAlign w:val="center"/>
          </w:tcPr>
          <w:p w14:paraId="1FB14DCF" w14:textId="77777777" w:rsidR="00986DE0" w:rsidRPr="00D34A9D" w:rsidRDefault="00986DE0" w:rsidP="003C7140">
            <w:pPr>
              <w:tabs>
                <w:tab w:val="left" w:pos="851"/>
              </w:tabs>
              <w:jc w:val="center"/>
              <w:outlineLvl w:val="3"/>
              <w:rPr>
                <w:rFonts w:ascii="Lato" w:hAnsi="Lato" w:cstheme="minorHAnsi"/>
                <w:bCs/>
                <w:color w:val="000000" w:themeColor="text1"/>
                <w:sz w:val="18"/>
                <w:szCs w:val="18"/>
              </w:rPr>
            </w:pPr>
            <w:r w:rsidRPr="00D34A9D">
              <w:rPr>
                <w:rFonts w:ascii="Lato" w:hAnsi="Lato" w:cstheme="minorHAnsi"/>
                <w:bCs/>
                <w:color w:val="000000" w:themeColor="text1"/>
                <w:sz w:val="18"/>
                <w:szCs w:val="18"/>
              </w:rPr>
              <w:t>2505</w:t>
            </w:r>
          </w:p>
          <w:p w14:paraId="7002D1AB" w14:textId="77777777" w:rsidR="00986DE0" w:rsidRPr="00D34A9D" w:rsidRDefault="00986DE0" w:rsidP="003C7140">
            <w:pPr>
              <w:tabs>
                <w:tab w:val="left" w:pos="851"/>
              </w:tabs>
              <w:jc w:val="center"/>
              <w:outlineLvl w:val="3"/>
              <w:rPr>
                <w:rFonts w:ascii="Lato" w:hAnsi="Lato" w:cstheme="minorHAnsi"/>
                <w:bCs/>
                <w:color w:val="000000" w:themeColor="text1"/>
                <w:sz w:val="18"/>
                <w:szCs w:val="18"/>
              </w:rPr>
            </w:pPr>
            <w:r w:rsidRPr="00D34A9D">
              <w:rPr>
                <w:rFonts w:ascii="Lato" w:hAnsi="Lato" w:cstheme="minorHAnsi"/>
                <w:bCs/>
                <w:color w:val="000000" w:themeColor="text1"/>
                <w:sz w:val="18"/>
                <w:szCs w:val="18"/>
              </w:rPr>
              <w:t>(153,98)</w:t>
            </w:r>
          </w:p>
        </w:tc>
        <w:tc>
          <w:tcPr>
            <w:tcW w:w="1396" w:type="dxa"/>
            <w:gridSpan w:val="2"/>
            <w:vAlign w:val="center"/>
          </w:tcPr>
          <w:p w14:paraId="3732744C" w14:textId="77777777" w:rsidR="00986DE0" w:rsidRPr="00D34A9D" w:rsidRDefault="00986DE0" w:rsidP="003C7140">
            <w:pPr>
              <w:tabs>
                <w:tab w:val="left" w:pos="851"/>
              </w:tabs>
              <w:jc w:val="center"/>
              <w:outlineLvl w:val="3"/>
              <w:rPr>
                <w:rFonts w:ascii="Lato" w:hAnsi="Lato" w:cstheme="minorHAnsi"/>
                <w:b/>
                <w:color w:val="000000" w:themeColor="text1"/>
                <w:sz w:val="18"/>
                <w:szCs w:val="18"/>
              </w:rPr>
            </w:pPr>
            <w:r w:rsidRPr="00D34A9D">
              <w:rPr>
                <w:rFonts w:ascii="Lato" w:hAnsi="Lato" w:cstheme="minorHAnsi"/>
                <w:b/>
                <w:color w:val="000000" w:themeColor="text1"/>
                <w:sz w:val="18"/>
                <w:szCs w:val="18"/>
              </w:rPr>
              <w:t>6856</w:t>
            </w:r>
          </w:p>
          <w:p w14:paraId="25A46619" w14:textId="77777777" w:rsidR="00986DE0" w:rsidRPr="00D34A9D" w:rsidRDefault="00986DE0" w:rsidP="003C7140">
            <w:pPr>
              <w:tabs>
                <w:tab w:val="left" w:pos="851"/>
              </w:tabs>
              <w:jc w:val="center"/>
              <w:outlineLvl w:val="3"/>
              <w:rPr>
                <w:rFonts w:ascii="Lato" w:hAnsi="Lato" w:cstheme="minorHAnsi"/>
                <w:b/>
                <w:color w:val="000000" w:themeColor="text1"/>
                <w:sz w:val="18"/>
                <w:szCs w:val="18"/>
              </w:rPr>
            </w:pPr>
            <w:r w:rsidRPr="00D34A9D">
              <w:rPr>
                <w:rFonts w:ascii="Lato" w:hAnsi="Lato" w:cstheme="minorHAnsi"/>
                <w:b/>
                <w:color w:val="000000" w:themeColor="text1"/>
                <w:sz w:val="18"/>
                <w:szCs w:val="18"/>
              </w:rPr>
              <w:t>(423,89)</w:t>
            </w:r>
          </w:p>
        </w:tc>
        <w:tc>
          <w:tcPr>
            <w:tcW w:w="1396" w:type="dxa"/>
            <w:vAlign w:val="center"/>
          </w:tcPr>
          <w:p w14:paraId="2EED826F" w14:textId="77777777" w:rsidR="00986DE0" w:rsidRPr="00D34A9D" w:rsidRDefault="00986DE0" w:rsidP="003C7140">
            <w:pPr>
              <w:tabs>
                <w:tab w:val="left" w:pos="851"/>
              </w:tabs>
              <w:jc w:val="center"/>
              <w:outlineLvl w:val="3"/>
              <w:rPr>
                <w:rFonts w:ascii="Lato" w:hAnsi="Lato" w:cstheme="minorHAnsi"/>
                <w:b/>
                <w:color w:val="000000" w:themeColor="text1"/>
                <w:sz w:val="18"/>
                <w:szCs w:val="18"/>
              </w:rPr>
            </w:pPr>
            <w:r w:rsidRPr="00D34A9D">
              <w:rPr>
                <w:rFonts w:ascii="Lato" w:hAnsi="Lato" w:cstheme="minorHAnsi"/>
                <w:b/>
                <w:color w:val="000000" w:themeColor="text1"/>
                <w:sz w:val="18"/>
                <w:szCs w:val="18"/>
              </w:rPr>
              <w:t>1268</w:t>
            </w:r>
          </w:p>
          <w:p w14:paraId="68B19C63" w14:textId="77777777" w:rsidR="00986DE0" w:rsidRPr="00D34A9D" w:rsidRDefault="00986DE0" w:rsidP="003C7140">
            <w:pPr>
              <w:tabs>
                <w:tab w:val="left" w:pos="851"/>
              </w:tabs>
              <w:jc w:val="center"/>
              <w:outlineLvl w:val="3"/>
              <w:rPr>
                <w:rFonts w:ascii="Lato" w:hAnsi="Lato" w:cstheme="minorHAnsi"/>
                <w:b/>
                <w:color w:val="000000" w:themeColor="text1"/>
                <w:sz w:val="18"/>
                <w:szCs w:val="18"/>
              </w:rPr>
            </w:pPr>
            <w:r w:rsidRPr="00D34A9D">
              <w:rPr>
                <w:rFonts w:ascii="Lato" w:hAnsi="Lato" w:cstheme="minorHAnsi"/>
                <w:b/>
                <w:color w:val="000000" w:themeColor="text1"/>
                <w:sz w:val="18"/>
                <w:szCs w:val="18"/>
              </w:rPr>
              <w:t>(78,40)</w:t>
            </w:r>
          </w:p>
        </w:tc>
      </w:tr>
    </w:tbl>
    <w:p w14:paraId="48D56F4D" w14:textId="77777777" w:rsidR="00766557" w:rsidRDefault="00766557" w:rsidP="001E187C">
      <w:pPr>
        <w:spacing w:line="360" w:lineRule="auto"/>
        <w:rPr>
          <w:rFonts w:ascii="Lato" w:hAnsi="Lato"/>
          <w:bCs/>
          <w:sz w:val="22"/>
          <w:szCs w:val="22"/>
        </w:rPr>
      </w:pPr>
    </w:p>
    <w:p w14:paraId="49914B76" w14:textId="5D5B698E" w:rsidR="00986DE0" w:rsidRDefault="00986DE0" w:rsidP="001E187C">
      <w:pPr>
        <w:spacing w:line="360" w:lineRule="auto"/>
        <w:rPr>
          <w:rFonts w:ascii="Lato" w:hAnsi="Lato"/>
          <w:bCs/>
          <w:sz w:val="22"/>
          <w:szCs w:val="22"/>
        </w:rPr>
      </w:pPr>
      <w:r w:rsidRPr="005170BB">
        <w:rPr>
          <w:rFonts w:ascii="Lato" w:hAnsi="Lato"/>
          <w:bCs/>
          <w:sz w:val="22"/>
          <w:szCs w:val="22"/>
        </w:rPr>
        <w:t>W 2025 r. kontynuowano na terenie woj. zachodniopomorskiego monitoring szczepów wirusa SARS-CoV-2 poprzez ich molekularną charakterystykę.</w:t>
      </w:r>
    </w:p>
    <w:p w14:paraId="46B0DEF3" w14:textId="4846BCA6" w:rsidR="00602AF1" w:rsidRDefault="00602AF1" w:rsidP="00602AF1">
      <w:pPr>
        <w:keepNext/>
        <w:spacing w:line="276" w:lineRule="auto"/>
        <w:ind w:firstLine="567"/>
        <w:jc w:val="both"/>
      </w:pPr>
    </w:p>
    <w:p w14:paraId="7E825648" w14:textId="6D785984" w:rsidR="00986DE0" w:rsidRDefault="00BA2854" w:rsidP="00BA2854">
      <w:pPr>
        <w:pStyle w:val="Legenda"/>
        <w:rPr>
          <w:rFonts w:ascii="Lato" w:hAnsi="Lato"/>
          <w:b w:val="0"/>
          <w:bCs w:val="0"/>
          <w:sz w:val="18"/>
          <w:szCs w:val="18"/>
        </w:rPr>
      </w:pPr>
      <w:bookmarkStart w:id="19" w:name="_Toc225495693"/>
      <w:bookmarkStart w:id="20" w:name="_Toc225859343"/>
      <w:bookmarkStart w:id="21" w:name="_Toc225922346"/>
      <w:r w:rsidRPr="00A22F4E">
        <w:rPr>
          <w:rFonts w:ascii="Lato" w:hAnsi="Lato"/>
          <w:b w:val="0"/>
          <w:bCs w:val="0"/>
          <w:sz w:val="18"/>
          <w:szCs w:val="18"/>
        </w:rPr>
        <w:t>Wykres</w:t>
      </w:r>
      <w:r w:rsidRPr="00BA2854">
        <w:rPr>
          <w:rFonts w:ascii="Lato" w:hAnsi="Lato"/>
          <w:b w:val="0"/>
          <w:bCs w:val="0"/>
          <w:sz w:val="18"/>
          <w:szCs w:val="18"/>
        </w:rPr>
        <w:t xml:space="preserve">  </w:t>
      </w:r>
      <w:r w:rsidRPr="00BA2854">
        <w:rPr>
          <w:rFonts w:ascii="Lato" w:hAnsi="Lato"/>
          <w:b w:val="0"/>
          <w:bCs w:val="0"/>
          <w:sz w:val="18"/>
          <w:szCs w:val="18"/>
        </w:rPr>
        <w:fldChar w:fldCharType="begin"/>
      </w:r>
      <w:r w:rsidRPr="00BA2854">
        <w:rPr>
          <w:rFonts w:ascii="Lato" w:hAnsi="Lato"/>
          <w:b w:val="0"/>
          <w:bCs w:val="0"/>
          <w:sz w:val="18"/>
          <w:szCs w:val="18"/>
        </w:rPr>
        <w:instrText xml:space="preserve"> SEQ Wykres_ \* ARABIC </w:instrText>
      </w:r>
      <w:r w:rsidRPr="00BA2854">
        <w:rPr>
          <w:rFonts w:ascii="Lato" w:hAnsi="Lato"/>
          <w:b w:val="0"/>
          <w:bCs w:val="0"/>
          <w:sz w:val="18"/>
          <w:szCs w:val="18"/>
        </w:rPr>
        <w:fldChar w:fldCharType="separate"/>
      </w:r>
      <w:r w:rsidR="002A3179">
        <w:rPr>
          <w:rFonts w:ascii="Lato" w:hAnsi="Lato"/>
          <w:b w:val="0"/>
          <w:bCs w:val="0"/>
          <w:noProof/>
          <w:sz w:val="18"/>
          <w:szCs w:val="18"/>
        </w:rPr>
        <w:t>1</w:t>
      </w:r>
      <w:r w:rsidRPr="00BA2854">
        <w:rPr>
          <w:rFonts w:ascii="Lato" w:hAnsi="Lato"/>
          <w:b w:val="0"/>
          <w:bCs w:val="0"/>
          <w:sz w:val="18"/>
          <w:szCs w:val="18"/>
        </w:rPr>
        <w:fldChar w:fldCharType="end"/>
      </w:r>
      <w:r w:rsidRPr="00BA2854">
        <w:rPr>
          <w:rFonts w:ascii="Lato" w:hAnsi="Lato"/>
          <w:b w:val="0"/>
          <w:bCs w:val="0"/>
          <w:sz w:val="18"/>
          <w:szCs w:val="18"/>
        </w:rPr>
        <w:t>. Liczba potwierdzonych zachorowań na SARS-CoV-2 z podziałem na miesiące w woj. zachodniopomorskim w latach 2024-2025 (dane zbierane w systemie dwutygodniowym z meldunków MZ-56).</w:t>
      </w:r>
      <w:bookmarkEnd w:id="19"/>
      <w:bookmarkEnd w:id="20"/>
      <w:bookmarkEnd w:id="21"/>
    </w:p>
    <w:p w14:paraId="114BE61F" w14:textId="77777777" w:rsidR="00CE751C" w:rsidRDefault="00CE751C" w:rsidP="00CE751C"/>
    <w:p w14:paraId="3D869454" w14:textId="0ABDAFF8" w:rsidR="00CE751C" w:rsidRDefault="00CE751C" w:rsidP="00CE751C">
      <w:r w:rsidRPr="004B2BBB">
        <w:rPr>
          <w:rFonts w:cstheme="minorHAnsi"/>
          <w:noProof/>
          <w:color w:val="EE0000"/>
        </w:rPr>
        <w:drawing>
          <wp:inline distT="0" distB="0" distL="0" distR="0" wp14:anchorId="2A148135" wp14:editId="6FAD85FF">
            <wp:extent cx="5238750" cy="3171825"/>
            <wp:effectExtent l="0" t="0" r="0" b="9525"/>
            <wp:docPr id="1882600318" name="Wykres 3" descr="Liczba potwierdzonych zachorowań na SARS-CoV-2 z podziałem na miesiące w woj. zachodniopomorskim w latach 2024-2025 (dane zbierane w systemie dwutygodniowym z meldunków MZ-56). Największą liczbę zachorowań odnotowano od sierpnia do października. Najmniej przypadków zachorowań w 2025 roku odnotowano w lipcu."/>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481455" w14:textId="77777777" w:rsidR="00CE751C" w:rsidRPr="00CE751C" w:rsidRDefault="00CE751C" w:rsidP="00CE751C"/>
    <w:p w14:paraId="32498646" w14:textId="226BD4EE" w:rsidR="00986DE0" w:rsidRPr="001563D4" w:rsidRDefault="00986DE0" w:rsidP="002060E8">
      <w:pPr>
        <w:pStyle w:val="Bezodstpw"/>
        <w:spacing w:line="360" w:lineRule="auto"/>
        <w:rPr>
          <w:rFonts w:ascii="Lato" w:hAnsi="Lato" w:cstheme="minorHAnsi"/>
        </w:rPr>
      </w:pPr>
      <w:r w:rsidRPr="001563D4">
        <w:rPr>
          <w:rFonts w:ascii="Lato" w:hAnsi="Lato" w:cstheme="minorHAnsi"/>
        </w:rPr>
        <w:t>W 2025 roku w woj. zachodniopomorskim zgłoszono 181 przypadków grypy potwierdzonych testem PCR</w:t>
      </w:r>
      <w:r>
        <w:rPr>
          <w:rFonts w:ascii="Lato" w:hAnsi="Lato" w:cstheme="minorHAnsi"/>
        </w:rPr>
        <w:t>.</w:t>
      </w:r>
      <w:r w:rsidRPr="001563D4">
        <w:rPr>
          <w:rFonts w:ascii="Lato" w:hAnsi="Lato" w:cstheme="minorHAnsi"/>
        </w:rPr>
        <w:t xml:space="preserve"> Natomiast uwzględniając przypadki grypy potwierdzone wynikiem testu antygenowego, których raportowanie rozpoczęto w 2023 r., odnotowano łącznie 20 778 zachorowań (zapadalność 1284,58 na 100 tys.), tj. ponad czterokrotnie więcej niż w 2024 r.</w:t>
      </w:r>
      <w:r w:rsidRPr="002A30BC">
        <w:rPr>
          <w:rFonts w:ascii="Lato" w:hAnsi="Lato" w:cstheme="minorHAnsi"/>
        </w:rPr>
        <w:t xml:space="preserve">– </w:t>
      </w:r>
      <w:r w:rsidR="00F72D7A" w:rsidRPr="00F45A42">
        <w:rPr>
          <w:rFonts w:ascii="Lato" w:hAnsi="Lato" w:cstheme="minorHAnsi"/>
        </w:rPr>
        <w:t>wykres</w:t>
      </w:r>
      <w:r w:rsidRPr="00F45A42">
        <w:rPr>
          <w:rFonts w:ascii="Lato" w:hAnsi="Lato" w:cstheme="minorHAnsi"/>
        </w:rPr>
        <w:t xml:space="preserve"> 2.</w:t>
      </w:r>
      <w:r w:rsidRPr="002A30BC">
        <w:rPr>
          <w:rFonts w:ascii="Lato" w:hAnsi="Lato" w:cstheme="minorHAnsi"/>
        </w:rPr>
        <w:t xml:space="preserve"> </w:t>
      </w:r>
      <w:r>
        <w:rPr>
          <w:rFonts w:ascii="Lato" w:hAnsi="Lato" w:cstheme="minorHAnsi"/>
        </w:rPr>
        <w:t xml:space="preserve">Hospitalizowanych było </w:t>
      </w:r>
      <w:r w:rsidRPr="001563D4">
        <w:rPr>
          <w:rFonts w:ascii="Lato" w:hAnsi="Lato" w:cstheme="minorHAnsi"/>
        </w:rPr>
        <w:t>1210 osób</w:t>
      </w:r>
      <w:r w:rsidR="00837CA7">
        <w:rPr>
          <w:rFonts w:ascii="Lato" w:hAnsi="Lato" w:cstheme="minorHAnsi"/>
        </w:rPr>
        <w:t>,</w:t>
      </w:r>
      <w:r w:rsidRPr="001563D4">
        <w:rPr>
          <w:rFonts w:ascii="Lato" w:hAnsi="Lato" w:cstheme="minorHAnsi"/>
        </w:rPr>
        <w:t xml:space="preserve"> tj. prawie 2,5 razy więcej niż w 2024 r</w:t>
      </w:r>
      <w:r w:rsidR="00837CA7">
        <w:rPr>
          <w:rFonts w:ascii="Lato" w:hAnsi="Lato" w:cstheme="minorHAnsi"/>
        </w:rPr>
        <w:t>.</w:t>
      </w:r>
      <w:r w:rsidRPr="001563D4">
        <w:rPr>
          <w:rFonts w:ascii="Lato" w:hAnsi="Lato" w:cstheme="minorHAnsi"/>
        </w:rPr>
        <w:t xml:space="preserve"> Z</w:t>
      </w:r>
      <w:r w:rsidR="001F31D1">
        <w:rPr>
          <w:rFonts w:ascii="Lato" w:hAnsi="Lato" w:cstheme="minorHAnsi"/>
        </w:rPr>
        <w:t> </w:t>
      </w:r>
      <w:r w:rsidRPr="001563D4">
        <w:rPr>
          <w:rFonts w:ascii="Lato" w:hAnsi="Lato" w:cstheme="minorHAnsi"/>
        </w:rPr>
        <w:t>powodu powikłań pogrypowych zmarło 21 osób</w:t>
      </w:r>
      <w:r>
        <w:rPr>
          <w:rFonts w:ascii="Lato" w:hAnsi="Lato" w:cstheme="minorHAnsi"/>
        </w:rPr>
        <w:t>,</w:t>
      </w:r>
      <w:r w:rsidRPr="001563D4">
        <w:rPr>
          <w:rFonts w:ascii="Lato" w:hAnsi="Lato" w:cstheme="minorHAnsi"/>
        </w:rPr>
        <w:t xml:space="preserve"> tj. 3</w:t>
      </w:r>
      <w:r>
        <w:rPr>
          <w:rFonts w:ascii="Lato" w:hAnsi="Lato" w:cstheme="minorHAnsi"/>
        </w:rPr>
        <w:t>,5</w:t>
      </w:r>
      <w:r w:rsidRPr="001563D4">
        <w:rPr>
          <w:rFonts w:ascii="Lato" w:hAnsi="Lato" w:cstheme="minorHAnsi"/>
        </w:rPr>
        <w:t xml:space="preserve"> razy więcej niż w 2024 r.</w:t>
      </w:r>
    </w:p>
    <w:p w14:paraId="52AA3D09" w14:textId="25EA0492" w:rsidR="002060E8" w:rsidRPr="00BC1A56" w:rsidRDefault="00986DE0" w:rsidP="002060E8">
      <w:pPr>
        <w:pStyle w:val="Bezodstpw"/>
        <w:spacing w:line="360" w:lineRule="auto"/>
        <w:rPr>
          <w:rFonts w:ascii="Lato" w:hAnsi="Lato" w:cs="Calibri"/>
          <w:color w:val="000000"/>
          <w:sz w:val="18"/>
          <w:szCs w:val="18"/>
        </w:rPr>
      </w:pPr>
      <w:r>
        <w:rPr>
          <w:rFonts w:ascii="Lato" w:hAnsi="Lato" w:cs="Calibri"/>
          <w:color w:val="000000"/>
        </w:rPr>
        <w:lastRenderedPageBreak/>
        <w:t xml:space="preserve">Grypa sezonowa nadzorowana jest również w systemie SENTINEL, którego głównym założeniem jest monitorowanie grypy zarówno pod kątem epidemiologicznym jak i wirusologicznym. </w:t>
      </w:r>
      <w:r w:rsidR="001F31D1">
        <w:rPr>
          <w:rFonts w:ascii="Lato" w:hAnsi="Lato" w:cs="Calibri"/>
          <w:color w:val="000000"/>
        </w:rPr>
        <w:t>L</w:t>
      </w:r>
      <w:r>
        <w:rPr>
          <w:rFonts w:ascii="Lato" w:hAnsi="Lato" w:cs="Calibri"/>
          <w:color w:val="000000"/>
        </w:rPr>
        <w:t xml:space="preserve">ekarze, którzy uczestniczą w </w:t>
      </w:r>
      <w:r w:rsidR="001F31D1">
        <w:rPr>
          <w:rFonts w:ascii="Lato" w:hAnsi="Lato" w:cs="Calibri"/>
          <w:color w:val="000000"/>
        </w:rPr>
        <w:t>programie</w:t>
      </w:r>
      <w:r>
        <w:rPr>
          <w:rFonts w:ascii="Lato" w:hAnsi="Lato" w:cs="Calibri"/>
          <w:color w:val="000000"/>
        </w:rPr>
        <w:t>, oprócz zbierania danych epidemiologicznych pobierają materiał do badań wirusologicznych od pacjentów z objawami chorobowymi.</w:t>
      </w:r>
      <w:r>
        <w:rPr>
          <w:rFonts w:ascii="Lato" w:hAnsi="Lato" w:cs="Calibri"/>
          <w:color w:val="7030A0"/>
        </w:rPr>
        <w:t xml:space="preserve"> </w:t>
      </w:r>
      <w:r>
        <w:rPr>
          <w:rFonts w:ascii="Lato" w:hAnsi="Lato" w:cs="Calibri"/>
          <w:color w:val="000000"/>
        </w:rPr>
        <w:t>Zdecydowaną większość przypadków grypy rozpoznanych w nadzorze SENTINEL</w:t>
      </w:r>
      <w:r w:rsidR="001F31D1" w:rsidRPr="001F31D1">
        <w:rPr>
          <w:rFonts w:ascii="Lato" w:hAnsi="Lato" w:cs="Calibri"/>
          <w:color w:val="000000"/>
        </w:rPr>
        <w:t xml:space="preserve"> </w:t>
      </w:r>
      <w:r w:rsidR="001F31D1">
        <w:rPr>
          <w:rFonts w:ascii="Lato" w:hAnsi="Lato" w:cs="Calibri"/>
          <w:color w:val="000000"/>
        </w:rPr>
        <w:t>stanowiła grypa typu A</w:t>
      </w:r>
      <w:r>
        <w:rPr>
          <w:rFonts w:ascii="Lato" w:hAnsi="Lato" w:cs="Calibri"/>
          <w:color w:val="000000"/>
        </w:rPr>
        <w:t>, tj. blisko 86.6 % , podczas gdy grypa typu B stanowiła tylko 13,4%.</w:t>
      </w:r>
    </w:p>
    <w:p w14:paraId="5F662508" w14:textId="36AC9A29" w:rsidR="00BC1A56" w:rsidRDefault="00BC1A56" w:rsidP="00BC1A56">
      <w:pPr>
        <w:pStyle w:val="Legenda"/>
        <w:rPr>
          <w:rFonts w:ascii="Lato" w:hAnsi="Lato"/>
          <w:b w:val="0"/>
          <w:bCs w:val="0"/>
          <w:sz w:val="18"/>
          <w:szCs w:val="18"/>
        </w:rPr>
      </w:pPr>
      <w:bookmarkStart w:id="22" w:name="_Toc225495694"/>
      <w:bookmarkStart w:id="23" w:name="_Toc225859344"/>
      <w:bookmarkStart w:id="24" w:name="_Toc225922347"/>
      <w:r w:rsidRPr="00F45A42">
        <w:rPr>
          <w:rFonts w:ascii="Lato" w:hAnsi="Lato"/>
          <w:b w:val="0"/>
          <w:bCs w:val="0"/>
          <w:sz w:val="18"/>
          <w:szCs w:val="18"/>
        </w:rPr>
        <w:t>Wykres</w:t>
      </w:r>
      <w:r w:rsidRPr="00BC1A56">
        <w:rPr>
          <w:rFonts w:ascii="Lato" w:hAnsi="Lato"/>
          <w:b w:val="0"/>
          <w:bCs w:val="0"/>
          <w:sz w:val="18"/>
          <w:szCs w:val="18"/>
        </w:rPr>
        <w:t xml:space="preserve">  </w:t>
      </w:r>
      <w:r w:rsidRPr="00BC1A56">
        <w:rPr>
          <w:rFonts w:ascii="Lato" w:hAnsi="Lato"/>
          <w:b w:val="0"/>
          <w:bCs w:val="0"/>
          <w:sz w:val="18"/>
          <w:szCs w:val="18"/>
        </w:rPr>
        <w:fldChar w:fldCharType="begin"/>
      </w:r>
      <w:r w:rsidRPr="00BC1A56">
        <w:rPr>
          <w:rFonts w:ascii="Lato" w:hAnsi="Lato"/>
          <w:b w:val="0"/>
          <w:bCs w:val="0"/>
          <w:sz w:val="18"/>
          <w:szCs w:val="18"/>
        </w:rPr>
        <w:instrText xml:space="preserve"> SEQ Wykres_ \* ARABIC </w:instrText>
      </w:r>
      <w:r w:rsidRPr="00BC1A56">
        <w:rPr>
          <w:rFonts w:ascii="Lato" w:hAnsi="Lato"/>
          <w:b w:val="0"/>
          <w:bCs w:val="0"/>
          <w:sz w:val="18"/>
          <w:szCs w:val="18"/>
        </w:rPr>
        <w:fldChar w:fldCharType="separate"/>
      </w:r>
      <w:r w:rsidR="002A3179">
        <w:rPr>
          <w:rFonts w:ascii="Lato" w:hAnsi="Lato"/>
          <w:b w:val="0"/>
          <w:bCs w:val="0"/>
          <w:noProof/>
          <w:sz w:val="18"/>
          <w:szCs w:val="18"/>
        </w:rPr>
        <w:t>2</w:t>
      </w:r>
      <w:r w:rsidRPr="00BC1A56">
        <w:rPr>
          <w:rFonts w:ascii="Lato" w:hAnsi="Lato"/>
          <w:b w:val="0"/>
          <w:bCs w:val="0"/>
          <w:sz w:val="18"/>
          <w:szCs w:val="18"/>
        </w:rPr>
        <w:fldChar w:fldCharType="end"/>
      </w:r>
      <w:r w:rsidRPr="00BC1A56">
        <w:rPr>
          <w:rFonts w:ascii="Lato" w:hAnsi="Lato"/>
          <w:b w:val="0"/>
          <w:bCs w:val="0"/>
          <w:sz w:val="18"/>
          <w:szCs w:val="18"/>
        </w:rPr>
        <w:t>.  Zachorowania na grypę w latach 2023- 2025 w woj. zachodniopomorskim z uwzględnieniem liczby i</w:t>
      </w:r>
      <w:r w:rsidR="00E31B5B">
        <w:rPr>
          <w:rFonts w:ascii="Lato" w:hAnsi="Lato"/>
          <w:b w:val="0"/>
          <w:bCs w:val="0"/>
          <w:sz w:val="18"/>
          <w:szCs w:val="18"/>
        </w:rPr>
        <w:t> </w:t>
      </w:r>
      <w:r w:rsidRPr="00BC1A56">
        <w:rPr>
          <w:rFonts w:ascii="Lato" w:hAnsi="Lato"/>
          <w:b w:val="0"/>
          <w:bCs w:val="0"/>
          <w:sz w:val="18"/>
          <w:szCs w:val="18"/>
        </w:rPr>
        <w:t>przypadków diagnozowanych testem molekularnym (PCR) oraz antygenowym.</w:t>
      </w:r>
      <w:bookmarkEnd w:id="22"/>
      <w:bookmarkEnd w:id="23"/>
      <w:bookmarkEnd w:id="24"/>
    </w:p>
    <w:p w14:paraId="62F77C07" w14:textId="77777777" w:rsidR="00766557" w:rsidRPr="00766557" w:rsidRDefault="00766557" w:rsidP="00766557"/>
    <w:p w14:paraId="18B54528" w14:textId="77777777" w:rsidR="00986DE0" w:rsidRPr="004B2BBB" w:rsidRDefault="00986DE0" w:rsidP="00986DE0">
      <w:pPr>
        <w:spacing w:line="276" w:lineRule="auto"/>
        <w:ind w:firstLine="567"/>
        <w:jc w:val="both"/>
        <w:rPr>
          <w:rFonts w:cstheme="minorHAnsi"/>
          <w:color w:val="EE0000"/>
        </w:rPr>
      </w:pPr>
      <w:r w:rsidRPr="004B2BBB">
        <w:rPr>
          <w:rFonts w:cstheme="minorHAnsi"/>
          <w:noProof/>
          <w:color w:val="EE0000"/>
        </w:rPr>
        <w:drawing>
          <wp:inline distT="0" distB="0" distL="0" distR="0" wp14:anchorId="68700C37" wp14:editId="24B6BF8B">
            <wp:extent cx="5019675" cy="2857500"/>
            <wp:effectExtent l="0" t="0" r="9525" b="0"/>
            <wp:docPr id="902054494" name="Wykres 2" descr="Zachorowania na grypę w latach 2023- 2025 w woj. zachodniopomorskim z uwzględnieniem liczby i przypadków diagnozowanych testem molekularnym (PCR) oraz antygenowym. W 2025 roku odnotowano 20596 przypadków zachorowań na grypę, które zostały zdiagnozowane za pomocą testów antygenowych. W 2024 roku takich przypadków odnotowano 4950, a w 2023 roku  19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2FF5388" w14:textId="77777777" w:rsidR="00766557" w:rsidRDefault="00766557" w:rsidP="002060E8">
      <w:pPr>
        <w:pStyle w:val="Standard"/>
        <w:spacing w:line="360" w:lineRule="auto"/>
        <w:rPr>
          <w:rFonts w:ascii="Lato" w:hAnsi="Lato"/>
          <w:color w:val="000000"/>
          <w:sz w:val="22"/>
          <w:szCs w:val="18"/>
        </w:rPr>
      </w:pPr>
    </w:p>
    <w:p w14:paraId="7D2AD3CA" w14:textId="4B5E12AD" w:rsidR="00986DE0" w:rsidRPr="002A30BC" w:rsidRDefault="00986DE0" w:rsidP="002060E8">
      <w:pPr>
        <w:pStyle w:val="Standard"/>
        <w:spacing w:line="360" w:lineRule="auto"/>
        <w:rPr>
          <w:sz w:val="22"/>
          <w:szCs w:val="18"/>
        </w:rPr>
      </w:pPr>
      <w:r w:rsidRPr="002A30BC">
        <w:rPr>
          <w:rFonts w:ascii="Lato" w:hAnsi="Lato"/>
          <w:color w:val="000000"/>
          <w:sz w:val="22"/>
          <w:szCs w:val="18"/>
        </w:rPr>
        <w:t>Od 2023 r. w Polsce rozpoczęto raportowanie zakażeń wirusem RSV w populacji. W</w:t>
      </w:r>
      <w:r>
        <w:rPr>
          <w:rFonts w:ascii="Lato" w:hAnsi="Lato"/>
          <w:color w:val="000000"/>
          <w:sz w:val="22"/>
          <w:szCs w:val="18"/>
        </w:rPr>
        <w:t xml:space="preserve"> 2025 r.</w:t>
      </w:r>
      <w:r w:rsidRPr="002A30BC">
        <w:rPr>
          <w:rFonts w:ascii="Lato" w:hAnsi="Lato"/>
          <w:color w:val="000000"/>
          <w:sz w:val="22"/>
          <w:szCs w:val="18"/>
        </w:rPr>
        <w:t xml:space="preserve"> w</w:t>
      </w:r>
      <w:r>
        <w:rPr>
          <w:rFonts w:ascii="Lato" w:hAnsi="Lato"/>
          <w:color w:val="000000"/>
          <w:sz w:val="22"/>
          <w:szCs w:val="18"/>
        </w:rPr>
        <w:t> </w:t>
      </w:r>
      <w:r w:rsidRPr="002A30BC">
        <w:rPr>
          <w:rFonts w:ascii="Lato" w:hAnsi="Lato"/>
          <w:color w:val="000000"/>
          <w:sz w:val="22"/>
          <w:szCs w:val="18"/>
        </w:rPr>
        <w:t xml:space="preserve">woj. zachodniopomorskim zgłoszono 3 182 zakażenia RSV, w tym prawie 1/3 zachorowań (1219) dot. dzieci do 2 r.ż. Zapadalność w populacji ogólnej wynosiła 196,73 na 100 tys., natomiast wśród dzieci do 2 r.ż. kształtowała się na poziomie aż 4054,14 na 100 tys. Liczba zachorowań w 2025 r. była prawie 3-krotnie większa </w:t>
      </w:r>
      <w:r>
        <w:rPr>
          <w:rFonts w:ascii="Lato" w:hAnsi="Lato"/>
          <w:color w:val="000000"/>
          <w:sz w:val="22"/>
          <w:szCs w:val="18"/>
        </w:rPr>
        <w:t>niż w</w:t>
      </w:r>
      <w:r w:rsidRPr="002A30BC">
        <w:rPr>
          <w:rFonts w:ascii="Lato" w:hAnsi="Lato"/>
          <w:color w:val="000000"/>
          <w:sz w:val="22"/>
          <w:szCs w:val="18"/>
        </w:rPr>
        <w:t xml:space="preserve"> 2024 r.</w:t>
      </w:r>
      <w:r>
        <w:rPr>
          <w:rFonts w:ascii="Lato" w:hAnsi="Lato"/>
          <w:color w:val="000000"/>
          <w:sz w:val="22"/>
          <w:szCs w:val="18"/>
        </w:rPr>
        <w:t xml:space="preserve"> </w:t>
      </w:r>
      <w:r w:rsidRPr="002A30BC">
        <w:rPr>
          <w:rFonts w:ascii="Lato" w:hAnsi="Lato"/>
          <w:color w:val="000000"/>
          <w:sz w:val="22"/>
          <w:szCs w:val="18"/>
        </w:rPr>
        <w:t>Sytuacja epidemiologiczna w 2025 r. w zakresie zakażeń RSV na</w:t>
      </w:r>
      <w:r w:rsidRPr="002A30BC">
        <w:rPr>
          <w:rFonts w:ascii="Lato" w:hAnsi="Lato"/>
          <w:color w:val="7030A0"/>
          <w:sz w:val="22"/>
          <w:szCs w:val="18"/>
        </w:rPr>
        <w:t xml:space="preserve"> </w:t>
      </w:r>
      <w:r w:rsidRPr="002A30BC">
        <w:rPr>
          <w:rFonts w:ascii="Lato" w:hAnsi="Lato"/>
          <w:color w:val="000000"/>
          <w:sz w:val="22"/>
          <w:szCs w:val="18"/>
        </w:rPr>
        <w:t>terenie województwa w odniesieniu do populacji dzieci do</w:t>
      </w:r>
      <w:r w:rsidR="00E31B5B">
        <w:rPr>
          <w:rFonts w:ascii="Lato" w:hAnsi="Lato"/>
          <w:color w:val="000000"/>
          <w:sz w:val="22"/>
          <w:szCs w:val="18"/>
        </w:rPr>
        <w:t> </w:t>
      </w:r>
      <w:r w:rsidRPr="002A30BC">
        <w:rPr>
          <w:rFonts w:ascii="Lato" w:hAnsi="Lato"/>
          <w:color w:val="000000"/>
          <w:sz w:val="22"/>
          <w:szCs w:val="18"/>
        </w:rPr>
        <w:t>2 r.ż. była korzystniejsza niż w Polsce, bowiem zapadalność w kraju w tej grupie wiekowej wynosiła 6</w:t>
      </w:r>
      <w:r>
        <w:rPr>
          <w:rFonts w:ascii="Lato" w:hAnsi="Lato"/>
          <w:color w:val="000000"/>
          <w:sz w:val="22"/>
          <w:szCs w:val="18"/>
        </w:rPr>
        <w:t xml:space="preserve"> </w:t>
      </w:r>
      <w:r w:rsidRPr="002A30BC">
        <w:rPr>
          <w:rFonts w:ascii="Lato" w:hAnsi="Lato"/>
          <w:color w:val="000000"/>
          <w:sz w:val="22"/>
          <w:szCs w:val="18"/>
        </w:rPr>
        <w:t>847,3 na 100 tys.</w:t>
      </w:r>
    </w:p>
    <w:p w14:paraId="6F0BD86D" w14:textId="69502B16" w:rsidR="00986DE0" w:rsidRDefault="00986DE0" w:rsidP="002060E8">
      <w:pPr>
        <w:pStyle w:val="Standard"/>
        <w:spacing w:line="360" w:lineRule="auto"/>
        <w:rPr>
          <w:rFonts w:ascii="Lato" w:hAnsi="Lato" w:cs="Calibri"/>
          <w:color w:val="000000"/>
          <w:sz w:val="22"/>
          <w:szCs w:val="18"/>
        </w:rPr>
      </w:pPr>
      <w:r w:rsidRPr="002A30BC">
        <w:rPr>
          <w:rFonts w:ascii="Lato" w:hAnsi="Lato" w:cs="Calibri"/>
          <w:color w:val="000000"/>
          <w:sz w:val="22"/>
          <w:szCs w:val="18"/>
        </w:rPr>
        <w:t xml:space="preserve">Należy podkreślić, iż opisanym chorobom infekcyjnym </w:t>
      </w:r>
      <w:r>
        <w:rPr>
          <w:rFonts w:ascii="Lato" w:hAnsi="Lato" w:cs="Calibri"/>
          <w:color w:val="000000"/>
          <w:sz w:val="22"/>
          <w:szCs w:val="18"/>
        </w:rPr>
        <w:t xml:space="preserve">(COVID-19, grypa i RSV) </w:t>
      </w:r>
      <w:r w:rsidRPr="002A30BC">
        <w:rPr>
          <w:rFonts w:ascii="Lato" w:hAnsi="Lato" w:cs="Calibri"/>
          <w:color w:val="000000"/>
          <w:sz w:val="22"/>
          <w:szCs w:val="18"/>
        </w:rPr>
        <w:t>można zapobiegać poprzez szczepienia ochronne, które należy propagować jako jedyną skuteczną metodę zapobiegania tym chorobom w całej populacji, a w szczególności w grupach najbardziej narażonych na zachorowanie</w:t>
      </w:r>
      <w:r w:rsidR="006B03F8">
        <w:rPr>
          <w:rFonts w:ascii="Lato" w:hAnsi="Lato" w:cs="Calibri"/>
          <w:color w:val="000000"/>
          <w:sz w:val="22"/>
          <w:szCs w:val="18"/>
        </w:rPr>
        <w:t>,</w:t>
      </w:r>
      <w:r>
        <w:rPr>
          <w:rFonts w:ascii="Lato" w:hAnsi="Lato" w:cs="Calibri"/>
          <w:color w:val="000000"/>
          <w:sz w:val="22"/>
          <w:szCs w:val="18"/>
        </w:rPr>
        <w:t xml:space="preserve"> m.in. wśród seniorów (powyżej 65 r.ż.), osób z chorobami przewlekłymi, w szczególności chorujących na choroby układu oddechowego, kobiet w ciąży oraz personelu medycznego</w:t>
      </w:r>
      <w:r w:rsidRPr="002A30BC">
        <w:rPr>
          <w:rFonts w:ascii="Lato" w:hAnsi="Lato" w:cs="Calibri"/>
          <w:color w:val="000000"/>
          <w:sz w:val="22"/>
          <w:szCs w:val="18"/>
        </w:rPr>
        <w:t>.</w:t>
      </w:r>
      <w:r>
        <w:rPr>
          <w:rFonts w:ascii="Lato" w:hAnsi="Lato" w:cs="Calibri"/>
          <w:color w:val="000000"/>
          <w:sz w:val="22"/>
          <w:szCs w:val="18"/>
        </w:rPr>
        <w:t xml:space="preserve"> Stąd też prowadzone są działania edukacyjne propagujące </w:t>
      </w:r>
      <w:r>
        <w:rPr>
          <w:rFonts w:ascii="Lato" w:hAnsi="Lato" w:cs="Calibri"/>
          <w:color w:val="000000"/>
          <w:sz w:val="22"/>
          <w:szCs w:val="18"/>
        </w:rPr>
        <w:lastRenderedPageBreak/>
        <w:t>dobrodziejstwo szczepień ochronnych celem podniesienia świadomości społeczeństwa oraz podejmowania świadomych decyzji związanych ze zdrowiem. W sezonie wzmożonych zachorowań podejmowane są również inicjatywy edukacyjno- informacyjne dot. upowszechniania nieswoistych zasad profilaktyki  chorób infekcyjnych poprzez stosowanie zasad higieny, w tym higieny rąk i kaszlu, unikanie skupisk ludzkich, zdrowe odżywianie, odpowiedni ubiór, regularny sen i samoizolacj</w:t>
      </w:r>
      <w:r w:rsidR="006B03F8">
        <w:rPr>
          <w:rFonts w:ascii="Lato" w:hAnsi="Lato" w:cs="Calibri"/>
          <w:color w:val="000000"/>
          <w:sz w:val="22"/>
          <w:szCs w:val="18"/>
        </w:rPr>
        <w:t>ę</w:t>
      </w:r>
      <w:r>
        <w:rPr>
          <w:rFonts w:ascii="Lato" w:hAnsi="Lato" w:cs="Calibri"/>
          <w:color w:val="000000"/>
          <w:sz w:val="22"/>
          <w:szCs w:val="18"/>
        </w:rPr>
        <w:t xml:space="preserve"> w przypadku wystąpienia objawów grypopodobnych do czasu ich ustąpienia.</w:t>
      </w:r>
    </w:p>
    <w:p w14:paraId="6F460A94" w14:textId="77777777" w:rsidR="00A572AF" w:rsidRPr="00BA7929" w:rsidRDefault="00A572AF" w:rsidP="002060E8">
      <w:pPr>
        <w:pStyle w:val="Standard"/>
        <w:spacing w:line="360" w:lineRule="auto"/>
        <w:rPr>
          <w:rFonts w:ascii="Lato" w:hAnsi="Lato"/>
          <w:color w:val="000000"/>
          <w:sz w:val="22"/>
          <w:szCs w:val="22"/>
        </w:rPr>
      </w:pPr>
    </w:p>
    <w:p w14:paraId="347ACB1B" w14:textId="0E98C375" w:rsidR="00986DE0" w:rsidRPr="006C5839" w:rsidRDefault="00986DE0">
      <w:pPr>
        <w:pStyle w:val="Nagwek3"/>
        <w:numPr>
          <w:ilvl w:val="1"/>
          <w:numId w:val="9"/>
        </w:numPr>
        <w:spacing w:before="0" w:after="0" w:line="360" w:lineRule="auto"/>
        <w:ind w:right="284" w:hanging="284"/>
        <w:rPr>
          <w:color w:val="auto"/>
          <w:szCs w:val="22"/>
        </w:rPr>
      </w:pPr>
      <w:bookmarkStart w:id="25" w:name="_Toc225235845"/>
      <w:bookmarkStart w:id="26" w:name="_Toc225859032"/>
      <w:r w:rsidRPr="006C5839">
        <w:rPr>
          <w:color w:val="auto"/>
          <w:szCs w:val="22"/>
        </w:rPr>
        <w:t>Choroby wieku dziecięcego</w:t>
      </w:r>
      <w:bookmarkEnd w:id="25"/>
      <w:bookmarkEnd w:id="26"/>
    </w:p>
    <w:p w14:paraId="774812E2" w14:textId="77777777" w:rsidR="00C92B81" w:rsidRDefault="00C92B81" w:rsidP="002060E8">
      <w:pPr>
        <w:spacing w:line="360" w:lineRule="auto"/>
        <w:rPr>
          <w:rFonts w:ascii="Lato" w:hAnsi="Lato"/>
          <w:b/>
          <w:bCs/>
          <w:color w:val="000000" w:themeColor="text1"/>
          <w:sz w:val="22"/>
          <w:szCs w:val="22"/>
        </w:rPr>
      </w:pPr>
    </w:p>
    <w:p w14:paraId="65CE87E0" w14:textId="05F7320F" w:rsidR="00986DE0" w:rsidRPr="003818A5" w:rsidRDefault="00986DE0" w:rsidP="002060E8">
      <w:pPr>
        <w:spacing w:line="360" w:lineRule="auto"/>
        <w:rPr>
          <w:rFonts w:ascii="Lato" w:hAnsi="Lato"/>
          <w:color w:val="000000" w:themeColor="text1"/>
          <w:sz w:val="22"/>
          <w:szCs w:val="22"/>
          <w:u w:val="single"/>
        </w:rPr>
      </w:pPr>
      <w:r w:rsidRPr="003818A5">
        <w:rPr>
          <w:rFonts w:ascii="Lato" w:hAnsi="Lato"/>
          <w:color w:val="000000" w:themeColor="text1"/>
          <w:sz w:val="22"/>
          <w:szCs w:val="22"/>
          <w:u w:val="single"/>
        </w:rPr>
        <w:t>Odra, świnka i różyczka</w:t>
      </w:r>
    </w:p>
    <w:p w14:paraId="3F3F77A3" w14:textId="77777777" w:rsidR="00986DE0" w:rsidRPr="005170BB" w:rsidRDefault="00986DE0" w:rsidP="002060E8">
      <w:pPr>
        <w:spacing w:line="360" w:lineRule="auto"/>
        <w:rPr>
          <w:rFonts w:ascii="Lato" w:hAnsi="Lato"/>
          <w:sz w:val="22"/>
          <w:szCs w:val="22"/>
        </w:rPr>
      </w:pPr>
      <w:r w:rsidRPr="005170BB">
        <w:rPr>
          <w:rFonts w:ascii="Lato" w:hAnsi="Lato"/>
          <w:sz w:val="22"/>
          <w:szCs w:val="22"/>
        </w:rPr>
        <w:t>Sytuacja epidemiologiczna odry i różyczki w 2025 r. w woj. zachodniopomorskim uległa poprawie w stosunku do  roku ubiegłego.</w:t>
      </w:r>
    </w:p>
    <w:p w14:paraId="00DD8B33" w14:textId="77777777" w:rsidR="00986DE0" w:rsidRPr="005170BB" w:rsidRDefault="00986DE0" w:rsidP="002060E8">
      <w:pPr>
        <w:spacing w:line="360" w:lineRule="auto"/>
        <w:rPr>
          <w:rFonts w:ascii="Lato" w:hAnsi="Lato"/>
          <w:sz w:val="22"/>
          <w:szCs w:val="22"/>
        </w:rPr>
      </w:pPr>
      <w:r w:rsidRPr="005170BB">
        <w:rPr>
          <w:rFonts w:ascii="Lato" w:hAnsi="Lato"/>
          <w:sz w:val="22"/>
          <w:szCs w:val="22"/>
        </w:rPr>
        <w:t>Odnotowano 1 przypadek potwierdzony odry, który dotyczył nieszczepionego mężczyzny w wieku 18 lat po powrocie z Tajlandii. W roku poprzedzającym odnotowano 5 przypadków potwierdzonych oraz 1 przypadek możliwy odry (na podstawie objawów klinicznych).</w:t>
      </w:r>
    </w:p>
    <w:p w14:paraId="4E31D4FB" w14:textId="00DC5504" w:rsidR="00986DE0" w:rsidRPr="005170BB" w:rsidRDefault="00986DE0" w:rsidP="002060E8">
      <w:pPr>
        <w:spacing w:line="360" w:lineRule="auto"/>
        <w:rPr>
          <w:rFonts w:ascii="Lato" w:hAnsi="Lato"/>
          <w:color w:val="EE0000"/>
          <w:sz w:val="22"/>
          <w:szCs w:val="22"/>
        </w:rPr>
      </w:pPr>
      <w:r w:rsidRPr="005170BB">
        <w:rPr>
          <w:rFonts w:ascii="Lato" w:hAnsi="Lato"/>
          <w:sz w:val="22"/>
          <w:szCs w:val="22"/>
        </w:rPr>
        <w:t xml:space="preserve">W 2025 r. w woj. zachodniopomorskim zarejestrowano 26 zachorowań na świnkę (w 2024 r. -28 zachorowań). </w:t>
      </w:r>
      <w:r w:rsidR="0064416A">
        <w:rPr>
          <w:rFonts w:ascii="Lato" w:hAnsi="Lato"/>
          <w:sz w:val="22"/>
          <w:szCs w:val="22"/>
        </w:rPr>
        <w:t xml:space="preserve">Z większą częstotliwością </w:t>
      </w:r>
      <w:r w:rsidRPr="005170BB">
        <w:rPr>
          <w:rFonts w:ascii="Lato" w:hAnsi="Lato"/>
          <w:sz w:val="22"/>
          <w:szCs w:val="22"/>
        </w:rPr>
        <w:t>na świnkę chorowały osoby nieszczepione lub o</w:t>
      </w:r>
      <w:r w:rsidR="003B5B49">
        <w:rPr>
          <w:rFonts w:ascii="Lato" w:hAnsi="Lato"/>
          <w:sz w:val="22"/>
          <w:szCs w:val="22"/>
        </w:rPr>
        <w:t> </w:t>
      </w:r>
      <w:r w:rsidRPr="005170BB">
        <w:rPr>
          <w:rFonts w:ascii="Lato" w:hAnsi="Lato"/>
          <w:sz w:val="22"/>
          <w:szCs w:val="22"/>
        </w:rPr>
        <w:t xml:space="preserve">nieznanym </w:t>
      </w:r>
      <w:r w:rsidR="0064416A">
        <w:rPr>
          <w:rFonts w:ascii="Lato" w:hAnsi="Lato"/>
          <w:sz w:val="22"/>
          <w:szCs w:val="22"/>
        </w:rPr>
        <w:t>albo</w:t>
      </w:r>
      <w:r w:rsidRPr="005170BB">
        <w:rPr>
          <w:rFonts w:ascii="Lato" w:hAnsi="Lato"/>
          <w:sz w:val="22"/>
          <w:szCs w:val="22"/>
        </w:rPr>
        <w:t> niepełnym statusie szczepień (15 osób). Zgodnie ze specyfiką jednostki chorobowej zachorowania występują głównie w wieku przedszkolnym i szkolnym, najczęściej chorowały dzieci do 14 roku życia (łącznie 20 osób, tj. 77%).</w:t>
      </w:r>
    </w:p>
    <w:p w14:paraId="68C47687" w14:textId="77777777" w:rsidR="00986DE0" w:rsidRPr="005170BB" w:rsidRDefault="00986DE0" w:rsidP="002060E8">
      <w:pPr>
        <w:spacing w:line="360" w:lineRule="auto"/>
        <w:rPr>
          <w:rFonts w:ascii="Lato" w:hAnsi="Lato"/>
          <w:sz w:val="22"/>
          <w:szCs w:val="22"/>
        </w:rPr>
      </w:pPr>
      <w:r w:rsidRPr="005170BB">
        <w:rPr>
          <w:rFonts w:ascii="Lato" w:hAnsi="Lato"/>
          <w:sz w:val="22"/>
          <w:szCs w:val="22"/>
        </w:rPr>
        <w:t>W 2025 r. w woj. zachodniopomorskim na różyczkę zachorowały 3 osoby, tj. o 5 przypadków mniej niż w 2024 r. Wszystkie przypadki rozpoznane zostały wyłącznie na podstawie objawów klinicznych.</w:t>
      </w:r>
    </w:p>
    <w:p w14:paraId="5403FA13" w14:textId="54EE8EA1" w:rsidR="00986DE0" w:rsidRPr="005170BB" w:rsidRDefault="00986DE0" w:rsidP="002060E8">
      <w:pPr>
        <w:spacing w:line="360" w:lineRule="auto"/>
        <w:rPr>
          <w:rFonts w:ascii="Lato" w:hAnsi="Lato"/>
          <w:sz w:val="22"/>
          <w:szCs w:val="22"/>
        </w:rPr>
      </w:pPr>
      <w:r w:rsidRPr="005170BB">
        <w:rPr>
          <w:rFonts w:ascii="Lato" w:hAnsi="Lato"/>
          <w:sz w:val="22"/>
          <w:szCs w:val="22"/>
        </w:rPr>
        <w:t>Należy podkreślić, iż odrze, śwince i różyczce można zapobiegać poprzez obowiązkowe szczepienia ochronne i podaż szczepionki skojarzonej w cyklu II dawkowym stąd kontynuowane są działania edukacyjne wobec społeczeństwa celem utrzymania odporności zbiorow</w:t>
      </w:r>
      <w:r w:rsidR="0042581C">
        <w:rPr>
          <w:rFonts w:ascii="Lato" w:hAnsi="Lato"/>
          <w:sz w:val="22"/>
          <w:szCs w:val="22"/>
        </w:rPr>
        <w:t>iskowej</w:t>
      </w:r>
      <w:r w:rsidRPr="005170BB">
        <w:rPr>
          <w:rFonts w:ascii="Lato" w:hAnsi="Lato"/>
          <w:sz w:val="22"/>
          <w:szCs w:val="22"/>
        </w:rPr>
        <w:t xml:space="preserve"> przeciwko tym chorobom. Szczepienie zapobiega groźnym dla zdrowia i życia powikłaniom, a w przypadku zachorowania przebieg choroby jest łagodniejszy.</w:t>
      </w:r>
    </w:p>
    <w:p w14:paraId="37C5CE9C" w14:textId="77777777" w:rsidR="00C92B81" w:rsidRDefault="00C92B81" w:rsidP="002060E8">
      <w:pPr>
        <w:spacing w:line="360" w:lineRule="auto"/>
        <w:rPr>
          <w:rFonts w:ascii="Lato" w:hAnsi="Lato"/>
          <w:b/>
          <w:bCs/>
          <w:color w:val="000000" w:themeColor="text1"/>
          <w:sz w:val="22"/>
          <w:szCs w:val="22"/>
        </w:rPr>
      </w:pPr>
    </w:p>
    <w:p w14:paraId="379D8D5C" w14:textId="2309531A" w:rsidR="00986DE0" w:rsidRPr="003818A5" w:rsidRDefault="00986DE0" w:rsidP="002060E8">
      <w:pPr>
        <w:spacing w:line="360" w:lineRule="auto"/>
        <w:rPr>
          <w:rFonts w:ascii="Lato" w:hAnsi="Lato"/>
          <w:color w:val="000000" w:themeColor="text1"/>
          <w:sz w:val="22"/>
          <w:szCs w:val="22"/>
          <w:u w:val="single"/>
        </w:rPr>
      </w:pPr>
      <w:r w:rsidRPr="003818A5">
        <w:rPr>
          <w:rFonts w:ascii="Lato" w:hAnsi="Lato"/>
          <w:color w:val="000000" w:themeColor="text1"/>
          <w:sz w:val="22"/>
          <w:szCs w:val="22"/>
          <w:u w:val="single"/>
        </w:rPr>
        <w:t>Ospa wietrzna</w:t>
      </w:r>
    </w:p>
    <w:p w14:paraId="3244CFD3" w14:textId="1998F10C" w:rsidR="00986DE0" w:rsidRPr="005170BB" w:rsidRDefault="00986DE0" w:rsidP="002060E8">
      <w:pPr>
        <w:spacing w:line="360" w:lineRule="auto"/>
        <w:rPr>
          <w:rFonts w:ascii="Lato" w:hAnsi="Lato"/>
          <w:color w:val="EE0000"/>
          <w:sz w:val="22"/>
          <w:szCs w:val="22"/>
        </w:rPr>
      </w:pPr>
      <w:r w:rsidRPr="005170BB">
        <w:rPr>
          <w:rFonts w:ascii="Lato" w:hAnsi="Lato"/>
          <w:color w:val="000000"/>
          <w:sz w:val="22"/>
          <w:szCs w:val="22"/>
        </w:rPr>
        <w:t xml:space="preserve">Liczba zarejestrowanych zachorowań na ospę wietrzną na terenie województwa wyniosła 4199 i była niższa o ponad 26 % niż w roku ubiegłym. </w:t>
      </w:r>
      <w:r w:rsidRPr="005170BB">
        <w:rPr>
          <w:rFonts w:ascii="Lato" w:hAnsi="Lato"/>
          <w:color w:val="000000" w:themeColor="text1"/>
          <w:sz w:val="22"/>
          <w:szCs w:val="22"/>
        </w:rPr>
        <w:t xml:space="preserve">Na ospę wietrzną najczęściej chorowały osoby nieszczepione (3956 osób, tj. 94,21 %) oraz z brakiem udokumentowanych szczepień (122 osób, tj. 2,9 %). Najwięcej zachorowań wystąpiło w grupie wiekowej 5-9 lat (1762 osób, </w:t>
      </w:r>
      <w:r w:rsidRPr="005170BB">
        <w:rPr>
          <w:rFonts w:ascii="Lato" w:hAnsi="Lato"/>
          <w:color w:val="000000" w:themeColor="text1"/>
          <w:sz w:val="22"/>
          <w:szCs w:val="22"/>
        </w:rPr>
        <w:lastRenderedPageBreak/>
        <w:t>tj.</w:t>
      </w:r>
      <w:r w:rsidR="00E31B5B">
        <w:rPr>
          <w:rFonts w:ascii="Lato" w:hAnsi="Lato"/>
          <w:color w:val="000000" w:themeColor="text1"/>
          <w:sz w:val="22"/>
          <w:szCs w:val="22"/>
        </w:rPr>
        <w:t> </w:t>
      </w:r>
      <w:r w:rsidRPr="005170BB">
        <w:rPr>
          <w:rFonts w:ascii="Lato" w:hAnsi="Lato"/>
          <w:color w:val="000000" w:themeColor="text1"/>
          <w:sz w:val="22"/>
          <w:szCs w:val="22"/>
        </w:rPr>
        <w:t>41,96%), następnie w przedziale wiekowym 0-4 lat (1712 osób, tj. 40,77 %), co jest charakterystyczne dla tej jednostki chorobowej.</w:t>
      </w:r>
    </w:p>
    <w:p w14:paraId="14E59D7C" w14:textId="696132FF" w:rsidR="00986DE0" w:rsidRPr="005170BB" w:rsidRDefault="00986DE0" w:rsidP="002060E8">
      <w:pPr>
        <w:pStyle w:val="Standard"/>
        <w:spacing w:line="360" w:lineRule="auto"/>
        <w:rPr>
          <w:color w:val="000000"/>
          <w:sz w:val="22"/>
          <w:szCs w:val="22"/>
        </w:rPr>
      </w:pPr>
      <w:r w:rsidRPr="005170BB">
        <w:rPr>
          <w:rFonts w:ascii="Lato" w:hAnsi="Lato"/>
          <w:color w:val="000000"/>
          <w:sz w:val="22"/>
          <w:szCs w:val="22"/>
        </w:rPr>
        <w:t>Szczepienie przeciw ospie wietrznej jest bezpłatne w ramach realizacji Programu Szczepień Ochronnych dla wybranych grup ryzyka u dzieci i młodzieży do 19 r.ż. oraz będących osobami z otoczenia takich dzieci, jak również określonych grup dzieci do 19 r.ż., które nie chorowały na</w:t>
      </w:r>
      <w:r w:rsidR="00E31B5B">
        <w:rPr>
          <w:rFonts w:ascii="Lato" w:hAnsi="Lato"/>
          <w:color w:val="000000"/>
          <w:sz w:val="22"/>
          <w:szCs w:val="22"/>
        </w:rPr>
        <w:t> </w:t>
      </w:r>
      <w:r w:rsidRPr="005170BB">
        <w:rPr>
          <w:rFonts w:ascii="Lato" w:hAnsi="Lato"/>
          <w:color w:val="000000"/>
          <w:sz w:val="22"/>
          <w:szCs w:val="22"/>
        </w:rPr>
        <w:t>ospę wietrzną i przebywających w wybranych placówkach opiekuńczych, w tym klubach dziecięcych i żłobkach. Schemat szczepień jest dwudawkowy w odstępie 6 tygodniowym między dawkami.</w:t>
      </w:r>
    </w:p>
    <w:p w14:paraId="59C68BBD" w14:textId="77777777" w:rsidR="00C92B81" w:rsidRDefault="00C92B81" w:rsidP="002060E8">
      <w:pPr>
        <w:spacing w:line="360" w:lineRule="auto"/>
        <w:rPr>
          <w:rFonts w:ascii="Lato" w:hAnsi="Lato"/>
          <w:b/>
          <w:bCs/>
          <w:color w:val="000000" w:themeColor="text1"/>
          <w:sz w:val="22"/>
          <w:szCs w:val="22"/>
        </w:rPr>
      </w:pPr>
    </w:p>
    <w:p w14:paraId="47D74AA1" w14:textId="3A93F90F" w:rsidR="00986DE0" w:rsidRPr="003818A5" w:rsidRDefault="00986DE0" w:rsidP="002060E8">
      <w:pPr>
        <w:spacing w:line="360" w:lineRule="auto"/>
        <w:rPr>
          <w:rFonts w:ascii="Lato" w:hAnsi="Lato"/>
          <w:color w:val="000000" w:themeColor="text1"/>
          <w:sz w:val="22"/>
          <w:szCs w:val="22"/>
          <w:u w:val="single"/>
        </w:rPr>
      </w:pPr>
      <w:r w:rsidRPr="003818A5">
        <w:rPr>
          <w:rFonts w:ascii="Lato" w:hAnsi="Lato"/>
          <w:color w:val="000000" w:themeColor="text1"/>
          <w:sz w:val="22"/>
          <w:szCs w:val="22"/>
          <w:u w:val="single"/>
        </w:rPr>
        <w:t>Krztusiec</w:t>
      </w:r>
    </w:p>
    <w:p w14:paraId="5DC4AA4C" w14:textId="064E1F3B" w:rsidR="002060E8" w:rsidRPr="005D5FA4" w:rsidRDefault="00986DE0" w:rsidP="002060E8">
      <w:pPr>
        <w:pStyle w:val="Bezodstpw"/>
        <w:spacing w:line="360" w:lineRule="auto"/>
        <w:rPr>
          <w:rFonts w:ascii="Lato" w:hAnsi="Lato" w:cs="Calibri"/>
          <w:color w:val="000000"/>
          <w:lang w:eastAsia="pl-PL"/>
        </w:rPr>
      </w:pPr>
      <w:r w:rsidRPr="005170BB">
        <w:rPr>
          <w:rFonts w:ascii="Lato" w:hAnsi="Lato" w:cs="Calibri"/>
          <w:color w:val="000000"/>
          <w:lang w:eastAsia="pl-PL"/>
        </w:rPr>
        <w:t>W 2025 r. w województwie wystąpił widoczny spadek zachorowań na krztusiec. Odnotowano prawie dwukrotnie mniej zachorowań</w:t>
      </w:r>
      <w:r w:rsidRPr="005170BB">
        <w:rPr>
          <w:rFonts w:ascii="Lato" w:hAnsi="Lato" w:cs="Calibri"/>
          <w:color w:val="7030A0"/>
          <w:lang w:eastAsia="pl-PL"/>
        </w:rPr>
        <w:t xml:space="preserve"> </w:t>
      </w:r>
      <w:r w:rsidRPr="005170BB">
        <w:rPr>
          <w:rFonts w:ascii="Lato" w:hAnsi="Lato" w:cs="Calibri"/>
          <w:lang w:eastAsia="pl-PL"/>
        </w:rPr>
        <w:t xml:space="preserve">aniżeli w roku ubiegłym </w:t>
      </w:r>
      <w:r w:rsidRPr="005170BB">
        <w:rPr>
          <w:rFonts w:ascii="Lato" w:hAnsi="Lato" w:cs="Calibri"/>
          <w:color w:val="000000"/>
          <w:lang w:eastAsia="pl-PL"/>
        </w:rPr>
        <w:t>tj. zarejestrowano 345 przypadków, hospitalizowano 57 osób.</w:t>
      </w:r>
      <w:r w:rsidRPr="005170BB">
        <w:rPr>
          <w:rFonts w:ascii="Lato" w:hAnsi="Lato" w:cs="Calibri"/>
          <w:color w:val="7030A0"/>
          <w:lang w:eastAsia="pl-PL"/>
        </w:rPr>
        <w:t xml:space="preserve"> </w:t>
      </w:r>
      <w:r w:rsidRPr="005170BB">
        <w:rPr>
          <w:rFonts w:ascii="Lato" w:hAnsi="Lato" w:cs="Calibri"/>
          <w:color w:val="000000"/>
          <w:lang w:eastAsia="pl-PL"/>
        </w:rPr>
        <w:t xml:space="preserve">Podobnie, spadek zachorowań obserwowano w Polsce (zapadalność w 2025 r. wyniosła 30,32 na 100 tys., w porównaniu do 86,94 na 100 tys. </w:t>
      </w:r>
      <w:r w:rsidR="00BC5103">
        <w:rPr>
          <w:rFonts w:ascii="Lato" w:hAnsi="Lato" w:cs="Calibri"/>
          <w:color w:val="000000"/>
          <w:lang w:eastAsia="pl-PL"/>
        </w:rPr>
        <w:t>w</w:t>
      </w:r>
      <w:r w:rsidRPr="005170BB">
        <w:rPr>
          <w:rFonts w:ascii="Lato" w:hAnsi="Lato" w:cs="Calibri"/>
          <w:color w:val="000000"/>
          <w:lang w:eastAsia="pl-PL"/>
        </w:rPr>
        <w:t> 2024 r.).</w:t>
      </w:r>
    </w:p>
    <w:p w14:paraId="04BF6F26" w14:textId="702F04E0" w:rsidR="00986DE0" w:rsidRDefault="00D06EBD" w:rsidP="00D06EBD">
      <w:pPr>
        <w:pStyle w:val="Legenda"/>
        <w:rPr>
          <w:rFonts w:ascii="Lato" w:hAnsi="Lato"/>
          <w:b w:val="0"/>
          <w:bCs w:val="0"/>
          <w:sz w:val="18"/>
          <w:szCs w:val="18"/>
        </w:rPr>
      </w:pPr>
      <w:bookmarkStart w:id="27" w:name="_Toc225859363"/>
      <w:r w:rsidRPr="00D06EBD">
        <w:rPr>
          <w:rFonts w:ascii="Lato" w:hAnsi="Lato"/>
          <w:b w:val="0"/>
          <w:bCs w:val="0"/>
          <w:sz w:val="18"/>
          <w:szCs w:val="18"/>
        </w:rPr>
        <w:t xml:space="preserve">Tabela </w:t>
      </w:r>
      <w:r w:rsidRPr="00D06EBD">
        <w:rPr>
          <w:rFonts w:ascii="Lato" w:hAnsi="Lato"/>
          <w:b w:val="0"/>
          <w:bCs w:val="0"/>
          <w:sz w:val="18"/>
          <w:szCs w:val="18"/>
        </w:rPr>
        <w:fldChar w:fldCharType="begin"/>
      </w:r>
      <w:r w:rsidRPr="00D06EBD">
        <w:rPr>
          <w:rFonts w:ascii="Lato" w:hAnsi="Lato"/>
          <w:b w:val="0"/>
          <w:bCs w:val="0"/>
          <w:sz w:val="18"/>
          <w:szCs w:val="18"/>
        </w:rPr>
        <w:instrText xml:space="preserve"> SEQ Tabela \* ARABIC </w:instrText>
      </w:r>
      <w:r w:rsidRPr="00D06EBD">
        <w:rPr>
          <w:rFonts w:ascii="Lato" w:hAnsi="Lato"/>
          <w:b w:val="0"/>
          <w:bCs w:val="0"/>
          <w:sz w:val="18"/>
          <w:szCs w:val="18"/>
        </w:rPr>
        <w:fldChar w:fldCharType="separate"/>
      </w:r>
      <w:r w:rsidR="002A3179">
        <w:rPr>
          <w:rFonts w:ascii="Lato" w:hAnsi="Lato"/>
          <w:b w:val="0"/>
          <w:bCs w:val="0"/>
          <w:noProof/>
          <w:sz w:val="18"/>
          <w:szCs w:val="18"/>
        </w:rPr>
        <w:t>7</w:t>
      </w:r>
      <w:r w:rsidRPr="00D06EBD">
        <w:rPr>
          <w:rFonts w:ascii="Lato" w:hAnsi="Lato"/>
          <w:b w:val="0"/>
          <w:bCs w:val="0"/>
          <w:sz w:val="18"/>
          <w:szCs w:val="18"/>
        </w:rPr>
        <w:fldChar w:fldCharType="end"/>
      </w:r>
      <w:r w:rsidRPr="00D06EBD">
        <w:rPr>
          <w:rFonts w:ascii="Lato" w:hAnsi="Lato"/>
          <w:b w:val="0"/>
          <w:bCs w:val="0"/>
          <w:sz w:val="18"/>
          <w:szCs w:val="18"/>
        </w:rPr>
        <w:t>.  Liczba zachorowań na krztusiec wg definicji przypadku w latach 2021-2025 w woj. zachodniopomorskim.</w:t>
      </w:r>
      <w:bookmarkEnd w:id="27"/>
    </w:p>
    <w:p w14:paraId="258E093C" w14:textId="77777777" w:rsidR="00766557" w:rsidRPr="00766557" w:rsidRDefault="00766557" w:rsidP="00766557"/>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Caption w:val=". Liczba zachorowań na krztusiec wg definicji przypadku w latach 2021-2025 w woj. zachodniopomorskim"/>
        <w:tblDescription w:val="Tabela przedstawia dane na temat przypadków zachorowaniua na krztusiec w latach 2021-2025. Dane zostały przedstawione z podziałem przypadków ze względu na kwalifikację ( możliwe, prawdopodobne i potwierdzone). Zauważono spadek liczby zachorowań w porównaniu do roku poprzedniego (w 2024 roku odnotowano 642 przypadki, natomiast w 2025 - 345 przypadków)."/>
      </w:tblPr>
      <w:tblGrid>
        <w:gridCol w:w="1413"/>
        <w:gridCol w:w="1418"/>
        <w:gridCol w:w="1842"/>
        <w:gridCol w:w="1559"/>
        <w:gridCol w:w="1560"/>
        <w:gridCol w:w="1842"/>
      </w:tblGrid>
      <w:tr w:rsidR="00986DE0" w:rsidRPr="009D4773" w14:paraId="5174D01A" w14:textId="77777777" w:rsidTr="00130F95">
        <w:trPr>
          <w:trHeight w:val="362"/>
        </w:trPr>
        <w:tc>
          <w:tcPr>
            <w:tcW w:w="1413" w:type="dxa"/>
            <w:shd w:val="clear" w:color="auto" w:fill="D9D9D9" w:themeFill="background1" w:themeFillShade="D9"/>
            <w:tcMar>
              <w:top w:w="72" w:type="dxa"/>
              <w:left w:w="144" w:type="dxa"/>
              <w:bottom w:w="72" w:type="dxa"/>
              <w:right w:w="144" w:type="dxa"/>
            </w:tcMar>
            <w:vAlign w:val="center"/>
            <w:hideMark/>
          </w:tcPr>
          <w:p w14:paraId="3F17B090"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color w:val="000000" w:themeColor="text1"/>
                <w:sz w:val="20"/>
                <w:szCs w:val="20"/>
              </w:rPr>
              <w:t>Rok</w:t>
            </w:r>
          </w:p>
        </w:tc>
        <w:tc>
          <w:tcPr>
            <w:tcW w:w="1418" w:type="dxa"/>
            <w:shd w:val="clear" w:color="auto" w:fill="D9D9D9" w:themeFill="background1" w:themeFillShade="D9"/>
            <w:tcMar>
              <w:top w:w="72" w:type="dxa"/>
              <w:left w:w="144" w:type="dxa"/>
              <w:bottom w:w="72" w:type="dxa"/>
              <w:right w:w="144" w:type="dxa"/>
            </w:tcMar>
            <w:vAlign w:val="center"/>
            <w:hideMark/>
          </w:tcPr>
          <w:p w14:paraId="0ADD6127"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b/>
                <w:bCs/>
                <w:color w:val="000000" w:themeColor="text1"/>
                <w:sz w:val="20"/>
                <w:szCs w:val="20"/>
              </w:rPr>
              <w:t>Możliwe</w:t>
            </w:r>
          </w:p>
        </w:tc>
        <w:tc>
          <w:tcPr>
            <w:tcW w:w="1842" w:type="dxa"/>
            <w:shd w:val="clear" w:color="auto" w:fill="D9D9D9" w:themeFill="background1" w:themeFillShade="D9"/>
            <w:tcMar>
              <w:top w:w="72" w:type="dxa"/>
              <w:left w:w="144" w:type="dxa"/>
              <w:bottom w:w="72" w:type="dxa"/>
              <w:right w:w="144" w:type="dxa"/>
            </w:tcMar>
            <w:vAlign w:val="center"/>
            <w:hideMark/>
          </w:tcPr>
          <w:p w14:paraId="69E4CAAA"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b/>
                <w:bCs/>
                <w:color w:val="000000" w:themeColor="text1"/>
                <w:sz w:val="20"/>
                <w:szCs w:val="20"/>
              </w:rPr>
              <w:t>Prawdopodobne</w:t>
            </w:r>
          </w:p>
        </w:tc>
        <w:tc>
          <w:tcPr>
            <w:tcW w:w="1559" w:type="dxa"/>
            <w:shd w:val="clear" w:color="auto" w:fill="D9D9D9" w:themeFill="background1" w:themeFillShade="D9"/>
            <w:tcMar>
              <w:top w:w="72" w:type="dxa"/>
              <w:left w:w="144" w:type="dxa"/>
              <w:bottom w:w="72" w:type="dxa"/>
              <w:right w:w="144" w:type="dxa"/>
            </w:tcMar>
            <w:vAlign w:val="center"/>
            <w:hideMark/>
          </w:tcPr>
          <w:p w14:paraId="093FD020"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b/>
                <w:bCs/>
                <w:color w:val="000000" w:themeColor="text1"/>
                <w:sz w:val="20"/>
                <w:szCs w:val="20"/>
              </w:rPr>
              <w:t>Potwierdzone</w:t>
            </w:r>
          </w:p>
        </w:tc>
        <w:tc>
          <w:tcPr>
            <w:tcW w:w="1560" w:type="dxa"/>
            <w:shd w:val="clear" w:color="auto" w:fill="D9D9D9" w:themeFill="background1" w:themeFillShade="D9"/>
            <w:tcMar>
              <w:top w:w="72" w:type="dxa"/>
              <w:left w:w="144" w:type="dxa"/>
              <w:bottom w:w="72" w:type="dxa"/>
              <w:right w:w="144" w:type="dxa"/>
            </w:tcMar>
            <w:vAlign w:val="center"/>
            <w:hideMark/>
          </w:tcPr>
          <w:p w14:paraId="70201278"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b/>
                <w:bCs/>
                <w:color w:val="000000" w:themeColor="text1"/>
                <w:sz w:val="20"/>
                <w:szCs w:val="20"/>
              </w:rPr>
              <w:t>Razem</w:t>
            </w:r>
          </w:p>
        </w:tc>
        <w:tc>
          <w:tcPr>
            <w:tcW w:w="1842" w:type="dxa"/>
            <w:shd w:val="clear" w:color="auto" w:fill="D9D9D9" w:themeFill="background1" w:themeFillShade="D9"/>
            <w:tcMar>
              <w:top w:w="72" w:type="dxa"/>
              <w:left w:w="144" w:type="dxa"/>
              <w:bottom w:w="72" w:type="dxa"/>
              <w:right w:w="144" w:type="dxa"/>
            </w:tcMar>
            <w:vAlign w:val="center"/>
            <w:hideMark/>
          </w:tcPr>
          <w:p w14:paraId="1971844D" w14:textId="77777777" w:rsidR="00986DE0" w:rsidRPr="00766557" w:rsidRDefault="00986DE0" w:rsidP="003C7140">
            <w:pPr>
              <w:spacing w:line="276" w:lineRule="auto"/>
              <w:jc w:val="center"/>
              <w:rPr>
                <w:rFonts w:ascii="Lato" w:hAnsi="Lato" w:cstheme="minorHAnsi"/>
                <w:b/>
                <w:bCs/>
                <w:color w:val="000000" w:themeColor="text1"/>
                <w:sz w:val="20"/>
                <w:szCs w:val="20"/>
              </w:rPr>
            </w:pPr>
            <w:r w:rsidRPr="00766557">
              <w:rPr>
                <w:rFonts w:ascii="Lato" w:hAnsi="Lato" w:cstheme="minorHAnsi"/>
                <w:b/>
                <w:bCs/>
                <w:color w:val="000000" w:themeColor="text1"/>
                <w:sz w:val="20"/>
                <w:szCs w:val="20"/>
              </w:rPr>
              <w:t xml:space="preserve">w tym </w:t>
            </w:r>
          </w:p>
          <w:p w14:paraId="32ED3772"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b/>
                <w:bCs/>
                <w:color w:val="000000" w:themeColor="text1"/>
                <w:sz w:val="20"/>
                <w:szCs w:val="20"/>
              </w:rPr>
              <w:t>hospitalizacje</w:t>
            </w:r>
          </w:p>
        </w:tc>
      </w:tr>
      <w:tr w:rsidR="00986DE0" w:rsidRPr="009D4773" w14:paraId="51F2B593" w14:textId="77777777" w:rsidTr="003C7140">
        <w:trPr>
          <w:trHeight w:val="232"/>
        </w:trPr>
        <w:tc>
          <w:tcPr>
            <w:tcW w:w="1413" w:type="dxa"/>
            <w:tcMar>
              <w:top w:w="72" w:type="dxa"/>
              <w:left w:w="144" w:type="dxa"/>
              <w:bottom w:w="72" w:type="dxa"/>
              <w:right w:w="144" w:type="dxa"/>
            </w:tcMar>
            <w:vAlign w:val="center"/>
          </w:tcPr>
          <w:p w14:paraId="09605E6C" w14:textId="77777777" w:rsidR="00986DE0" w:rsidRPr="00766557" w:rsidRDefault="00986DE0" w:rsidP="003C7140">
            <w:pPr>
              <w:spacing w:line="276" w:lineRule="auto"/>
              <w:jc w:val="center"/>
              <w:rPr>
                <w:rFonts w:ascii="Lato" w:hAnsi="Lato" w:cstheme="minorHAnsi"/>
                <w:b/>
                <w:bCs/>
                <w:color w:val="000000" w:themeColor="text1"/>
                <w:sz w:val="20"/>
                <w:szCs w:val="20"/>
              </w:rPr>
            </w:pPr>
            <w:r w:rsidRPr="00766557">
              <w:rPr>
                <w:rFonts w:ascii="Lato" w:hAnsi="Lato" w:cstheme="minorHAnsi"/>
                <w:b/>
                <w:bCs/>
                <w:color w:val="000000" w:themeColor="text1"/>
                <w:sz w:val="20"/>
                <w:szCs w:val="20"/>
              </w:rPr>
              <w:t>2025</w:t>
            </w:r>
          </w:p>
        </w:tc>
        <w:tc>
          <w:tcPr>
            <w:tcW w:w="1418" w:type="dxa"/>
            <w:tcMar>
              <w:top w:w="72" w:type="dxa"/>
              <w:left w:w="144" w:type="dxa"/>
              <w:bottom w:w="72" w:type="dxa"/>
              <w:right w:w="144" w:type="dxa"/>
            </w:tcMar>
            <w:vAlign w:val="center"/>
          </w:tcPr>
          <w:p w14:paraId="51131B11"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color w:val="000000" w:themeColor="text1"/>
                <w:sz w:val="20"/>
                <w:szCs w:val="20"/>
              </w:rPr>
              <w:t>123</w:t>
            </w:r>
          </w:p>
        </w:tc>
        <w:tc>
          <w:tcPr>
            <w:tcW w:w="1842" w:type="dxa"/>
            <w:tcMar>
              <w:top w:w="72" w:type="dxa"/>
              <w:left w:w="144" w:type="dxa"/>
              <w:bottom w:w="72" w:type="dxa"/>
              <w:right w:w="144" w:type="dxa"/>
            </w:tcMar>
            <w:vAlign w:val="center"/>
          </w:tcPr>
          <w:p w14:paraId="6502401A"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color w:val="000000" w:themeColor="text1"/>
                <w:sz w:val="20"/>
                <w:szCs w:val="20"/>
              </w:rPr>
              <w:t>2</w:t>
            </w:r>
          </w:p>
        </w:tc>
        <w:tc>
          <w:tcPr>
            <w:tcW w:w="1559" w:type="dxa"/>
            <w:tcMar>
              <w:top w:w="72" w:type="dxa"/>
              <w:left w:w="144" w:type="dxa"/>
              <w:bottom w:w="72" w:type="dxa"/>
              <w:right w:w="144" w:type="dxa"/>
            </w:tcMar>
            <w:vAlign w:val="center"/>
          </w:tcPr>
          <w:p w14:paraId="226218FD"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color w:val="000000" w:themeColor="text1"/>
                <w:sz w:val="20"/>
                <w:szCs w:val="20"/>
              </w:rPr>
              <w:t>220</w:t>
            </w:r>
          </w:p>
        </w:tc>
        <w:tc>
          <w:tcPr>
            <w:tcW w:w="1560" w:type="dxa"/>
            <w:shd w:val="clear" w:color="auto" w:fill="FFFFFF" w:themeFill="background1"/>
            <w:tcMar>
              <w:top w:w="72" w:type="dxa"/>
              <w:left w:w="144" w:type="dxa"/>
              <w:bottom w:w="72" w:type="dxa"/>
              <w:right w:w="144" w:type="dxa"/>
            </w:tcMar>
            <w:vAlign w:val="center"/>
          </w:tcPr>
          <w:p w14:paraId="286558D6" w14:textId="77777777" w:rsidR="00986DE0" w:rsidRPr="00766557" w:rsidRDefault="00986DE0" w:rsidP="003C7140">
            <w:pPr>
              <w:spacing w:line="276" w:lineRule="auto"/>
              <w:jc w:val="center"/>
              <w:rPr>
                <w:rFonts w:ascii="Lato" w:hAnsi="Lato" w:cstheme="minorHAnsi"/>
                <w:b/>
                <w:bCs/>
                <w:color w:val="000000" w:themeColor="text1"/>
                <w:sz w:val="20"/>
                <w:szCs w:val="20"/>
              </w:rPr>
            </w:pPr>
            <w:r w:rsidRPr="00766557">
              <w:rPr>
                <w:rFonts w:ascii="Lato" w:hAnsi="Lato" w:cstheme="minorHAnsi"/>
                <w:b/>
                <w:bCs/>
                <w:color w:val="000000" w:themeColor="text1"/>
                <w:sz w:val="20"/>
                <w:szCs w:val="20"/>
              </w:rPr>
              <w:t>345</w:t>
            </w:r>
          </w:p>
        </w:tc>
        <w:tc>
          <w:tcPr>
            <w:tcW w:w="1842" w:type="dxa"/>
            <w:tcMar>
              <w:top w:w="72" w:type="dxa"/>
              <w:left w:w="144" w:type="dxa"/>
              <w:bottom w:w="72" w:type="dxa"/>
              <w:right w:w="144" w:type="dxa"/>
            </w:tcMar>
            <w:vAlign w:val="center"/>
          </w:tcPr>
          <w:p w14:paraId="530DC2B0"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color w:val="000000" w:themeColor="text1"/>
                <w:sz w:val="20"/>
                <w:szCs w:val="20"/>
              </w:rPr>
              <w:t>57</w:t>
            </w:r>
          </w:p>
        </w:tc>
      </w:tr>
      <w:tr w:rsidR="00986DE0" w:rsidRPr="009D4773" w14:paraId="444B8BF6" w14:textId="77777777" w:rsidTr="003C7140">
        <w:trPr>
          <w:trHeight w:val="232"/>
        </w:trPr>
        <w:tc>
          <w:tcPr>
            <w:tcW w:w="1413" w:type="dxa"/>
            <w:tcMar>
              <w:top w:w="72" w:type="dxa"/>
              <w:left w:w="144" w:type="dxa"/>
              <w:bottom w:w="72" w:type="dxa"/>
              <w:right w:w="144" w:type="dxa"/>
            </w:tcMar>
            <w:vAlign w:val="center"/>
            <w:hideMark/>
          </w:tcPr>
          <w:p w14:paraId="672CA7DC" w14:textId="77777777" w:rsidR="00986DE0" w:rsidRPr="00766557" w:rsidRDefault="00986DE0" w:rsidP="003C7140">
            <w:pPr>
              <w:spacing w:line="276" w:lineRule="auto"/>
              <w:jc w:val="center"/>
              <w:rPr>
                <w:rFonts w:ascii="Lato" w:hAnsi="Lato" w:cstheme="minorHAnsi"/>
                <w:b/>
                <w:bCs/>
                <w:color w:val="000000" w:themeColor="text1"/>
                <w:sz w:val="20"/>
                <w:szCs w:val="20"/>
              </w:rPr>
            </w:pPr>
            <w:r w:rsidRPr="00766557">
              <w:rPr>
                <w:rFonts w:ascii="Lato" w:hAnsi="Lato" w:cstheme="minorHAnsi"/>
                <w:b/>
                <w:bCs/>
                <w:color w:val="000000" w:themeColor="text1"/>
                <w:sz w:val="20"/>
                <w:szCs w:val="20"/>
              </w:rPr>
              <w:t>2024</w:t>
            </w:r>
          </w:p>
        </w:tc>
        <w:tc>
          <w:tcPr>
            <w:tcW w:w="1418" w:type="dxa"/>
            <w:tcMar>
              <w:top w:w="72" w:type="dxa"/>
              <w:left w:w="144" w:type="dxa"/>
              <w:bottom w:w="72" w:type="dxa"/>
              <w:right w:w="144" w:type="dxa"/>
            </w:tcMar>
            <w:vAlign w:val="center"/>
            <w:hideMark/>
          </w:tcPr>
          <w:p w14:paraId="37308C7F"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color w:val="000000" w:themeColor="text1"/>
                <w:sz w:val="20"/>
                <w:szCs w:val="20"/>
              </w:rPr>
              <w:t>233</w:t>
            </w:r>
          </w:p>
        </w:tc>
        <w:tc>
          <w:tcPr>
            <w:tcW w:w="1842" w:type="dxa"/>
            <w:tcMar>
              <w:top w:w="72" w:type="dxa"/>
              <w:left w:w="144" w:type="dxa"/>
              <w:bottom w:w="72" w:type="dxa"/>
              <w:right w:w="144" w:type="dxa"/>
            </w:tcMar>
            <w:vAlign w:val="center"/>
            <w:hideMark/>
          </w:tcPr>
          <w:p w14:paraId="5C8ABB5A"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color w:val="000000" w:themeColor="text1"/>
                <w:sz w:val="20"/>
                <w:szCs w:val="20"/>
              </w:rPr>
              <w:t>29</w:t>
            </w:r>
          </w:p>
        </w:tc>
        <w:tc>
          <w:tcPr>
            <w:tcW w:w="1559" w:type="dxa"/>
            <w:tcMar>
              <w:top w:w="72" w:type="dxa"/>
              <w:left w:w="144" w:type="dxa"/>
              <w:bottom w:w="72" w:type="dxa"/>
              <w:right w:w="144" w:type="dxa"/>
            </w:tcMar>
            <w:vAlign w:val="center"/>
            <w:hideMark/>
          </w:tcPr>
          <w:p w14:paraId="51425605"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color w:val="000000" w:themeColor="text1"/>
                <w:sz w:val="20"/>
                <w:szCs w:val="20"/>
              </w:rPr>
              <w:t>380</w:t>
            </w:r>
          </w:p>
        </w:tc>
        <w:tc>
          <w:tcPr>
            <w:tcW w:w="1560" w:type="dxa"/>
            <w:shd w:val="clear" w:color="auto" w:fill="FFFFFF" w:themeFill="background1"/>
            <w:tcMar>
              <w:top w:w="72" w:type="dxa"/>
              <w:left w:w="144" w:type="dxa"/>
              <w:bottom w:w="72" w:type="dxa"/>
              <w:right w:w="144" w:type="dxa"/>
            </w:tcMar>
            <w:vAlign w:val="center"/>
            <w:hideMark/>
          </w:tcPr>
          <w:p w14:paraId="78EACDFD" w14:textId="77777777" w:rsidR="00986DE0" w:rsidRPr="00766557" w:rsidRDefault="00986DE0" w:rsidP="003C7140">
            <w:pPr>
              <w:spacing w:line="276" w:lineRule="auto"/>
              <w:jc w:val="center"/>
              <w:rPr>
                <w:rFonts w:ascii="Lato" w:hAnsi="Lato" w:cstheme="minorHAnsi"/>
                <w:b/>
                <w:bCs/>
                <w:color w:val="000000" w:themeColor="text1"/>
                <w:sz w:val="20"/>
                <w:szCs w:val="20"/>
              </w:rPr>
            </w:pPr>
            <w:r w:rsidRPr="00766557">
              <w:rPr>
                <w:rFonts w:ascii="Lato" w:hAnsi="Lato" w:cstheme="minorHAnsi"/>
                <w:b/>
                <w:bCs/>
                <w:color w:val="000000" w:themeColor="text1"/>
                <w:sz w:val="20"/>
                <w:szCs w:val="20"/>
              </w:rPr>
              <w:t>642</w:t>
            </w:r>
          </w:p>
        </w:tc>
        <w:tc>
          <w:tcPr>
            <w:tcW w:w="1842" w:type="dxa"/>
            <w:tcMar>
              <w:top w:w="72" w:type="dxa"/>
              <w:left w:w="144" w:type="dxa"/>
              <w:bottom w:w="72" w:type="dxa"/>
              <w:right w:w="144" w:type="dxa"/>
            </w:tcMar>
            <w:vAlign w:val="center"/>
            <w:hideMark/>
          </w:tcPr>
          <w:p w14:paraId="62ED4A62"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color w:val="000000" w:themeColor="text1"/>
                <w:sz w:val="20"/>
                <w:szCs w:val="20"/>
              </w:rPr>
              <w:t>91</w:t>
            </w:r>
          </w:p>
        </w:tc>
      </w:tr>
      <w:tr w:rsidR="00986DE0" w:rsidRPr="009D4773" w14:paraId="52F3A5C8" w14:textId="77777777" w:rsidTr="003C7140">
        <w:trPr>
          <w:trHeight w:val="188"/>
        </w:trPr>
        <w:tc>
          <w:tcPr>
            <w:tcW w:w="1413" w:type="dxa"/>
            <w:tcMar>
              <w:top w:w="72" w:type="dxa"/>
              <w:left w:w="144" w:type="dxa"/>
              <w:bottom w:w="72" w:type="dxa"/>
              <w:right w:w="144" w:type="dxa"/>
            </w:tcMar>
            <w:vAlign w:val="center"/>
            <w:hideMark/>
          </w:tcPr>
          <w:p w14:paraId="21452799" w14:textId="77777777" w:rsidR="00986DE0" w:rsidRPr="00766557" w:rsidRDefault="00986DE0" w:rsidP="003C7140">
            <w:pPr>
              <w:spacing w:line="276" w:lineRule="auto"/>
              <w:jc w:val="center"/>
              <w:rPr>
                <w:rFonts w:ascii="Lato" w:hAnsi="Lato" w:cstheme="minorHAnsi"/>
                <w:b/>
                <w:bCs/>
                <w:color w:val="000000" w:themeColor="text1"/>
                <w:sz w:val="20"/>
                <w:szCs w:val="20"/>
              </w:rPr>
            </w:pPr>
            <w:r w:rsidRPr="00766557">
              <w:rPr>
                <w:rFonts w:ascii="Lato" w:hAnsi="Lato" w:cstheme="minorHAnsi"/>
                <w:b/>
                <w:bCs/>
                <w:color w:val="000000" w:themeColor="text1"/>
                <w:sz w:val="20"/>
                <w:szCs w:val="20"/>
              </w:rPr>
              <w:t>2023</w:t>
            </w:r>
          </w:p>
        </w:tc>
        <w:tc>
          <w:tcPr>
            <w:tcW w:w="1418" w:type="dxa"/>
            <w:tcMar>
              <w:top w:w="72" w:type="dxa"/>
              <w:left w:w="144" w:type="dxa"/>
              <w:bottom w:w="72" w:type="dxa"/>
              <w:right w:w="144" w:type="dxa"/>
            </w:tcMar>
            <w:vAlign w:val="center"/>
            <w:hideMark/>
          </w:tcPr>
          <w:p w14:paraId="750CDA24"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color w:val="000000" w:themeColor="text1"/>
                <w:sz w:val="20"/>
                <w:szCs w:val="20"/>
              </w:rPr>
              <w:t>8</w:t>
            </w:r>
          </w:p>
        </w:tc>
        <w:tc>
          <w:tcPr>
            <w:tcW w:w="1842" w:type="dxa"/>
            <w:tcMar>
              <w:top w:w="72" w:type="dxa"/>
              <w:left w:w="144" w:type="dxa"/>
              <w:bottom w:w="72" w:type="dxa"/>
              <w:right w:w="144" w:type="dxa"/>
            </w:tcMar>
            <w:vAlign w:val="center"/>
            <w:hideMark/>
          </w:tcPr>
          <w:p w14:paraId="091994D0"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color w:val="000000" w:themeColor="text1"/>
                <w:sz w:val="20"/>
                <w:szCs w:val="20"/>
              </w:rPr>
              <w:t>1</w:t>
            </w:r>
          </w:p>
        </w:tc>
        <w:tc>
          <w:tcPr>
            <w:tcW w:w="1559" w:type="dxa"/>
            <w:tcMar>
              <w:top w:w="72" w:type="dxa"/>
              <w:left w:w="144" w:type="dxa"/>
              <w:bottom w:w="72" w:type="dxa"/>
              <w:right w:w="144" w:type="dxa"/>
            </w:tcMar>
            <w:vAlign w:val="center"/>
            <w:hideMark/>
          </w:tcPr>
          <w:p w14:paraId="356E9B3F"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color w:val="000000" w:themeColor="text1"/>
                <w:sz w:val="20"/>
                <w:szCs w:val="20"/>
              </w:rPr>
              <w:t>3</w:t>
            </w:r>
          </w:p>
        </w:tc>
        <w:tc>
          <w:tcPr>
            <w:tcW w:w="1560" w:type="dxa"/>
            <w:shd w:val="clear" w:color="auto" w:fill="FFFFFF" w:themeFill="background1"/>
            <w:tcMar>
              <w:top w:w="72" w:type="dxa"/>
              <w:left w:w="144" w:type="dxa"/>
              <w:bottom w:w="72" w:type="dxa"/>
              <w:right w:w="144" w:type="dxa"/>
            </w:tcMar>
            <w:vAlign w:val="center"/>
            <w:hideMark/>
          </w:tcPr>
          <w:p w14:paraId="6F4695C1" w14:textId="77777777" w:rsidR="00986DE0" w:rsidRPr="00766557" w:rsidRDefault="00986DE0" w:rsidP="003C7140">
            <w:pPr>
              <w:spacing w:line="276" w:lineRule="auto"/>
              <w:jc w:val="center"/>
              <w:rPr>
                <w:rFonts w:ascii="Lato" w:hAnsi="Lato" w:cstheme="minorHAnsi"/>
                <w:b/>
                <w:bCs/>
                <w:color w:val="000000" w:themeColor="text1"/>
                <w:sz w:val="20"/>
                <w:szCs w:val="20"/>
              </w:rPr>
            </w:pPr>
            <w:r w:rsidRPr="00766557">
              <w:rPr>
                <w:rFonts w:ascii="Lato" w:hAnsi="Lato" w:cstheme="minorHAnsi"/>
                <w:b/>
                <w:bCs/>
                <w:color w:val="000000" w:themeColor="text1"/>
                <w:sz w:val="20"/>
                <w:szCs w:val="20"/>
              </w:rPr>
              <w:t>12</w:t>
            </w:r>
          </w:p>
        </w:tc>
        <w:tc>
          <w:tcPr>
            <w:tcW w:w="1842" w:type="dxa"/>
            <w:tcMar>
              <w:top w:w="72" w:type="dxa"/>
              <w:left w:w="144" w:type="dxa"/>
              <w:bottom w:w="72" w:type="dxa"/>
              <w:right w:w="144" w:type="dxa"/>
            </w:tcMar>
            <w:vAlign w:val="center"/>
            <w:hideMark/>
          </w:tcPr>
          <w:p w14:paraId="01EBED1A"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color w:val="000000" w:themeColor="text1"/>
                <w:sz w:val="20"/>
                <w:szCs w:val="20"/>
              </w:rPr>
              <w:t>4</w:t>
            </w:r>
          </w:p>
        </w:tc>
      </w:tr>
      <w:tr w:rsidR="00986DE0" w:rsidRPr="009D4773" w14:paraId="621F2297" w14:textId="77777777" w:rsidTr="003C7140">
        <w:trPr>
          <w:trHeight w:val="246"/>
        </w:trPr>
        <w:tc>
          <w:tcPr>
            <w:tcW w:w="1413" w:type="dxa"/>
            <w:tcMar>
              <w:top w:w="72" w:type="dxa"/>
              <w:left w:w="144" w:type="dxa"/>
              <w:bottom w:w="72" w:type="dxa"/>
              <w:right w:w="144" w:type="dxa"/>
            </w:tcMar>
            <w:vAlign w:val="center"/>
            <w:hideMark/>
          </w:tcPr>
          <w:p w14:paraId="682BD15B" w14:textId="77777777" w:rsidR="00986DE0" w:rsidRPr="00766557" w:rsidRDefault="00986DE0" w:rsidP="003C7140">
            <w:pPr>
              <w:spacing w:line="276" w:lineRule="auto"/>
              <w:jc w:val="center"/>
              <w:rPr>
                <w:rFonts w:ascii="Lato" w:hAnsi="Lato" w:cstheme="minorHAnsi"/>
                <w:b/>
                <w:bCs/>
                <w:color w:val="000000" w:themeColor="text1"/>
                <w:sz w:val="20"/>
                <w:szCs w:val="20"/>
              </w:rPr>
            </w:pPr>
            <w:r w:rsidRPr="00766557">
              <w:rPr>
                <w:rFonts w:ascii="Lato" w:hAnsi="Lato" w:cstheme="minorHAnsi"/>
                <w:b/>
                <w:bCs/>
                <w:color w:val="000000" w:themeColor="text1"/>
                <w:sz w:val="20"/>
                <w:szCs w:val="20"/>
              </w:rPr>
              <w:t>2022</w:t>
            </w:r>
          </w:p>
        </w:tc>
        <w:tc>
          <w:tcPr>
            <w:tcW w:w="1418" w:type="dxa"/>
            <w:tcMar>
              <w:top w:w="72" w:type="dxa"/>
              <w:left w:w="144" w:type="dxa"/>
              <w:bottom w:w="72" w:type="dxa"/>
              <w:right w:w="144" w:type="dxa"/>
            </w:tcMar>
            <w:vAlign w:val="center"/>
            <w:hideMark/>
          </w:tcPr>
          <w:p w14:paraId="740B8FE2"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color w:val="000000" w:themeColor="text1"/>
                <w:sz w:val="20"/>
                <w:szCs w:val="20"/>
              </w:rPr>
              <w:t>11</w:t>
            </w:r>
          </w:p>
        </w:tc>
        <w:tc>
          <w:tcPr>
            <w:tcW w:w="1842" w:type="dxa"/>
            <w:tcMar>
              <w:top w:w="72" w:type="dxa"/>
              <w:left w:w="144" w:type="dxa"/>
              <w:bottom w:w="72" w:type="dxa"/>
              <w:right w:w="144" w:type="dxa"/>
            </w:tcMar>
            <w:vAlign w:val="center"/>
            <w:hideMark/>
          </w:tcPr>
          <w:p w14:paraId="7A9BCCA8"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color w:val="000000" w:themeColor="text1"/>
                <w:sz w:val="20"/>
                <w:szCs w:val="20"/>
              </w:rPr>
              <w:t>-</w:t>
            </w:r>
          </w:p>
        </w:tc>
        <w:tc>
          <w:tcPr>
            <w:tcW w:w="1559" w:type="dxa"/>
            <w:tcMar>
              <w:top w:w="72" w:type="dxa"/>
              <w:left w:w="144" w:type="dxa"/>
              <w:bottom w:w="72" w:type="dxa"/>
              <w:right w:w="144" w:type="dxa"/>
            </w:tcMar>
            <w:vAlign w:val="center"/>
            <w:hideMark/>
          </w:tcPr>
          <w:p w14:paraId="4607371A"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color w:val="000000" w:themeColor="text1"/>
                <w:sz w:val="20"/>
                <w:szCs w:val="20"/>
              </w:rPr>
              <w:t>-</w:t>
            </w:r>
          </w:p>
        </w:tc>
        <w:tc>
          <w:tcPr>
            <w:tcW w:w="1560" w:type="dxa"/>
            <w:shd w:val="clear" w:color="auto" w:fill="FFFFFF" w:themeFill="background1"/>
            <w:tcMar>
              <w:top w:w="72" w:type="dxa"/>
              <w:left w:w="144" w:type="dxa"/>
              <w:bottom w:w="72" w:type="dxa"/>
              <w:right w:w="144" w:type="dxa"/>
            </w:tcMar>
            <w:vAlign w:val="center"/>
            <w:hideMark/>
          </w:tcPr>
          <w:p w14:paraId="1DD9B3D8" w14:textId="77777777" w:rsidR="00986DE0" w:rsidRPr="00766557" w:rsidRDefault="00986DE0" w:rsidP="003C7140">
            <w:pPr>
              <w:spacing w:line="276" w:lineRule="auto"/>
              <w:jc w:val="center"/>
              <w:rPr>
                <w:rFonts w:ascii="Lato" w:hAnsi="Lato" w:cstheme="minorHAnsi"/>
                <w:b/>
                <w:bCs/>
                <w:color w:val="000000" w:themeColor="text1"/>
                <w:sz w:val="20"/>
                <w:szCs w:val="20"/>
              </w:rPr>
            </w:pPr>
            <w:r w:rsidRPr="00766557">
              <w:rPr>
                <w:rFonts w:ascii="Lato" w:hAnsi="Lato" w:cstheme="minorHAnsi"/>
                <w:b/>
                <w:bCs/>
                <w:color w:val="000000" w:themeColor="text1"/>
                <w:sz w:val="20"/>
                <w:szCs w:val="20"/>
              </w:rPr>
              <w:t>11</w:t>
            </w:r>
          </w:p>
        </w:tc>
        <w:tc>
          <w:tcPr>
            <w:tcW w:w="1842" w:type="dxa"/>
            <w:tcMar>
              <w:top w:w="72" w:type="dxa"/>
              <w:left w:w="144" w:type="dxa"/>
              <w:bottom w:w="72" w:type="dxa"/>
              <w:right w:w="144" w:type="dxa"/>
            </w:tcMar>
            <w:vAlign w:val="center"/>
            <w:hideMark/>
          </w:tcPr>
          <w:p w14:paraId="43D51F50"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color w:val="000000" w:themeColor="text1"/>
                <w:sz w:val="20"/>
                <w:szCs w:val="20"/>
              </w:rPr>
              <w:t>4</w:t>
            </w:r>
          </w:p>
        </w:tc>
      </w:tr>
      <w:tr w:rsidR="00986DE0" w:rsidRPr="009D4773" w14:paraId="7515F16F" w14:textId="77777777" w:rsidTr="003C7140">
        <w:trPr>
          <w:trHeight w:val="214"/>
        </w:trPr>
        <w:tc>
          <w:tcPr>
            <w:tcW w:w="1413" w:type="dxa"/>
            <w:tcMar>
              <w:top w:w="72" w:type="dxa"/>
              <w:left w:w="144" w:type="dxa"/>
              <w:bottom w:w="72" w:type="dxa"/>
              <w:right w:w="144" w:type="dxa"/>
            </w:tcMar>
            <w:vAlign w:val="center"/>
            <w:hideMark/>
          </w:tcPr>
          <w:p w14:paraId="5F7EF596" w14:textId="77777777" w:rsidR="00986DE0" w:rsidRPr="00766557" w:rsidRDefault="00986DE0" w:rsidP="003C7140">
            <w:pPr>
              <w:spacing w:line="276" w:lineRule="auto"/>
              <w:jc w:val="center"/>
              <w:rPr>
                <w:rFonts w:ascii="Lato" w:hAnsi="Lato" w:cstheme="minorHAnsi"/>
                <w:b/>
                <w:bCs/>
                <w:color w:val="000000" w:themeColor="text1"/>
                <w:sz w:val="20"/>
                <w:szCs w:val="20"/>
              </w:rPr>
            </w:pPr>
            <w:r w:rsidRPr="00766557">
              <w:rPr>
                <w:rFonts w:ascii="Lato" w:hAnsi="Lato" w:cstheme="minorHAnsi"/>
                <w:b/>
                <w:bCs/>
                <w:color w:val="000000" w:themeColor="text1"/>
                <w:sz w:val="20"/>
                <w:szCs w:val="20"/>
              </w:rPr>
              <w:t>2021</w:t>
            </w:r>
          </w:p>
        </w:tc>
        <w:tc>
          <w:tcPr>
            <w:tcW w:w="1418" w:type="dxa"/>
            <w:tcMar>
              <w:top w:w="72" w:type="dxa"/>
              <w:left w:w="144" w:type="dxa"/>
              <w:bottom w:w="72" w:type="dxa"/>
              <w:right w:w="144" w:type="dxa"/>
            </w:tcMar>
            <w:vAlign w:val="center"/>
            <w:hideMark/>
          </w:tcPr>
          <w:p w14:paraId="24A06990"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color w:val="000000" w:themeColor="text1"/>
                <w:sz w:val="20"/>
                <w:szCs w:val="20"/>
              </w:rPr>
              <w:t>12</w:t>
            </w:r>
          </w:p>
        </w:tc>
        <w:tc>
          <w:tcPr>
            <w:tcW w:w="1842" w:type="dxa"/>
            <w:tcMar>
              <w:top w:w="72" w:type="dxa"/>
              <w:left w:w="144" w:type="dxa"/>
              <w:bottom w:w="72" w:type="dxa"/>
              <w:right w:w="144" w:type="dxa"/>
            </w:tcMar>
            <w:vAlign w:val="center"/>
            <w:hideMark/>
          </w:tcPr>
          <w:p w14:paraId="38FE8CA2"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color w:val="000000" w:themeColor="text1"/>
                <w:sz w:val="20"/>
                <w:szCs w:val="20"/>
              </w:rPr>
              <w:t>-</w:t>
            </w:r>
          </w:p>
        </w:tc>
        <w:tc>
          <w:tcPr>
            <w:tcW w:w="1559" w:type="dxa"/>
            <w:tcMar>
              <w:top w:w="72" w:type="dxa"/>
              <w:left w:w="144" w:type="dxa"/>
              <w:bottom w:w="72" w:type="dxa"/>
              <w:right w:w="144" w:type="dxa"/>
            </w:tcMar>
            <w:vAlign w:val="center"/>
            <w:hideMark/>
          </w:tcPr>
          <w:p w14:paraId="1865FC18"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color w:val="000000" w:themeColor="text1"/>
                <w:sz w:val="20"/>
                <w:szCs w:val="20"/>
              </w:rPr>
              <w:t>2</w:t>
            </w:r>
          </w:p>
        </w:tc>
        <w:tc>
          <w:tcPr>
            <w:tcW w:w="1560" w:type="dxa"/>
            <w:shd w:val="clear" w:color="auto" w:fill="FFFFFF" w:themeFill="background1"/>
            <w:tcMar>
              <w:top w:w="72" w:type="dxa"/>
              <w:left w:w="144" w:type="dxa"/>
              <w:bottom w:w="72" w:type="dxa"/>
              <w:right w:w="144" w:type="dxa"/>
            </w:tcMar>
            <w:vAlign w:val="center"/>
            <w:hideMark/>
          </w:tcPr>
          <w:p w14:paraId="1B84E503" w14:textId="77777777" w:rsidR="00986DE0" w:rsidRPr="00766557" w:rsidRDefault="00986DE0" w:rsidP="003C7140">
            <w:pPr>
              <w:spacing w:line="276" w:lineRule="auto"/>
              <w:jc w:val="center"/>
              <w:rPr>
                <w:rFonts w:ascii="Lato" w:hAnsi="Lato" w:cstheme="minorHAnsi"/>
                <w:b/>
                <w:bCs/>
                <w:color w:val="000000" w:themeColor="text1"/>
                <w:sz w:val="20"/>
                <w:szCs w:val="20"/>
              </w:rPr>
            </w:pPr>
            <w:r w:rsidRPr="00766557">
              <w:rPr>
                <w:rFonts w:ascii="Lato" w:hAnsi="Lato" w:cstheme="minorHAnsi"/>
                <w:b/>
                <w:bCs/>
                <w:color w:val="000000" w:themeColor="text1"/>
                <w:sz w:val="20"/>
                <w:szCs w:val="20"/>
              </w:rPr>
              <w:t>14</w:t>
            </w:r>
          </w:p>
        </w:tc>
        <w:tc>
          <w:tcPr>
            <w:tcW w:w="1842" w:type="dxa"/>
            <w:tcMar>
              <w:top w:w="72" w:type="dxa"/>
              <w:left w:w="144" w:type="dxa"/>
              <w:bottom w:w="72" w:type="dxa"/>
              <w:right w:w="144" w:type="dxa"/>
            </w:tcMar>
            <w:vAlign w:val="center"/>
            <w:hideMark/>
          </w:tcPr>
          <w:p w14:paraId="545251B8" w14:textId="77777777" w:rsidR="00986DE0" w:rsidRPr="00766557" w:rsidRDefault="00986DE0" w:rsidP="003C7140">
            <w:pPr>
              <w:spacing w:line="276" w:lineRule="auto"/>
              <w:jc w:val="center"/>
              <w:rPr>
                <w:rFonts w:ascii="Lato" w:hAnsi="Lato" w:cstheme="minorHAnsi"/>
                <w:color w:val="000000" w:themeColor="text1"/>
                <w:sz w:val="20"/>
                <w:szCs w:val="20"/>
              </w:rPr>
            </w:pPr>
            <w:r w:rsidRPr="00766557">
              <w:rPr>
                <w:rFonts w:ascii="Lato" w:hAnsi="Lato" w:cstheme="minorHAnsi"/>
                <w:color w:val="000000" w:themeColor="text1"/>
                <w:sz w:val="20"/>
                <w:szCs w:val="20"/>
              </w:rPr>
              <w:t>2</w:t>
            </w:r>
          </w:p>
        </w:tc>
      </w:tr>
    </w:tbl>
    <w:p w14:paraId="20A08EE9" w14:textId="77777777" w:rsidR="00766557" w:rsidRDefault="00766557" w:rsidP="002060E8">
      <w:pPr>
        <w:spacing w:line="360" w:lineRule="auto"/>
        <w:rPr>
          <w:rFonts w:ascii="Lato" w:hAnsi="Lato" w:cstheme="minorHAnsi"/>
          <w:bCs/>
          <w:color w:val="000000" w:themeColor="text1"/>
          <w:sz w:val="22"/>
          <w:szCs w:val="22"/>
        </w:rPr>
      </w:pPr>
      <w:bookmarkStart w:id="28" w:name="_Hlk192245638"/>
    </w:p>
    <w:p w14:paraId="65DC173F" w14:textId="48347CB2" w:rsidR="00986DE0" w:rsidRPr="005170BB" w:rsidRDefault="00986DE0" w:rsidP="002060E8">
      <w:pPr>
        <w:spacing w:line="360" w:lineRule="auto"/>
        <w:rPr>
          <w:rFonts w:ascii="Lato" w:hAnsi="Lato"/>
          <w:color w:val="000000" w:themeColor="text1"/>
          <w:sz w:val="22"/>
          <w:szCs w:val="22"/>
        </w:rPr>
      </w:pPr>
      <w:r w:rsidRPr="005170BB">
        <w:rPr>
          <w:rFonts w:ascii="Lato" w:hAnsi="Lato" w:cstheme="minorHAnsi"/>
          <w:bCs/>
          <w:color w:val="000000" w:themeColor="text1"/>
          <w:sz w:val="22"/>
          <w:szCs w:val="22"/>
        </w:rPr>
        <w:t xml:space="preserve">Zapobieganie krztuścowi odbywa się poprzez szczepienia szczepionką skojarzoną przeciwko błonicy, tężcowi i krztuścowi w ramach szczepień obowiązkowych dla dzieci. W celu utrzymania odporności przeciw krztuścowi zalecane jest również szczepienie przypominające w 19 roku życia oraz dla osób dorosłych co 10 lat. Krztusiec jest najbardziej niebezpieczny dla nieuodpornionych niemowląt i małych dzieci ze względu na ryzyko wystąpienia ciężkich dla zdrowia i życia powikłań, tj. zapalenie płuc, bezdech, drgawki, encefalopatia. Ze względu na niekorzystną sytuację epidemiologiczną oraz celem ochrony przed krztuścem najmłodszych niemowląt wprowadzono od 15 października 2024 r. refundację szczepionek </w:t>
      </w:r>
      <w:proofErr w:type="spellStart"/>
      <w:r w:rsidRPr="005170BB">
        <w:rPr>
          <w:rFonts w:ascii="Lato" w:hAnsi="Lato" w:cstheme="minorHAnsi"/>
          <w:bCs/>
          <w:color w:val="000000" w:themeColor="text1"/>
          <w:sz w:val="22"/>
          <w:szCs w:val="22"/>
        </w:rPr>
        <w:t>Tdap</w:t>
      </w:r>
      <w:proofErr w:type="spellEnd"/>
      <w:r w:rsidRPr="005170BB">
        <w:rPr>
          <w:rFonts w:ascii="Lato" w:hAnsi="Lato" w:cstheme="minorHAnsi"/>
          <w:bCs/>
          <w:color w:val="000000" w:themeColor="text1"/>
          <w:sz w:val="22"/>
          <w:szCs w:val="22"/>
        </w:rPr>
        <w:t xml:space="preserve"> dla kobiet w ciąży po ukończeniu 27. do 36. tygodnia ciąży. Szczepienie jest tzw. szczepieniem zalecanym w Programie Szczepień Ochronnych. </w:t>
      </w:r>
      <w:bookmarkEnd w:id="28"/>
      <w:r w:rsidRPr="005170BB">
        <w:rPr>
          <w:rFonts w:ascii="Lato" w:hAnsi="Lato" w:cstheme="minorHAnsi"/>
          <w:bCs/>
          <w:color w:val="000000" w:themeColor="text1"/>
          <w:sz w:val="22"/>
          <w:szCs w:val="22"/>
        </w:rPr>
        <w:t xml:space="preserve">Z uwagi na niekorzystną sytuację epidemiologiczną krztuśca w regionie, celem przypomnienia o problemie, a także możliwości zapobiegania </w:t>
      </w:r>
      <w:r w:rsidRPr="005170BB">
        <w:rPr>
          <w:rFonts w:ascii="Lato" w:hAnsi="Lato" w:cstheme="minorHAnsi"/>
          <w:bCs/>
          <w:color w:val="000000" w:themeColor="text1"/>
          <w:sz w:val="22"/>
          <w:szCs w:val="22"/>
        </w:rPr>
        <w:lastRenderedPageBreak/>
        <w:t>chorobie, zorganizowano w kwietniu 2025r. webinar pt. „Krztusiec- aktualny problem epidemiologiczny i możliwości profilaktyki” dedykowany mediom oraz ogółowi społeczeństwa.</w:t>
      </w:r>
    </w:p>
    <w:p w14:paraId="5FA2D6B1" w14:textId="77777777" w:rsidR="00C92B81" w:rsidRDefault="00C92B81" w:rsidP="002060E8">
      <w:pPr>
        <w:spacing w:line="360" w:lineRule="auto"/>
        <w:rPr>
          <w:rFonts w:ascii="Lato" w:hAnsi="Lato" w:cstheme="minorHAnsi"/>
          <w:b/>
          <w:color w:val="000000" w:themeColor="text1"/>
          <w:sz w:val="22"/>
          <w:szCs w:val="22"/>
        </w:rPr>
      </w:pPr>
    </w:p>
    <w:p w14:paraId="4774C9B1" w14:textId="30EBC2F4" w:rsidR="00986DE0" w:rsidRPr="003818A5" w:rsidRDefault="00986DE0" w:rsidP="002060E8">
      <w:pPr>
        <w:spacing w:line="360" w:lineRule="auto"/>
        <w:rPr>
          <w:rFonts w:ascii="Lato" w:hAnsi="Lato" w:cstheme="minorHAnsi"/>
          <w:bCs/>
          <w:color w:val="000000" w:themeColor="text1"/>
          <w:sz w:val="22"/>
          <w:szCs w:val="22"/>
          <w:u w:val="single"/>
        </w:rPr>
      </w:pPr>
      <w:r w:rsidRPr="003818A5">
        <w:rPr>
          <w:rFonts w:ascii="Lato" w:hAnsi="Lato" w:cstheme="minorHAnsi"/>
          <w:bCs/>
          <w:color w:val="000000" w:themeColor="text1"/>
          <w:sz w:val="22"/>
          <w:szCs w:val="22"/>
          <w:u w:val="single"/>
        </w:rPr>
        <w:t>Ostre porażenia wiotkie</w:t>
      </w:r>
    </w:p>
    <w:p w14:paraId="666A642A" w14:textId="122FF4A4" w:rsidR="00986DE0" w:rsidRPr="005170BB" w:rsidRDefault="00986DE0" w:rsidP="002060E8">
      <w:pPr>
        <w:spacing w:line="360" w:lineRule="auto"/>
        <w:rPr>
          <w:rFonts w:ascii="Lato" w:hAnsi="Lato" w:cs="Calibri"/>
          <w:color w:val="000000" w:themeColor="text1"/>
          <w:spacing w:val="-2"/>
          <w:sz w:val="22"/>
          <w:szCs w:val="22"/>
        </w:rPr>
      </w:pPr>
      <w:r w:rsidRPr="005170BB">
        <w:rPr>
          <w:rFonts w:ascii="Lato" w:hAnsi="Lato" w:cs="Calibri"/>
          <w:color w:val="000000" w:themeColor="text1"/>
          <w:spacing w:val="-2"/>
          <w:sz w:val="22"/>
          <w:szCs w:val="22"/>
        </w:rPr>
        <w:t xml:space="preserve">Na terenie woj. zachodniopomorskiego kontynuowany jest wzmożony nadzór nad zgłaszalnością ostrych porażeń wiotkich (OPW) u dzieci do 15 r.ż., który wynika m.in. z uczestnictwa Polski w koordynowanym przez Światową Organizację Zdrowia światowym programie </w:t>
      </w:r>
      <w:proofErr w:type="spellStart"/>
      <w:r w:rsidRPr="005170BB">
        <w:rPr>
          <w:rFonts w:ascii="Lato" w:hAnsi="Lato" w:cs="Calibri"/>
          <w:color w:val="000000" w:themeColor="text1"/>
          <w:spacing w:val="-2"/>
          <w:sz w:val="22"/>
          <w:szCs w:val="22"/>
        </w:rPr>
        <w:t>eradykacji</w:t>
      </w:r>
      <w:proofErr w:type="spellEnd"/>
      <w:r w:rsidRPr="005170BB">
        <w:rPr>
          <w:rFonts w:ascii="Lato" w:hAnsi="Lato" w:cs="Calibri"/>
          <w:color w:val="000000" w:themeColor="text1"/>
          <w:spacing w:val="-2"/>
          <w:sz w:val="22"/>
          <w:szCs w:val="22"/>
        </w:rPr>
        <w:t xml:space="preserve"> </w:t>
      </w:r>
      <w:proofErr w:type="spellStart"/>
      <w:r w:rsidRPr="005170BB">
        <w:rPr>
          <w:rFonts w:ascii="Lato" w:hAnsi="Lato" w:cs="Calibri"/>
          <w:color w:val="000000" w:themeColor="text1"/>
          <w:spacing w:val="-2"/>
          <w:sz w:val="22"/>
          <w:szCs w:val="22"/>
        </w:rPr>
        <w:t>poliomyelitis</w:t>
      </w:r>
      <w:proofErr w:type="spellEnd"/>
      <w:r w:rsidRPr="005170BB">
        <w:rPr>
          <w:rFonts w:ascii="Lato" w:hAnsi="Lato" w:cs="Calibri"/>
          <w:color w:val="000000" w:themeColor="text1"/>
          <w:spacing w:val="-2"/>
          <w:sz w:val="22"/>
          <w:szCs w:val="22"/>
        </w:rPr>
        <w:t xml:space="preserve">. Realizacja programu polega na czynnym monitorowaniu sytuacji epidemiologicznej i aktywnym poszukiwaniu przypadków OPW w podmiotach działalności leczniczej oraz analizie stanu uodpornienia przeciw </w:t>
      </w:r>
      <w:proofErr w:type="spellStart"/>
      <w:r w:rsidRPr="005170BB">
        <w:rPr>
          <w:rFonts w:ascii="Lato" w:hAnsi="Lato" w:cs="Calibri"/>
          <w:color w:val="000000" w:themeColor="text1"/>
          <w:spacing w:val="-2"/>
          <w:sz w:val="22"/>
          <w:szCs w:val="22"/>
        </w:rPr>
        <w:t>poliomyelitis</w:t>
      </w:r>
      <w:proofErr w:type="spellEnd"/>
      <w:r w:rsidRPr="005170BB">
        <w:rPr>
          <w:rFonts w:ascii="Lato" w:hAnsi="Lato" w:cs="Calibri"/>
          <w:color w:val="000000" w:themeColor="text1"/>
          <w:spacing w:val="-2"/>
          <w:sz w:val="22"/>
          <w:szCs w:val="22"/>
        </w:rPr>
        <w:t xml:space="preserve"> w regionie celem utrzymania odporności zbiorowiskowej.</w:t>
      </w:r>
    </w:p>
    <w:p w14:paraId="1A91896F" w14:textId="77777777" w:rsidR="00986DE0" w:rsidRPr="005170BB" w:rsidRDefault="00986DE0" w:rsidP="002060E8">
      <w:pPr>
        <w:spacing w:line="360" w:lineRule="auto"/>
        <w:rPr>
          <w:rFonts w:ascii="Lato" w:hAnsi="Lato" w:cs="Calibri"/>
          <w:color w:val="000000" w:themeColor="text1"/>
          <w:sz w:val="22"/>
          <w:szCs w:val="22"/>
        </w:rPr>
      </w:pPr>
      <w:r w:rsidRPr="005170BB">
        <w:rPr>
          <w:rFonts w:ascii="Lato" w:hAnsi="Lato" w:cs="Calibri"/>
          <w:color w:val="000000" w:themeColor="text1"/>
          <w:sz w:val="22"/>
          <w:szCs w:val="22"/>
        </w:rPr>
        <w:t>W 2025 r. na terenie woj. zachodniopomorskiego nie zarejestrowano zachorowań na ostre porażenia wiotkie u dzieci do 15 r. ż. W analogicznym okresie na terenie Polski stwierdzono 57 przypadków.</w:t>
      </w:r>
    </w:p>
    <w:p w14:paraId="571142AB" w14:textId="5BFC31EF" w:rsidR="00986DE0" w:rsidRDefault="0064416A" w:rsidP="002060E8">
      <w:pPr>
        <w:spacing w:line="360" w:lineRule="auto"/>
        <w:rPr>
          <w:rStyle w:val="7uhw9"/>
          <w:rFonts w:ascii="Lato" w:hAnsi="Lato"/>
          <w:sz w:val="22"/>
          <w:szCs w:val="22"/>
        </w:rPr>
      </w:pPr>
      <w:proofErr w:type="spellStart"/>
      <w:r>
        <w:rPr>
          <w:rFonts w:ascii="Lato" w:hAnsi="Lato" w:cstheme="minorHAnsi"/>
          <w:color w:val="000000" w:themeColor="text1"/>
          <w:sz w:val="22"/>
          <w:szCs w:val="22"/>
        </w:rPr>
        <w:t>P</w:t>
      </w:r>
      <w:r w:rsidR="00986DE0" w:rsidRPr="005170BB">
        <w:rPr>
          <w:rFonts w:ascii="Lato" w:hAnsi="Lato" w:cstheme="minorHAnsi"/>
          <w:color w:val="000000" w:themeColor="text1"/>
          <w:sz w:val="22"/>
          <w:szCs w:val="22"/>
        </w:rPr>
        <w:t>oliomyelitis</w:t>
      </w:r>
      <w:proofErr w:type="spellEnd"/>
      <w:r w:rsidR="00986DE0" w:rsidRPr="005170BB">
        <w:rPr>
          <w:rFonts w:ascii="Lato" w:hAnsi="Lato" w:cstheme="minorHAnsi"/>
          <w:color w:val="000000" w:themeColor="text1"/>
          <w:sz w:val="22"/>
          <w:szCs w:val="22"/>
        </w:rPr>
        <w:t xml:space="preserve"> można skutecznie zapobiegać poprzez szczepienie ochronne realizowane jako obowiązkowe u dzieci w cyklu czterodawkowym</w:t>
      </w:r>
      <w:r>
        <w:rPr>
          <w:rFonts w:ascii="Lato" w:hAnsi="Lato" w:cstheme="minorHAnsi"/>
          <w:color w:val="000000" w:themeColor="text1"/>
          <w:sz w:val="22"/>
          <w:szCs w:val="22"/>
        </w:rPr>
        <w:t>,</w:t>
      </w:r>
      <w:r w:rsidR="00986DE0" w:rsidRPr="005170BB">
        <w:rPr>
          <w:rFonts w:ascii="Lato" w:hAnsi="Lato" w:cstheme="minorHAnsi"/>
          <w:color w:val="000000" w:themeColor="text1"/>
          <w:sz w:val="22"/>
          <w:szCs w:val="22"/>
        </w:rPr>
        <w:t xml:space="preserve"> tj. szczepienie podstawowe w 3-4 i 5-6 miesiącach życia oraz uzupełniające w 16-18 miesiącu życia, a następnie szczepienie przypominające w 6 roku życia. Większość dorosłych zaszczepionych w dzieciństwie nie wymaga dawek przypominających, jedynie można rozważyć podanie 1 dawki przypominającej np. przed wyjazdem w regiony świata, gdzie choroba występuje. </w:t>
      </w:r>
      <w:r w:rsidR="00986DE0" w:rsidRPr="005170BB">
        <w:rPr>
          <w:rFonts w:ascii="Lato" w:hAnsi="Lato"/>
          <w:sz w:val="22"/>
          <w:szCs w:val="22"/>
        </w:rPr>
        <w:t xml:space="preserve">Szczepienie osoby dorosłej, w przeszłości niezaszczepionej obejmuje </w:t>
      </w:r>
      <w:r w:rsidR="00986DE0" w:rsidRPr="005170BB">
        <w:rPr>
          <w:rStyle w:val="7uhw9"/>
          <w:rFonts w:ascii="Lato" w:hAnsi="Lato"/>
          <w:sz w:val="22"/>
          <w:szCs w:val="22"/>
        </w:rPr>
        <w:t>podanie 2 dawek w odstępie 1–2 miesięcy oraz dawki uzupełniającej (trzeciej) 6–12 miesięcy po dawce drugiej.</w:t>
      </w:r>
    </w:p>
    <w:p w14:paraId="79FBF424" w14:textId="77777777" w:rsidR="00A619C4" w:rsidRPr="005170BB" w:rsidRDefault="00A619C4" w:rsidP="002060E8">
      <w:pPr>
        <w:spacing w:line="360" w:lineRule="auto"/>
        <w:rPr>
          <w:rFonts w:ascii="Lato" w:hAnsi="Lato" w:cstheme="minorHAnsi"/>
          <w:color w:val="000000" w:themeColor="text1"/>
          <w:sz w:val="22"/>
          <w:szCs w:val="22"/>
        </w:rPr>
      </w:pPr>
    </w:p>
    <w:p w14:paraId="4C376D4B" w14:textId="4016CBD8" w:rsidR="00986DE0" w:rsidRDefault="00986DE0">
      <w:pPr>
        <w:pStyle w:val="Nagwek3"/>
        <w:numPr>
          <w:ilvl w:val="1"/>
          <w:numId w:val="9"/>
        </w:numPr>
        <w:spacing w:before="0" w:after="0" w:line="360" w:lineRule="auto"/>
        <w:ind w:right="284" w:hanging="284"/>
        <w:rPr>
          <w:color w:val="auto"/>
          <w:szCs w:val="22"/>
        </w:rPr>
      </w:pPr>
      <w:bookmarkStart w:id="29" w:name="_Toc225235846"/>
      <w:bookmarkStart w:id="30" w:name="_Toc225859033"/>
      <w:r w:rsidRPr="006C5839">
        <w:rPr>
          <w:color w:val="auto"/>
          <w:szCs w:val="22"/>
        </w:rPr>
        <w:t>Zapalenie opon mózgowo-rdzeniowych i mózgu</w:t>
      </w:r>
      <w:bookmarkEnd w:id="29"/>
      <w:bookmarkEnd w:id="30"/>
    </w:p>
    <w:p w14:paraId="66FF6FC2" w14:textId="77777777" w:rsidR="00A619C4" w:rsidRPr="00A619C4" w:rsidRDefault="00A619C4" w:rsidP="00A619C4">
      <w:pPr>
        <w:rPr>
          <w:rFonts w:ascii="Lato" w:hAnsi="Lato"/>
          <w:sz w:val="22"/>
          <w:szCs w:val="22"/>
        </w:rPr>
      </w:pPr>
    </w:p>
    <w:p w14:paraId="0568A18E" w14:textId="77777777" w:rsidR="00986DE0" w:rsidRPr="005170BB" w:rsidRDefault="00986DE0" w:rsidP="002060E8">
      <w:pPr>
        <w:tabs>
          <w:tab w:val="left" w:pos="993"/>
        </w:tabs>
        <w:spacing w:line="360" w:lineRule="auto"/>
        <w:rPr>
          <w:rFonts w:ascii="Lato" w:hAnsi="Lato"/>
          <w:sz w:val="22"/>
          <w:szCs w:val="22"/>
        </w:rPr>
      </w:pPr>
      <w:r w:rsidRPr="005170BB">
        <w:rPr>
          <w:rFonts w:ascii="Lato" w:hAnsi="Lato"/>
          <w:sz w:val="22"/>
          <w:szCs w:val="22"/>
        </w:rPr>
        <w:t>Epidemiologia zapaleń ośrodkowego układu nerwowego zależy od wieku oraz czynników predysponujących, zarówno tych związanych z cechami drobnoustrojów jak i organizmem gospodarza, a także od pory roku.</w:t>
      </w:r>
    </w:p>
    <w:p w14:paraId="1A0A66C2" w14:textId="77777777" w:rsidR="00986DE0" w:rsidRPr="005170BB" w:rsidRDefault="00986DE0" w:rsidP="002060E8">
      <w:pPr>
        <w:tabs>
          <w:tab w:val="left" w:pos="993"/>
        </w:tabs>
        <w:spacing w:line="360" w:lineRule="auto"/>
        <w:rPr>
          <w:rFonts w:ascii="Lato" w:hAnsi="Lato"/>
          <w:sz w:val="22"/>
          <w:szCs w:val="22"/>
        </w:rPr>
      </w:pPr>
      <w:r w:rsidRPr="005170BB">
        <w:rPr>
          <w:rFonts w:ascii="Lato" w:hAnsi="Lato"/>
          <w:sz w:val="22"/>
          <w:szCs w:val="22"/>
        </w:rPr>
        <w:t>W 2025 roku w woj. zachodniopomorskim odnotowano 129 zachorowań (współczynnik zapadalności 7,98 na 100 tys. mieszkańców).</w:t>
      </w:r>
    </w:p>
    <w:p w14:paraId="4B91A491" w14:textId="77777777" w:rsidR="00C92B81" w:rsidRDefault="00C92B81" w:rsidP="002060E8">
      <w:pPr>
        <w:tabs>
          <w:tab w:val="left" w:pos="993"/>
        </w:tabs>
        <w:spacing w:line="360" w:lineRule="auto"/>
        <w:rPr>
          <w:rFonts w:ascii="Lato" w:hAnsi="Lato"/>
          <w:b/>
          <w:bCs/>
          <w:iCs/>
          <w:sz w:val="22"/>
          <w:szCs w:val="22"/>
        </w:rPr>
      </w:pPr>
    </w:p>
    <w:p w14:paraId="1C14CD5C" w14:textId="05132C28" w:rsidR="00986DE0" w:rsidRPr="003818A5" w:rsidRDefault="00986DE0" w:rsidP="002060E8">
      <w:pPr>
        <w:tabs>
          <w:tab w:val="left" w:pos="993"/>
        </w:tabs>
        <w:spacing w:line="360" w:lineRule="auto"/>
        <w:rPr>
          <w:rFonts w:ascii="Lato" w:hAnsi="Lato"/>
          <w:sz w:val="22"/>
          <w:szCs w:val="22"/>
          <w:u w:val="single"/>
        </w:rPr>
      </w:pPr>
      <w:r w:rsidRPr="003818A5">
        <w:rPr>
          <w:rFonts w:ascii="Lato" w:hAnsi="Lato"/>
          <w:iCs/>
          <w:sz w:val="22"/>
          <w:szCs w:val="22"/>
          <w:u w:val="single"/>
        </w:rPr>
        <w:t>Bakteryjne zapalenia opon mózgowych i mózgu</w:t>
      </w:r>
    </w:p>
    <w:p w14:paraId="21B65FA4" w14:textId="6C80DE66" w:rsidR="002060E8" w:rsidRPr="005D5FA4" w:rsidRDefault="00986DE0" w:rsidP="005D5FA4">
      <w:pPr>
        <w:spacing w:line="360" w:lineRule="auto"/>
        <w:rPr>
          <w:rFonts w:ascii="Lato" w:hAnsi="Lato"/>
          <w:sz w:val="22"/>
          <w:szCs w:val="22"/>
        </w:rPr>
      </w:pPr>
      <w:r w:rsidRPr="005170BB">
        <w:rPr>
          <w:rFonts w:ascii="Lato" w:hAnsi="Lato"/>
          <w:sz w:val="22"/>
          <w:szCs w:val="22"/>
        </w:rPr>
        <w:t>W 2025 r. odnotowano wzrost zachorowań na bakteryjne zapalenie opon mózgowych i mózgu zarówno na terenie Polski, jak i w woj. zachodniopomorskim. Na terenie województwa liczba przypadków wzrosła o ponad 30%</w:t>
      </w:r>
      <w:r w:rsidR="00E20A14">
        <w:rPr>
          <w:rFonts w:ascii="Lato" w:hAnsi="Lato"/>
          <w:sz w:val="22"/>
          <w:szCs w:val="22"/>
        </w:rPr>
        <w:t xml:space="preserve"> w stosunku</w:t>
      </w:r>
      <w:r w:rsidRPr="005170BB">
        <w:rPr>
          <w:rFonts w:ascii="Lato" w:hAnsi="Lato"/>
          <w:sz w:val="22"/>
          <w:szCs w:val="22"/>
        </w:rPr>
        <w:t xml:space="preserve"> do roku ubiegłego- odnotowano 66 zachorowań. (tabela </w:t>
      </w:r>
      <w:r w:rsidR="006446AC">
        <w:rPr>
          <w:rFonts w:ascii="Lato" w:hAnsi="Lato"/>
          <w:sz w:val="22"/>
          <w:szCs w:val="22"/>
        </w:rPr>
        <w:t>8</w:t>
      </w:r>
      <w:r w:rsidRPr="005170BB">
        <w:rPr>
          <w:rFonts w:ascii="Lato" w:hAnsi="Lato"/>
          <w:sz w:val="22"/>
          <w:szCs w:val="22"/>
        </w:rPr>
        <w:t>).</w:t>
      </w:r>
    </w:p>
    <w:p w14:paraId="58E16EDF" w14:textId="77777777" w:rsidR="00766557" w:rsidRDefault="00766557" w:rsidP="00D06EBD">
      <w:pPr>
        <w:pStyle w:val="Legenda"/>
        <w:rPr>
          <w:rFonts w:ascii="Lato" w:hAnsi="Lato"/>
          <w:b w:val="0"/>
          <w:bCs w:val="0"/>
          <w:sz w:val="18"/>
          <w:szCs w:val="18"/>
        </w:rPr>
      </w:pPr>
    </w:p>
    <w:p w14:paraId="4181B513" w14:textId="08E3FE34" w:rsidR="00986DE0" w:rsidRDefault="00D06EBD" w:rsidP="00D06EBD">
      <w:pPr>
        <w:pStyle w:val="Legenda"/>
        <w:rPr>
          <w:rFonts w:ascii="Lato" w:hAnsi="Lato"/>
          <w:b w:val="0"/>
          <w:bCs w:val="0"/>
          <w:sz w:val="18"/>
          <w:szCs w:val="18"/>
        </w:rPr>
      </w:pPr>
      <w:bookmarkStart w:id="31" w:name="_Toc225859364"/>
      <w:r w:rsidRPr="00D06EBD">
        <w:rPr>
          <w:rFonts w:ascii="Lato" w:hAnsi="Lato"/>
          <w:b w:val="0"/>
          <w:bCs w:val="0"/>
          <w:sz w:val="18"/>
          <w:szCs w:val="18"/>
        </w:rPr>
        <w:t xml:space="preserve">Tabela </w:t>
      </w:r>
      <w:r w:rsidRPr="00D06EBD">
        <w:rPr>
          <w:rFonts w:ascii="Lato" w:hAnsi="Lato"/>
          <w:b w:val="0"/>
          <w:bCs w:val="0"/>
          <w:sz w:val="18"/>
          <w:szCs w:val="18"/>
        </w:rPr>
        <w:fldChar w:fldCharType="begin"/>
      </w:r>
      <w:r w:rsidRPr="00D06EBD">
        <w:rPr>
          <w:rFonts w:ascii="Lato" w:hAnsi="Lato"/>
          <w:b w:val="0"/>
          <w:bCs w:val="0"/>
          <w:sz w:val="18"/>
          <w:szCs w:val="18"/>
        </w:rPr>
        <w:instrText xml:space="preserve"> SEQ Tabela \* ARABIC </w:instrText>
      </w:r>
      <w:r w:rsidRPr="00D06EBD">
        <w:rPr>
          <w:rFonts w:ascii="Lato" w:hAnsi="Lato"/>
          <w:b w:val="0"/>
          <w:bCs w:val="0"/>
          <w:sz w:val="18"/>
          <w:szCs w:val="18"/>
        </w:rPr>
        <w:fldChar w:fldCharType="separate"/>
      </w:r>
      <w:r w:rsidR="002A3179">
        <w:rPr>
          <w:rFonts w:ascii="Lato" w:hAnsi="Lato"/>
          <w:b w:val="0"/>
          <w:bCs w:val="0"/>
          <w:noProof/>
          <w:sz w:val="18"/>
          <w:szCs w:val="18"/>
        </w:rPr>
        <w:t>8</w:t>
      </w:r>
      <w:r w:rsidRPr="00D06EBD">
        <w:rPr>
          <w:rFonts w:ascii="Lato" w:hAnsi="Lato"/>
          <w:b w:val="0"/>
          <w:bCs w:val="0"/>
          <w:sz w:val="18"/>
          <w:szCs w:val="18"/>
        </w:rPr>
        <w:fldChar w:fldCharType="end"/>
      </w:r>
      <w:r w:rsidRPr="00D06EBD">
        <w:rPr>
          <w:rFonts w:ascii="Lato" w:hAnsi="Lato"/>
          <w:b w:val="0"/>
          <w:bCs w:val="0"/>
          <w:sz w:val="18"/>
          <w:szCs w:val="18"/>
        </w:rPr>
        <w:t>.  Liczba zachorowań i współczynnik zapadalności na bakteryjne zapalenie opon mózgowych i/lub mózgu w</w:t>
      </w:r>
      <w:r w:rsidR="00E31B5B">
        <w:rPr>
          <w:rFonts w:ascii="Lato" w:hAnsi="Lato"/>
          <w:b w:val="0"/>
          <w:bCs w:val="0"/>
          <w:sz w:val="18"/>
          <w:szCs w:val="18"/>
        </w:rPr>
        <w:t> </w:t>
      </w:r>
      <w:r w:rsidRPr="00D06EBD">
        <w:rPr>
          <w:rFonts w:ascii="Lato" w:hAnsi="Lato"/>
          <w:b w:val="0"/>
          <w:bCs w:val="0"/>
          <w:sz w:val="18"/>
          <w:szCs w:val="18"/>
        </w:rPr>
        <w:t>Polsce i woj. zachodniopomorskim w latach 2024-2025.</w:t>
      </w:r>
      <w:bookmarkEnd w:id="31"/>
    </w:p>
    <w:p w14:paraId="7BC45983" w14:textId="77777777" w:rsidR="00766557" w:rsidRPr="00766557" w:rsidRDefault="00766557" w:rsidP="0076655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Liczba zachorowań i współczynnik zapadalności na bakteryjne zapalenie opon mózgowych i/lub mózgu w Polsce i woj. zachodniopomorskim w latach 2024-2025"/>
        <w:tblDescription w:val="Tabela przedstawia dane dotyczące liczby zachorowań i współczynnika zapadalności na bakteryjne zapalenie opon mózgowych i/lub mózgu w latach 2024-2025. W 2025 roku w województwie zachodniopomorskim odnotowano 66 przypadków (w Polce - 1349 przypadków). W 2024 roku obnotowano 50 przypadków w województwie i 1156 w całej Polce."/>
      </w:tblPr>
      <w:tblGrid>
        <w:gridCol w:w="3681"/>
        <w:gridCol w:w="727"/>
        <w:gridCol w:w="660"/>
        <w:gridCol w:w="739"/>
        <w:gridCol w:w="626"/>
        <w:gridCol w:w="650"/>
        <w:gridCol w:w="626"/>
        <w:gridCol w:w="650"/>
        <w:gridCol w:w="625"/>
      </w:tblGrid>
      <w:tr w:rsidR="00986DE0" w:rsidRPr="00541858" w14:paraId="14B3EDA2" w14:textId="77777777" w:rsidTr="00130F95">
        <w:trPr>
          <w:trHeight w:val="376"/>
          <w:jc w:val="center"/>
        </w:trPr>
        <w:tc>
          <w:tcPr>
            <w:tcW w:w="3681" w:type="dxa"/>
            <w:vMerge w:val="restart"/>
            <w:shd w:val="clear" w:color="auto" w:fill="D9D9D9" w:themeFill="background1" w:themeFillShade="D9"/>
            <w:vAlign w:val="center"/>
          </w:tcPr>
          <w:p w14:paraId="280C6D86" w14:textId="77777777" w:rsidR="00986DE0" w:rsidRPr="00B5088F" w:rsidRDefault="00986DE0" w:rsidP="003C7140">
            <w:pPr>
              <w:jc w:val="both"/>
              <w:rPr>
                <w:rFonts w:ascii="Lato" w:hAnsi="Lato" w:cstheme="minorHAnsi"/>
                <w:b/>
                <w:sz w:val="18"/>
                <w:szCs w:val="18"/>
              </w:rPr>
            </w:pPr>
            <w:r w:rsidRPr="00B5088F">
              <w:rPr>
                <w:rFonts w:ascii="Lato" w:hAnsi="Lato" w:cstheme="minorHAnsi"/>
                <w:b/>
                <w:sz w:val="18"/>
                <w:szCs w:val="18"/>
              </w:rPr>
              <w:t>Bakteryjne zapalenie opon mózgowych i /lub mózgu</w:t>
            </w:r>
          </w:p>
        </w:tc>
        <w:tc>
          <w:tcPr>
            <w:tcW w:w="2752" w:type="dxa"/>
            <w:gridSpan w:val="4"/>
            <w:shd w:val="clear" w:color="auto" w:fill="D9D9D9" w:themeFill="background1" w:themeFillShade="D9"/>
            <w:vAlign w:val="center"/>
          </w:tcPr>
          <w:p w14:paraId="7FD27C6D" w14:textId="77777777" w:rsidR="00986DE0" w:rsidRPr="00B5088F" w:rsidRDefault="00986DE0" w:rsidP="003C7140">
            <w:pPr>
              <w:jc w:val="center"/>
              <w:rPr>
                <w:rFonts w:ascii="Lato" w:hAnsi="Lato" w:cstheme="minorHAnsi"/>
                <w:b/>
                <w:sz w:val="18"/>
                <w:szCs w:val="18"/>
              </w:rPr>
            </w:pPr>
            <w:r w:rsidRPr="00B5088F">
              <w:rPr>
                <w:rFonts w:ascii="Lato" w:hAnsi="Lato" w:cstheme="minorHAnsi"/>
                <w:b/>
                <w:sz w:val="18"/>
                <w:szCs w:val="18"/>
              </w:rPr>
              <w:t>Polska</w:t>
            </w:r>
          </w:p>
        </w:tc>
        <w:tc>
          <w:tcPr>
            <w:tcW w:w="2551" w:type="dxa"/>
            <w:gridSpan w:val="4"/>
            <w:shd w:val="clear" w:color="auto" w:fill="D9D9D9" w:themeFill="background1" w:themeFillShade="D9"/>
            <w:vAlign w:val="center"/>
          </w:tcPr>
          <w:p w14:paraId="48FC5E21" w14:textId="77777777" w:rsidR="00986DE0" w:rsidRPr="00B5088F" w:rsidRDefault="00986DE0" w:rsidP="003C7140">
            <w:pPr>
              <w:jc w:val="center"/>
              <w:rPr>
                <w:rFonts w:ascii="Lato" w:hAnsi="Lato" w:cstheme="minorHAnsi"/>
                <w:b/>
                <w:sz w:val="18"/>
                <w:szCs w:val="18"/>
              </w:rPr>
            </w:pPr>
            <w:r w:rsidRPr="00B5088F">
              <w:rPr>
                <w:rFonts w:ascii="Lato" w:hAnsi="Lato" w:cstheme="minorHAnsi"/>
                <w:b/>
                <w:sz w:val="18"/>
                <w:szCs w:val="18"/>
              </w:rPr>
              <w:t>województwo zachodniopomorskie</w:t>
            </w:r>
          </w:p>
        </w:tc>
      </w:tr>
      <w:tr w:rsidR="00986DE0" w:rsidRPr="00541858" w14:paraId="0C7BDD74" w14:textId="77777777" w:rsidTr="00130F95">
        <w:trPr>
          <w:trHeight w:val="537"/>
          <w:jc w:val="center"/>
        </w:trPr>
        <w:tc>
          <w:tcPr>
            <w:tcW w:w="3681" w:type="dxa"/>
            <w:vMerge/>
            <w:shd w:val="clear" w:color="auto" w:fill="D9D9D9" w:themeFill="background1" w:themeFillShade="D9"/>
            <w:vAlign w:val="center"/>
          </w:tcPr>
          <w:p w14:paraId="55B02AEE" w14:textId="77777777" w:rsidR="00986DE0" w:rsidRPr="00B5088F" w:rsidRDefault="00986DE0" w:rsidP="003C7140">
            <w:pPr>
              <w:jc w:val="both"/>
              <w:rPr>
                <w:rFonts w:ascii="Lato" w:hAnsi="Lato" w:cstheme="minorHAnsi"/>
                <w:b/>
                <w:sz w:val="18"/>
                <w:szCs w:val="18"/>
              </w:rPr>
            </w:pPr>
          </w:p>
        </w:tc>
        <w:tc>
          <w:tcPr>
            <w:tcW w:w="1387" w:type="dxa"/>
            <w:gridSpan w:val="2"/>
            <w:shd w:val="clear" w:color="auto" w:fill="D9D9D9" w:themeFill="background1" w:themeFillShade="D9"/>
            <w:vAlign w:val="center"/>
          </w:tcPr>
          <w:p w14:paraId="626BC673" w14:textId="77777777" w:rsidR="00986DE0" w:rsidRPr="00B5088F" w:rsidRDefault="00986DE0" w:rsidP="003C7140">
            <w:pPr>
              <w:jc w:val="center"/>
              <w:rPr>
                <w:rFonts w:ascii="Lato" w:hAnsi="Lato" w:cstheme="minorHAnsi"/>
                <w:bCs/>
                <w:sz w:val="18"/>
                <w:szCs w:val="18"/>
              </w:rPr>
            </w:pPr>
            <w:r w:rsidRPr="00B5088F">
              <w:rPr>
                <w:rFonts w:ascii="Lato" w:hAnsi="Lato" w:cstheme="minorHAnsi"/>
                <w:bCs/>
                <w:sz w:val="18"/>
                <w:szCs w:val="18"/>
              </w:rPr>
              <w:t>2024 r.</w:t>
            </w:r>
          </w:p>
        </w:tc>
        <w:tc>
          <w:tcPr>
            <w:tcW w:w="1365" w:type="dxa"/>
            <w:gridSpan w:val="2"/>
            <w:shd w:val="clear" w:color="auto" w:fill="D9D9D9" w:themeFill="background1" w:themeFillShade="D9"/>
            <w:vAlign w:val="center"/>
          </w:tcPr>
          <w:p w14:paraId="5BA90962" w14:textId="77777777" w:rsidR="00986DE0" w:rsidRPr="00B5088F" w:rsidRDefault="00986DE0" w:rsidP="003C7140">
            <w:pPr>
              <w:jc w:val="center"/>
              <w:rPr>
                <w:rFonts w:ascii="Lato" w:hAnsi="Lato" w:cstheme="minorHAnsi"/>
                <w:b/>
                <w:sz w:val="18"/>
                <w:szCs w:val="18"/>
              </w:rPr>
            </w:pPr>
            <w:r w:rsidRPr="00B5088F">
              <w:rPr>
                <w:rFonts w:ascii="Lato" w:hAnsi="Lato" w:cstheme="minorHAnsi"/>
                <w:b/>
                <w:sz w:val="18"/>
                <w:szCs w:val="18"/>
              </w:rPr>
              <w:t>2025 r.</w:t>
            </w:r>
          </w:p>
        </w:tc>
        <w:tc>
          <w:tcPr>
            <w:tcW w:w="1276" w:type="dxa"/>
            <w:gridSpan w:val="2"/>
            <w:shd w:val="clear" w:color="auto" w:fill="D9D9D9" w:themeFill="background1" w:themeFillShade="D9"/>
            <w:vAlign w:val="center"/>
          </w:tcPr>
          <w:p w14:paraId="7ED9EC1C" w14:textId="77777777" w:rsidR="00986DE0" w:rsidRPr="00B5088F" w:rsidRDefault="00986DE0" w:rsidP="003C7140">
            <w:pPr>
              <w:jc w:val="center"/>
              <w:rPr>
                <w:rFonts w:ascii="Lato" w:hAnsi="Lato" w:cstheme="minorHAnsi"/>
                <w:bCs/>
                <w:sz w:val="18"/>
                <w:szCs w:val="18"/>
              </w:rPr>
            </w:pPr>
            <w:r w:rsidRPr="00B5088F">
              <w:rPr>
                <w:rFonts w:ascii="Lato" w:hAnsi="Lato" w:cstheme="minorHAnsi"/>
                <w:bCs/>
                <w:sz w:val="18"/>
                <w:szCs w:val="18"/>
              </w:rPr>
              <w:t>2024 r.</w:t>
            </w:r>
          </w:p>
        </w:tc>
        <w:tc>
          <w:tcPr>
            <w:tcW w:w="1275" w:type="dxa"/>
            <w:gridSpan w:val="2"/>
            <w:shd w:val="clear" w:color="auto" w:fill="D9D9D9" w:themeFill="background1" w:themeFillShade="D9"/>
            <w:vAlign w:val="center"/>
          </w:tcPr>
          <w:p w14:paraId="0943E383" w14:textId="77777777" w:rsidR="00986DE0" w:rsidRPr="00B5088F" w:rsidRDefault="00986DE0" w:rsidP="003C7140">
            <w:pPr>
              <w:jc w:val="center"/>
              <w:rPr>
                <w:rFonts w:ascii="Lato" w:hAnsi="Lato" w:cstheme="minorHAnsi"/>
                <w:b/>
                <w:sz w:val="18"/>
                <w:szCs w:val="18"/>
              </w:rPr>
            </w:pPr>
            <w:r w:rsidRPr="00B5088F">
              <w:rPr>
                <w:rFonts w:ascii="Lato" w:hAnsi="Lato" w:cstheme="minorHAnsi"/>
                <w:b/>
                <w:sz w:val="18"/>
                <w:szCs w:val="18"/>
              </w:rPr>
              <w:t>2025 r.</w:t>
            </w:r>
          </w:p>
        </w:tc>
      </w:tr>
      <w:tr w:rsidR="00986DE0" w:rsidRPr="00541858" w14:paraId="590B1A70" w14:textId="77777777" w:rsidTr="003C7140">
        <w:trPr>
          <w:cantSplit/>
          <w:trHeight w:val="1097"/>
          <w:jc w:val="center"/>
        </w:trPr>
        <w:tc>
          <w:tcPr>
            <w:tcW w:w="3681" w:type="dxa"/>
            <w:vMerge/>
            <w:shd w:val="pct5" w:color="auto" w:fill="auto"/>
            <w:vAlign w:val="center"/>
          </w:tcPr>
          <w:p w14:paraId="06EB5BD9" w14:textId="77777777" w:rsidR="00986DE0" w:rsidRPr="00B5088F" w:rsidRDefault="00986DE0" w:rsidP="003C7140">
            <w:pPr>
              <w:jc w:val="both"/>
              <w:rPr>
                <w:rFonts w:ascii="Lato" w:hAnsi="Lato" w:cstheme="minorHAnsi"/>
                <w:bCs/>
                <w:sz w:val="18"/>
                <w:szCs w:val="18"/>
              </w:rPr>
            </w:pPr>
          </w:p>
        </w:tc>
        <w:tc>
          <w:tcPr>
            <w:tcW w:w="727" w:type="dxa"/>
            <w:textDirection w:val="btLr"/>
            <w:vAlign w:val="center"/>
          </w:tcPr>
          <w:p w14:paraId="0E2F49DC" w14:textId="77777777" w:rsidR="00986DE0" w:rsidRPr="00B5088F" w:rsidRDefault="00986DE0" w:rsidP="003C7140">
            <w:pPr>
              <w:contextualSpacing/>
              <w:jc w:val="center"/>
              <w:rPr>
                <w:rFonts w:ascii="Lato" w:hAnsi="Lato" w:cstheme="minorHAnsi"/>
                <w:bCs/>
                <w:sz w:val="18"/>
                <w:szCs w:val="18"/>
              </w:rPr>
            </w:pPr>
            <w:r w:rsidRPr="00B5088F">
              <w:rPr>
                <w:rFonts w:ascii="Lato" w:hAnsi="Lato" w:cstheme="minorHAnsi"/>
                <w:bCs/>
                <w:sz w:val="18"/>
                <w:szCs w:val="18"/>
              </w:rPr>
              <w:t>Liczba zachorowań</w:t>
            </w:r>
          </w:p>
        </w:tc>
        <w:tc>
          <w:tcPr>
            <w:tcW w:w="660" w:type="dxa"/>
            <w:textDirection w:val="btLr"/>
            <w:vAlign w:val="center"/>
          </w:tcPr>
          <w:p w14:paraId="47312EF9" w14:textId="77777777" w:rsidR="00986DE0" w:rsidRPr="00B5088F" w:rsidRDefault="00986DE0" w:rsidP="003C7140">
            <w:pPr>
              <w:jc w:val="center"/>
              <w:rPr>
                <w:rFonts w:ascii="Lato" w:hAnsi="Lato" w:cstheme="minorHAnsi"/>
                <w:bCs/>
                <w:sz w:val="18"/>
                <w:szCs w:val="18"/>
              </w:rPr>
            </w:pPr>
            <w:r w:rsidRPr="00B5088F">
              <w:rPr>
                <w:rFonts w:ascii="Lato" w:hAnsi="Lato" w:cstheme="minorHAnsi"/>
                <w:bCs/>
                <w:sz w:val="18"/>
                <w:szCs w:val="18"/>
              </w:rPr>
              <w:t>Zapadalność</w:t>
            </w:r>
          </w:p>
        </w:tc>
        <w:tc>
          <w:tcPr>
            <w:tcW w:w="739" w:type="dxa"/>
            <w:shd w:val="clear" w:color="auto" w:fill="FFFFFF" w:themeFill="background1"/>
            <w:textDirection w:val="btLr"/>
            <w:vAlign w:val="center"/>
          </w:tcPr>
          <w:p w14:paraId="44E3ED2F" w14:textId="77777777" w:rsidR="00986DE0" w:rsidRPr="00B5088F" w:rsidRDefault="00986DE0" w:rsidP="003C7140">
            <w:pPr>
              <w:jc w:val="center"/>
              <w:rPr>
                <w:rFonts w:ascii="Lato" w:hAnsi="Lato" w:cstheme="minorHAnsi"/>
                <w:bCs/>
                <w:sz w:val="18"/>
                <w:szCs w:val="18"/>
              </w:rPr>
            </w:pPr>
            <w:r w:rsidRPr="00B5088F">
              <w:rPr>
                <w:rFonts w:ascii="Lato" w:hAnsi="Lato" w:cstheme="minorHAnsi"/>
                <w:bCs/>
                <w:sz w:val="18"/>
                <w:szCs w:val="18"/>
              </w:rPr>
              <w:t>Liczba zachorowań</w:t>
            </w:r>
          </w:p>
        </w:tc>
        <w:tc>
          <w:tcPr>
            <w:tcW w:w="626" w:type="dxa"/>
            <w:shd w:val="clear" w:color="auto" w:fill="FFFFFF" w:themeFill="background1"/>
            <w:textDirection w:val="btLr"/>
            <w:vAlign w:val="center"/>
          </w:tcPr>
          <w:p w14:paraId="770EFF09" w14:textId="77777777" w:rsidR="00986DE0" w:rsidRPr="00B5088F" w:rsidRDefault="00986DE0" w:rsidP="003C7140">
            <w:pPr>
              <w:jc w:val="center"/>
              <w:rPr>
                <w:rFonts w:ascii="Lato" w:hAnsi="Lato" w:cstheme="minorHAnsi"/>
                <w:bCs/>
                <w:sz w:val="18"/>
                <w:szCs w:val="18"/>
              </w:rPr>
            </w:pPr>
            <w:r w:rsidRPr="00B5088F">
              <w:rPr>
                <w:rFonts w:ascii="Lato" w:hAnsi="Lato" w:cstheme="minorHAnsi"/>
                <w:bCs/>
                <w:sz w:val="18"/>
                <w:szCs w:val="18"/>
              </w:rPr>
              <w:t>Zapadalność</w:t>
            </w:r>
          </w:p>
        </w:tc>
        <w:tc>
          <w:tcPr>
            <w:tcW w:w="650" w:type="dxa"/>
            <w:shd w:val="clear" w:color="auto" w:fill="FFFFFF" w:themeFill="background1"/>
            <w:textDirection w:val="btLr"/>
            <w:vAlign w:val="center"/>
          </w:tcPr>
          <w:p w14:paraId="155AE9BE" w14:textId="77777777" w:rsidR="00986DE0" w:rsidRPr="00B5088F" w:rsidRDefault="00986DE0" w:rsidP="003C7140">
            <w:pPr>
              <w:jc w:val="center"/>
              <w:rPr>
                <w:rFonts w:ascii="Lato" w:hAnsi="Lato" w:cstheme="minorHAnsi"/>
                <w:bCs/>
                <w:sz w:val="18"/>
                <w:szCs w:val="18"/>
              </w:rPr>
            </w:pPr>
            <w:r w:rsidRPr="00B5088F">
              <w:rPr>
                <w:rFonts w:ascii="Lato" w:hAnsi="Lato" w:cstheme="minorHAnsi"/>
                <w:bCs/>
                <w:sz w:val="18"/>
                <w:szCs w:val="18"/>
              </w:rPr>
              <w:t>Liczba zachorowań</w:t>
            </w:r>
          </w:p>
        </w:tc>
        <w:tc>
          <w:tcPr>
            <w:tcW w:w="626" w:type="dxa"/>
            <w:shd w:val="clear" w:color="auto" w:fill="FFFFFF" w:themeFill="background1"/>
            <w:textDirection w:val="btLr"/>
            <w:vAlign w:val="center"/>
          </w:tcPr>
          <w:p w14:paraId="5BC5E009" w14:textId="77777777" w:rsidR="00986DE0" w:rsidRPr="00B5088F" w:rsidRDefault="00986DE0" w:rsidP="003C7140">
            <w:pPr>
              <w:jc w:val="center"/>
              <w:rPr>
                <w:rFonts w:ascii="Lato" w:hAnsi="Lato" w:cstheme="minorHAnsi"/>
                <w:bCs/>
                <w:sz w:val="18"/>
                <w:szCs w:val="18"/>
              </w:rPr>
            </w:pPr>
            <w:r w:rsidRPr="00B5088F">
              <w:rPr>
                <w:rFonts w:ascii="Lato" w:hAnsi="Lato" w:cstheme="minorHAnsi"/>
                <w:bCs/>
                <w:sz w:val="18"/>
                <w:szCs w:val="18"/>
              </w:rPr>
              <w:t>Zapadalność</w:t>
            </w:r>
          </w:p>
        </w:tc>
        <w:tc>
          <w:tcPr>
            <w:tcW w:w="650" w:type="dxa"/>
            <w:shd w:val="clear" w:color="auto" w:fill="FFFFFF" w:themeFill="background1"/>
            <w:textDirection w:val="btLr"/>
            <w:vAlign w:val="center"/>
          </w:tcPr>
          <w:p w14:paraId="51309415" w14:textId="77777777" w:rsidR="00986DE0" w:rsidRPr="00B5088F" w:rsidRDefault="00986DE0" w:rsidP="003C7140">
            <w:pPr>
              <w:jc w:val="center"/>
              <w:rPr>
                <w:rFonts w:ascii="Lato" w:hAnsi="Lato" w:cstheme="minorHAnsi"/>
                <w:bCs/>
                <w:sz w:val="18"/>
                <w:szCs w:val="18"/>
              </w:rPr>
            </w:pPr>
            <w:r w:rsidRPr="00B5088F">
              <w:rPr>
                <w:rFonts w:ascii="Lato" w:hAnsi="Lato" w:cstheme="minorHAnsi"/>
                <w:bCs/>
                <w:sz w:val="18"/>
                <w:szCs w:val="18"/>
              </w:rPr>
              <w:t>Liczba zachorowań</w:t>
            </w:r>
          </w:p>
        </w:tc>
        <w:tc>
          <w:tcPr>
            <w:tcW w:w="625" w:type="dxa"/>
            <w:textDirection w:val="btLr"/>
            <w:vAlign w:val="center"/>
          </w:tcPr>
          <w:p w14:paraId="4FADC929" w14:textId="77777777" w:rsidR="00986DE0" w:rsidRPr="00B5088F" w:rsidRDefault="00986DE0" w:rsidP="003C7140">
            <w:pPr>
              <w:jc w:val="center"/>
              <w:rPr>
                <w:rFonts w:ascii="Lato" w:hAnsi="Lato" w:cstheme="minorHAnsi"/>
                <w:bCs/>
                <w:sz w:val="18"/>
                <w:szCs w:val="18"/>
              </w:rPr>
            </w:pPr>
            <w:r w:rsidRPr="00B5088F">
              <w:rPr>
                <w:rFonts w:ascii="Lato" w:hAnsi="Lato" w:cstheme="minorHAnsi"/>
                <w:bCs/>
                <w:sz w:val="18"/>
                <w:szCs w:val="18"/>
              </w:rPr>
              <w:t>Zapadalność</w:t>
            </w:r>
          </w:p>
        </w:tc>
      </w:tr>
      <w:tr w:rsidR="00986DE0" w:rsidRPr="00541858" w14:paraId="68E6259E" w14:textId="77777777" w:rsidTr="003C7140">
        <w:trPr>
          <w:trHeight w:val="371"/>
          <w:jc w:val="center"/>
        </w:trPr>
        <w:tc>
          <w:tcPr>
            <w:tcW w:w="3681" w:type="dxa"/>
            <w:vAlign w:val="center"/>
          </w:tcPr>
          <w:p w14:paraId="1A020DC9" w14:textId="77777777" w:rsidR="00986DE0" w:rsidRPr="00B5088F" w:rsidRDefault="00986DE0" w:rsidP="003C7140">
            <w:pPr>
              <w:rPr>
                <w:rFonts w:ascii="Lato" w:hAnsi="Lato" w:cstheme="minorHAnsi"/>
                <w:sz w:val="18"/>
                <w:szCs w:val="18"/>
              </w:rPr>
            </w:pPr>
            <w:r w:rsidRPr="00B5088F">
              <w:rPr>
                <w:rFonts w:ascii="Lato" w:hAnsi="Lato" w:cstheme="minorHAnsi"/>
                <w:sz w:val="18"/>
                <w:szCs w:val="18"/>
              </w:rPr>
              <w:t>Inne określone</w:t>
            </w:r>
          </w:p>
        </w:tc>
        <w:tc>
          <w:tcPr>
            <w:tcW w:w="727" w:type="dxa"/>
            <w:vAlign w:val="center"/>
          </w:tcPr>
          <w:p w14:paraId="5BD79C5A" w14:textId="77777777" w:rsidR="00986DE0" w:rsidRPr="00B5088F" w:rsidRDefault="00986DE0" w:rsidP="003C7140">
            <w:pPr>
              <w:jc w:val="center"/>
              <w:rPr>
                <w:rFonts w:ascii="Lato" w:hAnsi="Lato" w:cstheme="minorHAnsi"/>
                <w:bCs/>
                <w:sz w:val="18"/>
                <w:szCs w:val="18"/>
              </w:rPr>
            </w:pPr>
            <w:r w:rsidRPr="00B5088F">
              <w:rPr>
                <w:sz w:val="18"/>
                <w:szCs w:val="18"/>
              </w:rPr>
              <w:t>121</w:t>
            </w:r>
          </w:p>
        </w:tc>
        <w:tc>
          <w:tcPr>
            <w:tcW w:w="660" w:type="dxa"/>
            <w:vAlign w:val="center"/>
          </w:tcPr>
          <w:p w14:paraId="79961BB5" w14:textId="77777777" w:rsidR="00986DE0" w:rsidRPr="00B5088F" w:rsidRDefault="00986DE0" w:rsidP="003C7140">
            <w:pPr>
              <w:jc w:val="center"/>
              <w:rPr>
                <w:rFonts w:ascii="Lato" w:hAnsi="Lato" w:cstheme="minorHAnsi"/>
                <w:bCs/>
                <w:sz w:val="18"/>
                <w:szCs w:val="18"/>
              </w:rPr>
            </w:pPr>
            <w:r w:rsidRPr="00B5088F">
              <w:rPr>
                <w:sz w:val="18"/>
                <w:szCs w:val="18"/>
              </w:rPr>
              <w:t>0,32</w:t>
            </w:r>
          </w:p>
        </w:tc>
        <w:tc>
          <w:tcPr>
            <w:tcW w:w="739" w:type="dxa"/>
            <w:shd w:val="clear" w:color="auto" w:fill="FFFFFF" w:themeFill="background1"/>
            <w:vAlign w:val="center"/>
          </w:tcPr>
          <w:p w14:paraId="0EB1E7FE" w14:textId="77777777" w:rsidR="00986DE0" w:rsidRPr="00B5088F" w:rsidRDefault="00986DE0" w:rsidP="003C7140">
            <w:pPr>
              <w:jc w:val="center"/>
              <w:rPr>
                <w:rFonts w:ascii="Lato" w:hAnsi="Lato" w:cstheme="minorHAnsi"/>
                <w:b/>
                <w:sz w:val="18"/>
                <w:szCs w:val="18"/>
              </w:rPr>
            </w:pPr>
            <w:r w:rsidRPr="00B5088F">
              <w:rPr>
                <w:sz w:val="18"/>
                <w:szCs w:val="18"/>
              </w:rPr>
              <w:t>126</w:t>
            </w:r>
          </w:p>
        </w:tc>
        <w:tc>
          <w:tcPr>
            <w:tcW w:w="626" w:type="dxa"/>
            <w:vAlign w:val="center"/>
          </w:tcPr>
          <w:p w14:paraId="5A1DAADA" w14:textId="77777777" w:rsidR="00986DE0" w:rsidRPr="00B5088F" w:rsidRDefault="00986DE0" w:rsidP="003C7140">
            <w:pPr>
              <w:jc w:val="center"/>
              <w:rPr>
                <w:rFonts w:ascii="Lato" w:hAnsi="Lato" w:cstheme="minorHAnsi"/>
                <w:b/>
                <w:sz w:val="18"/>
                <w:szCs w:val="18"/>
              </w:rPr>
            </w:pPr>
            <w:r w:rsidRPr="00B5088F">
              <w:rPr>
                <w:sz w:val="18"/>
                <w:szCs w:val="18"/>
              </w:rPr>
              <w:t>0,34</w:t>
            </w:r>
          </w:p>
        </w:tc>
        <w:tc>
          <w:tcPr>
            <w:tcW w:w="650" w:type="dxa"/>
            <w:vAlign w:val="center"/>
          </w:tcPr>
          <w:p w14:paraId="3F305426" w14:textId="77777777" w:rsidR="00986DE0" w:rsidRPr="00B5088F" w:rsidRDefault="00986DE0" w:rsidP="003C7140">
            <w:pPr>
              <w:jc w:val="center"/>
              <w:rPr>
                <w:rFonts w:ascii="Lato" w:hAnsi="Lato" w:cstheme="minorHAnsi"/>
                <w:bCs/>
                <w:sz w:val="18"/>
                <w:szCs w:val="18"/>
              </w:rPr>
            </w:pPr>
            <w:r w:rsidRPr="00B5088F">
              <w:rPr>
                <w:sz w:val="18"/>
                <w:szCs w:val="18"/>
              </w:rPr>
              <w:t>7</w:t>
            </w:r>
          </w:p>
        </w:tc>
        <w:tc>
          <w:tcPr>
            <w:tcW w:w="626" w:type="dxa"/>
            <w:vAlign w:val="center"/>
          </w:tcPr>
          <w:p w14:paraId="3C18FF4F" w14:textId="77777777" w:rsidR="00986DE0" w:rsidRPr="00B5088F" w:rsidRDefault="00986DE0" w:rsidP="003C7140">
            <w:pPr>
              <w:jc w:val="center"/>
              <w:rPr>
                <w:rFonts w:ascii="Lato" w:hAnsi="Lato" w:cstheme="minorHAnsi"/>
                <w:bCs/>
                <w:sz w:val="18"/>
                <w:szCs w:val="18"/>
              </w:rPr>
            </w:pPr>
            <w:r w:rsidRPr="00B5088F">
              <w:rPr>
                <w:sz w:val="18"/>
                <w:szCs w:val="18"/>
              </w:rPr>
              <w:t>0,43</w:t>
            </w:r>
          </w:p>
        </w:tc>
        <w:tc>
          <w:tcPr>
            <w:tcW w:w="650" w:type="dxa"/>
            <w:shd w:val="clear" w:color="auto" w:fill="FFFFFF" w:themeFill="background1"/>
            <w:vAlign w:val="center"/>
          </w:tcPr>
          <w:p w14:paraId="26075ACF" w14:textId="77777777" w:rsidR="00986DE0" w:rsidRPr="00B5088F" w:rsidRDefault="00986DE0" w:rsidP="003C7140">
            <w:pPr>
              <w:jc w:val="center"/>
              <w:rPr>
                <w:rFonts w:ascii="Lato" w:hAnsi="Lato" w:cstheme="minorHAnsi"/>
                <w:b/>
                <w:bCs/>
                <w:sz w:val="18"/>
                <w:szCs w:val="18"/>
              </w:rPr>
            </w:pPr>
            <w:r w:rsidRPr="00B5088F">
              <w:rPr>
                <w:b/>
                <w:bCs/>
                <w:sz w:val="18"/>
                <w:szCs w:val="18"/>
              </w:rPr>
              <w:t>4</w:t>
            </w:r>
          </w:p>
        </w:tc>
        <w:tc>
          <w:tcPr>
            <w:tcW w:w="625" w:type="dxa"/>
            <w:vAlign w:val="center"/>
          </w:tcPr>
          <w:p w14:paraId="03337A44" w14:textId="77777777" w:rsidR="00986DE0" w:rsidRPr="00B5088F" w:rsidRDefault="00986DE0" w:rsidP="003C7140">
            <w:pPr>
              <w:jc w:val="center"/>
              <w:rPr>
                <w:rFonts w:ascii="Lato" w:hAnsi="Lato" w:cstheme="minorHAnsi"/>
                <w:b/>
                <w:bCs/>
                <w:sz w:val="18"/>
                <w:szCs w:val="18"/>
              </w:rPr>
            </w:pPr>
            <w:r w:rsidRPr="00B5088F">
              <w:rPr>
                <w:b/>
                <w:bCs/>
                <w:sz w:val="18"/>
                <w:szCs w:val="18"/>
              </w:rPr>
              <w:t>0,25</w:t>
            </w:r>
          </w:p>
        </w:tc>
      </w:tr>
      <w:tr w:rsidR="00986DE0" w:rsidRPr="00541858" w14:paraId="4776853E" w14:textId="77777777" w:rsidTr="003C7140">
        <w:trPr>
          <w:trHeight w:val="297"/>
          <w:jc w:val="center"/>
        </w:trPr>
        <w:tc>
          <w:tcPr>
            <w:tcW w:w="3681" w:type="dxa"/>
            <w:vAlign w:val="center"/>
          </w:tcPr>
          <w:p w14:paraId="603E10F7" w14:textId="77777777" w:rsidR="00986DE0" w:rsidRPr="00B5088F" w:rsidRDefault="00986DE0" w:rsidP="003C7140">
            <w:pPr>
              <w:rPr>
                <w:rFonts w:ascii="Lato" w:hAnsi="Lato" w:cstheme="minorHAnsi"/>
                <w:sz w:val="18"/>
                <w:szCs w:val="18"/>
              </w:rPr>
            </w:pPr>
            <w:r w:rsidRPr="00B5088F">
              <w:rPr>
                <w:rFonts w:ascii="Lato" w:hAnsi="Lato" w:cstheme="minorHAnsi"/>
                <w:sz w:val="18"/>
                <w:szCs w:val="18"/>
              </w:rPr>
              <w:t>Inne, nieokreślone</w:t>
            </w:r>
          </w:p>
        </w:tc>
        <w:tc>
          <w:tcPr>
            <w:tcW w:w="727" w:type="dxa"/>
            <w:vAlign w:val="center"/>
          </w:tcPr>
          <w:p w14:paraId="481DBA28" w14:textId="77777777" w:rsidR="00986DE0" w:rsidRPr="00B5088F" w:rsidRDefault="00986DE0" w:rsidP="003C7140">
            <w:pPr>
              <w:jc w:val="center"/>
              <w:rPr>
                <w:rFonts w:ascii="Lato" w:hAnsi="Lato" w:cstheme="minorHAnsi"/>
                <w:bCs/>
                <w:sz w:val="18"/>
                <w:szCs w:val="18"/>
              </w:rPr>
            </w:pPr>
            <w:r w:rsidRPr="00B5088F">
              <w:rPr>
                <w:sz w:val="18"/>
                <w:szCs w:val="18"/>
              </w:rPr>
              <w:t>139</w:t>
            </w:r>
          </w:p>
        </w:tc>
        <w:tc>
          <w:tcPr>
            <w:tcW w:w="660" w:type="dxa"/>
            <w:vAlign w:val="center"/>
          </w:tcPr>
          <w:p w14:paraId="377B75FC" w14:textId="77777777" w:rsidR="00986DE0" w:rsidRPr="00B5088F" w:rsidRDefault="00986DE0" w:rsidP="003C7140">
            <w:pPr>
              <w:jc w:val="center"/>
              <w:rPr>
                <w:rFonts w:ascii="Lato" w:hAnsi="Lato" w:cstheme="minorHAnsi"/>
                <w:bCs/>
                <w:sz w:val="18"/>
                <w:szCs w:val="18"/>
              </w:rPr>
            </w:pPr>
            <w:r w:rsidRPr="00B5088F">
              <w:rPr>
                <w:sz w:val="18"/>
                <w:szCs w:val="18"/>
              </w:rPr>
              <w:t>0,37</w:t>
            </w:r>
          </w:p>
        </w:tc>
        <w:tc>
          <w:tcPr>
            <w:tcW w:w="739" w:type="dxa"/>
            <w:shd w:val="clear" w:color="auto" w:fill="FFFFFF" w:themeFill="background1"/>
            <w:vAlign w:val="center"/>
          </w:tcPr>
          <w:p w14:paraId="166A1C24" w14:textId="77777777" w:rsidR="00986DE0" w:rsidRPr="00B5088F" w:rsidRDefault="00986DE0" w:rsidP="003C7140">
            <w:pPr>
              <w:jc w:val="center"/>
              <w:rPr>
                <w:rFonts w:ascii="Lato" w:hAnsi="Lato" w:cstheme="minorHAnsi"/>
                <w:b/>
                <w:sz w:val="18"/>
                <w:szCs w:val="18"/>
              </w:rPr>
            </w:pPr>
            <w:r w:rsidRPr="00B5088F">
              <w:rPr>
                <w:sz w:val="18"/>
                <w:szCs w:val="18"/>
              </w:rPr>
              <w:t>100</w:t>
            </w:r>
          </w:p>
        </w:tc>
        <w:tc>
          <w:tcPr>
            <w:tcW w:w="626" w:type="dxa"/>
            <w:vAlign w:val="center"/>
          </w:tcPr>
          <w:p w14:paraId="7FC65183" w14:textId="77777777" w:rsidR="00986DE0" w:rsidRPr="00B5088F" w:rsidRDefault="00986DE0" w:rsidP="003C7140">
            <w:pPr>
              <w:jc w:val="center"/>
              <w:rPr>
                <w:rFonts w:ascii="Lato" w:hAnsi="Lato" w:cstheme="minorHAnsi"/>
                <w:b/>
                <w:sz w:val="18"/>
                <w:szCs w:val="18"/>
              </w:rPr>
            </w:pPr>
            <w:r w:rsidRPr="00B5088F">
              <w:rPr>
                <w:sz w:val="18"/>
                <w:szCs w:val="18"/>
              </w:rPr>
              <w:t>0,27</w:t>
            </w:r>
          </w:p>
        </w:tc>
        <w:tc>
          <w:tcPr>
            <w:tcW w:w="650" w:type="dxa"/>
            <w:vAlign w:val="center"/>
          </w:tcPr>
          <w:p w14:paraId="763216E2" w14:textId="77777777" w:rsidR="00986DE0" w:rsidRPr="00B5088F" w:rsidRDefault="00986DE0" w:rsidP="003C7140">
            <w:pPr>
              <w:jc w:val="center"/>
              <w:rPr>
                <w:rFonts w:ascii="Lato" w:hAnsi="Lato" w:cstheme="minorHAnsi"/>
                <w:bCs/>
                <w:sz w:val="18"/>
                <w:szCs w:val="18"/>
              </w:rPr>
            </w:pPr>
            <w:r w:rsidRPr="00B5088F">
              <w:rPr>
                <w:sz w:val="18"/>
                <w:szCs w:val="18"/>
              </w:rPr>
              <w:t>3</w:t>
            </w:r>
          </w:p>
        </w:tc>
        <w:tc>
          <w:tcPr>
            <w:tcW w:w="626" w:type="dxa"/>
            <w:vAlign w:val="center"/>
          </w:tcPr>
          <w:p w14:paraId="7AA4C586" w14:textId="77777777" w:rsidR="00986DE0" w:rsidRPr="00B5088F" w:rsidRDefault="00986DE0" w:rsidP="003C7140">
            <w:pPr>
              <w:jc w:val="center"/>
              <w:rPr>
                <w:rFonts w:ascii="Lato" w:hAnsi="Lato" w:cstheme="minorHAnsi"/>
                <w:bCs/>
                <w:sz w:val="18"/>
                <w:szCs w:val="18"/>
              </w:rPr>
            </w:pPr>
            <w:r w:rsidRPr="00B5088F">
              <w:rPr>
                <w:sz w:val="18"/>
                <w:szCs w:val="18"/>
              </w:rPr>
              <w:t>0,18</w:t>
            </w:r>
          </w:p>
        </w:tc>
        <w:tc>
          <w:tcPr>
            <w:tcW w:w="650" w:type="dxa"/>
            <w:shd w:val="clear" w:color="auto" w:fill="FFFFFF" w:themeFill="background1"/>
            <w:vAlign w:val="center"/>
          </w:tcPr>
          <w:p w14:paraId="1E3A9566" w14:textId="77777777" w:rsidR="00986DE0" w:rsidRPr="00B5088F" w:rsidRDefault="00986DE0" w:rsidP="003C7140">
            <w:pPr>
              <w:jc w:val="center"/>
              <w:rPr>
                <w:rFonts w:ascii="Lato" w:hAnsi="Lato" w:cstheme="minorHAnsi"/>
                <w:b/>
                <w:bCs/>
                <w:sz w:val="18"/>
                <w:szCs w:val="18"/>
              </w:rPr>
            </w:pPr>
            <w:r w:rsidRPr="00B5088F">
              <w:rPr>
                <w:b/>
                <w:bCs/>
                <w:sz w:val="18"/>
                <w:szCs w:val="18"/>
              </w:rPr>
              <w:t>1</w:t>
            </w:r>
          </w:p>
        </w:tc>
        <w:tc>
          <w:tcPr>
            <w:tcW w:w="625" w:type="dxa"/>
            <w:vAlign w:val="center"/>
          </w:tcPr>
          <w:p w14:paraId="48823D4D" w14:textId="77777777" w:rsidR="00986DE0" w:rsidRPr="00B5088F" w:rsidRDefault="00986DE0" w:rsidP="003C7140">
            <w:pPr>
              <w:jc w:val="center"/>
              <w:rPr>
                <w:rFonts w:ascii="Lato" w:hAnsi="Lato" w:cstheme="minorHAnsi"/>
                <w:b/>
                <w:bCs/>
                <w:sz w:val="18"/>
                <w:szCs w:val="18"/>
              </w:rPr>
            </w:pPr>
            <w:r w:rsidRPr="00B5088F">
              <w:rPr>
                <w:b/>
                <w:bCs/>
                <w:sz w:val="18"/>
                <w:szCs w:val="18"/>
              </w:rPr>
              <w:t>0,06</w:t>
            </w:r>
          </w:p>
        </w:tc>
      </w:tr>
      <w:tr w:rsidR="00986DE0" w:rsidRPr="00541858" w14:paraId="082A5E9B" w14:textId="77777777" w:rsidTr="003C7140">
        <w:trPr>
          <w:trHeight w:val="428"/>
          <w:jc w:val="center"/>
        </w:trPr>
        <w:tc>
          <w:tcPr>
            <w:tcW w:w="3681" w:type="dxa"/>
            <w:vAlign w:val="center"/>
          </w:tcPr>
          <w:p w14:paraId="28E2864C" w14:textId="77777777" w:rsidR="00986DE0" w:rsidRPr="00B5088F" w:rsidRDefault="00986DE0" w:rsidP="003C7140">
            <w:pPr>
              <w:rPr>
                <w:rFonts w:ascii="Lato" w:hAnsi="Lato" w:cstheme="minorHAnsi"/>
                <w:i/>
                <w:sz w:val="18"/>
                <w:szCs w:val="18"/>
              </w:rPr>
            </w:pPr>
            <w:r w:rsidRPr="00B5088F">
              <w:rPr>
                <w:rFonts w:ascii="Lato" w:hAnsi="Lato" w:cstheme="minorHAnsi"/>
                <w:sz w:val="18"/>
                <w:szCs w:val="18"/>
              </w:rPr>
              <w:t xml:space="preserve">Zapalenie opon i/lub mózgu wywołane przez </w:t>
            </w:r>
            <w:proofErr w:type="spellStart"/>
            <w:r w:rsidRPr="00B5088F">
              <w:rPr>
                <w:rFonts w:ascii="Lato" w:hAnsi="Lato" w:cstheme="minorHAnsi"/>
                <w:i/>
                <w:sz w:val="18"/>
                <w:szCs w:val="18"/>
              </w:rPr>
              <w:t>Streptococcus</w:t>
            </w:r>
            <w:proofErr w:type="spellEnd"/>
            <w:r w:rsidRPr="00B5088F">
              <w:rPr>
                <w:rFonts w:ascii="Lato" w:hAnsi="Lato" w:cstheme="minorHAnsi"/>
                <w:i/>
                <w:sz w:val="18"/>
                <w:szCs w:val="18"/>
              </w:rPr>
              <w:t xml:space="preserve"> </w:t>
            </w:r>
            <w:proofErr w:type="spellStart"/>
            <w:r w:rsidRPr="00B5088F">
              <w:rPr>
                <w:rFonts w:ascii="Lato" w:hAnsi="Lato" w:cstheme="minorHAnsi"/>
                <w:i/>
                <w:sz w:val="18"/>
                <w:szCs w:val="18"/>
              </w:rPr>
              <w:t>pneumoniae</w:t>
            </w:r>
            <w:proofErr w:type="spellEnd"/>
          </w:p>
        </w:tc>
        <w:tc>
          <w:tcPr>
            <w:tcW w:w="727" w:type="dxa"/>
            <w:vAlign w:val="center"/>
          </w:tcPr>
          <w:p w14:paraId="1546E53B" w14:textId="77777777" w:rsidR="00986DE0" w:rsidRPr="00B5088F" w:rsidRDefault="00986DE0" w:rsidP="003C7140">
            <w:pPr>
              <w:jc w:val="center"/>
              <w:rPr>
                <w:rFonts w:ascii="Lato" w:hAnsi="Lato" w:cstheme="minorHAnsi"/>
                <w:bCs/>
                <w:sz w:val="18"/>
                <w:szCs w:val="18"/>
              </w:rPr>
            </w:pPr>
            <w:r w:rsidRPr="00B5088F">
              <w:rPr>
                <w:sz w:val="18"/>
                <w:szCs w:val="18"/>
              </w:rPr>
              <w:t>293</w:t>
            </w:r>
          </w:p>
        </w:tc>
        <w:tc>
          <w:tcPr>
            <w:tcW w:w="660" w:type="dxa"/>
            <w:vAlign w:val="center"/>
          </w:tcPr>
          <w:p w14:paraId="5BD4D72F" w14:textId="77777777" w:rsidR="00986DE0" w:rsidRPr="00B5088F" w:rsidRDefault="00986DE0" w:rsidP="003C7140">
            <w:pPr>
              <w:jc w:val="center"/>
              <w:rPr>
                <w:rFonts w:ascii="Lato" w:hAnsi="Lato" w:cstheme="minorHAnsi"/>
                <w:bCs/>
                <w:sz w:val="18"/>
                <w:szCs w:val="18"/>
              </w:rPr>
            </w:pPr>
            <w:r w:rsidRPr="00B5088F">
              <w:rPr>
                <w:sz w:val="18"/>
                <w:szCs w:val="18"/>
              </w:rPr>
              <w:t>0,78</w:t>
            </w:r>
          </w:p>
        </w:tc>
        <w:tc>
          <w:tcPr>
            <w:tcW w:w="739" w:type="dxa"/>
            <w:shd w:val="clear" w:color="auto" w:fill="FFFFFF" w:themeFill="background1"/>
            <w:vAlign w:val="center"/>
          </w:tcPr>
          <w:p w14:paraId="0F4FFC3F" w14:textId="77777777" w:rsidR="00986DE0" w:rsidRPr="00B5088F" w:rsidRDefault="00986DE0" w:rsidP="003C7140">
            <w:pPr>
              <w:jc w:val="center"/>
              <w:rPr>
                <w:rFonts w:ascii="Lato" w:hAnsi="Lato" w:cstheme="minorHAnsi"/>
                <w:b/>
                <w:sz w:val="18"/>
                <w:szCs w:val="18"/>
              </w:rPr>
            </w:pPr>
            <w:r w:rsidRPr="00B5088F">
              <w:rPr>
                <w:sz w:val="18"/>
                <w:szCs w:val="18"/>
              </w:rPr>
              <w:t>331</w:t>
            </w:r>
          </w:p>
        </w:tc>
        <w:tc>
          <w:tcPr>
            <w:tcW w:w="626" w:type="dxa"/>
            <w:vAlign w:val="center"/>
          </w:tcPr>
          <w:p w14:paraId="0A8CAC05" w14:textId="77777777" w:rsidR="00986DE0" w:rsidRPr="00B5088F" w:rsidRDefault="00986DE0" w:rsidP="003C7140">
            <w:pPr>
              <w:jc w:val="center"/>
              <w:rPr>
                <w:rFonts w:ascii="Lato" w:hAnsi="Lato" w:cstheme="minorHAnsi"/>
                <w:b/>
                <w:sz w:val="18"/>
                <w:szCs w:val="18"/>
              </w:rPr>
            </w:pPr>
            <w:r w:rsidRPr="00B5088F">
              <w:rPr>
                <w:sz w:val="18"/>
                <w:szCs w:val="18"/>
              </w:rPr>
              <w:t>0,88</w:t>
            </w:r>
          </w:p>
        </w:tc>
        <w:tc>
          <w:tcPr>
            <w:tcW w:w="650" w:type="dxa"/>
            <w:vAlign w:val="center"/>
          </w:tcPr>
          <w:p w14:paraId="51AFF8F5" w14:textId="77777777" w:rsidR="00986DE0" w:rsidRPr="00B5088F" w:rsidRDefault="00986DE0" w:rsidP="003C7140">
            <w:pPr>
              <w:jc w:val="center"/>
              <w:rPr>
                <w:rFonts w:ascii="Lato" w:hAnsi="Lato" w:cstheme="minorHAnsi"/>
                <w:bCs/>
                <w:sz w:val="18"/>
                <w:szCs w:val="18"/>
              </w:rPr>
            </w:pPr>
            <w:r w:rsidRPr="00B5088F">
              <w:rPr>
                <w:sz w:val="18"/>
                <w:szCs w:val="18"/>
              </w:rPr>
              <w:t>13</w:t>
            </w:r>
          </w:p>
        </w:tc>
        <w:tc>
          <w:tcPr>
            <w:tcW w:w="626" w:type="dxa"/>
            <w:vAlign w:val="center"/>
          </w:tcPr>
          <w:p w14:paraId="66EEB13C" w14:textId="77777777" w:rsidR="00986DE0" w:rsidRPr="00B5088F" w:rsidRDefault="00986DE0" w:rsidP="003C7140">
            <w:pPr>
              <w:jc w:val="center"/>
              <w:rPr>
                <w:rFonts w:ascii="Lato" w:hAnsi="Lato" w:cstheme="minorHAnsi"/>
                <w:bCs/>
                <w:sz w:val="18"/>
                <w:szCs w:val="18"/>
              </w:rPr>
            </w:pPr>
            <w:r w:rsidRPr="00B5088F">
              <w:rPr>
                <w:sz w:val="18"/>
                <w:szCs w:val="18"/>
              </w:rPr>
              <w:t>0,80</w:t>
            </w:r>
          </w:p>
        </w:tc>
        <w:tc>
          <w:tcPr>
            <w:tcW w:w="650" w:type="dxa"/>
            <w:shd w:val="clear" w:color="auto" w:fill="FFFFFF" w:themeFill="background1"/>
            <w:vAlign w:val="center"/>
          </w:tcPr>
          <w:p w14:paraId="6E1229A7" w14:textId="77777777" w:rsidR="00986DE0" w:rsidRPr="00B5088F" w:rsidRDefault="00986DE0" w:rsidP="003C7140">
            <w:pPr>
              <w:jc w:val="center"/>
              <w:rPr>
                <w:rFonts w:ascii="Lato" w:hAnsi="Lato" w:cstheme="minorHAnsi"/>
                <w:b/>
                <w:bCs/>
                <w:sz w:val="18"/>
                <w:szCs w:val="18"/>
              </w:rPr>
            </w:pPr>
            <w:r w:rsidRPr="00B5088F">
              <w:rPr>
                <w:b/>
                <w:bCs/>
                <w:sz w:val="18"/>
                <w:szCs w:val="18"/>
              </w:rPr>
              <w:t>17</w:t>
            </w:r>
          </w:p>
        </w:tc>
        <w:tc>
          <w:tcPr>
            <w:tcW w:w="625" w:type="dxa"/>
            <w:vAlign w:val="center"/>
          </w:tcPr>
          <w:p w14:paraId="49D4EA39" w14:textId="77777777" w:rsidR="00986DE0" w:rsidRPr="00B5088F" w:rsidRDefault="00986DE0" w:rsidP="003C7140">
            <w:pPr>
              <w:jc w:val="center"/>
              <w:rPr>
                <w:rFonts w:ascii="Lato" w:hAnsi="Lato" w:cstheme="minorHAnsi"/>
                <w:b/>
                <w:bCs/>
                <w:sz w:val="18"/>
                <w:szCs w:val="18"/>
              </w:rPr>
            </w:pPr>
            <w:r w:rsidRPr="00B5088F">
              <w:rPr>
                <w:b/>
                <w:bCs/>
                <w:sz w:val="18"/>
                <w:szCs w:val="18"/>
              </w:rPr>
              <w:t>1,05</w:t>
            </w:r>
          </w:p>
        </w:tc>
      </w:tr>
      <w:tr w:rsidR="00986DE0" w:rsidRPr="00541858" w14:paraId="313B639C" w14:textId="77777777" w:rsidTr="003C7140">
        <w:trPr>
          <w:trHeight w:val="310"/>
          <w:jc w:val="center"/>
        </w:trPr>
        <w:tc>
          <w:tcPr>
            <w:tcW w:w="3681" w:type="dxa"/>
            <w:vAlign w:val="center"/>
          </w:tcPr>
          <w:p w14:paraId="5C7C283D" w14:textId="77777777" w:rsidR="00986DE0" w:rsidRPr="00B5088F" w:rsidRDefault="00986DE0" w:rsidP="003C7140">
            <w:pPr>
              <w:rPr>
                <w:rFonts w:ascii="Lato" w:hAnsi="Lato" w:cstheme="minorHAnsi"/>
                <w:sz w:val="18"/>
                <w:szCs w:val="18"/>
              </w:rPr>
            </w:pPr>
            <w:r w:rsidRPr="00B5088F">
              <w:rPr>
                <w:rFonts w:ascii="Lato" w:hAnsi="Lato" w:cstheme="minorHAnsi"/>
                <w:sz w:val="18"/>
                <w:szCs w:val="18"/>
              </w:rPr>
              <w:t xml:space="preserve">Zapalenie opon i mózgu </w:t>
            </w:r>
            <w:proofErr w:type="spellStart"/>
            <w:r w:rsidRPr="00B5088F">
              <w:rPr>
                <w:rFonts w:ascii="Lato" w:hAnsi="Lato" w:cstheme="minorHAnsi"/>
                <w:sz w:val="18"/>
                <w:szCs w:val="18"/>
              </w:rPr>
              <w:t>meningokokowe</w:t>
            </w:r>
            <w:proofErr w:type="spellEnd"/>
          </w:p>
        </w:tc>
        <w:tc>
          <w:tcPr>
            <w:tcW w:w="727" w:type="dxa"/>
            <w:vAlign w:val="center"/>
          </w:tcPr>
          <w:p w14:paraId="22209463" w14:textId="77777777" w:rsidR="00986DE0" w:rsidRPr="00B5088F" w:rsidRDefault="00986DE0" w:rsidP="003C7140">
            <w:pPr>
              <w:jc w:val="center"/>
              <w:rPr>
                <w:rFonts w:ascii="Lato" w:hAnsi="Lato" w:cstheme="minorHAnsi"/>
                <w:bCs/>
                <w:sz w:val="18"/>
                <w:szCs w:val="18"/>
              </w:rPr>
            </w:pPr>
            <w:r w:rsidRPr="00B5088F">
              <w:rPr>
                <w:sz w:val="18"/>
                <w:szCs w:val="18"/>
              </w:rPr>
              <w:t>85</w:t>
            </w:r>
          </w:p>
        </w:tc>
        <w:tc>
          <w:tcPr>
            <w:tcW w:w="660" w:type="dxa"/>
            <w:vAlign w:val="center"/>
          </w:tcPr>
          <w:p w14:paraId="56E966D7" w14:textId="77777777" w:rsidR="00986DE0" w:rsidRPr="00B5088F" w:rsidRDefault="00986DE0" w:rsidP="003C7140">
            <w:pPr>
              <w:jc w:val="center"/>
              <w:rPr>
                <w:rFonts w:ascii="Lato" w:hAnsi="Lato" w:cstheme="minorHAnsi"/>
                <w:bCs/>
                <w:sz w:val="18"/>
                <w:szCs w:val="18"/>
              </w:rPr>
            </w:pPr>
            <w:r w:rsidRPr="00B5088F">
              <w:rPr>
                <w:sz w:val="18"/>
                <w:szCs w:val="18"/>
              </w:rPr>
              <w:t>0,23</w:t>
            </w:r>
          </w:p>
        </w:tc>
        <w:tc>
          <w:tcPr>
            <w:tcW w:w="739" w:type="dxa"/>
            <w:shd w:val="clear" w:color="auto" w:fill="FFFFFF" w:themeFill="background1"/>
            <w:vAlign w:val="center"/>
          </w:tcPr>
          <w:p w14:paraId="531B2DE1" w14:textId="77777777" w:rsidR="00986DE0" w:rsidRPr="00B5088F" w:rsidRDefault="00986DE0" w:rsidP="003C7140">
            <w:pPr>
              <w:jc w:val="center"/>
              <w:rPr>
                <w:rFonts w:ascii="Lato" w:hAnsi="Lato" w:cstheme="minorHAnsi"/>
                <w:b/>
                <w:sz w:val="18"/>
                <w:szCs w:val="18"/>
              </w:rPr>
            </w:pPr>
            <w:r w:rsidRPr="00B5088F">
              <w:rPr>
                <w:sz w:val="18"/>
                <w:szCs w:val="18"/>
              </w:rPr>
              <w:t>113</w:t>
            </w:r>
          </w:p>
        </w:tc>
        <w:tc>
          <w:tcPr>
            <w:tcW w:w="626" w:type="dxa"/>
            <w:vAlign w:val="center"/>
          </w:tcPr>
          <w:p w14:paraId="54BC0088" w14:textId="77777777" w:rsidR="00986DE0" w:rsidRPr="00B5088F" w:rsidRDefault="00986DE0" w:rsidP="003C7140">
            <w:pPr>
              <w:jc w:val="center"/>
              <w:rPr>
                <w:rFonts w:ascii="Lato" w:hAnsi="Lato" w:cstheme="minorHAnsi"/>
                <w:b/>
                <w:sz w:val="18"/>
                <w:szCs w:val="18"/>
              </w:rPr>
            </w:pPr>
            <w:r w:rsidRPr="00B5088F">
              <w:rPr>
                <w:sz w:val="18"/>
                <w:szCs w:val="18"/>
              </w:rPr>
              <w:t>0,30</w:t>
            </w:r>
          </w:p>
        </w:tc>
        <w:tc>
          <w:tcPr>
            <w:tcW w:w="650" w:type="dxa"/>
            <w:vAlign w:val="center"/>
          </w:tcPr>
          <w:p w14:paraId="4B6D3B8B" w14:textId="77777777" w:rsidR="00986DE0" w:rsidRPr="00B5088F" w:rsidRDefault="00986DE0" w:rsidP="003C7140">
            <w:pPr>
              <w:jc w:val="center"/>
              <w:rPr>
                <w:rFonts w:ascii="Lato" w:hAnsi="Lato" w:cstheme="minorHAnsi"/>
                <w:bCs/>
                <w:sz w:val="18"/>
                <w:szCs w:val="18"/>
              </w:rPr>
            </w:pPr>
            <w:r w:rsidRPr="00B5088F">
              <w:rPr>
                <w:sz w:val="18"/>
                <w:szCs w:val="18"/>
              </w:rPr>
              <w:t>6</w:t>
            </w:r>
          </w:p>
        </w:tc>
        <w:tc>
          <w:tcPr>
            <w:tcW w:w="626" w:type="dxa"/>
            <w:vAlign w:val="center"/>
          </w:tcPr>
          <w:p w14:paraId="3892310B" w14:textId="77777777" w:rsidR="00986DE0" w:rsidRPr="00B5088F" w:rsidRDefault="00986DE0" w:rsidP="003C7140">
            <w:pPr>
              <w:jc w:val="center"/>
              <w:rPr>
                <w:rFonts w:ascii="Lato" w:hAnsi="Lato" w:cstheme="minorHAnsi"/>
                <w:bCs/>
                <w:sz w:val="18"/>
                <w:szCs w:val="18"/>
              </w:rPr>
            </w:pPr>
            <w:r w:rsidRPr="00B5088F">
              <w:rPr>
                <w:sz w:val="18"/>
                <w:szCs w:val="18"/>
              </w:rPr>
              <w:t>0,37</w:t>
            </w:r>
          </w:p>
        </w:tc>
        <w:tc>
          <w:tcPr>
            <w:tcW w:w="650" w:type="dxa"/>
            <w:shd w:val="clear" w:color="auto" w:fill="FFFFFF" w:themeFill="background1"/>
            <w:vAlign w:val="center"/>
          </w:tcPr>
          <w:p w14:paraId="5B703BE6" w14:textId="77777777" w:rsidR="00986DE0" w:rsidRPr="00B5088F" w:rsidRDefault="00986DE0" w:rsidP="003C7140">
            <w:pPr>
              <w:jc w:val="center"/>
              <w:rPr>
                <w:rFonts w:ascii="Lato" w:hAnsi="Lato" w:cstheme="minorHAnsi"/>
                <w:b/>
                <w:bCs/>
                <w:sz w:val="18"/>
                <w:szCs w:val="18"/>
              </w:rPr>
            </w:pPr>
            <w:r w:rsidRPr="00B5088F">
              <w:rPr>
                <w:b/>
                <w:bCs/>
                <w:sz w:val="18"/>
                <w:szCs w:val="18"/>
              </w:rPr>
              <w:t>9</w:t>
            </w:r>
          </w:p>
        </w:tc>
        <w:tc>
          <w:tcPr>
            <w:tcW w:w="625" w:type="dxa"/>
            <w:vAlign w:val="center"/>
          </w:tcPr>
          <w:p w14:paraId="7BB6DCA3" w14:textId="77777777" w:rsidR="00986DE0" w:rsidRPr="00B5088F" w:rsidRDefault="00986DE0" w:rsidP="003C7140">
            <w:pPr>
              <w:jc w:val="center"/>
              <w:rPr>
                <w:rFonts w:ascii="Lato" w:hAnsi="Lato" w:cstheme="minorHAnsi"/>
                <w:b/>
                <w:bCs/>
                <w:sz w:val="18"/>
                <w:szCs w:val="18"/>
              </w:rPr>
            </w:pPr>
            <w:r w:rsidRPr="00B5088F">
              <w:rPr>
                <w:b/>
                <w:bCs/>
                <w:sz w:val="18"/>
                <w:szCs w:val="18"/>
              </w:rPr>
              <w:t>0,56</w:t>
            </w:r>
          </w:p>
        </w:tc>
      </w:tr>
      <w:tr w:rsidR="00986DE0" w:rsidRPr="00541858" w14:paraId="761F3E70" w14:textId="77777777" w:rsidTr="003C7140">
        <w:trPr>
          <w:trHeight w:val="284"/>
          <w:jc w:val="center"/>
        </w:trPr>
        <w:tc>
          <w:tcPr>
            <w:tcW w:w="3681" w:type="dxa"/>
            <w:vAlign w:val="center"/>
          </w:tcPr>
          <w:p w14:paraId="4E691E07" w14:textId="77777777" w:rsidR="00986DE0" w:rsidRPr="00B5088F" w:rsidRDefault="00986DE0" w:rsidP="003C7140">
            <w:pPr>
              <w:rPr>
                <w:rFonts w:ascii="Lato" w:hAnsi="Lato" w:cstheme="minorHAnsi"/>
                <w:sz w:val="18"/>
                <w:szCs w:val="18"/>
              </w:rPr>
            </w:pPr>
            <w:r w:rsidRPr="00B5088F">
              <w:rPr>
                <w:rFonts w:ascii="Lato" w:hAnsi="Lato" w:cstheme="minorHAnsi"/>
                <w:sz w:val="18"/>
                <w:szCs w:val="18"/>
              </w:rPr>
              <w:t xml:space="preserve">Zapalenie opon i/lub mózgu wywołane przez </w:t>
            </w:r>
            <w:proofErr w:type="spellStart"/>
            <w:r w:rsidRPr="00B5088F">
              <w:rPr>
                <w:rFonts w:ascii="Lato" w:hAnsi="Lato" w:cstheme="minorHAnsi"/>
                <w:i/>
                <w:sz w:val="18"/>
                <w:szCs w:val="18"/>
              </w:rPr>
              <w:t>Haemophilus</w:t>
            </w:r>
            <w:proofErr w:type="spellEnd"/>
            <w:r w:rsidRPr="00B5088F">
              <w:rPr>
                <w:rFonts w:ascii="Lato" w:hAnsi="Lato" w:cstheme="minorHAnsi"/>
                <w:i/>
                <w:sz w:val="18"/>
                <w:szCs w:val="18"/>
              </w:rPr>
              <w:t xml:space="preserve"> </w:t>
            </w:r>
            <w:proofErr w:type="spellStart"/>
            <w:r w:rsidRPr="00B5088F">
              <w:rPr>
                <w:rFonts w:ascii="Lato" w:hAnsi="Lato" w:cstheme="minorHAnsi"/>
                <w:i/>
                <w:sz w:val="18"/>
                <w:szCs w:val="18"/>
              </w:rPr>
              <w:t>influenzae</w:t>
            </w:r>
            <w:proofErr w:type="spellEnd"/>
            <w:r w:rsidRPr="00B5088F">
              <w:rPr>
                <w:rFonts w:ascii="Lato" w:hAnsi="Lato" w:cstheme="minorHAnsi"/>
                <w:sz w:val="18"/>
                <w:szCs w:val="18"/>
              </w:rPr>
              <w:t xml:space="preserve"> typ B</w:t>
            </w:r>
          </w:p>
        </w:tc>
        <w:tc>
          <w:tcPr>
            <w:tcW w:w="727" w:type="dxa"/>
            <w:vAlign w:val="center"/>
          </w:tcPr>
          <w:p w14:paraId="31B1E1E3" w14:textId="77777777" w:rsidR="00986DE0" w:rsidRPr="00B5088F" w:rsidRDefault="00986DE0" w:rsidP="003C7140">
            <w:pPr>
              <w:jc w:val="center"/>
              <w:rPr>
                <w:rFonts w:ascii="Lato" w:hAnsi="Lato" w:cstheme="minorHAnsi"/>
                <w:bCs/>
                <w:sz w:val="18"/>
                <w:szCs w:val="18"/>
              </w:rPr>
            </w:pPr>
            <w:r w:rsidRPr="00B5088F">
              <w:rPr>
                <w:sz w:val="18"/>
                <w:szCs w:val="18"/>
              </w:rPr>
              <w:t>41</w:t>
            </w:r>
          </w:p>
        </w:tc>
        <w:tc>
          <w:tcPr>
            <w:tcW w:w="660" w:type="dxa"/>
            <w:vAlign w:val="center"/>
          </w:tcPr>
          <w:p w14:paraId="10339829" w14:textId="77777777" w:rsidR="00986DE0" w:rsidRPr="00B5088F" w:rsidRDefault="00986DE0" w:rsidP="003C7140">
            <w:pPr>
              <w:jc w:val="center"/>
              <w:rPr>
                <w:rFonts w:ascii="Lato" w:hAnsi="Lato" w:cstheme="minorHAnsi"/>
                <w:bCs/>
                <w:sz w:val="18"/>
                <w:szCs w:val="18"/>
              </w:rPr>
            </w:pPr>
            <w:r w:rsidRPr="00B5088F">
              <w:rPr>
                <w:sz w:val="18"/>
                <w:szCs w:val="18"/>
              </w:rPr>
              <w:t>0,11</w:t>
            </w:r>
          </w:p>
        </w:tc>
        <w:tc>
          <w:tcPr>
            <w:tcW w:w="739" w:type="dxa"/>
            <w:shd w:val="clear" w:color="auto" w:fill="FFFFFF" w:themeFill="background1"/>
            <w:vAlign w:val="center"/>
          </w:tcPr>
          <w:p w14:paraId="26611671" w14:textId="77777777" w:rsidR="00986DE0" w:rsidRPr="00B5088F" w:rsidRDefault="00986DE0" w:rsidP="003C7140">
            <w:pPr>
              <w:jc w:val="center"/>
              <w:rPr>
                <w:rFonts w:ascii="Lato" w:hAnsi="Lato" w:cstheme="minorHAnsi"/>
                <w:b/>
                <w:sz w:val="18"/>
                <w:szCs w:val="18"/>
              </w:rPr>
            </w:pPr>
            <w:r w:rsidRPr="00B5088F">
              <w:rPr>
                <w:sz w:val="18"/>
                <w:szCs w:val="18"/>
              </w:rPr>
              <w:t>43</w:t>
            </w:r>
          </w:p>
        </w:tc>
        <w:tc>
          <w:tcPr>
            <w:tcW w:w="626" w:type="dxa"/>
            <w:vAlign w:val="center"/>
          </w:tcPr>
          <w:p w14:paraId="75A6B3B5" w14:textId="77777777" w:rsidR="00986DE0" w:rsidRPr="00B5088F" w:rsidRDefault="00986DE0" w:rsidP="003C7140">
            <w:pPr>
              <w:jc w:val="center"/>
              <w:rPr>
                <w:rFonts w:ascii="Lato" w:hAnsi="Lato" w:cstheme="minorHAnsi"/>
                <w:b/>
                <w:sz w:val="18"/>
                <w:szCs w:val="18"/>
              </w:rPr>
            </w:pPr>
            <w:r w:rsidRPr="00B5088F">
              <w:rPr>
                <w:sz w:val="18"/>
                <w:szCs w:val="18"/>
              </w:rPr>
              <w:t>0,11</w:t>
            </w:r>
          </w:p>
        </w:tc>
        <w:tc>
          <w:tcPr>
            <w:tcW w:w="650" w:type="dxa"/>
            <w:vAlign w:val="center"/>
          </w:tcPr>
          <w:p w14:paraId="17490B9C" w14:textId="77777777" w:rsidR="00986DE0" w:rsidRPr="00B5088F" w:rsidRDefault="00986DE0" w:rsidP="003C7140">
            <w:pPr>
              <w:jc w:val="center"/>
              <w:rPr>
                <w:rFonts w:ascii="Lato" w:hAnsi="Lato" w:cstheme="minorHAnsi"/>
                <w:bCs/>
                <w:sz w:val="18"/>
                <w:szCs w:val="18"/>
              </w:rPr>
            </w:pPr>
            <w:r w:rsidRPr="00B5088F">
              <w:rPr>
                <w:sz w:val="18"/>
                <w:szCs w:val="18"/>
              </w:rPr>
              <w:t>3</w:t>
            </w:r>
          </w:p>
        </w:tc>
        <w:tc>
          <w:tcPr>
            <w:tcW w:w="626" w:type="dxa"/>
            <w:vAlign w:val="center"/>
          </w:tcPr>
          <w:p w14:paraId="684F2607" w14:textId="77777777" w:rsidR="00986DE0" w:rsidRPr="00B5088F" w:rsidRDefault="00986DE0" w:rsidP="003C7140">
            <w:pPr>
              <w:jc w:val="center"/>
              <w:rPr>
                <w:rFonts w:ascii="Lato" w:hAnsi="Lato" w:cstheme="minorHAnsi"/>
                <w:bCs/>
                <w:sz w:val="18"/>
                <w:szCs w:val="18"/>
              </w:rPr>
            </w:pPr>
            <w:r w:rsidRPr="00B5088F">
              <w:rPr>
                <w:sz w:val="18"/>
                <w:szCs w:val="18"/>
              </w:rPr>
              <w:t>0,18</w:t>
            </w:r>
          </w:p>
        </w:tc>
        <w:tc>
          <w:tcPr>
            <w:tcW w:w="650" w:type="dxa"/>
            <w:shd w:val="clear" w:color="auto" w:fill="FFFFFF" w:themeFill="background1"/>
            <w:vAlign w:val="center"/>
          </w:tcPr>
          <w:p w14:paraId="3F72C9E3" w14:textId="77777777" w:rsidR="00986DE0" w:rsidRPr="00B5088F" w:rsidRDefault="00986DE0" w:rsidP="003C7140">
            <w:pPr>
              <w:jc w:val="center"/>
              <w:rPr>
                <w:rFonts w:ascii="Lato" w:hAnsi="Lato" w:cstheme="minorHAnsi"/>
                <w:b/>
                <w:bCs/>
                <w:sz w:val="18"/>
                <w:szCs w:val="18"/>
              </w:rPr>
            </w:pPr>
            <w:r w:rsidRPr="00B5088F">
              <w:rPr>
                <w:b/>
                <w:bCs/>
                <w:sz w:val="18"/>
                <w:szCs w:val="18"/>
              </w:rPr>
              <w:t>7</w:t>
            </w:r>
          </w:p>
        </w:tc>
        <w:tc>
          <w:tcPr>
            <w:tcW w:w="625" w:type="dxa"/>
            <w:vAlign w:val="center"/>
          </w:tcPr>
          <w:p w14:paraId="31B7E028" w14:textId="77777777" w:rsidR="00986DE0" w:rsidRPr="00B5088F" w:rsidRDefault="00986DE0" w:rsidP="003C7140">
            <w:pPr>
              <w:jc w:val="center"/>
              <w:rPr>
                <w:rFonts w:ascii="Lato" w:hAnsi="Lato" w:cstheme="minorHAnsi"/>
                <w:b/>
                <w:bCs/>
                <w:sz w:val="18"/>
                <w:szCs w:val="18"/>
              </w:rPr>
            </w:pPr>
            <w:r w:rsidRPr="00B5088F">
              <w:rPr>
                <w:b/>
                <w:bCs/>
                <w:sz w:val="18"/>
                <w:szCs w:val="18"/>
              </w:rPr>
              <w:t>0,43</w:t>
            </w:r>
          </w:p>
        </w:tc>
      </w:tr>
      <w:tr w:rsidR="00986DE0" w:rsidRPr="00541858" w14:paraId="799CB295" w14:textId="77777777" w:rsidTr="003C7140">
        <w:trPr>
          <w:jc w:val="center"/>
        </w:trPr>
        <w:tc>
          <w:tcPr>
            <w:tcW w:w="3681" w:type="dxa"/>
            <w:vAlign w:val="center"/>
          </w:tcPr>
          <w:p w14:paraId="27AB3BB6" w14:textId="77777777" w:rsidR="00986DE0" w:rsidRPr="00B5088F" w:rsidRDefault="00986DE0" w:rsidP="003C7140">
            <w:pPr>
              <w:rPr>
                <w:rFonts w:ascii="Lato" w:hAnsi="Lato" w:cstheme="minorHAnsi"/>
                <w:sz w:val="18"/>
                <w:szCs w:val="18"/>
              </w:rPr>
            </w:pPr>
            <w:r w:rsidRPr="00B5088F">
              <w:rPr>
                <w:rFonts w:ascii="Lato" w:hAnsi="Lato" w:cstheme="minorHAnsi"/>
                <w:sz w:val="18"/>
                <w:szCs w:val="18"/>
              </w:rPr>
              <w:t>Zapalenie opon i/lub mózgu w przebiegu boreliozy</w:t>
            </w:r>
          </w:p>
        </w:tc>
        <w:tc>
          <w:tcPr>
            <w:tcW w:w="727" w:type="dxa"/>
            <w:vAlign w:val="center"/>
          </w:tcPr>
          <w:p w14:paraId="6F1E73AE" w14:textId="77777777" w:rsidR="00986DE0" w:rsidRPr="00B5088F" w:rsidRDefault="00986DE0" w:rsidP="003C7140">
            <w:pPr>
              <w:jc w:val="center"/>
              <w:rPr>
                <w:rFonts w:ascii="Lato" w:hAnsi="Lato" w:cstheme="minorHAnsi"/>
                <w:bCs/>
                <w:sz w:val="18"/>
                <w:szCs w:val="18"/>
              </w:rPr>
            </w:pPr>
            <w:r w:rsidRPr="00B5088F">
              <w:rPr>
                <w:sz w:val="18"/>
                <w:szCs w:val="18"/>
              </w:rPr>
              <w:t>423</w:t>
            </w:r>
          </w:p>
        </w:tc>
        <w:tc>
          <w:tcPr>
            <w:tcW w:w="660" w:type="dxa"/>
            <w:vAlign w:val="center"/>
          </w:tcPr>
          <w:p w14:paraId="7E48CDBF" w14:textId="77777777" w:rsidR="00986DE0" w:rsidRPr="00B5088F" w:rsidRDefault="00986DE0" w:rsidP="003C7140">
            <w:pPr>
              <w:jc w:val="center"/>
              <w:rPr>
                <w:rFonts w:ascii="Lato" w:hAnsi="Lato" w:cstheme="minorHAnsi"/>
                <w:bCs/>
                <w:sz w:val="18"/>
                <w:szCs w:val="18"/>
              </w:rPr>
            </w:pPr>
            <w:r w:rsidRPr="00B5088F">
              <w:rPr>
                <w:sz w:val="18"/>
                <w:szCs w:val="18"/>
              </w:rPr>
              <w:t>1,13</w:t>
            </w:r>
          </w:p>
        </w:tc>
        <w:tc>
          <w:tcPr>
            <w:tcW w:w="739" w:type="dxa"/>
            <w:shd w:val="clear" w:color="auto" w:fill="FFFFFF" w:themeFill="background1"/>
            <w:vAlign w:val="center"/>
          </w:tcPr>
          <w:p w14:paraId="4A0A1C2F" w14:textId="77777777" w:rsidR="00986DE0" w:rsidRPr="00B5088F" w:rsidRDefault="00986DE0" w:rsidP="003C7140">
            <w:pPr>
              <w:jc w:val="center"/>
              <w:rPr>
                <w:rFonts w:ascii="Lato" w:hAnsi="Lato" w:cstheme="minorHAnsi"/>
                <w:b/>
                <w:sz w:val="18"/>
                <w:szCs w:val="18"/>
              </w:rPr>
            </w:pPr>
            <w:r w:rsidRPr="00B5088F">
              <w:rPr>
                <w:sz w:val="18"/>
                <w:szCs w:val="18"/>
              </w:rPr>
              <w:t>589</w:t>
            </w:r>
          </w:p>
        </w:tc>
        <w:tc>
          <w:tcPr>
            <w:tcW w:w="626" w:type="dxa"/>
            <w:vAlign w:val="center"/>
          </w:tcPr>
          <w:p w14:paraId="00E82466" w14:textId="77777777" w:rsidR="00986DE0" w:rsidRPr="00B5088F" w:rsidRDefault="00986DE0" w:rsidP="003C7140">
            <w:pPr>
              <w:jc w:val="center"/>
              <w:rPr>
                <w:rFonts w:ascii="Lato" w:hAnsi="Lato" w:cstheme="minorHAnsi"/>
                <w:b/>
                <w:sz w:val="18"/>
                <w:szCs w:val="18"/>
              </w:rPr>
            </w:pPr>
            <w:r w:rsidRPr="00B5088F">
              <w:rPr>
                <w:sz w:val="18"/>
                <w:szCs w:val="18"/>
              </w:rPr>
              <w:t>1,57</w:t>
            </w:r>
          </w:p>
        </w:tc>
        <w:tc>
          <w:tcPr>
            <w:tcW w:w="650" w:type="dxa"/>
            <w:vAlign w:val="center"/>
          </w:tcPr>
          <w:p w14:paraId="64C9110E" w14:textId="77777777" w:rsidR="00986DE0" w:rsidRPr="00B5088F" w:rsidRDefault="00986DE0" w:rsidP="003C7140">
            <w:pPr>
              <w:jc w:val="center"/>
              <w:rPr>
                <w:rFonts w:ascii="Lato" w:hAnsi="Lato" w:cstheme="minorHAnsi"/>
                <w:bCs/>
                <w:sz w:val="18"/>
                <w:szCs w:val="18"/>
              </w:rPr>
            </w:pPr>
            <w:r w:rsidRPr="00B5088F">
              <w:rPr>
                <w:sz w:val="18"/>
                <w:szCs w:val="18"/>
              </w:rPr>
              <w:t>17</w:t>
            </w:r>
          </w:p>
        </w:tc>
        <w:tc>
          <w:tcPr>
            <w:tcW w:w="626" w:type="dxa"/>
            <w:vAlign w:val="center"/>
          </w:tcPr>
          <w:p w14:paraId="10A0222D" w14:textId="77777777" w:rsidR="00986DE0" w:rsidRPr="00B5088F" w:rsidRDefault="00986DE0" w:rsidP="003C7140">
            <w:pPr>
              <w:jc w:val="center"/>
              <w:rPr>
                <w:rFonts w:ascii="Lato" w:hAnsi="Lato" w:cstheme="minorHAnsi"/>
                <w:bCs/>
                <w:sz w:val="18"/>
                <w:szCs w:val="18"/>
              </w:rPr>
            </w:pPr>
            <w:r w:rsidRPr="00B5088F">
              <w:rPr>
                <w:sz w:val="18"/>
                <w:szCs w:val="18"/>
              </w:rPr>
              <w:t>1,04</w:t>
            </w:r>
          </w:p>
        </w:tc>
        <w:tc>
          <w:tcPr>
            <w:tcW w:w="650" w:type="dxa"/>
            <w:shd w:val="clear" w:color="auto" w:fill="FFFFFF" w:themeFill="background1"/>
            <w:vAlign w:val="center"/>
          </w:tcPr>
          <w:p w14:paraId="6A4BE05A" w14:textId="77777777" w:rsidR="00986DE0" w:rsidRPr="00B5088F" w:rsidRDefault="00986DE0" w:rsidP="003C7140">
            <w:pPr>
              <w:jc w:val="center"/>
              <w:rPr>
                <w:rFonts w:ascii="Lato" w:hAnsi="Lato" w:cstheme="minorHAnsi"/>
                <w:b/>
                <w:bCs/>
                <w:sz w:val="18"/>
                <w:szCs w:val="18"/>
              </w:rPr>
            </w:pPr>
            <w:r w:rsidRPr="00B5088F">
              <w:rPr>
                <w:b/>
                <w:bCs/>
                <w:sz w:val="18"/>
                <w:szCs w:val="18"/>
              </w:rPr>
              <w:t>28</w:t>
            </w:r>
          </w:p>
        </w:tc>
        <w:tc>
          <w:tcPr>
            <w:tcW w:w="625" w:type="dxa"/>
            <w:vAlign w:val="center"/>
          </w:tcPr>
          <w:p w14:paraId="7BEACBE3" w14:textId="77777777" w:rsidR="00986DE0" w:rsidRPr="00B5088F" w:rsidRDefault="00986DE0" w:rsidP="003C7140">
            <w:pPr>
              <w:jc w:val="center"/>
              <w:rPr>
                <w:rFonts w:ascii="Lato" w:hAnsi="Lato" w:cstheme="minorHAnsi"/>
                <w:b/>
                <w:bCs/>
                <w:sz w:val="18"/>
                <w:szCs w:val="18"/>
              </w:rPr>
            </w:pPr>
            <w:r w:rsidRPr="00B5088F">
              <w:rPr>
                <w:b/>
                <w:bCs/>
                <w:sz w:val="18"/>
                <w:szCs w:val="18"/>
              </w:rPr>
              <w:t>1,73</w:t>
            </w:r>
          </w:p>
        </w:tc>
      </w:tr>
      <w:tr w:rsidR="00986DE0" w:rsidRPr="00541858" w14:paraId="11168CC2" w14:textId="77777777" w:rsidTr="003C7140">
        <w:trPr>
          <w:trHeight w:val="342"/>
          <w:jc w:val="center"/>
        </w:trPr>
        <w:tc>
          <w:tcPr>
            <w:tcW w:w="3681" w:type="dxa"/>
            <w:vAlign w:val="center"/>
          </w:tcPr>
          <w:p w14:paraId="0B7BE65C" w14:textId="77777777" w:rsidR="00986DE0" w:rsidRPr="00B5088F" w:rsidRDefault="00986DE0" w:rsidP="003C7140">
            <w:pPr>
              <w:rPr>
                <w:rFonts w:ascii="Lato" w:hAnsi="Lato" w:cstheme="minorHAnsi"/>
                <w:sz w:val="18"/>
                <w:szCs w:val="18"/>
              </w:rPr>
            </w:pPr>
            <w:r w:rsidRPr="00B5088F">
              <w:rPr>
                <w:rFonts w:ascii="Lato" w:hAnsi="Lato" w:cstheme="minorHAnsi"/>
                <w:sz w:val="18"/>
                <w:szCs w:val="18"/>
              </w:rPr>
              <w:t>W innych chorobach objętych MZ-56</w:t>
            </w:r>
          </w:p>
        </w:tc>
        <w:tc>
          <w:tcPr>
            <w:tcW w:w="727" w:type="dxa"/>
            <w:vAlign w:val="center"/>
          </w:tcPr>
          <w:p w14:paraId="2B40FE03" w14:textId="77777777" w:rsidR="00986DE0" w:rsidRPr="00B5088F" w:rsidRDefault="00986DE0" w:rsidP="003C7140">
            <w:pPr>
              <w:jc w:val="center"/>
              <w:rPr>
                <w:rFonts w:ascii="Lato" w:hAnsi="Lato" w:cstheme="minorHAnsi"/>
                <w:bCs/>
                <w:sz w:val="18"/>
                <w:szCs w:val="18"/>
              </w:rPr>
            </w:pPr>
            <w:r w:rsidRPr="00B5088F">
              <w:rPr>
                <w:sz w:val="18"/>
                <w:szCs w:val="18"/>
              </w:rPr>
              <w:t>54</w:t>
            </w:r>
          </w:p>
        </w:tc>
        <w:tc>
          <w:tcPr>
            <w:tcW w:w="660" w:type="dxa"/>
            <w:vAlign w:val="center"/>
          </w:tcPr>
          <w:p w14:paraId="775D8178" w14:textId="77777777" w:rsidR="00986DE0" w:rsidRPr="00B5088F" w:rsidRDefault="00986DE0" w:rsidP="003C7140">
            <w:pPr>
              <w:jc w:val="center"/>
              <w:rPr>
                <w:rFonts w:ascii="Lato" w:hAnsi="Lato" w:cstheme="minorHAnsi"/>
                <w:bCs/>
                <w:sz w:val="18"/>
                <w:szCs w:val="18"/>
              </w:rPr>
            </w:pPr>
            <w:r w:rsidRPr="00B5088F">
              <w:rPr>
                <w:sz w:val="18"/>
                <w:szCs w:val="18"/>
              </w:rPr>
              <w:t>0,14</w:t>
            </w:r>
          </w:p>
        </w:tc>
        <w:tc>
          <w:tcPr>
            <w:tcW w:w="739" w:type="dxa"/>
            <w:shd w:val="clear" w:color="auto" w:fill="FFFFFF" w:themeFill="background1"/>
            <w:vAlign w:val="center"/>
          </w:tcPr>
          <w:p w14:paraId="593CC444" w14:textId="77777777" w:rsidR="00986DE0" w:rsidRPr="00B5088F" w:rsidRDefault="00986DE0" w:rsidP="003C7140">
            <w:pPr>
              <w:jc w:val="center"/>
              <w:rPr>
                <w:rFonts w:ascii="Lato" w:hAnsi="Lato" w:cstheme="minorHAnsi"/>
                <w:b/>
                <w:sz w:val="18"/>
                <w:szCs w:val="18"/>
              </w:rPr>
            </w:pPr>
            <w:r w:rsidRPr="00B5088F">
              <w:rPr>
                <w:sz w:val="18"/>
                <w:szCs w:val="18"/>
              </w:rPr>
              <w:t>47</w:t>
            </w:r>
          </w:p>
        </w:tc>
        <w:tc>
          <w:tcPr>
            <w:tcW w:w="626" w:type="dxa"/>
            <w:vAlign w:val="center"/>
          </w:tcPr>
          <w:p w14:paraId="0B423F4C" w14:textId="77777777" w:rsidR="00986DE0" w:rsidRPr="00B5088F" w:rsidRDefault="00986DE0" w:rsidP="003C7140">
            <w:pPr>
              <w:jc w:val="center"/>
              <w:rPr>
                <w:rFonts w:ascii="Lato" w:hAnsi="Lato" w:cstheme="minorHAnsi"/>
                <w:b/>
                <w:sz w:val="18"/>
                <w:szCs w:val="18"/>
              </w:rPr>
            </w:pPr>
            <w:r w:rsidRPr="00B5088F">
              <w:rPr>
                <w:sz w:val="18"/>
                <w:szCs w:val="18"/>
              </w:rPr>
              <w:t>0,13</w:t>
            </w:r>
          </w:p>
        </w:tc>
        <w:tc>
          <w:tcPr>
            <w:tcW w:w="650" w:type="dxa"/>
            <w:vAlign w:val="center"/>
          </w:tcPr>
          <w:p w14:paraId="0782EAE1" w14:textId="77777777" w:rsidR="00986DE0" w:rsidRPr="00B5088F" w:rsidRDefault="00986DE0" w:rsidP="003C7140">
            <w:pPr>
              <w:jc w:val="center"/>
              <w:rPr>
                <w:rFonts w:ascii="Lato" w:hAnsi="Lato" w:cstheme="minorHAnsi"/>
                <w:bCs/>
                <w:sz w:val="18"/>
                <w:szCs w:val="18"/>
              </w:rPr>
            </w:pPr>
            <w:r w:rsidRPr="00B5088F">
              <w:rPr>
                <w:sz w:val="18"/>
                <w:szCs w:val="18"/>
              </w:rPr>
              <w:t>1</w:t>
            </w:r>
          </w:p>
        </w:tc>
        <w:tc>
          <w:tcPr>
            <w:tcW w:w="626" w:type="dxa"/>
            <w:vAlign w:val="center"/>
          </w:tcPr>
          <w:p w14:paraId="447969EB" w14:textId="77777777" w:rsidR="00986DE0" w:rsidRPr="00B5088F" w:rsidRDefault="00986DE0" w:rsidP="003C7140">
            <w:pPr>
              <w:jc w:val="center"/>
              <w:rPr>
                <w:rFonts w:ascii="Lato" w:hAnsi="Lato" w:cstheme="minorHAnsi"/>
                <w:bCs/>
                <w:sz w:val="18"/>
                <w:szCs w:val="18"/>
              </w:rPr>
            </w:pPr>
            <w:r w:rsidRPr="00B5088F">
              <w:rPr>
                <w:sz w:val="18"/>
                <w:szCs w:val="18"/>
              </w:rPr>
              <w:t>0,06</w:t>
            </w:r>
          </w:p>
        </w:tc>
        <w:tc>
          <w:tcPr>
            <w:tcW w:w="650" w:type="dxa"/>
            <w:shd w:val="clear" w:color="auto" w:fill="FFFFFF" w:themeFill="background1"/>
            <w:vAlign w:val="center"/>
          </w:tcPr>
          <w:p w14:paraId="00E12E59" w14:textId="77777777" w:rsidR="00986DE0" w:rsidRPr="00B5088F" w:rsidRDefault="00986DE0" w:rsidP="003C7140">
            <w:pPr>
              <w:jc w:val="center"/>
              <w:rPr>
                <w:rFonts w:ascii="Lato" w:hAnsi="Lato" w:cstheme="minorHAnsi"/>
                <w:b/>
                <w:bCs/>
                <w:sz w:val="18"/>
                <w:szCs w:val="18"/>
              </w:rPr>
            </w:pPr>
            <w:r w:rsidRPr="00B5088F">
              <w:rPr>
                <w:b/>
                <w:bCs/>
                <w:sz w:val="18"/>
                <w:szCs w:val="18"/>
              </w:rPr>
              <w:t>0</w:t>
            </w:r>
          </w:p>
        </w:tc>
        <w:tc>
          <w:tcPr>
            <w:tcW w:w="625" w:type="dxa"/>
            <w:vAlign w:val="center"/>
          </w:tcPr>
          <w:p w14:paraId="59BBB4DE" w14:textId="77777777" w:rsidR="00986DE0" w:rsidRPr="00B5088F" w:rsidRDefault="00986DE0" w:rsidP="003C7140">
            <w:pPr>
              <w:jc w:val="center"/>
              <w:rPr>
                <w:rFonts w:ascii="Lato" w:hAnsi="Lato" w:cstheme="minorHAnsi"/>
                <w:b/>
                <w:bCs/>
                <w:sz w:val="18"/>
                <w:szCs w:val="18"/>
              </w:rPr>
            </w:pPr>
            <w:r w:rsidRPr="00B5088F">
              <w:rPr>
                <w:b/>
                <w:bCs/>
                <w:sz w:val="18"/>
                <w:szCs w:val="18"/>
              </w:rPr>
              <w:t>-</w:t>
            </w:r>
          </w:p>
        </w:tc>
      </w:tr>
      <w:tr w:rsidR="00986DE0" w:rsidRPr="00541858" w14:paraId="7ACB4DAF" w14:textId="77777777" w:rsidTr="003C7140">
        <w:trPr>
          <w:trHeight w:val="334"/>
          <w:jc w:val="center"/>
        </w:trPr>
        <w:tc>
          <w:tcPr>
            <w:tcW w:w="3681" w:type="dxa"/>
            <w:vAlign w:val="center"/>
          </w:tcPr>
          <w:p w14:paraId="2922A0D5" w14:textId="77777777" w:rsidR="00986DE0" w:rsidRPr="00B5088F" w:rsidRDefault="00986DE0" w:rsidP="003C7140">
            <w:pPr>
              <w:rPr>
                <w:rFonts w:ascii="Lato" w:hAnsi="Lato" w:cstheme="minorHAnsi"/>
                <w:b/>
                <w:sz w:val="18"/>
                <w:szCs w:val="18"/>
              </w:rPr>
            </w:pPr>
            <w:r w:rsidRPr="00B5088F">
              <w:rPr>
                <w:rFonts w:ascii="Lato" w:hAnsi="Lato" w:cstheme="minorHAnsi"/>
                <w:b/>
                <w:sz w:val="18"/>
                <w:szCs w:val="18"/>
              </w:rPr>
              <w:t>Razem:</w:t>
            </w:r>
          </w:p>
        </w:tc>
        <w:tc>
          <w:tcPr>
            <w:tcW w:w="727" w:type="dxa"/>
            <w:vAlign w:val="center"/>
          </w:tcPr>
          <w:p w14:paraId="3080C141" w14:textId="77777777" w:rsidR="00986DE0" w:rsidRPr="00B5088F" w:rsidRDefault="00986DE0" w:rsidP="003C7140">
            <w:pPr>
              <w:jc w:val="center"/>
              <w:rPr>
                <w:rFonts w:ascii="Lato" w:hAnsi="Lato" w:cstheme="minorHAnsi"/>
                <w:bCs/>
                <w:sz w:val="18"/>
                <w:szCs w:val="18"/>
              </w:rPr>
            </w:pPr>
            <w:r w:rsidRPr="00B5088F">
              <w:rPr>
                <w:sz w:val="18"/>
                <w:szCs w:val="18"/>
              </w:rPr>
              <w:t>1156</w:t>
            </w:r>
          </w:p>
        </w:tc>
        <w:tc>
          <w:tcPr>
            <w:tcW w:w="660" w:type="dxa"/>
            <w:vAlign w:val="center"/>
          </w:tcPr>
          <w:p w14:paraId="5682A517" w14:textId="77777777" w:rsidR="00986DE0" w:rsidRPr="00B5088F" w:rsidRDefault="00986DE0" w:rsidP="003C7140">
            <w:pPr>
              <w:jc w:val="center"/>
              <w:rPr>
                <w:rFonts w:ascii="Lato" w:hAnsi="Lato" w:cstheme="minorHAnsi"/>
                <w:bCs/>
                <w:sz w:val="18"/>
                <w:szCs w:val="18"/>
              </w:rPr>
            </w:pPr>
            <w:r w:rsidRPr="00B5088F">
              <w:rPr>
                <w:sz w:val="18"/>
                <w:szCs w:val="18"/>
              </w:rPr>
              <w:t>3,08</w:t>
            </w:r>
          </w:p>
        </w:tc>
        <w:tc>
          <w:tcPr>
            <w:tcW w:w="739" w:type="dxa"/>
            <w:shd w:val="clear" w:color="auto" w:fill="FFFFFF" w:themeFill="background1"/>
            <w:vAlign w:val="center"/>
          </w:tcPr>
          <w:p w14:paraId="6D045252" w14:textId="77777777" w:rsidR="00986DE0" w:rsidRPr="00B5088F" w:rsidRDefault="00986DE0" w:rsidP="003C7140">
            <w:pPr>
              <w:jc w:val="center"/>
              <w:rPr>
                <w:rFonts w:ascii="Lato" w:hAnsi="Lato" w:cstheme="minorHAnsi"/>
                <w:b/>
                <w:sz w:val="18"/>
                <w:szCs w:val="18"/>
              </w:rPr>
            </w:pPr>
            <w:r w:rsidRPr="00B5088F">
              <w:rPr>
                <w:sz w:val="18"/>
                <w:szCs w:val="18"/>
              </w:rPr>
              <w:t>1349</w:t>
            </w:r>
          </w:p>
        </w:tc>
        <w:tc>
          <w:tcPr>
            <w:tcW w:w="626" w:type="dxa"/>
            <w:vAlign w:val="center"/>
          </w:tcPr>
          <w:p w14:paraId="59D7145D" w14:textId="77777777" w:rsidR="00986DE0" w:rsidRPr="00B5088F" w:rsidRDefault="00986DE0" w:rsidP="003C7140">
            <w:pPr>
              <w:jc w:val="center"/>
              <w:rPr>
                <w:rFonts w:ascii="Lato" w:hAnsi="Lato" w:cstheme="minorHAnsi"/>
                <w:b/>
                <w:sz w:val="18"/>
                <w:szCs w:val="18"/>
              </w:rPr>
            </w:pPr>
            <w:r w:rsidRPr="00B5088F">
              <w:rPr>
                <w:sz w:val="18"/>
                <w:szCs w:val="18"/>
              </w:rPr>
              <w:t>3,60</w:t>
            </w:r>
          </w:p>
        </w:tc>
        <w:tc>
          <w:tcPr>
            <w:tcW w:w="650" w:type="dxa"/>
            <w:vAlign w:val="center"/>
          </w:tcPr>
          <w:p w14:paraId="2B35284D" w14:textId="77777777" w:rsidR="00986DE0" w:rsidRPr="00B5088F" w:rsidRDefault="00986DE0" w:rsidP="003C7140">
            <w:pPr>
              <w:jc w:val="center"/>
              <w:rPr>
                <w:rFonts w:ascii="Lato" w:hAnsi="Lato" w:cstheme="minorHAnsi"/>
                <w:bCs/>
                <w:sz w:val="18"/>
                <w:szCs w:val="18"/>
              </w:rPr>
            </w:pPr>
            <w:r w:rsidRPr="00B5088F">
              <w:rPr>
                <w:sz w:val="18"/>
                <w:szCs w:val="18"/>
              </w:rPr>
              <w:t>50</w:t>
            </w:r>
          </w:p>
        </w:tc>
        <w:tc>
          <w:tcPr>
            <w:tcW w:w="626" w:type="dxa"/>
            <w:vAlign w:val="center"/>
          </w:tcPr>
          <w:p w14:paraId="3157D6C2" w14:textId="77777777" w:rsidR="00986DE0" w:rsidRPr="00B5088F" w:rsidRDefault="00986DE0" w:rsidP="003C7140">
            <w:pPr>
              <w:jc w:val="center"/>
              <w:rPr>
                <w:rFonts w:ascii="Lato" w:hAnsi="Lato" w:cstheme="minorHAnsi"/>
                <w:bCs/>
                <w:sz w:val="18"/>
                <w:szCs w:val="18"/>
              </w:rPr>
            </w:pPr>
            <w:r w:rsidRPr="00B5088F">
              <w:rPr>
                <w:sz w:val="18"/>
                <w:szCs w:val="18"/>
              </w:rPr>
              <w:t>3,06</w:t>
            </w:r>
          </w:p>
        </w:tc>
        <w:tc>
          <w:tcPr>
            <w:tcW w:w="650" w:type="dxa"/>
            <w:shd w:val="clear" w:color="auto" w:fill="FFFFFF" w:themeFill="background1"/>
            <w:vAlign w:val="center"/>
          </w:tcPr>
          <w:p w14:paraId="11D6A094" w14:textId="77777777" w:rsidR="00986DE0" w:rsidRPr="00B5088F" w:rsidRDefault="00986DE0" w:rsidP="003C7140">
            <w:pPr>
              <w:jc w:val="center"/>
              <w:rPr>
                <w:rFonts w:ascii="Lato" w:hAnsi="Lato" w:cstheme="minorHAnsi"/>
                <w:b/>
                <w:bCs/>
                <w:sz w:val="18"/>
                <w:szCs w:val="18"/>
              </w:rPr>
            </w:pPr>
            <w:r w:rsidRPr="00B5088F">
              <w:rPr>
                <w:b/>
                <w:bCs/>
                <w:sz w:val="18"/>
                <w:szCs w:val="18"/>
              </w:rPr>
              <w:t>66</w:t>
            </w:r>
          </w:p>
        </w:tc>
        <w:tc>
          <w:tcPr>
            <w:tcW w:w="625" w:type="dxa"/>
            <w:vAlign w:val="center"/>
          </w:tcPr>
          <w:p w14:paraId="71DB07E8" w14:textId="77777777" w:rsidR="00986DE0" w:rsidRPr="00B5088F" w:rsidRDefault="00986DE0" w:rsidP="003C7140">
            <w:pPr>
              <w:jc w:val="center"/>
              <w:rPr>
                <w:rFonts w:ascii="Lato" w:hAnsi="Lato" w:cstheme="minorHAnsi"/>
                <w:b/>
                <w:bCs/>
                <w:sz w:val="18"/>
                <w:szCs w:val="18"/>
              </w:rPr>
            </w:pPr>
            <w:r w:rsidRPr="00B5088F">
              <w:rPr>
                <w:b/>
                <w:bCs/>
                <w:sz w:val="18"/>
                <w:szCs w:val="18"/>
              </w:rPr>
              <w:t>4,08</w:t>
            </w:r>
          </w:p>
        </w:tc>
      </w:tr>
    </w:tbl>
    <w:p w14:paraId="4F838838" w14:textId="77777777" w:rsidR="00C92B81" w:rsidRDefault="00C92B81" w:rsidP="002060E8">
      <w:pPr>
        <w:tabs>
          <w:tab w:val="left" w:pos="993"/>
        </w:tabs>
        <w:spacing w:line="360" w:lineRule="auto"/>
        <w:jc w:val="both"/>
        <w:rPr>
          <w:rFonts w:ascii="Lato" w:hAnsi="Lato"/>
          <w:b/>
          <w:bCs/>
          <w:sz w:val="22"/>
          <w:szCs w:val="22"/>
        </w:rPr>
      </w:pPr>
    </w:p>
    <w:p w14:paraId="64701CE5" w14:textId="2D6324B2" w:rsidR="00986DE0" w:rsidRPr="003818A5" w:rsidRDefault="00986DE0" w:rsidP="002060E8">
      <w:pPr>
        <w:tabs>
          <w:tab w:val="left" w:pos="993"/>
        </w:tabs>
        <w:spacing w:line="360" w:lineRule="auto"/>
        <w:jc w:val="both"/>
        <w:rPr>
          <w:rFonts w:ascii="Lato" w:hAnsi="Lato"/>
          <w:sz w:val="22"/>
          <w:szCs w:val="22"/>
          <w:u w:val="single"/>
        </w:rPr>
      </w:pPr>
      <w:r w:rsidRPr="003818A5">
        <w:rPr>
          <w:rFonts w:ascii="Lato" w:hAnsi="Lato"/>
          <w:sz w:val="22"/>
          <w:szCs w:val="22"/>
          <w:u w:val="single"/>
        </w:rPr>
        <w:t>Wirusowe zapalenie opon mózgowych</w:t>
      </w:r>
    </w:p>
    <w:p w14:paraId="3C1173CE" w14:textId="18FCD807" w:rsidR="00986DE0" w:rsidRPr="005170BB" w:rsidRDefault="00986DE0" w:rsidP="002060E8">
      <w:pPr>
        <w:tabs>
          <w:tab w:val="left" w:pos="993"/>
        </w:tabs>
        <w:spacing w:line="360" w:lineRule="auto"/>
        <w:rPr>
          <w:rFonts w:ascii="Lato" w:hAnsi="Lato"/>
          <w:sz w:val="22"/>
          <w:szCs w:val="22"/>
        </w:rPr>
      </w:pPr>
      <w:r w:rsidRPr="005170BB">
        <w:rPr>
          <w:rFonts w:ascii="Lato" w:hAnsi="Lato"/>
          <w:sz w:val="22"/>
          <w:szCs w:val="22"/>
        </w:rPr>
        <w:t>W 2025 roku w woj. zachodniopomorskim zarejestrowano 28 przypadków zachorowań na</w:t>
      </w:r>
      <w:r w:rsidR="00E63C92">
        <w:rPr>
          <w:rFonts w:ascii="Lato" w:hAnsi="Lato"/>
          <w:sz w:val="22"/>
          <w:szCs w:val="22"/>
        </w:rPr>
        <w:t> </w:t>
      </w:r>
      <w:r w:rsidRPr="005170BB">
        <w:rPr>
          <w:rFonts w:ascii="Lato" w:hAnsi="Lato"/>
          <w:sz w:val="22"/>
          <w:szCs w:val="22"/>
        </w:rPr>
        <w:t>wirusowe zapalenie opon mózgowych i mózgu co stanowi ok. 1,5 krotny spadek w stosunku do</w:t>
      </w:r>
      <w:r w:rsidR="00E63C92">
        <w:rPr>
          <w:rFonts w:ascii="Lato" w:hAnsi="Lato"/>
          <w:sz w:val="22"/>
          <w:szCs w:val="22"/>
        </w:rPr>
        <w:t> </w:t>
      </w:r>
      <w:r w:rsidRPr="005170BB">
        <w:rPr>
          <w:rFonts w:ascii="Lato" w:hAnsi="Lato"/>
          <w:sz w:val="22"/>
          <w:szCs w:val="22"/>
        </w:rPr>
        <w:t>roku ubiegłego. Współczynnik zapadalności wynosił 1,73 na 100 tys. mieszkańców i był zbliżony do współczynnika zapadalności w Polsce.</w:t>
      </w:r>
    </w:p>
    <w:p w14:paraId="04946DEC" w14:textId="77777777" w:rsidR="00986DE0" w:rsidRPr="003818A5" w:rsidRDefault="00986DE0" w:rsidP="002060E8">
      <w:pPr>
        <w:tabs>
          <w:tab w:val="left" w:pos="993"/>
        </w:tabs>
        <w:spacing w:line="360" w:lineRule="auto"/>
        <w:jc w:val="both"/>
        <w:rPr>
          <w:rFonts w:ascii="Lato" w:hAnsi="Lato"/>
          <w:sz w:val="22"/>
          <w:szCs w:val="22"/>
          <w:u w:val="single"/>
        </w:rPr>
      </w:pPr>
      <w:r w:rsidRPr="003818A5">
        <w:rPr>
          <w:rFonts w:ascii="Lato" w:hAnsi="Lato"/>
          <w:sz w:val="22"/>
          <w:szCs w:val="22"/>
          <w:u w:val="single"/>
        </w:rPr>
        <w:t>Wirusowe zapalenie mózgu</w:t>
      </w:r>
    </w:p>
    <w:p w14:paraId="1D5C2BD7" w14:textId="740A96A4" w:rsidR="00C92B81" w:rsidRDefault="00986DE0" w:rsidP="002060E8">
      <w:pPr>
        <w:tabs>
          <w:tab w:val="left" w:pos="993"/>
        </w:tabs>
        <w:spacing w:line="360" w:lineRule="auto"/>
        <w:rPr>
          <w:rFonts w:ascii="Lato" w:hAnsi="Lato"/>
          <w:sz w:val="22"/>
          <w:szCs w:val="22"/>
        </w:rPr>
      </w:pPr>
      <w:r w:rsidRPr="005170BB">
        <w:rPr>
          <w:rFonts w:ascii="Lato" w:hAnsi="Lato"/>
          <w:sz w:val="22"/>
          <w:szCs w:val="22"/>
        </w:rPr>
        <w:t>W 2025 roku w woj. zachodniopomorskim zarejestrowano 14 zachorowań na zapalenie mózgu o etiologii wirusowej (współczynnik zapadalności 0,87 na 100 tys. mieszkańców), z których 6 stanowiło kleszczowe zapalenie mózgu. Współczynnik zapadalności na tę jednostkę chorobową był ponad 6-krotnie niższy niż w Polsce.</w:t>
      </w:r>
    </w:p>
    <w:p w14:paraId="62DEF555" w14:textId="77777777" w:rsidR="00C92B81" w:rsidRPr="005170BB" w:rsidRDefault="00C92B81" w:rsidP="002060E8">
      <w:pPr>
        <w:tabs>
          <w:tab w:val="left" w:pos="993"/>
        </w:tabs>
        <w:spacing w:line="360" w:lineRule="auto"/>
        <w:rPr>
          <w:rFonts w:ascii="Lato" w:hAnsi="Lato"/>
          <w:sz w:val="22"/>
          <w:szCs w:val="22"/>
        </w:rPr>
      </w:pPr>
    </w:p>
    <w:p w14:paraId="1C927C9F" w14:textId="5B954F61" w:rsidR="00986DE0" w:rsidRDefault="00986DE0">
      <w:pPr>
        <w:pStyle w:val="Nagwek3"/>
        <w:numPr>
          <w:ilvl w:val="1"/>
          <w:numId w:val="9"/>
        </w:numPr>
        <w:spacing w:before="0" w:after="0" w:line="360" w:lineRule="auto"/>
        <w:ind w:right="284" w:hanging="284"/>
        <w:rPr>
          <w:color w:val="auto"/>
          <w:szCs w:val="22"/>
        </w:rPr>
      </w:pPr>
      <w:bookmarkStart w:id="32" w:name="_Toc225235847"/>
      <w:bookmarkStart w:id="33" w:name="_Toc225859034"/>
      <w:r w:rsidRPr="00892F8A">
        <w:rPr>
          <w:color w:val="auto"/>
          <w:szCs w:val="22"/>
        </w:rPr>
        <w:t>Inwazyjna choroba meningokokowa</w:t>
      </w:r>
      <w:bookmarkEnd w:id="32"/>
      <w:bookmarkEnd w:id="33"/>
    </w:p>
    <w:p w14:paraId="303A3632" w14:textId="77777777" w:rsidR="00A619C4" w:rsidRPr="00A619C4" w:rsidRDefault="00A619C4" w:rsidP="00A619C4">
      <w:pPr>
        <w:rPr>
          <w:rFonts w:ascii="Lato" w:hAnsi="Lato"/>
          <w:sz w:val="22"/>
          <w:szCs w:val="22"/>
        </w:rPr>
      </w:pPr>
    </w:p>
    <w:p w14:paraId="3AC3A1ED" w14:textId="77777777" w:rsidR="00986DE0" w:rsidRPr="005170BB" w:rsidRDefault="00986DE0" w:rsidP="002060E8">
      <w:pPr>
        <w:spacing w:line="360" w:lineRule="auto"/>
        <w:rPr>
          <w:rFonts w:ascii="Lato" w:hAnsi="Lato"/>
          <w:sz w:val="22"/>
          <w:szCs w:val="22"/>
        </w:rPr>
      </w:pPr>
      <w:r w:rsidRPr="005170BB">
        <w:rPr>
          <w:rFonts w:ascii="Lato" w:hAnsi="Lato"/>
          <w:sz w:val="22"/>
          <w:szCs w:val="22"/>
        </w:rPr>
        <w:t xml:space="preserve">Inwazyjna choroba meningokokowa (ICHM) jest wywołana przez dwoinkę zapalenia opon mózgowych </w:t>
      </w:r>
      <w:proofErr w:type="spellStart"/>
      <w:r w:rsidRPr="005170BB">
        <w:rPr>
          <w:rFonts w:ascii="Lato" w:hAnsi="Lato"/>
          <w:sz w:val="22"/>
          <w:szCs w:val="22"/>
        </w:rPr>
        <w:t>Neisseria</w:t>
      </w:r>
      <w:proofErr w:type="spellEnd"/>
      <w:r w:rsidRPr="005170BB">
        <w:rPr>
          <w:rFonts w:ascii="Lato" w:hAnsi="Lato"/>
          <w:sz w:val="22"/>
          <w:szCs w:val="22"/>
        </w:rPr>
        <w:t xml:space="preserve"> </w:t>
      </w:r>
      <w:proofErr w:type="spellStart"/>
      <w:r w:rsidRPr="005170BB">
        <w:rPr>
          <w:rFonts w:ascii="Lato" w:hAnsi="Lato"/>
          <w:sz w:val="22"/>
          <w:szCs w:val="22"/>
        </w:rPr>
        <w:t>meningitidis</w:t>
      </w:r>
      <w:proofErr w:type="spellEnd"/>
      <w:r w:rsidRPr="005170BB">
        <w:rPr>
          <w:rFonts w:ascii="Lato" w:hAnsi="Lato"/>
          <w:sz w:val="22"/>
          <w:szCs w:val="22"/>
        </w:rPr>
        <w:t>. Rozróżnia się 13 typów serologicznych tej bakterii, z których A, B, C, Y oraz W odpowiadają za większość przypadków zachorowań.</w:t>
      </w:r>
    </w:p>
    <w:p w14:paraId="7E27C37B" w14:textId="22700518" w:rsidR="00986DE0" w:rsidRDefault="00986DE0" w:rsidP="002060E8">
      <w:pPr>
        <w:spacing w:line="360" w:lineRule="auto"/>
        <w:rPr>
          <w:rFonts w:ascii="Lato" w:hAnsi="Lato"/>
          <w:sz w:val="22"/>
          <w:szCs w:val="22"/>
        </w:rPr>
      </w:pPr>
      <w:r w:rsidRPr="005170BB">
        <w:rPr>
          <w:rFonts w:ascii="Lato" w:hAnsi="Lato"/>
          <w:sz w:val="22"/>
          <w:szCs w:val="22"/>
        </w:rPr>
        <w:t xml:space="preserve">W niektórych przypadkach przebieg zachorowań jest piorunujący i kończy się zgonem, stąd każde podejrzenie zachorowania traktowane jest jak zagrożenie życia i wymaga również podjęcia działań przeciwepidemicznych ze strony organów Państwowej Inspekcji Sanitarnej. </w:t>
      </w:r>
      <w:r w:rsidRPr="005170BB">
        <w:rPr>
          <w:rFonts w:ascii="Lato" w:hAnsi="Lato"/>
          <w:sz w:val="22"/>
          <w:szCs w:val="22"/>
        </w:rPr>
        <w:lastRenderedPageBreak/>
        <w:t>W  woj. zachodniopomorskim częstość występowania ICHM jest na ogół wyższa od średniej z  całego kraju (</w:t>
      </w:r>
      <w:r w:rsidR="00735FF4">
        <w:rPr>
          <w:rFonts w:ascii="Lato" w:hAnsi="Lato"/>
          <w:sz w:val="22"/>
          <w:szCs w:val="22"/>
        </w:rPr>
        <w:t>wyk</w:t>
      </w:r>
      <w:r w:rsidR="00E32284">
        <w:rPr>
          <w:rFonts w:ascii="Lato" w:hAnsi="Lato"/>
          <w:sz w:val="22"/>
          <w:szCs w:val="22"/>
        </w:rPr>
        <w:t>res</w:t>
      </w:r>
      <w:r w:rsidRPr="005170BB">
        <w:rPr>
          <w:rFonts w:ascii="Lato" w:hAnsi="Lato"/>
          <w:sz w:val="22"/>
          <w:szCs w:val="22"/>
        </w:rPr>
        <w:t xml:space="preserve"> 3).</w:t>
      </w:r>
    </w:p>
    <w:p w14:paraId="49E8DCE8" w14:textId="77777777" w:rsidR="002060E8" w:rsidRPr="005170BB" w:rsidRDefault="002060E8" w:rsidP="002060E8">
      <w:pPr>
        <w:spacing w:line="360" w:lineRule="auto"/>
        <w:rPr>
          <w:rFonts w:ascii="Lato" w:hAnsi="Lato"/>
          <w:sz w:val="22"/>
          <w:szCs w:val="22"/>
        </w:rPr>
      </w:pPr>
    </w:p>
    <w:p w14:paraId="295A4416" w14:textId="5A8606A9" w:rsidR="003F7B79" w:rsidRPr="003F7B79" w:rsidRDefault="003F7B79" w:rsidP="003F7B79">
      <w:pPr>
        <w:pStyle w:val="Legenda"/>
        <w:rPr>
          <w:rFonts w:ascii="Lato" w:hAnsi="Lato"/>
          <w:b w:val="0"/>
          <w:bCs w:val="0"/>
          <w:sz w:val="18"/>
          <w:szCs w:val="18"/>
        </w:rPr>
      </w:pPr>
      <w:bookmarkStart w:id="34" w:name="_Toc225495695"/>
      <w:bookmarkStart w:id="35" w:name="_Toc225859345"/>
      <w:bookmarkStart w:id="36" w:name="_Toc225922348"/>
      <w:r w:rsidRPr="003F7B79">
        <w:rPr>
          <w:rFonts w:ascii="Lato" w:hAnsi="Lato"/>
          <w:b w:val="0"/>
          <w:bCs w:val="0"/>
          <w:sz w:val="18"/>
          <w:szCs w:val="18"/>
        </w:rPr>
        <w:t xml:space="preserve">Wykres  </w:t>
      </w:r>
      <w:r w:rsidRPr="003F7B79">
        <w:rPr>
          <w:rFonts w:ascii="Lato" w:hAnsi="Lato"/>
          <w:b w:val="0"/>
          <w:bCs w:val="0"/>
          <w:sz w:val="18"/>
          <w:szCs w:val="18"/>
        </w:rPr>
        <w:fldChar w:fldCharType="begin"/>
      </w:r>
      <w:r w:rsidRPr="003F7B79">
        <w:rPr>
          <w:rFonts w:ascii="Lato" w:hAnsi="Lato"/>
          <w:b w:val="0"/>
          <w:bCs w:val="0"/>
          <w:sz w:val="18"/>
          <w:szCs w:val="18"/>
        </w:rPr>
        <w:instrText xml:space="preserve"> SEQ Wykres_ \* ARABIC </w:instrText>
      </w:r>
      <w:r w:rsidRPr="003F7B79">
        <w:rPr>
          <w:rFonts w:ascii="Lato" w:hAnsi="Lato"/>
          <w:b w:val="0"/>
          <w:bCs w:val="0"/>
          <w:sz w:val="18"/>
          <w:szCs w:val="18"/>
        </w:rPr>
        <w:fldChar w:fldCharType="separate"/>
      </w:r>
      <w:r w:rsidR="002A3179">
        <w:rPr>
          <w:rFonts w:ascii="Lato" w:hAnsi="Lato"/>
          <w:b w:val="0"/>
          <w:bCs w:val="0"/>
          <w:noProof/>
          <w:sz w:val="18"/>
          <w:szCs w:val="18"/>
        </w:rPr>
        <w:t>3</w:t>
      </w:r>
      <w:r w:rsidRPr="003F7B79">
        <w:rPr>
          <w:rFonts w:ascii="Lato" w:hAnsi="Lato"/>
          <w:b w:val="0"/>
          <w:bCs w:val="0"/>
          <w:sz w:val="18"/>
          <w:szCs w:val="18"/>
        </w:rPr>
        <w:fldChar w:fldCharType="end"/>
      </w:r>
      <w:r w:rsidRPr="003F7B79">
        <w:rPr>
          <w:rFonts w:ascii="Lato" w:hAnsi="Lato"/>
          <w:b w:val="0"/>
          <w:bCs w:val="0"/>
          <w:sz w:val="18"/>
          <w:szCs w:val="18"/>
        </w:rPr>
        <w:t>. Współczynnik zapadalności na ICHM w Polsce i w woj. zachodniopomorskim w latach 2021-2025.</w:t>
      </w:r>
      <w:bookmarkEnd w:id="34"/>
      <w:bookmarkEnd w:id="35"/>
      <w:bookmarkEnd w:id="36"/>
    </w:p>
    <w:p w14:paraId="1B84D2B2" w14:textId="77777777" w:rsidR="00986DE0" w:rsidRPr="004B2BBB" w:rsidRDefault="00986DE0" w:rsidP="00986DE0">
      <w:pPr>
        <w:spacing w:before="240" w:line="276" w:lineRule="auto"/>
        <w:jc w:val="both"/>
        <w:rPr>
          <w:color w:val="EE0000"/>
        </w:rPr>
      </w:pPr>
      <w:r w:rsidRPr="004B2BBB">
        <w:rPr>
          <w:noProof/>
          <w:color w:val="EE0000"/>
        </w:rPr>
        <w:drawing>
          <wp:inline distT="0" distB="0" distL="0" distR="0" wp14:anchorId="41822089" wp14:editId="58EF791F">
            <wp:extent cx="5562600" cy="3209925"/>
            <wp:effectExtent l="0" t="0" r="0" b="9525"/>
            <wp:docPr id="155684407" name="Wykres 155684407" descr="Współczynnik zapadalności na ICHM w Polsce i w woj. zachodniopomorskim w latach 2021-2025. W 2025 współczynnik zapadalności odnotowany dla województwa zachodniopomorskiego wynosił 1,3, natomiast dla całego kraju 0,51.">
              <a:extLst xmlns:a="http://schemas.openxmlformats.org/drawingml/2006/main">
                <a:ext uri="{FF2B5EF4-FFF2-40B4-BE49-F238E27FC236}">
                  <a16:creationId xmlns:a16="http://schemas.microsoft.com/office/drawing/2014/main" id="{BBB5BDE7-A4F4-CCC3-5BC5-D9795EEB35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D5EB65" w14:textId="77777777" w:rsidR="00BF45B9" w:rsidRDefault="00BF45B9" w:rsidP="002060E8">
      <w:pPr>
        <w:spacing w:line="360" w:lineRule="auto"/>
        <w:rPr>
          <w:rFonts w:ascii="Lato" w:hAnsi="Lato"/>
          <w:sz w:val="22"/>
          <w:szCs w:val="22"/>
        </w:rPr>
      </w:pPr>
    </w:p>
    <w:p w14:paraId="5193B408" w14:textId="1FB79B84" w:rsidR="00986DE0" w:rsidRPr="005170BB" w:rsidRDefault="00986DE0" w:rsidP="002060E8">
      <w:pPr>
        <w:spacing w:line="360" w:lineRule="auto"/>
        <w:rPr>
          <w:rFonts w:ascii="Lato" w:hAnsi="Lato"/>
          <w:sz w:val="22"/>
          <w:szCs w:val="22"/>
        </w:rPr>
      </w:pPr>
      <w:r w:rsidRPr="005170BB">
        <w:rPr>
          <w:rFonts w:ascii="Lato" w:hAnsi="Lato"/>
          <w:sz w:val="22"/>
          <w:szCs w:val="22"/>
        </w:rPr>
        <w:t>W woj. zachodniopomorskim w 2025 roku odnotowano 21 przypadków ICHM, tj. o 40% więcej niż w roku ubiegłym. Choroba dotyczyła osób w wieku od 4 miesięcy do 83 lat. W 7 przypadkach choroba przebiegała pod postacią zapalenia opon mózgowo-rdzeniowych (ZOMR), w 12 przypadkach pod postacią posocznicy a w 2 przypadkach pod postacią ZOMR i posocznicy. Jeden przypadek zachorowania zakończył się zgonem.</w:t>
      </w:r>
    </w:p>
    <w:p w14:paraId="279954A3" w14:textId="56BA0878" w:rsidR="002060E8" w:rsidRPr="005170BB" w:rsidRDefault="00986DE0" w:rsidP="002060E8">
      <w:pPr>
        <w:spacing w:line="360" w:lineRule="auto"/>
        <w:rPr>
          <w:rFonts w:ascii="Lato" w:hAnsi="Lato"/>
          <w:sz w:val="22"/>
          <w:szCs w:val="22"/>
        </w:rPr>
      </w:pPr>
      <w:r w:rsidRPr="005170BB">
        <w:rPr>
          <w:rFonts w:ascii="Lato" w:hAnsi="Lato"/>
          <w:sz w:val="22"/>
          <w:szCs w:val="22"/>
        </w:rPr>
        <w:t xml:space="preserve">Wszystkie zachorowania w 2025 roku objęto nadzorem epidemiologicznym. Osobom z najbliższego otoczenia chorych wdrożono niezwłocznie </w:t>
      </w:r>
      <w:proofErr w:type="spellStart"/>
      <w:r w:rsidRPr="005170BB">
        <w:rPr>
          <w:rFonts w:ascii="Lato" w:hAnsi="Lato"/>
          <w:sz w:val="22"/>
          <w:szCs w:val="22"/>
        </w:rPr>
        <w:t>chemioprofilaktykę</w:t>
      </w:r>
      <w:proofErr w:type="spellEnd"/>
      <w:r w:rsidRPr="005170BB">
        <w:rPr>
          <w:rFonts w:ascii="Lato" w:hAnsi="Lato"/>
          <w:sz w:val="22"/>
          <w:szCs w:val="22"/>
        </w:rPr>
        <w:t>, którą objęto łącznie 409 osób.</w:t>
      </w:r>
    </w:p>
    <w:p w14:paraId="45A629E7" w14:textId="77777777" w:rsidR="00766557" w:rsidRDefault="00766557" w:rsidP="0035744C">
      <w:pPr>
        <w:pStyle w:val="Legenda"/>
        <w:rPr>
          <w:rFonts w:ascii="Lato" w:hAnsi="Lato"/>
          <w:b w:val="0"/>
          <w:bCs w:val="0"/>
          <w:sz w:val="18"/>
          <w:szCs w:val="18"/>
        </w:rPr>
      </w:pPr>
    </w:p>
    <w:p w14:paraId="688C50B4" w14:textId="20A32558" w:rsidR="00986DE0" w:rsidRDefault="0035744C" w:rsidP="0035744C">
      <w:pPr>
        <w:pStyle w:val="Legenda"/>
        <w:rPr>
          <w:rFonts w:ascii="Lato" w:hAnsi="Lato"/>
          <w:b w:val="0"/>
          <w:bCs w:val="0"/>
          <w:sz w:val="18"/>
          <w:szCs w:val="18"/>
        </w:rPr>
      </w:pPr>
      <w:bookmarkStart w:id="37" w:name="_Toc225859365"/>
      <w:r w:rsidRPr="0035744C">
        <w:rPr>
          <w:rFonts w:ascii="Lato" w:hAnsi="Lato"/>
          <w:b w:val="0"/>
          <w:bCs w:val="0"/>
          <w:sz w:val="18"/>
          <w:szCs w:val="18"/>
        </w:rPr>
        <w:t xml:space="preserve">Tabela </w:t>
      </w:r>
      <w:r w:rsidRPr="0035744C">
        <w:rPr>
          <w:rFonts w:ascii="Lato" w:hAnsi="Lato"/>
          <w:b w:val="0"/>
          <w:bCs w:val="0"/>
          <w:sz w:val="18"/>
          <w:szCs w:val="18"/>
        </w:rPr>
        <w:fldChar w:fldCharType="begin"/>
      </w:r>
      <w:r w:rsidRPr="0035744C">
        <w:rPr>
          <w:rFonts w:ascii="Lato" w:hAnsi="Lato"/>
          <w:b w:val="0"/>
          <w:bCs w:val="0"/>
          <w:sz w:val="18"/>
          <w:szCs w:val="18"/>
        </w:rPr>
        <w:instrText xml:space="preserve"> SEQ Tabela \* ARABIC </w:instrText>
      </w:r>
      <w:r w:rsidRPr="0035744C">
        <w:rPr>
          <w:rFonts w:ascii="Lato" w:hAnsi="Lato"/>
          <w:b w:val="0"/>
          <w:bCs w:val="0"/>
          <w:sz w:val="18"/>
          <w:szCs w:val="18"/>
        </w:rPr>
        <w:fldChar w:fldCharType="separate"/>
      </w:r>
      <w:r w:rsidR="002A3179">
        <w:rPr>
          <w:rFonts w:ascii="Lato" w:hAnsi="Lato"/>
          <w:b w:val="0"/>
          <w:bCs w:val="0"/>
          <w:noProof/>
          <w:sz w:val="18"/>
          <w:szCs w:val="18"/>
        </w:rPr>
        <w:t>9</w:t>
      </w:r>
      <w:r w:rsidRPr="0035744C">
        <w:rPr>
          <w:rFonts w:ascii="Lato" w:hAnsi="Lato"/>
          <w:b w:val="0"/>
          <w:bCs w:val="0"/>
          <w:sz w:val="18"/>
          <w:szCs w:val="18"/>
        </w:rPr>
        <w:fldChar w:fldCharType="end"/>
      </w:r>
      <w:r w:rsidRPr="0035744C">
        <w:rPr>
          <w:rFonts w:ascii="Lato" w:hAnsi="Lato"/>
          <w:b w:val="0"/>
          <w:bCs w:val="0"/>
          <w:sz w:val="18"/>
          <w:szCs w:val="18"/>
        </w:rPr>
        <w:t>. Liczba zachorowań na inwazyjną chorobę meningokokową w latach 2021-2025 ze względu na etiologię.</w:t>
      </w:r>
      <w:bookmarkEnd w:id="37"/>
    </w:p>
    <w:p w14:paraId="6AE006B8" w14:textId="77777777" w:rsidR="00766557" w:rsidRPr="00766557" w:rsidRDefault="00766557" w:rsidP="00766557"/>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czba zachorowań na inwazyjną chorobę meningokokową w latach 2021-2025 ze względu na etiologię"/>
        <w:tblDescription w:val="Tabela przedstawia dane z zakresu liczby zachorowań na unwazyjną chorobę meningokokową na przestrzeni lat 2021-2025. W 2025 zauważono wzrost zachorowań (21 przypadków) w porównaniu do roku 2024 (15 przypadków)."/>
      </w:tblPr>
      <w:tblGrid>
        <w:gridCol w:w="143"/>
        <w:gridCol w:w="3130"/>
        <w:gridCol w:w="1147"/>
        <w:gridCol w:w="1147"/>
        <w:gridCol w:w="1147"/>
        <w:gridCol w:w="1147"/>
        <w:gridCol w:w="1146"/>
      </w:tblGrid>
      <w:tr w:rsidR="00986DE0" w:rsidRPr="00BB496D" w14:paraId="0A65A0E7" w14:textId="77777777" w:rsidTr="00130F95">
        <w:trPr>
          <w:gridBefore w:val="1"/>
          <w:wBefore w:w="79" w:type="pct"/>
          <w:jc w:val="center"/>
        </w:trPr>
        <w:tc>
          <w:tcPr>
            <w:tcW w:w="1736" w:type="pct"/>
            <w:tcBorders>
              <w:top w:val="nil"/>
              <w:left w:val="nil"/>
            </w:tcBorders>
            <w:shd w:val="clear" w:color="auto" w:fill="FFFFFF" w:themeFill="background1"/>
            <w:vAlign w:val="center"/>
          </w:tcPr>
          <w:p w14:paraId="6A010911" w14:textId="77777777" w:rsidR="00986DE0" w:rsidRPr="00BB496D" w:rsidRDefault="00986DE0" w:rsidP="003C7140">
            <w:pPr>
              <w:rPr>
                <w:rFonts w:ascii="Lato" w:hAnsi="Lato"/>
                <w:sz w:val="20"/>
                <w:szCs w:val="20"/>
              </w:rPr>
            </w:pPr>
            <w:bookmarkStart w:id="38" w:name="_Hlk102400703"/>
          </w:p>
        </w:tc>
        <w:tc>
          <w:tcPr>
            <w:tcW w:w="637" w:type="pct"/>
            <w:shd w:val="clear" w:color="auto" w:fill="D9D9D9" w:themeFill="background1" w:themeFillShade="D9"/>
            <w:vAlign w:val="center"/>
          </w:tcPr>
          <w:p w14:paraId="44C5BECC" w14:textId="77777777" w:rsidR="00986DE0" w:rsidRPr="00BB496D" w:rsidRDefault="00986DE0" w:rsidP="003C7140">
            <w:pPr>
              <w:jc w:val="center"/>
              <w:rPr>
                <w:rFonts w:ascii="Lato" w:hAnsi="Lato"/>
                <w:sz w:val="20"/>
                <w:szCs w:val="20"/>
              </w:rPr>
            </w:pPr>
            <w:r w:rsidRPr="00BB496D">
              <w:rPr>
                <w:rFonts w:ascii="Lato" w:hAnsi="Lato"/>
                <w:sz w:val="20"/>
                <w:szCs w:val="20"/>
              </w:rPr>
              <w:t>2021 r.</w:t>
            </w:r>
          </w:p>
        </w:tc>
        <w:tc>
          <w:tcPr>
            <w:tcW w:w="637" w:type="pct"/>
            <w:shd w:val="clear" w:color="auto" w:fill="D9D9D9" w:themeFill="background1" w:themeFillShade="D9"/>
            <w:vAlign w:val="center"/>
          </w:tcPr>
          <w:p w14:paraId="713567FB" w14:textId="77777777" w:rsidR="00986DE0" w:rsidRPr="00BB496D" w:rsidRDefault="00986DE0" w:rsidP="003C7140">
            <w:pPr>
              <w:jc w:val="center"/>
              <w:rPr>
                <w:rFonts w:ascii="Lato" w:hAnsi="Lato"/>
                <w:sz w:val="20"/>
                <w:szCs w:val="20"/>
              </w:rPr>
            </w:pPr>
            <w:r w:rsidRPr="00BB496D">
              <w:rPr>
                <w:rFonts w:ascii="Lato" w:hAnsi="Lato"/>
                <w:sz w:val="20"/>
                <w:szCs w:val="20"/>
              </w:rPr>
              <w:t>2022 r.</w:t>
            </w:r>
          </w:p>
        </w:tc>
        <w:tc>
          <w:tcPr>
            <w:tcW w:w="637" w:type="pct"/>
            <w:shd w:val="clear" w:color="auto" w:fill="D9D9D9" w:themeFill="background1" w:themeFillShade="D9"/>
            <w:vAlign w:val="center"/>
          </w:tcPr>
          <w:p w14:paraId="28E2FA27" w14:textId="77777777" w:rsidR="00986DE0" w:rsidRPr="00BB496D" w:rsidRDefault="00986DE0" w:rsidP="003C7140">
            <w:pPr>
              <w:jc w:val="center"/>
              <w:rPr>
                <w:rFonts w:ascii="Lato" w:hAnsi="Lato"/>
                <w:sz w:val="20"/>
                <w:szCs w:val="20"/>
              </w:rPr>
            </w:pPr>
            <w:r w:rsidRPr="00BB496D">
              <w:rPr>
                <w:rFonts w:ascii="Lato" w:hAnsi="Lato"/>
                <w:sz w:val="20"/>
                <w:szCs w:val="20"/>
              </w:rPr>
              <w:t>2023 r.</w:t>
            </w:r>
          </w:p>
        </w:tc>
        <w:tc>
          <w:tcPr>
            <w:tcW w:w="637" w:type="pct"/>
            <w:shd w:val="clear" w:color="auto" w:fill="D9D9D9" w:themeFill="background1" w:themeFillShade="D9"/>
            <w:vAlign w:val="center"/>
          </w:tcPr>
          <w:p w14:paraId="26A36849" w14:textId="77777777" w:rsidR="00986DE0" w:rsidRPr="00BB496D" w:rsidRDefault="00986DE0" w:rsidP="003C7140">
            <w:pPr>
              <w:jc w:val="center"/>
              <w:rPr>
                <w:rFonts w:ascii="Lato" w:hAnsi="Lato"/>
                <w:sz w:val="20"/>
                <w:szCs w:val="20"/>
              </w:rPr>
            </w:pPr>
            <w:r w:rsidRPr="00BB496D">
              <w:rPr>
                <w:rFonts w:ascii="Lato" w:hAnsi="Lato"/>
                <w:sz w:val="20"/>
                <w:szCs w:val="20"/>
              </w:rPr>
              <w:t>2024 r.</w:t>
            </w:r>
          </w:p>
        </w:tc>
        <w:tc>
          <w:tcPr>
            <w:tcW w:w="637" w:type="pct"/>
            <w:shd w:val="clear" w:color="auto" w:fill="D9D9D9" w:themeFill="background1" w:themeFillShade="D9"/>
            <w:vAlign w:val="center"/>
          </w:tcPr>
          <w:p w14:paraId="65E4823F" w14:textId="77777777" w:rsidR="00986DE0" w:rsidRPr="00FF44A4" w:rsidRDefault="00986DE0" w:rsidP="003C7140">
            <w:pPr>
              <w:jc w:val="center"/>
              <w:rPr>
                <w:rFonts w:ascii="Lato" w:hAnsi="Lato"/>
                <w:b/>
                <w:bCs/>
                <w:sz w:val="20"/>
                <w:szCs w:val="20"/>
              </w:rPr>
            </w:pPr>
            <w:r w:rsidRPr="00FF44A4">
              <w:rPr>
                <w:rFonts w:ascii="Lato" w:hAnsi="Lato"/>
                <w:b/>
                <w:bCs/>
                <w:sz w:val="20"/>
                <w:szCs w:val="20"/>
              </w:rPr>
              <w:t>2025 r.</w:t>
            </w:r>
          </w:p>
        </w:tc>
      </w:tr>
      <w:tr w:rsidR="00986DE0" w:rsidRPr="00BB496D" w14:paraId="74E0491E" w14:textId="77777777" w:rsidTr="00A619C4">
        <w:trPr>
          <w:trHeight w:val="411"/>
          <w:jc w:val="center"/>
        </w:trPr>
        <w:tc>
          <w:tcPr>
            <w:tcW w:w="1816" w:type="pct"/>
            <w:gridSpan w:val="2"/>
            <w:vAlign w:val="center"/>
          </w:tcPr>
          <w:p w14:paraId="77DA749D" w14:textId="77777777" w:rsidR="00986DE0" w:rsidRPr="00BB496D" w:rsidRDefault="00986DE0" w:rsidP="003C7140">
            <w:pPr>
              <w:rPr>
                <w:rFonts w:ascii="Lato" w:hAnsi="Lato"/>
                <w:sz w:val="20"/>
                <w:szCs w:val="20"/>
                <w:lang w:val="nb-NO"/>
              </w:rPr>
            </w:pPr>
            <w:r w:rsidRPr="00BB496D">
              <w:rPr>
                <w:rFonts w:ascii="Lato" w:hAnsi="Lato"/>
                <w:sz w:val="20"/>
                <w:szCs w:val="20"/>
                <w:lang w:val="nb-NO"/>
              </w:rPr>
              <w:t>Neisseria meningitidis z gr. B</w:t>
            </w:r>
          </w:p>
        </w:tc>
        <w:tc>
          <w:tcPr>
            <w:tcW w:w="637" w:type="pct"/>
            <w:vAlign w:val="center"/>
          </w:tcPr>
          <w:p w14:paraId="12B89BCE" w14:textId="77777777" w:rsidR="00986DE0" w:rsidRPr="00BB496D" w:rsidRDefault="00986DE0" w:rsidP="003C7140">
            <w:pPr>
              <w:jc w:val="center"/>
              <w:rPr>
                <w:rFonts w:ascii="Lato" w:hAnsi="Lato"/>
                <w:sz w:val="20"/>
                <w:szCs w:val="20"/>
              </w:rPr>
            </w:pPr>
            <w:r w:rsidRPr="00BB496D">
              <w:rPr>
                <w:rFonts w:ascii="Lato" w:hAnsi="Lato"/>
                <w:sz w:val="20"/>
                <w:szCs w:val="20"/>
              </w:rPr>
              <w:t>9</w:t>
            </w:r>
          </w:p>
        </w:tc>
        <w:tc>
          <w:tcPr>
            <w:tcW w:w="637" w:type="pct"/>
            <w:vAlign w:val="center"/>
          </w:tcPr>
          <w:p w14:paraId="4F3DEF8C" w14:textId="77777777" w:rsidR="00986DE0" w:rsidRPr="00BB496D" w:rsidRDefault="00986DE0" w:rsidP="003C7140">
            <w:pPr>
              <w:jc w:val="center"/>
              <w:rPr>
                <w:rFonts w:ascii="Lato" w:hAnsi="Lato"/>
                <w:sz w:val="20"/>
                <w:szCs w:val="20"/>
              </w:rPr>
            </w:pPr>
            <w:r w:rsidRPr="00BB496D">
              <w:rPr>
                <w:rFonts w:ascii="Lato" w:hAnsi="Lato"/>
                <w:sz w:val="20"/>
                <w:szCs w:val="20"/>
              </w:rPr>
              <w:t>2</w:t>
            </w:r>
          </w:p>
        </w:tc>
        <w:tc>
          <w:tcPr>
            <w:tcW w:w="637" w:type="pct"/>
            <w:vAlign w:val="center"/>
          </w:tcPr>
          <w:p w14:paraId="161BB32A" w14:textId="77777777" w:rsidR="00986DE0" w:rsidRPr="00BB496D" w:rsidRDefault="00986DE0" w:rsidP="003C7140">
            <w:pPr>
              <w:jc w:val="center"/>
              <w:rPr>
                <w:rFonts w:ascii="Lato" w:hAnsi="Lato"/>
                <w:sz w:val="20"/>
                <w:szCs w:val="20"/>
              </w:rPr>
            </w:pPr>
            <w:r w:rsidRPr="00BB496D">
              <w:rPr>
                <w:rFonts w:ascii="Lato" w:hAnsi="Lato"/>
                <w:sz w:val="20"/>
                <w:szCs w:val="20"/>
              </w:rPr>
              <w:t>6</w:t>
            </w:r>
          </w:p>
        </w:tc>
        <w:tc>
          <w:tcPr>
            <w:tcW w:w="637" w:type="pct"/>
            <w:vAlign w:val="center"/>
          </w:tcPr>
          <w:p w14:paraId="3FB51BEA" w14:textId="77777777" w:rsidR="00986DE0" w:rsidRPr="00BB496D" w:rsidRDefault="00986DE0" w:rsidP="003C7140">
            <w:pPr>
              <w:jc w:val="center"/>
              <w:rPr>
                <w:rFonts w:ascii="Lato" w:hAnsi="Lato"/>
                <w:sz w:val="20"/>
                <w:szCs w:val="20"/>
              </w:rPr>
            </w:pPr>
            <w:r w:rsidRPr="00BB496D">
              <w:rPr>
                <w:rFonts w:ascii="Lato" w:hAnsi="Lato"/>
                <w:sz w:val="20"/>
                <w:szCs w:val="20"/>
              </w:rPr>
              <w:t>6</w:t>
            </w:r>
          </w:p>
        </w:tc>
        <w:tc>
          <w:tcPr>
            <w:tcW w:w="637" w:type="pct"/>
            <w:vAlign w:val="center"/>
          </w:tcPr>
          <w:p w14:paraId="21FCA8B1" w14:textId="77777777" w:rsidR="00986DE0" w:rsidRPr="00FF44A4" w:rsidRDefault="00986DE0" w:rsidP="003C7140">
            <w:pPr>
              <w:jc w:val="center"/>
              <w:rPr>
                <w:rFonts w:ascii="Lato" w:hAnsi="Lato"/>
                <w:b/>
                <w:bCs/>
                <w:sz w:val="20"/>
                <w:szCs w:val="20"/>
              </w:rPr>
            </w:pPr>
            <w:r w:rsidRPr="00FF44A4">
              <w:rPr>
                <w:rFonts w:ascii="Lato" w:hAnsi="Lato"/>
                <w:b/>
                <w:bCs/>
                <w:sz w:val="20"/>
                <w:szCs w:val="20"/>
              </w:rPr>
              <w:t>8</w:t>
            </w:r>
          </w:p>
        </w:tc>
      </w:tr>
      <w:tr w:rsidR="00986DE0" w:rsidRPr="00BB496D" w14:paraId="23222E32" w14:textId="77777777" w:rsidTr="00A619C4">
        <w:trPr>
          <w:trHeight w:val="411"/>
          <w:jc w:val="center"/>
        </w:trPr>
        <w:tc>
          <w:tcPr>
            <w:tcW w:w="1816" w:type="pct"/>
            <w:gridSpan w:val="2"/>
            <w:vAlign w:val="center"/>
          </w:tcPr>
          <w:p w14:paraId="5B61F44A" w14:textId="77777777" w:rsidR="00986DE0" w:rsidRPr="00BB496D" w:rsidRDefault="00986DE0" w:rsidP="003C7140">
            <w:pPr>
              <w:rPr>
                <w:rFonts w:ascii="Lato" w:hAnsi="Lato"/>
                <w:sz w:val="20"/>
                <w:szCs w:val="20"/>
                <w:lang w:val="nb-NO"/>
              </w:rPr>
            </w:pPr>
            <w:r w:rsidRPr="00BB496D">
              <w:rPr>
                <w:rFonts w:ascii="Lato" w:hAnsi="Lato"/>
                <w:sz w:val="20"/>
                <w:szCs w:val="20"/>
                <w:lang w:val="nb-NO"/>
              </w:rPr>
              <w:t>Neisseria meningitidis z gr. C</w:t>
            </w:r>
          </w:p>
        </w:tc>
        <w:tc>
          <w:tcPr>
            <w:tcW w:w="637" w:type="pct"/>
            <w:vAlign w:val="center"/>
          </w:tcPr>
          <w:p w14:paraId="57E5A667" w14:textId="77777777" w:rsidR="00986DE0" w:rsidRPr="00BB496D" w:rsidRDefault="00986DE0" w:rsidP="003C7140">
            <w:pPr>
              <w:jc w:val="center"/>
              <w:rPr>
                <w:rFonts w:ascii="Lato" w:hAnsi="Lato"/>
                <w:sz w:val="20"/>
                <w:szCs w:val="20"/>
              </w:rPr>
            </w:pPr>
            <w:r w:rsidRPr="00BB496D">
              <w:rPr>
                <w:rFonts w:ascii="Lato" w:hAnsi="Lato"/>
                <w:sz w:val="20"/>
                <w:szCs w:val="20"/>
              </w:rPr>
              <w:t>1</w:t>
            </w:r>
          </w:p>
        </w:tc>
        <w:tc>
          <w:tcPr>
            <w:tcW w:w="637" w:type="pct"/>
            <w:vAlign w:val="center"/>
          </w:tcPr>
          <w:p w14:paraId="202DB05C" w14:textId="77777777" w:rsidR="00986DE0" w:rsidRPr="00BB496D" w:rsidRDefault="00986DE0" w:rsidP="003C7140">
            <w:pPr>
              <w:jc w:val="center"/>
              <w:rPr>
                <w:rFonts w:ascii="Lato" w:hAnsi="Lato"/>
                <w:sz w:val="20"/>
                <w:szCs w:val="20"/>
              </w:rPr>
            </w:pPr>
            <w:r w:rsidRPr="00BB496D">
              <w:rPr>
                <w:rFonts w:ascii="Lato" w:hAnsi="Lato"/>
                <w:sz w:val="20"/>
                <w:szCs w:val="20"/>
              </w:rPr>
              <w:t>-</w:t>
            </w:r>
          </w:p>
        </w:tc>
        <w:tc>
          <w:tcPr>
            <w:tcW w:w="637" w:type="pct"/>
            <w:vAlign w:val="center"/>
          </w:tcPr>
          <w:p w14:paraId="13D38554" w14:textId="77777777" w:rsidR="00986DE0" w:rsidRPr="00BB496D" w:rsidRDefault="00986DE0" w:rsidP="003C7140">
            <w:pPr>
              <w:jc w:val="center"/>
              <w:rPr>
                <w:rFonts w:ascii="Lato" w:hAnsi="Lato"/>
                <w:sz w:val="20"/>
                <w:szCs w:val="20"/>
              </w:rPr>
            </w:pPr>
            <w:r w:rsidRPr="00BB496D">
              <w:rPr>
                <w:rFonts w:ascii="Lato" w:hAnsi="Lato"/>
                <w:sz w:val="20"/>
                <w:szCs w:val="20"/>
              </w:rPr>
              <w:t>1</w:t>
            </w:r>
          </w:p>
        </w:tc>
        <w:tc>
          <w:tcPr>
            <w:tcW w:w="637" w:type="pct"/>
            <w:vAlign w:val="center"/>
          </w:tcPr>
          <w:p w14:paraId="34AE9B11" w14:textId="77777777" w:rsidR="00986DE0" w:rsidRPr="00BB496D" w:rsidRDefault="00986DE0" w:rsidP="003C7140">
            <w:pPr>
              <w:jc w:val="center"/>
              <w:rPr>
                <w:rFonts w:ascii="Lato" w:hAnsi="Lato"/>
                <w:sz w:val="20"/>
                <w:szCs w:val="20"/>
              </w:rPr>
            </w:pPr>
            <w:r w:rsidRPr="00BB496D">
              <w:rPr>
                <w:rFonts w:ascii="Lato" w:hAnsi="Lato"/>
                <w:sz w:val="20"/>
                <w:szCs w:val="20"/>
              </w:rPr>
              <w:t>-</w:t>
            </w:r>
          </w:p>
        </w:tc>
        <w:tc>
          <w:tcPr>
            <w:tcW w:w="637" w:type="pct"/>
            <w:vAlign w:val="center"/>
          </w:tcPr>
          <w:p w14:paraId="297FB3D1" w14:textId="77777777" w:rsidR="00986DE0" w:rsidRPr="00FF44A4" w:rsidRDefault="00986DE0" w:rsidP="003C7140">
            <w:pPr>
              <w:jc w:val="center"/>
              <w:rPr>
                <w:rFonts w:ascii="Lato" w:hAnsi="Lato"/>
                <w:b/>
                <w:bCs/>
                <w:sz w:val="20"/>
                <w:szCs w:val="20"/>
              </w:rPr>
            </w:pPr>
            <w:r w:rsidRPr="00FF44A4">
              <w:rPr>
                <w:rFonts w:ascii="Lato" w:hAnsi="Lato"/>
                <w:b/>
                <w:bCs/>
                <w:sz w:val="20"/>
                <w:szCs w:val="20"/>
              </w:rPr>
              <w:t>-</w:t>
            </w:r>
          </w:p>
        </w:tc>
      </w:tr>
      <w:tr w:rsidR="00986DE0" w:rsidRPr="00BB496D" w14:paraId="093972F6" w14:textId="77777777" w:rsidTr="00A619C4">
        <w:trPr>
          <w:trHeight w:val="411"/>
          <w:jc w:val="center"/>
        </w:trPr>
        <w:tc>
          <w:tcPr>
            <w:tcW w:w="1816" w:type="pct"/>
            <w:gridSpan w:val="2"/>
            <w:vAlign w:val="center"/>
          </w:tcPr>
          <w:p w14:paraId="715302C3" w14:textId="77777777" w:rsidR="00986DE0" w:rsidRPr="00BB496D" w:rsidRDefault="00986DE0" w:rsidP="003C7140">
            <w:pPr>
              <w:rPr>
                <w:rFonts w:ascii="Lato" w:hAnsi="Lato"/>
                <w:sz w:val="20"/>
                <w:szCs w:val="20"/>
              </w:rPr>
            </w:pPr>
            <w:proofErr w:type="spellStart"/>
            <w:r w:rsidRPr="00BB496D">
              <w:rPr>
                <w:rFonts w:ascii="Lato" w:hAnsi="Lato"/>
                <w:sz w:val="20"/>
                <w:szCs w:val="20"/>
              </w:rPr>
              <w:t>Neisseria</w:t>
            </w:r>
            <w:proofErr w:type="spellEnd"/>
            <w:r w:rsidRPr="00BB496D">
              <w:rPr>
                <w:rFonts w:ascii="Lato" w:hAnsi="Lato"/>
                <w:sz w:val="20"/>
                <w:szCs w:val="20"/>
              </w:rPr>
              <w:t xml:space="preserve"> </w:t>
            </w:r>
            <w:proofErr w:type="spellStart"/>
            <w:r w:rsidRPr="00BB496D">
              <w:rPr>
                <w:rFonts w:ascii="Lato" w:hAnsi="Lato"/>
                <w:sz w:val="20"/>
                <w:szCs w:val="20"/>
              </w:rPr>
              <w:t>meningitidis</w:t>
            </w:r>
            <w:proofErr w:type="spellEnd"/>
            <w:r w:rsidRPr="00BB496D">
              <w:rPr>
                <w:rFonts w:ascii="Lato" w:hAnsi="Lato"/>
                <w:sz w:val="20"/>
                <w:szCs w:val="20"/>
              </w:rPr>
              <w:t xml:space="preserve"> z gr. W</w:t>
            </w:r>
          </w:p>
        </w:tc>
        <w:tc>
          <w:tcPr>
            <w:tcW w:w="637" w:type="pct"/>
            <w:vAlign w:val="center"/>
          </w:tcPr>
          <w:p w14:paraId="189DE170" w14:textId="77777777" w:rsidR="00986DE0" w:rsidRPr="00BB496D" w:rsidRDefault="00986DE0" w:rsidP="003C7140">
            <w:pPr>
              <w:jc w:val="center"/>
              <w:rPr>
                <w:rFonts w:ascii="Lato" w:hAnsi="Lato"/>
                <w:sz w:val="20"/>
                <w:szCs w:val="20"/>
              </w:rPr>
            </w:pPr>
            <w:r w:rsidRPr="00BB496D">
              <w:rPr>
                <w:rFonts w:ascii="Lato" w:hAnsi="Lato"/>
                <w:sz w:val="20"/>
                <w:szCs w:val="20"/>
              </w:rPr>
              <w:t>-</w:t>
            </w:r>
          </w:p>
        </w:tc>
        <w:tc>
          <w:tcPr>
            <w:tcW w:w="637" w:type="pct"/>
            <w:vAlign w:val="center"/>
          </w:tcPr>
          <w:p w14:paraId="7BDE3D0E" w14:textId="77777777" w:rsidR="00986DE0" w:rsidRPr="00BB496D" w:rsidRDefault="00986DE0" w:rsidP="003C7140">
            <w:pPr>
              <w:jc w:val="center"/>
              <w:rPr>
                <w:rFonts w:ascii="Lato" w:hAnsi="Lato"/>
                <w:sz w:val="20"/>
                <w:szCs w:val="20"/>
              </w:rPr>
            </w:pPr>
            <w:r w:rsidRPr="00BB496D">
              <w:rPr>
                <w:rFonts w:ascii="Lato" w:hAnsi="Lato"/>
                <w:sz w:val="20"/>
                <w:szCs w:val="20"/>
              </w:rPr>
              <w:t>-</w:t>
            </w:r>
          </w:p>
        </w:tc>
        <w:tc>
          <w:tcPr>
            <w:tcW w:w="637" w:type="pct"/>
            <w:vAlign w:val="center"/>
          </w:tcPr>
          <w:p w14:paraId="17D94B35" w14:textId="77777777" w:rsidR="00986DE0" w:rsidRPr="00BB496D" w:rsidRDefault="00986DE0" w:rsidP="003C7140">
            <w:pPr>
              <w:jc w:val="center"/>
              <w:rPr>
                <w:rFonts w:ascii="Lato" w:hAnsi="Lato"/>
                <w:sz w:val="20"/>
                <w:szCs w:val="20"/>
              </w:rPr>
            </w:pPr>
            <w:r w:rsidRPr="00BB496D">
              <w:rPr>
                <w:rFonts w:ascii="Lato" w:hAnsi="Lato"/>
                <w:sz w:val="20"/>
                <w:szCs w:val="20"/>
              </w:rPr>
              <w:t>-</w:t>
            </w:r>
          </w:p>
        </w:tc>
        <w:tc>
          <w:tcPr>
            <w:tcW w:w="637" w:type="pct"/>
            <w:vAlign w:val="center"/>
          </w:tcPr>
          <w:p w14:paraId="0626F352" w14:textId="77777777" w:rsidR="00986DE0" w:rsidRPr="00BB496D" w:rsidRDefault="00986DE0" w:rsidP="003C7140">
            <w:pPr>
              <w:jc w:val="center"/>
              <w:rPr>
                <w:rFonts w:ascii="Lato" w:hAnsi="Lato"/>
                <w:sz w:val="20"/>
                <w:szCs w:val="20"/>
              </w:rPr>
            </w:pPr>
            <w:r w:rsidRPr="00BB496D">
              <w:rPr>
                <w:rFonts w:ascii="Lato" w:hAnsi="Lato"/>
                <w:sz w:val="20"/>
                <w:szCs w:val="20"/>
              </w:rPr>
              <w:t>-</w:t>
            </w:r>
          </w:p>
        </w:tc>
        <w:tc>
          <w:tcPr>
            <w:tcW w:w="637" w:type="pct"/>
            <w:vAlign w:val="center"/>
          </w:tcPr>
          <w:p w14:paraId="1F5133B5" w14:textId="77777777" w:rsidR="00986DE0" w:rsidRPr="00FF44A4" w:rsidRDefault="00986DE0" w:rsidP="003C7140">
            <w:pPr>
              <w:jc w:val="center"/>
              <w:rPr>
                <w:rFonts w:ascii="Lato" w:hAnsi="Lato"/>
                <w:b/>
                <w:bCs/>
                <w:sz w:val="20"/>
                <w:szCs w:val="20"/>
              </w:rPr>
            </w:pPr>
            <w:r w:rsidRPr="00FF44A4">
              <w:rPr>
                <w:rFonts w:ascii="Lato" w:hAnsi="Lato"/>
                <w:b/>
                <w:bCs/>
                <w:sz w:val="20"/>
                <w:szCs w:val="20"/>
              </w:rPr>
              <w:t>4</w:t>
            </w:r>
          </w:p>
        </w:tc>
      </w:tr>
      <w:tr w:rsidR="00986DE0" w:rsidRPr="00BB496D" w14:paraId="27D2893E" w14:textId="77777777" w:rsidTr="00A619C4">
        <w:trPr>
          <w:trHeight w:val="411"/>
          <w:jc w:val="center"/>
        </w:trPr>
        <w:tc>
          <w:tcPr>
            <w:tcW w:w="1816" w:type="pct"/>
            <w:gridSpan w:val="2"/>
            <w:tcBorders>
              <w:bottom w:val="single" w:sz="4" w:space="0" w:color="auto"/>
            </w:tcBorders>
            <w:vAlign w:val="center"/>
          </w:tcPr>
          <w:p w14:paraId="7BFBF06D" w14:textId="77777777" w:rsidR="00986DE0" w:rsidRPr="00BB496D" w:rsidRDefault="00986DE0" w:rsidP="003C7140">
            <w:pPr>
              <w:rPr>
                <w:rFonts w:ascii="Lato" w:hAnsi="Lato"/>
                <w:sz w:val="20"/>
                <w:szCs w:val="20"/>
              </w:rPr>
            </w:pPr>
            <w:proofErr w:type="spellStart"/>
            <w:r w:rsidRPr="00BB496D">
              <w:rPr>
                <w:rFonts w:ascii="Lato" w:hAnsi="Lato"/>
                <w:sz w:val="20"/>
                <w:szCs w:val="20"/>
              </w:rPr>
              <w:t>Neisseria</w:t>
            </w:r>
            <w:proofErr w:type="spellEnd"/>
            <w:r w:rsidRPr="00BB496D">
              <w:rPr>
                <w:rFonts w:ascii="Lato" w:hAnsi="Lato"/>
                <w:sz w:val="20"/>
                <w:szCs w:val="20"/>
              </w:rPr>
              <w:t xml:space="preserve"> </w:t>
            </w:r>
            <w:proofErr w:type="spellStart"/>
            <w:r w:rsidRPr="00BB496D">
              <w:rPr>
                <w:rFonts w:ascii="Lato" w:hAnsi="Lato"/>
                <w:sz w:val="20"/>
                <w:szCs w:val="20"/>
              </w:rPr>
              <w:t>meningitidis</w:t>
            </w:r>
            <w:proofErr w:type="spellEnd"/>
            <w:r w:rsidRPr="00BB496D">
              <w:rPr>
                <w:rFonts w:ascii="Lato" w:hAnsi="Lato"/>
                <w:sz w:val="20"/>
                <w:szCs w:val="20"/>
              </w:rPr>
              <w:t xml:space="preserve"> z gr. Y</w:t>
            </w:r>
          </w:p>
        </w:tc>
        <w:tc>
          <w:tcPr>
            <w:tcW w:w="637" w:type="pct"/>
            <w:tcBorders>
              <w:bottom w:val="single" w:sz="4" w:space="0" w:color="auto"/>
            </w:tcBorders>
            <w:vAlign w:val="center"/>
          </w:tcPr>
          <w:p w14:paraId="0B43741F" w14:textId="77777777" w:rsidR="00986DE0" w:rsidRPr="00BB496D" w:rsidRDefault="00986DE0" w:rsidP="003C7140">
            <w:pPr>
              <w:jc w:val="center"/>
              <w:rPr>
                <w:rFonts w:ascii="Lato" w:hAnsi="Lato"/>
                <w:sz w:val="20"/>
                <w:szCs w:val="20"/>
              </w:rPr>
            </w:pPr>
            <w:r w:rsidRPr="00BB496D">
              <w:rPr>
                <w:rFonts w:ascii="Lato" w:hAnsi="Lato"/>
                <w:sz w:val="20"/>
                <w:szCs w:val="20"/>
              </w:rPr>
              <w:t>-</w:t>
            </w:r>
          </w:p>
        </w:tc>
        <w:tc>
          <w:tcPr>
            <w:tcW w:w="637" w:type="pct"/>
            <w:tcBorders>
              <w:bottom w:val="single" w:sz="4" w:space="0" w:color="auto"/>
            </w:tcBorders>
            <w:vAlign w:val="center"/>
          </w:tcPr>
          <w:p w14:paraId="35CA79BE" w14:textId="77777777" w:rsidR="00986DE0" w:rsidRPr="00BB496D" w:rsidRDefault="00986DE0" w:rsidP="003C7140">
            <w:pPr>
              <w:jc w:val="center"/>
              <w:rPr>
                <w:rFonts w:ascii="Lato" w:hAnsi="Lato"/>
                <w:sz w:val="20"/>
                <w:szCs w:val="20"/>
              </w:rPr>
            </w:pPr>
            <w:r w:rsidRPr="00BB496D">
              <w:rPr>
                <w:rFonts w:ascii="Lato" w:hAnsi="Lato"/>
                <w:sz w:val="20"/>
                <w:szCs w:val="20"/>
              </w:rPr>
              <w:t>-</w:t>
            </w:r>
          </w:p>
        </w:tc>
        <w:tc>
          <w:tcPr>
            <w:tcW w:w="637" w:type="pct"/>
            <w:tcBorders>
              <w:bottom w:val="single" w:sz="4" w:space="0" w:color="auto"/>
            </w:tcBorders>
            <w:vAlign w:val="center"/>
          </w:tcPr>
          <w:p w14:paraId="33AD3582" w14:textId="77777777" w:rsidR="00986DE0" w:rsidRPr="00BB496D" w:rsidRDefault="00986DE0" w:rsidP="003C7140">
            <w:pPr>
              <w:jc w:val="center"/>
              <w:rPr>
                <w:rFonts w:ascii="Lato" w:hAnsi="Lato"/>
                <w:sz w:val="20"/>
                <w:szCs w:val="20"/>
              </w:rPr>
            </w:pPr>
            <w:r w:rsidRPr="00BB496D">
              <w:rPr>
                <w:rFonts w:ascii="Lato" w:hAnsi="Lato"/>
                <w:sz w:val="20"/>
                <w:szCs w:val="20"/>
              </w:rPr>
              <w:t>1</w:t>
            </w:r>
          </w:p>
        </w:tc>
        <w:tc>
          <w:tcPr>
            <w:tcW w:w="637" w:type="pct"/>
            <w:tcBorders>
              <w:bottom w:val="single" w:sz="4" w:space="0" w:color="auto"/>
            </w:tcBorders>
            <w:vAlign w:val="center"/>
          </w:tcPr>
          <w:p w14:paraId="16EA7AA5" w14:textId="77777777" w:rsidR="00986DE0" w:rsidRPr="00BB496D" w:rsidRDefault="00986DE0" w:rsidP="003C7140">
            <w:pPr>
              <w:jc w:val="center"/>
              <w:rPr>
                <w:rFonts w:ascii="Lato" w:hAnsi="Lato"/>
                <w:sz w:val="20"/>
                <w:szCs w:val="20"/>
              </w:rPr>
            </w:pPr>
            <w:r w:rsidRPr="00BB496D">
              <w:rPr>
                <w:rFonts w:ascii="Lato" w:hAnsi="Lato"/>
                <w:sz w:val="20"/>
                <w:szCs w:val="20"/>
              </w:rPr>
              <w:t>-</w:t>
            </w:r>
          </w:p>
        </w:tc>
        <w:tc>
          <w:tcPr>
            <w:tcW w:w="637" w:type="pct"/>
            <w:tcBorders>
              <w:bottom w:val="single" w:sz="4" w:space="0" w:color="auto"/>
            </w:tcBorders>
            <w:vAlign w:val="center"/>
          </w:tcPr>
          <w:p w14:paraId="3C6FCB2E" w14:textId="77777777" w:rsidR="00986DE0" w:rsidRPr="00FF44A4" w:rsidRDefault="00986DE0" w:rsidP="003C7140">
            <w:pPr>
              <w:jc w:val="center"/>
              <w:rPr>
                <w:rFonts w:ascii="Lato" w:hAnsi="Lato"/>
                <w:b/>
                <w:bCs/>
                <w:sz w:val="20"/>
                <w:szCs w:val="20"/>
              </w:rPr>
            </w:pPr>
            <w:r w:rsidRPr="00FF44A4">
              <w:rPr>
                <w:rFonts w:ascii="Lato" w:hAnsi="Lato"/>
                <w:b/>
                <w:bCs/>
                <w:sz w:val="20"/>
                <w:szCs w:val="20"/>
              </w:rPr>
              <w:t>1</w:t>
            </w:r>
          </w:p>
        </w:tc>
      </w:tr>
      <w:tr w:rsidR="00986DE0" w:rsidRPr="00BB496D" w14:paraId="2C005CFA" w14:textId="77777777" w:rsidTr="00A619C4">
        <w:trPr>
          <w:trHeight w:val="411"/>
          <w:jc w:val="center"/>
        </w:trPr>
        <w:tc>
          <w:tcPr>
            <w:tcW w:w="1816" w:type="pct"/>
            <w:gridSpan w:val="2"/>
            <w:tcBorders>
              <w:bottom w:val="single" w:sz="4" w:space="0" w:color="auto"/>
            </w:tcBorders>
            <w:vAlign w:val="center"/>
          </w:tcPr>
          <w:p w14:paraId="52E7C7B8" w14:textId="77777777" w:rsidR="00986DE0" w:rsidRPr="00BB496D" w:rsidRDefault="00986DE0" w:rsidP="003C7140">
            <w:pPr>
              <w:rPr>
                <w:rFonts w:ascii="Lato" w:hAnsi="Lato"/>
                <w:sz w:val="20"/>
                <w:szCs w:val="20"/>
              </w:rPr>
            </w:pPr>
            <w:r w:rsidRPr="00BB496D">
              <w:rPr>
                <w:rFonts w:ascii="Lato" w:hAnsi="Lato"/>
                <w:sz w:val="20"/>
                <w:szCs w:val="20"/>
              </w:rPr>
              <w:t>Nie ustalono gr. serologicznej</w:t>
            </w:r>
          </w:p>
        </w:tc>
        <w:tc>
          <w:tcPr>
            <w:tcW w:w="637" w:type="pct"/>
            <w:tcBorders>
              <w:bottom w:val="single" w:sz="4" w:space="0" w:color="auto"/>
            </w:tcBorders>
            <w:vAlign w:val="center"/>
          </w:tcPr>
          <w:p w14:paraId="20E5C087" w14:textId="77777777" w:rsidR="00986DE0" w:rsidRPr="00BB496D" w:rsidRDefault="00986DE0" w:rsidP="003C7140">
            <w:pPr>
              <w:jc w:val="center"/>
              <w:rPr>
                <w:rFonts w:ascii="Lato" w:hAnsi="Lato"/>
                <w:sz w:val="20"/>
                <w:szCs w:val="20"/>
              </w:rPr>
            </w:pPr>
            <w:r w:rsidRPr="00BB496D">
              <w:rPr>
                <w:rFonts w:ascii="Lato" w:hAnsi="Lato"/>
                <w:sz w:val="20"/>
                <w:szCs w:val="20"/>
              </w:rPr>
              <w:t>3</w:t>
            </w:r>
          </w:p>
        </w:tc>
        <w:tc>
          <w:tcPr>
            <w:tcW w:w="637" w:type="pct"/>
            <w:tcBorders>
              <w:bottom w:val="single" w:sz="4" w:space="0" w:color="auto"/>
            </w:tcBorders>
            <w:vAlign w:val="center"/>
          </w:tcPr>
          <w:p w14:paraId="2917B6FD" w14:textId="77777777" w:rsidR="00986DE0" w:rsidRPr="00BB496D" w:rsidRDefault="00986DE0" w:rsidP="003C7140">
            <w:pPr>
              <w:jc w:val="center"/>
              <w:rPr>
                <w:rFonts w:ascii="Lato" w:hAnsi="Lato"/>
                <w:sz w:val="20"/>
                <w:szCs w:val="20"/>
              </w:rPr>
            </w:pPr>
            <w:r w:rsidRPr="00BB496D">
              <w:rPr>
                <w:rFonts w:ascii="Lato" w:hAnsi="Lato"/>
                <w:sz w:val="20"/>
                <w:szCs w:val="20"/>
              </w:rPr>
              <w:t>2</w:t>
            </w:r>
          </w:p>
        </w:tc>
        <w:tc>
          <w:tcPr>
            <w:tcW w:w="637" w:type="pct"/>
            <w:tcBorders>
              <w:bottom w:val="single" w:sz="4" w:space="0" w:color="auto"/>
            </w:tcBorders>
            <w:vAlign w:val="center"/>
          </w:tcPr>
          <w:p w14:paraId="0DD3C761" w14:textId="77777777" w:rsidR="00986DE0" w:rsidRPr="00BB496D" w:rsidRDefault="00986DE0" w:rsidP="003C7140">
            <w:pPr>
              <w:jc w:val="center"/>
              <w:rPr>
                <w:rFonts w:ascii="Lato" w:hAnsi="Lato"/>
                <w:sz w:val="20"/>
                <w:szCs w:val="20"/>
              </w:rPr>
            </w:pPr>
            <w:r w:rsidRPr="00BB496D">
              <w:rPr>
                <w:rFonts w:ascii="Lato" w:hAnsi="Lato"/>
                <w:sz w:val="20"/>
                <w:szCs w:val="20"/>
              </w:rPr>
              <w:t>8</w:t>
            </w:r>
          </w:p>
        </w:tc>
        <w:tc>
          <w:tcPr>
            <w:tcW w:w="637" w:type="pct"/>
            <w:tcBorders>
              <w:bottom w:val="single" w:sz="4" w:space="0" w:color="auto"/>
            </w:tcBorders>
            <w:vAlign w:val="center"/>
          </w:tcPr>
          <w:p w14:paraId="109481F3" w14:textId="77777777" w:rsidR="00986DE0" w:rsidRPr="00BB496D" w:rsidRDefault="00986DE0" w:rsidP="003C7140">
            <w:pPr>
              <w:jc w:val="center"/>
              <w:rPr>
                <w:rFonts w:ascii="Lato" w:hAnsi="Lato"/>
                <w:sz w:val="20"/>
                <w:szCs w:val="20"/>
              </w:rPr>
            </w:pPr>
            <w:r w:rsidRPr="00BB496D">
              <w:rPr>
                <w:rFonts w:ascii="Lato" w:hAnsi="Lato"/>
                <w:sz w:val="20"/>
                <w:szCs w:val="20"/>
              </w:rPr>
              <w:t>9</w:t>
            </w:r>
          </w:p>
        </w:tc>
        <w:tc>
          <w:tcPr>
            <w:tcW w:w="637" w:type="pct"/>
            <w:tcBorders>
              <w:bottom w:val="single" w:sz="4" w:space="0" w:color="auto"/>
            </w:tcBorders>
            <w:vAlign w:val="center"/>
          </w:tcPr>
          <w:p w14:paraId="2C49F31D" w14:textId="77777777" w:rsidR="00986DE0" w:rsidRPr="00FF44A4" w:rsidRDefault="00986DE0" w:rsidP="003C7140">
            <w:pPr>
              <w:jc w:val="center"/>
              <w:rPr>
                <w:rFonts w:ascii="Lato" w:hAnsi="Lato"/>
                <w:b/>
                <w:bCs/>
                <w:sz w:val="20"/>
                <w:szCs w:val="20"/>
              </w:rPr>
            </w:pPr>
            <w:r w:rsidRPr="00FF44A4">
              <w:rPr>
                <w:rFonts w:ascii="Lato" w:hAnsi="Lato"/>
                <w:b/>
                <w:bCs/>
                <w:sz w:val="20"/>
                <w:szCs w:val="20"/>
              </w:rPr>
              <w:t>8</w:t>
            </w:r>
          </w:p>
        </w:tc>
      </w:tr>
      <w:tr w:rsidR="00986DE0" w:rsidRPr="00BB496D" w14:paraId="0B39C06E" w14:textId="77777777" w:rsidTr="00130F95">
        <w:trPr>
          <w:trHeight w:hRule="exact" w:val="454"/>
          <w:jc w:val="center"/>
        </w:trPr>
        <w:tc>
          <w:tcPr>
            <w:tcW w:w="1816" w:type="pct"/>
            <w:gridSpan w:val="2"/>
            <w:shd w:val="clear" w:color="auto" w:fill="D9D9D9" w:themeFill="background1" w:themeFillShade="D9"/>
            <w:vAlign w:val="center"/>
          </w:tcPr>
          <w:p w14:paraId="24FBBA90" w14:textId="77777777" w:rsidR="00986DE0" w:rsidRPr="00BB496D" w:rsidRDefault="00986DE0" w:rsidP="003C7140">
            <w:pPr>
              <w:rPr>
                <w:rFonts w:ascii="Lato" w:hAnsi="Lato"/>
                <w:b/>
                <w:sz w:val="20"/>
                <w:szCs w:val="20"/>
              </w:rPr>
            </w:pPr>
            <w:r w:rsidRPr="00BB496D">
              <w:rPr>
                <w:rFonts w:ascii="Lato" w:hAnsi="Lato"/>
                <w:b/>
                <w:sz w:val="20"/>
                <w:szCs w:val="20"/>
              </w:rPr>
              <w:t>Razem:</w:t>
            </w:r>
          </w:p>
        </w:tc>
        <w:tc>
          <w:tcPr>
            <w:tcW w:w="637" w:type="pct"/>
            <w:shd w:val="clear" w:color="auto" w:fill="D9D9D9" w:themeFill="background1" w:themeFillShade="D9"/>
            <w:vAlign w:val="center"/>
          </w:tcPr>
          <w:p w14:paraId="6830F4AF" w14:textId="77777777" w:rsidR="00986DE0" w:rsidRPr="00BB496D" w:rsidRDefault="00986DE0" w:rsidP="003C7140">
            <w:pPr>
              <w:jc w:val="center"/>
              <w:rPr>
                <w:rFonts w:ascii="Lato" w:hAnsi="Lato"/>
                <w:b/>
                <w:sz w:val="20"/>
                <w:szCs w:val="20"/>
              </w:rPr>
            </w:pPr>
            <w:r w:rsidRPr="00BB496D">
              <w:rPr>
                <w:rFonts w:ascii="Lato" w:hAnsi="Lato"/>
                <w:b/>
                <w:sz w:val="20"/>
                <w:szCs w:val="20"/>
              </w:rPr>
              <w:t>13</w:t>
            </w:r>
          </w:p>
        </w:tc>
        <w:tc>
          <w:tcPr>
            <w:tcW w:w="637" w:type="pct"/>
            <w:shd w:val="clear" w:color="auto" w:fill="D9D9D9" w:themeFill="background1" w:themeFillShade="D9"/>
            <w:vAlign w:val="center"/>
          </w:tcPr>
          <w:p w14:paraId="3927DDA1" w14:textId="77777777" w:rsidR="00986DE0" w:rsidRPr="00BB496D" w:rsidRDefault="00986DE0" w:rsidP="003C7140">
            <w:pPr>
              <w:jc w:val="center"/>
              <w:rPr>
                <w:rFonts w:ascii="Lato" w:hAnsi="Lato"/>
                <w:b/>
                <w:sz w:val="20"/>
                <w:szCs w:val="20"/>
              </w:rPr>
            </w:pPr>
            <w:r w:rsidRPr="00BB496D">
              <w:rPr>
                <w:rFonts w:ascii="Lato" w:hAnsi="Lato"/>
                <w:b/>
                <w:sz w:val="20"/>
                <w:szCs w:val="20"/>
              </w:rPr>
              <w:t>4</w:t>
            </w:r>
          </w:p>
        </w:tc>
        <w:tc>
          <w:tcPr>
            <w:tcW w:w="637" w:type="pct"/>
            <w:shd w:val="clear" w:color="auto" w:fill="D9D9D9" w:themeFill="background1" w:themeFillShade="D9"/>
            <w:vAlign w:val="center"/>
          </w:tcPr>
          <w:p w14:paraId="496E2D39" w14:textId="77777777" w:rsidR="00986DE0" w:rsidRPr="00BB496D" w:rsidRDefault="00986DE0" w:rsidP="003C7140">
            <w:pPr>
              <w:jc w:val="center"/>
              <w:rPr>
                <w:rFonts w:ascii="Lato" w:hAnsi="Lato"/>
                <w:b/>
                <w:sz w:val="20"/>
                <w:szCs w:val="20"/>
              </w:rPr>
            </w:pPr>
            <w:r w:rsidRPr="00BB496D">
              <w:rPr>
                <w:rFonts w:ascii="Lato" w:hAnsi="Lato"/>
                <w:b/>
                <w:sz w:val="20"/>
                <w:szCs w:val="20"/>
              </w:rPr>
              <w:t>16</w:t>
            </w:r>
          </w:p>
        </w:tc>
        <w:tc>
          <w:tcPr>
            <w:tcW w:w="637" w:type="pct"/>
            <w:shd w:val="clear" w:color="auto" w:fill="D9D9D9" w:themeFill="background1" w:themeFillShade="D9"/>
            <w:vAlign w:val="center"/>
          </w:tcPr>
          <w:p w14:paraId="22C9C557" w14:textId="77777777" w:rsidR="00986DE0" w:rsidRPr="00BB496D" w:rsidRDefault="00986DE0" w:rsidP="003C7140">
            <w:pPr>
              <w:jc w:val="center"/>
              <w:rPr>
                <w:rFonts w:ascii="Lato" w:hAnsi="Lato"/>
                <w:b/>
                <w:sz w:val="20"/>
                <w:szCs w:val="20"/>
              </w:rPr>
            </w:pPr>
            <w:r w:rsidRPr="00BB496D">
              <w:rPr>
                <w:rFonts w:ascii="Lato" w:hAnsi="Lato"/>
                <w:b/>
                <w:sz w:val="20"/>
                <w:szCs w:val="20"/>
              </w:rPr>
              <w:t>15</w:t>
            </w:r>
          </w:p>
        </w:tc>
        <w:tc>
          <w:tcPr>
            <w:tcW w:w="637" w:type="pct"/>
            <w:shd w:val="clear" w:color="auto" w:fill="D9D9D9" w:themeFill="background1" w:themeFillShade="D9"/>
            <w:vAlign w:val="center"/>
          </w:tcPr>
          <w:p w14:paraId="31A46815" w14:textId="77777777" w:rsidR="00986DE0" w:rsidRPr="00FF44A4" w:rsidRDefault="00986DE0" w:rsidP="003C7140">
            <w:pPr>
              <w:jc w:val="center"/>
              <w:rPr>
                <w:rFonts w:ascii="Lato" w:hAnsi="Lato"/>
                <w:b/>
                <w:bCs/>
                <w:sz w:val="20"/>
                <w:szCs w:val="20"/>
              </w:rPr>
            </w:pPr>
            <w:r w:rsidRPr="00FF44A4">
              <w:rPr>
                <w:rFonts w:ascii="Lato" w:hAnsi="Lato"/>
                <w:b/>
                <w:bCs/>
                <w:sz w:val="20"/>
                <w:szCs w:val="20"/>
              </w:rPr>
              <w:t>21</w:t>
            </w:r>
          </w:p>
        </w:tc>
      </w:tr>
    </w:tbl>
    <w:p w14:paraId="2C25BDD7" w14:textId="42B52D05" w:rsidR="002060E8" w:rsidRDefault="00986DE0">
      <w:pPr>
        <w:pStyle w:val="Nagwek3"/>
        <w:numPr>
          <w:ilvl w:val="1"/>
          <w:numId w:val="9"/>
        </w:numPr>
        <w:spacing w:before="0" w:after="0" w:line="360" w:lineRule="auto"/>
        <w:ind w:right="284" w:hanging="284"/>
        <w:rPr>
          <w:color w:val="auto"/>
          <w:szCs w:val="22"/>
        </w:rPr>
      </w:pPr>
      <w:bookmarkStart w:id="39" w:name="_Toc225235848"/>
      <w:bookmarkStart w:id="40" w:name="_Toc225859035"/>
      <w:bookmarkEnd w:id="38"/>
      <w:r w:rsidRPr="00634C38">
        <w:rPr>
          <w:color w:val="auto"/>
          <w:szCs w:val="22"/>
        </w:rPr>
        <w:lastRenderedPageBreak/>
        <w:t>Borelioza z Lyme</w:t>
      </w:r>
      <w:bookmarkEnd w:id="39"/>
      <w:bookmarkEnd w:id="40"/>
    </w:p>
    <w:p w14:paraId="4ADF29C9" w14:textId="77777777" w:rsidR="00A619C4" w:rsidRPr="00A619C4" w:rsidRDefault="00A619C4" w:rsidP="00A619C4">
      <w:pPr>
        <w:rPr>
          <w:rFonts w:ascii="Lato" w:hAnsi="Lato"/>
          <w:sz w:val="22"/>
          <w:szCs w:val="22"/>
        </w:rPr>
      </w:pPr>
    </w:p>
    <w:p w14:paraId="7B22E05E" w14:textId="77777777" w:rsidR="00986DE0" w:rsidRPr="005170BB" w:rsidRDefault="00986DE0" w:rsidP="002060E8">
      <w:pPr>
        <w:spacing w:line="360" w:lineRule="auto"/>
        <w:rPr>
          <w:rFonts w:ascii="Lato" w:eastAsia="Calibri" w:hAnsi="Lato" w:cstheme="minorHAnsi"/>
          <w:color w:val="000000" w:themeColor="text1"/>
          <w:kern w:val="2"/>
          <w:sz w:val="22"/>
          <w:szCs w:val="22"/>
          <w14:ligatures w14:val="standardContextual"/>
        </w:rPr>
      </w:pPr>
      <w:r w:rsidRPr="005170BB">
        <w:rPr>
          <w:rFonts w:ascii="Lato" w:eastAsia="Calibri" w:hAnsi="Lato" w:cstheme="minorHAnsi"/>
          <w:color w:val="000000" w:themeColor="text1"/>
          <w:kern w:val="2"/>
          <w:sz w:val="22"/>
          <w:szCs w:val="22"/>
          <w14:ligatures w14:val="standardContextual"/>
        </w:rPr>
        <w:t>W 2025 roku zarówno w Polsce, jak i w woj. zachodniopomorskim, zaobserwowano wzrost liczby zachorowań na boreliozę. W Polsce liczba zachorowań wzrosła o około 63 % w stosunku do roku ubiegłym, w woj. zachodniopomorskim prawie o 42 %. Ogółem w województwie zarejestrowano 1578 przypadków (współczynnik zapadalności 97,56 na 100 tys. mieszkańców), w tym 28 przypadków neuroboreliozy.</w:t>
      </w:r>
    </w:p>
    <w:p w14:paraId="0BA0BA96" w14:textId="180CCD6F" w:rsidR="00356205" w:rsidRPr="00383E25" w:rsidRDefault="00986DE0" w:rsidP="00383E25">
      <w:pPr>
        <w:spacing w:line="360" w:lineRule="auto"/>
        <w:rPr>
          <w:rFonts w:ascii="Lato" w:eastAsia="Calibri" w:hAnsi="Lato" w:cstheme="minorHAnsi"/>
          <w:color w:val="000000" w:themeColor="text1"/>
          <w:kern w:val="2"/>
          <w:sz w:val="22"/>
          <w:szCs w:val="22"/>
          <w14:ligatures w14:val="standardContextual"/>
        </w:rPr>
      </w:pPr>
      <w:r w:rsidRPr="005170BB">
        <w:rPr>
          <w:rFonts w:ascii="Lato" w:eastAsia="Calibri" w:hAnsi="Lato" w:cstheme="minorHAnsi"/>
          <w:color w:val="000000" w:themeColor="text1"/>
          <w:kern w:val="2"/>
          <w:sz w:val="22"/>
          <w:szCs w:val="22"/>
          <w14:ligatures w14:val="standardContextual"/>
        </w:rPr>
        <w:t>Analizując sytuację epidemiologiczną boreliozy w woj. zachodniopomorskim należy stwierdzić, że w 2025 roku utrzymał się w trend wzrostowy z lat poprzednich</w:t>
      </w:r>
      <w:r w:rsidR="00E31B5B">
        <w:rPr>
          <w:rFonts w:ascii="Lato" w:eastAsia="Calibri" w:hAnsi="Lato" w:cstheme="minorHAnsi"/>
          <w:color w:val="000000" w:themeColor="text1"/>
          <w:kern w:val="2"/>
          <w:sz w:val="22"/>
          <w:szCs w:val="22"/>
          <w14:ligatures w14:val="standardContextual"/>
        </w:rPr>
        <w:t xml:space="preserve"> </w:t>
      </w:r>
      <w:r w:rsidRPr="005170BB">
        <w:rPr>
          <w:rFonts w:ascii="Lato" w:eastAsia="Calibri" w:hAnsi="Lato" w:cstheme="minorHAnsi"/>
          <w:color w:val="000000" w:themeColor="text1"/>
          <w:kern w:val="2"/>
          <w:sz w:val="22"/>
          <w:szCs w:val="22"/>
          <w14:ligatures w14:val="standardContextual"/>
        </w:rPr>
        <w:t>(</w:t>
      </w:r>
      <w:r w:rsidR="00735FF4">
        <w:rPr>
          <w:rFonts w:ascii="Lato" w:eastAsia="Calibri" w:hAnsi="Lato" w:cstheme="minorHAnsi"/>
          <w:color w:val="000000" w:themeColor="text1"/>
          <w:kern w:val="2"/>
          <w:sz w:val="22"/>
          <w:szCs w:val="22"/>
          <w14:ligatures w14:val="standardContextual"/>
        </w:rPr>
        <w:t>wyk</w:t>
      </w:r>
      <w:r w:rsidR="00E32284">
        <w:rPr>
          <w:rFonts w:ascii="Lato" w:eastAsia="Calibri" w:hAnsi="Lato" w:cstheme="minorHAnsi"/>
          <w:color w:val="000000" w:themeColor="text1"/>
          <w:kern w:val="2"/>
          <w:sz w:val="22"/>
          <w:szCs w:val="22"/>
          <w14:ligatures w14:val="standardContextual"/>
        </w:rPr>
        <w:t>res</w:t>
      </w:r>
      <w:r w:rsidR="00735FF4">
        <w:rPr>
          <w:rFonts w:ascii="Lato" w:eastAsia="Calibri" w:hAnsi="Lato" w:cstheme="minorHAnsi"/>
          <w:color w:val="000000" w:themeColor="text1"/>
          <w:kern w:val="2"/>
          <w:sz w:val="22"/>
          <w:szCs w:val="22"/>
          <w14:ligatures w14:val="standardContextual"/>
        </w:rPr>
        <w:t xml:space="preserve"> </w:t>
      </w:r>
      <w:r w:rsidRPr="005170BB">
        <w:rPr>
          <w:rFonts w:ascii="Lato" w:eastAsia="Calibri" w:hAnsi="Lato" w:cstheme="minorHAnsi"/>
          <w:color w:val="000000" w:themeColor="text1"/>
          <w:kern w:val="2"/>
          <w:sz w:val="22"/>
          <w:szCs w:val="22"/>
          <w14:ligatures w14:val="standardContextual"/>
        </w:rPr>
        <w:t>4).</w:t>
      </w:r>
    </w:p>
    <w:p w14:paraId="01EA5102" w14:textId="01E23A4C" w:rsidR="00396EA9" w:rsidRDefault="00356205" w:rsidP="00356205">
      <w:pPr>
        <w:pStyle w:val="Legenda"/>
        <w:rPr>
          <w:rFonts w:ascii="Lato" w:hAnsi="Lato"/>
          <w:b w:val="0"/>
          <w:bCs w:val="0"/>
          <w:sz w:val="18"/>
          <w:szCs w:val="18"/>
        </w:rPr>
      </w:pPr>
      <w:bookmarkStart w:id="41" w:name="_Toc225859346"/>
      <w:bookmarkStart w:id="42" w:name="_Toc225922349"/>
      <w:r w:rsidRPr="00356205">
        <w:rPr>
          <w:rFonts w:ascii="Lato" w:hAnsi="Lato"/>
          <w:b w:val="0"/>
          <w:bCs w:val="0"/>
          <w:sz w:val="18"/>
          <w:szCs w:val="18"/>
        </w:rPr>
        <w:t xml:space="preserve">Wykres  </w:t>
      </w:r>
      <w:r w:rsidRPr="00356205">
        <w:rPr>
          <w:rFonts w:ascii="Lato" w:hAnsi="Lato"/>
          <w:b w:val="0"/>
          <w:bCs w:val="0"/>
          <w:sz w:val="18"/>
          <w:szCs w:val="18"/>
        </w:rPr>
        <w:fldChar w:fldCharType="begin"/>
      </w:r>
      <w:r w:rsidRPr="00356205">
        <w:rPr>
          <w:rFonts w:ascii="Lato" w:hAnsi="Lato"/>
          <w:b w:val="0"/>
          <w:bCs w:val="0"/>
          <w:sz w:val="18"/>
          <w:szCs w:val="18"/>
        </w:rPr>
        <w:instrText xml:space="preserve"> SEQ Wykres_ \* ARABIC </w:instrText>
      </w:r>
      <w:r w:rsidRPr="00356205">
        <w:rPr>
          <w:rFonts w:ascii="Lato" w:hAnsi="Lato"/>
          <w:b w:val="0"/>
          <w:bCs w:val="0"/>
          <w:sz w:val="18"/>
          <w:szCs w:val="18"/>
        </w:rPr>
        <w:fldChar w:fldCharType="separate"/>
      </w:r>
      <w:r w:rsidR="002A3179">
        <w:rPr>
          <w:rFonts w:ascii="Lato" w:hAnsi="Lato"/>
          <w:b w:val="0"/>
          <w:bCs w:val="0"/>
          <w:noProof/>
          <w:sz w:val="18"/>
          <w:szCs w:val="18"/>
        </w:rPr>
        <w:t>4</w:t>
      </w:r>
      <w:r w:rsidRPr="00356205">
        <w:rPr>
          <w:rFonts w:ascii="Lato" w:hAnsi="Lato"/>
          <w:b w:val="0"/>
          <w:bCs w:val="0"/>
          <w:sz w:val="18"/>
          <w:szCs w:val="18"/>
        </w:rPr>
        <w:fldChar w:fldCharType="end"/>
      </w:r>
      <w:r w:rsidRPr="00356205">
        <w:rPr>
          <w:rFonts w:ascii="Lato" w:hAnsi="Lato"/>
          <w:b w:val="0"/>
          <w:bCs w:val="0"/>
          <w:sz w:val="18"/>
          <w:szCs w:val="18"/>
        </w:rPr>
        <w:t>. Liczba zachorowań i hospitalizacji z powodu boreliozy w woj. zachodniopomorskim w latach 2021 – 2025.</w:t>
      </w:r>
      <w:bookmarkEnd w:id="41"/>
      <w:bookmarkEnd w:id="42"/>
    </w:p>
    <w:p w14:paraId="66A3AA93" w14:textId="77777777" w:rsidR="00396EA9" w:rsidRPr="00396EA9" w:rsidRDefault="00396EA9" w:rsidP="00396EA9"/>
    <w:p w14:paraId="265EEDA3" w14:textId="1D5C886C" w:rsidR="00986DE0" w:rsidRDefault="00986DE0" w:rsidP="00356205">
      <w:pPr>
        <w:pStyle w:val="Legenda"/>
        <w:rPr>
          <w:rFonts w:ascii="Calibri" w:hAnsi="Calibri" w:cs="Calibri"/>
          <w:b w:val="0"/>
          <w:bCs w:val="0"/>
          <w:color w:val="EE0000"/>
        </w:rPr>
      </w:pPr>
      <w:r w:rsidRPr="004B2BBB">
        <w:rPr>
          <w:rFonts w:ascii="Calibri" w:hAnsi="Calibri" w:cs="Calibri"/>
          <w:b w:val="0"/>
          <w:bCs w:val="0"/>
          <w:noProof/>
          <w:color w:val="EE0000"/>
        </w:rPr>
        <w:drawing>
          <wp:inline distT="0" distB="0" distL="0" distR="0" wp14:anchorId="4D725874" wp14:editId="36B83302">
            <wp:extent cx="5486400" cy="2714625"/>
            <wp:effectExtent l="0" t="0" r="0" b="9525"/>
            <wp:docPr id="328772960" name="Wykres 2" descr="Liczba zachorowań i hospitalizacji z powodu boreliozy w województwie zachodniopomorskim w latach 2021-2025. W 2025 roku odnotowano 1578 przypadków zachorowań oraz 38 hospitalizacji. W 2024 roku odnotowano mniej zachorowań - 1111 przypadków oraz 30 hospitalizacji."/>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014426" w14:textId="77777777" w:rsidR="00A619C4" w:rsidRPr="004B2BBB" w:rsidRDefault="00A619C4" w:rsidP="00986DE0">
      <w:pPr>
        <w:spacing w:line="276" w:lineRule="auto"/>
        <w:contextualSpacing/>
        <w:jc w:val="both"/>
        <w:rPr>
          <w:rFonts w:ascii="Calibri" w:hAnsi="Calibri" w:cs="Calibri"/>
          <w:b/>
          <w:bCs/>
          <w:color w:val="EE0000"/>
        </w:rPr>
      </w:pPr>
    </w:p>
    <w:p w14:paraId="22CF483B" w14:textId="4DD3FE9D" w:rsidR="00986DE0" w:rsidRDefault="00986DE0">
      <w:pPr>
        <w:pStyle w:val="Nagwek3"/>
        <w:numPr>
          <w:ilvl w:val="1"/>
          <w:numId w:val="9"/>
        </w:numPr>
        <w:spacing w:before="0" w:after="0" w:line="360" w:lineRule="auto"/>
        <w:ind w:right="284" w:hanging="284"/>
        <w:rPr>
          <w:color w:val="auto"/>
          <w:szCs w:val="22"/>
        </w:rPr>
      </w:pPr>
      <w:bookmarkStart w:id="43" w:name="_Toc225235849"/>
      <w:bookmarkStart w:id="44" w:name="_Toc225859036"/>
      <w:r w:rsidRPr="00634C38">
        <w:rPr>
          <w:color w:val="auto"/>
          <w:szCs w:val="22"/>
        </w:rPr>
        <w:t>Wścieklizna</w:t>
      </w:r>
      <w:bookmarkEnd w:id="43"/>
      <w:bookmarkEnd w:id="44"/>
    </w:p>
    <w:p w14:paraId="431B0A16" w14:textId="77777777" w:rsidR="00A619C4" w:rsidRPr="00A619C4" w:rsidRDefault="00A619C4" w:rsidP="00A619C4">
      <w:pPr>
        <w:rPr>
          <w:rFonts w:ascii="Lato" w:hAnsi="Lato"/>
          <w:sz w:val="22"/>
          <w:szCs w:val="22"/>
        </w:rPr>
      </w:pPr>
    </w:p>
    <w:p w14:paraId="0512B3E3" w14:textId="6F5625E0" w:rsidR="00986DE0" w:rsidRPr="005170BB" w:rsidRDefault="00986DE0" w:rsidP="002060E8">
      <w:pPr>
        <w:spacing w:line="360" w:lineRule="auto"/>
        <w:rPr>
          <w:rFonts w:ascii="Lato" w:hAnsi="Lato" w:cstheme="minorHAnsi"/>
          <w:sz w:val="22"/>
          <w:szCs w:val="22"/>
        </w:rPr>
      </w:pPr>
      <w:r w:rsidRPr="005170BB">
        <w:rPr>
          <w:rFonts w:ascii="Lato" w:hAnsi="Lato" w:cstheme="minorHAnsi"/>
          <w:sz w:val="22"/>
          <w:szCs w:val="22"/>
        </w:rPr>
        <w:t xml:space="preserve">W 2025 r. na terenie woj. zachodniopomorskiego zarejestrowano 469 zgłoszenia styczności i pokąsań przez zwierzęta (62 zgłoszenia dotyczyły dzieci do 14 roku życia), w których zachodziło podejrzenie potencjalnego narażenia na wściekliznę. </w:t>
      </w:r>
      <w:r w:rsidR="006A5558">
        <w:rPr>
          <w:rFonts w:ascii="Lato" w:hAnsi="Lato" w:cstheme="minorHAnsi"/>
          <w:sz w:val="22"/>
          <w:szCs w:val="22"/>
        </w:rPr>
        <w:t xml:space="preserve">Większość przypadków to pokąsania przez zwierzęta domowe. </w:t>
      </w:r>
      <w:r w:rsidRPr="005170BB">
        <w:rPr>
          <w:rFonts w:ascii="Lato" w:hAnsi="Lato" w:cstheme="minorHAnsi"/>
          <w:sz w:val="22"/>
          <w:szCs w:val="22"/>
        </w:rPr>
        <w:t xml:space="preserve">W uzasadnionych  przypadkach wdrożono szczepienia </w:t>
      </w:r>
      <w:proofErr w:type="spellStart"/>
      <w:r w:rsidRPr="005170BB">
        <w:rPr>
          <w:rFonts w:ascii="Lato" w:hAnsi="Lato" w:cstheme="minorHAnsi"/>
          <w:sz w:val="22"/>
          <w:szCs w:val="22"/>
        </w:rPr>
        <w:t>poekspozycyjne</w:t>
      </w:r>
      <w:proofErr w:type="spellEnd"/>
      <w:r w:rsidRPr="005170BB">
        <w:rPr>
          <w:rFonts w:ascii="Lato" w:hAnsi="Lato" w:cstheme="minorHAnsi"/>
          <w:sz w:val="22"/>
          <w:szCs w:val="22"/>
        </w:rPr>
        <w:t>.</w:t>
      </w:r>
    </w:p>
    <w:p w14:paraId="7E658B1A" w14:textId="16360AD6" w:rsidR="002060E8" w:rsidRDefault="00986DE0" w:rsidP="00383E25">
      <w:pPr>
        <w:spacing w:line="360" w:lineRule="auto"/>
        <w:rPr>
          <w:rFonts w:ascii="Lato" w:hAnsi="Lato" w:cstheme="minorHAnsi"/>
          <w:sz w:val="22"/>
          <w:szCs w:val="22"/>
        </w:rPr>
      </w:pPr>
      <w:r w:rsidRPr="005170BB">
        <w:rPr>
          <w:rFonts w:ascii="Lato" w:hAnsi="Lato" w:cstheme="minorHAnsi"/>
          <w:sz w:val="22"/>
          <w:szCs w:val="22"/>
        </w:rPr>
        <w:t xml:space="preserve">W 2025 r. szczepienia przeciw wściekliźnie realizowano w trzech Poradniach Profilaktyki Wścieklizny, tj. Samodzielnym Publicznym Wojewódzkim Szpitalu Zespolonym, ul. Arkońska 4, w Szczecinie oraz Szpitalu Wojewódzkim im. Mikołaja Kopernika w Koszalinie, ul. Tytusa Chałubińskiego 7 w Koszalinie i 107 Szpitalu Wojskowym z Przychodnią SPZOZ, ul. Kołobrzeska 44 w Wałczu. </w:t>
      </w:r>
      <w:proofErr w:type="spellStart"/>
      <w:r w:rsidRPr="005170BB">
        <w:rPr>
          <w:rFonts w:ascii="Lato" w:hAnsi="Lato" w:cstheme="minorHAnsi"/>
          <w:sz w:val="22"/>
          <w:szCs w:val="22"/>
        </w:rPr>
        <w:t>Poekspozycyjne</w:t>
      </w:r>
      <w:proofErr w:type="spellEnd"/>
      <w:r w:rsidRPr="005170BB">
        <w:rPr>
          <w:rFonts w:ascii="Lato" w:hAnsi="Lato" w:cstheme="minorHAnsi"/>
          <w:sz w:val="22"/>
          <w:szCs w:val="22"/>
        </w:rPr>
        <w:t xml:space="preserve"> szczepienia przeciw wściekliźnie wdrożono u 551 </w:t>
      </w:r>
      <w:r w:rsidRPr="005170BB">
        <w:rPr>
          <w:rFonts w:ascii="Lato" w:hAnsi="Lato" w:cstheme="minorHAnsi"/>
          <w:sz w:val="22"/>
          <w:szCs w:val="22"/>
        </w:rPr>
        <w:lastRenderedPageBreak/>
        <w:t xml:space="preserve">osób, w tym u osób pokąsanych poza </w:t>
      </w:r>
      <w:r w:rsidR="006A5558">
        <w:rPr>
          <w:rFonts w:ascii="Lato" w:hAnsi="Lato" w:cstheme="minorHAnsi"/>
          <w:sz w:val="22"/>
          <w:szCs w:val="22"/>
        </w:rPr>
        <w:t xml:space="preserve">terenem naszego województwa oraz poza </w:t>
      </w:r>
      <w:r w:rsidRPr="005170BB">
        <w:rPr>
          <w:rFonts w:ascii="Lato" w:hAnsi="Lato" w:cstheme="minorHAnsi"/>
          <w:sz w:val="22"/>
          <w:szCs w:val="22"/>
        </w:rPr>
        <w:t>granicami kraju.</w:t>
      </w:r>
    </w:p>
    <w:p w14:paraId="5F0D8F5E" w14:textId="77777777" w:rsidR="003818A5" w:rsidRPr="00383E25" w:rsidRDefault="003818A5" w:rsidP="00383E25">
      <w:pPr>
        <w:spacing w:line="360" w:lineRule="auto"/>
        <w:rPr>
          <w:rFonts w:ascii="Lato" w:hAnsi="Lato" w:cstheme="minorHAnsi"/>
          <w:sz w:val="22"/>
          <w:szCs w:val="22"/>
        </w:rPr>
      </w:pPr>
    </w:p>
    <w:p w14:paraId="16BC05BC" w14:textId="409E5882" w:rsidR="00EA0E18" w:rsidRDefault="00986DE0">
      <w:pPr>
        <w:pStyle w:val="Nagwek3"/>
        <w:numPr>
          <w:ilvl w:val="1"/>
          <w:numId w:val="9"/>
        </w:numPr>
        <w:spacing w:before="0" w:after="0" w:line="360" w:lineRule="auto"/>
        <w:ind w:right="284" w:hanging="284"/>
        <w:rPr>
          <w:color w:val="auto"/>
          <w:szCs w:val="22"/>
        </w:rPr>
      </w:pPr>
      <w:bookmarkStart w:id="45" w:name="_Toc225235850"/>
      <w:bookmarkStart w:id="46" w:name="_Toc225859037"/>
      <w:r w:rsidRPr="004D2547">
        <w:rPr>
          <w:color w:val="auto"/>
          <w:szCs w:val="22"/>
        </w:rPr>
        <w:t>Choroby przenoszone drogą płciową</w:t>
      </w:r>
      <w:bookmarkEnd w:id="45"/>
      <w:bookmarkEnd w:id="46"/>
    </w:p>
    <w:p w14:paraId="60EF1D78" w14:textId="77777777" w:rsidR="00483713" w:rsidRPr="00483713" w:rsidRDefault="00483713" w:rsidP="00483713"/>
    <w:p w14:paraId="263C6CBF" w14:textId="77777777" w:rsidR="00986DE0" w:rsidRPr="00B4716C" w:rsidRDefault="00986DE0" w:rsidP="002060E8">
      <w:pPr>
        <w:spacing w:line="360" w:lineRule="auto"/>
        <w:rPr>
          <w:rFonts w:ascii="Lato" w:hAnsi="Lato" w:cstheme="minorHAnsi"/>
          <w:bCs/>
          <w:sz w:val="22"/>
          <w:szCs w:val="22"/>
        </w:rPr>
      </w:pPr>
      <w:r w:rsidRPr="00B4716C">
        <w:rPr>
          <w:rFonts w:ascii="Lato" w:hAnsi="Lato" w:cstheme="minorHAnsi"/>
          <w:bCs/>
          <w:sz w:val="22"/>
          <w:szCs w:val="22"/>
        </w:rPr>
        <w:t>Do</w:t>
      </w:r>
      <w:r w:rsidRPr="00B4716C">
        <w:rPr>
          <w:rFonts w:ascii="Lato" w:hAnsi="Lato" w:cstheme="minorHAnsi"/>
          <w:b/>
          <w:sz w:val="22"/>
          <w:szCs w:val="22"/>
        </w:rPr>
        <w:t xml:space="preserve"> </w:t>
      </w:r>
      <w:r w:rsidRPr="00B4716C">
        <w:rPr>
          <w:rFonts w:ascii="Lato" w:hAnsi="Lato" w:cstheme="minorHAnsi"/>
          <w:bCs/>
          <w:sz w:val="22"/>
          <w:szCs w:val="22"/>
        </w:rPr>
        <w:t xml:space="preserve">chorób przenoszonych drogą płciową podlegających obowiązkowej rejestracji należą: kiła, rzeżączka oraz ziarnica weneryczna wywołana przez chlamydie i inne </w:t>
      </w:r>
      <w:proofErr w:type="spellStart"/>
      <w:r w:rsidRPr="00B4716C">
        <w:rPr>
          <w:rFonts w:ascii="Lato" w:hAnsi="Lato" w:cstheme="minorHAnsi"/>
          <w:bCs/>
          <w:sz w:val="22"/>
          <w:szCs w:val="22"/>
        </w:rPr>
        <w:t>chlamydiozy</w:t>
      </w:r>
      <w:proofErr w:type="spellEnd"/>
      <w:r w:rsidRPr="00B4716C">
        <w:rPr>
          <w:rFonts w:ascii="Lato" w:hAnsi="Lato" w:cstheme="minorHAnsi"/>
          <w:bCs/>
          <w:sz w:val="22"/>
          <w:szCs w:val="22"/>
        </w:rPr>
        <w:t>. Od lat obserwuje się niedoszacowanie w zakresie zgłaszalności chorób przenoszonych drogą płciową.</w:t>
      </w:r>
    </w:p>
    <w:p w14:paraId="2C883B5E" w14:textId="26916262" w:rsidR="002060E8" w:rsidRDefault="00986DE0" w:rsidP="00383E25">
      <w:pPr>
        <w:spacing w:line="360" w:lineRule="auto"/>
        <w:rPr>
          <w:rFonts w:ascii="Lato" w:hAnsi="Lato" w:cstheme="minorHAnsi"/>
          <w:bCs/>
          <w:sz w:val="22"/>
          <w:szCs w:val="22"/>
        </w:rPr>
      </w:pPr>
      <w:r w:rsidRPr="00B4716C">
        <w:rPr>
          <w:rFonts w:ascii="Lato" w:hAnsi="Lato" w:cstheme="minorHAnsi"/>
          <w:bCs/>
          <w:sz w:val="22"/>
          <w:szCs w:val="22"/>
        </w:rPr>
        <w:t xml:space="preserve">Dane liczbowe zachorowań na choroby przenoszone drogą </w:t>
      </w:r>
      <w:r w:rsidRPr="00B4716C">
        <w:rPr>
          <w:rFonts w:ascii="Lato" w:hAnsi="Lato" w:cstheme="minorHAnsi"/>
          <w:bCs/>
          <w:spacing w:val="-4"/>
          <w:sz w:val="22"/>
          <w:szCs w:val="22"/>
        </w:rPr>
        <w:t xml:space="preserve">płciową </w:t>
      </w:r>
      <w:r w:rsidRPr="00B4716C">
        <w:rPr>
          <w:rFonts w:ascii="Lato" w:hAnsi="Lato" w:cstheme="minorHAnsi"/>
          <w:spacing w:val="-4"/>
          <w:sz w:val="22"/>
          <w:szCs w:val="22"/>
        </w:rPr>
        <w:t>w woj. zachodniopomorskim oraz dane porównawcze z Polski za okres ostatnich pięciu lat przedstawiono w tab</w:t>
      </w:r>
      <w:r w:rsidR="003F5C36">
        <w:rPr>
          <w:rFonts w:ascii="Lato" w:hAnsi="Lato" w:cstheme="minorHAnsi"/>
          <w:spacing w:val="-4"/>
          <w:sz w:val="22"/>
          <w:szCs w:val="22"/>
        </w:rPr>
        <w:t>eli</w:t>
      </w:r>
      <w:r w:rsidRPr="00B4716C">
        <w:rPr>
          <w:rFonts w:ascii="Lato" w:hAnsi="Lato" w:cstheme="minorHAnsi"/>
          <w:spacing w:val="-4"/>
          <w:sz w:val="22"/>
          <w:szCs w:val="22"/>
        </w:rPr>
        <w:t xml:space="preserve"> 1</w:t>
      </w:r>
      <w:r w:rsidR="003F5C36">
        <w:rPr>
          <w:rFonts w:ascii="Lato" w:hAnsi="Lato" w:cstheme="minorHAnsi"/>
          <w:spacing w:val="-4"/>
          <w:sz w:val="22"/>
          <w:szCs w:val="22"/>
        </w:rPr>
        <w:t>0</w:t>
      </w:r>
      <w:r w:rsidRPr="00B4716C">
        <w:rPr>
          <w:rFonts w:ascii="Lato" w:hAnsi="Lato" w:cstheme="minorHAnsi"/>
          <w:spacing w:val="-4"/>
          <w:sz w:val="22"/>
          <w:szCs w:val="22"/>
        </w:rPr>
        <w:t xml:space="preserve"> i 1</w:t>
      </w:r>
      <w:r w:rsidR="003F5C36">
        <w:rPr>
          <w:rFonts w:ascii="Lato" w:hAnsi="Lato" w:cstheme="minorHAnsi"/>
          <w:spacing w:val="-4"/>
          <w:sz w:val="22"/>
          <w:szCs w:val="22"/>
        </w:rPr>
        <w:t>1</w:t>
      </w:r>
      <w:r w:rsidRPr="00B4716C">
        <w:rPr>
          <w:rFonts w:ascii="Lato" w:hAnsi="Lato" w:cstheme="minorHAnsi"/>
          <w:bCs/>
          <w:sz w:val="22"/>
          <w:szCs w:val="22"/>
        </w:rPr>
        <w:t>.</w:t>
      </w:r>
    </w:p>
    <w:p w14:paraId="62E9AE09" w14:textId="77777777" w:rsidR="00F45A42" w:rsidRPr="00383E25" w:rsidRDefault="00F45A42" w:rsidP="00383E25">
      <w:pPr>
        <w:spacing w:line="360" w:lineRule="auto"/>
        <w:rPr>
          <w:rFonts w:ascii="Lato" w:hAnsi="Lato" w:cstheme="minorHAnsi"/>
          <w:bCs/>
          <w:sz w:val="22"/>
          <w:szCs w:val="22"/>
        </w:rPr>
      </w:pPr>
    </w:p>
    <w:p w14:paraId="54637999" w14:textId="4CD5BC28" w:rsidR="00986DE0" w:rsidRPr="00C80602" w:rsidRDefault="00C80602" w:rsidP="00C80602">
      <w:pPr>
        <w:pStyle w:val="Legenda"/>
        <w:rPr>
          <w:rFonts w:ascii="Lato" w:hAnsi="Lato" w:cstheme="minorHAnsi"/>
          <w:b w:val="0"/>
          <w:bCs w:val="0"/>
          <w:sz w:val="18"/>
          <w:szCs w:val="18"/>
        </w:rPr>
      </w:pPr>
      <w:bookmarkStart w:id="47" w:name="_Toc225859366"/>
      <w:r w:rsidRPr="00C80602">
        <w:rPr>
          <w:rFonts w:ascii="Lato" w:hAnsi="Lato"/>
          <w:b w:val="0"/>
          <w:bCs w:val="0"/>
          <w:sz w:val="18"/>
          <w:szCs w:val="18"/>
        </w:rPr>
        <w:t xml:space="preserve">Tabela </w:t>
      </w:r>
      <w:r w:rsidRPr="00C80602">
        <w:rPr>
          <w:rFonts w:ascii="Lato" w:hAnsi="Lato"/>
          <w:b w:val="0"/>
          <w:bCs w:val="0"/>
          <w:sz w:val="18"/>
          <w:szCs w:val="18"/>
        </w:rPr>
        <w:fldChar w:fldCharType="begin"/>
      </w:r>
      <w:r w:rsidRPr="00C80602">
        <w:rPr>
          <w:rFonts w:ascii="Lato" w:hAnsi="Lato"/>
          <w:b w:val="0"/>
          <w:bCs w:val="0"/>
          <w:sz w:val="18"/>
          <w:szCs w:val="18"/>
        </w:rPr>
        <w:instrText xml:space="preserve"> SEQ Tabela \* ARABIC </w:instrText>
      </w:r>
      <w:r w:rsidRPr="00C80602">
        <w:rPr>
          <w:rFonts w:ascii="Lato" w:hAnsi="Lato"/>
          <w:b w:val="0"/>
          <w:bCs w:val="0"/>
          <w:sz w:val="18"/>
          <w:szCs w:val="18"/>
        </w:rPr>
        <w:fldChar w:fldCharType="separate"/>
      </w:r>
      <w:r w:rsidR="002A3179">
        <w:rPr>
          <w:rFonts w:ascii="Lato" w:hAnsi="Lato"/>
          <w:b w:val="0"/>
          <w:bCs w:val="0"/>
          <w:noProof/>
          <w:sz w:val="18"/>
          <w:szCs w:val="18"/>
        </w:rPr>
        <w:t>10</w:t>
      </w:r>
      <w:r w:rsidRPr="00C80602">
        <w:rPr>
          <w:rFonts w:ascii="Lato" w:hAnsi="Lato"/>
          <w:b w:val="0"/>
          <w:bCs w:val="0"/>
          <w:sz w:val="18"/>
          <w:szCs w:val="18"/>
        </w:rPr>
        <w:fldChar w:fldCharType="end"/>
      </w:r>
      <w:r w:rsidRPr="00C80602">
        <w:rPr>
          <w:rFonts w:ascii="Lato" w:hAnsi="Lato"/>
          <w:b w:val="0"/>
          <w:bCs w:val="0"/>
          <w:sz w:val="18"/>
          <w:szCs w:val="18"/>
        </w:rPr>
        <w:t>.  Liczba zachorowań i współczynnik zapadalności na kiłę w Polsce i woj. zachodniopomorskim w latach 2021-2025.</w:t>
      </w:r>
      <w:bookmarkEnd w:id="47"/>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iczba zachorowań i współczynnik zapadalności na kiłę w Polsce i woj. zachodniopomorskim w latach 2021-2025"/>
        <w:tblDescription w:val="Tabela przedstawia dane dotyczące liczby zachorowań i współczynnika zapadalności na kiłę z podziałem na kiłę wrodzoną i noworodków, kiłę wczesną oraz późną, inną i nieokreśloną. W przypadku kiły wrodzonej i noworodków, a także kiły późnej, innej i nieokreślonej, w 2025 roku odnotowano wzrost zachorowań na te jednostki chorobowe."/>
      </w:tblPr>
      <w:tblGrid>
        <w:gridCol w:w="2037"/>
        <w:gridCol w:w="586"/>
        <w:gridCol w:w="720"/>
        <w:gridCol w:w="742"/>
        <w:gridCol w:w="721"/>
        <w:gridCol w:w="680"/>
        <w:gridCol w:w="721"/>
        <w:gridCol w:w="700"/>
        <w:gridCol w:w="793"/>
        <w:gridCol w:w="760"/>
        <w:gridCol w:w="720"/>
      </w:tblGrid>
      <w:tr w:rsidR="00986DE0" w:rsidRPr="00C35EAE" w14:paraId="40EA0356" w14:textId="77777777" w:rsidTr="00130F95">
        <w:tc>
          <w:tcPr>
            <w:tcW w:w="9180" w:type="dxa"/>
            <w:gridSpan w:val="11"/>
            <w:shd w:val="clear" w:color="auto" w:fill="D9D9D9" w:themeFill="background1" w:themeFillShade="D9"/>
            <w:vAlign w:val="center"/>
          </w:tcPr>
          <w:p w14:paraId="073CC1F8" w14:textId="77777777" w:rsidR="00986DE0" w:rsidRPr="00C35EAE" w:rsidRDefault="00986DE0" w:rsidP="003C7140">
            <w:pPr>
              <w:tabs>
                <w:tab w:val="left" w:pos="851"/>
              </w:tabs>
              <w:spacing w:line="276" w:lineRule="auto"/>
              <w:jc w:val="center"/>
              <w:outlineLvl w:val="3"/>
              <w:rPr>
                <w:rFonts w:ascii="Lato" w:hAnsi="Lato" w:cstheme="minorHAnsi"/>
                <w:bCs/>
                <w:sz w:val="20"/>
                <w:szCs w:val="20"/>
              </w:rPr>
            </w:pPr>
            <w:bookmarkStart w:id="48" w:name="_Hlk131670533"/>
            <w:r w:rsidRPr="00C35EAE">
              <w:rPr>
                <w:rFonts w:ascii="Lato" w:hAnsi="Lato" w:cstheme="minorHAnsi"/>
                <w:bCs/>
                <w:sz w:val="20"/>
                <w:szCs w:val="20"/>
              </w:rPr>
              <w:t>Kiła wrodzona i noworodków (A50)</w:t>
            </w:r>
          </w:p>
        </w:tc>
      </w:tr>
      <w:bookmarkEnd w:id="48"/>
      <w:tr w:rsidR="00986DE0" w:rsidRPr="00C35EAE" w14:paraId="2AA0167B" w14:textId="77777777" w:rsidTr="00130F95">
        <w:tc>
          <w:tcPr>
            <w:tcW w:w="1908" w:type="dxa"/>
            <w:vMerge w:val="restart"/>
            <w:shd w:val="clear" w:color="auto" w:fill="D9D9D9" w:themeFill="background1" w:themeFillShade="D9"/>
            <w:vAlign w:val="center"/>
          </w:tcPr>
          <w:p w14:paraId="6C8ED594" w14:textId="77777777" w:rsidR="00986DE0" w:rsidRPr="00C35EAE" w:rsidRDefault="00986DE0" w:rsidP="003C7140">
            <w:pPr>
              <w:tabs>
                <w:tab w:val="left" w:pos="851"/>
              </w:tabs>
              <w:spacing w:line="276" w:lineRule="auto"/>
              <w:jc w:val="center"/>
              <w:outlineLvl w:val="3"/>
              <w:rPr>
                <w:rFonts w:ascii="Lato" w:hAnsi="Lato" w:cstheme="minorHAnsi"/>
                <w:bCs/>
                <w:color w:val="EE0000"/>
                <w:sz w:val="20"/>
                <w:szCs w:val="20"/>
              </w:rPr>
            </w:pPr>
          </w:p>
          <w:p w14:paraId="3EA478B7" w14:textId="77777777" w:rsidR="00986DE0" w:rsidRPr="00C35EAE" w:rsidRDefault="00986DE0" w:rsidP="003C7140">
            <w:pPr>
              <w:tabs>
                <w:tab w:val="left" w:pos="851"/>
              </w:tabs>
              <w:spacing w:line="276" w:lineRule="auto"/>
              <w:jc w:val="center"/>
              <w:outlineLvl w:val="3"/>
              <w:rPr>
                <w:rFonts w:ascii="Lato" w:hAnsi="Lato" w:cs="Calibri"/>
                <w:bCs/>
                <w:color w:val="EE0000"/>
                <w:sz w:val="20"/>
                <w:szCs w:val="20"/>
              </w:rPr>
            </w:pPr>
          </w:p>
        </w:tc>
        <w:tc>
          <w:tcPr>
            <w:tcW w:w="1337" w:type="dxa"/>
            <w:gridSpan w:val="2"/>
            <w:shd w:val="clear" w:color="auto" w:fill="D9D9D9" w:themeFill="background1" w:themeFillShade="D9"/>
            <w:vAlign w:val="center"/>
          </w:tcPr>
          <w:p w14:paraId="46B7D853" w14:textId="77777777" w:rsidR="00986DE0" w:rsidRPr="00C35EAE" w:rsidRDefault="00986DE0" w:rsidP="003C7140">
            <w:pPr>
              <w:tabs>
                <w:tab w:val="left" w:pos="851"/>
              </w:tabs>
              <w:spacing w:line="276" w:lineRule="auto"/>
              <w:jc w:val="center"/>
              <w:outlineLvl w:val="3"/>
              <w:rPr>
                <w:rFonts w:ascii="Lato" w:hAnsi="Lato" w:cstheme="minorHAnsi"/>
                <w:bCs/>
                <w:sz w:val="20"/>
                <w:szCs w:val="20"/>
              </w:rPr>
            </w:pPr>
            <w:r w:rsidRPr="00C35EAE">
              <w:rPr>
                <w:rFonts w:ascii="Lato" w:hAnsi="Lato" w:cstheme="minorHAnsi"/>
                <w:bCs/>
                <w:sz w:val="20"/>
                <w:szCs w:val="20"/>
              </w:rPr>
              <w:t>2021 r.</w:t>
            </w:r>
          </w:p>
        </w:tc>
        <w:tc>
          <w:tcPr>
            <w:tcW w:w="1536" w:type="dxa"/>
            <w:gridSpan w:val="2"/>
            <w:shd w:val="clear" w:color="auto" w:fill="D9D9D9" w:themeFill="background1" w:themeFillShade="D9"/>
            <w:vAlign w:val="center"/>
          </w:tcPr>
          <w:p w14:paraId="15F2CBCF" w14:textId="77777777" w:rsidR="00986DE0" w:rsidRPr="00C35EAE" w:rsidRDefault="00986DE0" w:rsidP="003C7140">
            <w:pPr>
              <w:tabs>
                <w:tab w:val="left" w:pos="851"/>
              </w:tabs>
              <w:spacing w:line="276" w:lineRule="auto"/>
              <w:jc w:val="center"/>
              <w:outlineLvl w:val="3"/>
              <w:rPr>
                <w:rFonts w:ascii="Lato" w:hAnsi="Lato" w:cstheme="minorHAnsi"/>
                <w:bCs/>
                <w:sz w:val="20"/>
                <w:szCs w:val="20"/>
              </w:rPr>
            </w:pPr>
            <w:r w:rsidRPr="00C35EAE">
              <w:rPr>
                <w:rFonts w:ascii="Lato" w:hAnsi="Lato" w:cstheme="minorHAnsi"/>
                <w:bCs/>
                <w:sz w:val="20"/>
                <w:szCs w:val="20"/>
              </w:rPr>
              <w:t>2022 r.</w:t>
            </w:r>
          </w:p>
        </w:tc>
        <w:tc>
          <w:tcPr>
            <w:tcW w:w="1366" w:type="dxa"/>
            <w:gridSpan w:val="2"/>
            <w:shd w:val="clear" w:color="auto" w:fill="D9D9D9" w:themeFill="background1" w:themeFillShade="D9"/>
            <w:vAlign w:val="center"/>
          </w:tcPr>
          <w:p w14:paraId="1E818E02" w14:textId="77777777" w:rsidR="00986DE0" w:rsidRPr="00C35EAE" w:rsidRDefault="00986DE0" w:rsidP="003C7140">
            <w:pPr>
              <w:tabs>
                <w:tab w:val="left" w:pos="851"/>
              </w:tabs>
              <w:spacing w:line="276" w:lineRule="auto"/>
              <w:jc w:val="center"/>
              <w:outlineLvl w:val="3"/>
              <w:rPr>
                <w:rFonts w:ascii="Lato" w:hAnsi="Lato" w:cstheme="minorHAnsi"/>
                <w:bCs/>
                <w:sz w:val="20"/>
                <w:szCs w:val="20"/>
              </w:rPr>
            </w:pPr>
            <w:r w:rsidRPr="00C35EAE">
              <w:rPr>
                <w:rFonts w:ascii="Lato" w:hAnsi="Lato" w:cstheme="minorHAnsi"/>
                <w:bCs/>
                <w:sz w:val="20"/>
                <w:szCs w:val="20"/>
              </w:rPr>
              <w:t>2023 r.</w:t>
            </w:r>
          </w:p>
        </w:tc>
        <w:tc>
          <w:tcPr>
            <w:tcW w:w="1593" w:type="dxa"/>
            <w:gridSpan w:val="2"/>
            <w:shd w:val="clear" w:color="auto" w:fill="D9D9D9" w:themeFill="background1" w:themeFillShade="D9"/>
            <w:vAlign w:val="center"/>
          </w:tcPr>
          <w:p w14:paraId="6B3192FA" w14:textId="77777777" w:rsidR="00986DE0" w:rsidRPr="00C35EAE" w:rsidRDefault="00986DE0" w:rsidP="003C7140">
            <w:pPr>
              <w:tabs>
                <w:tab w:val="left" w:pos="851"/>
              </w:tabs>
              <w:spacing w:line="276" w:lineRule="auto"/>
              <w:jc w:val="center"/>
              <w:outlineLvl w:val="3"/>
              <w:rPr>
                <w:rFonts w:ascii="Lato" w:hAnsi="Lato" w:cstheme="minorHAnsi"/>
                <w:bCs/>
                <w:sz w:val="20"/>
                <w:szCs w:val="20"/>
              </w:rPr>
            </w:pPr>
            <w:r w:rsidRPr="00C35EAE">
              <w:rPr>
                <w:rFonts w:ascii="Lato" w:hAnsi="Lato" w:cstheme="minorHAnsi"/>
                <w:bCs/>
                <w:sz w:val="20"/>
                <w:szCs w:val="20"/>
              </w:rPr>
              <w:t>2024 r.</w:t>
            </w:r>
          </w:p>
        </w:tc>
        <w:tc>
          <w:tcPr>
            <w:tcW w:w="1440" w:type="dxa"/>
            <w:gridSpan w:val="2"/>
            <w:shd w:val="clear" w:color="auto" w:fill="D9D9D9" w:themeFill="background1" w:themeFillShade="D9"/>
            <w:vAlign w:val="center"/>
          </w:tcPr>
          <w:p w14:paraId="67E0801F" w14:textId="77777777" w:rsidR="00986DE0" w:rsidRPr="00C35EAE" w:rsidRDefault="00986DE0" w:rsidP="003C7140">
            <w:pPr>
              <w:tabs>
                <w:tab w:val="left" w:pos="851"/>
              </w:tabs>
              <w:spacing w:line="276" w:lineRule="auto"/>
              <w:jc w:val="center"/>
              <w:outlineLvl w:val="3"/>
              <w:rPr>
                <w:rFonts w:ascii="Lato" w:hAnsi="Lato" w:cstheme="minorHAnsi"/>
                <w:b/>
                <w:sz w:val="20"/>
                <w:szCs w:val="20"/>
              </w:rPr>
            </w:pPr>
            <w:r w:rsidRPr="00C35EAE">
              <w:rPr>
                <w:rFonts w:ascii="Lato" w:hAnsi="Lato" w:cstheme="minorHAnsi"/>
                <w:b/>
                <w:sz w:val="20"/>
                <w:szCs w:val="20"/>
              </w:rPr>
              <w:t>2025 r.</w:t>
            </w:r>
          </w:p>
        </w:tc>
      </w:tr>
      <w:tr w:rsidR="00986DE0" w:rsidRPr="00C35EAE" w14:paraId="2C29AA0A" w14:textId="77777777" w:rsidTr="00130F95">
        <w:trPr>
          <w:cantSplit/>
          <w:trHeight w:val="1502"/>
        </w:trPr>
        <w:tc>
          <w:tcPr>
            <w:tcW w:w="1908" w:type="dxa"/>
            <w:vMerge/>
            <w:shd w:val="clear" w:color="auto" w:fill="D9D9D9" w:themeFill="background1" w:themeFillShade="D9"/>
            <w:vAlign w:val="center"/>
          </w:tcPr>
          <w:p w14:paraId="5A8B31C4" w14:textId="77777777" w:rsidR="00986DE0" w:rsidRPr="00C35EAE" w:rsidRDefault="00986DE0" w:rsidP="003C7140">
            <w:pPr>
              <w:tabs>
                <w:tab w:val="left" w:pos="851"/>
              </w:tabs>
              <w:spacing w:line="276" w:lineRule="auto"/>
              <w:jc w:val="center"/>
              <w:outlineLvl w:val="3"/>
              <w:rPr>
                <w:rFonts w:ascii="Lato" w:hAnsi="Lato" w:cs="Calibri"/>
                <w:bCs/>
                <w:color w:val="EE0000"/>
                <w:sz w:val="20"/>
                <w:szCs w:val="20"/>
              </w:rPr>
            </w:pPr>
          </w:p>
        </w:tc>
        <w:tc>
          <w:tcPr>
            <w:tcW w:w="613" w:type="dxa"/>
            <w:shd w:val="clear" w:color="auto" w:fill="D9D9D9" w:themeFill="background1" w:themeFillShade="D9"/>
            <w:textDirection w:val="btLr"/>
            <w:vAlign w:val="center"/>
          </w:tcPr>
          <w:p w14:paraId="2901182D" w14:textId="77777777" w:rsidR="00986DE0" w:rsidRPr="00C35EAE" w:rsidRDefault="00986DE0" w:rsidP="003C7140">
            <w:pPr>
              <w:tabs>
                <w:tab w:val="left" w:pos="851"/>
              </w:tabs>
              <w:ind w:left="113" w:right="113"/>
              <w:jc w:val="center"/>
              <w:outlineLvl w:val="3"/>
              <w:rPr>
                <w:rFonts w:ascii="Lato" w:hAnsi="Lato" w:cstheme="minorHAnsi"/>
                <w:bCs/>
                <w:color w:val="EE0000"/>
                <w:sz w:val="20"/>
                <w:szCs w:val="20"/>
              </w:rPr>
            </w:pPr>
            <w:r w:rsidRPr="00C35EAE">
              <w:rPr>
                <w:rFonts w:ascii="Lato" w:hAnsi="Lato" w:cstheme="minorHAnsi"/>
                <w:bCs/>
                <w:sz w:val="20"/>
                <w:szCs w:val="20"/>
              </w:rPr>
              <w:t>Liczba zachorowań</w:t>
            </w:r>
          </w:p>
        </w:tc>
        <w:tc>
          <w:tcPr>
            <w:tcW w:w="724" w:type="dxa"/>
            <w:shd w:val="clear" w:color="auto" w:fill="D9D9D9" w:themeFill="background1" w:themeFillShade="D9"/>
            <w:textDirection w:val="btLr"/>
            <w:vAlign w:val="center"/>
          </w:tcPr>
          <w:p w14:paraId="2A09465F" w14:textId="77777777" w:rsidR="00986DE0" w:rsidRPr="00C35EAE" w:rsidRDefault="00986DE0" w:rsidP="003C7140">
            <w:pPr>
              <w:tabs>
                <w:tab w:val="left" w:pos="851"/>
              </w:tabs>
              <w:ind w:left="113" w:right="113"/>
              <w:jc w:val="center"/>
              <w:outlineLvl w:val="3"/>
              <w:rPr>
                <w:rFonts w:ascii="Lato" w:hAnsi="Lato" w:cstheme="minorHAnsi"/>
                <w:bCs/>
                <w:sz w:val="20"/>
                <w:szCs w:val="20"/>
              </w:rPr>
            </w:pPr>
            <w:r w:rsidRPr="00C35EAE">
              <w:rPr>
                <w:rFonts w:ascii="Lato" w:hAnsi="Lato" w:cstheme="minorHAnsi"/>
                <w:bCs/>
                <w:sz w:val="20"/>
                <w:szCs w:val="20"/>
              </w:rPr>
              <w:t>Zapadalność</w:t>
            </w:r>
            <w:r w:rsidRPr="00C35EAE">
              <w:rPr>
                <w:rFonts w:ascii="Lato" w:hAnsi="Lato" w:cstheme="minorHAnsi"/>
                <w:bCs/>
                <w:sz w:val="20"/>
                <w:szCs w:val="20"/>
              </w:rPr>
              <w:br/>
              <w:t>na 100 tys.</w:t>
            </w:r>
          </w:p>
        </w:tc>
        <w:tc>
          <w:tcPr>
            <w:tcW w:w="810" w:type="dxa"/>
            <w:shd w:val="clear" w:color="auto" w:fill="D9D9D9" w:themeFill="background1" w:themeFillShade="D9"/>
            <w:textDirection w:val="btLr"/>
            <w:vAlign w:val="center"/>
          </w:tcPr>
          <w:p w14:paraId="40DD840D" w14:textId="77777777" w:rsidR="00986DE0" w:rsidRPr="00C35EAE" w:rsidRDefault="00986DE0" w:rsidP="003C7140">
            <w:pPr>
              <w:tabs>
                <w:tab w:val="left" w:pos="851"/>
              </w:tabs>
              <w:ind w:left="113" w:right="113"/>
              <w:jc w:val="center"/>
              <w:outlineLvl w:val="3"/>
              <w:rPr>
                <w:rFonts w:ascii="Lato" w:hAnsi="Lato" w:cstheme="minorHAnsi"/>
                <w:bCs/>
                <w:sz w:val="20"/>
                <w:szCs w:val="20"/>
              </w:rPr>
            </w:pPr>
            <w:r w:rsidRPr="00C35EAE">
              <w:rPr>
                <w:rFonts w:ascii="Lato" w:hAnsi="Lato" w:cstheme="minorHAnsi"/>
                <w:bCs/>
                <w:sz w:val="20"/>
                <w:szCs w:val="20"/>
              </w:rPr>
              <w:t>Liczba zachorowań</w:t>
            </w:r>
          </w:p>
        </w:tc>
        <w:tc>
          <w:tcPr>
            <w:tcW w:w="726" w:type="dxa"/>
            <w:shd w:val="clear" w:color="auto" w:fill="D9D9D9" w:themeFill="background1" w:themeFillShade="D9"/>
            <w:textDirection w:val="btLr"/>
            <w:vAlign w:val="center"/>
          </w:tcPr>
          <w:p w14:paraId="0D1FC2E3" w14:textId="77777777" w:rsidR="00986DE0" w:rsidRPr="00C35EAE" w:rsidRDefault="00986DE0" w:rsidP="003C7140">
            <w:pPr>
              <w:tabs>
                <w:tab w:val="left" w:pos="851"/>
              </w:tabs>
              <w:ind w:left="113" w:right="113"/>
              <w:jc w:val="center"/>
              <w:outlineLvl w:val="3"/>
              <w:rPr>
                <w:rFonts w:ascii="Lato" w:hAnsi="Lato" w:cstheme="minorHAnsi"/>
                <w:bCs/>
                <w:sz w:val="20"/>
                <w:szCs w:val="20"/>
              </w:rPr>
            </w:pPr>
            <w:r w:rsidRPr="00C35EAE">
              <w:rPr>
                <w:rFonts w:ascii="Lato" w:hAnsi="Lato" w:cstheme="minorHAnsi"/>
                <w:bCs/>
                <w:sz w:val="20"/>
                <w:szCs w:val="20"/>
              </w:rPr>
              <w:t>Zapadalność</w:t>
            </w:r>
            <w:r w:rsidRPr="00C35EAE">
              <w:rPr>
                <w:rFonts w:ascii="Lato" w:hAnsi="Lato" w:cstheme="minorHAnsi"/>
                <w:bCs/>
                <w:sz w:val="20"/>
                <w:szCs w:val="20"/>
              </w:rPr>
              <w:br/>
              <w:t>na 100 tys.</w:t>
            </w:r>
          </w:p>
        </w:tc>
        <w:tc>
          <w:tcPr>
            <w:tcW w:w="640" w:type="dxa"/>
            <w:shd w:val="clear" w:color="auto" w:fill="D9D9D9" w:themeFill="background1" w:themeFillShade="D9"/>
            <w:textDirection w:val="btLr"/>
            <w:vAlign w:val="center"/>
          </w:tcPr>
          <w:p w14:paraId="168441FA" w14:textId="77777777" w:rsidR="00986DE0" w:rsidRPr="00C35EAE" w:rsidRDefault="00986DE0" w:rsidP="003C7140">
            <w:pPr>
              <w:tabs>
                <w:tab w:val="left" w:pos="851"/>
              </w:tabs>
              <w:ind w:left="113" w:right="113"/>
              <w:jc w:val="center"/>
              <w:outlineLvl w:val="3"/>
              <w:rPr>
                <w:rFonts w:ascii="Lato" w:hAnsi="Lato" w:cstheme="minorHAnsi"/>
                <w:bCs/>
                <w:sz w:val="20"/>
                <w:szCs w:val="20"/>
              </w:rPr>
            </w:pPr>
            <w:r w:rsidRPr="00C35EAE">
              <w:rPr>
                <w:rFonts w:ascii="Lato" w:hAnsi="Lato" w:cstheme="minorHAnsi"/>
                <w:bCs/>
                <w:sz w:val="20"/>
                <w:szCs w:val="20"/>
              </w:rPr>
              <w:t>Liczba zachorowań</w:t>
            </w:r>
          </w:p>
        </w:tc>
        <w:tc>
          <w:tcPr>
            <w:tcW w:w="726" w:type="dxa"/>
            <w:shd w:val="clear" w:color="auto" w:fill="D9D9D9" w:themeFill="background1" w:themeFillShade="D9"/>
            <w:textDirection w:val="btLr"/>
            <w:vAlign w:val="center"/>
          </w:tcPr>
          <w:p w14:paraId="6AE3E08B" w14:textId="77777777" w:rsidR="00986DE0" w:rsidRPr="00C35EAE" w:rsidRDefault="00986DE0" w:rsidP="003C7140">
            <w:pPr>
              <w:tabs>
                <w:tab w:val="left" w:pos="851"/>
              </w:tabs>
              <w:ind w:left="113" w:right="113"/>
              <w:jc w:val="center"/>
              <w:outlineLvl w:val="3"/>
              <w:rPr>
                <w:rFonts w:ascii="Lato" w:hAnsi="Lato" w:cstheme="minorHAnsi"/>
                <w:bCs/>
                <w:sz w:val="20"/>
                <w:szCs w:val="20"/>
              </w:rPr>
            </w:pPr>
            <w:r w:rsidRPr="00C35EAE">
              <w:rPr>
                <w:rFonts w:ascii="Lato" w:hAnsi="Lato" w:cstheme="minorHAnsi"/>
                <w:bCs/>
                <w:sz w:val="20"/>
                <w:szCs w:val="20"/>
              </w:rPr>
              <w:t>Zapadalność</w:t>
            </w:r>
            <w:r w:rsidRPr="00C35EAE">
              <w:rPr>
                <w:rFonts w:ascii="Lato" w:hAnsi="Lato" w:cstheme="minorHAnsi"/>
                <w:bCs/>
                <w:sz w:val="20"/>
                <w:szCs w:val="20"/>
              </w:rPr>
              <w:br/>
              <w:t>na 100 tys.</w:t>
            </w:r>
          </w:p>
        </w:tc>
        <w:tc>
          <w:tcPr>
            <w:tcW w:w="722" w:type="dxa"/>
            <w:shd w:val="clear" w:color="auto" w:fill="D9D9D9" w:themeFill="background1" w:themeFillShade="D9"/>
            <w:textDirection w:val="btLr"/>
            <w:vAlign w:val="center"/>
          </w:tcPr>
          <w:p w14:paraId="432A34B3" w14:textId="77777777" w:rsidR="00986DE0" w:rsidRPr="00C35EAE" w:rsidRDefault="00986DE0" w:rsidP="003C7140">
            <w:pPr>
              <w:tabs>
                <w:tab w:val="left" w:pos="851"/>
              </w:tabs>
              <w:ind w:left="113" w:right="113"/>
              <w:jc w:val="center"/>
              <w:outlineLvl w:val="3"/>
              <w:rPr>
                <w:rFonts w:ascii="Lato" w:hAnsi="Lato" w:cstheme="minorHAnsi"/>
                <w:bCs/>
                <w:sz w:val="20"/>
                <w:szCs w:val="20"/>
              </w:rPr>
            </w:pPr>
            <w:r w:rsidRPr="00C35EAE">
              <w:rPr>
                <w:rFonts w:ascii="Lato" w:hAnsi="Lato" w:cstheme="minorHAnsi"/>
                <w:bCs/>
                <w:sz w:val="20"/>
                <w:szCs w:val="20"/>
              </w:rPr>
              <w:t>Liczba zachorowań</w:t>
            </w:r>
          </w:p>
        </w:tc>
        <w:tc>
          <w:tcPr>
            <w:tcW w:w="871" w:type="dxa"/>
            <w:shd w:val="clear" w:color="auto" w:fill="D9D9D9" w:themeFill="background1" w:themeFillShade="D9"/>
            <w:textDirection w:val="btLr"/>
            <w:vAlign w:val="center"/>
          </w:tcPr>
          <w:p w14:paraId="453488C6" w14:textId="77777777" w:rsidR="00986DE0" w:rsidRPr="00C35EAE" w:rsidRDefault="00986DE0" w:rsidP="003C7140">
            <w:pPr>
              <w:tabs>
                <w:tab w:val="left" w:pos="851"/>
              </w:tabs>
              <w:ind w:left="113" w:right="113"/>
              <w:jc w:val="center"/>
              <w:outlineLvl w:val="3"/>
              <w:rPr>
                <w:rFonts w:ascii="Lato" w:hAnsi="Lato" w:cstheme="minorHAnsi"/>
                <w:bCs/>
                <w:sz w:val="20"/>
                <w:szCs w:val="20"/>
              </w:rPr>
            </w:pPr>
            <w:r w:rsidRPr="00C35EAE">
              <w:rPr>
                <w:rFonts w:ascii="Lato" w:hAnsi="Lato" w:cstheme="minorHAnsi"/>
                <w:bCs/>
                <w:sz w:val="20"/>
                <w:szCs w:val="20"/>
              </w:rPr>
              <w:t>Zapadalność</w:t>
            </w:r>
            <w:r w:rsidRPr="00C35EAE">
              <w:rPr>
                <w:rFonts w:ascii="Lato" w:hAnsi="Lato" w:cstheme="minorHAnsi"/>
                <w:bCs/>
                <w:sz w:val="20"/>
                <w:szCs w:val="20"/>
              </w:rPr>
              <w:br/>
              <w:t>na 100 tys.</w:t>
            </w:r>
          </w:p>
        </w:tc>
        <w:tc>
          <w:tcPr>
            <w:tcW w:w="716" w:type="dxa"/>
            <w:shd w:val="clear" w:color="auto" w:fill="D9D9D9" w:themeFill="background1" w:themeFillShade="D9"/>
            <w:textDirection w:val="btLr"/>
            <w:vAlign w:val="center"/>
          </w:tcPr>
          <w:p w14:paraId="0B6FF44A" w14:textId="77777777" w:rsidR="00986DE0" w:rsidRPr="00C35EAE" w:rsidRDefault="00986DE0" w:rsidP="003C7140">
            <w:pPr>
              <w:tabs>
                <w:tab w:val="left" w:pos="851"/>
              </w:tabs>
              <w:ind w:left="113" w:right="113"/>
              <w:jc w:val="center"/>
              <w:outlineLvl w:val="3"/>
              <w:rPr>
                <w:rFonts w:ascii="Lato" w:hAnsi="Lato" w:cstheme="minorHAnsi"/>
                <w:b/>
                <w:sz w:val="20"/>
                <w:szCs w:val="20"/>
              </w:rPr>
            </w:pPr>
            <w:r w:rsidRPr="00C35EAE">
              <w:rPr>
                <w:rFonts w:ascii="Lato" w:hAnsi="Lato" w:cstheme="minorHAnsi"/>
                <w:b/>
                <w:sz w:val="20"/>
                <w:szCs w:val="20"/>
              </w:rPr>
              <w:t>Liczba zachorowań</w:t>
            </w:r>
          </w:p>
        </w:tc>
        <w:tc>
          <w:tcPr>
            <w:tcW w:w="724" w:type="dxa"/>
            <w:shd w:val="clear" w:color="auto" w:fill="D9D9D9" w:themeFill="background1" w:themeFillShade="D9"/>
            <w:textDirection w:val="btLr"/>
            <w:vAlign w:val="center"/>
          </w:tcPr>
          <w:p w14:paraId="60FB84FC" w14:textId="77777777" w:rsidR="00986DE0" w:rsidRPr="00C71DD3" w:rsidRDefault="00986DE0" w:rsidP="003C7140">
            <w:pPr>
              <w:tabs>
                <w:tab w:val="left" w:pos="851"/>
              </w:tabs>
              <w:ind w:left="113" w:right="113"/>
              <w:jc w:val="center"/>
              <w:outlineLvl w:val="3"/>
              <w:rPr>
                <w:rFonts w:ascii="Lato" w:hAnsi="Lato" w:cstheme="minorHAnsi"/>
                <w:b/>
                <w:sz w:val="20"/>
                <w:szCs w:val="20"/>
              </w:rPr>
            </w:pPr>
            <w:r w:rsidRPr="00C71DD3">
              <w:rPr>
                <w:rFonts w:ascii="Lato" w:hAnsi="Lato" w:cstheme="minorHAnsi"/>
                <w:b/>
                <w:sz w:val="20"/>
                <w:szCs w:val="20"/>
              </w:rPr>
              <w:t>Zapadalność</w:t>
            </w:r>
            <w:r w:rsidRPr="00C71DD3">
              <w:rPr>
                <w:rFonts w:ascii="Lato" w:hAnsi="Lato" w:cstheme="minorHAnsi"/>
                <w:b/>
                <w:sz w:val="20"/>
                <w:szCs w:val="20"/>
              </w:rPr>
              <w:br/>
              <w:t>na 100 tys.</w:t>
            </w:r>
          </w:p>
        </w:tc>
      </w:tr>
      <w:tr w:rsidR="00986DE0" w:rsidRPr="00C35EAE" w14:paraId="46E8853C" w14:textId="77777777" w:rsidTr="003C7140">
        <w:trPr>
          <w:trHeight w:val="491"/>
        </w:trPr>
        <w:tc>
          <w:tcPr>
            <w:tcW w:w="1908" w:type="dxa"/>
            <w:vAlign w:val="center"/>
          </w:tcPr>
          <w:p w14:paraId="556D0A16" w14:textId="77777777" w:rsidR="00986DE0" w:rsidRPr="00C35EAE" w:rsidRDefault="00986DE0" w:rsidP="003C7140">
            <w:pPr>
              <w:tabs>
                <w:tab w:val="left" w:pos="851"/>
              </w:tabs>
              <w:spacing w:line="276" w:lineRule="auto"/>
              <w:jc w:val="center"/>
              <w:outlineLvl w:val="3"/>
              <w:rPr>
                <w:rFonts w:ascii="Lato" w:hAnsi="Lato" w:cstheme="minorHAnsi"/>
                <w:bCs/>
                <w:sz w:val="20"/>
                <w:szCs w:val="20"/>
              </w:rPr>
            </w:pPr>
            <w:r w:rsidRPr="00C35EAE">
              <w:rPr>
                <w:rFonts w:ascii="Lato" w:hAnsi="Lato" w:cstheme="minorHAnsi"/>
                <w:bCs/>
                <w:smallCaps/>
                <w:sz w:val="20"/>
                <w:szCs w:val="20"/>
              </w:rPr>
              <w:t>Polska</w:t>
            </w:r>
          </w:p>
        </w:tc>
        <w:tc>
          <w:tcPr>
            <w:tcW w:w="613" w:type="dxa"/>
            <w:vAlign w:val="center"/>
          </w:tcPr>
          <w:p w14:paraId="5328E0A2"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1</w:t>
            </w:r>
          </w:p>
        </w:tc>
        <w:tc>
          <w:tcPr>
            <w:tcW w:w="724" w:type="dxa"/>
            <w:vAlign w:val="center"/>
          </w:tcPr>
          <w:p w14:paraId="623E7D3E"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0,30</w:t>
            </w:r>
          </w:p>
        </w:tc>
        <w:tc>
          <w:tcPr>
            <w:tcW w:w="810" w:type="dxa"/>
            <w:vAlign w:val="center"/>
          </w:tcPr>
          <w:p w14:paraId="12579DED"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5</w:t>
            </w:r>
          </w:p>
        </w:tc>
        <w:tc>
          <w:tcPr>
            <w:tcW w:w="726" w:type="dxa"/>
            <w:vAlign w:val="center"/>
          </w:tcPr>
          <w:p w14:paraId="46523DE0"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1,58</w:t>
            </w:r>
          </w:p>
        </w:tc>
        <w:tc>
          <w:tcPr>
            <w:tcW w:w="640" w:type="dxa"/>
            <w:vAlign w:val="center"/>
          </w:tcPr>
          <w:p w14:paraId="5C1C9DBB"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3</w:t>
            </w:r>
          </w:p>
        </w:tc>
        <w:tc>
          <w:tcPr>
            <w:tcW w:w="726" w:type="dxa"/>
            <w:vAlign w:val="center"/>
          </w:tcPr>
          <w:p w14:paraId="50DBE33A"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1,10</w:t>
            </w:r>
          </w:p>
        </w:tc>
        <w:tc>
          <w:tcPr>
            <w:tcW w:w="722" w:type="dxa"/>
            <w:vAlign w:val="center"/>
          </w:tcPr>
          <w:p w14:paraId="1EA90F2D" w14:textId="77777777" w:rsidR="00986DE0" w:rsidRPr="002552FE" w:rsidRDefault="00986DE0" w:rsidP="003C7140">
            <w:pPr>
              <w:tabs>
                <w:tab w:val="left" w:pos="851"/>
              </w:tabs>
              <w:spacing w:line="276" w:lineRule="auto"/>
              <w:jc w:val="center"/>
              <w:outlineLvl w:val="3"/>
              <w:rPr>
                <w:rFonts w:ascii="Lato" w:hAnsi="Lato" w:cstheme="minorHAnsi"/>
                <w:bCs/>
                <w:sz w:val="20"/>
                <w:szCs w:val="20"/>
              </w:rPr>
            </w:pPr>
            <w:r w:rsidRPr="002552FE">
              <w:rPr>
                <w:rFonts w:ascii="Lato" w:hAnsi="Lato" w:cstheme="minorHAnsi"/>
                <w:bCs/>
                <w:sz w:val="20"/>
                <w:szCs w:val="20"/>
              </w:rPr>
              <w:t>5</w:t>
            </w:r>
          </w:p>
        </w:tc>
        <w:tc>
          <w:tcPr>
            <w:tcW w:w="871" w:type="dxa"/>
            <w:vAlign w:val="center"/>
          </w:tcPr>
          <w:p w14:paraId="56B7E26D" w14:textId="77777777" w:rsidR="00986DE0" w:rsidRPr="002552FE" w:rsidRDefault="00986DE0" w:rsidP="003C7140">
            <w:pPr>
              <w:tabs>
                <w:tab w:val="left" w:pos="851"/>
              </w:tabs>
              <w:spacing w:line="276" w:lineRule="auto"/>
              <w:jc w:val="center"/>
              <w:outlineLvl w:val="3"/>
              <w:rPr>
                <w:rFonts w:ascii="Lato" w:hAnsi="Lato" w:cstheme="minorHAnsi"/>
                <w:bCs/>
                <w:sz w:val="20"/>
                <w:szCs w:val="20"/>
              </w:rPr>
            </w:pPr>
            <w:r w:rsidRPr="002552FE">
              <w:rPr>
                <w:rFonts w:ascii="Lato" w:hAnsi="Lato" w:cstheme="minorHAnsi"/>
                <w:bCs/>
                <w:sz w:val="20"/>
                <w:szCs w:val="20"/>
              </w:rPr>
              <w:t>1,99</w:t>
            </w:r>
          </w:p>
        </w:tc>
        <w:tc>
          <w:tcPr>
            <w:tcW w:w="716" w:type="dxa"/>
            <w:vAlign w:val="center"/>
          </w:tcPr>
          <w:p w14:paraId="67764876" w14:textId="77777777" w:rsidR="00986DE0" w:rsidRPr="002552FE" w:rsidRDefault="00986DE0" w:rsidP="003C7140">
            <w:pPr>
              <w:tabs>
                <w:tab w:val="left" w:pos="851"/>
              </w:tabs>
              <w:spacing w:line="276" w:lineRule="auto"/>
              <w:jc w:val="center"/>
              <w:outlineLvl w:val="3"/>
              <w:rPr>
                <w:rFonts w:ascii="Lato" w:hAnsi="Lato" w:cstheme="minorHAnsi"/>
                <w:b/>
                <w:sz w:val="20"/>
                <w:szCs w:val="20"/>
              </w:rPr>
            </w:pPr>
            <w:r w:rsidRPr="002552FE">
              <w:rPr>
                <w:rFonts w:ascii="Lato" w:hAnsi="Lato" w:cstheme="minorHAnsi"/>
                <w:b/>
                <w:sz w:val="20"/>
                <w:szCs w:val="20"/>
              </w:rPr>
              <w:t>15*</w:t>
            </w:r>
          </w:p>
        </w:tc>
        <w:tc>
          <w:tcPr>
            <w:tcW w:w="724" w:type="dxa"/>
            <w:vAlign w:val="center"/>
          </w:tcPr>
          <w:p w14:paraId="3FC6C10A" w14:textId="77777777" w:rsidR="00986DE0" w:rsidRPr="002552FE" w:rsidRDefault="00986DE0" w:rsidP="003C7140">
            <w:pPr>
              <w:tabs>
                <w:tab w:val="left" w:pos="851"/>
              </w:tabs>
              <w:spacing w:line="276" w:lineRule="auto"/>
              <w:jc w:val="center"/>
              <w:outlineLvl w:val="3"/>
              <w:rPr>
                <w:rFonts w:ascii="Lato" w:hAnsi="Lato" w:cstheme="minorHAnsi"/>
                <w:b/>
                <w:sz w:val="20"/>
                <w:szCs w:val="20"/>
              </w:rPr>
            </w:pPr>
            <w:r w:rsidRPr="002552FE">
              <w:rPr>
                <w:rFonts w:ascii="Lato" w:hAnsi="Lato" w:cstheme="minorHAnsi"/>
                <w:b/>
                <w:sz w:val="20"/>
                <w:szCs w:val="20"/>
              </w:rPr>
              <w:t>5,96</w:t>
            </w:r>
          </w:p>
        </w:tc>
      </w:tr>
      <w:tr w:rsidR="00986DE0" w:rsidRPr="00C35EAE" w14:paraId="3367A667" w14:textId="77777777" w:rsidTr="003C7140">
        <w:trPr>
          <w:trHeight w:val="545"/>
        </w:trPr>
        <w:tc>
          <w:tcPr>
            <w:tcW w:w="1908" w:type="dxa"/>
            <w:vAlign w:val="center"/>
          </w:tcPr>
          <w:p w14:paraId="614C1826" w14:textId="77777777" w:rsidR="00986DE0" w:rsidRPr="00C35EAE" w:rsidRDefault="00986DE0" w:rsidP="003C7140">
            <w:pPr>
              <w:jc w:val="center"/>
              <w:rPr>
                <w:rFonts w:ascii="Lato" w:hAnsi="Lato" w:cstheme="minorHAnsi"/>
                <w:sz w:val="20"/>
                <w:szCs w:val="20"/>
              </w:rPr>
            </w:pPr>
            <w:r w:rsidRPr="00C35EAE">
              <w:rPr>
                <w:rFonts w:ascii="Lato" w:hAnsi="Lato" w:cstheme="minorHAnsi"/>
                <w:sz w:val="20"/>
                <w:szCs w:val="20"/>
              </w:rPr>
              <w:t>województwo</w:t>
            </w:r>
          </w:p>
          <w:p w14:paraId="3F476357" w14:textId="77777777" w:rsidR="00986DE0" w:rsidRPr="00C35EAE" w:rsidRDefault="00986DE0" w:rsidP="003C7140">
            <w:pPr>
              <w:jc w:val="center"/>
              <w:rPr>
                <w:rFonts w:ascii="Lato" w:hAnsi="Lato" w:cstheme="minorHAnsi"/>
              </w:rPr>
            </w:pPr>
            <w:r w:rsidRPr="00C35EAE">
              <w:rPr>
                <w:rFonts w:ascii="Lato" w:hAnsi="Lato" w:cstheme="minorHAnsi"/>
                <w:sz w:val="20"/>
                <w:szCs w:val="20"/>
              </w:rPr>
              <w:t>zachodniopomorskie</w:t>
            </w:r>
          </w:p>
        </w:tc>
        <w:tc>
          <w:tcPr>
            <w:tcW w:w="613" w:type="dxa"/>
            <w:vAlign w:val="center"/>
          </w:tcPr>
          <w:p w14:paraId="30BACBE9"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0</w:t>
            </w:r>
          </w:p>
        </w:tc>
        <w:tc>
          <w:tcPr>
            <w:tcW w:w="724" w:type="dxa"/>
            <w:vAlign w:val="center"/>
          </w:tcPr>
          <w:p w14:paraId="092D722E"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0</w:t>
            </w:r>
          </w:p>
        </w:tc>
        <w:tc>
          <w:tcPr>
            <w:tcW w:w="810" w:type="dxa"/>
            <w:vAlign w:val="center"/>
          </w:tcPr>
          <w:p w14:paraId="2F81FB98"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1</w:t>
            </w:r>
          </w:p>
        </w:tc>
        <w:tc>
          <w:tcPr>
            <w:tcW w:w="726" w:type="dxa"/>
            <w:vAlign w:val="center"/>
          </w:tcPr>
          <w:p w14:paraId="289DC87E"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8,21</w:t>
            </w:r>
          </w:p>
        </w:tc>
        <w:tc>
          <w:tcPr>
            <w:tcW w:w="640" w:type="dxa"/>
            <w:vAlign w:val="center"/>
          </w:tcPr>
          <w:p w14:paraId="48214E2F"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0</w:t>
            </w:r>
          </w:p>
        </w:tc>
        <w:tc>
          <w:tcPr>
            <w:tcW w:w="726" w:type="dxa"/>
            <w:vAlign w:val="center"/>
          </w:tcPr>
          <w:p w14:paraId="40C134B2"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0</w:t>
            </w:r>
          </w:p>
        </w:tc>
        <w:tc>
          <w:tcPr>
            <w:tcW w:w="722" w:type="dxa"/>
            <w:vAlign w:val="center"/>
          </w:tcPr>
          <w:p w14:paraId="4F0F5F6A" w14:textId="77777777" w:rsidR="00986DE0" w:rsidRPr="002552FE" w:rsidRDefault="00986DE0" w:rsidP="003C7140">
            <w:pPr>
              <w:tabs>
                <w:tab w:val="left" w:pos="851"/>
              </w:tabs>
              <w:spacing w:line="276" w:lineRule="auto"/>
              <w:jc w:val="center"/>
              <w:outlineLvl w:val="3"/>
              <w:rPr>
                <w:rFonts w:ascii="Lato" w:hAnsi="Lato" w:cstheme="minorHAnsi"/>
                <w:bCs/>
                <w:sz w:val="20"/>
                <w:szCs w:val="20"/>
              </w:rPr>
            </w:pPr>
            <w:r w:rsidRPr="002552FE">
              <w:rPr>
                <w:rFonts w:ascii="Lato" w:hAnsi="Lato" w:cstheme="minorHAnsi"/>
                <w:bCs/>
                <w:sz w:val="20"/>
                <w:szCs w:val="20"/>
              </w:rPr>
              <w:t>1</w:t>
            </w:r>
          </w:p>
        </w:tc>
        <w:tc>
          <w:tcPr>
            <w:tcW w:w="871" w:type="dxa"/>
            <w:vAlign w:val="center"/>
          </w:tcPr>
          <w:p w14:paraId="1BCC3BAE" w14:textId="77777777" w:rsidR="00986DE0" w:rsidRPr="002552FE" w:rsidRDefault="00986DE0" w:rsidP="003C7140">
            <w:pPr>
              <w:tabs>
                <w:tab w:val="left" w:pos="851"/>
              </w:tabs>
              <w:spacing w:line="276" w:lineRule="auto"/>
              <w:jc w:val="center"/>
              <w:outlineLvl w:val="3"/>
              <w:rPr>
                <w:rFonts w:ascii="Lato" w:hAnsi="Lato" w:cstheme="minorHAnsi"/>
                <w:bCs/>
                <w:sz w:val="20"/>
                <w:szCs w:val="20"/>
                <w:highlight w:val="yellow"/>
              </w:rPr>
            </w:pPr>
            <w:r w:rsidRPr="002552FE">
              <w:rPr>
                <w:rFonts w:ascii="Lato" w:hAnsi="Lato" w:cstheme="minorHAnsi"/>
                <w:bCs/>
                <w:sz w:val="20"/>
                <w:szCs w:val="20"/>
              </w:rPr>
              <w:t>10,14</w:t>
            </w:r>
          </w:p>
        </w:tc>
        <w:tc>
          <w:tcPr>
            <w:tcW w:w="716" w:type="dxa"/>
            <w:vAlign w:val="center"/>
          </w:tcPr>
          <w:p w14:paraId="051A3158" w14:textId="77777777" w:rsidR="00986DE0" w:rsidRPr="002552FE" w:rsidRDefault="00986DE0" w:rsidP="003C7140">
            <w:pPr>
              <w:tabs>
                <w:tab w:val="left" w:pos="851"/>
              </w:tabs>
              <w:spacing w:line="276" w:lineRule="auto"/>
              <w:jc w:val="center"/>
              <w:outlineLvl w:val="3"/>
              <w:rPr>
                <w:rFonts w:ascii="Lato" w:hAnsi="Lato" w:cstheme="minorHAnsi"/>
                <w:b/>
                <w:sz w:val="20"/>
                <w:szCs w:val="20"/>
              </w:rPr>
            </w:pPr>
            <w:r w:rsidRPr="002552FE">
              <w:rPr>
                <w:rFonts w:ascii="Lato" w:hAnsi="Lato" w:cstheme="minorHAnsi"/>
                <w:b/>
                <w:sz w:val="20"/>
                <w:szCs w:val="20"/>
              </w:rPr>
              <w:t>0</w:t>
            </w:r>
          </w:p>
        </w:tc>
        <w:tc>
          <w:tcPr>
            <w:tcW w:w="724" w:type="dxa"/>
            <w:vAlign w:val="center"/>
          </w:tcPr>
          <w:p w14:paraId="58E3BA1C" w14:textId="77777777" w:rsidR="00986DE0" w:rsidRPr="002552FE" w:rsidRDefault="00986DE0" w:rsidP="003C7140">
            <w:pPr>
              <w:tabs>
                <w:tab w:val="left" w:pos="851"/>
              </w:tabs>
              <w:spacing w:line="276" w:lineRule="auto"/>
              <w:jc w:val="center"/>
              <w:outlineLvl w:val="3"/>
              <w:rPr>
                <w:rFonts w:ascii="Lato" w:hAnsi="Lato" w:cstheme="minorHAnsi"/>
                <w:b/>
                <w:sz w:val="20"/>
                <w:szCs w:val="20"/>
              </w:rPr>
            </w:pPr>
            <w:r w:rsidRPr="002552FE">
              <w:rPr>
                <w:rFonts w:ascii="Lato" w:hAnsi="Lato" w:cstheme="minorHAnsi"/>
                <w:b/>
                <w:sz w:val="20"/>
                <w:szCs w:val="20"/>
              </w:rPr>
              <w:t>0**</w:t>
            </w:r>
          </w:p>
        </w:tc>
      </w:tr>
      <w:tr w:rsidR="00986DE0" w:rsidRPr="00C35EAE" w14:paraId="63E327FB" w14:textId="77777777" w:rsidTr="00130F95">
        <w:tc>
          <w:tcPr>
            <w:tcW w:w="9180" w:type="dxa"/>
            <w:gridSpan w:val="11"/>
            <w:shd w:val="clear" w:color="auto" w:fill="D9D9D9" w:themeFill="background1" w:themeFillShade="D9"/>
            <w:vAlign w:val="center"/>
          </w:tcPr>
          <w:p w14:paraId="2A679C47" w14:textId="77777777" w:rsidR="00986DE0" w:rsidRPr="002552FE" w:rsidRDefault="00986DE0" w:rsidP="003C7140">
            <w:pPr>
              <w:spacing w:line="276" w:lineRule="auto"/>
              <w:jc w:val="center"/>
              <w:rPr>
                <w:rFonts w:ascii="Lato" w:hAnsi="Lato" w:cstheme="minorHAnsi"/>
                <w:bCs/>
                <w:sz w:val="20"/>
                <w:szCs w:val="20"/>
              </w:rPr>
            </w:pPr>
            <w:r w:rsidRPr="002552FE">
              <w:rPr>
                <w:rFonts w:ascii="Lato" w:hAnsi="Lato" w:cstheme="minorHAnsi"/>
                <w:bCs/>
                <w:sz w:val="20"/>
                <w:szCs w:val="20"/>
              </w:rPr>
              <w:t>Kiła wczesna (A51)</w:t>
            </w:r>
          </w:p>
        </w:tc>
      </w:tr>
      <w:tr w:rsidR="00986DE0" w:rsidRPr="00C35EAE" w14:paraId="1D1C85EB" w14:textId="77777777" w:rsidTr="003C7140">
        <w:trPr>
          <w:trHeight w:val="491"/>
        </w:trPr>
        <w:tc>
          <w:tcPr>
            <w:tcW w:w="1908" w:type="dxa"/>
            <w:vAlign w:val="center"/>
          </w:tcPr>
          <w:p w14:paraId="1C81C05F" w14:textId="77777777" w:rsidR="00986DE0" w:rsidRPr="00C35EAE" w:rsidRDefault="00986DE0" w:rsidP="003C7140">
            <w:pPr>
              <w:tabs>
                <w:tab w:val="left" w:pos="851"/>
              </w:tabs>
              <w:spacing w:line="276" w:lineRule="auto"/>
              <w:jc w:val="center"/>
              <w:outlineLvl w:val="3"/>
              <w:rPr>
                <w:rFonts w:ascii="Lato" w:hAnsi="Lato" w:cstheme="minorHAnsi"/>
                <w:bCs/>
                <w:sz w:val="20"/>
                <w:szCs w:val="20"/>
              </w:rPr>
            </w:pPr>
            <w:r w:rsidRPr="00C35EAE">
              <w:rPr>
                <w:rFonts w:ascii="Lato" w:hAnsi="Lato" w:cstheme="minorHAnsi"/>
                <w:bCs/>
                <w:smallCaps/>
                <w:sz w:val="20"/>
                <w:szCs w:val="20"/>
              </w:rPr>
              <w:t>Polska</w:t>
            </w:r>
          </w:p>
        </w:tc>
        <w:tc>
          <w:tcPr>
            <w:tcW w:w="613" w:type="dxa"/>
            <w:vAlign w:val="center"/>
          </w:tcPr>
          <w:p w14:paraId="38BDBD7A"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556</w:t>
            </w:r>
          </w:p>
        </w:tc>
        <w:tc>
          <w:tcPr>
            <w:tcW w:w="724" w:type="dxa"/>
            <w:vAlign w:val="center"/>
          </w:tcPr>
          <w:p w14:paraId="621AB74D"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1,46</w:t>
            </w:r>
          </w:p>
        </w:tc>
        <w:tc>
          <w:tcPr>
            <w:tcW w:w="810" w:type="dxa"/>
            <w:vAlign w:val="center"/>
          </w:tcPr>
          <w:p w14:paraId="35F6F7D7"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833</w:t>
            </w:r>
          </w:p>
        </w:tc>
        <w:tc>
          <w:tcPr>
            <w:tcW w:w="726" w:type="dxa"/>
            <w:vAlign w:val="center"/>
          </w:tcPr>
          <w:p w14:paraId="5E8EB80A"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2,20</w:t>
            </w:r>
          </w:p>
        </w:tc>
        <w:tc>
          <w:tcPr>
            <w:tcW w:w="640" w:type="dxa"/>
            <w:vAlign w:val="center"/>
          </w:tcPr>
          <w:p w14:paraId="243735AB"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1073</w:t>
            </w:r>
          </w:p>
        </w:tc>
        <w:tc>
          <w:tcPr>
            <w:tcW w:w="726" w:type="dxa"/>
            <w:vAlign w:val="center"/>
          </w:tcPr>
          <w:p w14:paraId="7512B962"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2,85</w:t>
            </w:r>
          </w:p>
        </w:tc>
        <w:tc>
          <w:tcPr>
            <w:tcW w:w="722" w:type="dxa"/>
            <w:vAlign w:val="center"/>
          </w:tcPr>
          <w:p w14:paraId="6A5EE3C1" w14:textId="77777777" w:rsidR="00986DE0" w:rsidRPr="002552FE" w:rsidRDefault="00986DE0" w:rsidP="003C7140">
            <w:pPr>
              <w:tabs>
                <w:tab w:val="left" w:pos="851"/>
              </w:tabs>
              <w:spacing w:line="276" w:lineRule="auto"/>
              <w:jc w:val="center"/>
              <w:outlineLvl w:val="3"/>
              <w:rPr>
                <w:rFonts w:ascii="Lato" w:hAnsi="Lato" w:cstheme="minorHAnsi"/>
                <w:bCs/>
                <w:sz w:val="20"/>
                <w:szCs w:val="20"/>
              </w:rPr>
            </w:pPr>
            <w:r w:rsidRPr="002552FE">
              <w:rPr>
                <w:rFonts w:ascii="Lato" w:hAnsi="Lato" w:cstheme="minorHAnsi"/>
                <w:bCs/>
                <w:sz w:val="20"/>
                <w:szCs w:val="20"/>
              </w:rPr>
              <w:t>1276</w:t>
            </w:r>
          </w:p>
        </w:tc>
        <w:tc>
          <w:tcPr>
            <w:tcW w:w="871" w:type="dxa"/>
            <w:vAlign w:val="center"/>
          </w:tcPr>
          <w:p w14:paraId="55544664" w14:textId="77777777" w:rsidR="00986DE0" w:rsidRPr="002552FE" w:rsidRDefault="00986DE0" w:rsidP="003C7140">
            <w:pPr>
              <w:tabs>
                <w:tab w:val="left" w:pos="851"/>
              </w:tabs>
              <w:spacing w:line="276" w:lineRule="auto"/>
              <w:jc w:val="center"/>
              <w:outlineLvl w:val="3"/>
              <w:rPr>
                <w:rFonts w:ascii="Lato" w:hAnsi="Lato" w:cstheme="minorHAnsi"/>
                <w:bCs/>
                <w:sz w:val="20"/>
                <w:szCs w:val="20"/>
              </w:rPr>
            </w:pPr>
            <w:r w:rsidRPr="002552FE">
              <w:rPr>
                <w:rFonts w:ascii="Lato" w:hAnsi="Lato" w:cstheme="minorHAnsi"/>
                <w:bCs/>
                <w:sz w:val="20"/>
                <w:szCs w:val="20"/>
              </w:rPr>
              <w:t>3,40</w:t>
            </w:r>
          </w:p>
        </w:tc>
        <w:tc>
          <w:tcPr>
            <w:tcW w:w="716" w:type="dxa"/>
            <w:vAlign w:val="center"/>
          </w:tcPr>
          <w:p w14:paraId="1D1D5E05" w14:textId="77777777" w:rsidR="00986DE0" w:rsidRPr="002552FE" w:rsidRDefault="00986DE0" w:rsidP="003C7140">
            <w:pPr>
              <w:tabs>
                <w:tab w:val="left" w:pos="851"/>
              </w:tabs>
              <w:spacing w:line="276" w:lineRule="auto"/>
              <w:jc w:val="center"/>
              <w:outlineLvl w:val="3"/>
              <w:rPr>
                <w:rFonts w:ascii="Lato" w:hAnsi="Lato" w:cstheme="minorHAnsi"/>
                <w:b/>
                <w:sz w:val="20"/>
                <w:szCs w:val="20"/>
              </w:rPr>
            </w:pPr>
            <w:r w:rsidRPr="002552FE">
              <w:rPr>
                <w:rFonts w:ascii="Lato" w:hAnsi="Lato" w:cstheme="minorHAnsi"/>
                <w:b/>
                <w:sz w:val="20"/>
                <w:szCs w:val="20"/>
              </w:rPr>
              <w:t>1253*</w:t>
            </w:r>
          </w:p>
        </w:tc>
        <w:tc>
          <w:tcPr>
            <w:tcW w:w="724" w:type="dxa"/>
            <w:vAlign w:val="center"/>
          </w:tcPr>
          <w:p w14:paraId="0AACAAAE" w14:textId="77777777" w:rsidR="00986DE0" w:rsidRPr="002552FE" w:rsidRDefault="00986DE0" w:rsidP="003C7140">
            <w:pPr>
              <w:tabs>
                <w:tab w:val="left" w:pos="851"/>
              </w:tabs>
              <w:spacing w:line="276" w:lineRule="auto"/>
              <w:jc w:val="center"/>
              <w:outlineLvl w:val="3"/>
              <w:rPr>
                <w:rFonts w:ascii="Lato" w:hAnsi="Lato" w:cstheme="minorHAnsi"/>
                <w:b/>
                <w:sz w:val="20"/>
                <w:szCs w:val="20"/>
              </w:rPr>
            </w:pPr>
            <w:r w:rsidRPr="002552FE">
              <w:rPr>
                <w:rFonts w:ascii="Lato" w:hAnsi="Lato" w:cstheme="minorHAnsi"/>
                <w:b/>
                <w:sz w:val="20"/>
                <w:szCs w:val="20"/>
              </w:rPr>
              <w:t>3,35</w:t>
            </w:r>
          </w:p>
        </w:tc>
      </w:tr>
      <w:tr w:rsidR="00986DE0" w:rsidRPr="00C35EAE" w14:paraId="429B7FFB" w14:textId="77777777" w:rsidTr="003C7140">
        <w:trPr>
          <w:trHeight w:val="545"/>
        </w:trPr>
        <w:tc>
          <w:tcPr>
            <w:tcW w:w="1908" w:type="dxa"/>
            <w:vAlign w:val="center"/>
          </w:tcPr>
          <w:p w14:paraId="6A4A3E64" w14:textId="77777777" w:rsidR="00986DE0" w:rsidRPr="00C35EAE" w:rsidRDefault="00986DE0" w:rsidP="003C7140">
            <w:pPr>
              <w:jc w:val="center"/>
              <w:rPr>
                <w:rFonts w:ascii="Lato" w:hAnsi="Lato" w:cstheme="minorHAnsi"/>
                <w:sz w:val="20"/>
                <w:szCs w:val="20"/>
              </w:rPr>
            </w:pPr>
            <w:r w:rsidRPr="00C35EAE">
              <w:rPr>
                <w:rFonts w:ascii="Lato" w:hAnsi="Lato" w:cstheme="minorHAnsi"/>
                <w:sz w:val="20"/>
                <w:szCs w:val="20"/>
              </w:rPr>
              <w:t>województwo</w:t>
            </w:r>
          </w:p>
          <w:p w14:paraId="3D48811B" w14:textId="77777777" w:rsidR="00986DE0" w:rsidRPr="00C35EAE" w:rsidRDefault="00986DE0" w:rsidP="003C7140">
            <w:pPr>
              <w:jc w:val="center"/>
              <w:rPr>
                <w:rFonts w:ascii="Lato" w:hAnsi="Lato" w:cstheme="minorHAnsi"/>
              </w:rPr>
            </w:pPr>
            <w:r w:rsidRPr="00C35EAE">
              <w:rPr>
                <w:rFonts w:ascii="Lato" w:hAnsi="Lato" w:cstheme="minorHAnsi"/>
                <w:sz w:val="20"/>
                <w:szCs w:val="20"/>
              </w:rPr>
              <w:t>zachodniopomorskie</w:t>
            </w:r>
          </w:p>
        </w:tc>
        <w:tc>
          <w:tcPr>
            <w:tcW w:w="613" w:type="dxa"/>
            <w:vAlign w:val="center"/>
          </w:tcPr>
          <w:p w14:paraId="218DCF8A"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26</w:t>
            </w:r>
          </w:p>
        </w:tc>
        <w:tc>
          <w:tcPr>
            <w:tcW w:w="724" w:type="dxa"/>
            <w:vAlign w:val="center"/>
          </w:tcPr>
          <w:p w14:paraId="585F95BB"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1,54</w:t>
            </w:r>
          </w:p>
        </w:tc>
        <w:tc>
          <w:tcPr>
            <w:tcW w:w="810" w:type="dxa"/>
            <w:vAlign w:val="center"/>
          </w:tcPr>
          <w:p w14:paraId="66001467"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48</w:t>
            </w:r>
          </w:p>
        </w:tc>
        <w:tc>
          <w:tcPr>
            <w:tcW w:w="726" w:type="dxa"/>
            <w:vAlign w:val="center"/>
          </w:tcPr>
          <w:p w14:paraId="2C1B9BB8"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2,9</w:t>
            </w:r>
          </w:p>
        </w:tc>
        <w:tc>
          <w:tcPr>
            <w:tcW w:w="640" w:type="dxa"/>
            <w:vAlign w:val="center"/>
          </w:tcPr>
          <w:p w14:paraId="3A31B5B0"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39</w:t>
            </w:r>
          </w:p>
        </w:tc>
        <w:tc>
          <w:tcPr>
            <w:tcW w:w="726" w:type="dxa"/>
            <w:vAlign w:val="center"/>
          </w:tcPr>
          <w:p w14:paraId="20140498"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2,38</w:t>
            </w:r>
          </w:p>
        </w:tc>
        <w:tc>
          <w:tcPr>
            <w:tcW w:w="722" w:type="dxa"/>
            <w:vAlign w:val="center"/>
          </w:tcPr>
          <w:p w14:paraId="3B010506" w14:textId="77777777" w:rsidR="00986DE0" w:rsidRPr="002552FE" w:rsidRDefault="00986DE0" w:rsidP="003C7140">
            <w:pPr>
              <w:tabs>
                <w:tab w:val="left" w:pos="851"/>
              </w:tabs>
              <w:spacing w:line="276" w:lineRule="auto"/>
              <w:jc w:val="center"/>
              <w:outlineLvl w:val="3"/>
              <w:rPr>
                <w:rFonts w:ascii="Lato" w:hAnsi="Lato" w:cstheme="minorHAnsi"/>
                <w:bCs/>
                <w:sz w:val="20"/>
                <w:szCs w:val="20"/>
              </w:rPr>
            </w:pPr>
            <w:r w:rsidRPr="002552FE">
              <w:rPr>
                <w:rFonts w:ascii="Lato" w:hAnsi="Lato" w:cstheme="minorHAnsi"/>
                <w:bCs/>
                <w:sz w:val="20"/>
                <w:szCs w:val="20"/>
              </w:rPr>
              <w:t>51</w:t>
            </w:r>
          </w:p>
        </w:tc>
        <w:tc>
          <w:tcPr>
            <w:tcW w:w="871" w:type="dxa"/>
            <w:vAlign w:val="center"/>
          </w:tcPr>
          <w:p w14:paraId="312A8DCC" w14:textId="77777777" w:rsidR="00986DE0" w:rsidRPr="002552FE" w:rsidRDefault="00986DE0" w:rsidP="003C7140">
            <w:pPr>
              <w:tabs>
                <w:tab w:val="left" w:pos="851"/>
              </w:tabs>
              <w:spacing w:line="276" w:lineRule="auto"/>
              <w:jc w:val="center"/>
              <w:outlineLvl w:val="3"/>
              <w:rPr>
                <w:rFonts w:ascii="Lato" w:hAnsi="Lato" w:cstheme="minorHAnsi"/>
                <w:bCs/>
                <w:sz w:val="20"/>
                <w:szCs w:val="20"/>
              </w:rPr>
            </w:pPr>
            <w:r w:rsidRPr="002552FE">
              <w:rPr>
                <w:rFonts w:ascii="Lato" w:hAnsi="Lato" w:cstheme="minorHAnsi"/>
                <w:bCs/>
                <w:sz w:val="20"/>
                <w:szCs w:val="20"/>
              </w:rPr>
              <w:t>3,13</w:t>
            </w:r>
          </w:p>
        </w:tc>
        <w:tc>
          <w:tcPr>
            <w:tcW w:w="716" w:type="dxa"/>
            <w:vAlign w:val="center"/>
          </w:tcPr>
          <w:p w14:paraId="488EA40D" w14:textId="77777777" w:rsidR="00986DE0" w:rsidRPr="002552FE" w:rsidRDefault="00986DE0" w:rsidP="003C7140">
            <w:pPr>
              <w:tabs>
                <w:tab w:val="left" w:pos="851"/>
              </w:tabs>
              <w:spacing w:line="276" w:lineRule="auto"/>
              <w:jc w:val="center"/>
              <w:outlineLvl w:val="3"/>
              <w:rPr>
                <w:rFonts w:ascii="Lato" w:hAnsi="Lato" w:cstheme="minorHAnsi"/>
                <w:b/>
                <w:sz w:val="20"/>
                <w:szCs w:val="20"/>
              </w:rPr>
            </w:pPr>
            <w:r w:rsidRPr="002552FE">
              <w:rPr>
                <w:rFonts w:ascii="Lato" w:hAnsi="Lato" w:cstheme="minorHAnsi"/>
                <w:b/>
                <w:sz w:val="20"/>
                <w:szCs w:val="20"/>
              </w:rPr>
              <w:t>50</w:t>
            </w:r>
          </w:p>
        </w:tc>
        <w:tc>
          <w:tcPr>
            <w:tcW w:w="724" w:type="dxa"/>
            <w:vAlign w:val="center"/>
          </w:tcPr>
          <w:p w14:paraId="23385181" w14:textId="77777777" w:rsidR="00986DE0" w:rsidRPr="002552FE" w:rsidRDefault="00986DE0" w:rsidP="003C7140">
            <w:pPr>
              <w:tabs>
                <w:tab w:val="left" w:pos="851"/>
              </w:tabs>
              <w:spacing w:line="276" w:lineRule="auto"/>
              <w:jc w:val="center"/>
              <w:outlineLvl w:val="3"/>
              <w:rPr>
                <w:rFonts w:ascii="Lato" w:hAnsi="Lato" w:cstheme="minorHAnsi"/>
                <w:b/>
                <w:sz w:val="20"/>
                <w:szCs w:val="20"/>
              </w:rPr>
            </w:pPr>
            <w:r w:rsidRPr="002552FE">
              <w:rPr>
                <w:rFonts w:ascii="Lato" w:hAnsi="Lato" w:cstheme="minorHAnsi"/>
                <w:b/>
                <w:sz w:val="20"/>
                <w:szCs w:val="20"/>
              </w:rPr>
              <w:t>3,09</w:t>
            </w:r>
          </w:p>
        </w:tc>
      </w:tr>
      <w:tr w:rsidR="00986DE0" w:rsidRPr="00C35EAE" w14:paraId="517CA5A8" w14:textId="77777777" w:rsidTr="00130F95">
        <w:tc>
          <w:tcPr>
            <w:tcW w:w="9180" w:type="dxa"/>
            <w:gridSpan w:val="11"/>
            <w:shd w:val="clear" w:color="auto" w:fill="D9D9D9" w:themeFill="background1" w:themeFillShade="D9"/>
            <w:vAlign w:val="center"/>
          </w:tcPr>
          <w:p w14:paraId="628989E9" w14:textId="77777777" w:rsidR="00986DE0" w:rsidRPr="002552FE" w:rsidRDefault="00986DE0" w:rsidP="003C7140">
            <w:pPr>
              <w:spacing w:line="276" w:lineRule="auto"/>
              <w:jc w:val="center"/>
              <w:rPr>
                <w:rFonts w:ascii="Lato" w:hAnsi="Lato" w:cstheme="minorHAnsi"/>
                <w:bCs/>
                <w:sz w:val="20"/>
                <w:szCs w:val="20"/>
              </w:rPr>
            </w:pPr>
            <w:r w:rsidRPr="002552FE">
              <w:rPr>
                <w:rFonts w:ascii="Lato" w:hAnsi="Lato" w:cstheme="minorHAnsi"/>
                <w:bCs/>
                <w:sz w:val="20"/>
                <w:szCs w:val="20"/>
              </w:rPr>
              <w:t>Kiła późna, inna i nieokreślona (A53), (A52)</w:t>
            </w:r>
          </w:p>
        </w:tc>
      </w:tr>
      <w:tr w:rsidR="00986DE0" w:rsidRPr="00C35EAE" w14:paraId="5AC2AC39" w14:textId="77777777" w:rsidTr="003C7140">
        <w:trPr>
          <w:trHeight w:val="491"/>
        </w:trPr>
        <w:tc>
          <w:tcPr>
            <w:tcW w:w="1908" w:type="dxa"/>
            <w:vAlign w:val="center"/>
          </w:tcPr>
          <w:p w14:paraId="35EBFB18" w14:textId="77777777" w:rsidR="00986DE0" w:rsidRPr="00C35EAE" w:rsidRDefault="00986DE0" w:rsidP="003C7140">
            <w:pPr>
              <w:tabs>
                <w:tab w:val="left" w:pos="851"/>
              </w:tabs>
              <w:spacing w:line="276" w:lineRule="auto"/>
              <w:jc w:val="center"/>
              <w:outlineLvl w:val="3"/>
              <w:rPr>
                <w:rFonts w:ascii="Lato" w:hAnsi="Lato" w:cstheme="minorHAnsi"/>
                <w:bCs/>
                <w:sz w:val="20"/>
                <w:szCs w:val="20"/>
              </w:rPr>
            </w:pPr>
            <w:r w:rsidRPr="00C35EAE">
              <w:rPr>
                <w:rFonts w:ascii="Lato" w:hAnsi="Lato" w:cstheme="minorHAnsi"/>
                <w:bCs/>
                <w:smallCaps/>
                <w:sz w:val="20"/>
                <w:szCs w:val="20"/>
              </w:rPr>
              <w:t>Polska</w:t>
            </w:r>
          </w:p>
        </w:tc>
        <w:tc>
          <w:tcPr>
            <w:tcW w:w="613" w:type="dxa"/>
            <w:vAlign w:val="center"/>
          </w:tcPr>
          <w:p w14:paraId="390C9220"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571</w:t>
            </w:r>
          </w:p>
        </w:tc>
        <w:tc>
          <w:tcPr>
            <w:tcW w:w="724" w:type="dxa"/>
            <w:vAlign w:val="center"/>
          </w:tcPr>
          <w:p w14:paraId="324E9743"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1,5</w:t>
            </w:r>
          </w:p>
        </w:tc>
        <w:tc>
          <w:tcPr>
            <w:tcW w:w="810" w:type="dxa"/>
            <w:vAlign w:val="center"/>
          </w:tcPr>
          <w:p w14:paraId="0C0DC3AE"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1159</w:t>
            </w:r>
          </w:p>
        </w:tc>
        <w:tc>
          <w:tcPr>
            <w:tcW w:w="726" w:type="dxa"/>
            <w:vAlign w:val="center"/>
          </w:tcPr>
          <w:p w14:paraId="071891A1"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3.07</w:t>
            </w:r>
          </w:p>
        </w:tc>
        <w:tc>
          <w:tcPr>
            <w:tcW w:w="640" w:type="dxa"/>
            <w:vAlign w:val="center"/>
          </w:tcPr>
          <w:p w14:paraId="54976F6E"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1913</w:t>
            </w:r>
          </w:p>
        </w:tc>
        <w:tc>
          <w:tcPr>
            <w:tcW w:w="726" w:type="dxa"/>
            <w:vAlign w:val="center"/>
          </w:tcPr>
          <w:p w14:paraId="509AB3AA"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5,07</w:t>
            </w:r>
          </w:p>
        </w:tc>
        <w:tc>
          <w:tcPr>
            <w:tcW w:w="722" w:type="dxa"/>
            <w:vAlign w:val="center"/>
          </w:tcPr>
          <w:p w14:paraId="59EB5F64" w14:textId="77777777" w:rsidR="00986DE0" w:rsidRPr="002552FE" w:rsidRDefault="00986DE0" w:rsidP="003C7140">
            <w:pPr>
              <w:tabs>
                <w:tab w:val="left" w:pos="851"/>
              </w:tabs>
              <w:spacing w:line="276" w:lineRule="auto"/>
              <w:jc w:val="center"/>
              <w:outlineLvl w:val="3"/>
              <w:rPr>
                <w:rFonts w:ascii="Lato" w:hAnsi="Lato" w:cstheme="minorHAnsi"/>
                <w:bCs/>
                <w:sz w:val="20"/>
                <w:szCs w:val="20"/>
              </w:rPr>
            </w:pPr>
            <w:r w:rsidRPr="002552FE">
              <w:rPr>
                <w:rFonts w:ascii="Lato" w:hAnsi="Lato" w:cstheme="minorHAnsi"/>
                <w:bCs/>
                <w:sz w:val="20"/>
                <w:szCs w:val="20"/>
              </w:rPr>
              <w:t>1979</w:t>
            </w:r>
          </w:p>
        </w:tc>
        <w:tc>
          <w:tcPr>
            <w:tcW w:w="871" w:type="dxa"/>
            <w:vAlign w:val="center"/>
          </w:tcPr>
          <w:p w14:paraId="35B768FA" w14:textId="77777777" w:rsidR="00986DE0" w:rsidRPr="002552FE" w:rsidRDefault="00986DE0" w:rsidP="003C7140">
            <w:pPr>
              <w:tabs>
                <w:tab w:val="left" w:pos="851"/>
              </w:tabs>
              <w:spacing w:line="276" w:lineRule="auto"/>
              <w:jc w:val="center"/>
              <w:outlineLvl w:val="3"/>
              <w:rPr>
                <w:rFonts w:ascii="Lato" w:hAnsi="Lato" w:cstheme="minorHAnsi"/>
                <w:bCs/>
                <w:sz w:val="20"/>
                <w:szCs w:val="20"/>
              </w:rPr>
            </w:pPr>
            <w:r w:rsidRPr="002552FE">
              <w:rPr>
                <w:rFonts w:ascii="Lato" w:hAnsi="Lato" w:cstheme="minorHAnsi"/>
                <w:bCs/>
                <w:sz w:val="20"/>
                <w:szCs w:val="20"/>
              </w:rPr>
              <w:t>5,27</w:t>
            </w:r>
          </w:p>
        </w:tc>
        <w:tc>
          <w:tcPr>
            <w:tcW w:w="716" w:type="dxa"/>
            <w:vAlign w:val="center"/>
          </w:tcPr>
          <w:p w14:paraId="58431D01" w14:textId="77777777" w:rsidR="00986DE0" w:rsidRPr="002552FE" w:rsidRDefault="00986DE0" w:rsidP="003C7140">
            <w:pPr>
              <w:tabs>
                <w:tab w:val="left" w:pos="851"/>
              </w:tabs>
              <w:spacing w:line="276" w:lineRule="auto"/>
              <w:jc w:val="center"/>
              <w:outlineLvl w:val="3"/>
              <w:rPr>
                <w:rFonts w:ascii="Lato" w:hAnsi="Lato" w:cstheme="minorHAnsi"/>
                <w:b/>
                <w:sz w:val="20"/>
                <w:szCs w:val="20"/>
              </w:rPr>
            </w:pPr>
            <w:r w:rsidRPr="002552FE">
              <w:rPr>
                <w:rFonts w:ascii="Lato" w:hAnsi="Lato" w:cstheme="minorHAnsi"/>
                <w:b/>
                <w:sz w:val="20"/>
                <w:szCs w:val="20"/>
              </w:rPr>
              <w:t>2165*</w:t>
            </w:r>
          </w:p>
        </w:tc>
        <w:tc>
          <w:tcPr>
            <w:tcW w:w="724" w:type="dxa"/>
            <w:vAlign w:val="center"/>
          </w:tcPr>
          <w:p w14:paraId="21BC9591" w14:textId="77777777" w:rsidR="00986DE0" w:rsidRPr="002552FE" w:rsidRDefault="00986DE0" w:rsidP="003C7140">
            <w:pPr>
              <w:tabs>
                <w:tab w:val="left" w:pos="851"/>
              </w:tabs>
              <w:spacing w:line="276" w:lineRule="auto"/>
              <w:jc w:val="center"/>
              <w:outlineLvl w:val="3"/>
              <w:rPr>
                <w:rFonts w:ascii="Lato" w:hAnsi="Lato" w:cstheme="minorHAnsi"/>
                <w:b/>
                <w:sz w:val="20"/>
                <w:szCs w:val="20"/>
              </w:rPr>
            </w:pPr>
            <w:r w:rsidRPr="002552FE">
              <w:rPr>
                <w:rFonts w:ascii="Lato" w:hAnsi="Lato" w:cstheme="minorHAnsi"/>
                <w:b/>
                <w:sz w:val="20"/>
                <w:szCs w:val="20"/>
              </w:rPr>
              <w:t>5,79</w:t>
            </w:r>
          </w:p>
        </w:tc>
      </w:tr>
      <w:tr w:rsidR="00986DE0" w:rsidRPr="00C35EAE" w14:paraId="6F6B166E" w14:textId="77777777" w:rsidTr="003C7140">
        <w:trPr>
          <w:trHeight w:val="545"/>
        </w:trPr>
        <w:tc>
          <w:tcPr>
            <w:tcW w:w="1908" w:type="dxa"/>
            <w:vAlign w:val="center"/>
          </w:tcPr>
          <w:p w14:paraId="7955EAA8" w14:textId="77777777" w:rsidR="00986DE0" w:rsidRPr="00C35EAE" w:rsidRDefault="00986DE0" w:rsidP="003C7140">
            <w:pPr>
              <w:jc w:val="center"/>
              <w:rPr>
                <w:rFonts w:ascii="Lato" w:hAnsi="Lato" w:cstheme="minorHAnsi"/>
                <w:sz w:val="20"/>
                <w:szCs w:val="20"/>
              </w:rPr>
            </w:pPr>
            <w:r w:rsidRPr="00C35EAE">
              <w:rPr>
                <w:rFonts w:ascii="Lato" w:hAnsi="Lato" w:cstheme="minorHAnsi"/>
                <w:sz w:val="20"/>
                <w:szCs w:val="20"/>
              </w:rPr>
              <w:t>województwo</w:t>
            </w:r>
          </w:p>
          <w:p w14:paraId="70183B12" w14:textId="77777777" w:rsidR="00986DE0" w:rsidRPr="00C35EAE" w:rsidRDefault="00986DE0" w:rsidP="003C7140">
            <w:pPr>
              <w:jc w:val="center"/>
              <w:rPr>
                <w:rFonts w:ascii="Lato" w:hAnsi="Lato" w:cstheme="minorHAnsi"/>
              </w:rPr>
            </w:pPr>
            <w:r w:rsidRPr="00C35EAE">
              <w:rPr>
                <w:rFonts w:ascii="Lato" w:hAnsi="Lato" w:cstheme="minorHAnsi"/>
                <w:sz w:val="20"/>
                <w:szCs w:val="20"/>
              </w:rPr>
              <w:t>zachodniopomorskie</w:t>
            </w:r>
          </w:p>
        </w:tc>
        <w:tc>
          <w:tcPr>
            <w:tcW w:w="613" w:type="dxa"/>
            <w:vAlign w:val="center"/>
          </w:tcPr>
          <w:p w14:paraId="6C9F0E1C"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40</w:t>
            </w:r>
          </w:p>
        </w:tc>
        <w:tc>
          <w:tcPr>
            <w:tcW w:w="724" w:type="dxa"/>
            <w:vAlign w:val="center"/>
          </w:tcPr>
          <w:p w14:paraId="2CED29A8"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2,38</w:t>
            </w:r>
          </w:p>
        </w:tc>
        <w:tc>
          <w:tcPr>
            <w:tcW w:w="810" w:type="dxa"/>
            <w:vAlign w:val="center"/>
          </w:tcPr>
          <w:p w14:paraId="2163D1A6"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67</w:t>
            </w:r>
          </w:p>
        </w:tc>
        <w:tc>
          <w:tcPr>
            <w:tcW w:w="726" w:type="dxa"/>
            <w:vAlign w:val="center"/>
          </w:tcPr>
          <w:p w14:paraId="0D6E88F3"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4,0</w:t>
            </w:r>
          </w:p>
        </w:tc>
        <w:tc>
          <w:tcPr>
            <w:tcW w:w="640" w:type="dxa"/>
            <w:vAlign w:val="center"/>
          </w:tcPr>
          <w:p w14:paraId="64889C3B"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90</w:t>
            </w:r>
          </w:p>
        </w:tc>
        <w:tc>
          <w:tcPr>
            <w:tcW w:w="726" w:type="dxa"/>
            <w:vAlign w:val="center"/>
          </w:tcPr>
          <w:p w14:paraId="67DE67FC"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5,5</w:t>
            </w:r>
          </w:p>
        </w:tc>
        <w:tc>
          <w:tcPr>
            <w:tcW w:w="722" w:type="dxa"/>
            <w:vAlign w:val="center"/>
          </w:tcPr>
          <w:p w14:paraId="5A48259B" w14:textId="77777777" w:rsidR="00986DE0" w:rsidRPr="002552FE" w:rsidRDefault="00986DE0" w:rsidP="003C7140">
            <w:pPr>
              <w:tabs>
                <w:tab w:val="left" w:pos="851"/>
              </w:tabs>
              <w:spacing w:line="276" w:lineRule="auto"/>
              <w:jc w:val="center"/>
              <w:outlineLvl w:val="3"/>
              <w:rPr>
                <w:rFonts w:ascii="Lato" w:hAnsi="Lato" w:cstheme="minorHAnsi"/>
                <w:bCs/>
                <w:sz w:val="20"/>
                <w:szCs w:val="20"/>
              </w:rPr>
            </w:pPr>
            <w:r w:rsidRPr="002552FE">
              <w:rPr>
                <w:rFonts w:ascii="Lato" w:hAnsi="Lato" w:cstheme="minorHAnsi"/>
                <w:bCs/>
                <w:sz w:val="20"/>
                <w:szCs w:val="20"/>
              </w:rPr>
              <w:t>77</w:t>
            </w:r>
          </w:p>
        </w:tc>
        <w:tc>
          <w:tcPr>
            <w:tcW w:w="871" w:type="dxa"/>
            <w:vAlign w:val="center"/>
          </w:tcPr>
          <w:p w14:paraId="1CD79D34" w14:textId="77777777" w:rsidR="00986DE0" w:rsidRPr="002552FE" w:rsidRDefault="00986DE0" w:rsidP="003C7140">
            <w:pPr>
              <w:tabs>
                <w:tab w:val="left" w:pos="851"/>
              </w:tabs>
              <w:spacing w:line="276" w:lineRule="auto"/>
              <w:jc w:val="center"/>
              <w:outlineLvl w:val="3"/>
              <w:rPr>
                <w:rFonts w:ascii="Lato" w:hAnsi="Lato" w:cstheme="minorHAnsi"/>
                <w:bCs/>
                <w:sz w:val="20"/>
                <w:szCs w:val="20"/>
              </w:rPr>
            </w:pPr>
            <w:r w:rsidRPr="002552FE">
              <w:rPr>
                <w:rFonts w:ascii="Lato" w:hAnsi="Lato" w:cstheme="minorHAnsi"/>
                <w:bCs/>
                <w:sz w:val="20"/>
                <w:szCs w:val="20"/>
              </w:rPr>
              <w:t>4,73</w:t>
            </w:r>
          </w:p>
        </w:tc>
        <w:tc>
          <w:tcPr>
            <w:tcW w:w="716" w:type="dxa"/>
            <w:vAlign w:val="center"/>
          </w:tcPr>
          <w:p w14:paraId="16B68AF7" w14:textId="77777777" w:rsidR="00986DE0" w:rsidRPr="002552FE" w:rsidRDefault="00986DE0" w:rsidP="003C7140">
            <w:pPr>
              <w:tabs>
                <w:tab w:val="left" w:pos="851"/>
              </w:tabs>
              <w:spacing w:line="276" w:lineRule="auto"/>
              <w:jc w:val="center"/>
              <w:outlineLvl w:val="3"/>
              <w:rPr>
                <w:rFonts w:ascii="Lato" w:hAnsi="Lato" w:cstheme="minorHAnsi"/>
                <w:b/>
                <w:sz w:val="20"/>
                <w:szCs w:val="20"/>
              </w:rPr>
            </w:pPr>
            <w:r w:rsidRPr="002552FE">
              <w:rPr>
                <w:rFonts w:ascii="Lato" w:hAnsi="Lato" w:cstheme="minorHAnsi"/>
                <w:b/>
                <w:sz w:val="20"/>
                <w:szCs w:val="20"/>
              </w:rPr>
              <w:t>10</w:t>
            </w:r>
            <w:r>
              <w:rPr>
                <w:rFonts w:ascii="Lato" w:hAnsi="Lato" w:cstheme="minorHAnsi"/>
                <w:b/>
                <w:sz w:val="20"/>
                <w:szCs w:val="20"/>
              </w:rPr>
              <w:t>5</w:t>
            </w:r>
          </w:p>
        </w:tc>
        <w:tc>
          <w:tcPr>
            <w:tcW w:w="724" w:type="dxa"/>
            <w:vAlign w:val="center"/>
          </w:tcPr>
          <w:p w14:paraId="73FDEC9C" w14:textId="77777777" w:rsidR="00986DE0" w:rsidRPr="002552FE" w:rsidRDefault="00986DE0" w:rsidP="003C7140">
            <w:pPr>
              <w:tabs>
                <w:tab w:val="left" w:pos="851"/>
              </w:tabs>
              <w:spacing w:line="276" w:lineRule="auto"/>
              <w:jc w:val="center"/>
              <w:outlineLvl w:val="3"/>
              <w:rPr>
                <w:rFonts w:ascii="Lato" w:hAnsi="Lato" w:cstheme="minorHAnsi"/>
                <w:b/>
                <w:sz w:val="20"/>
                <w:szCs w:val="20"/>
              </w:rPr>
            </w:pPr>
            <w:r w:rsidRPr="002552FE">
              <w:rPr>
                <w:rFonts w:ascii="Lato" w:hAnsi="Lato" w:cstheme="minorHAnsi"/>
                <w:b/>
                <w:sz w:val="20"/>
                <w:szCs w:val="20"/>
              </w:rPr>
              <w:t>6,</w:t>
            </w:r>
            <w:r>
              <w:rPr>
                <w:rFonts w:ascii="Lato" w:hAnsi="Lato" w:cstheme="minorHAnsi"/>
                <w:b/>
                <w:sz w:val="20"/>
                <w:szCs w:val="20"/>
              </w:rPr>
              <w:t>49</w:t>
            </w:r>
          </w:p>
        </w:tc>
      </w:tr>
    </w:tbl>
    <w:p w14:paraId="7A485A3E" w14:textId="77777777" w:rsidR="00986DE0" w:rsidRPr="00C35EAE" w:rsidRDefault="00986DE0" w:rsidP="00986DE0">
      <w:pPr>
        <w:jc w:val="both"/>
        <w:rPr>
          <w:rFonts w:ascii="Lato" w:hAnsi="Lato" w:cstheme="minorHAnsi"/>
          <w:bCs/>
          <w:sz w:val="18"/>
          <w:szCs w:val="18"/>
        </w:rPr>
      </w:pPr>
      <w:r w:rsidRPr="00C35EAE">
        <w:rPr>
          <w:rFonts w:ascii="Lato" w:hAnsi="Lato" w:cstheme="minorHAnsi"/>
          <w:bCs/>
          <w:sz w:val="18"/>
          <w:szCs w:val="18"/>
        </w:rPr>
        <w:t>*dane wstępne</w:t>
      </w:r>
    </w:p>
    <w:p w14:paraId="44BAE619" w14:textId="77777777" w:rsidR="00986DE0" w:rsidRPr="00C35EAE" w:rsidRDefault="00986DE0" w:rsidP="00986DE0">
      <w:pPr>
        <w:spacing w:after="120"/>
        <w:jc w:val="both"/>
        <w:rPr>
          <w:rFonts w:ascii="Lato" w:hAnsi="Lato" w:cstheme="minorHAnsi"/>
          <w:bCs/>
          <w:sz w:val="18"/>
          <w:szCs w:val="18"/>
        </w:rPr>
      </w:pPr>
      <w:r w:rsidRPr="00C35EAE">
        <w:rPr>
          <w:rFonts w:ascii="Lato" w:hAnsi="Lato" w:cstheme="minorHAnsi"/>
          <w:bCs/>
          <w:sz w:val="18"/>
          <w:szCs w:val="18"/>
        </w:rPr>
        <w:t xml:space="preserve">** zapadalność obliczono na 100 tys. żywych urodzeń </w:t>
      </w:r>
    </w:p>
    <w:p w14:paraId="12C62C35" w14:textId="77777777" w:rsidR="00F45A42" w:rsidRDefault="00F45A42" w:rsidP="00F45A42">
      <w:pPr>
        <w:spacing w:line="360" w:lineRule="auto"/>
        <w:rPr>
          <w:rFonts w:ascii="Lato" w:hAnsi="Lato" w:cstheme="minorHAnsi"/>
          <w:bCs/>
          <w:color w:val="000000" w:themeColor="text1"/>
          <w:sz w:val="22"/>
          <w:szCs w:val="22"/>
        </w:rPr>
      </w:pPr>
    </w:p>
    <w:p w14:paraId="6F7E3B06" w14:textId="119FDDFF" w:rsidR="00F45A42" w:rsidRPr="00B4716C" w:rsidRDefault="00F45A42" w:rsidP="00F45A42">
      <w:pPr>
        <w:spacing w:line="360" w:lineRule="auto"/>
        <w:rPr>
          <w:rFonts w:ascii="Lato" w:hAnsi="Lato" w:cstheme="minorHAnsi"/>
          <w:bCs/>
          <w:color w:val="000000" w:themeColor="text1"/>
          <w:sz w:val="22"/>
          <w:szCs w:val="22"/>
        </w:rPr>
      </w:pPr>
      <w:r>
        <w:rPr>
          <w:rFonts w:ascii="Lato" w:hAnsi="Lato" w:cstheme="minorHAnsi"/>
          <w:bCs/>
          <w:color w:val="000000" w:themeColor="text1"/>
          <w:sz w:val="22"/>
          <w:szCs w:val="22"/>
        </w:rPr>
        <w:t>O</w:t>
      </w:r>
      <w:r w:rsidRPr="00B4716C">
        <w:rPr>
          <w:rFonts w:ascii="Lato" w:hAnsi="Lato" w:cstheme="minorHAnsi"/>
          <w:bCs/>
          <w:color w:val="000000" w:themeColor="text1"/>
          <w:sz w:val="22"/>
          <w:szCs w:val="22"/>
        </w:rPr>
        <w:t>d 2021 r. zapadalność na rzeżączkę w woj. zachodniopomorskim wzrosła ponad 3,5 – krotnie (</w:t>
      </w:r>
      <w:r w:rsidR="00595281" w:rsidRPr="00595281">
        <w:rPr>
          <w:rFonts w:ascii="Lato" w:hAnsi="Lato" w:cstheme="minorHAnsi"/>
          <w:bCs/>
          <w:color w:val="000000" w:themeColor="text1"/>
          <w:sz w:val="22"/>
          <w:szCs w:val="22"/>
        </w:rPr>
        <w:t>tabela 11).</w:t>
      </w:r>
    </w:p>
    <w:p w14:paraId="58AB4978" w14:textId="1E60DBE1" w:rsidR="00F45A42" w:rsidRPr="00B4716C" w:rsidRDefault="00F45A42" w:rsidP="00F45A42">
      <w:pPr>
        <w:spacing w:line="360" w:lineRule="auto"/>
        <w:rPr>
          <w:rFonts w:ascii="Lato" w:hAnsi="Lato" w:cstheme="minorHAnsi"/>
          <w:bCs/>
          <w:color w:val="000000" w:themeColor="text1"/>
          <w:sz w:val="22"/>
          <w:szCs w:val="22"/>
        </w:rPr>
      </w:pPr>
      <w:r w:rsidRPr="00B4716C">
        <w:rPr>
          <w:rFonts w:ascii="Lato" w:hAnsi="Lato" w:cstheme="minorHAnsi"/>
          <w:bCs/>
          <w:color w:val="000000" w:themeColor="text1"/>
          <w:sz w:val="22"/>
          <w:szCs w:val="22"/>
        </w:rPr>
        <w:t>Zauważalna jest również tendencja wzrostowa zapadalności na inne choroby przenoszone drogą płciową wywołane przez Chlamydie. W woj. zachodniopomorskim zapadalność na tą jednostkę chorobową wzrosła w porównaniu do 2021 r. ponad 6-krotnie (</w:t>
      </w:r>
      <w:r w:rsidR="00595281">
        <w:rPr>
          <w:rFonts w:ascii="Lato" w:hAnsi="Lato" w:cstheme="minorHAnsi"/>
          <w:bCs/>
          <w:color w:val="000000" w:themeColor="text1"/>
          <w:sz w:val="22"/>
          <w:szCs w:val="22"/>
        </w:rPr>
        <w:t>tabela</w:t>
      </w:r>
      <w:r w:rsidRPr="00B4716C">
        <w:rPr>
          <w:rFonts w:ascii="Lato" w:hAnsi="Lato" w:cstheme="minorHAnsi"/>
          <w:bCs/>
          <w:color w:val="000000" w:themeColor="text1"/>
          <w:sz w:val="22"/>
          <w:szCs w:val="22"/>
        </w:rPr>
        <w:t xml:space="preserve"> 1</w:t>
      </w:r>
      <w:r w:rsidR="00595281">
        <w:rPr>
          <w:rFonts w:ascii="Lato" w:hAnsi="Lato" w:cstheme="minorHAnsi"/>
          <w:bCs/>
          <w:color w:val="000000" w:themeColor="text1"/>
          <w:sz w:val="22"/>
          <w:szCs w:val="22"/>
        </w:rPr>
        <w:t>1</w:t>
      </w:r>
      <w:r w:rsidRPr="00B4716C">
        <w:rPr>
          <w:rFonts w:ascii="Lato" w:hAnsi="Lato" w:cstheme="minorHAnsi"/>
          <w:bCs/>
          <w:color w:val="000000" w:themeColor="text1"/>
          <w:sz w:val="22"/>
          <w:szCs w:val="22"/>
        </w:rPr>
        <w:t>).</w:t>
      </w:r>
    </w:p>
    <w:p w14:paraId="1C292FB2" w14:textId="77777777" w:rsidR="0063187D" w:rsidRDefault="0063187D" w:rsidP="00BD257C">
      <w:pPr>
        <w:pStyle w:val="Legenda"/>
        <w:rPr>
          <w:rFonts w:ascii="Lato" w:hAnsi="Lato"/>
          <w:b w:val="0"/>
          <w:bCs w:val="0"/>
          <w:sz w:val="18"/>
          <w:szCs w:val="18"/>
        </w:rPr>
      </w:pPr>
    </w:p>
    <w:p w14:paraId="67A8A6BA" w14:textId="77777777" w:rsidR="0063187D" w:rsidRDefault="0063187D" w:rsidP="00BD257C">
      <w:pPr>
        <w:pStyle w:val="Legenda"/>
        <w:rPr>
          <w:rFonts w:ascii="Lato" w:hAnsi="Lato"/>
          <w:b w:val="0"/>
          <w:bCs w:val="0"/>
          <w:sz w:val="18"/>
          <w:szCs w:val="18"/>
        </w:rPr>
      </w:pPr>
    </w:p>
    <w:p w14:paraId="511A245F" w14:textId="151D54C3" w:rsidR="00986DE0" w:rsidRPr="00BD257C" w:rsidRDefault="00BD257C" w:rsidP="00BD257C">
      <w:pPr>
        <w:pStyle w:val="Legenda"/>
        <w:rPr>
          <w:rFonts w:ascii="Lato" w:hAnsi="Lato"/>
          <w:b w:val="0"/>
          <w:bCs w:val="0"/>
          <w:i/>
          <w:iCs/>
          <w:sz w:val="18"/>
          <w:szCs w:val="18"/>
        </w:rPr>
      </w:pPr>
      <w:bookmarkStart w:id="49" w:name="_Toc225859367"/>
      <w:r w:rsidRPr="00BD257C">
        <w:rPr>
          <w:rFonts w:ascii="Lato" w:hAnsi="Lato"/>
          <w:b w:val="0"/>
          <w:bCs w:val="0"/>
          <w:sz w:val="18"/>
          <w:szCs w:val="18"/>
        </w:rPr>
        <w:lastRenderedPageBreak/>
        <w:t xml:space="preserve">Tabela </w:t>
      </w:r>
      <w:r w:rsidRPr="00BD257C">
        <w:rPr>
          <w:rFonts w:ascii="Lato" w:hAnsi="Lato"/>
          <w:b w:val="0"/>
          <w:bCs w:val="0"/>
          <w:sz w:val="18"/>
          <w:szCs w:val="18"/>
        </w:rPr>
        <w:fldChar w:fldCharType="begin"/>
      </w:r>
      <w:r w:rsidRPr="00BD257C">
        <w:rPr>
          <w:rFonts w:ascii="Lato" w:hAnsi="Lato"/>
          <w:b w:val="0"/>
          <w:bCs w:val="0"/>
          <w:sz w:val="18"/>
          <w:szCs w:val="18"/>
        </w:rPr>
        <w:instrText xml:space="preserve"> SEQ Tabela \* ARABIC </w:instrText>
      </w:r>
      <w:r w:rsidRPr="00BD257C">
        <w:rPr>
          <w:rFonts w:ascii="Lato" w:hAnsi="Lato"/>
          <w:b w:val="0"/>
          <w:bCs w:val="0"/>
          <w:sz w:val="18"/>
          <w:szCs w:val="18"/>
        </w:rPr>
        <w:fldChar w:fldCharType="separate"/>
      </w:r>
      <w:r w:rsidR="002A3179">
        <w:rPr>
          <w:rFonts w:ascii="Lato" w:hAnsi="Lato"/>
          <w:b w:val="0"/>
          <w:bCs w:val="0"/>
          <w:noProof/>
          <w:sz w:val="18"/>
          <w:szCs w:val="18"/>
        </w:rPr>
        <w:t>11</w:t>
      </w:r>
      <w:r w:rsidRPr="00BD257C">
        <w:rPr>
          <w:rFonts w:ascii="Lato" w:hAnsi="Lato"/>
          <w:b w:val="0"/>
          <w:bCs w:val="0"/>
          <w:sz w:val="18"/>
          <w:szCs w:val="18"/>
        </w:rPr>
        <w:fldChar w:fldCharType="end"/>
      </w:r>
      <w:r w:rsidRPr="00BD257C">
        <w:rPr>
          <w:rFonts w:ascii="Lato" w:hAnsi="Lato"/>
          <w:b w:val="0"/>
          <w:bCs w:val="0"/>
          <w:sz w:val="18"/>
          <w:szCs w:val="18"/>
        </w:rPr>
        <w:t>. Liczba zachorowań i współczynnik zapadalności na inne choroby przenoszone drogą płciową w Polsce i</w:t>
      </w:r>
      <w:r w:rsidR="00E63C92">
        <w:rPr>
          <w:rFonts w:ascii="Lato" w:hAnsi="Lato"/>
          <w:b w:val="0"/>
          <w:bCs w:val="0"/>
          <w:sz w:val="18"/>
          <w:szCs w:val="18"/>
        </w:rPr>
        <w:t> </w:t>
      </w:r>
      <w:r w:rsidRPr="00BD257C">
        <w:rPr>
          <w:rFonts w:ascii="Lato" w:hAnsi="Lato"/>
          <w:b w:val="0"/>
          <w:bCs w:val="0"/>
          <w:sz w:val="18"/>
          <w:szCs w:val="18"/>
        </w:rPr>
        <w:t>woj. zachodniopomorskim w latach 2021-2025.</w:t>
      </w:r>
      <w:bookmarkEnd w:id="49"/>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Liczba zachorowań i współczynnik zapadalności na inne choroby przenoszone drogą płciową w Polsce i woj. zachodniopomorskim w latach 2021-2025"/>
        <w:tblDescription w:val="Tabela przedstawia dane dotyczące liczby zachorowań i współczynnik zapadalności na rzeżączkę oraz inne choroby przenoszone drogą płciową wywpołane przez Chlamydie. W przypadku obu jednostek chorobowych, w 2025 roku, można zauważyć znaczący wzrost zachorowań w stosunku do lat poprzednich. "/>
      </w:tblPr>
      <w:tblGrid>
        <w:gridCol w:w="2037"/>
        <w:gridCol w:w="672"/>
        <w:gridCol w:w="723"/>
        <w:gridCol w:w="672"/>
        <w:gridCol w:w="723"/>
        <w:gridCol w:w="712"/>
        <w:gridCol w:w="723"/>
        <w:gridCol w:w="711"/>
        <w:gridCol w:w="723"/>
        <w:gridCol w:w="760"/>
        <w:gridCol w:w="724"/>
      </w:tblGrid>
      <w:tr w:rsidR="00986DE0" w:rsidRPr="00C35EAE" w14:paraId="52D347E3" w14:textId="77777777" w:rsidTr="00130F95">
        <w:tc>
          <w:tcPr>
            <w:tcW w:w="9180" w:type="dxa"/>
            <w:gridSpan w:val="11"/>
            <w:shd w:val="clear" w:color="auto" w:fill="D9D9D9" w:themeFill="background1" w:themeFillShade="D9"/>
            <w:vAlign w:val="center"/>
          </w:tcPr>
          <w:p w14:paraId="72F241CD" w14:textId="77777777" w:rsidR="00986DE0" w:rsidRPr="00C35EAE" w:rsidRDefault="00986DE0" w:rsidP="003C7140">
            <w:pPr>
              <w:tabs>
                <w:tab w:val="left" w:pos="851"/>
              </w:tabs>
              <w:spacing w:line="276" w:lineRule="auto"/>
              <w:jc w:val="center"/>
              <w:outlineLvl w:val="3"/>
              <w:rPr>
                <w:rFonts w:ascii="Lato" w:hAnsi="Lato" w:cstheme="minorHAnsi"/>
                <w:bCs/>
                <w:sz w:val="20"/>
                <w:szCs w:val="20"/>
              </w:rPr>
            </w:pPr>
            <w:r w:rsidRPr="00C35EAE">
              <w:rPr>
                <w:rFonts w:ascii="Lato" w:hAnsi="Lato" w:cstheme="minorHAnsi"/>
                <w:sz w:val="20"/>
                <w:szCs w:val="20"/>
              </w:rPr>
              <w:t>Rzeżączka (A54)</w:t>
            </w:r>
          </w:p>
        </w:tc>
      </w:tr>
      <w:tr w:rsidR="00986DE0" w:rsidRPr="00C35EAE" w14:paraId="73535E1A" w14:textId="77777777" w:rsidTr="00130F95">
        <w:tc>
          <w:tcPr>
            <w:tcW w:w="1908" w:type="dxa"/>
            <w:vMerge w:val="restart"/>
            <w:shd w:val="clear" w:color="auto" w:fill="D9D9D9" w:themeFill="background1" w:themeFillShade="D9"/>
          </w:tcPr>
          <w:p w14:paraId="0E79B765" w14:textId="77777777" w:rsidR="00986DE0" w:rsidRPr="00C35EAE" w:rsidRDefault="00986DE0" w:rsidP="003C7140">
            <w:pPr>
              <w:tabs>
                <w:tab w:val="left" w:pos="851"/>
              </w:tabs>
              <w:spacing w:line="276" w:lineRule="auto"/>
              <w:outlineLvl w:val="3"/>
              <w:rPr>
                <w:rFonts w:ascii="Lato" w:hAnsi="Lato" w:cs="Calibri"/>
                <w:bCs/>
                <w:color w:val="EE0000"/>
                <w:sz w:val="20"/>
                <w:szCs w:val="20"/>
              </w:rPr>
            </w:pPr>
          </w:p>
        </w:tc>
        <w:tc>
          <w:tcPr>
            <w:tcW w:w="1454" w:type="dxa"/>
            <w:gridSpan w:val="2"/>
            <w:shd w:val="clear" w:color="auto" w:fill="D9D9D9" w:themeFill="background1" w:themeFillShade="D9"/>
            <w:vAlign w:val="center"/>
          </w:tcPr>
          <w:p w14:paraId="6E7D4EB1" w14:textId="77777777" w:rsidR="00986DE0" w:rsidRPr="00C35EAE" w:rsidRDefault="00986DE0" w:rsidP="003C7140">
            <w:pPr>
              <w:tabs>
                <w:tab w:val="left" w:pos="851"/>
              </w:tabs>
              <w:spacing w:line="276" w:lineRule="auto"/>
              <w:jc w:val="center"/>
              <w:outlineLvl w:val="3"/>
              <w:rPr>
                <w:rFonts w:ascii="Lato" w:hAnsi="Lato" w:cstheme="minorHAnsi"/>
                <w:bCs/>
                <w:sz w:val="20"/>
                <w:szCs w:val="20"/>
              </w:rPr>
            </w:pPr>
            <w:r w:rsidRPr="00C35EAE">
              <w:rPr>
                <w:rFonts w:ascii="Lato" w:hAnsi="Lato" w:cstheme="minorHAnsi"/>
                <w:bCs/>
                <w:sz w:val="20"/>
                <w:szCs w:val="20"/>
              </w:rPr>
              <w:t>2021 r.</w:t>
            </w:r>
          </w:p>
        </w:tc>
        <w:tc>
          <w:tcPr>
            <w:tcW w:w="1454" w:type="dxa"/>
            <w:gridSpan w:val="2"/>
            <w:shd w:val="clear" w:color="auto" w:fill="D9D9D9" w:themeFill="background1" w:themeFillShade="D9"/>
            <w:vAlign w:val="center"/>
          </w:tcPr>
          <w:p w14:paraId="5840D48F" w14:textId="77777777" w:rsidR="00986DE0" w:rsidRPr="00C35EAE" w:rsidRDefault="00986DE0" w:rsidP="003C7140">
            <w:pPr>
              <w:tabs>
                <w:tab w:val="left" w:pos="851"/>
              </w:tabs>
              <w:spacing w:line="276" w:lineRule="auto"/>
              <w:jc w:val="center"/>
              <w:outlineLvl w:val="3"/>
              <w:rPr>
                <w:rFonts w:ascii="Lato" w:hAnsi="Lato" w:cstheme="minorHAnsi"/>
                <w:bCs/>
                <w:sz w:val="20"/>
                <w:szCs w:val="20"/>
              </w:rPr>
            </w:pPr>
            <w:r w:rsidRPr="00C35EAE">
              <w:rPr>
                <w:rFonts w:ascii="Lato" w:hAnsi="Lato" w:cstheme="minorHAnsi"/>
                <w:bCs/>
                <w:sz w:val="20"/>
                <w:szCs w:val="20"/>
              </w:rPr>
              <w:t>2022 r.</w:t>
            </w:r>
          </w:p>
        </w:tc>
        <w:tc>
          <w:tcPr>
            <w:tcW w:w="1455" w:type="dxa"/>
            <w:gridSpan w:val="2"/>
            <w:shd w:val="clear" w:color="auto" w:fill="D9D9D9" w:themeFill="background1" w:themeFillShade="D9"/>
            <w:vAlign w:val="center"/>
          </w:tcPr>
          <w:p w14:paraId="4A276051" w14:textId="77777777" w:rsidR="00986DE0" w:rsidRPr="00C35EAE" w:rsidRDefault="00986DE0" w:rsidP="003C7140">
            <w:pPr>
              <w:tabs>
                <w:tab w:val="left" w:pos="851"/>
              </w:tabs>
              <w:spacing w:line="276" w:lineRule="auto"/>
              <w:jc w:val="center"/>
              <w:outlineLvl w:val="3"/>
              <w:rPr>
                <w:rFonts w:ascii="Lato" w:hAnsi="Lato" w:cstheme="minorHAnsi"/>
                <w:bCs/>
                <w:sz w:val="20"/>
                <w:szCs w:val="20"/>
              </w:rPr>
            </w:pPr>
            <w:r w:rsidRPr="00C35EAE">
              <w:rPr>
                <w:rFonts w:ascii="Lato" w:hAnsi="Lato" w:cstheme="minorHAnsi"/>
                <w:bCs/>
                <w:sz w:val="20"/>
                <w:szCs w:val="20"/>
              </w:rPr>
              <w:t>2023 r.</w:t>
            </w:r>
          </w:p>
        </w:tc>
        <w:tc>
          <w:tcPr>
            <w:tcW w:w="1454" w:type="dxa"/>
            <w:gridSpan w:val="2"/>
            <w:shd w:val="clear" w:color="auto" w:fill="D9D9D9" w:themeFill="background1" w:themeFillShade="D9"/>
            <w:vAlign w:val="center"/>
          </w:tcPr>
          <w:p w14:paraId="63A6F29E" w14:textId="77777777" w:rsidR="00986DE0" w:rsidRPr="00C35EAE" w:rsidRDefault="00986DE0" w:rsidP="003C7140">
            <w:pPr>
              <w:tabs>
                <w:tab w:val="left" w:pos="851"/>
              </w:tabs>
              <w:spacing w:line="276" w:lineRule="auto"/>
              <w:jc w:val="center"/>
              <w:outlineLvl w:val="3"/>
              <w:rPr>
                <w:rFonts w:ascii="Lato" w:hAnsi="Lato" w:cstheme="minorHAnsi"/>
                <w:bCs/>
                <w:sz w:val="20"/>
                <w:szCs w:val="20"/>
              </w:rPr>
            </w:pPr>
            <w:r w:rsidRPr="00C35EAE">
              <w:rPr>
                <w:rFonts w:ascii="Lato" w:hAnsi="Lato" w:cstheme="minorHAnsi"/>
                <w:bCs/>
                <w:sz w:val="20"/>
                <w:szCs w:val="20"/>
              </w:rPr>
              <w:t>2024 r.</w:t>
            </w:r>
          </w:p>
        </w:tc>
        <w:tc>
          <w:tcPr>
            <w:tcW w:w="1455" w:type="dxa"/>
            <w:gridSpan w:val="2"/>
            <w:shd w:val="clear" w:color="auto" w:fill="D9D9D9" w:themeFill="background1" w:themeFillShade="D9"/>
            <w:vAlign w:val="center"/>
          </w:tcPr>
          <w:p w14:paraId="16B68685" w14:textId="77777777" w:rsidR="00986DE0" w:rsidRPr="00C35EAE" w:rsidRDefault="00986DE0" w:rsidP="003C7140">
            <w:pPr>
              <w:tabs>
                <w:tab w:val="left" w:pos="851"/>
              </w:tabs>
              <w:spacing w:line="276" w:lineRule="auto"/>
              <w:jc w:val="center"/>
              <w:outlineLvl w:val="3"/>
              <w:rPr>
                <w:rFonts w:ascii="Lato" w:hAnsi="Lato" w:cstheme="minorHAnsi"/>
                <w:b/>
                <w:color w:val="EE0000"/>
                <w:sz w:val="20"/>
                <w:szCs w:val="20"/>
              </w:rPr>
            </w:pPr>
            <w:r w:rsidRPr="00C35EAE">
              <w:rPr>
                <w:rFonts w:ascii="Lato" w:hAnsi="Lato" w:cstheme="minorHAnsi"/>
                <w:b/>
                <w:sz w:val="20"/>
                <w:szCs w:val="20"/>
              </w:rPr>
              <w:t>2025 r.</w:t>
            </w:r>
          </w:p>
        </w:tc>
      </w:tr>
      <w:tr w:rsidR="00986DE0" w:rsidRPr="00C35EAE" w14:paraId="065B8759" w14:textId="77777777" w:rsidTr="00130F95">
        <w:trPr>
          <w:cantSplit/>
          <w:trHeight w:val="1419"/>
        </w:trPr>
        <w:tc>
          <w:tcPr>
            <w:tcW w:w="1908" w:type="dxa"/>
            <w:vMerge/>
            <w:shd w:val="clear" w:color="auto" w:fill="D9D9D9" w:themeFill="background1" w:themeFillShade="D9"/>
          </w:tcPr>
          <w:p w14:paraId="604DF7B7" w14:textId="77777777" w:rsidR="00986DE0" w:rsidRPr="00C35EAE" w:rsidRDefault="00986DE0" w:rsidP="003C7140">
            <w:pPr>
              <w:tabs>
                <w:tab w:val="left" w:pos="851"/>
              </w:tabs>
              <w:spacing w:line="276" w:lineRule="auto"/>
              <w:jc w:val="both"/>
              <w:outlineLvl w:val="3"/>
              <w:rPr>
                <w:rFonts w:ascii="Lato" w:hAnsi="Lato" w:cs="Calibri"/>
                <w:bCs/>
                <w:color w:val="EE0000"/>
                <w:sz w:val="20"/>
                <w:szCs w:val="20"/>
              </w:rPr>
            </w:pPr>
          </w:p>
        </w:tc>
        <w:tc>
          <w:tcPr>
            <w:tcW w:w="727" w:type="dxa"/>
            <w:shd w:val="clear" w:color="auto" w:fill="D9D9D9" w:themeFill="background1" w:themeFillShade="D9"/>
            <w:textDirection w:val="btLr"/>
            <w:vAlign w:val="center"/>
          </w:tcPr>
          <w:p w14:paraId="2A251374" w14:textId="77777777" w:rsidR="00986DE0" w:rsidRPr="00C35EAE" w:rsidRDefault="00986DE0" w:rsidP="003C7140">
            <w:pPr>
              <w:tabs>
                <w:tab w:val="left" w:pos="851"/>
              </w:tabs>
              <w:ind w:left="113" w:right="113"/>
              <w:jc w:val="center"/>
              <w:outlineLvl w:val="3"/>
              <w:rPr>
                <w:rFonts w:ascii="Lato" w:hAnsi="Lato" w:cstheme="minorHAnsi"/>
                <w:bCs/>
                <w:color w:val="EE0000"/>
                <w:sz w:val="20"/>
                <w:szCs w:val="20"/>
              </w:rPr>
            </w:pPr>
            <w:r w:rsidRPr="00C35EAE">
              <w:rPr>
                <w:rFonts w:ascii="Lato" w:hAnsi="Lato" w:cstheme="minorHAnsi"/>
                <w:bCs/>
                <w:sz w:val="20"/>
                <w:szCs w:val="20"/>
              </w:rPr>
              <w:t>Liczba zachorowań</w:t>
            </w:r>
          </w:p>
        </w:tc>
        <w:tc>
          <w:tcPr>
            <w:tcW w:w="727" w:type="dxa"/>
            <w:shd w:val="clear" w:color="auto" w:fill="D9D9D9" w:themeFill="background1" w:themeFillShade="D9"/>
            <w:textDirection w:val="btLr"/>
            <w:vAlign w:val="center"/>
          </w:tcPr>
          <w:p w14:paraId="6B681929" w14:textId="77777777" w:rsidR="00986DE0" w:rsidRPr="00C35EAE" w:rsidRDefault="00986DE0" w:rsidP="003C7140">
            <w:pPr>
              <w:tabs>
                <w:tab w:val="left" w:pos="851"/>
              </w:tabs>
              <w:ind w:left="113" w:right="113"/>
              <w:jc w:val="center"/>
              <w:outlineLvl w:val="3"/>
              <w:rPr>
                <w:rFonts w:ascii="Lato" w:hAnsi="Lato" w:cstheme="minorHAnsi"/>
                <w:bCs/>
                <w:sz w:val="20"/>
                <w:szCs w:val="20"/>
              </w:rPr>
            </w:pPr>
            <w:r w:rsidRPr="00C35EAE">
              <w:rPr>
                <w:rFonts w:ascii="Lato" w:hAnsi="Lato" w:cstheme="minorHAnsi"/>
                <w:bCs/>
                <w:sz w:val="20"/>
                <w:szCs w:val="20"/>
              </w:rPr>
              <w:t>Zapadalność</w:t>
            </w:r>
            <w:r w:rsidRPr="00C35EAE">
              <w:rPr>
                <w:rFonts w:ascii="Lato" w:hAnsi="Lato" w:cstheme="minorHAnsi"/>
                <w:bCs/>
                <w:sz w:val="20"/>
                <w:szCs w:val="20"/>
              </w:rPr>
              <w:br/>
              <w:t>na 100 tys.</w:t>
            </w:r>
          </w:p>
        </w:tc>
        <w:tc>
          <w:tcPr>
            <w:tcW w:w="727" w:type="dxa"/>
            <w:shd w:val="clear" w:color="auto" w:fill="D9D9D9" w:themeFill="background1" w:themeFillShade="D9"/>
            <w:textDirection w:val="btLr"/>
            <w:vAlign w:val="center"/>
          </w:tcPr>
          <w:p w14:paraId="139A39CD" w14:textId="77777777" w:rsidR="00986DE0" w:rsidRPr="00C35EAE" w:rsidRDefault="00986DE0" w:rsidP="003C7140">
            <w:pPr>
              <w:tabs>
                <w:tab w:val="left" w:pos="851"/>
              </w:tabs>
              <w:ind w:left="113" w:right="113"/>
              <w:jc w:val="center"/>
              <w:outlineLvl w:val="3"/>
              <w:rPr>
                <w:rFonts w:ascii="Lato" w:hAnsi="Lato" w:cstheme="minorHAnsi"/>
                <w:bCs/>
                <w:sz w:val="20"/>
                <w:szCs w:val="20"/>
              </w:rPr>
            </w:pPr>
            <w:r w:rsidRPr="00C35EAE">
              <w:rPr>
                <w:rFonts w:ascii="Lato" w:hAnsi="Lato" w:cstheme="minorHAnsi"/>
                <w:bCs/>
                <w:sz w:val="20"/>
                <w:szCs w:val="20"/>
              </w:rPr>
              <w:t>Liczba zachorowań</w:t>
            </w:r>
          </w:p>
        </w:tc>
        <w:tc>
          <w:tcPr>
            <w:tcW w:w="727" w:type="dxa"/>
            <w:shd w:val="clear" w:color="auto" w:fill="D9D9D9" w:themeFill="background1" w:themeFillShade="D9"/>
            <w:textDirection w:val="btLr"/>
            <w:vAlign w:val="center"/>
          </w:tcPr>
          <w:p w14:paraId="1EA82359" w14:textId="77777777" w:rsidR="00986DE0" w:rsidRPr="00C35EAE" w:rsidRDefault="00986DE0" w:rsidP="003C7140">
            <w:pPr>
              <w:tabs>
                <w:tab w:val="left" w:pos="851"/>
              </w:tabs>
              <w:ind w:left="113" w:right="113"/>
              <w:jc w:val="center"/>
              <w:outlineLvl w:val="3"/>
              <w:rPr>
                <w:rFonts w:ascii="Lato" w:hAnsi="Lato" w:cstheme="minorHAnsi"/>
                <w:bCs/>
                <w:sz w:val="20"/>
                <w:szCs w:val="20"/>
              </w:rPr>
            </w:pPr>
            <w:r w:rsidRPr="00C35EAE">
              <w:rPr>
                <w:rFonts w:ascii="Lato" w:hAnsi="Lato" w:cstheme="minorHAnsi"/>
                <w:bCs/>
                <w:sz w:val="20"/>
                <w:szCs w:val="20"/>
              </w:rPr>
              <w:t>Zapadalność</w:t>
            </w:r>
            <w:r w:rsidRPr="00C35EAE">
              <w:rPr>
                <w:rFonts w:ascii="Lato" w:hAnsi="Lato" w:cstheme="minorHAnsi"/>
                <w:bCs/>
                <w:sz w:val="20"/>
                <w:szCs w:val="20"/>
              </w:rPr>
              <w:br/>
              <w:t>na 100 tys.</w:t>
            </w:r>
          </w:p>
        </w:tc>
        <w:tc>
          <w:tcPr>
            <w:tcW w:w="728" w:type="dxa"/>
            <w:shd w:val="clear" w:color="auto" w:fill="D9D9D9" w:themeFill="background1" w:themeFillShade="D9"/>
            <w:textDirection w:val="btLr"/>
            <w:vAlign w:val="center"/>
          </w:tcPr>
          <w:p w14:paraId="3360D7D0" w14:textId="77777777" w:rsidR="00986DE0" w:rsidRPr="00C35EAE" w:rsidRDefault="00986DE0" w:rsidP="003C7140">
            <w:pPr>
              <w:tabs>
                <w:tab w:val="left" w:pos="851"/>
              </w:tabs>
              <w:ind w:left="113" w:right="113"/>
              <w:jc w:val="center"/>
              <w:outlineLvl w:val="3"/>
              <w:rPr>
                <w:rFonts w:ascii="Lato" w:hAnsi="Lato" w:cstheme="minorHAnsi"/>
                <w:bCs/>
                <w:sz w:val="20"/>
                <w:szCs w:val="20"/>
              </w:rPr>
            </w:pPr>
            <w:r w:rsidRPr="00C35EAE">
              <w:rPr>
                <w:rFonts w:ascii="Lato" w:hAnsi="Lato" w:cstheme="minorHAnsi"/>
                <w:bCs/>
                <w:sz w:val="20"/>
                <w:szCs w:val="20"/>
              </w:rPr>
              <w:t>Liczba zachorowań</w:t>
            </w:r>
          </w:p>
        </w:tc>
        <w:tc>
          <w:tcPr>
            <w:tcW w:w="727" w:type="dxa"/>
            <w:shd w:val="clear" w:color="auto" w:fill="D9D9D9" w:themeFill="background1" w:themeFillShade="D9"/>
            <w:textDirection w:val="btLr"/>
            <w:vAlign w:val="center"/>
          </w:tcPr>
          <w:p w14:paraId="25440F2C" w14:textId="77777777" w:rsidR="00986DE0" w:rsidRPr="00C35EAE" w:rsidRDefault="00986DE0" w:rsidP="003C7140">
            <w:pPr>
              <w:tabs>
                <w:tab w:val="left" w:pos="851"/>
              </w:tabs>
              <w:ind w:left="113" w:right="113"/>
              <w:jc w:val="center"/>
              <w:outlineLvl w:val="3"/>
              <w:rPr>
                <w:rFonts w:ascii="Lato" w:hAnsi="Lato" w:cstheme="minorHAnsi"/>
                <w:bCs/>
                <w:sz w:val="20"/>
                <w:szCs w:val="20"/>
              </w:rPr>
            </w:pPr>
            <w:r w:rsidRPr="00C35EAE">
              <w:rPr>
                <w:rFonts w:ascii="Lato" w:hAnsi="Lato" w:cstheme="minorHAnsi"/>
                <w:bCs/>
                <w:sz w:val="20"/>
                <w:szCs w:val="20"/>
              </w:rPr>
              <w:t>Zapadalność</w:t>
            </w:r>
            <w:r w:rsidRPr="00C35EAE">
              <w:rPr>
                <w:rFonts w:ascii="Lato" w:hAnsi="Lato" w:cstheme="minorHAnsi"/>
                <w:bCs/>
                <w:sz w:val="20"/>
                <w:szCs w:val="20"/>
              </w:rPr>
              <w:br/>
              <w:t>na 100 tys.</w:t>
            </w:r>
          </w:p>
        </w:tc>
        <w:tc>
          <w:tcPr>
            <w:tcW w:w="727" w:type="dxa"/>
            <w:shd w:val="clear" w:color="auto" w:fill="D9D9D9" w:themeFill="background1" w:themeFillShade="D9"/>
            <w:textDirection w:val="btLr"/>
            <w:vAlign w:val="center"/>
          </w:tcPr>
          <w:p w14:paraId="3F06BED6" w14:textId="77777777" w:rsidR="00986DE0" w:rsidRPr="00C35EAE" w:rsidRDefault="00986DE0" w:rsidP="003C7140">
            <w:pPr>
              <w:tabs>
                <w:tab w:val="left" w:pos="851"/>
              </w:tabs>
              <w:ind w:left="113" w:right="113"/>
              <w:jc w:val="center"/>
              <w:outlineLvl w:val="3"/>
              <w:rPr>
                <w:rFonts w:ascii="Lato" w:hAnsi="Lato" w:cstheme="minorHAnsi"/>
                <w:bCs/>
                <w:sz w:val="20"/>
                <w:szCs w:val="20"/>
              </w:rPr>
            </w:pPr>
            <w:r w:rsidRPr="00C35EAE">
              <w:rPr>
                <w:rFonts w:ascii="Lato" w:hAnsi="Lato" w:cstheme="minorHAnsi"/>
                <w:bCs/>
                <w:sz w:val="20"/>
                <w:szCs w:val="20"/>
              </w:rPr>
              <w:t>Liczba zachorowań</w:t>
            </w:r>
          </w:p>
        </w:tc>
        <w:tc>
          <w:tcPr>
            <w:tcW w:w="727" w:type="dxa"/>
            <w:shd w:val="clear" w:color="auto" w:fill="D9D9D9" w:themeFill="background1" w:themeFillShade="D9"/>
            <w:textDirection w:val="btLr"/>
            <w:vAlign w:val="center"/>
          </w:tcPr>
          <w:p w14:paraId="00D3E5E6" w14:textId="77777777" w:rsidR="00986DE0" w:rsidRPr="00C35EAE" w:rsidRDefault="00986DE0" w:rsidP="003C7140">
            <w:pPr>
              <w:tabs>
                <w:tab w:val="left" w:pos="851"/>
              </w:tabs>
              <w:ind w:left="113" w:right="113"/>
              <w:jc w:val="center"/>
              <w:outlineLvl w:val="3"/>
              <w:rPr>
                <w:rFonts w:ascii="Lato" w:hAnsi="Lato" w:cstheme="minorHAnsi"/>
                <w:bCs/>
                <w:sz w:val="20"/>
                <w:szCs w:val="20"/>
              </w:rPr>
            </w:pPr>
            <w:r w:rsidRPr="00C35EAE">
              <w:rPr>
                <w:rFonts w:ascii="Lato" w:hAnsi="Lato" w:cstheme="minorHAnsi"/>
                <w:bCs/>
                <w:sz w:val="20"/>
                <w:szCs w:val="20"/>
              </w:rPr>
              <w:t>Zapadalność</w:t>
            </w:r>
            <w:r w:rsidRPr="00C35EAE">
              <w:rPr>
                <w:rFonts w:ascii="Lato" w:hAnsi="Lato" w:cstheme="minorHAnsi"/>
                <w:bCs/>
                <w:sz w:val="20"/>
                <w:szCs w:val="20"/>
              </w:rPr>
              <w:br/>
              <w:t>na 100 tys.</w:t>
            </w:r>
          </w:p>
        </w:tc>
        <w:tc>
          <w:tcPr>
            <w:tcW w:w="727" w:type="dxa"/>
            <w:shd w:val="clear" w:color="auto" w:fill="D9D9D9" w:themeFill="background1" w:themeFillShade="D9"/>
            <w:textDirection w:val="btLr"/>
            <w:vAlign w:val="center"/>
          </w:tcPr>
          <w:p w14:paraId="5C2746F9" w14:textId="77777777" w:rsidR="00986DE0" w:rsidRPr="00C35EAE" w:rsidRDefault="00986DE0" w:rsidP="003C7140">
            <w:pPr>
              <w:tabs>
                <w:tab w:val="left" w:pos="851"/>
              </w:tabs>
              <w:ind w:left="113" w:right="113"/>
              <w:jc w:val="center"/>
              <w:outlineLvl w:val="3"/>
              <w:rPr>
                <w:rFonts w:ascii="Lato" w:hAnsi="Lato" w:cstheme="minorHAnsi"/>
                <w:b/>
                <w:color w:val="EE0000"/>
                <w:sz w:val="20"/>
                <w:szCs w:val="20"/>
              </w:rPr>
            </w:pPr>
            <w:r w:rsidRPr="00C35EAE">
              <w:rPr>
                <w:rFonts w:ascii="Lato" w:hAnsi="Lato" w:cstheme="minorHAnsi"/>
                <w:b/>
                <w:sz w:val="20"/>
                <w:szCs w:val="20"/>
              </w:rPr>
              <w:t>Liczba zachorowań</w:t>
            </w:r>
          </w:p>
        </w:tc>
        <w:tc>
          <w:tcPr>
            <w:tcW w:w="728" w:type="dxa"/>
            <w:shd w:val="clear" w:color="auto" w:fill="D9D9D9" w:themeFill="background1" w:themeFillShade="D9"/>
            <w:textDirection w:val="btLr"/>
            <w:vAlign w:val="center"/>
          </w:tcPr>
          <w:p w14:paraId="69DAB4EB" w14:textId="77777777" w:rsidR="00986DE0" w:rsidRPr="00C35EAE" w:rsidRDefault="00986DE0" w:rsidP="003C7140">
            <w:pPr>
              <w:tabs>
                <w:tab w:val="left" w:pos="851"/>
              </w:tabs>
              <w:ind w:left="113" w:right="113"/>
              <w:jc w:val="center"/>
              <w:outlineLvl w:val="3"/>
              <w:rPr>
                <w:rFonts w:ascii="Lato" w:hAnsi="Lato" w:cstheme="minorHAnsi"/>
                <w:b/>
                <w:color w:val="EE0000"/>
                <w:sz w:val="20"/>
                <w:szCs w:val="20"/>
              </w:rPr>
            </w:pPr>
            <w:r w:rsidRPr="00C35EAE">
              <w:rPr>
                <w:rFonts w:ascii="Lato" w:hAnsi="Lato" w:cstheme="minorHAnsi"/>
                <w:b/>
                <w:sz w:val="20"/>
                <w:szCs w:val="20"/>
              </w:rPr>
              <w:t>Zapadalność</w:t>
            </w:r>
            <w:r w:rsidRPr="00C35EAE">
              <w:rPr>
                <w:rFonts w:ascii="Lato" w:hAnsi="Lato" w:cstheme="minorHAnsi"/>
                <w:b/>
                <w:sz w:val="20"/>
                <w:szCs w:val="20"/>
              </w:rPr>
              <w:br/>
              <w:t>na 100 tys.</w:t>
            </w:r>
          </w:p>
        </w:tc>
      </w:tr>
      <w:tr w:rsidR="00986DE0" w:rsidRPr="00C35EAE" w14:paraId="1FB6C80B" w14:textId="77777777" w:rsidTr="003C7140">
        <w:trPr>
          <w:trHeight w:val="491"/>
        </w:trPr>
        <w:tc>
          <w:tcPr>
            <w:tcW w:w="1908" w:type="dxa"/>
            <w:vAlign w:val="center"/>
          </w:tcPr>
          <w:p w14:paraId="00640AFF" w14:textId="77777777" w:rsidR="00986DE0" w:rsidRPr="00C35EAE" w:rsidRDefault="00986DE0" w:rsidP="003C7140">
            <w:pPr>
              <w:tabs>
                <w:tab w:val="left" w:pos="851"/>
              </w:tabs>
              <w:spacing w:line="276" w:lineRule="auto"/>
              <w:jc w:val="center"/>
              <w:outlineLvl w:val="3"/>
              <w:rPr>
                <w:rFonts w:ascii="Lato" w:hAnsi="Lato" w:cstheme="minorHAnsi"/>
                <w:bCs/>
                <w:sz w:val="20"/>
                <w:szCs w:val="20"/>
              </w:rPr>
            </w:pPr>
            <w:r w:rsidRPr="00C35EAE">
              <w:rPr>
                <w:rFonts w:ascii="Lato" w:hAnsi="Lato" w:cstheme="minorHAnsi"/>
                <w:bCs/>
                <w:smallCaps/>
                <w:sz w:val="20"/>
                <w:szCs w:val="20"/>
              </w:rPr>
              <w:t>Polska</w:t>
            </w:r>
          </w:p>
        </w:tc>
        <w:tc>
          <w:tcPr>
            <w:tcW w:w="727" w:type="dxa"/>
            <w:vAlign w:val="center"/>
          </w:tcPr>
          <w:p w14:paraId="19068BD1"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287</w:t>
            </w:r>
          </w:p>
        </w:tc>
        <w:tc>
          <w:tcPr>
            <w:tcW w:w="727" w:type="dxa"/>
            <w:vAlign w:val="center"/>
          </w:tcPr>
          <w:p w14:paraId="2B2E86BA"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0,75</w:t>
            </w:r>
          </w:p>
        </w:tc>
        <w:tc>
          <w:tcPr>
            <w:tcW w:w="727" w:type="dxa"/>
            <w:vAlign w:val="center"/>
          </w:tcPr>
          <w:p w14:paraId="32F35F73"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630</w:t>
            </w:r>
          </w:p>
        </w:tc>
        <w:tc>
          <w:tcPr>
            <w:tcW w:w="727" w:type="dxa"/>
            <w:vAlign w:val="center"/>
          </w:tcPr>
          <w:p w14:paraId="3DA18E94"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1,67</w:t>
            </w:r>
          </w:p>
        </w:tc>
        <w:tc>
          <w:tcPr>
            <w:tcW w:w="728" w:type="dxa"/>
            <w:vAlign w:val="center"/>
          </w:tcPr>
          <w:p w14:paraId="79E78866"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1322</w:t>
            </w:r>
          </w:p>
        </w:tc>
        <w:tc>
          <w:tcPr>
            <w:tcW w:w="727" w:type="dxa"/>
            <w:vAlign w:val="center"/>
          </w:tcPr>
          <w:p w14:paraId="42689994"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3,51</w:t>
            </w:r>
          </w:p>
        </w:tc>
        <w:tc>
          <w:tcPr>
            <w:tcW w:w="727" w:type="dxa"/>
            <w:vAlign w:val="center"/>
          </w:tcPr>
          <w:p w14:paraId="41D8AB97" w14:textId="77777777" w:rsidR="00986DE0" w:rsidRPr="002552FE" w:rsidRDefault="00986DE0" w:rsidP="003C7140">
            <w:pPr>
              <w:tabs>
                <w:tab w:val="left" w:pos="851"/>
              </w:tabs>
              <w:spacing w:line="276" w:lineRule="auto"/>
              <w:jc w:val="center"/>
              <w:outlineLvl w:val="3"/>
              <w:rPr>
                <w:rFonts w:ascii="Lato" w:hAnsi="Lato" w:cstheme="minorHAnsi"/>
                <w:bCs/>
                <w:sz w:val="20"/>
                <w:szCs w:val="20"/>
              </w:rPr>
            </w:pPr>
            <w:r w:rsidRPr="002552FE">
              <w:rPr>
                <w:rFonts w:ascii="Lato" w:hAnsi="Lato" w:cstheme="minorHAnsi"/>
                <w:bCs/>
                <w:sz w:val="20"/>
                <w:szCs w:val="20"/>
              </w:rPr>
              <w:t>1186</w:t>
            </w:r>
          </w:p>
        </w:tc>
        <w:tc>
          <w:tcPr>
            <w:tcW w:w="727" w:type="dxa"/>
            <w:vAlign w:val="center"/>
          </w:tcPr>
          <w:p w14:paraId="303B9E1E" w14:textId="77777777" w:rsidR="00986DE0" w:rsidRPr="002552FE" w:rsidRDefault="00986DE0" w:rsidP="003C7140">
            <w:pPr>
              <w:tabs>
                <w:tab w:val="left" w:pos="851"/>
              </w:tabs>
              <w:spacing w:line="276" w:lineRule="auto"/>
              <w:jc w:val="center"/>
              <w:outlineLvl w:val="3"/>
              <w:rPr>
                <w:rFonts w:ascii="Lato" w:hAnsi="Lato" w:cstheme="minorHAnsi"/>
                <w:bCs/>
                <w:sz w:val="20"/>
                <w:szCs w:val="20"/>
              </w:rPr>
            </w:pPr>
            <w:r w:rsidRPr="002552FE">
              <w:rPr>
                <w:rFonts w:ascii="Lato" w:hAnsi="Lato" w:cstheme="minorHAnsi"/>
                <w:bCs/>
                <w:sz w:val="20"/>
                <w:szCs w:val="20"/>
              </w:rPr>
              <w:t>3,16</w:t>
            </w:r>
          </w:p>
        </w:tc>
        <w:tc>
          <w:tcPr>
            <w:tcW w:w="727" w:type="dxa"/>
            <w:vAlign w:val="center"/>
          </w:tcPr>
          <w:p w14:paraId="7A2DABB4" w14:textId="77777777" w:rsidR="00986DE0" w:rsidRPr="002552FE" w:rsidRDefault="00986DE0" w:rsidP="003C7140">
            <w:pPr>
              <w:tabs>
                <w:tab w:val="left" w:pos="851"/>
              </w:tabs>
              <w:spacing w:line="276" w:lineRule="auto"/>
              <w:jc w:val="center"/>
              <w:outlineLvl w:val="3"/>
              <w:rPr>
                <w:rFonts w:ascii="Lato" w:hAnsi="Lato" w:cstheme="minorHAnsi"/>
                <w:b/>
                <w:sz w:val="20"/>
                <w:szCs w:val="20"/>
              </w:rPr>
            </w:pPr>
            <w:r w:rsidRPr="002552FE">
              <w:rPr>
                <w:rFonts w:ascii="Lato" w:hAnsi="Lato" w:cstheme="minorHAnsi"/>
                <w:b/>
                <w:sz w:val="20"/>
                <w:szCs w:val="20"/>
              </w:rPr>
              <w:t>1496*</w:t>
            </w:r>
          </w:p>
        </w:tc>
        <w:tc>
          <w:tcPr>
            <w:tcW w:w="728" w:type="dxa"/>
            <w:vAlign w:val="center"/>
          </w:tcPr>
          <w:p w14:paraId="45210B2E" w14:textId="77777777" w:rsidR="00986DE0" w:rsidRPr="002552FE" w:rsidRDefault="00986DE0" w:rsidP="003C7140">
            <w:pPr>
              <w:tabs>
                <w:tab w:val="left" w:pos="851"/>
              </w:tabs>
              <w:spacing w:line="276" w:lineRule="auto"/>
              <w:jc w:val="center"/>
              <w:outlineLvl w:val="3"/>
              <w:rPr>
                <w:rFonts w:ascii="Lato" w:hAnsi="Lato" w:cstheme="minorHAnsi"/>
                <w:b/>
                <w:sz w:val="20"/>
                <w:szCs w:val="20"/>
              </w:rPr>
            </w:pPr>
            <w:r w:rsidRPr="002552FE">
              <w:rPr>
                <w:rFonts w:ascii="Lato" w:hAnsi="Lato" w:cstheme="minorHAnsi"/>
                <w:b/>
                <w:sz w:val="20"/>
                <w:szCs w:val="20"/>
              </w:rPr>
              <w:t>4,00</w:t>
            </w:r>
          </w:p>
        </w:tc>
      </w:tr>
      <w:tr w:rsidR="00986DE0" w:rsidRPr="00C35EAE" w14:paraId="2D86A23B" w14:textId="77777777" w:rsidTr="003C7140">
        <w:trPr>
          <w:trHeight w:val="545"/>
        </w:trPr>
        <w:tc>
          <w:tcPr>
            <w:tcW w:w="1908" w:type="dxa"/>
            <w:vAlign w:val="center"/>
          </w:tcPr>
          <w:p w14:paraId="422509CA" w14:textId="77777777" w:rsidR="00986DE0" w:rsidRPr="00C35EAE" w:rsidRDefault="00986DE0" w:rsidP="003C7140">
            <w:pPr>
              <w:jc w:val="center"/>
              <w:rPr>
                <w:rFonts w:ascii="Lato" w:hAnsi="Lato" w:cstheme="minorHAnsi"/>
                <w:sz w:val="20"/>
                <w:szCs w:val="20"/>
              </w:rPr>
            </w:pPr>
            <w:r w:rsidRPr="00C35EAE">
              <w:rPr>
                <w:rFonts w:ascii="Lato" w:hAnsi="Lato" w:cstheme="minorHAnsi"/>
                <w:sz w:val="20"/>
                <w:szCs w:val="20"/>
              </w:rPr>
              <w:t>województwo</w:t>
            </w:r>
          </w:p>
          <w:p w14:paraId="21F56247" w14:textId="77777777" w:rsidR="00986DE0" w:rsidRPr="00C35EAE" w:rsidRDefault="00986DE0" w:rsidP="003C7140">
            <w:pPr>
              <w:jc w:val="center"/>
              <w:rPr>
                <w:rFonts w:ascii="Lato" w:hAnsi="Lato" w:cstheme="minorHAnsi"/>
              </w:rPr>
            </w:pPr>
            <w:r w:rsidRPr="00C35EAE">
              <w:rPr>
                <w:rFonts w:ascii="Lato" w:hAnsi="Lato" w:cstheme="minorHAnsi"/>
                <w:sz w:val="20"/>
                <w:szCs w:val="20"/>
              </w:rPr>
              <w:t>zachodniopomorskie</w:t>
            </w:r>
          </w:p>
        </w:tc>
        <w:tc>
          <w:tcPr>
            <w:tcW w:w="727" w:type="dxa"/>
            <w:vAlign w:val="center"/>
          </w:tcPr>
          <w:p w14:paraId="5DC7F3BD"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15</w:t>
            </w:r>
          </w:p>
        </w:tc>
        <w:tc>
          <w:tcPr>
            <w:tcW w:w="727" w:type="dxa"/>
            <w:vAlign w:val="center"/>
          </w:tcPr>
          <w:p w14:paraId="5ADE9178"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0,89</w:t>
            </w:r>
          </w:p>
        </w:tc>
        <w:tc>
          <w:tcPr>
            <w:tcW w:w="727" w:type="dxa"/>
            <w:vAlign w:val="center"/>
          </w:tcPr>
          <w:p w14:paraId="277F9371"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24</w:t>
            </w:r>
          </w:p>
        </w:tc>
        <w:tc>
          <w:tcPr>
            <w:tcW w:w="727" w:type="dxa"/>
            <w:vAlign w:val="center"/>
          </w:tcPr>
          <w:p w14:paraId="644830A3"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1,46</w:t>
            </w:r>
          </w:p>
        </w:tc>
        <w:tc>
          <w:tcPr>
            <w:tcW w:w="728" w:type="dxa"/>
            <w:vAlign w:val="center"/>
          </w:tcPr>
          <w:p w14:paraId="407ECE35"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30</w:t>
            </w:r>
          </w:p>
        </w:tc>
        <w:tc>
          <w:tcPr>
            <w:tcW w:w="727" w:type="dxa"/>
            <w:vAlign w:val="center"/>
          </w:tcPr>
          <w:p w14:paraId="5BB99DCB"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1,8</w:t>
            </w:r>
          </w:p>
        </w:tc>
        <w:tc>
          <w:tcPr>
            <w:tcW w:w="727" w:type="dxa"/>
            <w:vAlign w:val="center"/>
          </w:tcPr>
          <w:p w14:paraId="7AE76D14" w14:textId="77777777" w:rsidR="00986DE0" w:rsidRPr="002552FE" w:rsidRDefault="00986DE0" w:rsidP="003C7140">
            <w:pPr>
              <w:tabs>
                <w:tab w:val="left" w:pos="851"/>
              </w:tabs>
              <w:spacing w:line="276" w:lineRule="auto"/>
              <w:jc w:val="center"/>
              <w:outlineLvl w:val="3"/>
              <w:rPr>
                <w:rFonts w:ascii="Lato" w:hAnsi="Lato" w:cstheme="minorHAnsi"/>
                <w:bCs/>
                <w:sz w:val="20"/>
                <w:szCs w:val="20"/>
              </w:rPr>
            </w:pPr>
            <w:r w:rsidRPr="002552FE">
              <w:rPr>
                <w:rFonts w:ascii="Lato" w:hAnsi="Lato" w:cstheme="minorHAnsi"/>
                <w:bCs/>
                <w:sz w:val="20"/>
                <w:szCs w:val="20"/>
              </w:rPr>
              <w:t>33</w:t>
            </w:r>
          </w:p>
        </w:tc>
        <w:tc>
          <w:tcPr>
            <w:tcW w:w="727" w:type="dxa"/>
            <w:vAlign w:val="center"/>
          </w:tcPr>
          <w:p w14:paraId="1B508D88" w14:textId="77777777" w:rsidR="00986DE0" w:rsidRPr="002552FE" w:rsidRDefault="00986DE0" w:rsidP="003C7140">
            <w:pPr>
              <w:tabs>
                <w:tab w:val="left" w:pos="851"/>
              </w:tabs>
              <w:spacing w:line="276" w:lineRule="auto"/>
              <w:jc w:val="center"/>
              <w:outlineLvl w:val="3"/>
              <w:rPr>
                <w:rFonts w:ascii="Lato" w:hAnsi="Lato" w:cstheme="minorHAnsi"/>
                <w:bCs/>
                <w:sz w:val="20"/>
                <w:szCs w:val="20"/>
              </w:rPr>
            </w:pPr>
            <w:r w:rsidRPr="002552FE">
              <w:rPr>
                <w:rFonts w:ascii="Lato" w:hAnsi="Lato" w:cstheme="minorHAnsi"/>
                <w:bCs/>
                <w:sz w:val="20"/>
                <w:szCs w:val="20"/>
              </w:rPr>
              <w:t>2,02</w:t>
            </w:r>
          </w:p>
        </w:tc>
        <w:tc>
          <w:tcPr>
            <w:tcW w:w="727" w:type="dxa"/>
            <w:vAlign w:val="center"/>
          </w:tcPr>
          <w:p w14:paraId="7C525838" w14:textId="77777777" w:rsidR="00986DE0" w:rsidRPr="002552FE" w:rsidRDefault="00986DE0" w:rsidP="003C7140">
            <w:pPr>
              <w:tabs>
                <w:tab w:val="left" w:pos="851"/>
              </w:tabs>
              <w:spacing w:line="276" w:lineRule="auto"/>
              <w:jc w:val="center"/>
              <w:outlineLvl w:val="3"/>
              <w:rPr>
                <w:rFonts w:ascii="Lato" w:hAnsi="Lato" w:cstheme="minorHAnsi"/>
                <w:b/>
                <w:sz w:val="20"/>
                <w:szCs w:val="20"/>
              </w:rPr>
            </w:pPr>
            <w:r w:rsidRPr="002552FE">
              <w:rPr>
                <w:rFonts w:ascii="Lato" w:hAnsi="Lato" w:cstheme="minorHAnsi"/>
                <w:b/>
                <w:sz w:val="20"/>
                <w:szCs w:val="20"/>
              </w:rPr>
              <w:t>51</w:t>
            </w:r>
          </w:p>
        </w:tc>
        <w:tc>
          <w:tcPr>
            <w:tcW w:w="728" w:type="dxa"/>
            <w:vAlign w:val="center"/>
          </w:tcPr>
          <w:p w14:paraId="7E0F56EC" w14:textId="77777777" w:rsidR="00986DE0" w:rsidRPr="002552FE" w:rsidRDefault="00986DE0" w:rsidP="003C7140">
            <w:pPr>
              <w:tabs>
                <w:tab w:val="left" w:pos="851"/>
              </w:tabs>
              <w:spacing w:line="276" w:lineRule="auto"/>
              <w:jc w:val="center"/>
              <w:outlineLvl w:val="3"/>
              <w:rPr>
                <w:rFonts w:ascii="Lato" w:hAnsi="Lato" w:cstheme="minorHAnsi"/>
                <w:b/>
                <w:sz w:val="20"/>
                <w:szCs w:val="20"/>
              </w:rPr>
            </w:pPr>
            <w:r w:rsidRPr="002552FE">
              <w:rPr>
                <w:rFonts w:ascii="Lato" w:hAnsi="Lato" w:cstheme="minorHAnsi"/>
                <w:b/>
                <w:sz w:val="20"/>
                <w:szCs w:val="20"/>
              </w:rPr>
              <w:t>3,15</w:t>
            </w:r>
          </w:p>
        </w:tc>
      </w:tr>
      <w:tr w:rsidR="00986DE0" w:rsidRPr="00C35EAE" w14:paraId="2CD2CB00" w14:textId="77777777" w:rsidTr="00130F95">
        <w:tc>
          <w:tcPr>
            <w:tcW w:w="9180" w:type="dxa"/>
            <w:gridSpan w:val="11"/>
            <w:shd w:val="clear" w:color="auto" w:fill="D9D9D9" w:themeFill="background1" w:themeFillShade="D9"/>
            <w:vAlign w:val="center"/>
          </w:tcPr>
          <w:p w14:paraId="210A8D13" w14:textId="77777777" w:rsidR="00986DE0" w:rsidRPr="002552FE" w:rsidRDefault="00986DE0" w:rsidP="003C7140">
            <w:pPr>
              <w:spacing w:line="276" w:lineRule="auto"/>
              <w:jc w:val="center"/>
              <w:rPr>
                <w:rFonts w:ascii="Lato" w:hAnsi="Lato" w:cstheme="minorHAnsi"/>
                <w:sz w:val="20"/>
                <w:szCs w:val="20"/>
              </w:rPr>
            </w:pPr>
            <w:r w:rsidRPr="002552FE">
              <w:rPr>
                <w:rFonts w:ascii="Lato" w:hAnsi="Lato" w:cstheme="minorHAnsi"/>
                <w:sz w:val="20"/>
                <w:szCs w:val="20"/>
              </w:rPr>
              <w:t>Inne choroby przenoszone drogą płciową wywołane przez Chlamydie (A56)</w:t>
            </w:r>
          </w:p>
        </w:tc>
      </w:tr>
      <w:tr w:rsidR="00986DE0" w:rsidRPr="00C35EAE" w14:paraId="4196C1C4" w14:textId="77777777" w:rsidTr="003C7140">
        <w:trPr>
          <w:trHeight w:val="491"/>
        </w:trPr>
        <w:tc>
          <w:tcPr>
            <w:tcW w:w="1908" w:type="dxa"/>
            <w:vAlign w:val="center"/>
          </w:tcPr>
          <w:p w14:paraId="2DC28236" w14:textId="77777777" w:rsidR="00986DE0" w:rsidRPr="00C35EAE" w:rsidRDefault="00986DE0" w:rsidP="003C7140">
            <w:pPr>
              <w:tabs>
                <w:tab w:val="left" w:pos="851"/>
              </w:tabs>
              <w:spacing w:line="276" w:lineRule="auto"/>
              <w:jc w:val="center"/>
              <w:outlineLvl w:val="3"/>
              <w:rPr>
                <w:rFonts w:ascii="Lato" w:hAnsi="Lato" w:cstheme="minorHAnsi"/>
                <w:bCs/>
                <w:sz w:val="20"/>
                <w:szCs w:val="20"/>
              </w:rPr>
            </w:pPr>
            <w:r w:rsidRPr="00C35EAE">
              <w:rPr>
                <w:rFonts w:ascii="Lato" w:hAnsi="Lato" w:cstheme="minorHAnsi"/>
                <w:bCs/>
                <w:smallCaps/>
                <w:sz w:val="20"/>
                <w:szCs w:val="20"/>
              </w:rPr>
              <w:t>Polska</w:t>
            </w:r>
          </w:p>
        </w:tc>
        <w:tc>
          <w:tcPr>
            <w:tcW w:w="727" w:type="dxa"/>
            <w:vAlign w:val="center"/>
          </w:tcPr>
          <w:p w14:paraId="1A0A28D6"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283</w:t>
            </w:r>
          </w:p>
        </w:tc>
        <w:tc>
          <w:tcPr>
            <w:tcW w:w="727" w:type="dxa"/>
            <w:vAlign w:val="center"/>
          </w:tcPr>
          <w:p w14:paraId="12CD5DB5"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0,74</w:t>
            </w:r>
          </w:p>
        </w:tc>
        <w:tc>
          <w:tcPr>
            <w:tcW w:w="727" w:type="dxa"/>
            <w:vAlign w:val="center"/>
          </w:tcPr>
          <w:p w14:paraId="6B909290"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517</w:t>
            </w:r>
          </w:p>
        </w:tc>
        <w:tc>
          <w:tcPr>
            <w:tcW w:w="727" w:type="dxa"/>
            <w:vAlign w:val="center"/>
          </w:tcPr>
          <w:p w14:paraId="245385CA"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1,37</w:t>
            </w:r>
          </w:p>
        </w:tc>
        <w:tc>
          <w:tcPr>
            <w:tcW w:w="728" w:type="dxa"/>
            <w:vAlign w:val="center"/>
          </w:tcPr>
          <w:p w14:paraId="33406A61"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977</w:t>
            </w:r>
          </w:p>
        </w:tc>
        <w:tc>
          <w:tcPr>
            <w:tcW w:w="727" w:type="dxa"/>
            <w:vAlign w:val="center"/>
          </w:tcPr>
          <w:p w14:paraId="493DD677"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2,59</w:t>
            </w:r>
          </w:p>
        </w:tc>
        <w:tc>
          <w:tcPr>
            <w:tcW w:w="727" w:type="dxa"/>
            <w:vAlign w:val="center"/>
          </w:tcPr>
          <w:p w14:paraId="64597B27" w14:textId="77777777" w:rsidR="00986DE0" w:rsidRPr="002552FE" w:rsidRDefault="00986DE0" w:rsidP="003C7140">
            <w:pPr>
              <w:tabs>
                <w:tab w:val="left" w:pos="851"/>
              </w:tabs>
              <w:spacing w:line="276" w:lineRule="auto"/>
              <w:jc w:val="center"/>
              <w:outlineLvl w:val="3"/>
              <w:rPr>
                <w:rFonts w:ascii="Lato" w:hAnsi="Lato" w:cstheme="minorHAnsi"/>
                <w:bCs/>
                <w:sz w:val="20"/>
                <w:szCs w:val="20"/>
              </w:rPr>
            </w:pPr>
            <w:r w:rsidRPr="002552FE">
              <w:rPr>
                <w:rFonts w:ascii="Lato" w:hAnsi="Lato" w:cstheme="minorHAnsi"/>
                <w:bCs/>
                <w:sz w:val="20"/>
                <w:szCs w:val="20"/>
              </w:rPr>
              <w:t>1151</w:t>
            </w:r>
          </w:p>
        </w:tc>
        <w:tc>
          <w:tcPr>
            <w:tcW w:w="727" w:type="dxa"/>
            <w:vAlign w:val="center"/>
          </w:tcPr>
          <w:p w14:paraId="57D684E6" w14:textId="77777777" w:rsidR="00986DE0" w:rsidRPr="002552FE" w:rsidRDefault="00986DE0" w:rsidP="003C7140">
            <w:pPr>
              <w:tabs>
                <w:tab w:val="left" w:pos="851"/>
              </w:tabs>
              <w:spacing w:line="276" w:lineRule="auto"/>
              <w:jc w:val="center"/>
              <w:outlineLvl w:val="3"/>
              <w:rPr>
                <w:rFonts w:ascii="Lato" w:hAnsi="Lato" w:cstheme="minorHAnsi"/>
                <w:bCs/>
                <w:sz w:val="20"/>
                <w:szCs w:val="20"/>
              </w:rPr>
            </w:pPr>
            <w:r w:rsidRPr="002552FE">
              <w:rPr>
                <w:rFonts w:ascii="Lato" w:hAnsi="Lato" w:cstheme="minorHAnsi"/>
                <w:bCs/>
                <w:sz w:val="20"/>
                <w:szCs w:val="20"/>
              </w:rPr>
              <w:t>3,06</w:t>
            </w:r>
          </w:p>
        </w:tc>
        <w:tc>
          <w:tcPr>
            <w:tcW w:w="727" w:type="dxa"/>
            <w:vAlign w:val="center"/>
          </w:tcPr>
          <w:p w14:paraId="5BB53D73" w14:textId="77777777" w:rsidR="00986DE0" w:rsidRPr="002552FE" w:rsidRDefault="00986DE0" w:rsidP="003C7140">
            <w:pPr>
              <w:tabs>
                <w:tab w:val="left" w:pos="851"/>
              </w:tabs>
              <w:spacing w:line="276" w:lineRule="auto"/>
              <w:jc w:val="center"/>
              <w:outlineLvl w:val="3"/>
              <w:rPr>
                <w:rFonts w:ascii="Lato" w:hAnsi="Lato" w:cstheme="minorHAnsi"/>
                <w:b/>
                <w:sz w:val="20"/>
                <w:szCs w:val="20"/>
              </w:rPr>
            </w:pPr>
            <w:r w:rsidRPr="002552FE">
              <w:rPr>
                <w:rFonts w:ascii="Lato" w:hAnsi="Lato" w:cstheme="minorHAnsi"/>
                <w:b/>
                <w:sz w:val="20"/>
                <w:szCs w:val="20"/>
              </w:rPr>
              <w:t>1404*</w:t>
            </w:r>
          </w:p>
        </w:tc>
        <w:tc>
          <w:tcPr>
            <w:tcW w:w="728" w:type="dxa"/>
            <w:vAlign w:val="center"/>
          </w:tcPr>
          <w:p w14:paraId="53035312" w14:textId="77777777" w:rsidR="00986DE0" w:rsidRPr="002552FE" w:rsidRDefault="00986DE0" w:rsidP="003C7140">
            <w:pPr>
              <w:tabs>
                <w:tab w:val="left" w:pos="851"/>
              </w:tabs>
              <w:spacing w:line="276" w:lineRule="auto"/>
              <w:jc w:val="center"/>
              <w:outlineLvl w:val="3"/>
              <w:rPr>
                <w:rFonts w:ascii="Lato" w:hAnsi="Lato" w:cstheme="minorHAnsi"/>
                <w:b/>
                <w:sz w:val="20"/>
                <w:szCs w:val="20"/>
              </w:rPr>
            </w:pPr>
            <w:r w:rsidRPr="002552FE">
              <w:rPr>
                <w:rFonts w:ascii="Lato" w:hAnsi="Lato" w:cstheme="minorHAnsi"/>
                <w:b/>
                <w:sz w:val="20"/>
                <w:szCs w:val="20"/>
              </w:rPr>
              <w:t>3,75</w:t>
            </w:r>
          </w:p>
        </w:tc>
      </w:tr>
      <w:tr w:rsidR="00986DE0" w:rsidRPr="00C35EAE" w14:paraId="751E1700" w14:textId="77777777" w:rsidTr="003C7140">
        <w:trPr>
          <w:trHeight w:val="545"/>
        </w:trPr>
        <w:tc>
          <w:tcPr>
            <w:tcW w:w="1908" w:type="dxa"/>
            <w:vAlign w:val="center"/>
          </w:tcPr>
          <w:p w14:paraId="4F944914" w14:textId="77777777" w:rsidR="00986DE0" w:rsidRPr="00C35EAE" w:rsidRDefault="00986DE0" w:rsidP="003C7140">
            <w:pPr>
              <w:jc w:val="center"/>
              <w:rPr>
                <w:rFonts w:ascii="Lato" w:hAnsi="Lato" w:cstheme="minorHAnsi"/>
                <w:sz w:val="20"/>
                <w:szCs w:val="20"/>
              </w:rPr>
            </w:pPr>
            <w:r w:rsidRPr="00C35EAE">
              <w:rPr>
                <w:rFonts w:ascii="Lato" w:hAnsi="Lato" w:cstheme="minorHAnsi"/>
                <w:sz w:val="20"/>
                <w:szCs w:val="20"/>
              </w:rPr>
              <w:t>województwo</w:t>
            </w:r>
          </w:p>
          <w:p w14:paraId="06C46C0C" w14:textId="77777777" w:rsidR="00986DE0" w:rsidRPr="00C35EAE" w:rsidRDefault="00986DE0" w:rsidP="003C7140">
            <w:pPr>
              <w:jc w:val="center"/>
              <w:rPr>
                <w:rFonts w:ascii="Lato" w:hAnsi="Lato" w:cstheme="minorHAnsi"/>
              </w:rPr>
            </w:pPr>
            <w:r w:rsidRPr="00C35EAE">
              <w:rPr>
                <w:rFonts w:ascii="Lato" w:hAnsi="Lato" w:cstheme="minorHAnsi"/>
                <w:sz w:val="20"/>
                <w:szCs w:val="20"/>
              </w:rPr>
              <w:t>zachodniopomorskie</w:t>
            </w:r>
          </w:p>
        </w:tc>
        <w:tc>
          <w:tcPr>
            <w:tcW w:w="727" w:type="dxa"/>
            <w:vAlign w:val="center"/>
          </w:tcPr>
          <w:p w14:paraId="3871AB6D"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9</w:t>
            </w:r>
          </w:p>
        </w:tc>
        <w:tc>
          <w:tcPr>
            <w:tcW w:w="727" w:type="dxa"/>
            <w:vAlign w:val="center"/>
          </w:tcPr>
          <w:p w14:paraId="7BCA4EBC"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0,53</w:t>
            </w:r>
          </w:p>
        </w:tc>
        <w:tc>
          <w:tcPr>
            <w:tcW w:w="727" w:type="dxa"/>
            <w:vAlign w:val="center"/>
          </w:tcPr>
          <w:p w14:paraId="1B3B6FD8"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23</w:t>
            </w:r>
          </w:p>
        </w:tc>
        <w:tc>
          <w:tcPr>
            <w:tcW w:w="727" w:type="dxa"/>
            <w:vAlign w:val="center"/>
          </w:tcPr>
          <w:p w14:paraId="523E7A86"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1,4</w:t>
            </w:r>
          </w:p>
        </w:tc>
        <w:tc>
          <w:tcPr>
            <w:tcW w:w="728" w:type="dxa"/>
            <w:vAlign w:val="center"/>
          </w:tcPr>
          <w:p w14:paraId="41EF4457"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36</w:t>
            </w:r>
          </w:p>
        </w:tc>
        <w:tc>
          <w:tcPr>
            <w:tcW w:w="727" w:type="dxa"/>
            <w:vAlign w:val="center"/>
          </w:tcPr>
          <w:p w14:paraId="131D9965" w14:textId="77777777" w:rsidR="00986DE0" w:rsidRPr="00804BB4" w:rsidRDefault="00986DE0" w:rsidP="003C7140">
            <w:pPr>
              <w:spacing w:line="276" w:lineRule="auto"/>
              <w:jc w:val="center"/>
              <w:rPr>
                <w:rFonts w:ascii="Lato" w:hAnsi="Lato" w:cstheme="minorHAnsi"/>
                <w:bCs/>
                <w:sz w:val="20"/>
                <w:szCs w:val="20"/>
              </w:rPr>
            </w:pPr>
            <w:r w:rsidRPr="00804BB4">
              <w:rPr>
                <w:rFonts w:ascii="Lato" w:hAnsi="Lato" w:cstheme="minorHAnsi"/>
                <w:bCs/>
                <w:sz w:val="20"/>
                <w:szCs w:val="20"/>
              </w:rPr>
              <w:t>2,2</w:t>
            </w:r>
          </w:p>
        </w:tc>
        <w:tc>
          <w:tcPr>
            <w:tcW w:w="727" w:type="dxa"/>
            <w:vAlign w:val="center"/>
          </w:tcPr>
          <w:p w14:paraId="71927EB9" w14:textId="77777777" w:rsidR="00986DE0" w:rsidRPr="002552FE" w:rsidRDefault="00986DE0" w:rsidP="003C7140">
            <w:pPr>
              <w:tabs>
                <w:tab w:val="left" w:pos="851"/>
              </w:tabs>
              <w:spacing w:line="276" w:lineRule="auto"/>
              <w:jc w:val="center"/>
              <w:outlineLvl w:val="3"/>
              <w:rPr>
                <w:rFonts w:ascii="Lato" w:hAnsi="Lato" w:cstheme="minorHAnsi"/>
                <w:bCs/>
                <w:sz w:val="20"/>
                <w:szCs w:val="20"/>
              </w:rPr>
            </w:pPr>
            <w:r w:rsidRPr="002552FE">
              <w:rPr>
                <w:rFonts w:ascii="Lato" w:hAnsi="Lato" w:cstheme="minorHAnsi"/>
                <w:bCs/>
                <w:sz w:val="20"/>
                <w:szCs w:val="20"/>
              </w:rPr>
              <w:t>48</w:t>
            </w:r>
          </w:p>
        </w:tc>
        <w:tc>
          <w:tcPr>
            <w:tcW w:w="727" w:type="dxa"/>
            <w:vAlign w:val="center"/>
          </w:tcPr>
          <w:p w14:paraId="1C14608B" w14:textId="77777777" w:rsidR="00986DE0" w:rsidRPr="002552FE" w:rsidRDefault="00986DE0" w:rsidP="003C7140">
            <w:pPr>
              <w:tabs>
                <w:tab w:val="left" w:pos="851"/>
              </w:tabs>
              <w:spacing w:line="276" w:lineRule="auto"/>
              <w:jc w:val="center"/>
              <w:outlineLvl w:val="3"/>
              <w:rPr>
                <w:rFonts w:ascii="Lato" w:hAnsi="Lato" w:cstheme="minorHAnsi"/>
                <w:bCs/>
                <w:sz w:val="20"/>
                <w:szCs w:val="20"/>
              </w:rPr>
            </w:pPr>
            <w:r w:rsidRPr="002552FE">
              <w:rPr>
                <w:rFonts w:ascii="Lato" w:hAnsi="Lato" w:cstheme="minorHAnsi"/>
                <w:bCs/>
                <w:sz w:val="20"/>
                <w:szCs w:val="20"/>
              </w:rPr>
              <w:t>2,95</w:t>
            </w:r>
          </w:p>
        </w:tc>
        <w:tc>
          <w:tcPr>
            <w:tcW w:w="727" w:type="dxa"/>
            <w:vAlign w:val="center"/>
          </w:tcPr>
          <w:p w14:paraId="54C8662C" w14:textId="77777777" w:rsidR="00986DE0" w:rsidRPr="002552FE" w:rsidRDefault="00986DE0" w:rsidP="003C7140">
            <w:pPr>
              <w:tabs>
                <w:tab w:val="left" w:pos="851"/>
              </w:tabs>
              <w:spacing w:line="276" w:lineRule="auto"/>
              <w:jc w:val="center"/>
              <w:outlineLvl w:val="3"/>
              <w:rPr>
                <w:rFonts w:ascii="Lato" w:hAnsi="Lato" w:cstheme="minorHAnsi"/>
                <w:b/>
                <w:sz w:val="20"/>
                <w:szCs w:val="20"/>
              </w:rPr>
            </w:pPr>
            <w:r w:rsidRPr="002552FE">
              <w:rPr>
                <w:rFonts w:ascii="Lato" w:hAnsi="Lato" w:cstheme="minorHAnsi"/>
                <w:b/>
                <w:sz w:val="20"/>
                <w:szCs w:val="20"/>
              </w:rPr>
              <w:t>55</w:t>
            </w:r>
          </w:p>
        </w:tc>
        <w:tc>
          <w:tcPr>
            <w:tcW w:w="728" w:type="dxa"/>
            <w:vAlign w:val="center"/>
          </w:tcPr>
          <w:p w14:paraId="2704903C" w14:textId="77777777" w:rsidR="00986DE0" w:rsidRPr="002552FE" w:rsidRDefault="00986DE0" w:rsidP="003C7140">
            <w:pPr>
              <w:tabs>
                <w:tab w:val="left" w:pos="851"/>
              </w:tabs>
              <w:spacing w:line="276" w:lineRule="auto"/>
              <w:jc w:val="center"/>
              <w:outlineLvl w:val="3"/>
              <w:rPr>
                <w:rFonts w:ascii="Lato" w:hAnsi="Lato" w:cstheme="minorHAnsi"/>
                <w:b/>
                <w:sz w:val="20"/>
                <w:szCs w:val="20"/>
              </w:rPr>
            </w:pPr>
            <w:r w:rsidRPr="002552FE">
              <w:rPr>
                <w:rFonts w:ascii="Lato" w:hAnsi="Lato" w:cstheme="minorHAnsi"/>
                <w:b/>
                <w:sz w:val="20"/>
                <w:szCs w:val="20"/>
              </w:rPr>
              <w:t>3,40</w:t>
            </w:r>
          </w:p>
        </w:tc>
      </w:tr>
    </w:tbl>
    <w:p w14:paraId="1E654699" w14:textId="77777777" w:rsidR="00986DE0" w:rsidRDefault="00986DE0" w:rsidP="00986DE0">
      <w:pPr>
        <w:spacing w:line="276" w:lineRule="auto"/>
        <w:jc w:val="both"/>
        <w:rPr>
          <w:rFonts w:ascii="Lato" w:hAnsi="Lato" w:cstheme="minorHAnsi"/>
          <w:bCs/>
          <w:sz w:val="18"/>
          <w:szCs w:val="18"/>
        </w:rPr>
      </w:pPr>
      <w:r w:rsidRPr="00C35EAE">
        <w:rPr>
          <w:rFonts w:ascii="Lato" w:hAnsi="Lato" w:cstheme="minorHAnsi"/>
          <w:bCs/>
          <w:sz w:val="18"/>
          <w:szCs w:val="18"/>
        </w:rPr>
        <w:t>* dane wstępne</w:t>
      </w:r>
    </w:p>
    <w:p w14:paraId="48B29E8F" w14:textId="77777777" w:rsidR="00EA0E18" w:rsidRDefault="00EA0E18" w:rsidP="002060E8">
      <w:pPr>
        <w:spacing w:line="360" w:lineRule="auto"/>
        <w:rPr>
          <w:rFonts w:ascii="Lato" w:hAnsi="Lato" w:cstheme="minorHAnsi"/>
          <w:bCs/>
          <w:color w:val="000000" w:themeColor="text1"/>
          <w:sz w:val="22"/>
          <w:szCs w:val="22"/>
        </w:rPr>
      </w:pPr>
    </w:p>
    <w:p w14:paraId="2E4A7BDB" w14:textId="74AC6AF2" w:rsidR="00986DE0" w:rsidRPr="00B4716C" w:rsidRDefault="00986DE0" w:rsidP="002060E8">
      <w:pPr>
        <w:spacing w:line="360" w:lineRule="auto"/>
        <w:rPr>
          <w:rFonts w:ascii="Lato" w:hAnsi="Lato" w:cstheme="minorHAnsi"/>
          <w:bCs/>
          <w:color w:val="000000" w:themeColor="text1"/>
          <w:sz w:val="22"/>
          <w:szCs w:val="22"/>
        </w:rPr>
      </w:pPr>
      <w:r w:rsidRPr="00B4716C">
        <w:rPr>
          <w:rFonts w:ascii="Lato" w:hAnsi="Lato" w:cstheme="minorHAnsi"/>
          <w:bCs/>
          <w:color w:val="000000" w:themeColor="text1"/>
          <w:sz w:val="22"/>
          <w:szCs w:val="22"/>
        </w:rPr>
        <w:t xml:space="preserve">W woj. zachodniopomorskim obserwowany jest wzrost zgłaszanych przypadków zachorowań na kiłę późną, inną i nieokreśloną (z 77 przypadków w 2024 r. do 105 w 2025 r.).  </w:t>
      </w:r>
    </w:p>
    <w:p w14:paraId="7A7E55AD" w14:textId="60D2AC54" w:rsidR="00986DE0" w:rsidRDefault="00986DE0" w:rsidP="002060E8">
      <w:pPr>
        <w:spacing w:line="360" w:lineRule="auto"/>
        <w:rPr>
          <w:rFonts w:ascii="Lato" w:hAnsi="Lato" w:cstheme="minorHAnsi"/>
          <w:bCs/>
          <w:color w:val="000000" w:themeColor="text1"/>
          <w:sz w:val="22"/>
          <w:szCs w:val="22"/>
        </w:rPr>
      </w:pPr>
      <w:r w:rsidRPr="00B4716C">
        <w:rPr>
          <w:rFonts w:ascii="Lato" w:hAnsi="Lato" w:cstheme="minorHAnsi"/>
          <w:bCs/>
          <w:color w:val="000000" w:themeColor="text1"/>
          <w:sz w:val="22"/>
          <w:szCs w:val="22"/>
        </w:rPr>
        <w:t>Zapadalność na kiłę wczesną w woj. zachodniopomorskim w 2025</w:t>
      </w:r>
      <w:r w:rsidR="00054655">
        <w:rPr>
          <w:rFonts w:ascii="Lato" w:hAnsi="Lato" w:cstheme="minorHAnsi"/>
          <w:bCs/>
          <w:color w:val="000000" w:themeColor="text1"/>
          <w:sz w:val="22"/>
          <w:szCs w:val="22"/>
        </w:rPr>
        <w:t xml:space="preserve"> roku</w:t>
      </w:r>
      <w:r w:rsidRPr="00B4716C">
        <w:rPr>
          <w:rFonts w:ascii="Lato" w:hAnsi="Lato" w:cstheme="minorHAnsi"/>
          <w:bCs/>
          <w:color w:val="000000" w:themeColor="text1"/>
          <w:sz w:val="22"/>
          <w:szCs w:val="22"/>
        </w:rPr>
        <w:t xml:space="preserve"> </w:t>
      </w:r>
      <w:r w:rsidR="00054655">
        <w:rPr>
          <w:rFonts w:ascii="Lato" w:hAnsi="Lato" w:cstheme="minorHAnsi"/>
          <w:bCs/>
          <w:color w:val="000000" w:themeColor="text1"/>
          <w:sz w:val="22"/>
          <w:szCs w:val="22"/>
        </w:rPr>
        <w:t>była</w:t>
      </w:r>
      <w:r w:rsidRPr="00B4716C">
        <w:rPr>
          <w:rFonts w:ascii="Lato" w:hAnsi="Lato" w:cstheme="minorHAnsi"/>
          <w:bCs/>
          <w:color w:val="000000" w:themeColor="text1"/>
          <w:sz w:val="22"/>
          <w:szCs w:val="22"/>
        </w:rPr>
        <w:t xml:space="preserve"> ponad 2-krotnie</w:t>
      </w:r>
      <w:r w:rsidR="00054655">
        <w:rPr>
          <w:rFonts w:ascii="Lato" w:hAnsi="Lato" w:cstheme="minorHAnsi"/>
          <w:bCs/>
          <w:color w:val="000000" w:themeColor="text1"/>
          <w:sz w:val="22"/>
          <w:szCs w:val="22"/>
        </w:rPr>
        <w:t xml:space="preserve"> większa w stosunku do 2021 r</w:t>
      </w:r>
      <w:r w:rsidR="00A04F6E">
        <w:rPr>
          <w:rFonts w:ascii="Lato" w:hAnsi="Lato" w:cstheme="minorHAnsi"/>
          <w:bCs/>
          <w:color w:val="000000" w:themeColor="text1"/>
          <w:sz w:val="22"/>
          <w:szCs w:val="22"/>
        </w:rPr>
        <w:t>o</w:t>
      </w:r>
      <w:r w:rsidR="00054655">
        <w:rPr>
          <w:rFonts w:ascii="Lato" w:hAnsi="Lato" w:cstheme="minorHAnsi"/>
          <w:bCs/>
          <w:color w:val="000000" w:themeColor="text1"/>
          <w:sz w:val="22"/>
          <w:szCs w:val="22"/>
        </w:rPr>
        <w:t>ku</w:t>
      </w:r>
      <w:r w:rsidRPr="00B4716C">
        <w:rPr>
          <w:rFonts w:ascii="Lato" w:hAnsi="Lato" w:cstheme="minorHAnsi"/>
          <w:bCs/>
          <w:color w:val="000000" w:themeColor="text1"/>
          <w:sz w:val="22"/>
          <w:szCs w:val="22"/>
        </w:rPr>
        <w:t xml:space="preserve"> (</w:t>
      </w:r>
      <w:r w:rsidR="00F839C8" w:rsidRPr="00F839C8">
        <w:rPr>
          <w:rFonts w:ascii="Lato" w:hAnsi="Lato" w:cstheme="minorHAnsi"/>
          <w:bCs/>
          <w:color w:val="000000" w:themeColor="text1"/>
          <w:sz w:val="22"/>
          <w:szCs w:val="22"/>
        </w:rPr>
        <w:t>tabela 1</w:t>
      </w:r>
      <w:r w:rsidR="00F839C8">
        <w:rPr>
          <w:rFonts w:ascii="Lato" w:hAnsi="Lato" w:cstheme="minorHAnsi"/>
          <w:bCs/>
          <w:color w:val="000000" w:themeColor="text1"/>
          <w:sz w:val="22"/>
          <w:szCs w:val="22"/>
        </w:rPr>
        <w:t>0</w:t>
      </w:r>
      <w:r w:rsidR="00F839C8" w:rsidRPr="00F839C8">
        <w:rPr>
          <w:rFonts w:ascii="Lato" w:hAnsi="Lato" w:cstheme="minorHAnsi"/>
          <w:bCs/>
          <w:color w:val="000000" w:themeColor="text1"/>
          <w:sz w:val="22"/>
          <w:szCs w:val="22"/>
        </w:rPr>
        <w:t>).</w:t>
      </w:r>
    </w:p>
    <w:p w14:paraId="62AB08F1" w14:textId="77777777" w:rsidR="00EA0E18" w:rsidRPr="00B4716C" w:rsidRDefault="00EA0E18" w:rsidP="002060E8">
      <w:pPr>
        <w:spacing w:line="360" w:lineRule="auto"/>
        <w:rPr>
          <w:rFonts w:ascii="Lato" w:hAnsi="Lato" w:cstheme="minorHAnsi"/>
          <w:bCs/>
          <w:color w:val="000000" w:themeColor="text1"/>
          <w:sz w:val="22"/>
          <w:szCs w:val="22"/>
        </w:rPr>
      </w:pPr>
    </w:p>
    <w:p w14:paraId="5BA9B4DF" w14:textId="3601934A" w:rsidR="00986DE0" w:rsidRDefault="00986DE0">
      <w:pPr>
        <w:pStyle w:val="Nagwek3"/>
        <w:numPr>
          <w:ilvl w:val="1"/>
          <w:numId w:val="9"/>
        </w:numPr>
        <w:spacing w:before="0" w:after="0" w:line="360" w:lineRule="auto"/>
        <w:ind w:right="284" w:hanging="284"/>
        <w:rPr>
          <w:color w:val="auto"/>
          <w:szCs w:val="22"/>
        </w:rPr>
      </w:pPr>
      <w:bookmarkStart w:id="50" w:name="_Toc225235851"/>
      <w:bookmarkStart w:id="51" w:name="_Toc225859038"/>
      <w:r w:rsidRPr="00665EA1">
        <w:rPr>
          <w:color w:val="auto"/>
          <w:szCs w:val="22"/>
        </w:rPr>
        <w:t>Gruźlica</w:t>
      </w:r>
      <w:bookmarkEnd w:id="50"/>
      <w:bookmarkEnd w:id="51"/>
    </w:p>
    <w:p w14:paraId="16626AEB" w14:textId="77777777" w:rsidR="001342AA" w:rsidRPr="001342AA" w:rsidRDefault="001342AA" w:rsidP="001342AA">
      <w:pPr>
        <w:rPr>
          <w:rFonts w:ascii="Lato" w:hAnsi="Lato"/>
          <w:sz w:val="22"/>
          <w:szCs w:val="22"/>
        </w:rPr>
      </w:pPr>
    </w:p>
    <w:p w14:paraId="544C8F9D" w14:textId="35DD470B" w:rsidR="00986DE0" w:rsidRPr="0034110A" w:rsidRDefault="0034110A" w:rsidP="0034110A">
      <w:pPr>
        <w:pStyle w:val="Legenda"/>
        <w:rPr>
          <w:rFonts w:ascii="Lato" w:hAnsi="Lato"/>
          <w:b w:val="0"/>
          <w:bCs w:val="0"/>
          <w:i/>
          <w:iCs/>
          <w:sz w:val="18"/>
          <w:szCs w:val="18"/>
        </w:rPr>
      </w:pPr>
      <w:bookmarkStart w:id="52" w:name="_Toc225859368"/>
      <w:bookmarkStart w:id="53" w:name="_Hlk130885973"/>
      <w:r w:rsidRPr="0034110A">
        <w:rPr>
          <w:rFonts w:ascii="Lato" w:hAnsi="Lato"/>
          <w:b w:val="0"/>
          <w:bCs w:val="0"/>
          <w:sz w:val="18"/>
          <w:szCs w:val="18"/>
        </w:rPr>
        <w:t xml:space="preserve">Tabela </w:t>
      </w:r>
      <w:r w:rsidRPr="0034110A">
        <w:rPr>
          <w:rFonts w:ascii="Lato" w:hAnsi="Lato"/>
          <w:b w:val="0"/>
          <w:bCs w:val="0"/>
          <w:sz w:val="18"/>
          <w:szCs w:val="18"/>
        </w:rPr>
        <w:fldChar w:fldCharType="begin"/>
      </w:r>
      <w:r w:rsidRPr="0034110A">
        <w:rPr>
          <w:rFonts w:ascii="Lato" w:hAnsi="Lato"/>
          <w:b w:val="0"/>
          <w:bCs w:val="0"/>
          <w:sz w:val="18"/>
          <w:szCs w:val="18"/>
        </w:rPr>
        <w:instrText xml:space="preserve"> SEQ Tabela \* ARABIC </w:instrText>
      </w:r>
      <w:r w:rsidRPr="0034110A">
        <w:rPr>
          <w:rFonts w:ascii="Lato" w:hAnsi="Lato"/>
          <w:b w:val="0"/>
          <w:bCs w:val="0"/>
          <w:sz w:val="18"/>
          <w:szCs w:val="18"/>
        </w:rPr>
        <w:fldChar w:fldCharType="separate"/>
      </w:r>
      <w:r w:rsidR="002A3179">
        <w:rPr>
          <w:rFonts w:ascii="Lato" w:hAnsi="Lato"/>
          <w:b w:val="0"/>
          <w:bCs w:val="0"/>
          <w:noProof/>
          <w:sz w:val="18"/>
          <w:szCs w:val="18"/>
        </w:rPr>
        <w:t>12</w:t>
      </w:r>
      <w:r w:rsidRPr="0034110A">
        <w:rPr>
          <w:rFonts w:ascii="Lato" w:hAnsi="Lato"/>
          <w:b w:val="0"/>
          <w:bCs w:val="0"/>
          <w:sz w:val="18"/>
          <w:szCs w:val="18"/>
        </w:rPr>
        <w:fldChar w:fldCharType="end"/>
      </w:r>
      <w:r w:rsidRPr="0034110A">
        <w:rPr>
          <w:rFonts w:ascii="Lato" w:hAnsi="Lato"/>
          <w:b w:val="0"/>
          <w:bCs w:val="0"/>
          <w:sz w:val="18"/>
          <w:szCs w:val="18"/>
        </w:rPr>
        <w:t>. Liczba zachorowań na gruźlicę w woj. zachodniopomorskim w 2025 r. wg płci, grupy wiekowej oraz miejsca zamieszkania.</w:t>
      </w:r>
      <w:bookmarkEnd w:id="52"/>
    </w:p>
    <w:tbl>
      <w:tblPr>
        <w:tblW w:w="9533" w:type="dxa"/>
        <w:jc w:val="center"/>
        <w:tblCellMar>
          <w:left w:w="70" w:type="dxa"/>
          <w:right w:w="70" w:type="dxa"/>
        </w:tblCellMar>
        <w:tblLook w:val="04A0" w:firstRow="1" w:lastRow="0" w:firstColumn="1" w:lastColumn="0" w:noHBand="0" w:noVBand="1"/>
        <w:tblCaption w:val="Liczba zachorowań na gruźlicę w województwie achodniopomorskim w 2025 r."/>
        <w:tblDescription w:val="Tabela przedstawia liczbę zachorowań na gruźlcię w 2025 roku z podziałem według płci, grupy wiekower oraz miejsca zamieszkania. Przeważąjącą liczbę przypadków zachorowań odnotowano wśród mieszkańców miast. Biorąc pod uwagę płeć - więcej przypadków odnotowano u pacjentów płci męskiej. Biorąc pod uwagę podział ze względu na grupy wiekowe, najwięcej przypadków odnotowano w grupie 45-64 lata, a najmniej w grupach 0-14 lat oraz 15-19 lat."/>
      </w:tblPr>
      <w:tblGrid>
        <w:gridCol w:w="3704"/>
        <w:gridCol w:w="1284"/>
        <w:gridCol w:w="757"/>
        <w:gridCol w:w="707"/>
        <w:gridCol w:w="773"/>
        <w:gridCol w:w="850"/>
        <w:gridCol w:w="709"/>
        <w:gridCol w:w="749"/>
      </w:tblGrid>
      <w:tr w:rsidR="00986DE0" w:rsidRPr="00C35EAE" w14:paraId="472329B7" w14:textId="77777777" w:rsidTr="00130F95">
        <w:trPr>
          <w:trHeight w:val="285"/>
          <w:jc w:val="center"/>
        </w:trPr>
        <w:tc>
          <w:tcPr>
            <w:tcW w:w="9533" w:type="dxa"/>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182E669C"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Nowe zachorowania na gruźlicę w 2025</w:t>
            </w:r>
          </w:p>
        </w:tc>
      </w:tr>
      <w:tr w:rsidR="00986DE0" w:rsidRPr="00C35EAE" w14:paraId="5BF571FD" w14:textId="77777777" w:rsidTr="00130F95">
        <w:trPr>
          <w:trHeight w:val="312"/>
          <w:jc w:val="center"/>
        </w:trPr>
        <w:tc>
          <w:tcPr>
            <w:tcW w:w="3704"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B04306B"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Wyszczególnienie</w:t>
            </w:r>
          </w:p>
        </w:tc>
        <w:tc>
          <w:tcPr>
            <w:tcW w:w="1284"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C231AA"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Wszystkie postacie</w:t>
            </w:r>
          </w:p>
        </w:tc>
        <w:tc>
          <w:tcPr>
            <w:tcW w:w="4545" w:type="dxa"/>
            <w:gridSpan w:val="6"/>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66F83AD2"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w tym</w:t>
            </w:r>
          </w:p>
        </w:tc>
      </w:tr>
      <w:tr w:rsidR="00986DE0" w:rsidRPr="00C35EAE" w14:paraId="52F31107" w14:textId="77777777" w:rsidTr="00130F95">
        <w:trPr>
          <w:trHeight w:val="518"/>
          <w:jc w:val="center"/>
        </w:trPr>
        <w:tc>
          <w:tcPr>
            <w:tcW w:w="370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222DFBB" w14:textId="77777777" w:rsidR="00986DE0" w:rsidRPr="00C35EAE" w:rsidRDefault="00986DE0" w:rsidP="003C7140">
            <w:pPr>
              <w:spacing w:line="276" w:lineRule="auto"/>
              <w:jc w:val="both"/>
              <w:rPr>
                <w:rFonts w:ascii="Lato" w:hAnsi="Lato" w:cstheme="minorHAnsi"/>
                <w:sz w:val="20"/>
                <w:szCs w:val="20"/>
              </w:rPr>
            </w:pPr>
          </w:p>
        </w:tc>
        <w:tc>
          <w:tcPr>
            <w:tcW w:w="128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EE0D8F" w14:textId="77777777" w:rsidR="00986DE0" w:rsidRPr="00C35EAE" w:rsidRDefault="00986DE0" w:rsidP="003C7140">
            <w:pPr>
              <w:spacing w:line="276" w:lineRule="auto"/>
              <w:jc w:val="both"/>
              <w:rPr>
                <w:rFonts w:ascii="Lato" w:hAnsi="Lato" w:cstheme="minorHAnsi"/>
                <w:sz w:val="20"/>
                <w:szCs w:val="20"/>
              </w:rPr>
            </w:pPr>
          </w:p>
        </w:tc>
        <w:tc>
          <w:tcPr>
            <w:tcW w:w="2237"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D8AEDE8"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płucna</w:t>
            </w:r>
          </w:p>
        </w:tc>
        <w:tc>
          <w:tcPr>
            <w:tcW w:w="2308"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65D5B7A5"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innych narządów/</w:t>
            </w:r>
            <w:proofErr w:type="spellStart"/>
            <w:r w:rsidRPr="00C35EAE">
              <w:rPr>
                <w:rFonts w:ascii="Lato" w:hAnsi="Lato" w:cstheme="minorHAnsi"/>
                <w:sz w:val="20"/>
                <w:szCs w:val="20"/>
              </w:rPr>
              <w:t>pozapłucna</w:t>
            </w:r>
            <w:proofErr w:type="spellEnd"/>
          </w:p>
        </w:tc>
      </w:tr>
      <w:tr w:rsidR="00986DE0" w:rsidRPr="00C35EAE" w14:paraId="6233AC7C" w14:textId="77777777" w:rsidTr="00130F95">
        <w:trPr>
          <w:trHeight w:val="285"/>
          <w:jc w:val="center"/>
        </w:trPr>
        <w:tc>
          <w:tcPr>
            <w:tcW w:w="370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E11C73" w14:textId="77777777" w:rsidR="00986DE0" w:rsidRPr="00C35EAE" w:rsidRDefault="00986DE0" w:rsidP="003C7140">
            <w:pPr>
              <w:spacing w:line="276" w:lineRule="auto"/>
              <w:jc w:val="both"/>
              <w:rPr>
                <w:rFonts w:ascii="Lato" w:hAnsi="Lato" w:cstheme="minorHAnsi"/>
                <w:sz w:val="20"/>
                <w:szCs w:val="20"/>
              </w:rPr>
            </w:pPr>
          </w:p>
        </w:tc>
        <w:tc>
          <w:tcPr>
            <w:tcW w:w="128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40D38A0" w14:textId="77777777" w:rsidR="00986DE0" w:rsidRPr="00C35EAE" w:rsidRDefault="00986DE0" w:rsidP="003C7140">
            <w:pPr>
              <w:spacing w:line="276" w:lineRule="auto"/>
              <w:jc w:val="both"/>
              <w:rPr>
                <w:rFonts w:ascii="Lato" w:hAnsi="Lato" w:cstheme="minorHAnsi"/>
                <w:sz w:val="20"/>
                <w:szCs w:val="20"/>
              </w:rPr>
            </w:pPr>
          </w:p>
        </w:tc>
        <w:tc>
          <w:tcPr>
            <w:tcW w:w="757" w:type="dxa"/>
            <w:tcBorders>
              <w:top w:val="nil"/>
              <w:left w:val="nil"/>
              <w:bottom w:val="single" w:sz="4" w:space="0" w:color="auto"/>
              <w:right w:val="single" w:sz="4" w:space="0" w:color="auto"/>
            </w:tcBorders>
            <w:shd w:val="clear" w:color="auto" w:fill="D9D9D9" w:themeFill="background1" w:themeFillShade="D9"/>
            <w:noWrap/>
            <w:vAlign w:val="center"/>
            <w:hideMark/>
          </w:tcPr>
          <w:p w14:paraId="4A422B97"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razem</w:t>
            </w:r>
          </w:p>
        </w:tc>
        <w:tc>
          <w:tcPr>
            <w:tcW w:w="707" w:type="dxa"/>
            <w:tcBorders>
              <w:top w:val="nil"/>
              <w:left w:val="nil"/>
              <w:bottom w:val="single" w:sz="4" w:space="0" w:color="auto"/>
              <w:right w:val="single" w:sz="4" w:space="0" w:color="auto"/>
            </w:tcBorders>
            <w:shd w:val="clear" w:color="auto" w:fill="D9D9D9" w:themeFill="background1" w:themeFillShade="D9"/>
            <w:noWrap/>
            <w:vAlign w:val="center"/>
            <w:hideMark/>
          </w:tcPr>
          <w:p w14:paraId="678F150C"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BK (+)</w:t>
            </w:r>
          </w:p>
        </w:tc>
        <w:tc>
          <w:tcPr>
            <w:tcW w:w="773" w:type="dxa"/>
            <w:tcBorders>
              <w:top w:val="nil"/>
              <w:left w:val="nil"/>
              <w:bottom w:val="single" w:sz="4" w:space="0" w:color="auto"/>
              <w:right w:val="single" w:sz="4" w:space="0" w:color="auto"/>
            </w:tcBorders>
            <w:shd w:val="clear" w:color="auto" w:fill="D9D9D9" w:themeFill="background1" w:themeFillShade="D9"/>
            <w:noWrap/>
            <w:vAlign w:val="center"/>
            <w:hideMark/>
          </w:tcPr>
          <w:p w14:paraId="77275B5A"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BK (-)</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14:paraId="3BE87E69"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BK (+)</w:t>
            </w:r>
          </w:p>
        </w:tc>
        <w:tc>
          <w:tcPr>
            <w:tcW w:w="709" w:type="dxa"/>
            <w:tcBorders>
              <w:top w:val="nil"/>
              <w:left w:val="nil"/>
              <w:bottom w:val="single" w:sz="4" w:space="0" w:color="auto"/>
              <w:right w:val="single" w:sz="4" w:space="0" w:color="auto"/>
            </w:tcBorders>
            <w:shd w:val="clear" w:color="auto" w:fill="D9D9D9" w:themeFill="background1" w:themeFillShade="D9"/>
            <w:noWrap/>
            <w:vAlign w:val="center"/>
            <w:hideMark/>
          </w:tcPr>
          <w:p w14:paraId="61465F94"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BK (-)</w:t>
            </w:r>
          </w:p>
        </w:tc>
        <w:tc>
          <w:tcPr>
            <w:tcW w:w="749" w:type="dxa"/>
            <w:tcBorders>
              <w:top w:val="nil"/>
              <w:left w:val="nil"/>
              <w:bottom w:val="single" w:sz="4" w:space="0" w:color="auto"/>
              <w:right w:val="single" w:sz="4" w:space="0" w:color="auto"/>
            </w:tcBorders>
            <w:shd w:val="clear" w:color="auto" w:fill="D9D9D9" w:themeFill="background1" w:themeFillShade="D9"/>
            <w:noWrap/>
            <w:vAlign w:val="center"/>
            <w:hideMark/>
          </w:tcPr>
          <w:p w14:paraId="63CD9E02"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razem</w:t>
            </w:r>
          </w:p>
        </w:tc>
      </w:tr>
      <w:tr w:rsidR="00986DE0" w:rsidRPr="00C35EAE" w14:paraId="23921228" w14:textId="77777777" w:rsidTr="003C7140">
        <w:trPr>
          <w:trHeight w:val="285"/>
          <w:jc w:val="center"/>
        </w:trPr>
        <w:tc>
          <w:tcPr>
            <w:tcW w:w="3704" w:type="dxa"/>
            <w:tcBorders>
              <w:top w:val="nil"/>
              <w:left w:val="single" w:sz="4" w:space="0" w:color="auto"/>
              <w:bottom w:val="single" w:sz="4" w:space="0" w:color="auto"/>
              <w:right w:val="single" w:sz="4" w:space="0" w:color="auto"/>
            </w:tcBorders>
            <w:noWrap/>
            <w:vAlign w:val="center"/>
            <w:hideMark/>
          </w:tcPr>
          <w:p w14:paraId="736CF141" w14:textId="77777777" w:rsidR="00986DE0" w:rsidRPr="00C35EAE" w:rsidRDefault="00986DE0" w:rsidP="003C7140">
            <w:pPr>
              <w:spacing w:line="276" w:lineRule="auto"/>
              <w:jc w:val="both"/>
              <w:rPr>
                <w:rFonts w:ascii="Lato" w:hAnsi="Lato" w:cstheme="minorHAnsi"/>
                <w:sz w:val="20"/>
                <w:szCs w:val="20"/>
              </w:rPr>
            </w:pPr>
            <w:r w:rsidRPr="00C35EAE">
              <w:rPr>
                <w:rFonts w:ascii="Lato" w:hAnsi="Lato" w:cstheme="minorHAnsi"/>
                <w:sz w:val="20"/>
                <w:szCs w:val="20"/>
              </w:rPr>
              <w:t>WOJEWÓDZTWO</w:t>
            </w:r>
          </w:p>
        </w:tc>
        <w:tc>
          <w:tcPr>
            <w:tcW w:w="1284" w:type="dxa"/>
            <w:tcBorders>
              <w:top w:val="single" w:sz="4" w:space="0" w:color="auto"/>
              <w:left w:val="single" w:sz="4" w:space="0" w:color="auto"/>
              <w:bottom w:val="single" w:sz="4" w:space="0" w:color="auto"/>
              <w:right w:val="single" w:sz="4" w:space="0" w:color="auto"/>
            </w:tcBorders>
            <w:noWrap/>
            <w:vAlign w:val="center"/>
          </w:tcPr>
          <w:p w14:paraId="35702D25"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178</w:t>
            </w:r>
          </w:p>
        </w:tc>
        <w:tc>
          <w:tcPr>
            <w:tcW w:w="757" w:type="dxa"/>
            <w:tcBorders>
              <w:top w:val="single" w:sz="4" w:space="0" w:color="auto"/>
              <w:left w:val="nil"/>
              <w:bottom w:val="single" w:sz="4" w:space="0" w:color="auto"/>
              <w:right w:val="single" w:sz="4" w:space="0" w:color="auto"/>
            </w:tcBorders>
            <w:noWrap/>
            <w:vAlign w:val="center"/>
          </w:tcPr>
          <w:p w14:paraId="2B80B8E3"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174</w:t>
            </w:r>
          </w:p>
        </w:tc>
        <w:tc>
          <w:tcPr>
            <w:tcW w:w="707" w:type="dxa"/>
            <w:tcBorders>
              <w:top w:val="single" w:sz="4" w:space="0" w:color="auto"/>
              <w:left w:val="nil"/>
              <w:bottom w:val="single" w:sz="4" w:space="0" w:color="auto"/>
              <w:right w:val="single" w:sz="4" w:space="0" w:color="auto"/>
            </w:tcBorders>
            <w:noWrap/>
            <w:vAlign w:val="center"/>
          </w:tcPr>
          <w:p w14:paraId="0441AB25"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143</w:t>
            </w:r>
          </w:p>
        </w:tc>
        <w:tc>
          <w:tcPr>
            <w:tcW w:w="773" w:type="dxa"/>
            <w:tcBorders>
              <w:top w:val="single" w:sz="4" w:space="0" w:color="auto"/>
              <w:left w:val="nil"/>
              <w:bottom w:val="single" w:sz="4" w:space="0" w:color="auto"/>
              <w:right w:val="single" w:sz="4" w:space="0" w:color="auto"/>
            </w:tcBorders>
            <w:noWrap/>
            <w:vAlign w:val="center"/>
          </w:tcPr>
          <w:p w14:paraId="664F5346"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31</w:t>
            </w:r>
          </w:p>
        </w:tc>
        <w:tc>
          <w:tcPr>
            <w:tcW w:w="850" w:type="dxa"/>
            <w:tcBorders>
              <w:top w:val="single" w:sz="4" w:space="0" w:color="auto"/>
              <w:left w:val="nil"/>
              <w:bottom w:val="single" w:sz="4" w:space="0" w:color="auto"/>
              <w:right w:val="single" w:sz="4" w:space="0" w:color="auto"/>
            </w:tcBorders>
            <w:noWrap/>
            <w:vAlign w:val="center"/>
          </w:tcPr>
          <w:p w14:paraId="0C3AA469"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3</w:t>
            </w:r>
          </w:p>
        </w:tc>
        <w:tc>
          <w:tcPr>
            <w:tcW w:w="709" w:type="dxa"/>
            <w:tcBorders>
              <w:top w:val="single" w:sz="4" w:space="0" w:color="auto"/>
              <w:left w:val="nil"/>
              <w:bottom w:val="single" w:sz="4" w:space="0" w:color="auto"/>
              <w:right w:val="single" w:sz="4" w:space="0" w:color="auto"/>
            </w:tcBorders>
            <w:noWrap/>
            <w:vAlign w:val="center"/>
          </w:tcPr>
          <w:p w14:paraId="40C20CE9"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w:t>
            </w:r>
          </w:p>
        </w:tc>
        <w:tc>
          <w:tcPr>
            <w:tcW w:w="749" w:type="dxa"/>
            <w:tcBorders>
              <w:top w:val="single" w:sz="4" w:space="0" w:color="auto"/>
              <w:left w:val="nil"/>
              <w:bottom w:val="single" w:sz="4" w:space="0" w:color="auto"/>
              <w:right w:val="single" w:sz="4" w:space="0" w:color="auto"/>
            </w:tcBorders>
            <w:noWrap/>
            <w:vAlign w:val="center"/>
          </w:tcPr>
          <w:p w14:paraId="6F762C65"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4</w:t>
            </w:r>
          </w:p>
        </w:tc>
      </w:tr>
      <w:tr w:rsidR="00986DE0" w:rsidRPr="00C35EAE" w14:paraId="5C33C260" w14:textId="77777777" w:rsidTr="003C7140">
        <w:trPr>
          <w:trHeight w:val="285"/>
          <w:jc w:val="center"/>
        </w:trPr>
        <w:tc>
          <w:tcPr>
            <w:tcW w:w="3704" w:type="dxa"/>
            <w:tcBorders>
              <w:top w:val="nil"/>
              <w:left w:val="single" w:sz="4" w:space="0" w:color="auto"/>
              <w:bottom w:val="single" w:sz="4" w:space="0" w:color="auto"/>
              <w:right w:val="single" w:sz="4" w:space="0" w:color="auto"/>
            </w:tcBorders>
            <w:noWrap/>
            <w:vAlign w:val="center"/>
            <w:hideMark/>
          </w:tcPr>
          <w:p w14:paraId="35CF5EED" w14:textId="77777777" w:rsidR="00986DE0" w:rsidRPr="00C35EAE" w:rsidRDefault="00986DE0" w:rsidP="003C7140">
            <w:pPr>
              <w:spacing w:line="276" w:lineRule="auto"/>
              <w:jc w:val="both"/>
              <w:rPr>
                <w:rFonts w:ascii="Lato" w:hAnsi="Lato" w:cstheme="minorHAnsi"/>
                <w:sz w:val="20"/>
                <w:szCs w:val="20"/>
              </w:rPr>
            </w:pPr>
            <w:r w:rsidRPr="00C35EAE">
              <w:rPr>
                <w:rFonts w:ascii="Lato" w:hAnsi="Lato" w:cstheme="minorHAnsi"/>
                <w:sz w:val="20"/>
                <w:szCs w:val="20"/>
              </w:rPr>
              <w:t>w tym:</w:t>
            </w:r>
          </w:p>
        </w:tc>
        <w:tc>
          <w:tcPr>
            <w:tcW w:w="1284" w:type="dxa"/>
            <w:tcBorders>
              <w:top w:val="nil"/>
              <w:left w:val="single" w:sz="4" w:space="0" w:color="auto"/>
              <w:bottom w:val="single" w:sz="4" w:space="0" w:color="auto"/>
              <w:right w:val="single" w:sz="4" w:space="0" w:color="auto"/>
            </w:tcBorders>
            <w:noWrap/>
            <w:vAlign w:val="center"/>
          </w:tcPr>
          <w:p w14:paraId="6F796E21" w14:textId="77777777" w:rsidR="00986DE0" w:rsidRPr="00C35EAE" w:rsidRDefault="00986DE0" w:rsidP="003C7140">
            <w:pPr>
              <w:spacing w:line="276" w:lineRule="auto"/>
              <w:jc w:val="center"/>
              <w:rPr>
                <w:rFonts w:ascii="Lato" w:hAnsi="Lato" w:cstheme="minorHAnsi"/>
                <w:sz w:val="20"/>
                <w:szCs w:val="20"/>
              </w:rPr>
            </w:pPr>
          </w:p>
        </w:tc>
        <w:tc>
          <w:tcPr>
            <w:tcW w:w="757" w:type="dxa"/>
            <w:tcBorders>
              <w:top w:val="nil"/>
              <w:left w:val="nil"/>
              <w:bottom w:val="single" w:sz="4" w:space="0" w:color="auto"/>
              <w:right w:val="single" w:sz="4" w:space="0" w:color="auto"/>
            </w:tcBorders>
            <w:noWrap/>
            <w:vAlign w:val="center"/>
          </w:tcPr>
          <w:p w14:paraId="2082E57F" w14:textId="77777777" w:rsidR="00986DE0" w:rsidRPr="00C35EAE" w:rsidRDefault="00986DE0" w:rsidP="003C7140">
            <w:pPr>
              <w:spacing w:line="276" w:lineRule="auto"/>
              <w:jc w:val="center"/>
              <w:rPr>
                <w:rFonts w:ascii="Lato" w:hAnsi="Lato" w:cstheme="minorHAnsi"/>
                <w:sz w:val="20"/>
                <w:szCs w:val="20"/>
              </w:rPr>
            </w:pPr>
          </w:p>
        </w:tc>
        <w:tc>
          <w:tcPr>
            <w:tcW w:w="707" w:type="dxa"/>
            <w:tcBorders>
              <w:top w:val="nil"/>
              <w:left w:val="nil"/>
              <w:bottom w:val="single" w:sz="4" w:space="0" w:color="auto"/>
              <w:right w:val="single" w:sz="4" w:space="0" w:color="auto"/>
            </w:tcBorders>
            <w:noWrap/>
            <w:vAlign w:val="center"/>
          </w:tcPr>
          <w:p w14:paraId="58AAF634" w14:textId="77777777" w:rsidR="00986DE0" w:rsidRPr="00C35EAE" w:rsidRDefault="00986DE0" w:rsidP="003C7140">
            <w:pPr>
              <w:spacing w:line="276" w:lineRule="auto"/>
              <w:jc w:val="center"/>
              <w:rPr>
                <w:rFonts w:ascii="Lato" w:hAnsi="Lato" w:cstheme="minorHAnsi"/>
                <w:sz w:val="20"/>
                <w:szCs w:val="20"/>
              </w:rPr>
            </w:pPr>
          </w:p>
        </w:tc>
        <w:tc>
          <w:tcPr>
            <w:tcW w:w="773" w:type="dxa"/>
            <w:tcBorders>
              <w:top w:val="nil"/>
              <w:left w:val="nil"/>
              <w:bottom w:val="single" w:sz="4" w:space="0" w:color="auto"/>
              <w:right w:val="single" w:sz="4" w:space="0" w:color="auto"/>
            </w:tcBorders>
            <w:noWrap/>
            <w:vAlign w:val="center"/>
          </w:tcPr>
          <w:p w14:paraId="31B40428" w14:textId="77777777" w:rsidR="00986DE0" w:rsidRPr="00C35EAE" w:rsidRDefault="00986DE0" w:rsidP="003C7140">
            <w:pPr>
              <w:spacing w:line="276" w:lineRule="auto"/>
              <w:jc w:val="center"/>
              <w:rPr>
                <w:rFonts w:ascii="Lato" w:hAnsi="Lato" w:cstheme="minorHAnsi"/>
                <w:sz w:val="20"/>
                <w:szCs w:val="20"/>
              </w:rPr>
            </w:pPr>
          </w:p>
        </w:tc>
        <w:tc>
          <w:tcPr>
            <w:tcW w:w="850" w:type="dxa"/>
            <w:tcBorders>
              <w:top w:val="nil"/>
              <w:left w:val="nil"/>
              <w:bottom w:val="single" w:sz="4" w:space="0" w:color="auto"/>
              <w:right w:val="single" w:sz="4" w:space="0" w:color="auto"/>
            </w:tcBorders>
            <w:noWrap/>
            <w:vAlign w:val="center"/>
          </w:tcPr>
          <w:p w14:paraId="62102F26" w14:textId="77777777" w:rsidR="00986DE0" w:rsidRPr="00C35EAE" w:rsidRDefault="00986DE0" w:rsidP="003C7140">
            <w:pPr>
              <w:spacing w:line="276" w:lineRule="auto"/>
              <w:jc w:val="center"/>
              <w:rPr>
                <w:rFonts w:ascii="Lato" w:hAnsi="Lato" w:cstheme="minorHAnsi"/>
                <w:sz w:val="20"/>
                <w:szCs w:val="20"/>
              </w:rPr>
            </w:pPr>
          </w:p>
        </w:tc>
        <w:tc>
          <w:tcPr>
            <w:tcW w:w="709" w:type="dxa"/>
            <w:tcBorders>
              <w:top w:val="nil"/>
              <w:left w:val="nil"/>
              <w:bottom w:val="single" w:sz="4" w:space="0" w:color="auto"/>
              <w:right w:val="single" w:sz="4" w:space="0" w:color="auto"/>
            </w:tcBorders>
            <w:noWrap/>
            <w:vAlign w:val="center"/>
          </w:tcPr>
          <w:p w14:paraId="21ED9C9F" w14:textId="77777777" w:rsidR="00986DE0" w:rsidRPr="00C35EAE" w:rsidRDefault="00986DE0" w:rsidP="003C7140">
            <w:pPr>
              <w:spacing w:line="276" w:lineRule="auto"/>
              <w:jc w:val="center"/>
              <w:rPr>
                <w:rFonts w:ascii="Lato" w:hAnsi="Lato" w:cstheme="minorHAnsi"/>
                <w:sz w:val="20"/>
                <w:szCs w:val="20"/>
              </w:rPr>
            </w:pPr>
          </w:p>
        </w:tc>
        <w:tc>
          <w:tcPr>
            <w:tcW w:w="749" w:type="dxa"/>
            <w:tcBorders>
              <w:top w:val="nil"/>
              <w:left w:val="nil"/>
              <w:bottom w:val="single" w:sz="4" w:space="0" w:color="auto"/>
              <w:right w:val="single" w:sz="4" w:space="0" w:color="auto"/>
            </w:tcBorders>
            <w:noWrap/>
            <w:vAlign w:val="center"/>
          </w:tcPr>
          <w:p w14:paraId="339E551B" w14:textId="77777777" w:rsidR="00986DE0" w:rsidRPr="00C35EAE" w:rsidRDefault="00986DE0" w:rsidP="003C7140">
            <w:pPr>
              <w:spacing w:line="276" w:lineRule="auto"/>
              <w:jc w:val="center"/>
              <w:rPr>
                <w:rFonts w:ascii="Lato" w:hAnsi="Lato" w:cstheme="minorHAnsi"/>
                <w:sz w:val="20"/>
                <w:szCs w:val="20"/>
              </w:rPr>
            </w:pPr>
          </w:p>
        </w:tc>
      </w:tr>
      <w:tr w:rsidR="00986DE0" w:rsidRPr="00C35EAE" w14:paraId="7456ACD5" w14:textId="77777777" w:rsidTr="003C7140">
        <w:trPr>
          <w:trHeight w:val="285"/>
          <w:jc w:val="center"/>
        </w:trPr>
        <w:tc>
          <w:tcPr>
            <w:tcW w:w="3704" w:type="dxa"/>
            <w:tcBorders>
              <w:top w:val="nil"/>
              <w:left w:val="single" w:sz="4" w:space="0" w:color="auto"/>
              <w:bottom w:val="single" w:sz="4" w:space="0" w:color="auto"/>
              <w:right w:val="single" w:sz="4" w:space="0" w:color="auto"/>
            </w:tcBorders>
            <w:noWrap/>
            <w:vAlign w:val="center"/>
            <w:hideMark/>
          </w:tcPr>
          <w:p w14:paraId="48B4C759" w14:textId="77777777" w:rsidR="00986DE0" w:rsidRPr="00C35EAE" w:rsidRDefault="00986DE0" w:rsidP="003C7140">
            <w:pPr>
              <w:spacing w:line="276" w:lineRule="auto"/>
              <w:jc w:val="both"/>
              <w:rPr>
                <w:rFonts w:ascii="Lato" w:hAnsi="Lato" w:cstheme="minorHAnsi"/>
                <w:sz w:val="20"/>
                <w:szCs w:val="20"/>
              </w:rPr>
            </w:pPr>
            <w:r w:rsidRPr="00C35EAE">
              <w:rPr>
                <w:rFonts w:ascii="Lato" w:hAnsi="Lato" w:cstheme="minorHAnsi"/>
                <w:sz w:val="20"/>
                <w:szCs w:val="20"/>
              </w:rPr>
              <w:t>Miasto</w:t>
            </w:r>
          </w:p>
        </w:tc>
        <w:tc>
          <w:tcPr>
            <w:tcW w:w="1284" w:type="dxa"/>
            <w:tcBorders>
              <w:top w:val="nil"/>
              <w:left w:val="single" w:sz="4" w:space="0" w:color="auto"/>
              <w:bottom w:val="single" w:sz="4" w:space="0" w:color="auto"/>
              <w:right w:val="single" w:sz="4" w:space="0" w:color="auto"/>
            </w:tcBorders>
            <w:noWrap/>
            <w:vAlign w:val="center"/>
          </w:tcPr>
          <w:p w14:paraId="5A507F71"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125</w:t>
            </w:r>
          </w:p>
        </w:tc>
        <w:tc>
          <w:tcPr>
            <w:tcW w:w="757" w:type="dxa"/>
            <w:tcBorders>
              <w:top w:val="nil"/>
              <w:left w:val="nil"/>
              <w:bottom w:val="single" w:sz="4" w:space="0" w:color="auto"/>
              <w:right w:val="single" w:sz="4" w:space="0" w:color="auto"/>
            </w:tcBorders>
            <w:noWrap/>
            <w:vAlign w:val="center"/>
          </w:tcPr>
          <w:p w14:paraId="5D35F148"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121</w:t>
            </w:r>
          </w:p>
        </w:tc>
        <w:tc>
          <w:tcPr>
            <w:tcW w:w="707" w:type="dxa"/>
            <w:tcBorders>
              <w:top w:val="nil"/>
              <w:left w:val="nil"/>
              <w:bottom w:val="single" w:sz="4" w:space="0" w:color="auto"/>
              <w:right w:val="single" w:sz="4" w:space="0" w:color="auto"/>
            </w:tcBorders>
            <w:noWrap/>
            <w:vAlign w:val="center"/>
          </w:tcPr>
          <w:p w14:paraId="7976522F"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100</w:t>
            </w:r>
          </w:p>
        </w:tc>
        <w:tc>
          <w:tcPr>
            <w:tcW w:w="773" w:type="dxa"/>
            <w:tcBorders>
              <w:top w:val="nil"/>
              <w:left w:val="nil"/>
              <w:bottom w:val="single" w:sz="4" w:space="0" w:color="auto"/>
              <w:right w:val="single" w:sz="4" w:space="0" w:color="auto"/>
            </w:tcBorders>
            <w:noWrap/>
            <w:vAlign w:val="center"/>
          </w:tcPr>
          <w:p w14:paraId="4B3BDF04"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21</w:t>
            </w:r>
          </w:p>
        </w:tc>
        <w:tc>
          <w:tcPr>
            <w:tcW w:w="850" w:type="dxa"/>
            <w:tcBorders>
              <w:top w:val="nil"/>
              <w:left w:val="nil"/>
              <w:bottom w:val="single" w:sz="4" w:space="0" w:color="auto"/>
              <w:right w:val="single" w:sz="4" w:space="0" w:color="auto"/>
            </w:tcBorders>
            <w:noWrap/>
            <w:vAlign w:val="center"/>
          </w:tcPr>
          <w:p w14:paraId="52E785BA"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3</w:t>
            </w:r>
          </w:p>
        </w:tc>
        <w:tc>
          <w:tcPr>
            <w:tcW w:w="709" w:type="dxa"/>
            <w:tcBorders>
              <w:top w:val="nil"/>
              <w:left w:val="nil"/>
              <w:bottom w:val="single" w:sz="4" w:space="0" w:color="auto"/>
              <w:right w:val="single" w:sz="4" w:space="0" w:color="auto"/>
            </w:tcBorders>
            <w:noWrap/>
            <w:vAlign w:val="center"/>
          </w:tcPr>
          <w:p w14:paraId="17021248"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w:t>
            </w:r>
          </w:p>
        </w:tc>
        <w:tc>
          <w:tcPr>
            <w:tcW w:w="749" w:type="dxa"/>
            <w:tcBorders>
              <w:top w:val="nil"/>
              <w:left w:val="nil"/>
              <w:bottom w:val="single" w:sz="4" w:space="0" w:color="auto"/>
              <w:right w:val="single" w:sz="4" w:space="0" w:color="auto"/>
            </w:tcBorders>
            <w:noWrap/>
            <w:vAlign w:val="center"/>
          </w:tcPr>
          <w:p w14:paraId="4584023D"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4</w:t>
            </w:r>
          </w:p>
        </w:tc>
      </w:tr>
      <w:tr w:rsidR="00986DE0" w:rsidRPr="00C35EAE" w14:paraId="4DD7D6C3" w14:textId="77777777" w:rsidTr="003C7140">
        <w:trPr>
          <w:trHeight w:val="285"/>
          <w:jc w:val="center"/>
        </w:trPr>
        <w:tc>
          <w:tcPr>
            <w:tcW w:w="3704" w:type="dxa"/>
            <w:tcBorders>
              <w:top w:val="nil"/>
              <w:left w:val="single" w:sz="4" w:space="0" w:color="auto"/>
              <w:bottom w:val="single" w:sz="4" w:space="0" w:color="auto"/>
              <w:right w:val="single" w:sz="4" w:space="0" w:color="auto"/>
            </w:tcBorders>
            <w:noWrap/>
            <w:vAlign w:val="center"/>
            <w:hideMark/>
          </w:tcPr>
          <w:p w14:paraId="3C315CF1" w14:textId="77777777" w:rsidR="00986DE0" w:rsidRPr="00C35EAE" w:rsidRDefault="00986DE0" w:rsidP="003C7140">
            <w:pPr>
              <w:spacing w:line="276" w:lineRule="auto"/>
              <w:jc w:val="both"/>
              <w:rPr>
                <w:rFonts w:ascii="Lato" w:hAnsi="Lato" w:cstheme="minorHAnsi"/>
                <w:sz w:val="20"/>
                <w:szCs w:val="20"/>
              </w:rPr>
            </w:pPr>
            <w:r w:rsidRPr="00C35EAE">
              <w:rPr>
                <w:rFonts w:ascii="Lato" w:hAnsi="Lato" w:cstheme="minorHAnsi"/>
                <w:sz w:val="20"/>
                <w:szCs w:val="20"/>
              </w:rPr>
              <w:t>Wieś</w:t>
            </w:r>
          </w:p>
        </w:tc>
        <w:tc>
          <w:tcPr>
            <w:tcW w:w="1284" w:type="dxa"/>
            <w:tcBorders>
              <w:top w:val="nil"/>
              <w:left w:val="single" w:sz="4" w:space="0" w:color="auto"/>
              <w:bottom w:val="single" w:sz="4" w:space="0" w:color="auto"/>
              <w:right w:val="single" w:sz="4" w:space="0" w:color="auto"/>
            </w:tcBorders>
            <w:noWrap/>
            <w:vAlign w:val="center"/>
          </w:tcPr>
          <w:p w14:paraId="4CC7633D"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53</w:t>
            </w:r>
          </w:p>
        </w:tc>
        <w:tc>
          <w:tcPr>
            <w:tcW w:w="757" w:type="dxa"/>
            <w:tcBorders>
              <w:top w:val="nil"/>
              <w:left w:val="nil"/>
              <w:bottom w:val="single" w:sz="4" w:space="0" w:color="auto"/>
              <w:right w:val="single" w:sz="4" w:space="0" w:color="auto"/>
            </w:tcBorders>
            <w:noWrap/>
            <w:vAlign w:val="center"/>
          </w:tcPr>
          <w:p w14:paraId="18370543"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53</w:t>
            </w:r>
          </w:p>
        </w:tc>
        <w:tc>
          <w:tcPr>
            <w:tcW w:w="707" w:type="dxa"/>
            <w:tcBorders>
              <w:top w:val="nil"/>
              <w:left w:val="nil"/>
              <w:bottom w:val="single" w:sz="4" w:space="0" w:color="auto"/>
              <w:right w:val="single" w:sz="4" w:space="0" w:color="auto"/>
            </w:tcBorders>
            <w:noWrap/>
            <w:vAlign w:val="center"/>
          </w:tcPr>
          <w:p w14:paraId="11D1969C"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43</w:t>
            </w:r>
          </w:p>
        </w:tc>
        <w:tc>
          <w:tcPr>
            <w:tcW w:w="773" w:type="dxa"/>
            <w:tcBorders>
              <w:top w:val="nil"/>
              <w:left w:val="nil"/>
              <w:bottom w:val="single" w:sz="4" w:space="0" w:color="auto"/>
              <w:right w:val="single" w:sz="4" w:space="0" w:color="auto"/>
            </w:tcBorders>
            <w:noWrap/>
            <w:vAlign w:val="center"/>
          </w:tcPr>
          <w:p w14:paraId="308BAC26"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10</w:t>
            </w:r>
          </w:p>
        </w:tc>
        <w:tc>
          <w:tcPr>
            <w:tcW w:w="850" w:type="dxa"/>
            <w:tcBorders>
              <w:top w:val="nil"/>
              <w:left w:val="nil"/>
              <w:bottom w:val="single" w:sz="4" w:space="0" w:color="auto"/>
              <w:right w:val="single" w:sz="4" w:space="0" w:color="auto"/>
            </w:tcBorders>
            <w:noWrap/>
            <w:vAlign w:val="center"/>
          </w:tcPr>
          <w:p w14:paraId="79580099"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0</w:t>
            </w:r>
          </w:p>
        </w:tc>
        <w:tc>
          <w:tcPr>
            <w:tcW w:w="709" w:type="dxa"/>
            <w:tcBorders>
              <w:top w:val="nil"/>
              <w:left w:val="nil"/>
              <w:bottom w:val="single" w:sz="4" w:space="0" w:color="auto"/>
              <w:right w:val="single" w:sz="4" w:space="0" w:color="auto"/>
            </w:tcBorders>
            <w:noWrap/>
            <w:vAlign w:val="center"/>
          </w:tcPr>
          <w:p w14:paraId="401BE2C5"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0</w:t>
            </w:r>
          </w:p>
        </w:tc>
        <w:tc>
          <w:tcPr>
            <w:tcW w:w="749" w:type="dxa"/>
            <w:tcBorders>
              <w:top w:val="nil"/>
              <w:left w:val="nil"/>
              <w:bottom w:val="single" w:sz="4" w:space="0" w:color="auto"/>
              <w:right w:val="single" w:sz="4" w:space="0" w:color="auto"/>
            </w:tcBorders>
            <w:noWrap/>
            <w:vAlign w:val="center"/>
          </w:tcPr>
          <w:p w14:paraId="08D77CB5"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0</w:t>
            </w:r>
          </w:p>
        </w:tc>
      </w:tr>
      <w:tr w:rsidR="00986DE0" w:rsidRPr="00C35EAE" w14:paraId="2FD51AC4" w14:textId="77777777" w:rsidTr="003C7140">
        <w:trPr>
          <w:trHeight w:val="285"/>
          <w:jc w:val="center"/>
        </w:trPr>
        <w:tc>
          <w:tcPr>
            <w:tcW w:w="3704" w:type="dxa"/>
            <w:tcBorders>
              <w:top w:val="nil"/>
              <w:left w:val="single" w:sz="4" w:space="0" w:color="auto"/>
              <w:bottom w:val="single" w:sz="4" w:space="0" w:color="auto"/>
              <w:right w:val="single" w:sz="4" w:space="0" w:color="auto"/>
            </w:tcBorders>
            <w:noWrap/>
            <w:vAlign w:val="center"/>
            <w:hideMark/>
          </w:tcPr>
          <w:p w14:paraId="6C56DAB8" w14:textId="77777777" w:rsidR="00986DE0" w:rsidRPr="00C35EAE" w:rsidRDefault="00986DE0" w:rsidP="003C7140">
            <w:pPr>
              <w:spacing w:line="276" w:lineRule="auto"/>
              <w:jc w:val="both"/>
              <w:rPr>
                <w:rFonts w:ascii="Lato" w:hAnsi="Lato" w:cstheme="minorHAnsi"/>
                <w:sz w:val="20"/>
                <w:szCs w:val="20"/>
              </w:rPr>
            </w:pPr>
            <w:r w:rsidRPr="00C35EAE">
              <w:rPr>
                <w:rFonts w:ascii="Lato" w:hAnsi="Lato" w:cstheme="minorHAnsi"/>
                <w:sz w:val="20"/>
                <w:szCs w:val="20"/>
              </w:rPr>
              <w:t>Mężczyźni</w:t>
            </w:r>
          </w:p>
        </w:tc>
        <w:tc>
          <w:tcPr>
            <w:tcW w:w="1284" w:type="dxa"/>
            <w:tcBorders>
              <w:top w:val="nil"/>
              <w:left w:val="single" w:sz="4" w:space="0" w:color="auto"/>
              <w:bottom w:val="single" w:sz="4" w:space="0" w:color="auto"/>
              <w:right w:val="single" w:sz="4" w:space="0" w:color="auto"/>
            </w:tcBorders>
            <w:noWrap/>
            <w:vAlign w:val="center"/>
          </w:tcPr>
          <w:p w14:paraId="5B11A38D"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133</w:t>
            </w:r>
          </w:p>
        </w:tc>
        <w:tc>
          <w:tcPr>
            <w:tcW w:w="757" w:type="dxa"/>
            <w:tcBorders>
              <w:top w:val="nil"/>
              <w:left w:val="nil"/>
              <w:bottom w:val="single" w:sz="4" w:space="0" w:color="auto"/>
              <w:right w:val="single" w:sz="4" w:space="0" w:color="auto"/>
            </w:tcBorders>
            <w:noWrap/>
            <w:vAlign w:val="center"/>
          </w:tcPr>
          <w:p w14:paraId="4EBC48D7"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129</w:t>
            </w:r>
          </w:p>
        </w:tc>
        <w:tc>
          <w:tcPr>
            <w:tcW w:w="707" w:type="dxa"/>
            <w:tcBorders>
              <w:top w:val="nil"/>
              <w:left w:val="nil"/>
              <w:bottom w:val="single" w:sz="4" w:space="0" w:color="auto"/>
              <w:right w:val="single" w:sz="4" w:space="0" w:color="auto"/>
            </w:tcBorders>
            <w:noWrap/>
            <w:vAlign w:val="center"/>
          </w:tcPr>
          <w:p w14:paraId="28433A2C"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109</w:t>
            </w:r>
          </w:p>
        </w:tc>
        <w:tc>
          <w:tcPr>
            <w:tcW w:w="773" w:type="dxa"/>
            <w:tcBorders>
              <w:top w:val="nil"/>
              <w:left w:val="nil"/>
              <w:bottom w:val="single" w:sz="4" w:space="0" w:color="auto"/>
              <w:right w:val="single" w:sz="4" w:space="0" w:color="auto"/>
            </w:tcBorders>
            <w:noWrap/>
            <w:vAlign w:val="center"/>
          </w:tcPr>
          <w:p w14:paraId="361B6A33"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20</w:t>
            </w:r>
          </w:p>
        </w:tc>
        <w:tc>
          <w:tcPr>
            <w:tcW w:w="850" w:type="dxa"/>
            <w:tcBorders>
              <w:top w:val="nil"/>
              <w:left w:val="nil"/>
              <w:bottom w:val="single" w:sz="4" w:space="0" w:color="auto"/>
              <w:right w:val="single" w:sz="4" w:space="0" w:color="auto"/>
            </w:tcBorders>
            <w:noWrap/>
            <w:vAlign w:val="center"/>
          </w:tcPr>
          <w:p w14:paraId="54C5F38D"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3</w:t>
            </w:r>
          </w:p>
        </w:tc>
        <w:tc>
          <w:tcPr>
            <w:tcW w:w="709" w:type="dxa"/>
            <w:tcBorders>
              <w:top w:val="nil"/>
              <w:left w:val="nil"/>
              <w:bottom w:val="single" w:sz="4" w:space="0" w:color="auto"/>
              <w:right w:val="single" w:sz="4" w:space="0" w:color="auto"/>
            </w:tcBorders>
            <w:noWrap/>
            <w:vAlign w:val="center"/>
          </w:tcPr>
          <w:p w14:paraId="491D5DEF"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w:t>
            </w:r>
          </w:p>
        </w:tc>
        <w:tc>
          <w:tcPr>
            <w:tcW w:w="749" w:type="dxa"/>
            <w:tcBorders>
              <w:top w:val="nil"/>
              <w:left w:val="nil"/>
              <w:bottom w:val="single" w:sz="4" w:space="0" w:color="auto"/>
              <w:right w:val="single" w:sz="4" w:space="0" w:color="auto"/>
            </w:tcBorders>
            <w:noWrap/>
            <w:vAlign w:val="center"/>
          </w:tcPr>
          <w:p w14:paraId="06A98161"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4</w:t>
            </w:r>
          </w:p>
        </w:tc>
      </w:tr>
      <w:tr w:rsidR="00986DE0" w:rsidRPr="00C35EAE" w14:paraId="4D21DAF5" w14:textId="77777777" w:rsidTr="003C7140">
        <w:trPr>
          <w:trHeight w:val="285"/>
          <w:jc w:val="center"/>
        </w:trPr>
        <w:tc>
          <w:tcPr>
            <w:tcW w:w="3704" w:type="dxa"/>
            <w:tcBorders>
              <w:top w:val="nil"/>
              <w:left w:val="single" w:sz="4" w:space="0" w:color="auto"/>
              <w:bottom w:val="single" w:sz="4" w:space="0" w:color="auto"/>
              <w:right w:val="single" w:sz="4" w:space="0" w:color="auto"/>
            </w:tcBorders>
            <w:noWrap/>
            <w:vAlign w:val="center"/>
            <w:hideMark/>
          </w:tcPr>
          <w:p w14:paraId="1D709158" w14:textId="77777777" w:rsidR="00986DE0" w:rsidRPr="00C35EAE" w:rsidRDefault="00986DE0" w:rsidP="003C7140">
            <w:pPr>
              <w:spacing w:line="276" w:lineRule="auto"/>
              <w:jc w:val="both"/>
              <w:rPr>
                <w:rFonts w:ascii="Lato" w:hAnsi="Lato" w:cstheme="minorHAnsi"/>
                <w:sz w:val="20"/>
                <w:szCs w:val="20"/>
              </w:rPr>
            </w:pPr>
            <w:r w:rsidRPr="00C35EAE">
              <w:rPr>
                <w:rFonts w:ascii="Lato" w:hAnsi="Lato" w:cstheme="minorHAnsi"/>
                <w:sz w:val="20"/>
                <w:szCs w:val="20"/>
              </w:rPr>
              <w:t>Kobiety</w:t>
            </w:r>
          </w:p>
        </w:tc>
        <w:tc>
          <w:tcPr>
            <w:tcW w:w="1284" w:type="dxa"/>
            <w:tcBorders>
              <w:top w:val="nil"/>
              <w:left w:val="single" w:sz="4" w:space="0" w:color="auto"/>
              <w:bottom w:val="single" w:sz="4" w:space="0" w:color="auto"/>
              <w:right w:val="single" w:sz="4" w:space="0" w:color="auto"/>
            </w:tcBorders>
            <w:noWrap/>
            <w:vAlign w:val="center"/>
          </w:tcPr>
          <w:p w14:paraId="0284A308"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45</w:t>
            </w:r>
          </w:p>
        </w:tc>
        <w:tc>
          <w:tcPr>
            <w:tcW w:w="757" w:type="dxa"/>
            <w:tcBorders>
              <w:top w:val="nil"/>
              <w:left w:val="nil"/>
              <w:bottom w:val="single" w:sz="4" w:space="0" w:color="auto"/>
              <w:right w:val="single" w:sz="4" w:space="0" w:color="auto"/>
            </w:tcBorders>
            <w:noWrap/>
            <w:vAlign w:val="center"/>
          </w:tcPr>
          <w:p w14:paraId="356F1704"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45</w:t>
            </w:r>
          </w:p>
        </w:tc>
        <w:tc>
          <w:tcPr>
            <w:tcW w:w="707" w:type="dxa"/>
            <w:tcBorders>
              <w:top w:val="nil"/>
              <w:left w:val="nil"/>
              <w:bottom w:val="single" w:sz="4" w:space="0" w:color="auto"/>
              <w:right w:val="single" w:sz="4" w:space="0" w:color="auto"/>
            </w:tcBorders>
            <w:noWrap/>
            <w:vAlign w:val="center"/>
          </w:tcPr>
          <w:p w14:paraId="01D2B546"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34</w:t>
            </w:r>
          </w:p>
        </w:tc>
        <w:tc>
          <w:tcPr>
            <w:tcW w:w="773" w:type="dxa"/>
            <w:tcBorders>
              <w:top w:val="nil"/>
              <w:left w:val="nil"/>
              <w:bottom w:val="single" w:sz="4" w:space="0" w:color="auto"/>
              <w:right w:val="single" w:sz="4" w:space="0" w:color="auto"/>
            </w:tcBorders>
            <w:noWrap/>
            <w:vAlign w:val="center"/>
          </w:tcPr>
          <w:p w14:paraId="0B80E71F"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11</w:t>
            </w:r>
          </w:p>
        </w:tc>
        <w:tc>
          <w:tcPr>
            <w:tcW w:w="850" w:type="dxa"/>
            <w:tcBorders>
              <w:top w:val="nil"/>
              <w:left w:val="nil"/>
              <w:bottom w:val="single" w:sz="4" w:space="0" w:color="auto"/>
              <w:right w:val="single" w:sz="4" w:space="0" w:color="auto"/>
            </w:tcBorders>
            <w:noWrap/>
            <w:vAlign w:val="center"/>
          </w:tcPr>
          <w:p w14:paraId="6B2F3593"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0</w:t>
            </w:r>
          </w:p>
        </w:tc>
        <w:tc>
          <w:tcPr>
            <w:tcW w:w="709" w:type="dxa"/>
            <w:tcBorders>
              <w:top w:val="nil"/>
              <w:left w:val="nil"/>
              <w:bottom w:val="single" w:sz="4" w:space="0" w:color="auto"/>
              <w:right w:val="single" w:sz="4" w:space="0" w:color="auto"/>
            </w:tcBorders>
            <w:noWrap/>
            <w:vAlign w:val="center"/>
          </w:tcPr>
          <w:p w14:paraId="0D274AC6"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0</w:t>
            </w:r>
          </w:p>
        </w:tc>
        <w:tc>
          <w:tcPr>
            <w:tcW w:w="749" w:type="dxa"/>
            <w:tcBorders>
              <w:top w:val="nil"/>
              <w:left w:val="nil"/>
              <w:bottom w:val="single" w:sz="4" w:space="0" w:color="auto"/>
              <w:right w:val="single" w:sz="4" w:space="0" w:color="auto"/>
            </w:tcBorders>
            <w:noWrap/>
            <w:vAlign w:val="center"/>
          </w:tcPr>
          <w:p w14:paraId="376C345E"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0</w:t>
            </w:r>
          </w:p>
        </w:tc>
      </w:tr>
      <w:tr w:rsidR="00986DE0" w:rsidRPr="00C35EAE" w14:paraId="62F9576C" w14:textId="77777777" w:rsidTr="00EA0E18">
        <w:trPr>
          <w:trHeight w:val="285"/>
          <w:jc w:val="center"/>
        </w:trPr>
        <w:tc>
          <w:tcPr>
            <w:tcW w:w="3704" w:type="dxa"/>
            <w:tcBorders>
              <w:top w:val="single" w:sz="4" w:space="0" w:color="auto"/>
              <w:left w:val="single" w:sz="4" w:space="0" w:color="auto"/>
              <w:bottom w:val="single" w:sz="4" w:space="0" w:color="auto"/>
              <w:right w:val="single" w:sz="4" w:space="0" w:color="auto"/>
            </w:tcBorders>
            <w:noWrap/>
            <w:vAlign w:val="center"/>
            <w:hideMark/>
          </w:tcPr>
          <w:p w14:paraId="26D9B68E" w14:textId="77777777" w:rsidR="00986DE0" w:rsidRPr="00C35EAE" w:rsidRDefault="00986DE0" w:rsidP="003C7140">
            <w:pPr>
              <w:spacing w:line="276" w:lineRule="auto"/>
              <w:jc w:val="both"/>
              <w:rPr>
                <w:rFonts w:ascii="Lato" w:hAnsi="Lato" w:cstheme="minorHAnsi"/>
                <w:sz w:val="20"/>
                <w:szCs w:val="20"/>
              </w:rPr>
            </w:pPr>
            <w:r w:rsidRPr="00C35EAE">
              <w:rPr>
                <w:rFonts w:ascii="Lato" w:hAnsi="Lato" w:cstheme="minorHAnsi"/>
                <w:sz w:val="20"/>
                <w:szCs w:val="20"/>
              </w:rPr>
              <w:t>Wg grup wiekowych</w:t>
            </w:r>
          </w:p>
        </w:tc>
        <w:tc>
          <w:tcPr>
            <w:tcW w:w="1284" w:type="dxa"/>
            <w:tcBorders>
              <w:top w:val="single" w:sz="4" w:space="0" w:color="auto"/>
              <w:left w:val="single" w:sz="4" w:space="0" w:color="auto"/>
              <w:bottom w:val="single" w:sz="4" w:space="0" w:color="auto"/>
              <w:right w:val="single" w:sz="4" w:space="0" w:color="auto"/>
            </w:tcBorders>
            <w:noWrap/>
            <w:vAlign w:val="center"/>
          </w:tcPr>
          <w:p w14:paraId="093D3F5B" w14:textId="77777777" w:rsidR="00986DE0" w:rsidRPr="00C35EAE" w:rsidRDefault="00986DE0" w:rsidP="003C7140">
            <w:pPr>
              <w:spacing w:line="276" w:lineRule="auto"/>
              <w:jc w:val="center"/>
              <w:rPr>
                <w:rFonts w:ascii="Lato" w:hAnsi="Lato" w:cstheme="minorHAnsi"/>
                <w:sz w:val="20"/>
                <w:szCs w:val="20"/>
              </w:rPr>
            </w:pPr>
          </w:p>
        </w:tc>
        <w:tc>
          <w:tcPr>
            <w:tcW w:w="757" w:type="dxa"/>
            <w:tcBorders>
              <w:top w:val="single" w:sz="4" w:space="0" w:color="auto"/>
              <w:left w:val="nil"/>
              <w:bottom w:val="single" w:sz="4" w:space="0" w:color="auto"/>
              <w:right w:val="single" w:sz="4" w:space="0" w:color="auto"/>
            </w:tcBorders>
            <w:noWrap/>
            <w:vAlign w:val="center"/>
          </w:tcPr>
          <w:p w14:paraId="0DB42A67" w14:textId="77777777" w:rsidR="00986DE0" w:rsidRPr="00C35EAE" w:rsidRDefault="00986DE0" w:rsidP="003C7140">
            <w:pPr>
              <w:spacing w:line="276" w:lineRule="auto"/>
              <w:jc w:val="center"/>
              <w:rPr>
                <w:rFonts w:ascii="Lato" w:hAnsi="Lato" w:cstheme="minorHAnsi"/>
                <w:sz w:val="20"/>
                <w:szCs w:val="20"/>
              </w:rPr>
            </w:pPr>
          </w:p>
        </w:tc>
        <w:tc>
          <w:tcPr>
            <w:tcW w:w="707" w:type="dxa"/>
            <w:tcBorders>
              <w:top w:val="single" w:sz="4" w:space="0" w:color="auto"/>
              <w:left w:val="nil"/>
              <w:bottom w:val="single" w:sz="4" w:space="0" w:color="auto"/>
              <w:right w:val="single" w:sz="4" w:space="0" w:color="auto"/>
            </w:tcBorders>
            <w:noWrap/>
            <w:vAlign w:val="center"/>
          </w:tcPr>
          <w:p w14:paraId="53CB6890" w14:textId="77777777" w:rsidR="00986DE0" w:rsidRPr="00C35EAE" w:rsidRDefault="00986DE0" w:rsidP="003C7140">
            <w:pPr>
              <w:spacing w:line="276" w:lineRule="auto"/>
              <w:jc w:val="center"/>
              <w:rPr>
                <w:rFonts w:ascii="Lato" w:hAnsi="Lato" w:cstheme="minorHAnsi"/>
                <w:sz w:val="20"/>
                <w:szCs w:val="20"/>
              </w:rPr>
            </w:pPr>
          </w:p>
        </w:tc>
        <w:tc>
          <w:tcPr>
            <w:tcW w:w="773" w:type="dxa"/>
            <w:tcBorders>
              <w:top w:val="single" w:sz="4" w:space="0" w:color="auto"/>
              <w:left w:val="nil"/>
              <w:bottom w:val="single" w:sz="4" w:space="0" w:color="auto"/>
              <w:right w:val="single" w:sz="4" w:space="0" w:color="auto"/>
            </w:tcBorders>
            <w:noWrap/>
            <w:vAlign w:val="center"/>
          </w:tcPr>
          <w:p w14:paraId="3D775087" w14:textId="77777777" w:rsidR="00986DE0" w:rsidRPr="00C35EAE" w:rsidRDefault="00986DE0" w:rsidP="003C7140">
            <w:pPr>
              <w:spacing w:line="276" w:lineRule="auto"/>
              <w:jc w:val="center"/>
              <w:rPr>
                <w:rFonts w:ascii="Lato" w:hAnsi="Lato" w:cstheme="minorHAnsi"/>
                <w:sz w:val="20"/>
                <w:szCs w:val="20"/>
              </w:rPr>
            </w:pPr>
          </w:p>
        </w:tc>
        <w:tc>
          <w:tcPr>
            <w:tcW w:w="850" w:type="dxa"/>
            <w:tcBorders>
              <w:top w:val="single" w:sz="4" w:space="0" w:color="auto"/>
              <w:left w:val="nil"/>
              <w:bottom w:val="single" w:sz="4" w:space="0" w:color="auto"/>
              <w:right w:val="single" w:sz="4" w:space="0" w:color="auto"/>
            </w:tcBorders>
            <w:noWrap/>
            <w:vAlign w:val="center"/>
          </w:tcPr>
          <w:p w14:paraId="25591A52" w14:textId="77777777" w:rsidR="00986DE0" w:rsidRPr="00C35EAE" w:rsidRDefault="00986DE0" w:rsidP="003C7140">
            <w:pPr>
              <w:spacing w:line="276" w:lineRule="auto"/>
              <w:jc w:val="center"/>
              <w:rPr>
                <w:rFonts w:ascii="Lato" w:hAnsi="Lato" w:cstheme="minorHAnsi"/>
                <w:sz w:val="20"/>
                <w:szCs w:val="20"/>
              </w:rPr>
            </w:pPr>
          </w:p>
        </w:tc>
        <w:tc>
          <w:tcPr>
            <w:tcW w:w="709" w:type="dxa"/>
            <w:tcBorders>
              <w:top w:val="single" w:sz="4" w:space="0" w:color="auto"/>
              <w:left w:val="nil"/>
              <w:bottom w:val="single" w:sz="4" w:space="0" w:color="auto"/>
              <w:right w:val="single" w:sz="4" w:space="0" w:color="auto"/>
            </w:tcBorders>
            <w:noWrap/>
            <w:vAlign w:val="center"/>
          </w:tcPr>
          <w:p w14:paraId="66537602" w14:textId="77777777" w:rsidR="00986DE0" w:rsidRPr="00C35EAE" w:rsidRDefault="00986DE0" w:rsidP="003C7140">
            <w:pPr>
              <w:spacing w:line="276" w:lineRule="auto"/>
              <w:jc w:val="center"/>
              <w:rPr>
                <w:rFonts w:ascii="Lato" w:hAnsi="Lato" w:cstheme="minorHAnsi"/>
                <w:sz w:val="20"/>
                <w:szCs w:val="20"/>
              </w:rPr>
            </w:pPr>
          </w:p>
        </w:tc>
        <w:tc>
          <w:tcPr>
            <w:tcW w:w="749" w:type="dxa"/>
            <w:tcBorders>
              <w:top w:val="single" w:sz="4" w:space="0" w:color="auto"/>
              <w:left w:val="nil"/>
              <w:bottom w:val="single" w:sz="4" w:space="0" w:color="auto"/>
              <w:right w:val="single" w:sz="4" w:space="0" w:color="auto"/>
            </w:tcBorders>
            <w:noWrap/>
            <w:vAlign w:val="center"/>
          </w:tcPr>
          <w:p w14:paraId="2AE309BD" w14:textId="77777777" w:rsidR="00986DE0" w:rsidRPr="00C35EAE" w:rsidRDefault="00986DE0" w:rsidP="003C7140">
            <w:pPr>
              <w:spacing w:line="276" w:lineRule="auto"/>
              <w:jc w:val="center"/>
              <w:rPr>
                <w:rFonts w:ascii="Lato" w:hAnsi="Lato" w:cstheme="minorHAnsi"/>
                <w:sz w:val="20"/>
                <w:szCs w:val="20"/>
              </w:rPr>
            </w:pPr>
          </w:p>
        </w:tc>
      </w:tr>
      <w:tr w:rsidR="00986DE0" w:rsidRPr="00C35EAE" w14:paraId="5F04CABB" w14:textId="77777777" w:rsidTr="003C7140">
        <w:trPr>
          <w:trHeight w:val="285"/>
          <w:jc w:val="center"/>
        </w:trPr>
        <w:tc>
          <w:tcPr>
            <w:tcW w:w="3704" w:type="dxa"/>
            <w:tcBorders>
              <w:top w:val="nil"/>
              <w:left w:val="single" w:sz="4" w:space="0" w:color="auto"/>
              <w:bottom w:val="single" w:sz="4" w:space="0" w:color="auto"/>
              <w:right w:val="single" w:sz="4" w:space="0" w:color="auto"/>
            </w:tcBorders>
            <w:noWrap/>
            <w:vAlign w:val="center"/>
            <w:hideMark/>
          </w:tcPr>
          <w:p w14:paraId="129BBA2E" w14:textId="77777777" w:rsidR="00986DE0" w:rsidRPr="00C35EAE" w:rsidRDefault="00986DE0" w:rsidP="003C7140">
            <w:pPr>
              <w:spacing w:line="276" w:lineRule="auto"/>
              <w:jc w:val="both"/>
              <w:rPr>
                <w:rFonts w:ascii="Lato" w:hAnsi="Lato" w:cstheme="minorHAnsi"/>
                <w:sz w:val="20"/>
                <w:szCs w:val="20"/>
              </w:rPr>
            </w:pPr>
            <w:r w:rsidRPr="00C35EAE">
              <w:rPr>
                <w:rFonts w:ascii="Lato" w:hAnsi="Lato" w:cstheme="minorHAnsi"/>
                <w:sz w:val="20"/>
                <w:szCs w:val="20"/>
              </w:rPr>
              <w:t>0-14</w:t>
            </w:r>
          </w:p>
        </w:tc>
        <w:tc>
          <w:tcPr>
            <w:tcW w:w="1284" w:type="dxa"/>
            <w:tcBorders>
              <w:top w:val="nil"/>
              <w:left w:val="single" w:sz="4" w:space="0" w:color="auto"/>
              <w:bottom w:val="single" w:sz="4" w:space="0" w:color="auto"/>
              <w:right w:val="single" w:sz="4" w:space="0" w:color="auto"/>
            </w:tcBorders>
            <w:noWrap/>
            <w:vAlign w:val="center"/>
          </w:tcPr>
          <w:p w14:paraId="7B42386B"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w:t>
            </w:r>
          </w:p>
        </w:tc>
        <w:tc>
          <w:tcPr>
            <w:tcW w:w="757" w:type="dxa"/>
            <w:tcBorders>
              <w:top w:val="nil"/>
              <w:left w:val="nil"/>
              <w:bottom w:val="single" w:sz="4" w:space="0" w:color="auto"/>
              <w:right w:val="single" w:sz="4" w:space="0" w:color="auto"/>
            </w:tcBorders>
            <w:noWrap/>
            <w:vAlign w:val="center"/>
          </w:tcPr>
          <w:p w14:paraId="367B6C8A"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w:t>
            </w:r>
          </w:p>
        </w:tc>
        <w:tc>
          <w:tcPr>
            <w:tcW w:w="707" w:type="dxa"/>
            <w:tcBorders>
              <w:top w:val="nil"/>
              <w:left w:val="nil"/>
              <w:bottom w:val="single" w:sz="4" w:space="0" w:color="auto"/>
              <w:right w:val="single" w:sz="4" w:space="0" w:color="auto"/>
            </w:tcBorders>
            <w:noWrap/>
            <w:vAlign w:val="center"/>
          </w:tcPr>
          <w:p w14:paraId="37FFB3CA"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w:t>
            </w:r>
          </w:p>
        </w:tc>
        <w:tc>
          <w:tcPr>
            <w:tcW w:w="773" w:type="dxa"/>
            <w:tcBorders>
              <w:top w:val="nil"/>
              <w:left w:val="nil"/>
              <w:bottom w:val="single" w:sz="4" w:space="0" w:color="auto"/>
              <w:right w:val="single" w:sz="4" w:space="0" w:color="auto"/>
            </w:tcBorders>
            <w:noWrap/>
            <w:vAlign w:val="center"/>
          </w:tcPr>
          <w:p w14:paraId="67A11510"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0</w:t>
            </w:r>
          </w:p>
        </w:tc>
        <w:tc>
          <w:tcPr>
            <w:tcW w:w="850" w:type="dxa"/>
            <w:tcBorders>
              <w:top w:val="nil"/>
              <w:left w:val="nil"/>
              <w:bottom w:val="single" w:sz="4" w:space="0" w:color="auto"/>
              <w:right w:val="single" w:sz="4" w:space="0" w:color="auto"/>
            </w:tcBorders>
            <w:noWrap/>
            <w:vAlign w:val="center"/>
          </w:tcPr>
          <w:p w14:paraId="29B1E7FF"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0</w:t>
            </w:r>
          </w:p>
        </w:tc>
        <w:tc>
          <w:tcPr>
            <w:tcW w:w="709" w:type="dxa"/>
            <w:tcBorders>
              <w:top w:val="nil"/>
              <w:left w:val="nil"/>
              <w:bottom w:val="single" w:sz="4" w:space="0" w:color="auto"/>
              <w:right w:val="single" w:sz="4" w:space="0" w:color="auto"/>
            </w:tcBorders>
            <w:noWrap/>
            <w:vAlign w:val="center"/>
          </w:tcPr>
          <w:p w14:paraId="291DEBAB"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0</w:t>
            </w:r>
          </w:p>
        </w:tc>
        <w:tc>
          <w:tcPr>
            <w:tcW w:w="749" w:type="dxa"/>
            <w:tcBorders>
              <w:top w:val="nil"/>
              <w:left w:val="nil"/>
              <w:bottom w:val="single" w:sz="4" w:space="0" w:color="auto"/>
              <w:right w:val="single" w:sz="4" w:space="0" w:color="auto"/>
            </w:tcBorders>
            <w:noWrap/>
            <w:vAlign w:val="center"/>
          </w:tcPr>
          <w:p w14:paraId="7BE6C447"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0</w:t>
            </w:r>
          </w:p>
        </w:tc>
      </w:tr>
      <w:tr w:rsidR="00986DE0" w:rsidRPr="00C35EAE" w14:paraId="594459BA" w14:textId="77777777" w:rsidTr="003C7140">
        <w:trPr>
          <w:trHeight w:val="285"/>
          <w:jc w:val="center"/>
        </w:trPr>
        <w:tc>
          <w:tcPr>
            <w:tcW w:w="3704" w:type="dxa"/>
            <w:tcBorders>
              <w:top w:val="nil"/>
              <w:left w:val="single" w:sz="4" w:space="0" w:color="auto"/>
              <w:bottom w:val="single" w:sz="4" w:space="0" w:color="auto"/>
              <w:right w:val="single" w:sz="4" w:space="0" w:color="auto"/>
            </w:tcBorders>
            <w:noWrap/>
            <w:vAlign w:val="center"/>
            <w:hideMark/>
          </w:tcPr>
          <w:p w14:paraId="55E25A59" w14:textId="77777777" w:rsidR="00986DE0" w:rsidRPr="00C35EAE" w:rsidRDefault="00986DE0" w:rsidP="003C7140">
            <w:pPr>
              <w:spacing w:line="276" w:lineRule="auto"/>
              <w:jc w:val="both"/>
              <w:rPr>
                <w:rFonts w:ascii="Lato" w:hAnsi="Lato" w:cstheme="minorHAnsi"/>
                <w:sz w:val="20"/>
                <w:szCs w:val="20"/>
              </w:rPr>
            </w:pPr>
            <w:r w:rsidRPr="00C35EAE">
              <w:rPr>
                <w:rFonts w:ascii="Lato" w:hAnsi="Lato" w:cstheme="minorHAnsi"/>
                <w:sz w:val="20"/>
                <w:szCs w:val="20"/>
              </w:rPr>
              <w:t>15-19</w:t>
            </w:r>
          </w:p>
        </w:tc>
        <w:tc>
          <w:tcPr>
            <w:tcW w:w="1284" w:type="dxa"/>
            <w:tcBorders>
              <w:top w:val="nil"/>
              <w:left w:val="single" w:sz="4" w:space="0" w:color="auto"/>
              <w:bottom w:val="single" w:sz="4" w:space="0" w:color="auto"/>
              <w:right w:val="single" w:sz="4" w:space="0" w:color="auto"/>
            </w:tcBorders>
            <w:noWrap/>
            <w:vAlign w:val="center"/>
          </w:tcPr>
          <w:p w14:paraId="67B0F02E"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w:t>
            </w:r>
          </w:p>
        </w:tc>
        <w:tc>
          <w:tcPr>
            <w:tcW w:w="757" w:type="dxa"/>
            <w:tcBorders>
              <w:top w:val="nil"/>
              <w:left w:val="nil"/>
              <w:bottom w:val="single" w:sz="4" w:space="0" w:color="auto"/>
              <w:right w:val="single" w:sz="4" w:space="0" w:color="auto"/>
            </w:tcBorders>
            <w:noWrap/>
            <w:vAlign w:val="center"/>
          </w:tcPr>
          <w:p w14:paraId="09FB0B7A"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w:t>
            </w:r>
          </w:p>
        </w:tc>
        <w:tc>
          <w:tcPr>
            <w:tcW w:w="707" w:type="dxa"/>
            <w:tcBorders>
              <w:top w:val="nil"/>
              <w:left w:val="nil"/>
              <w:bottom w:val="single" w:sz="4" w:space="0" w:color="auto"/>
              <w:right w:val="single" w:sz="4" w:space="0" w:color="auto"/>
            </w:tcBorders>
            <w:noWrap/>
            <w:vAlign w:val="center"/>
          </w:tcPr>
          <w:p w14:paraId="7EF3F6F9"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w:t>
            </w:r>
          </w:p>
        </w:tc>
        <w:tc>
          <w:tcPr>
            <w:tcW w:w="773" w:type="dxa"/>
            <w:tcBorders>
              <w:top w:val="nil"/>
              <w:left w:val="nil"/>
              <w:bottom w:val="single" w:sz="4" w:space="0" w:color="auto"/>
              <w:right w:val="single" w:sz="4" w:space="0" w:color="auto"/>
            </w:tcBorders>
            <w:noWrap/>
            <w:vAlign w:val="center"/>
          </w:tcPr>
          <w:p w14:paraId="70569C60"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0</w:t>
            </w:r>
          </w:p>
        </w:tc>
        <w:tc>
          <w:tcPr>
            <w:tcW w:w="850" w:type="dxa"/>
            <w:tcBorders>
              <w:top w:val="nil"/>
              <w:left w:val="nil"/>
              <w:bottom w:val="single" w:sz="4" w:space="0" w:color="auto"/>
              <w:right w:val="single" w:sz="4" w:space="0" w:color="auto"/>
            </w:tcBorders>
            <w:noWrap/>
            <w:vAlign w:val="center"/>
          </w:tcPr>
          <w:p w14:paraId="45B9FAB2"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0</w:t>
            </w:r>
          </w:p>
        </w:tc>
        <w:tc>
          <w:tcPr>
            <w:tcW w:w="709" w:type="dxa"/>
            <w:tcBorders>
              <w:top w:val="nil"/>
              <w:left w:val="nil"/>
              <w:bottom w:val="single" w:sz="4" w:space="0" w:color="auto"/>
              <w:right w:val="single" w:sz="4" w:space="0" w:color="auto"/>
            </w:tcBorders>
            <w:noWrap/>
            <w:vAlign w:val="center"/>
          </w:tcPr>
          <w:p w14:paraId="0AD36731"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0</w:t>
            </w:r>
          </w:p>
        </w:tc>
        <w:tc>
          <w:tcPr>
            <w:tcW w:w="749" w:type="dxa"/>
            <w:tcBorders>
              <w:top w:val="nil"/>
              <w:left w:val="nil"/>
              <w:bottom w:val="single" w:sz="4" w:space="0" w:color="auto"/>
              <w:right w:val="single" w:sz="4" w:space="0" w:color="auto"/>
            </w:tcBorders>
            <w:noWrap/>
            <w:vAlign w:val="center"/>
          </w:tcPr>
          <w:p w14:paraId="6B2A852F"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0</w:t>
            </w:r>
          </w:p>
        </w:tc>
      </w:tr>
      <w:tr w:rsidR="00986DE0" w:rsidRPr="00C35EAE" w14:paraId="7AC12C49" w14:textId="77777777" w:rsidTr="003C7140">
        <w:trPr>
          <w:trHeight w:val="285"/>
          <w:jc w:val="center"/>
        </w:trPr>
        <w:tc>
          <w:tcPr>
            <w:tcW w:w="3704" w:type="dxa"/>
            <w:tcBorders>
              <w:top w:val="nil"/>
              <w:left w:val="single" w:sz="4" w:space="0" w:color="auto"/>
              <w:bottom w:val="single" w:sz="4" w:space="0" w:color="auto"/>
              <w:right w:val="single" w:sz="4" w:space="0" w:color="auto"/>
            </w:tcBorders>
            <w:noWrap/>
            <w:vAlign w:val="center"/>
            <w:hideMark/>
          </w:tcPr>
          <w:p w14:paraId="2E3325F0" w14:textId="77777777" w:rsidR="00986DE0" w:rsidRPr="00C35EAE" w:rsidRDefault="00986DE0" w:rsidP="003C7140">
            <w:pPr>
              <w:spacing w:line="276" w:lineRule="auto"/>
              <w:jc w:val="both"/>
              <w:rPr>
                <w:rFonts w:ascii="Lato" w:hAnsi="Lato" w:cstheme="minorHAnsi"/>
                <w:sz w:val="20"/>
                <w:szCs w:val="20"/>
              </w:rPr>
            </w:pPr>
            <w:r w:rsidRPr="00C35EAE">
              <w:rPr>
                <w:rFonts w:ascii="Lato" w:hAnsi="Lato" w:cstheme="minorHAnsi"/>
                <w:sz w:val="20"/>
                <w:szCs w:val="20"/>
              </w:rPr>
              <w:t>20-29</w:t>
            </w:r>
          </w:p>
        </w:tc>
        <w:tc>
          <w:tcPr>
            <w:tcW w:w="1284" w:type="dxa"/>
            <w:tcBorders>
              <w:top w:val="nil"/>
              <w:left w:val="single" w:sz="4" w:space="0" w:color="auto"/>
              <w:bottom w:val="single" w:sz="4" w:space="0" w:color="auto"/>
              <w:right w:val="single" w:sz="4" w:space="0" w:color="auto"/>
            </w:tcBorders>
            <w:noWrap/>
            <w:vAlign w:val="center"/>
          </w:tcPr>
          <w:p w14:paraId="7B433B34"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13</w:t>
            </w:r>
          </w:p>
        </w:tc>
        <w:tc>
          <w:tcPr>
            <w:tcW w:w="757" w:type="dxa"/>
            <w:tcBorders>
              <w:top w:val="nil"/>
              <w:left w:val="nil"/>
              <w:bottom w:val="single" w:sz="4" w:space="0" w:color="auto"/>
              <w:right w:val="single" w:sz="4" w:space="0" w:color="auto"/>
            </w:tcBorders>
            <w:noWrap/>
            <w:vAlign w:val="center"/>
          </w:tcPr>
          <w:p w14:paraId="5D4343FB"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13</w:t>
            </w:r>
          </w:p>
        </w:tc>
        <w:tc>
          <w:tcPr>
            <w:tcW w:w="707" w:type="dxa"/>
            <w:tcBorders>
              <w:top w:val="nil"/>
              <w:left w:val="nil"/>
              <w:bottom w:val="single" w:sz="4" w:space="0" w:color="auto"/>
              <w:right w:val="single" w:sz="4" w:space="0" w:color="auto"/>
            </w:tcBorders>
            <w:noWrap/>
            <w:vAlign w:val="center"/>
          </w:tcPr>
          <w:p w14:paraId="7893EB64"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8</w:t>
            </w:r>
          </w:p>
        </w:tc>
        <w:tc>
          <w:tcPr>
            <w:tcW w:w="773" w:type="dxa"/>
            <w:tcBorders>
              <w:top w:val="nil"/>
              <w:left w:val="nil"/>
              <w:bottom w:val="single" w:sz="4" w:space="0" w:color="auto"/>
              <w:right w:val="single" w:sz="4" w:space="0" w:color="auto"/>
            </w:tcBorders>
            <w:noWrap/>
            <w:vAlign w:val="center"/>
          </w:tcPr>
          <w:p w14:paraId="5DBA5B28"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5</w:t>
            </w:r>
          </w:p>
        </w:tc>
        <w:tc>
          <w:tcPr>
            <w:tcW w:w="850" w:type="dxa"/>
            <w:tcBorders>
              <w:top w:val="nil"/>
              <w:left w:val="nil"/>
              <w:bottom w:val="single" w:sz="4" w:space="0" w:color="auto"/>
              <w:right w:val="single" w:sz="4" w:space="0" w:color="auto"/>
            </w:tcBorders>
            <w:noWrap/>
            <w:vAlign w:val="center"/>
          </w:tcPr>
          <w:p w14:paraId="5147E2E0"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0</w:t>
            </w:r>
          </w:p>
        </w:tc>
        <w:tc>
          <w:tcPr>
            <w:tcW w:w="709" w:type="dxa"/>
            <w:tcBorders>
              <w:top w:val="nil"/>
              <w:left w:val="nil"/>
              <w:bottom w:val="single" w:sz="4" w:space="0" w:color="auto"/>
              <w:right w:val="single" w:sz="4" w:space="0" w:color="auto"/>
            </w:tcBorders>
            <w:noWrap/>
            <w:vAlign w:val="center"/>
          </w:tcPr>
          <w:p w14:paraId="4DD780F1"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0</w:t>
            </w:r>
          </w:p>
        </w:tc>
        <w:tc>
          <w:tcPr>
            <w:tcW w:w="749" w:type="dxa"/>
            <w:tcBorders>
              <w:top w:val="nil"/>
              <w:left w:val="nil"/>
              <w:bottom w:val="single" w:sz="4" w:space="0" w:color="auto"/>
              <w:right w:val="single" w:sz="4" w:space="0" w:color="auto"/>
            </w:tcBorders>
            <w:noWrap/>
            <w:vAlign w:val="center"/>
          </w:tcPr>
          <w:p w14:paraId="5F7A8806"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0</w:t>
            </w:r>
          </w:p>
        </w:tc>
      </w:tr>
      <w:tr w:rsidR="00986DE0" w:rsidRPr="00C35EAE" w14:paraId="5C6F7507" w14:textId="77777777" w:rsidTr="002060E8">
        <w:trPr>
          <w:trHeight w:val="285"/>
          <w:jc w:val="center"/>
        </w:trPr>
        <w:tc>
          <w:tcPr>
            <w:tcW w:w="3704" w:type="dxa"/>
            <w:tcBorders>
              <w:top w:val="single" w:sz="4" w:space="0" w:color="auto"/>
              <w:left w:val="single" w:sz="4" w:space="0" w:color="auto"/>
              <w:bottom w:val="single" w:sz="4" w:space="0" w:color="auto"/>
              <w:right w:val="single" w:sz="4" w:space="0" w:color="auto"/>
            </w:tcBorders>
            <w:noWrap/>
            <w:vAlign w:val="center"/>
            <w:hideMark/>
          </w:tcPr>
          <w:p w14:paraId="5FCCF21D" w14:textId="77777777" w:rsidR="00986DE0" w:rsidRPr="00C35EAE" w:rsidRDefault="00986DE0" w:rsidP="003C7140">
            <w:pPr>
              <w:spacing w:line="276" w:lineRule="auto"/>
              <w:jc w:val="both"/>
              <w:rPr>
                <w:rFonts w:ascii="Lato" w:hAnsi="Lato" w:cstheme="minorHAnsi"/>
                <w:sz w:val="20"/>
                <w:szCs w:val="20"/>
              </w:rPr>
            </w:pPr>
            <w:r w:rsidRPr="00C35EAE">
              <w:rPr>
                <w:rFonts w:ascii="Lato" w:hAnsi="Lato" w:cstheme="minorHAnsi"/>
                <w:sz w:val="20"/>
                <w:szCs w:val="20"/>
              </w:rPr>
              <w:t>30-44</w:t>
            </w:r>
          </w:p>
        </w:tc>
        <w:tc>
          <w:tcPr>
            <w:tcW w:w="1284" w:type="dxa"/>
            <w:tcBorders>
              <w:top w:val="single" w:sz="4" w:space="0" w:color="auto"/>
              <w:left w:val="single" w:sz="4" w:space="0" w:color="auto"/>
              <w:bottom w:val="single" w:sz="4" w:space="0" w:color="auto"/>
              <w:right w:val="single" w:sz="4" w:space="0" w:color="auto"/>
            </w:tcBorders>
            <w:noWrap/>
            <w:vAlign w:val="center"/>
          </w:tcPr>
          <w:p w14:paraId="54713DA4"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42</w:t>
            </w:r>
          </w:p>
        </w:tc>
        <w:tc>
          <w:tcPr>
            <w:tcW w:w="757" w:type="dxa"/>
            <w:tcBorders>
              <w:top w:val="single" w:sz="4" w:space="0" w:color="auto"/>
              <w:left w:val="nil"/>
              <w:bottom w:val="single" w:sz="4" w:space="0" w:color="auto"/>
              <w:right w:val="single" w:sz="4" w:space="0" w:color="auto"/>
            </w:tcBorders>
            <w:noWrap/>
            <w:vAlign w:val="center"/>
          </w:tcPr>
          <w:p w14:paraId="1756A721"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41</w:t>
            </w:r>
          </w:p>
        </w:tc>
        <w:tc>
          <w:tcPr>
            <w:tcW w:w="707" w:type="dxa"/>
            <w:tcBorders>
              <w:top w:val="single" w:sz="4" w:space="0" w:color="auto"/>
              <w:left w:val="nil"/>
              <w:bottom w:val="single" w:sz="4" w:space="0" w:color="auto"/>
              <w:right w:val="single" w:sz="4" w:space="0" w:color="auto"/>
            </w:tcBorders>
            <w:noWrap/>
            <w:vAlign w:val="center"/>
          </w:tcPr>
          <w:p w14:paraId="72565BB3"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36</w:t>
            </w:r>
          </w:p>
        </w:tc>
        <w:tc>
          <w:tcPr>
            <w:tcW w:w="773" w:type="dxa"/>
            <w:tcBorders>
              <w:top w:val="single" w:sz="4" w:space="0" w:color="auto"/>
              <w:left w:val="nil"/>
              <w:bottom w:val="single" w:sz="4" w:space="0" w:color="auto"/>
              <w:right w:val="single" w:sz="4" w:space="0" w:color="auto"/>
            </w:tcBorders>
            <w:noWrap/>
            <w:vAlign w:val="center"/>
          </w:tcPr>
          <w:p w14:paraId="7608E380"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5</w:t>
            </w:r>
          </w:p>
        </w:tc>
        <w:tc>
          <w:tcPr>
            <w:tcW w:w="850" w:type="dxa"/>
            <w:tcBorders>
              <w:top w:val="single" w:sz="4" w:space="0" w:color="auto"/>
              <w:left w:val="nil"/>
              <w:bottom w:val="single" w:sz="4" w:space="0" w:color="auto"/>
              <w:right w:val="single" w:sz="4" w:space="0" w:color="auto"/>
            </w:tcBorders>
            <w:noWrap/>
            <w:vAlign w:val="center"/>
          </w:tcPr>
          <w:p w14:paraId="4E0CA0E8"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w:t>
            </w:r>
          </w:p>
        </w:tc>
        <w:tc>
          <w:tcPr>
            <w:tcW w:w="709" w:type="dxa"/>
            <w:tcBorders>
              <w:top w:val="single" w:sz="4" w:space="0" w:color="auto"/>
              <w:left w:val="nil"/>
              <w:bottom w:val="single" w:sz="4" w:space="0" w:color="auto"/>
              <w:right w:val="single" w:sz="4" w:space="0" w:color="auto"/>
            </w:tcBorders>
            <w:noWrap/>
            <w:vAlign w:val="center"/>
          </w:tcPr>
          <w:p w14:paraId="5585C46A"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0</w:t>
            </w:r>
          </w:p>
        </w:tc>
        <w:tc>
          <w:tcPr>
            <w:tcW w:w="749" w:type="dxa"/>
            <w:tcBorders>
              <w:top w:val="single" w:sz="4" w:space="0" w:color="auto"/>
              <w:left w:val="nil"/>
              <w:bottom w:val="single" w:sz="4" w:space="0" w:color="auto"/>
              <w:right w:val="single" w:sz="4" w:space="0" w:color="auto"/>
            </w:tcBorders>
            <w:noWrap/>
            <w:vAlign w:val="center"/>
          </w:tcPr>
          <w:p w14:paraId="07CCF213"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w:t>
            </w:r>
          </w:p>
        </w:tc>
      </w:tr>
      <w:tr w:rsidR="00986DE0" w:rsidRPr="00C35EAE" w14:paraId="714B597B" w14:textId="77777777" w:rsidTr="003C7140">
        <w:trPr>
          <w:trHeight w:val="285"/>
          <w:jc w:val="center"/>
        </w:trPr>
        <w:tc>
          <w:tcPr>
            <w:tcW w:w="3704" w:type="dxa"/>
            <w:tcBorders>
              <w:top w:val="nil"/>
              <w:left w:val="single" w:sz="4" w:space="0" w:color="auto"/>
              <w:bottom w:val="single" w:sz="4" w:space="0" w:color="auto"/>
              <w:right w:val="single" w:sz="4" w:space="0" w:color="auto"/>
            </w:tcBorders>
            <w:noWrap/>
            <w:vAlign w:val="center"/>
            <w:hideMark/>
          </w:tcPr>
          <w:p w14:paraId="3AE97B3D" w14:textId="77777777" w:rsidR="00986DE0" w:rsidRPr="00C35EAE" w:rsidRDefault="00986DE0" w:rsidP="003C7140">
            <w:pPr>
              <w:spacing w:line="276" w:lineRule="auto"/>
              <w:jc w:val="both"/>
              <w:rPr>
                <w:rFonts w:ascii="Lato" w:hAnsi="Lato" w:cstheme="minorHAnsi"/>
                <w:sz w:val="20"/>
                <w:szCs w:val="20"/>
              </w:rPr>
            </w:pPr>
            <w:r w:rsidRPr="00C35EAE">
              <w:rPr>
                <w:rFonts w:ascii="Lato" w:hAnsi="Lato" w:cstheme="minorHAnsi"/>
                <w:sz w:val="20"/>
                <w:szCs w:val="20"/>
              </w:rPr>
              <w:t>45-64</w:t>
            </w:r>
          </w:p>
        </w:tc>
        <w:tc>
          <w:tcPr>
            <w:tcW w:w="1284" w:type="dxa"/>
            <w:tcBorders>
              <w:top w:val="nil"/>
              <w:left w:val="single" w:sz="4" w:space="0" w:color="auto"/>
              <w:bottom w:val="single" w:sz="4" w:space="0" w:color="auto"/>
              <w:right w:val="single" w:sz="4" w:space="0" w:color="auto"/>
            </w:tcBorders>
            <w:noWrap/>
            <w:vAlign w:val="center"/>
          </w:tcPr>
          <w:p w14:paraId="2A29AA01"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76</w:t>
            </w:r>
          </w:p>
        </w:tc>
        <w:tc>
          <w:tcPr>
            <w:tcW w:w="757" w:type="dxa"/>
            <w:tcBorders>
              <w:top w:val="nil"/>
              <w:left w:val="nil"/>
              <w:bottom w:val="single" w:sz="4" w:space="0" w:color="auto"/>
              <w:right w:val="single" w:sz="4" w:space="0" w:color="auto"/>
            </w:tcBorders>
            <w:noWrap/>
            <w:vAlign w:val="center"/>
          </w:tcPr>
          <w:p w14:paraId="1B6BAFD9"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74</w:t>
            </w:r>
          </w:p>
        </w:tc>
        <w:tc>
          <w:tcPr>
            <w:tcW w:w="707" w:type="dxa"/>
            <w:tcBorders>
              <w:top w:val="nil"/>
              <w:left w:val="nil"/>
              <w:bottom w:val="single" w:sz="4" w:space="0" w:color="auto"/>
              <w:right w:val="single" w:sz="4" w:space="0" w:color="auto"/>
            </w:tcBorders>
            <w:noWrap/>
            <w:vAlign w:val="center"/>
          </w:tcPr>
          <w:p w14:paraId="0D45D640"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65</w:t>
            </w:r>
          </w:p>
        </w:tc>
        <w:tc>
          <w:tcPr>
            <w:tcW w:w="773" w:type="dxa"/>
            <w:tcBorders>
              <w:top w:val="nil"/>
              <w:left w:val="nil"/>
              <w:bottom w:val="single" w:sz="4" w:space="0" w:color="auto"/>
              <w:right w:val="single" w:sz="4" w:space="0" w:color="auto"/>
            </w:tcBorders>
            <w:noWrap/>
            <w:vAlign w:val="center"/>
          </w:tcPr>
          <w:p w14:paraId="4B39147D"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9</w:t>
            </w:r>
          </w:p>
        </w:tc>
        <w:tc>
          <w:tcPr>
            <w:tcW w:w="850" w:type="dxa"/>
            <w:tcBorders>
              <w:top w:val="nil"/>
              <w:left w:val="nil"/>
              <w:bottom w:val="single" w:sz="4" w:space="0" w:color="auto"/>
              <w:right w:val="single" w:sz="4" w:space="0" w:color="auto"/>
            </w:tcBorders>
            <w:noWrap/>
            <w:vAlign w:val="center"/>
          </w:tcPr>
          <w:p w14:paraId="67D3E4F0"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2</w:t>
            </w:r>
          </w:p>
        </w:tc>
        <w:tc>
          <w:tcPr>
            <w:tcW w:w="709" w:type="dxa"/>
            <w:tcBorders>
              <w:top w:val="nil"/>
              <w:left w:val="nil"/>
              <w:bottom w:val="single" w:sz="4" w:space="0" w:color="auto"/>
              <w:right w:val="single" w:sz="4" w:space="0" w:color="auto"/>
            </w:tcBorders>
            <w:noWrap/>
            <w:vAlign w:val="center"/>
          </w:tcPr>
          <w:p w14:paraId="4702A9BF"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0</w:t>
            </w:r>
          </w:p>
        </w:tc>
        <w:tc>
          <w:tcPr>
            <w:tcW w:w="749" w:type="dxa"/>
            <w:tcBorders>
              <w:top w:val="nil"/>
              <w:left w:val="nil"/>
              <w:bottom w:val="single" w:sz="4" w:space="0" w:color="auto"/>
              <w:right w:val="single" w:sz="4" w:space="0" w:color="auto"/>
            </w:tcBorders>
            <w:noWrap/>
            <w:vAlign w:val="center"/>
          </w:tcPr>
          <w:p w14:paraId="4C36E711"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2</w:t>
            </w:r>
          </w:p>
        </w:tc>
      </w:tr>
      <w:tr w:rsidR="00986DE0" w:rsidRPr="00C35EAE" w14:paraId="7454F293" w14:textId="77777777" w:rsidTr="003C7140">
        <w:trPr>
          <w:trHeight w:val="285"/>
          <w:jc w:val="center"/>
        </w:trPr>
        <w:tc>
          <w:tcPr>
            <w:tcW w:w="3704" w:type="dxa"/>
            <w:tcBorders>
              <w:top w:val="nil"/>
              <w:left w:val="single" w:sz="4" w:space="0" w:color="auto"/>
              <w:bottom w:val="single" w:sz="4" w:space="0" w:color="auto"/>
              <w:right w:val="single" w:sz="4" w:space="0" w:color="auto"/>
            </w:tcBorders>
            <w:noWrap/>
            <w:vAlign w:val="center"/>
            <w:hideMark/>
          </w:tcPr>
          <w:p w14:paraId="72B4A982" w14:textId="77777777" w:rsidR="00986DE0" w:rsidRPr="00C35EAE" w:rsidRDefault="00986DE0" w:rsidP="003C7140">
            <w:pPr>
              <w:spacing w:line="276" w:lineRule="auto"/>
              <w:jc w:val="both"/>
              <w:rPr>
                <w:rFonts w:ascii="Lato" w:hAnsi="Lato" w:cstheme="minorHAnsi"/>
                <w:sz w:val="20"/>
                <w:szCs w:val="20"/>
              </w:rPr>
            </w:pPr>
            <w:r w:rsidRPr="00C35EAE">
              <w:rPr>
                <w:rFonts w:ascii="Lato" w:hAnsi="Lato" w:cstheme="minorHAnsi"/>
                <w:sz w:val="20"/>
                <w:szCs w:val="20"/>
              </w:rPr>
              <w:t>65 i więcej</w:t>
            </w:r>
          </w:p>
        </w:tc>
        <w:tc>
          <w:tcPr>
            <w:tcW w:w="1284" w:type="dxa"/>
            <w:tcBorders>
              <w:top w:val="nil"/>
              <w:left w:val="single" w:sz="4" w:space="0" w:color="auto"/>
              <w:bottom w:val="single" w:sz="4" w:space="0" w:color="auto"/>
              <w:right w:val="single" w:sz="4" w:space="0" w:color="auto"/>
            </w:tcBorders>
            <w:noWrap/>
            <w:vAlign w:val="center"/>
          </w:tcPr>
          <w:p w14:paraId="17D7DABD"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45</w:t>
            </w:r>
          </w:p>
        </w:tc>
        <w:tc>
          <w:tcPr>
            <w:tcW w:w="757" w:type="dxa"/>
            <w:tcBorders>
              <w:top w:val="nil"/>
              <w:left w:val="nil"/>
              <w:bottom w:val="single" w:sz="4" w:space="0" w:color="auto"/>
              <w:right w:val="single" w:sz="4" w:space="0" w:color="auto"/>
            </w:tcBorders>
            <w:noWrap/>
            <w:vAlign w:val="center"/>
          </w:tcPr>
          <w:p w14:paraId="4EEF3789"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44</w:t>
            </w:r>
          </w:p>
        </w:tc>
        <w:tc>
          <w:tcPr>
            <w:tcW w:w="707" w:type="dxa"/>
            <w:tcBorders>
              <w:top w:val="nil"/>
              <w:left w:val="nil"/>
              <w:bottom w:val="single" w:sz="4" w:space="0" w:color="auto"/>
              <w:right w:val="single" w:sz="4" w:space="0" w:color="auto"/>
            </w:tcBorders>
            <w:noWrap/>
            <w:vAlign w:val="center"/>
          </w:tcPr>
          <w:p w14:paraId="4A32696C"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32</w:t>
            </w:r>
          </w:p>
        </w:tc>
        <w:tc>
          <w:tcPr>
            <w:tcW w:w="773" w:type="dxa"/>
            <w:tcBorders>
              <w:top w:val="nil"/>
              <w:left w:val="nil"/>
              <w:bottom w:val="single" w:sz="4" w:space="0" w:color="auto"/>
              <w:right w:val="single" w:sz="4" w:space="0" w:color="auto"/>
            </w:tcBorders>
            <w:noWrap/>
            <w:vAlign w:val="center"/>
          </w:tcPr>
          <w:p w14:paraId="0B03283C"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12</w:t>
            </w:r>
          </w:p>
        </w:tc>
        <w:tc>
          <w:tcPr>
            <w:tcW w:w="850" w:type="dxa"/>
            <w:tcBorders>
              <w:top w:val="nil"/>
              <w:left w:val="nil"/>
              <w:bottom w:val="single" w:sz="4" w:space="0" w:color="auto"/>
              <w:right w:val="single" w:sz="4" w:space="0" w:color="auto"/>
            </w:tcBorders>
            <w:noWrap/>
            <w:vAlign w:val="center"/>
          </w:tcPr>
          <w:p w14:paraId="132B2AAA"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0</w:t>
            </w:r>
          </w:p>
        </w:tc>
        <w:tc>
          <w:tcPr>
            <w:tcW w:w="709" w:type="dxa"/>
            <w:tcBorders>
              <w:top w:val="nil"/>
              <w:left w:val="nil"/>
              <w:bottom w:val="single" w:sz="4" w:space="0" w:color="auto"/>
              <w:right w:val="single" w:sz="4" w:space="0" w:color="auto"/>
            </w:tcBorders>
            <w:noWrap/>
            <w:vAlign w:val="center"/>
          </w:tcPr>
          <w:p w14:paraId="7A107D51"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w:t>
            </w:r>
          </w:p>
        </w:tc>
        <w:tc>
          <w:tcPr>
            <w:tcW w:w="749" w:type="dxa"/>
            <w:tcBorders>
              <w:top w:val="nil"/>
              <w:left w:val="nil"/>
              <w:bottom w:val="single" w:sz="4" w:space="0" w:color="auto"/>
              <w:right w:val="single" w:sz="4" w:space="0" w:color="auto"/>
            </w:tcBorders>
            <w:noWrap/>
            <w:vAlign w:val="center"/>
          </w:tcPr>
          <w:p w14:paraId="65A48A27" w14:textId="77777777" w:rsidR="00986DE0" w:rsidRPr="00C35EAE" w:rsidRDefault="00986DE0" w:rsidP="003C7140">
            <w:pPr>
              <w:spacing w:line="276" w:lineRule="auto"/>
              <w:jc w:val="center"/>
              <w:rPr>
                <w:rFonts w:ascii="Lato" w:hAnsi="Lato" w:cstheme="minorHAnsi"/>
                <w:sz w:val="20"/>
                <w:szCs w:val="20"/>
              </w:rPr>
            </w:pPr>
            <w:r w:rsidRPr="00C35EAE">
              <w:rPr>
                <w:rFonts w:ascii="Lato" w:hAnsi="Lato" w:cstheme="minorHAnsi"/>
                <w:sz w:val="20"/>
                <w:szCs w:val="20"/>
              </w:rPr>
              <w:t>1</w:t>
            </w:r>
          </w:p>
        </w:tc>
      </w:tr>
    </w:tbl>
    <w:p w14:paraId="66CE5F20" w14:textId="77777777" w:rsidR="008E3AEE" w:rsidRPr="00B4716C" w:rsidRDefault="008E3AEE" w:rsidP="008E3AEE">
      <w:pPr>
        <w:spacing w:line="360" w:lineRule="auto"/>
        <w:rPr>
          <w:rFonts w:ascii="Lato" w:hAnsi="Lato"/>
          <w:sz w:val="22"/>
          <w:szCs w:val="22"/>
        </w:rPr>
      </w:pPr>
      <w:r w:rsidRPr="00B4716C">
        <w:rPr>
          <w:rFonts w:ascii="Lato" w:hAnsi="Lato"/>
          <w:sz w:val="22"/>
          <w:szCs w:val="22"/>
        </w:rPr>
        <w:lastRenderedPageBreak/>
        <w:t>W 2025 r. w woj. zachodniopomorskim odnotowano 178 przypadków zachorowań na gruźlicę (o 19 przypadków mniej niż w roku 2024). W analizowanym okresie nadzorem Państwowej Inspekcji Sanitarnej w regionie objęto 340 os</w:t>
      </w:r>
      <w:r>
        <w:rPr>
          <w:rFonts w:ascii="Lato" w:hAnsi="Lato"/>
          <w:sz w:val="22"/>
          <w:szCs w:val="22"/>
        </w:rPr>
        <w:t>ób</w:t>
      </w:r>
      <w:r w:rsidRPr="00B4716C">
        <w:rPr>
          <w:rFonts w:ascii="Lato" w:hAnsi="Lato"/>
          <w:sz w:val="22"/>
          <w:szCs w:val="22"/>
        </w:rPr>
        <w:t xml:space="preserve"> z najbliższego otoczenia chorych na gruźlicę.</w:t>
      </w:r>
    </w:p>
    <w:p w14:paraId="16243C79" w14:textId="77777777" w:rsidR="008E3AEE" w:rsidRPr="00383E25" w:rsidRDefault="008E3AEE" w:rsidP="008E3AEE">
      <w:pPr>
        <w:spacing w:line="360" w:lineRule="auto"/>
        <w:rPr>
          <w:bCs/>
          <w:i/>
          <w:iCs/>
          <w:color w:val="EE0000"/>
          <w:sz w:val="22"/>
          <w:szCs w:val="22"/>
          <w:highlight w:val="yellow"/>
        </w:rPr>
      </w:pPr>
      <w:r w:rsidRPr="00B4716C">
        <w:rPr>
          <w:rFonts w:ascii="Lato" w:hAnsi="Lato"/>
          <w:sz w:val="22"/>
          <w:szCs w:val="22"/>
        </w:rPr>
        <w:t xml:space="preserve">Największą liczbę przypadków gruźlicy w 2025 roku, tak jak w poprzednich latach odnotowano w grupie wiekowej 45-64 lata- ponad 42% zachorowań. Częściej na gruźlicę chorowali mężczyźni (blisko 75%) -tabela </w:t>
      </w:r>
      <w:r>
        <w:rPr>
          <w:rFonts w:ascii="Lato" w:hAnsi="Lato"/>
          <w:sz w:val="22"/>
          <w:szCs w:val="22"/>
        </w:rPr>
        <w:t>12</w:t>
      </w:r>
      <w:r w:rsidRPr="00B4716C">
        <w:rPr>
          <w:rFonts w:ascii="Lato" w:hAnsi="Lato"/>
          <w:sz w:val="22"/>
          <w:szCs w:val="22"/>
        </w:rPr>
        <w:t>.</w:t>
      </w:r>
    </w:p>
    <w:p w14:paraId="1583498B" w14:textId="77777777" w:rsidR="00B327E0" w:rsidRPr="00EA0E18" w:rsidRDefault="00B327E0" w:rsidP="00986DE0">
      <w:pPr>
        <w:spacing w:before="240" w:line="276" w:lineRule="auto"/>
        <w:jc w:val="both"/>
        <w:outlineLvl w:val="1"/>
        <w:rPr>
          <w:rFonts w:ascii="Lato" w:hAnsi="Lato"/>
          <w:color w:val="000000" w:themeColor="text1"/>
          <w:sz w:val="22"/>
          <w:szCs w:val="22"/>
        </w:rPr>
      </w:pPr>
    </w:p>
    <w:p w14:paraId="5D0D43FD" w14:textId="00807C97" w:rsidR="00380507" w:rsidRDefault="00986DE0">
      <w:pPr>
        <w:pStyle w:val="Nagwek3"/>
        <w:numPr>
          <w:ilvl w:val="1"/>
          <w:numId w:val="9"/>
        </w:numPr>
        <w:spacing w:before="0" w:after="0" w:line="360" w:lineRule="auto"/>
        <w:ind w:right="284" w:hanging="284"/>
        <w:rPr>
          <w:color w:val="auto"/>
          <w:szCs w:val="22"/>
        </w:rPr>
      </w:pPr>
      <w:bookmarkStart w:id="54" w:name="_Toc225235852"/>
      <w:bookmarkStart w:id="55" w:name="_Toc225859039"/>
      <w:r w:rsidRPr="00665EA1">
        <w:rPr>
          <w:color w:val="auto"/>
          <w:szCs w:val="22"/>
        </w:rPr>
        <w:t>Zakażenie wirusem HIV, choroba AIDS</w:t>
      </w:r>
      <w:bookmarkEnd w:id="53"/>
      <w:bookmarkEnd w:id="54"/>
      <w:bookmarkEnd w:id="55"/>
    </w:p>
    <w:p w14:paraId="01138319" w14:textId="77777777" w:rsidR="00EA0E18" w:rsidRPr="00EA0E18" w:rsidRDefault="00EA0E18" w:rsidP="00EA0E18">
      <w:pPr>
        <w:rPr>
          <w:rFonts w:ascii="Lato" w:hAnsi="Lato"/>
          <w:sz w:val="22"/>
          <w:szCs w:val="22"/>
        </w:rPr>
      </w:pPr>
    </w:p>
    <w:p w14:paraId="78C2822E" w14:textId="29C24402" w:rsidR="00986DE0" w:rsidRPr="00B4716C" w:rsidRDefault="00986DE0" w:rsidP="00380507">
      <w:pPr>
        <w:spacing w:line="360" w:lineRule="auto"/>
        <w:rPr>
          <w:rFonts w:ascii="Lato" w:eastAsia="Calibri" w:hAnsi="Lato" w:cstheme="minorHAnsi"/>
          <w:color w:val="000000" w:themeColor="text1"/>
          <w:sz w:val="22"/>
          <w:szCs w:val="22"/>
        </w:rPr>
      </w:pPr>
      <w:r w:rsidRPr="00B4716C">
        <w:rPr>
          <w:rFonts w:ascii="Lato" w:eastAsia="Calibri" w:hAnsi="Lato" w:cs="Calibri"/>
          <w:color w:val="000000" w:themeColor="text1"/>
          <w:sz w:val="22"/>
          <w:szCs w:val="22"/>
        </w:rPr>
        <w:t>W 2025 r. w woj. zachodniopomorskim odnotowano wzrost liczby zakażeń HIV w stosunku do</w:t>
      </w:r>
      <w:r w:rsidR="003B5B49">
        <w:rPr>
          <w:rFonts w:ascii="Lato" w:eastAsia="Calibri" w:hAnsi="Lato" w:cs="Calibri"/>
          <w:color w:val="000000" w:themeColor="text1"/>
          <w:sz w:val="22"/>
          <w:szCs w:val="22"/>
        </w:rPr>
        <w:t> </w:t>
      </w:r>
      <w:r w:rsidRPr="00B4716C">
        <w:rPr>
          <w:rFonts w:ascii="Lato" w:eastAsia="Calibri" w:hAnsi="Lato" w:cs="Calibri"/>
          <w:color w:val="000000" w:themeColor="text1"/>
          <w:sz w:val="22"/>
          <w:szCs w:val="22"/>
        </w:rPr>
        <w:t>roku ubiegłego o ponad 32%.</w:t>
      </w:r>
    </w:p>
    <w:p w14:paraId="59092488" w14:textId="77777777" w:rsidR="00986DE0" w:rsidRPr="00B4716C" w:rsidRDefault="00986DE0" w:rsidP="00380507">
      <w:pPr>
        <w:spacing w:line="360" w:lineRule="auto"/>
        <w:rPr>
          <w:rFonts w:ascii="Lato" w:eastAsia="Calibri" w:hAnsi="Lato" w:cstheme="minorHAnsi"/>
          <w:color w:val="000000" w:themeColor="text1"/>
          <w:sz w:val="22"/>
          <w:szCs w:val="22"/>
        </w:rPr>
      </w:pPr>
      <w:r w:rsidRPr="00B4716C">
        <w:rPr>
          <w:rFonts w:ascii="Lato" w:hAnsi="Lato" w:cstheme="minorHAnsi"/>
          <w:color w:val="000000" w:themeColor="text1"/>
          <w:sz w:val="22"/>
          <w:szCs w:val="22"/>
        </w:rPr>
        <w:t>Rozkład zakażeń z podziałem</w:t>
      </w:r>
      <w:r w:rsidRPr="00B4716C">
        <w:rPr>
          <w:rFonts w:ascii="Lato" w:eastAsia="Calibri" w:hAnsi="Lato" w:cstheme="minorHAnsi"/>
          <w:color w:val="000000" w:themeColor="text1"/>
          <w:sz w:val="22"/>
          <w:szCs w:val="22"/>
        </w:rPr>
        <w:t xml:space="preserve"> na grupy wiekowe:</w:t>
      </w:r>
    </w:p>
    <w:p w14:paraId="4ECB5F21" w14:textId="77777777" w:rsidR="00986DE0" w:rsidRPr="00B4716C" w:rsidRDefault="00986DE0">
      <w:pPr>
        <w:numPr>
          <w:ilvl w:val="0"/>
          <w:numId w:val="49"/>
        </w:numPr>
        <w:spacing w:line="360" w:lineRule="auto"/>
        <w:rPr>
          <w:rFonts w:ascii="Lato" w:eastAsia="Calibri" w:hAnsi="Lato" w:cstheme="minorHAnsi"/>
          <w:color w:val="000000" w:themeColor="text1"/>
          <w:sz w:val="22"/>
          <w:szCs w:val="22"/>
        </w:rPr>
      </w:pPr>
      <w:r w:rsidRPr="00B4716C">
        <w:rPr>
          <w:rFonts w:ascii="Lato" w:eastAsia="Calibri" w:hAnsi="Lato" w:cstheme="minorHAnsi"/>
          <w:color w:val="000000" w:themeColor="text1"/>
          <w:sz w:val="22"/>
          <w:szCs w:val="22"/>
        </w:rPr>
        <w:t>poniżej 20 r.ż. - 1 osoba (0,7 %),</w:t>
      </w:r>
    </w:p>
    <w:p w14:paraId="6B0D5A24" w14:textId="77777777" w:rsidR="00986DE0" w:rsidRPr="00B4716C" w:rsidRDefault="00986DE0">
      <w:pPr>
        <w:numPr>
          <w:ilvl w:val="0"/>
          <w:numId w:val="49"/>
        </w:numPr>
        <w:spacing w:line="360" w:lineRule="auto"/>
        <w:rPr>
          <w:rFonts w:ascii="Lato" w:eastAsia="Calibri" w:hAnsi="Lato" w:cstheme="minorHAnsi"/>
          <w:color w:val="000000" w:themeColor="text1"/>
          <w:sz w:val="22"/>
          <w:szCs w:val="22"/>
        </w:rPr>
      </w:pPr>
      <w:r w:rsidRPr="00B4716C">
        <w:rPr>
          <w:rFonts w:ascii="Lato" w:eastAsia="Calibri" w:hAnsi="Lato" w:cstheme="minorHAnsi"/>
          <w:color w:val="000000" w:themeColor="text1"/>
          <w:sz w:val="22"/>
          <w:szCs w:val="22"/>
        </w:rPr>
        <w:t>w przedziale wiekowym 20-29 lat - 32 osoby (22,5 %),</w:t>
      </w:r>
    </w:p>
    <w:p w14:paraId="7A47F928" w14:textId="77777777" w:rsidR="00986DE0" w:rsidRPr="00B4716C" w:rsidRDefault="00986DE0">
      <w:pPr>
        <w:numPr>
          <w:ilvl w:val="0"/>
          <w:numId w:val="49"/>
        </w:numPr>
        <w:spacing w:line="360" w:lineRule="auto"/>
        <w:rPr>
          <w:rFonts w:ascii="Lato" w:eastAsia="Calibri" w:hAnsi="Lato" w:cstheme="minorHAnsi"/>
          <w:color w:val="000000" w:themeColor="text1"/>
          <w:sz w:val="22"/>
          <w:szCs w:val="22"/>
        </w:rPr>
      </w:pPr>
      <w:r w:rsidRPr="00B4716C">
        <w:rPr>
          <w:rFonts w:ascii="Lato" w:eastAsia="Calibri" w:hAnsi="Lato" w:cstheme="minorHAnsi"/>
          <w:color w:val="000000" w:themeColor="text1"/>
          <w:sz w:val="22"/>
          <w:szCs w:val="22"/>
        </w:rPr>
        <w:t>w przedziale wiekowym 30-39 lat -  48 osób (33,8 %),</w:t>
      </w:r>
    </w:p>
    <w:p w14:paraId="362E6AE5" w14:textId="77777777" w:rsidR="00986DE0" w:rsidRPr="00B4716C" w:rsidRDefault="00986DE0">
      <w:pPr>
        <w:numPr>
          <w:ilvl w:val="0"/>
          <w:numId w:val="49"/>
        </w:numPr>
        <w:spacing w:line="360" w:lineRule="auto"/>
        <w:rPr>
          <w:rFonts w:ascii="Lato" w:eastAsia="Calibri" w:hAnsi="Lato" w:cstheme="minorHAnsi"/>
          <w:color w:val="000000" w:themeColor="text1"/>
          <w:sz w:val="22"/>
          <w:szCs w:val="22"/>
        </w:rPr>
      </w:pPr>
      <w:r w:rsidRPr="00B4716C">
        <w:rPr>
          <w:rFonts w:ascii="Lato" w:eastAsia="Calibri" w:hAnsi="Lato" w:cstheme="minorHAnsi"/>
          <w:color w:val="000000" w:themeColor="text1"/>
          <w:sz w:val="22"/>
          <w:szCs w:val="22"/>
        </w:rPr>
        <w:t>w przedziale wiekowym 40-49 lat - 34 osoby (24 %),</w:t>
      </w:r>
    </w:p>
    <w:p w14:paraId="2DC7944E" w14:textId="77777777" w:rsidR="00986DE0" w:rsidRPr="00B4716C" w:rsidRDefault="00986DE0">
      <w:pPr>
        <w:numPr>
          <w:ilvl w:val="0"/>
          <w:numId w:val="49"/>
        </w:numPr>
        <w:spacing w:line="360" w:lineRule="auto"/>
        <w:rPr>
          <w:rFonts w:ascii="Lato" w:eastAsia="Calibri" w:hAnsi="Lato" w:cstheme="minorHAnsi"/>
          <w:color w:val="000000" w:themeColor="text1"/>
          <w:sz w:val="22"/>
          <w:szCs w:val="22"/>
        </w:rPr>
      </w:pPr>
      <w:r w:rsidRPr="00B4716C">
        <w:rPr>
          <w:rFonts w:ascii="Lato" w:eastAsia="Calibri" w:hAnsi="Lato" w:cstheme="minorHAnsi"/>
          <w:color w:val="000000" w:themeColor="text1"/>
          <w:sz w:val="22"/>
          <w:szCs w:val="22"/>
        </w:rPr>
        <w:t>w przedziale wiekowym 50-59 lat -  20 osób (14,1 %),</w:t>
      </w:r>
    </w:p>
    <w:p w14:paraId="5C914841" w14:textId="77777777" w:rsidR="00986DE0" w:rsidRPr="00B4716C" w:rsidRDefault="00986DE0">
      <w:pPr>
        <w:numPr>
          <w:ilvl w:val="0"/>
          <w:numId w:val="49"/>
        </w:numPr>
        <w:spacing w:line="360" w:lineRule="auto"/>
        <w:rPr>
          <w:rFonts w:ascii="Lato" w:eastAsia="Calibri" w:hAnsi="Lato" w:cstheme="minorHAnsi"/>
          <w:color w:val="000000" w:themeColor="text1"/>
          <w:sz w:val="22"/>
          <w:szCs w:val="22"/>
        </w:rPr>
      </w:pPr>
      <w:r w:rsidRPr="00B4716C">
        <w:rPr>
          <w:rFonts w:ascii="Lato" w:eastAsia="Calibri" w:hAnsi="Lato" w:cstheme="minorHAnsi"/>
          <w:color w:val="000000" w:themeColor="text1"/>
          <w:sz w:val="22"/>
          <w:szCs w:val="22"/>
        </w:rPr>
        <w:t>w przedziale wiekowym 60-69 lat -  2 osoby (1,4 %),</w:t>
      </w:r>
    </w:p>
    <w:p w14:paraId="4C8DD03C" w14:textId="77777777" w:rsidR="00986DE0" w:rsidRDefault="00986DE0">
      <w:pPr>
        <w:numPr>
          <w:ilvl w:val="0"/>
          <w:numId w:val="49"/>
        </w:numPr>
        <w:spacing w:line="360" w:lineRule="auto"/>
        <w:rPr>
          <w:rFonts w:ascii="Lato" w:eastAsia="Calibri" w:hAnsi="Lato" w:cstheme="minorHAnsi"/>
          <w:color w:val="000000" w:themeColor="text1"/>
          <w:sz w:val="22"/>
          <w:szCs w:val="22"/>
        </w:rPr>
      </w:pPr>
      <w:r w:rsidRPr="00B4716C">
        <w:rPr>
          <w:rFonts w:ascii="Lato" w:eastAsia="Calibri" w:hAnsi="Lato" w:cstheme="minorHAnsi"/>
          <w:color w:val="000000" w:themeColor="text1"/>
          <w:sz w:val="22"/>
          <w:szCs w:val="22"/>
        </w:rPr>
        <w:t>5 osób - brak danych (3,5%).</w:t>
      </w:r>
    </w:p>
    <w:p w14:paraId="230B5652" w14:textId="77777777" w:rsidR="008E3AEE" w:rsidRPr="00B4716C" w:rsidRDefault="008E3AEE" w:rsidP="008E3AEE">
      <w:pPr>
        <w:spacing w:line="360" w:lineRule="auto"/>
        <w:ind w:left="720"/>
        <w:rPr>
          <w:rFonts w:ascii="Lato" w:eastAsia="Calibri" w:hAnsi="Lato" w:cstheme="minorHAnsi"/>
          <w:color w:val="000000" w:themeColor="text1"/>
          <w:sz w:val="22"/>
          <w:szCs w:val="22"/>
        </w:rPr>
      </w:pPr>
    </w:p>
    <w:p w14:paraId="31E6C65D" w14:textId="230E5349" w:rsidR="00986DE0" w:rsidRPr="0034110A" w:rsidRDefault="0034110A" w:rsidP="0034110A">
      <w:pPr>
        <w:pStyle w:val="Legenda"/>
        <w:rPr>
          <w:rFonts w:ascii="Lato" w:hAnsi="Lato"/>
          <w:b w:val="0"/>
          <w:bCs w:val="0"/>
          <w:i/>
          <w:iCs/>
          <w:color w:val="000000" w:themeColor="text1"/>
          <w:sz w:val="18"/>
          <w:szCs w:val="18"/>
        </w:rPr>
      </w:pPr>
      <w:bookmarkStart w:id="56" w:name="_Toc225859369"/>
      <w:r w:rsidRPr="0034110A">
        <w:rPr>
          <w:rFonts w:ascii="Lato" w:hAnsi="Lato"/>
          <w:b w:val="0"/>
          <w:bCs w:val="0"/>
          <w:sz w:val="18"/>
          <w:szCs w:val="18"/>
        </w:rPr>
        <w:t xml:space="preserve">Tabela </w:t>
      </w:r>
      <w:r w:rsidRPr="0034110A">
        <w:rPr>
          <w:rFonts w:ascii="Lato" w:hAnsi="Lato"/>
          <w:b w:val="0"/>
          <w:bCs w:val="0"/>
          <w:sz w:val="18"/>
          <w:szCs w:val="18"/>
        </w:rPr>
        <w:fldChar w:fldCharType="begin"/>
      </w:r>
      <w:r w:rsidRPr="0034110A">
        <w:rPr>
          <w:rFonts w:ascii="Lato" w:hAnsi="Lato"/>
          <w:b w:val="0"/>
          <w:bCs w:val="0"/>
          <w:sz w:val="18"/>
          <w:szCs w:val="18"/>
        </w:rPr>
        <w:instrText xml:space="preserve"> SEQ Tabela \* ARABIC </w:instrText>
      </w:r>
      <w:r w:rsidRPr="0034110A">
        <w:rPr>
          <w:rFonts w:ascii="Lato" w:hAnsi="Lato"/>
          <w:b w:val="0"/>
          <w:bCs w:val="0"/>
          <w:sz w:val="18"/>
          <w:szCs w:val="18"/>
        </w:rPr>
        <w:fldChar w:fldCharType="separate"/>
      </w:r>
      <w:r w:rsidR="002A3179">
        <w:rPr>
          <w:rFonts w:ascii="Lato" w:hAnsi="Lato"/>
          <w:b w:val="0"/>
          <w:bCs w:val="0"/>
          <w:noProof/>
          <w:sz w:val="18"/>
          <w:szCs w:val="18"/>
        </w:rPr>
        <w:t>13</w:t>
      </w:r>
      <w:r w:rsidRPr="0034110A">
        <w:rPr>
          <w:rFonts w:ascii="Lato" w:hAnsi="Lato"/>
          <w:b w:val="0"/>
          <w:bCs w:val="0"/>
          <w:sz w:val="18"/>
          <w:szCs w:val="18"/>
        </w:rPr>
        <w:fldChar w:fldCharType="end"/>
      </w:r>
      <w:r w:rsidRPr="0034110A">
        <w:rPr>
          <w:rFonts w:ascii="Lato" w:hAnsi="Lato"/>
          <w:b w:val="0"/>
          <w:bCs w:val="0"/>
          <w:sz w:val="18"/>
          <w:szCs w:val="18"/>
        </w:rPr>
        <w:t>. Liczba zakażeń HIV, zachorowań na AIDS i zgonów w woj. zachodniopomorskim w latach 1985-2025.</w:t>
      </w:r>
      <w:bookmarkEnd w:id="56"/>
    </w:p>
    <w:tbl>
      <w:tblPr>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Tabela przedstawia liczbę zakażeń HIV, zachorowań na AIDS i zgonów w województwie zachodniopomorskim w latach 1985-2022. "/>
        <w:tblDescription w:val="W 2022 roku w województwie zachodniopomorskim zarejestrowano 232 nowe przypadki zakażeń HIV, 9 zachorowań na AIDS oraz 4 zgony z powodu AIDS."/>
      </w:tblPr>
      <w:tblGrid>
        <w:gridCol w:w="846"/>
        <w:gridCol w:w="1134"/>
        <w:gridCol w:w="984"/>
        <w:gridCol w:w="792"/>
        <w:gridCol w:w="938"/>
        <w:gridCol w:w="865"/>
        <w:gridCol w:w="748"/>
        <w:gridCol w:w="982"/>
        <w:gridCol w:w="865"/>
        <w:gridCol w:w="865"/>
      </w:tblGrid>
      <w:tr w:rsidR="00986DE0" w:rsidRPr="00C35EAE" w14:paraId="5003CC0A" w14:textId="77777777" w:rsidTr="00130F95">
        <w:tc>
          <w:tcPr>
            <w:tcW w:w="846" w:type="dxa"/>
            <w:vMerge w:val="restart"/>
            <w:shd w:val="clear" w:color="auto" w:fill="D9D9D9" w:themeFill="background1" w:themeFillShade="D9"/>
            <w:vAlign w:val="center"/>
          </w:tcPr>
          <w:p w14:paraId="7D549AEC" w14:textId="77777777" w:rsidR="00986DE0" w:rsidRPr="00190A8C" w:rsidRDefault="00986DE0" w:rsidP="003C7140">
            <w:pPr>
              <w:tabs>
                <w:tab w:val="left" w:pos="851"/>
              </w:tabs>
              <w:jc w:val="center"/>
              <w:rPr>
                <w:rFonts w:ascii="Lato" w:hAnsi="Lato" w:cstheme="minorHAnsi"/>
                <w:b/>
                <w:bCs/>
                <w:color w:val="000000" w:themeColor="text1"/>
                <w:sz w:val="18"/>
                <w:szCs w:val="18"/>
              </w:rPr>
            </w:pPr>
            <w:r w:rsidRPr="00190A8C">
              <w:rPr>
                <w:rFonts w:ascii="Lato" w:hAnsi="Lato" w:cstheme="minorHAnsi"/>
                <w:b/>
                <w:bCs/>
                <w:color w:val="000000" w:themeColor="text1"/>
                <w:sz w:val="18"/>
                <w:szCs w:val="18"/>
              </w:rPr>
              <w:t>Lata</w:t>
            </w:r>
          </w:p>
        </w:tc>
        <w:tc>
          <w:tcPr>
            <w:tcW w:w="2910" w:type="dxa"/>
            <w:gridSpan w:val="3"/>
            <w:tcBorders>
              <w:right w:val="single" w:sz="4" w:space="0" w:color="auto"/>
            </w:tcBorders>
            <w:shd w:val="clear" w:color="auto" w:fill="D9D9D9" w:themeFill="background1" w:themeFillShade="D9"/>
            <w:vAlign w:val="center"/>
          </w:tcPr>
          <w:p w14:paraId="31C85854" w14:textId="77777777" w:rsidR="00986DE0" w:rsidRPr="00190A8C" w:rsidRDefault="00986DE0" w:rsidP="003C7140">
            <w:pPr>
              <w:tabs>
                <w:tab w:val="left" w:pos="851"/>
              </w:tabs>
              <w:jc w:val="center"/>
              <w:rPr>
                <w:rFonts w:ascii="Lato" w:hAnsi="Lato" w:cstheme="minorHAnsi"/>
                <w:b/>
                <w:bCs/>
                <w:color w:val="000000" w:themeColor="text1"/>
                <w:sz w:val="18"/>
                <w:szCs w:val="18"/>
              </w:rPr>
            </w:pPr>
            <w:r w:rsidRPr="00190A8C">
              <w:rPr>
                <w:rFonts w:ascii="Lato" w:hAnsi="Lato" w:cstheme="minorHAnsi"/>
                <w:b/>
                <w:bCs/>
                <w:color w:val="000000" w:themeColor="text1"/>
                <w:sz w:val="18"/>
                <w:szCs w:val="18"/>
              </w:rPr>
              <w:t>zakażenia HIV</w:t>
            </w:r>
          </w:p>
        </w:tc>
        <w:tc>
          <w:tcPr>
            <w:tcW w:w="2551" w:type="dxa"/>
            <w:gridSpan w:val="3"/>
            <w:tcBorders>
              <w:left w:val="single" w:sz="4" w:space="0" w:color="auto"/>
              <w:right w:val="single" w:sz="4" w:space="0" w:color="auto"/>
            </w:tcBorders>
            <w:shd w:val="clear" w:color="auto" w:fill="D9D9D9" w:themeFill="background1" w:themeFillShade="D9"/>
            <w:vAlign w:val="center"/>
          </w:tcPr>
          <w:p w14:paraId="6DF16D73" w14:textId="77777777" w:rsidR="00986DE0" w:rsidRPr="00190A8C" w:rsidRDefault="00986DE0" w:rsidP="003C7140">
            <w:pPr>
              <w:tabs>
                <w:tab w:val="left" w:pos="851"/>
              </w:tabs>
              <w:jc w:val="center"/>
              <w:rPr>
                <w:rFonts w:ascii="Lato" w:hAnsi="Lato" w:cstheme="minorHAnsi"/>
                <w:b/>
                <w:bCs/>
                <w:color w:val="000000" w:themeColor="text1"/>
                <w:sz w:val="18"/>
                <w:szCs w:val="18"/>
              </w:rPr>
            </w:pPr>
            <w:r w:rsidRPr="00190A8C">
              <w:rPr>
                <w:rFonts w:ascii="Lato" w:hAnsi="Lato" w:cstheme="minorHAnsi"/>
                <w:b/>
                <w:bCs/>
                <w:color w:val="000000" w:themeColor="text1"/>
                <w:sz w:val="18"/>
                <w:szCs w:val="18"/>
              </w:rPr>
              <w:t>AIDS</w:t>
            </w:r>
          </w:p>
        </w:tc>
        <w:tc>
          <w:tcPr>
            <w:tcW w:w="2712" w:type="dxa"/>
            <w:gridSpan w:val="3"/>
            <w:tcBorders>
              <w:left w:val="single" w:sz="4" w:space="0" w:color="auto"/>
            </w:tcBorders>
            <w:shd w:val="clear" w:color="auto" w:fill="D9D9D9" w:themeFill="background1" w:themeFillShade="D9"/>
            <w:vAlign w:val="center"/>
          </w:tcPr>
          <w:p w14:paraId="6200B3EF" w14:textId="77777777" w:rsidR="00986DE0" w:rsidRPr="00190A8C" w:rsidRDefault="00986DE0" w:rsidP="003C7140">
            <w:pPr>
              <w:tabs>
                <w:tab w:val="left" w:pos="851"/>
              </w:tabs>
              <w:jc w:val="center"/>
              <w:rPr>
                <w:rFonts w:ascii="Lato" w:hAnsi="Lato" w:cstheme="minorHAnsi"/>
                <w:b/>
                <w:bCs/>
                <w:color w:val="000000" w:themeColor="text1"/>
                <w:sz w:val="18"/>
                <w:szCs w:val="18"/>
              </w:rPr>
            </w:pPr>
            <w:r w:rsidRPr="00190A8C">
              <w:rPr>
                <w:rFonts w:ascii="Lato" w:hAnsi="Lato" w:cstheme="minorHAnsi"/>
                <w:b/>
                <w:bCs/>
                <w:color w:val="000000" w:themeColor="text1"/>
                <w:sz w:val="18"/>
                <w:szCs w:val="18"/>
              </w:rPr>
              <w:t>Zgony</w:t>
            </w:r>
          </w:p>
        </w:tc>
      </w:tr>
      <w:tr w:rsidR="00986DE0" w:rsidRPr="00C35EAE" w14:paraId="0FF44EAD" w14:textId="77777777" w:rsidTr="00130F95">
        <w:tc>
          <w:tcPr>
            <w:tcW w:w="846" w:type="dxa"/>
            <w:vMerge/>
            <w:tcBorders>
              <w:bottom w:val="single" w:sz="4" w:space="0" w:color="auto"/>
            </w:tcBorders>
            <w:shd w:val="clear" w:color="auto" w:fill="D9D9D9" w:themeFill="background1" w:themeFillShade="D9"/>
            <w:vAlign w:val="center"/>
          </w:tcPr>
          <w:p w14:paraId="3CB76AE8" w14:textId="77777777" w:rsidR="00986DE0" w:rsidRPr="00190A8C" w:rsidRDefault="00986DE0" w:rsidP="003C7140">
            <w:pPr>
              <w:tabs>
                <w:tab w:val="left" w:pos="851"/>
              </w:tabs>
              <w:jc w:val="center"/>
              <w:rPr>
                <w:rFonts w:ascii="Lato" w:hAnsi="Lato" w:cstheme="minorHAnsi"/>
                <w:b/>
                <w:bCs/>
                <w:color w:val="000000" w:themeColor="text1"/>
                <w:sz w:val="18"/>
                <w:szCs w:val="18"/>
              </w:rPr>
            </w:pPr>
          </w:p>
        </w:tc>
        <w:tc>
          <w:tcPr>
            <w:tcW w:w="1134" w:type="dxa"/>
            <w:tcBorders>
              <w:bottom w:val="single" w:sz="4" w:space="0" w:color="auto"/>
            </w:tcBorders>
            <w:shd w:val="clear" w:color="auto" w:fill="D9D9D9" w:themeFill="background1" w:themeFillShade="D9"/>
            <w:vAlign w:val="center"/>
          </w:tcPr>
          <w:p w14:paraId="638D26DD" w14:textId="77777777" w:rsidR="00986DE0" w:rsidRPr="00190A8C" w:rsidRDefault="00986DE0" w:rsidP="003C7140">
            <w:pPr>
              <w:tabs>
                <w:tab w:val="left" w:pos="851"/>
              </w:tabs>
              <w:jc w:val="center"/>
              <w:rPr>
                <w:rFonts w:ascii="Lato" w:hAnsi="Lato" w:cstheme="minorHAnsi"/>
                <w:b/>
                <w:bCs/>
                <w:color w:val="000000" w:themeColor="text1"/>
                <w:sz w:val="18"/>
                <w:szCs w:val="18"/>
              </w:rPr>
            </w:pPr>
            <w:r w:rsidRPr="00190A8C">
              <w:rPr>
                <w:rFonts w:ascii="Lato" w:hAnsi="Lato" w:cstheme="minorHAnsi"/>
                <w:b/>
                <w:bCs/>
                <w:color w:val="000000" w:themeColor="text1"/>
                <w:sz w:val="18"/>
                <w:szCs w:val="18"/>
              </w:rPr>
              <w:t>liczba zakażeń</w:t>
            </w:r>
          </w:p>
        </w:tc>
        <w:tc>
          <w:tcPr>
            <w:tcW w:w="984" w:type="dxa"/>
            <w:tcBorders>
              <w:bottom w:val="single" w:sz="4" w:space="0" w:color="auto"/>
            </w:tcBorders>
            <w:shd w:val="clear" w:color="auto" w:fill="D9D9D9" w:themeFill="background1" w:themeFillShade="D9"/>
            <w:vAlign w:val="center"/>
          </w:tcPr>
          <w:p w14:paraId="3918CB4C" w14:textId="77777777" w:rsidR="00986DE0" w:rsidRPr="00190A8C" w:rsidRDefault="00986DE0" w:rsidP="003C7140">
            <w:pPr>
              <w:tabs>
                <w:tab w:val="left" w:pos="851"/>
              </w:tabs>
              <w:jc w:val="center"/>
              <w:rPr>
                <w:rFonts w:ascii="Lato" w:hAnsi="Lato" w:cstheme="minorHAnsi"/>
                <w:b/>
                <w:bCs/>
                <w:color w:val="000000" w:themeColor="text1"/>
                <w:sz w:val="18"/>
                <w:szCs w:val="18"/>
              </w:rPr>
            </w:pPr>
            <w:r w:rsidRPr="00190A8C">
              <w:rPr>
                <w:rFonts w:ascii="Lato" w:hAnsi="Lato" w:cstheme="minorHAnsi"/>
                <w:b/>
                <w:bCs/>
                <w:color w:val="000000" w:themeColor="text1"/>
                <w:sz w:val="18"/>
                <w:szCs w:val="18"/>
              </w:rPr>
              <w:t>zapadalność</w:t>
            </w:r>
          </w:p>
        </w:tc>
        <w:tc>
          <w:tcPr>
            <w:tcW w:w="792" w:type="dxa"/>
            <w:tcBorders>
              <w:bottom w:val="single" w:sz="4" w:space="0" w:color="auto"/>
              <w:right w:val="single" w:sz="4" w:space="0" w:color="auto"/>
            </w:tcBorders>
            <w:shd w:val="clear" w:color="auto" w:fill="D9D9D9" w:themeFill="background1" w:themeFillShade="D9"/>
            <w:vAlign w:val="center"/>
          </w:tcPr>
          <w:p w14:paraId="073BE261" w14:textId="77777777" w:rsidR="00986DE0" w:rsidRPr="00190A8C" w:rsidRDefault="00986DE0" w:rsidP="003C7140">
            <w:pPr>
              <w:tabs>
                <w:tab w:val="left" w:pos="851"/>
              </w:tabs>
              <w:jc w:val="center"/>
              <w:rPr>
                <w:rFonts w:ascii="Lato" w:hAnsi="Lato" w:cstheme="minorHAnsi"/>
                <w:b/>
                <w:bCs/>
                <w:color w:val="000000" w:themeColor="text1"/>
                <w:sz w:val="18"/>
                <w:szCs w:val="18"/>
              </w:rPr>
            </w:pPr>
            <w:r w:rsidRPr="00190A8C">
              <w:rPr>
                <w:rFonts w:ascii="Lato" w:hAnsi="Lato" w:cstheme="minorHAnsi"/>
                <w:b/>
                <w:bCs/>
                <w:color w:val="000000" w:themeColor="text1"/>
                <w:sz w:val="18"/>
                <w:szCs w:val="18"/>
              </w:rPr>
              <w:t>dane skumulowane</w:t>
            </w:r>
          </w:p>
        </w:tc>
        <w:tc>
          <w:tcPr>
            <w:tcW w:w="938" w:type="dxa"/>
            <w:tcBorders>
              <w:left w:val="single" w:sz="4" w:space="0" w:color="auto"/>
              <w:bottom w:val="single" w:sz="4" w:space="0" w:color="auto"/>
            </w:tcBorders>
            <w:shd w:val="clear" w:color="auto" w:fill="D9D9D9" w:themeFill="background1" w:themeFillShade="D9"/>
            <w:vAlign w:val="center"/>
          </w:tcPr>
          <w:p w14:paraId="1F684675" w14:textId="77777777" w:rsidR="00986DE0" w:rsidRPr="00190A8C" w:rsidRDefault="00986DE0" w:rsidP="003C7140">
            <w:pPr>
              <w:tabs>
                <w:tab w:val="left" w:pos="851"/>
              </w:tabs>
              <w:jc w:val="center"/>
              <w:rPr>
                <w:rFonts w:ascii="Lato" w:hAnsi="Lato" w:cstheme="minorHAnsi"/>
                <w:b/>
                <w:bCs/>
                <w:color w:val="000000" w:themeColor="text1"/>
                <w:sz w:val="18"/>
                <w:szCs w:val="18"/>
              </w:rPr>
            </w:pPr>
            <w:r w:rsidRPr="00190A8C">
              <w:rPr>
                <w:rFonts w:ascii="Lato" w:hAnsi="Lato" w:cstheme="minorHAnsi"/>
                <w:b/>
                <w:bCs/>
                <w:color w:val="000000" w:themeColor="text1"/>
                <w:sz w:val="18"/>
                <w:szCs w:val="18"/>
              </w:rPr>
              <w:t>liczba zakażeń</w:t>
            </w:r>
          </w:p>
        </w:tc>
        <w:tc>
          <w:tcPr>
            <w:tcW w:w="865" w:type="dxa"/>
            <w:tcBorders>
              <w:left w:val="nil"/>
              <w:bottom w:val="single" w:sz="4" w:space="0" w:color="auto"/>
            </w:tcBorders>
            <w:shd w:val="clear" w:color="auto" w:fill="D9D9D9" w:themeFill="background1" w:themeFillShade="D9"/>
            <w:vAlign w:val="center"/>
          </w:tcPr>
          <w:p w14:paraId="7E63B836" w14:textId="77777777" w:rsidR="00986DE0" w:rsidRPr="00190A8C" w:rsidRDefault="00986DE0" w:rsidP="003C7140">
            <w:pPr>
              <w:tabs>
                <w:tab w:val="left" w:pos="851"/>
              </w:tabs>
              <w:jc w:val="center"/>
              <w:rPr>
                <w:rFonts w:ascii="Lato" w:hAnsi="Lato" w:cstheme="minorHAnsi"/>
                <w:b/>
                <w:bCs/>
                <w:color w:val="000000" w:themeColor="text1"/>
                <w:sz w:val="18"/>
                <w:szCs w:val="18"/>
              </w:rPr>
            </w:pPr>
            <w:r w:rsidRPr="00190A8C">
              <w:rPr>
                <w:rFonts w:ascii="Lato" w:hAnsi="Lato" w:cstheme="minorHAnsi"/>
                <w:b/>
                <w:bCs/>
                <w:color w:val="000000" w:themeColor="text1"/>
                <w:sz w:val="18"/>
                <w:szCs w:val="18"/>
              </w:rPr>
              <w:t>zapadalność</w:t>
            </w:r>
          </w:p>
        </w:tc>
        <w:tc>
          <w:tcPr>
            <w:tcW w:w="748" w:type="dxa"/>
            <w:tcBorders>
              <w:bottom w:val="single" w:sz="4" w:space="0" w:color="auto"/>
              <w:right w:val="single" w:sz="4" w:space="0" w:color="auto"/>
            </w:tcBorders>
            <w:shd w:val="clear" w:color="auto" w:fill="D9D9D9" w:themeFill="background1" w:themeFillShade="D9"/>
            <w:vAlign w:val="center"/>
          </w:tcPr>
          <w:p w14:paraId="529EFB48" w14:textId="77777777" w:rsidR="00986DE0" w:rsidRPr="00190A8C" w:rsidRDefault="00986DE0" w:rsidP="003C7140">
            <w:pPr>
              <w:tabs>
                <w:tab w:val="left" w:pos="851"/>
              </w:tabs>
              <w:jc w:val="center"/>
              <w:rPr>
                <w:rFonts w:ascii="Lato" w:hAnsi="Lato" w:cstheme="minorHAnsi"/>
                <w:b/>
                <w:bCs/>
                <w:color w:val="000000" w:themeColor="text1"/>
                <w:sz w:val="18"/>
                <w:szCs w:val="18"/>
              </w:rPr>
            </w:pPr>
            <w:r w:rsidRPr="00190A8C">
              <w:rPr>
                <w:rFonts w:ascii="Lato" w:hAnsi="Lato" w:cstheme="minorHAnsi"/>
                <w:b/>
                <w:bCs/>
                <w:color w:val="000000" w:themeColor="text1"/>
                <w:sz w:val="18"/>
                <w:szCs w:val="18"/>
              </w:rPr>
              <w:t>dane skumulowane</w:t>
            </w:r>
          </w:p>
        </w:tc>
        <w:tc>
          <w:tcPr>
            <w:tcW w:w="982" w:type="dxa"/>
            <w:tcBorders>
              <w:left w:val="single" w:sz="4" w:space="0" w:color="auto"/>
              <w:bottom w:val="single" w:sz="4" w:space="0" w:color="auto"/>
            </w:tcBorders>
            <w:shd w:val="clear" w:color="auto" w:fill="D9D9D9" w:themeFill="background1" w:themeFillShade="D9"/>
            <w:vAlign w:val="center"/>
          </w:tcPr>
          <w:p w14:paraId="381AE92D" w14:textId="77777777" w:rsidR="00986DE0" w:rsidRPr="00190A8C" w:rsidRDefault="00986DE0" w:rsidP="003C7140">
            <w:pPr>
              <w:tabs>
                <w:tab w:val="left" w:pos="851"/>
              </w:tabs>
              <w:jc w:val="center"/>
              <w:rPr>
                <w:rFonts w:ascii="Lato" w:hAnsi="Lato" w:cstheme="minorHAnsi"/>
                <w:b/>
                <w:bCs/>
                <w:color w:val="000000" w:themeColor="text1"/>
                <w:sz w:val="18"/>
                <w:szCs w:val="18"/>
              </w:rPr>
            </w:pPr>
            <w:r w:rsidRPr="00190A8C">
              <w:rPr>
                <w:rFonts w:ascii="Lato" w:hAnsi="Lato" w:cstheme="minorHAnsi"/>
                <w:b/>
                <w:bCs/>
                <w:color w:val="000000" w:themeColor="text1"/>
                <w:sz w:val="18"/>
                <w:szCs w:val="18"/>
              </w:rPr>
              <w:t>liczba zakażeń</w:t>
            </w:r>
          </w:p>
        </w:tc>
        <w:tc>
          <w:tcPr>
            <w:tcW w:w="865" w:type="dxa"/>
            <w:tcBorders>
              <w:left w:val="nil"/>
              <w:bottom w:val="single" w:sz="4" w:space="0" w:color="auto"/>
            </w:tcBorders>
            <w:shd w:val="clear" w:color="auto" w:fill="D9D9D9" w:themeFill="background1" w:themeFillShade="D9"/>
            <w:vAlign w:val="center"/>
          </w:tcPr>
          <w:p w14:paraId="7B702C06" w14:textId="77777777" w:rsidR="00986DE0" w:rsidRPr="00190A8C" w:rsidRDefault="00986DE0" w:rsidP="003C7140">
            <w:pPr>
              <w:tabs>
                <w:tab w:val="left" w:pos="851"/>
              </w:tabs>
              <w:jc w:val="center"/>
              <w:rPr>
                <w:rFonts w:ascii="Lato" w:hAnsi="Lato" w:cstheme="minorHAnsi"/>
                <w:b/>
                <w:bCs/>
                <w:color w:val="000000" w:themeColor="text1"/>
                <w:sz w:val="18"/>
                <w:szCs w:val="18"/>
              </w:rPr>
            </w:pPr>
            <w:r w:rsidRPr="00190A8C">
              <w:rPr>
                <w:rFonts w:ascii="Lato" w:hAnsi="Lato" w:cstheme="minorHAnsi"/>
                <w:b/>
                <w:bCs/>
                <w:color w:val="000000" w:themeColor="text1"/>
                <w:sz w:val="18"/>
                <w:szCs w:val="18"/>
              </w:rPr>
              <w:t>umieralność</w:t>
            </w:r>
          </w:p>
        </w:tc>
        <w:tc>
          <w:tcPr>
            <w:tcW w:w="865" w:type="dxa"/>
            <w:tcBorders>
              <w:bottom w:val="single" w:sz="4" w:space="0" w:color="auto"/>
            </w:tcBorders>
            <w:shd w:val="clear" w:color="auto" w:fill="D9D9D9" w:themeFill="background1" w:themeFillShade="D9"/>
            <w:vAlign w:val="center"/>
          </w:tcPr>
          <w:p w14:paraId="1955E9BA" w14:textId="77777777" w:rsidR="00986DE0" w:rsidRPr="00190A8C" w:rsidRDefault="00986DE0" w:rsidP="003C7140">
            <w:pPr>
              <w:tabs>
                <w:tab w:val="left" w:pos="851"/>
              </w:tabs>
              <w:jc w:val="center"/>
              <w:rPr>
                <w:rFonts w:ascii="Lato" w:hAnsi="Lato" w:cstheme="minorHAnsi"/>
                <w:b/>
                <w:bCs/>
                <w:color w:val="000000" w:themeColor="text1"/>
                <w:sz w:val="18"/>
                <w:szCs w:val="18"/>
              </w:rPr>
            </w:pPr>
            <w:r w:rsidRPr="00190A8C">
              <w:rPr>
                <w:rFonts w:ascii="Lato" w:hAnsi="Lato" w:cstheme="minorHAnsi"/>
                <w:b/>
                <w:bCs/>
                <w:color w:val="000000" w:themeColor="text1"/>
                <w:sz w:val="18"/>
                <w:szCs w:val="18"/>
              </w:rPr>
              <w:t>dane skumulowane</w:t>
            </w:r>
          </w:p>
        </w:tc>
      </w:tr>
      <w:tr w:rsidR="00986DE0" w:rsidRPr="00C35EAE" w14:paraId="78287EE6" w14:textId="77777777" w:rsidTr="003C7140">
        <w:trPr>
          <w:trHeight w:val="454"/>
        </w:trPr>
        <w:tc>
          <w:tcPr>
            <w:tcW w:w="846" w:type="dxa"/>
            <w:vAlign w:val="center"/>
          </w:tcPr>
          <w:p w14:paraId="2A7B0EFA"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1985 - 2017</w:t>
            </w:r>
          </w:p>
        </w:tc>
        <w:tc>
          <w:tcPr>
            <w:tcW w:w="1134" w:type="dxa"/>
            <w:vAlign w:val="center"/>
          </w:tcPr>
          <w:p w14:paraId="4DFA5547"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w:t>
            </w:r>
          </w:p>
        </w:tc>
        <w:tc>
          <w:tcPr>
            <w:tcW w:w="984" w:type="dxa"/>
            <w:vAlign w:val="center"/>
          </w:tcPr>
          <w:p w14:paraId="17A65113"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w:t>
            </w:r>
          </w:p>
        </w:tc>
        <w:tc>
          <w:tcPr>
            <w:tcW w:w="792" w:type="dxa"/>
            <w:tcBorders>
              <w:right w:val="single" w:sz="4" w:space="0" w:color="auto"/>
            </w:tcBorders>
            <w:vAlign w:val="center"/>
          </w:tcPr>
          <w:p w14:paraId="6280F5EE"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914</w:t>
            </w:r>
          </w:p>
        </w:tc>
        <w:tc>
          <w:tcPr>
            <w:tcW w:w="938" w:type="dxa"/>
            <w:tcBorders>
              <w:left w:val="single" w:sz="4" w:space="0" w:color="auto"/>
            </w:tcBorders>
            <w:vAlign w:val="center"/>
          </w:tcPr>
          <w:p w14:paraId="086795DD"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w:t>
            </w:r>
          </w:p>
        </w:tc>
        <w:tc>
          <w:tcPr>
            <w:tcW w:w="865" w:type="dxa"/>
            <w:tcBorders>
              <w:left w:val="nil"/>
            </w:tcBorders>
            <w:vAlign w:val="center"/>
          </w:tcPr>
          <w:p w14:paraId="08ECF011"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w:t>
            </w:r>
          </w:p>
        </w:tc>
        <w:tc>
          <w:tcPr>
            <w:tcW w:w="748" w:type="dxa"/>
            <w:tcBorders>
              <w:right w:val="single" w:sz="4" w:space="0" w:color="auto"/>
            </w:tcBorders>
            <w:vAlign w:val="center"/>
          </w:tcPr>
          <w:p w14:paraId="04C2792C"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187</w:t>
            </w:r>
          </w:p>
        </w:tc>
        <w:tc>
          <w:tcPr>
            <w:tcW w:w="982" w:type="dxa"/>
            <w:tcBorders>
              <w:left w:val="single" w:sz="4" w:space="0" w:color="auto"/>
            </w:tcBorders>
            <w:vAlign w:val="center"/>
          </w:tcPr>
          <w:p w14:paraId="33AF3AEB"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w:t>
            </w:r>
          </w:p>
        </w:tc>
        <w:tc>
          <w:tcPr>
            <w:tcW w:w="865" w:type="dxa"/>
            <w:tcBorders>
              <w:left w:val="nil"/>
            </w:tcBorders>
            <w:vAlign w:val="center"/>
          </w:tcPr>
          <w:p w14:paraId="64740A1B"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w:t>
            </w:r>
          </w:p>
        </w:tc>
        <w:tc>
          <w:tcPr>
            <w:tcW w:w="865" w:type="dxa"/>
            <w:vAlign w:val="center"/>
          </w:tcPr>
          <w:p w14:paraId="52B4AB9D"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61</w:t>
            </w:r>
          </w:p>
        </w:tc>
      </w:tr>
      <w:tr w:rsidR="00986DE0" w:rsidRPr="00C35EAE" w14:paraId="73D41150" w14:textId="77777777" w:rsidTr="003C7140">
        <w:trPr>
          <w:trHeight w:val="454"/>
        </w:trPr>
        <w:tc>
          <w:tcPr>
            <w:tcW w:w="846" w:type="dxa"/>
            <w:vAlign w:val="center"/>
          </w:tcPr>
          <w:p w14:paraId="449927BA"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2018</w:t>
            </w:r>
          </w:p>
        </w:tc>
        <w:tc>
          <w:tcPr>
            <w:tcW w:w="1134" w:type="dxa"/>
            <w:vAlign w:val="center"/>
          </w:tcPr>
          <w:p w14:paraId="4295F33F"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50</w:t>
            </w:r>
          </w:p>
        </w:tc>
        <w:tc>
          <w:tcPr>
            <w:tcW w:w="984" w:type="dxa"/>
            <w:vAlign w:val="center"/>
          </w:tcPr>
          <w:p w14:paraId="0DA18837"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2,93</w:t>
            </w:r>
          </w:p>
        </w:tc>
        <w:tc>
          <w:tcPr>
            <w:tcW w:w="792" w:type="dxa"/>
            <w:tcBorders>
              <w:right w:val="single" w:sz="4" w:space="0" w:color="auto"/>
            </w:tcBorders>
            <w:vAlign w:val="center"/>
          </w:tcPr>
          <w:p w14:paraId="08F34EAC"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964</w:t>
            </w:r>
          </w:p>
        </w:tc>
        <w:tc>
          <w:tcPr>
            <w:tcW w:w="938" w:type="dxa"/>
            <w:tcBorders>
              <w:left w:val="single" w:sz="4" w:space="0" w:color="auto"/>
            </w:tcBorders>
            <w:vAlign w:val="center"/>
          </w:tcPr>
          <w:p w14:paraId="791DC1CC"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7</w:t>
            </w:r>
          </w:p>
        </w:tc>
        <w:tc>
          <w:tcPr>
            <w:tcW w:w="865" w:type="dxa"/>
            <w:tcBorders>
              <w:left w:val="nil"/>
            </w:tcBorders>
            <w:vAlign w:val="center"/>
          </w:tcPr>
          <w:p w14:paraId="05A09A7C"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0,41</w:t>
            </w:r>
          </w:p>
        </w:tc>
        <w:tc>
          <w:tcPr>
            <w:tcW w:w="748" w:type="dxa"/>
            <w:tcBorders>
              <w:right w:val="single" w:sz="4" w:space="0" w:color="auto"/>
            </w:tcBorders>
            <w:vAlign w:val="center"/>
          </w:tcPr>
          <w:p w14:paraId="7D5345C2"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194</w:t>
            </w:r>
          </w:p>
        </w:tc>
        <w:tc>
          <w:tcPr>
            <w:tcW w:w="982" w:type="dxa"/>
            <w:tcBorders>
              <w:left w:val="single" w:sz="4" w:space="0" w:color="auto"/>
            </w:tcBorders>
            <w:vAlign w:val="center"/>
          </w:tcPr>
          <w:p w14:paraId="7EA824F3"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w:t>
            </w:r>
          </w:p>
        </w:tc>
        <w:tc>
          <w:tcPr>
            <w:tcW w:w="865" w:type="dxa"/>
            <w:tcBorders>
              <w:left w:val="nil"/>
            </w:tcBorders>
            <w:vAlign w:val="center"/>
          </w:tcPr>
          <w:p w14:paraId="139E79B0"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w:t>
            </w:r>
          </w:p>
        </w:tc>
        <w:tc>
          <w:tcPr>
            <w:tcW w:w="865" w:type="dxa"/>
            <w:vAlign w:val="center"/>
          </w:tcPr>
          <w:p w14:paraId="41AF0EB5"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61</w:t>
            </w:r>
          </w:p>
        </w:tc>
      </w:tr>
      <w:tr w:rsidR="00986DE0" w:rsidRPr="00C35EAE" w14:paraId="0B0A20FC" w14:textId="77777777" w:rsidTr="003C7140">
        <w:trPr>
          <w:trHeight w:val="454"/>
        </w:trPr>
        <w:tc>
          <w:tcPr>
            <w:tcW w:w="846" w:type="dxa"/>
            <w:vAlign w:val="center"/>
          </w:tcPr>
          <w:p w14:paraId="29A928EB"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2019</w:t>
            </w:r>
          </w:p>
        </w:tc>
        <w:tc>
          <w:tcPr>
            <w:tcW w:w="1134" w:type="dxa"/>
            <w:vAlign w:val="center"/>
          </w:tcPr>
          <w:p w14:paraId="599386C7"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59</w:t>
            </w:r>
          </w:p>
        </w:tc>
        <w:tc>
          <w:tcPr>
            <w:tcW w:w="984" w:type="dxa"/>
            <w:vAlign w:val="center"/>
          </w:tcPr>
          <w:p w14:paraId="0BA65E1B"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3,47</w:t>
            </w:r>
          </w:p>
        </w:tc>
        <w:tc>
          <w:tcPr>
            <w:tcW w:w="792" w:type="dxa"/>
            <w:tcBorders>
              <w:right w:val="single" w:sz="4" w:space="0" w:color="auto"/>
            </w:tcBorders>
            <w:vAlign w:val="center"/>
          </w:tcPr>
          <w:p w14:paraId="0874F52C"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1023</w:t>
            </w:r>
          </w:p>
        </w:tc>
        <w:tc>
          <w:tcPr>
            <w:tcW w:w="938" w:type="dxa"/>
            <w:tcBorders>
              <w:left w:val="single" w:sz="4" w:space="0" w:color="auto"/>
            </w:tcBorders>
            <w:vAlign w:val="center"/>
          </w:tcPr>
          <w:p w14:paraId="09EE57C7"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4</w:t>
            </w:r>
          </w:p>
        </w:tc>
        <w:tc>
          <w:tcPr>
            <w:tcW w:w="865" w:type="dxa"/>
            <w:tcBorders>
              <w:left w:val="nil"/>
            </w:tcBorders>
            <w:vAlign w:val="center"/>
          </w:tcPr>
          <w:p w14:paraId="17AA2903"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0,23</w:t>
            </w:r>
          </w:p>
        </w:tc>
        <w:tc>
          <w:tcPr>
            <w:tcW w:w="748" w:type="dxa"/>
            <w:tcBorders>
              <w:right w:val="single" w:sz="4" w:space="0" w:color="auto"/>
            </w:tcBorders>
            <w:vAlign w:val="center"/>
          </w:tcPr>
          <w:p w14:paraId="75F42902"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198</w:t>
            </w:r>
          </w:p>
        </w:tc>
        <w:tc>
          <w:tcPr>
            <w:tcW w:w="982" w:type="dxa"/>
            <w:tcBorders>
              <w:left w:val="single" w:sz="4" w:space="0" w:color="auto"/>
            </w:tcBorders>
            <w:vAlign w:val="center"/>
          </w:tcPr>
          <w:p w14:paraId="32D63886"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w:t>
            </w:r>
          </w:p>
        </w:tc>
        <w:tc>
          <w:tcPr>
            <w:tcW w:w="865" w:type="dxa"/>
            <w:tcBorders>
              <w:left w:val="nil"/>
            </w:tcBorders>
            <w:vAlign w:val="center"/>
          </w:tcPr>
          <w:p w14:paraId="5F433DD3"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w:t>
            </w:r>
          </w:p>
        </w:tc>
        <w:tc>
          <w:tcPr>
            <w:tcW w:w="865" w:type="dxa"/>
            <w:vAlign w:val="center"/>
          </w:tcPr>
          <w:p w14:paraId="31A7BCFE"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61</w:t>
            </w:r>
          </w:p>
        </w:tc>
      </w:tr>
      <w:tr w:rsidR="00986DE0" w:rsidRPr="00C35EAE" w14:paraId="019872C5" w14:textId="77777777" w:rsidTr="003C7140">
        <w:trPr>
          <w:trHeight w:val="454"/>
        </w:trPr>
        <w:tc>
          <w:tcPr>
            <w:tcW w:w="846" w:type="dxa"/>
            <w:vAlign w:val="center"/>
          </w:tcPr>
          <w:p w14:paraId="1EA02CAE"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2020</w:t>
            </w:r>
          </w:p>
        </w:tc>
        <w:tc>
          <w:tcPr>
            <w:tcW w:w="1134" w:type="dxa"/>
            <w:vAlign w:val="center"/>
          </w:tcPr>
          <w:p w14:paraId="01DECD7B"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36</w:t>
            </w:r>
          </w:p>
        </w:tc>
        <w:tc>
          <w:tcPr>
            <w:tcW w:w="984" w:type="dxa"/>
            <w:vAlign w:val="center"/>
          </w:tcPr>
          <w:p w14:paraId="5B7D98FC"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2,13</w:t>
            </w:r>
          </w:p>
        </w:tc>
        <w:tc>
          <w:tcPr>
            <w:tcW w:w="792" w:type="dxa"/>
            <w:tcBorders>
              <w:right w:val="single" w:sz="4" w:space="0" w:color="auto"/>
            </w:tcBorders>
            <w:vAlign w:val="center"/>
          </w:tcPr>
          <w:p w14:paraId="7C62E951"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1059</w:t>
            </w:r>
          </w:p>
        </w:tc>
        <w:tc>
          <w:tcPr>
            <w:tcW w:w="938" w:type="dxa"/>
            <w:tcBorders>
              <w:left w:val="single" w:sz="4" w:space="0" w:color="auto"/>
            </w:tcBorders>
            <w:vAlign w:val="center"/>
          </w:tcPr>
          <w:p w14:paraId="799DBD3C"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1</w:t>
            </w:r>
          </w:p>
        </w:tc>
        <w:tc>
          <w:tcPr>
            <w:tcW w:w="865" w:type="dxa"/>
            <w:tcBorders>
              <w:left w:val="nil"/>
            </w:tcBorders>
            <w:vAlign w:val="center"/>
          </w:tcPr>
          <w:p w14:paraId="3371ADE5"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0,06</w:t>
            </w:r>
          </w:p>
        </w:tc>
        <w:tc>
          <w:tcPr>
            <w:tcW w:w="748" w:type="dxa"/>
            <w:tcBorders>
              <w:right w:val="single" w:sz="4" w:space="0" w:color="auto"/>
            </w:tcBorders>
            <w:vAlign w:val="center"/>
          </w:tcPr>
          <w:p w14:paraId="2B28F0DA"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199</w:t>
            </w:r>
          </w:p>
        </w:tc>
        <w:tc>
          <w:tcPr>
            <w:tcW w:w="982" w:type="dxa"/>
            <w:tcBorders>
              <w:left w:val="single" w:sz="4" w:space="0" w:color="auto"/>
            </w:tcBorders>
            <w:vAlign w:val="center"/>
          </w:tcPr>
          <w:p w14:paraId="5CAC99AF"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1</w:t>
            </w:r>
          </w:p>
        </w:tc>
        <w:tc>
          <w:tcPr>
            <w:tcW w:w="865" w:type="dxa"/>
            <w:tcBorders>
              <w:left w:val="nil"/>
            </w:tcBorders>
            <w:vAlign w:val="center"/>
          </w:tcPr>
          <w:p w14:paraId="6490BB25"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0,06</w:t>
            </w:r>
          </w:p>
        </w:tc>
        <w:tc>
          <w:tcPr>
            <w:tcW w:w="865" w:type="dxa"/>
            <w:vAlign w:val="center"/>
          </w:tcPr>
          <w:p w14:paraId="1F685BDA"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62</w:t>
            </w:r>
          </w:p>
        </w:tc>
      </w:tr>
      <w:tr w:rsidR="00986DE0" w:rsidRPr="00C35EAE" w14:paraId="07C3A1DB" w14:textId="77777777" w:rsidTr="003C7140">
        <w:trPr>
          <w:trHeight w:val="454"/>
        </w:trPr>
        <w:tc>
          <w:tcPr>
            <w:tcW w:w="846" w:type="dxa"/>
            <w:vAlign w:val="center"/>
          </w:tcPr>
          <w:p w14:paraId="5077A85D"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2021</w:t>
            </w:r>
          </w:p>
        </w:tc>
        <w:tc>
          <w:tcPr>
            <w:tcW w:w="1134" w:type="dxa"/>
            <w:vAlign w:val="center"/>
          </w:tcPr>
          <w:p w14:paraId="1982C57D"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53</w:t>
            </w:r>
          </w:p>
        </w:tc>
        <w:tc>
          <w:tcPr>
            <w:tcW w:w="984" w:type="dxa"/>
            <w:vAlign w:val="center"/>
          </w:tcPr>
          <w:p w14:paraId="48DF1936"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3,15</w:t>
            </w:r>
          </w:p>
        </w:tc>
        <w:tc>
          <w:tcPr>
            <w:tcW w:w="792" w:type="dxa"/>
            <w:tcBorders>
              <w:right w:val="single" w:sz="4" w:space="0" w:color="auto"/>
            </w:tcBorders>
            <w:vAlign w:val="center"/>
          </w:tcPr>
          <w:p w14:paraId="31D70D6D"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1112</w:t>
            </w:r>
          </w:p>
        </w:tc>
        <w:tc>
          <w:tcPr>
            <w:tcW w:w="938" w:type="dxa"/>
            <w:tcBorders>
              <w:left w:val="single" w:sz="4" w:space="0" w:color="auto"/>
            </w:tcBorders>
            <w:vAlign w:val="center"/>
          </w:tcPr>
          <w:p w14:paraId="222ADC27"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7</w:t>
            </w:r>
          </w:p>
        </w:tc>
        <w:tc>
          <w:tcPr>
            <w:tcW w:w="865" w:type="dxa"/>
            <w:tcBorders>
              <w:left w:val="nil"/>
            </w:tcBorders>
            <w:vAlign w:val="center"/>
          </w:tcPr>
          <w:p w14:paraId="614C7791"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0,42</w:t>
            </w:r>
          </w:p>
        </w:tc>
        <w:tc>
          <w:tcPr>
            <w:tcW w:w="748" w:type="dxa"/>
            <w:tcBorders>
              <w:right w:val="single" w:sz="4" w:space="0" w:color="auto"/>
            </w:tcBorders>
            <w:vAlign w:val="center"/>
          </w:tcPr>
          <w:p w14:paraId="4D93E6BE"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206</w:t>
            </w:r>
          </w:p>
        </w:tc>
        <w:tc>
          <w:tcPr>
            <w:tcW w:w="982" w:type="dxa"/>
            <w:tcBorders>
              <w:left w:val="single" w:sz="4" w:space="0" w:color="auto"/>
            </w:tcBorders>
            <w:vAlign w:val="center"/>
          </w:tcPr>
          <w:p w14:paraId="3E07E489"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2</w:t>
            </w:r>
          </w:p>
        </w:tc>
        <w:tc>
          <w:tcPr>
            <w:tcW w:w="865" w:type="dxa"/>
            <w:tcBorders>
              <w:left w:val="nil"/>
            </w:tcBorders>
            <w:vAlign w:val="center"/>
          </w:tcPr>
          <w:p w14:paraId="4FD7299F"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0,12</w:t>
            </w:r>
          </w:p>
        </w:tc>
        <w:tc>
          <w:tcPr>
            <w:tcW w:w="865" w:type="dxa"/>
            <w:vAlign w:val="center"/>
          </w:tcPr>
          <w:p w14:paraId="0C64880A"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64</w:t>
            </w:r>
          </w:p>
        </w:tc>
      </w:tr>
      <w:tr w:rsidR="00986DE0" w:rsidRPr="00C35EAE" w14:paraId="294B8EC0" w14:textId="77777777" w:rsidTr="003C7140">
        <w:trPr>
          <w:trHeight w:val="454"/>
        </w:trPr>
        <w:tc>
          <w:tcPr>
            <w:tcW w:w="846" w:type="dxa"/>
            <w:vAlign w:val="center"/>
          </w:tcPr>
          <w:p w14:paraId="77250734"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2022</w:t>
            </w:r>
          </w:p>
        </w:tc>
        <w:tc>
          <w:tcPr>
            <w:tcW w:w="1134" w:type="dxa"/>
            <w:vAlign w:val="center"/>
          </w:tcPr>
          <w:p w14:paraId="62923C04"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231</w:t>
            </w:r>
          </w:p>
        </w:tc>
        <w:tc>
          <w:tcPr>
            <w:tcW w:w="984" w:type="dxa"/>
            <w:vAlign w:val="center"/>
          </w:tcPr>
          <w:p w14:paraId="1F155579"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14,04</w:t>
            </w:r>
          </w:p>
        </w:tc>
        <w:tc>
          <w:tcPr>
            <w:tcW w:w="792" w:type="dxa"/>
            <w:tcBorders>
              <w:right w:val="single" w:sz="4" w:space="0" w:color="auto"/>
            </w:tcBorders>
            <w:vAlign w:val="center"/>
          </w:tcPr>
          <w:p w14:paraId="107CCBA4"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1343</w:t>
            </w:r>
          </w:p>
        </w:tc>
        <w:tc>
          <w:tcPr>
            <w:tcW w:w="938" w:type="dxa"/>
            <w:tcBorders>
              <w:left w:val="single" w:sz="4" w:space="0" w:color="auto"/>
            </w:tcBorders>
            <w:vAlign w:val="center"/>
          </w:tcPr>
          <w:p w14:paraId="1E9D0D66"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9</w:t>
            </w:r>
          </w:p>
        </w:tc>
        <w:tc>
          <w:tcPr>
            <w:tcW w:w="865" w:type="dxa"/>
            <w:tcBorders>
              <w:left w:val="nil"/>
            </w:tcBorders>
            <w:vAlign w:val="center"/>
          </w:tcPr>
          <w:p w14:paraId="0A17CC16"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0,55</w:t>
            </w:r>
          </w:p>
        </w:tc>
        <w:tc>
          <w:tcPr>
            <w:tcW w:w="748" w:type="dxa"/>
            <w:tcBorders>
              <w:right w:val="single" w:sz="4" w:space="0" w:color="auto"/>
            </w:tcBorders>
            <w:vAlign w:val="center"/>
          </w:tcPr>
          <w:p w14:paraId="4DFD2D27"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215</w:t>
            </w:r>
          </w:p>
        </w:tc>
        <w:tc>
          <w:tcPr>
            <w:tcW w:w="982" w:type="dxa"/>
            <w:tcBorders>
              <w:left w:val="single" w:sz="4" w:space="0" w:color="auto"/>
            </w:tcBorders>
            <w:vAlign w:val="center"/>
          </w:tcPr>
          <w:p w14:paraId="04B9FDC0"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4</w:t>
            </w:r>
          </w:p>
        </w:tc>
        <w:tc>
          <w:tcPr>
            <w:tcW w:w="865" w:type="dxa"/>
            <w:tcBorders>
              <w:left w:val="nil"/>
            </w:tcBorders>
            <w:vAlign w:val="center"/>
          </w:tcPr>
          <w:p w14:paraId="6E485449"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0,24</w:t>
            </w:r>
          </w:p>
        </w:tc>
        <w:tc>
          <w:tcPr>
            <w:tcW w:w="865" w:type="dxa"/>
            <w:vAlign w:val="center"/>
          </w:tcPr>
          <w:p w14:paraId="67D674CB"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68</w:t>
            </w:r>
          </w:p>
        </w:tc>
      </w:tr>
      <w:tr w:rsidR="00986DE0" w:rsidRPr="00C35EAE" w14:paraId="1CDE5B96" w14:textId="77777777" w:rsidTr="003C7140">
        <w:trPr>
          <w:trHeight w:val="454"/>
        </w:trPr>
        <w:tc>
          <w:tcPr>
            <w:tcW w:w="846" w:type="dxa"/>
            <w:vAlign w:val="center"/>
          </w:tcPr>
          <w:p w14:paraId="52B03105"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2023</w:t>
            </w:r>
          </w:p>
        </w:tc>
        <w:tc>
          <w:tcPr>
            <w:tcW w:w="1134" w:type="dxa"/>
            <w:vAlign w:val="center"/>
          </w:tcPr>
          <w:p w14:paraId="4C555B6A"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132</w:t>
            </w:r>
          </w:p>
        </w:tc>
        <w:tc>
          <w:tcPr>
            <w:tcW w:w="984" w:type="dxa"/>
            <w:vAlign w:val="center"/>
          </w:tcPr>
          <w:p w14:paraId="01A0E01B"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8,06</w:t>
            </w:r>
          </w:p>
        </w:tc>
        <w:tc>
          <w:tcPr>
            <w:tcW w:w="792" w:type="dxa"/>
            <w:tcBorders>
              <w:right w:val="single" w:sz="4" w:space="0" w:color="auto"/>
            </w:tcBorders>
            <w:vAlign w:val="center"/>
          </w:tcPr>
          <w:p w14:paraId="13C2232F"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1475</w:t>
            </w:r>
          </w:p>
        </w:tc>
        <w:tc>
          <w:tcPr>
            <w:tcW w:w="938" w:type="dxa"/>
            <w:tcBorders>
              <w:left w:val="single" w:sz="4" w:space="0" w:color="auto"/>
            </w:tcBorders>
            <w:vAlign w:val="center"/>
          </w:tcPr>
          <w:p w14:paraId="19CC7E78"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9</w:t>
            </w:r>
          </w:p>
        </w:tc>
        <w:tc>
          <w:tcPr>
            <w:tcW w:w="865" w:type="dxa"/>
            <w:tcBorders>
              <w:left w:val="nil"/>
            </w:tcBorders>
            <w:vAlign w:val="center"/>
          </w:tcPr>
          <w:p w14:paraId="551C9001"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0,55</w:t>
            </w:r>
          </w:p>
        </w:tc>
        <w:tc>
          <w:tcPr>
            <w:tcW w:w="748" w:type="dxa"/>
            <w:tcBorders>
              <w:right w:val="single" w:sz="4" w:space="0" w:color="auto"/>
            </w:tcBorders>
            <w:vAlign w:val="center"/>
          </w:tcPr>
          <w:p w14:paraId="43CD66B8"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224</w:t>
            </w:r>
          </w:p>
        </w:tc>
        <w:tc>
          <w:tcPr>
            <w:tcW w:w="982" w:type="dxa"/>
            <w:tcBorders>
              <w:left w:val="single" w:sz="4" w:space="0" w:color="auto"/>
            </w:tcBorders>
            <w:vAlign w:val="center"/>
          </w:tcPr>
          <w:p w14:paraId="39EA75AA"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2</w:t>
            </w:r>
          </w:p>
        </w:tc>
        <w:tc>
          <w:tcPr>
            <w:tcW w:w="865" w:type="dxa"/>
            <w:tcBorders>
              <w:left w:val="nil"/>
            </w:tcBorders>
            <w:vAlign w:val="center"/>
          </w:tcPr>
          <w:p w14:paraId="72B0C5E8"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0,12</w:t>
            </w:r>
          </w:p>
        </w:tc>
        <w:tc>
          <w:tcPr>
            <w:tcW w:w="865" w:type="dxa"/>
            <w:vAlign w:val="center"/>
          </w:tcPr>
          <w:p w14:paraId="02A55C9B"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70</w:t>
            </w:r>
          </w:p>
        </w:tc>
      </w:tr>
      <w:tr w:rsidR="00986DE0" w:rsidRPr="00C35EAE" w14:paraId="482F40E0" w14:textId="77777777" w:rsidTr="003C7140">
        <w:trPr>
          <w:trHeight w:val="454"/>
        </w:trPr>
        <w:tc>
          <w:tcPr>
            <w:tcW w:w="846" w:type="dxa"/>
            <w:vAlign w:val="center"/>
          </w:tcPr>
          <w:p w14:paraId="196C4298"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2024</w:t>
            </w:r>
          </w:p>
        </w:tc>
        <w:tc>
          <w:tcPr>
            <w:tcW w:w="1134" w:type="dxa"/>
            <w:vAlign w:val="center"/>
          </w:tcPr>
          <w:p w14:paraId="69437511"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107</w:t>
            </w:r>
          </w:p>
        </w:tc>
        <w:tc>
          <w:tcPr>
            <w:tcW w:w="984" w:type="dxa"/>
            <w:vAlign w:val="center"/>
          </w:tcPr>
          <w:p w14:paraId="5BEF01B0"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6,58</w:t>
            </w:r>
          </w:p>
        </w:tc>
        <w:tc>
          <w:tcPr>
            <w:tcW w:w="792" w:type="dxa"/>
            <w:tcBorders>
              <w:right w:val="single" w:sz="4" w:space="0" w:color="auto"/>
            </w:tcBorders>
            <w:vAlign w:val="center"/>
          </w:tcPr>
          <w:p w14:paraId="7B20A815"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1582</w:t>
            </w:r>
          </w:p>
        </w:tc>
        <w:tc>
          <w:tcPr>
            <w:tcW w:w="938" w:type="dxa"/>
            <w:tcBorders>
              <w:left w:val="single" w:sz="4" w:space="0" w:color="auto"/>
            </w:tcBorders>
            <w:vAlign w:val="center"/>
          </w:tcPr>
          <w:p w14:paraId="2EDD2418"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10</w:t>
            </w:r>
          </w:p>
        </w:tc>
        <w:tc>
          <w:tcPr>
            <w:tcW w:w="865" w:type="dxa"/>
            <w:tcBorders>
              <w:left w:val="nil"/>
            </w:tcBorders>
            <w:vAlign w:val="center"/>
          </w:tcPr>
          <w:p w14:paraId="74BE66EF"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0,61</w:t>
            </w:r>
          </w:p>
        </w:tc>
        <w:tc>
          <w:tcPr>
            <w:tcW w:w="748" w:type="dxa"/>
            <w:tcBorders>
              <w:right w:val="single" w:sz="4" w:space="0" w:color="auto"/>
            </w:tcBorders>
            <w:vAlign w:val="center"/>
          </w:tcPr>
          <w:p w14:paraId="477FE432"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234</w:t>
            </w:r>
          </w:p>
        </w:tc>
        <w:tc>
          <w:tcPr>
            <w:tcW w:w="982" w:type="dxa"/>
            <w:tcBorders>
              <w:left w:val="single" w:sz="4" w:space="0" w:color="auto"/>
            </w:tcBorders>
            <w:vAlign w:val="center"/>
          </w:tcPr>
          <w:p w14:paraId="1062384B"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4</w:t>
            </w:r>
          </w:p>
        </w:tc>
        <w:tc>
          <w:tcPr>
            <w:tcW w:w="865" w:type="dxa"/>
            <w:tcBorders>
              <w:left w:val="nil"/>
            </w:tcBorders>
            <w:vAlign w:val="center"/>
          </w:tcPr>
          <w:p w14:paraId="23165ED4"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0,25</w:t>
            </w:r>
          </w:p>
        </w:tc>
        <w:tc>
          <w:tcPr>
            <w:tcW w:w="865" w:type="dxa"/>
            <w:vAlign w:val="center"/>
          </w:tcPr>
          <w:p w14:paraId="2C40ACBB" w14:textId="77777777" w:rsidR="00986DE0" w:rsidRPr="00190A8C" w:rsidRDefault="00986DE0" w:rsidP="003C7140">
            <w:pPr>
              <w:tabs>
                <w:tab w:val="left" w:pos="851"/>
              </w:tabs>
              <w:jc w:val="center"/>
              <w:rPr>
                <w:rFonts w:ascii="Lato" w:hAnsi="Lato" w:cstheme="minorHAnsi"/>
                <w:bCs/>
                <w:color w:val="000000" w:themeColor="text1"/>
                <w:sz w:val="18"/>
                <w:szCs w:val="18"/>
              </w:rPr>
            </w:pPr>
            <w:r w:rsidRPr="00190A8C">
              <w:rPr>
                <w:rFonts w:ascii="Lato" w:hAnsi="Lato" w:cstheme="minorHAnsi"/>
                <w:bCs/>
                <w:color w:val="000000" w:themeColor="text1"/>
                <w:sz w:val="18"/>
                <w:szCs w:val="18"/>
              </w:rPr>
              <w:t>74</w:t>
            </w:r>
          </w:p>
        </w:tc>
      </w:tr>
      <w:tr w:rsidR="00986DE0" w:rsidRPr="00C35EAE" w14:paraId="755BAB91" w14:textId="77777777" w:rsidTr="00130F95">
        <w:trPr>
          <w:trHeight w:val="454"/>
        </w:trPr>
        <w:tc>
          <w:tcPr>
            <w:tcW w:w="846" w:type="dxa"/>
            <w:shd w:val="clear" w:color="auto" w:fill="D9D9D9" w:themeFill="background1" w:themeFillShade="D9"/>
            <w:vAlign w:val="center"/>
          </w:tcPr>
          <w:p w14:paraId="57D89B07" w14:textId="77777777" w:rsidR="00986DE0" w:rsidRPr="00190A8C" w:rsidRDefault="00986DE0" w:rsidP="003C7140">
            <w:pPr>
              <w:tabs>
                <w:tab w:val="left" w:pos="851"/>
              </w:tabs>
              <w:jc w:val="center"/>
              <w:rPr>
                <w:rFonts w:ascii="Lato" w:hAnsi="Lato" w:cs="Calibri"/>
                <w:bCs/>
                <w:sz w:val="18"/>
                <w:szCs w:val="18"/>
              </w:rPr>
            </w:pPr>
            <w:r w:rsidRPr="00190A8C">
              <w:rPr>
                <w:rFonts w:ascii="Lato" w:hAnsi="Lato" w:cs="Calibri"/>
                <w:bCs/>
                <w:sz w:val="18"/>
                <w:szCs w:val="18"/>
              </w:rPr>
              <w:t>2025</w:t>
            </w:r>
          </w:p>
        </w:tc>
        <w:tc>
          <w:tcPr>
            <w:tcW w:w="1134" w:type="dxa"/>
            <w:shd w:val="clear" w:color="auto" w:fill="D9D9D9" w:themeFill="background1" w:themeFillShade="D9"/>
            <w:vAlign w:val="center"/>
          </w:tcPr>
          <w:p w14:paraId="2BC04A97" w14:textId="77777777" w:rsidR="00986DE0" w:rsidRPr="00190A8C" w:rsidRDefault="00986DE0" w:rsidP="003C7140">
            <w:pPr>
              <w:tabs>
                <w:tab w:val="left" w:pos="851"/>
              </w:tabs>
              <w:jc w:val="center"/>
              <w:rPr>
                <w:rFonts w:ascii="Lato" w:hAnsi="Lato" w:cs="Calibri"/>
                <w:bCs/>
                <w:sz w:val="18"/>
                <w:szCs w:val="18"/>
              </w:rPr>
            </w:pPr>
            <w:r w:rsidRPr="00190A8C">
              <w:rPr>
                <w:rFonts w:ascii="Lato" w:hAnsi="Lato" w:cs="Calibri"/>
                <w:bCs/>
                <w:sz w:val="18"/>
                <w:szCs w:val="18"/>
              </w:rPr>
              <w:t>142</w:t>
            </w:r>
          </w:p>
        </w:tc>
        <w:tc>
          <w:tcPr>
            <w:tcW w:w="984" w:type="dxa"/>
            <w:shd w:val="clear" w:color="auto" w:fill="D9D9D9" w:themeFill="background1" w:themeFillShade="D9"/>
            <w:vAlign w:val="center"/>
          </w:tcPr>
          <w:p w14:paraId="0AFA3DAE" w14:textId="77777777" w:rsidR="00986DE0" w:rsidRPr="00190A8C" w:rsidRDefault="00986DE0" w:rsidP="003C7140">
            <w:pPr>
              <w:tabs>
                <w:tab w:val="left" w:pos="851"/>
              </w:tabs>
              <w:jc w:val="center"/>
              <w:rPr>
                <w:rFonts w:ascii="Lato" w:hAnsi="Lato" w:cs="Calibri"/>
                <w:bCs/>
                <w:color w:val="EE0000"/>
                <w:sz w:val="18"/>
                <w:szCs w:val="18"/>
              </w:rPr>
            </w:pPr>
            <w:r w:rsidRPr="00190A8C">
              <w:rPr>
                <w:rFonts w:ascii="Lato" w:hAnsi="Lato" w:cs="Calibri"/>
                <w:bCs/>
                <w:sz w:val="18"/>
                <w:szCs w:val="18"/>
              </w:rPr>
              <w:t>8,78</w:t>
            </w:r>
          </w:p>
        </w:tc>
        <w:tc>
          <w:tcPr>
            <w:tcW w:w="792" w:type="dxa"/>
            <w:tcBorders>
              <w:right w:val="single" w:sz="4" w:space="0" w:color="auto"/>
            </w:tcBorders>
            <w:shd w:val="clear" w:color="auto" w:fill="D9D9D9" w:themeFill="background1" w:themeFillShade="D9"/>
            <w:vAlign w:val="center"/>
          </w:tcPr>
          <w:p w14:paraId="3D1CDFE1" w14:textId="77777777" w:rsidR="00986DE0" w:rsidRPr="00190A8C" w:rsidRDefault="00986DE0" w:rsidP="003C7140">
            <w:pPr>
              <w:tabs>
                <w:tab w:val="left" w:pos="851"/>
              </w:tabs>
              <w:jc w:val="center"/>
              <w:rPr>
                <w:rFonts w:ascii="Lato" w:hAnsi="Lato" w:cs="Calibri"/>
                <w:bCs/>
                <w:color w:val="EE0000"/>
                <w:sz w:val="18"/>
                <w:szCs w:val="18"/>
              </w:rPr>
            </w:pPr>
            <w:r w:rsidRPr="00190A8C">
              <w:rPr>
                <w:rFonts w:ascii="Lato" w:hAnsi="Lato" w:cs="Calibri"/>
                <w:bCs/>
                <w:sz w:val="18"/>
                <w:szCs w:val="18"/>
              </w:rPr>
              <w:t>1724</w:t>
            </w:r>
          </w:p>
        </w:tc>
        <w:tc>
          <w:tcPr>
            <w:tcW w:w="938" w:type="dxa"/>
            <w:tcBorders>
              <w:left w:val="single" w:sz="4" w:space="0" w:color="auto"/>
            </w:tcBorders>
            <w:shd w:val="clear" w:color="auto" w:fill="D9D9D9" w:themeFill="background1" w:themeFillShade="D9"/>
            <w:vAlign w:val="center"/>
          </w:tcPr>
          <w:p w14:paraId="17C57FE6" w14:textId="77777777" w:rsidR="00986DE0" w:rsidRPr="00190A8C" w:rsidRDefault="00986DE0" w:rsidP="003C7140">
            <w:pPr>
              <w:tabs>
                <w:tab w:val="left" w:pos="851"/>
              </w:tabs>
              <w:jc w:val="center"/>
              <w:rPr>
                <w:rFonts w:ascii="Lato" w:hAnsi="Lato" w:cs="Calibri"/>
                <w:bCs/>
                <w:color w:val="EE0000"/>
                <w:sz w:val="18"/>
                <w:szCs w:val="18"/>
              </w:rPr>
            </w:pPr>
            <w:r w:rsidRPr="00190A8C">
              <w:rPr>
                <w:rFonts w:ascii="Lato" w:hAnsi="Lato" w:cs="Calibri"/>
                <w:bCs/>
                <w:sz w:val="18"/>
                <w:szCs w:val="18"/>
              </w:rPr>
              <w:t>10</w:t>
            </w:r>
          </w:p>
        </w:tc>
        <w:tc>
          <w:tcPr>
            <w:tcW w:w="865" w:type="dxa"/>
            <w:tcBorders>
              <w:left w:val="nil"/>
            </w:tcBorders>
            <w:shd w:val="clear" w:color="auto" w:fill="D9D9D9" w:themeFill="background1" w:themeFillShade="D9"/>
            <w:vAlign w:val="center"/>
          </w:tcPr>
          <w:p w14:paraId="0EC86722" w14:textId="77777777" w:rsidR="00986DE0" w:rsidRPr="00190A8C" w:rsidRDefault="00986DE0" w:rsidP="003C7140">
            <w:pPr>
              <w:tabs>
                <w:tab w:val="left" w:pos="851"/>
              </w:tabs>
              <w:jc w:val="center"/>
              <w:rPr>
                <w:rFonts w:ascii="Lato" w:hAnsi="Lato" w:cs="Calibri"/>
                <w:bCs/>
                <w:color w:val="EE0000"/>
                <w:sz w:val="18"/>
                <w:szCs w:val="18"/>
              </w:rPr>
            </w:pPr>
            <w:r w:rsidRPr="00190A8C">
              <w:rPr>
                <w:rFonts w:ascii="Lato" w:hAnsi="Lato" w:cs="Calibri"/>
                <w:bCs/>
                <w:sz w:val="18"/>
                <w:szCs w:val="18"/>
              </w:rPr>
              <w:t>0,61</w:t>
            </w:r>
          </w:p>
        </w:tc>
        <w:tc>
          <w:tcPr>
            <w:tcW w:w="748" w:type="dxa"/>
            <w:tcBorders>
              <w:right w:val="single" w:sz="4" w:space="0" w:color="auto"/>
            </w:tcBorders>
            <w:shd w:val="clear" w:color="auto" w:fill="D9D9D9" w:themeFill="background1" w:themeFillShade="D9"/>
            <w:vAlign w:val="center"/>
          </w:tcPr>
          <w:p w14:paraId="39294F41" w14:textId="77777777" w:rsidR="00986DE0" w:rsidRPr="00190A8C" w:rsidRDefault="00986DE0" w:rsidP="003C7140">
            <w:pPr>
              <w:tabs>
                <w:tab w:val="left" w:pos="851"/>
              </w:tabs>
              <w:jc w:val="center"/>
              <w:rPr>
                <w:rFonts w:ascii="Lato" w:hAnsi="Lato" w:cs="Calibri"/>
                <w:bCs/>
                <w:color w:val="EE0000"/>
                <w:sz w:val="18"/>
                <w:szCs w:val="18"/>
              </w:rPr>
            </w:pPr>
            <w:r w:rsidRPr="00190A8C">
              <w:rPr>
                <w:rFonts w:ascii="Lato" w:hAnsi="Lato" w:cs="Calibri"/>
                <w:bCs/>
                <w:sz w:val="18"/>
                <w:szCs w:val="18"/>
              </w:rPr>
              <w:t>244</w:t>
            </w:r>
          </w:p>
        </w:tc>
        <w:tc>
          <w:tcPr>
            <w:tcW w:w="982" w:type="dxa"/>
            <w:tcBorders>
              <w:left w:val="single" w:sz="4" w:space="0" w:color="auto"/>
            </w:tcBorders>
            <w:shd w:val="clear" w:color="auto" w:fill="D9D9D9" w:themeFill="background1" w:themeFillShade="D9"/>
            <w:vAlign w:val="center"/>
          </w:tcPr>
          <w:p w14:paraId="00D24A88" w14:textId="77777777" w:rsidR="00986DE0" w:rsidRPr="00190A8C" w:rsidRDefault="00986DE0" w:rsidP="003C7140">
            <w:pPr>
              <w:tabs>
                <w:tab w:val="left" w:pos="851"/>
              </w:tabs>
              <w:jc w:val="center"/>
              <w:rPr>
                <w:rFonts w:ascii="Lato" w:hAnsi="Lato" w:cs="Calibri"/>
                <w:bCs/>
                <w:color w:val="EE0000"/>
                <w:sz w:val="18"/>
                <w:szCs w:val="18"/>
              </w:rPr>
            </w:pPr>
            <w:r w:rsidRPr="00190A8C">
              <w:rPr>
                <w:rFonts w:ascii="Lato" w:hAnsi="Lato" w:cs="Calibri"/>
                <w:bCs/>
                <w:sz w:val="18"/>
                <w:szCs w:val="18"/>
              </w:rPr>
              <w:t>4</w:t>
            </w:r>
          </w:p>
        </w:tc>
        <w:tc>
          <w:tcPr>
            <w:tcW w:w="865" w:type="dxa"/>
            <w:tcBorders>
              <w:left w:val="nil"/>
            </w:tcBorders>
            <w:shd w:val="clear" w:color="auto" w:fill="D9D9D9" w:themeFill="background1" w:themeFillShade="D9"/>
            <w:vAlign w:val="center"/>
          </w:tcPr>
          <w:p w14:paraId="1E81F5AF" w14:textId="77777777" w:rsidR="00986DE0" w:rsidRPr="00190A8C" w:rsidRDefault="00986DE0" w:rsidP="003C7140">
            <w:pPr>
              <w:tabs>
                <w:tab w:val="left" w:pos="851"/>
              </w:tabs>
              <w:jc w:val="center"/>
              <w:rPr>
                <w:rFonts w:ascii="Lato" w:hAnsi="Lato" w:cs="Calibri"/>
                <w:bCs/>
                <w:color w:val="EE0000"/>
                <w:sz w:val="18"/>
                <w:szCs w:val="18"/>
              </w:rPr>
            </w:pPr>
            <w:r w:rsidRPr="00190A8C">
              <w:rPr>
                <w:rFonts w:ascii="Lato" w:hAnsi="Lato" w:cs="Calibri"/>
                <w:bCs/>
                <w:sz w:val="18"/>
                <w:szCs w:val="18"/>
              </w:rPr>
              <w:t>0,24</w:t>
            </w:r>
          </w:p>
        </w:tc>
        <w:tc>
          <w:tcPr>
            <w:tcW w:w="865" w:type="dxa"/>
            <w:shd w:val="clear" w:color="auto" w:fill="D9D9D9" w:themeFill="background1" w:themeFillShade="D9"/>
            <w:vAlign w:val="center"/>
          </w:tcPr>
          <w:p w14:paraId="7ABB0FD7" w14:textId="77777777" w:rsidR="00986DE0" w:rsidRPr="00190A8C" w:rsidRDefault="00986DE0" w:rsidP="003C7140">
            <w:pPr>
              <w:tabs>
                <w:tab w:val="left" w:pos="851"/>
              </w:tabs>
              <w:jc w:val="center"/>
              <w:rPr>
                <w:rFonts w:ascii="Lato" w:hAnsi="Lato" w:cs="Calibri"/>
                <w:bCs/>
                <w:sz w:val="18"/>
                <w:szCs w:val="18"/>
              </w:rPr>
            </w:pPr>
            <w:r w:rsidRPr="00190A8C">
              <w:rPr>
                <w:rFonts w:ascii="Lato" w:hAnsi="Lato" w:cs="Calibri"/>
                <w:bCs/>
                <w:sz w:val="18"/>
                <w:szCs w:val="18"/>
              </w:rPr>
              <w:t>78</w:t>
            </w:r>
          </w:p>
        </w:tc>
      </w:tr>
    </w:tbl>
    <w:p w14:paraId="58D1D708" w14:textId="77777777" w:rsidR="00986DE0" w:rsidRPr="00322BF7" w:rsidRDefault="00986DE0" w:rsidP="00986DE0">
      <w:pPr>
        <w:shd w:val="clear" w:color="auto" w:fill="FFFFFF"/>
        <w:tabs>
          <w:tab w:val="left" w:pos="851"/>
        </w:tabs>
        <w:jc w:val="both"/>
        <w:rPr>
          <w:rFonts w:ascii="Lato" w:hAnsi="Lato" w:cstheme="minorHAnsi"/>
          <w:bCs/>
          <w:color w:val="000000" w:themeColor="text1"/>
          <w:sz w:val="16"/>
          <w:szCs w:val="16"/>
        </w:rPr>
      </w:pPr>
      <w:r w:rsidRPr="00C35EAE">
        <w:rPr>
          <w:rFonts w:ascii="Lato" w:hAnsi="Lato" w:cstheme="minorHAnsi"/>
          <w:bCs/>
          <w:color w:val="000000" w:themeColor="text1"/>
          <w:sz w:val="16"/>
          <w:szCs w:val="16"/>
          <w:vertAlign w:val="superscript"/>
        </w:rPr>
        <w:t>*</w:t>
      </w:r>
      <w:r w:rsidRPr="00C35EAE">
        <w:rPr>
          <w:rFonts w:ascii="Lato" w:hAnsi="Lato" w:cstheme="minorHAnsi"/>
          <w:bCs/>
          <w:color w:val="000000" w:themeColor="text1"/>
          <w:sz w:val="16"/>
          <w:szCs w:val="16"/>
        </w:rPr>
        <w:t xml:space="preserve">dane uwzględniają </w:t>
      </w:r>
      <w:r w:rsidRPr="00C35EAE">
        <w:rPr>
          <w:rFonts w:ascii="Lato" w:hAnsi="Lato" w:cstheme="minorHAnsi"/>
          <w:color w:val="000000" w:themeColor="text1"/>
          <w:sz w:val="16"/>
          <w:szCs w:val="16"/>
        </w:rPr>
        <w:t xml:space="preserve">również </w:t>
      </w:r>
      <w:r w:rsidRPr="00C35EAE">
        <w:rPr>
          <w:rFonts w:ascii="Lato" w:hAnsi="Lato" w:cstheme="minorHAnsi"/>
          <w:bCs/>
          <w:color w:val="000000" w:themeColor="text1"/>
          <w:sz w:val="16"/>
          <w:szCs w:val="16"/>
        </w:rPr>
        <w:t>zakażenia wykryte w PKD w Szczecinie i Koszalinie, których części nie wykazuje NIZP-PZH PIB, uwzględniając badania anonimowe w kategorii „brak danych”</w:t>
      </w:r>
    </w:p>
    <w:p w14:paraId="2B7E5D0B" w14:textId="77777777" w:rsidR="00D20125" w:rsidRDefault="00D20125" w:rsidP="00380507">
      <w:pPr>
        <w:spacing w:line="360" w:lineRule="auto"/>
        <w:rPr>
          <w:rFonts w:ascii="Lato" w:eastAsia="Calibri" w:hAnsi="Lato" w:cstheme="minorHAnsi"/>
          <w:color w:val="000000" w:themeColor="text1"/>
          <w:sz w:val="22"/>
          <w:szCs w:val="22"/>
        </w:rPr>
      </w:pPr>
    </w:p>
    <w:p w14:paraId="0593EC97" w14:textId="77777777" w:rsidR="008E3AEE" w:rsidRPr="00B4716C" w:rsidRDefault="008E3AEE" w:rsidP="008E3AEE">
      <w:pPr>
        <w:spacing w:line="360" w:lineRule="auto"/>
        <w:rPr>
          <w:rFonts w:ascii="Lato" w:eastAsia="Calibri" w:hAnsi="Lato" w:cstheme="minorHAnsi"/>
          <w:color w:val="000000" w:themeColor="text1"/>
          <w:sz w:val="22"/>
          <w:szCs w:val="22"/>
        </w:rPr>
      </w:pPr>
      <w:r w:rsidRPr="00B4716C">
        <w:rPr>
          <w:rFonts w:ascii="Lato" w:eastAsia="Calibri" w:hAnsi="Lato" w:cstheme="minorHAnsi"/>
          <w:color w:val="000000" w:themeColor="text1"/>
          <w:sz w:val="22"/>
          <w:szCs w:val="22"/>
        </w:rPr>
        <w:lastRenderedPageBreak/>
        <w:t>Deklarowaną drogą zakażenia przez nowo zarejestrowane osoby były najczęściej kontakty seksualne (u 11 osób), w pozostałych przypadkach – brak danych.</w:t>
      </w:r>
    </w:p>
    <w:p w14:paraId="16E80206" w14:textId="77777777" w:rsidR="008E3AEE" w:rsidRPr="00383E25" w:rsidRDefault="008E3AEE" w:rsidP="008E3AEE">
      <w:pPr>
        <w:spacing w:line="360" w:lineRule="auto"/>
        <w:rPr>
          <w:rFonts w:ascii="Lato" w:eastAsia="Calibri" w:hAnsi="Lato" w:cstheme="minorHAnsi"/>
          <w:color w:val="000000" w:themeColor="text1"/>
          <w:sz w:val="22"/>
          <w:szCs w:val="22"/>
        </w:rPr>
      </w:pPr>
      <w:r w:rsidRPr="00B4716C">
        <w:rPr>
          <w:rFonts w:ascii="Lato" w:eastAsia="Calibri" w:hAnsi="Lato" w:cstheme="minorHAnsi"/>
          <w:color w:val="000000" w:themeColor="text1"/>
          <w:sz w:val="22"/>
          <w:szCs w:val="22"/>
        </w:rPr>
        <w:t>Liczba zarejestrowanych przypadków HIV/AIDS oraz zgonów w woj. zachodniopomorskim przedstawiona została w tabeli 1</w:t>
      </w:r>
      <w:r>
        <w:rPr>
          <w:rFonts w:ascii="Lato" w:eastAsia="Calibri" w:hAnsi="Lato" w:cstheme="minorHAnsi"/>
          <w:color w:val="000000" w:themeColor="text1"/>
          <w:sz w:val="22"/>
          <w:szCs w:val="22"/>
        </w:rPr>
        <w:t>3</w:t>
      </w:r>
      <w:r w:rsidRPr="00B4716C">
        <w:rPr>
          <w:rFonts w:ascii="Lato" w:eastAsia="Calibri" w:hAnsi="Lato" w:cstheme="minorHAnsi"/>
          <w:color w:val="000000" w:themeColor="text1"/>
          <w:sz w:val="22"/>
          <w:szCs w:val="22"/>
        </w:rPr>
        <w:t>.</w:t>
      </w:r>
    </w:p>
    <w:p w14:paraId="05332367" w14:textId="2442A345" w:rsidR="00986DE0" w:rsidRPr="00B4716C" w:rsidRDefault="00986DE0" w:rsidP="00380507">
      <w:pPr>
        <w:spacing w:line="360" w:lineRule="auto"/>
        <w:rPr>
          <w:rFonts w:ascii="Lato" w:eastAsia="Calibri" w:hAnsi="Lato" w:cstheme="minorHAnsi"/>
          <w:color w:val="000000" w:themeColor="text1"/>
          <w:sz w:val="22"/>
          <w:szCs w:val="22"/>
        </w:rPr>
      </w:pPr>
      <w:r w:rsidRPr="00B4716C">
        <w:rPr>
          <w:rFonts w:ascii="Lato" w:eastAsia="Calibri" w:hAnsi="Lato" w:cstheme="minorHAnsi"/>
          <w:color w:val="000000" w:themeColor="text1"/>
          <w:sz w:val="22"/>
          <w:szCs w:val="22"/>
        </w:rPr>
        <w:t>W woj. zachodniopomorskim funkcjonują dwa Punkty Konsultacyjno-Diagnostyczne (PKD) w Szczecinie i Koszalinie wykonujące anonimowo i bezpłatnie badania w kierunku zakażenia wirusem HIV połączone z profesjonalnym poradnictwem przed i po teście. W PKD w Szczecinie dodatkowo wykonywane są badania w kierunku kiły i HCV.</w:t>
      </w:r>
    </w:p>
    <w:p w14:paraId="5E5D0E92" w14:textId="0F2580AB" w:rsidR="00986DE0" w:rsidRDefault="00986DE0" w:rsidP="00380507">
      <w:pPr>
        <w:spacing w:line="360" w:lineRule="auto"/>
        <w:rPr>
          <w:rFonts w:ascii="Lato" w:eastAsia="Calibri" w:hAnsi="Lato" w:cstheme="minorHAnsi"/>
          <w:color w:val="000000" w:themeColor="text1"/>
          <w:sz w:val="22"/>
          <w:szCs w:val="22"/>
        </w:rPr>
      </w:pPr>
      <w:r w:rsidRPr="00B4716C">
        <w:rPr>
          <w:rFonts w:ascii="Lato" w:eastAsia="Calibri" w:hAnsi="Lato" w:cstheme="minorHAnsi"/>
          <w:color w:val="000000" w:themeColor="text1"/>
          <w:sz w:val="22"/>
          <w:szCs w:val="22"/>
        </w:rPr>
        <w:t>W 2025 roku w PKD w Szczecinie stwierdzono zakażenie wirusem HIV u 28 osób, przy czym ogółem testy wykonano u 1361 osób. W PKD w Koszalinie wykryto 3 zakażenia wirusem HIV.</w:t>
      </w:r>
    </w:p>
    <w:p w14:paraId="0D2D5D0F" w14:textId="77777777" w:rsidR="00EA0E18" w:rsidRPr="00B4716C" w:rsidRDefault="00EA0E18" w:rsidP="00380507">
      <w:pPr>
        <w:spacing w:line="360" w:lineRule="auto"/>
        <w:rPr>
          <w:rFonts w:ascii="Lato" w:eastAsia="Calibri" w:hAnsi="Lato" w:cstheme="minorHAnsi"/>
          <w:color w:val="000000" w:themeColor="text1"/>
          <w:sz w:val="22"/>
          <w:szCs w:val="22"/>
        </w:rPr>
      </w:pPr>
    </w:p>
    <w:p w14:paraId="3304CF3B" w14:textId="452402D0" w:rsidR="00986DE0" w:rsidRDefault="00986DE0">
      <w:pPr>
        <w:pStyle w:val="Nagwek3"/>
        <w:numPr>
          <w:ilvl w:val="1"/>
          <w:numId w:val="9"/>
        </w:numPr>
        <w:spacing w:before="0" w:after="0" w:line="360" w:lineRule="auto"/>
        <w:ind w:right="284" w:hanging="284"/>
        <w:rPr>
          <w:color w:val="auto"/>
          <w:szCs w:val="22"/>
        </w:rPr>
      </w:pPr>
      <w:bookmarkStart w:id="57" w:name="_Toc225235853"/>
      <w:bookmarkStart w:id="58" w:name="_Toc225859040"/>
      <w:r w:rsidRPr="00665EA1">
        <w:rPr>
          <w:color w:val="auto"/>
          <w:szCs w:val="22"/>
        </w:rPr>
        <w:t>Tularemia</w:t>
      </w:r>
      <w:bookmarkEnd w:id="57"/>
      <w:bookmarkEnd w:id="58"/>
    </w:p>
    <w:p w14:paraId="0C6ADAD0" w14:textId="77777777" w:rsidR="00EA0E18" w:rsidRPr="00EA0E18" w:rsidRDefault="00EA0E18" w:rsidP="00EA0E18">
      <w:pPr>
        <w:rPr>
          <w:rFonts w:ascii="Lato" w:hAnsi="Lato"/>
          <w:sz w:val="22"/>
          <w:szCs w:val="22"/>
        </w:rPr>
      </w:pPr>
    </w:p>
    <w:p w14:paraId="5A8EDC41" w14:textId="77777777" w:rsidR="00986DE0" w:rsidRPr="00B4716C" w:rsidRDefault="00986DE0" w:rsidP="00380507">
      <w:pPr>
        <w:spacing w:line="360" w:lineRule="auto"/>
        <w:rPr>
          <w:rFonts w:ascii="Lato" w:hAnsi="Lato" w:cstheme="minorHAnsi"/>
          <w:color w:val="000000" w:themeColor="text1"/>
          <w:sz w:val="22"/>
          <w:szCs w:val="22"/>
        </w:rPr>
      </w:pPr>
      <w:r w:rsidRPr="00B4716C">
        <w:rPr>
          <w:rFonts w:ascii="Lato" w:eastAsia="Calibri" w:hAnsi="Lato" w:cs="Calibri"/>
          <w:color w:val="000000" w:themeColor="text1"/>
          <w:sz w:val="22"/>
          <w:szCs w:val="22"/>
        </w:rPr>
        <w:t xml:space="preserve">W 2025 roku w woj. zachodniopomorskim zarejestrowano 23 przypadki tularemii </w:t>
      </w:r>
      <w:r w:rsidRPr="00B4716C">
        <w:rPr>
          <w:rFonts w:ascii="Lato" w:eastAsia="Calibri" w:hAnsi="Lato" w:cs="Calibri"/>
          <w:color w:val="000000" w:themeColor="text1"/>
          <w:spacing w:val="-2"/>
          <w:sz w:val="22"/>
          <w:szCs w:val="22"/>
        </w:rPr>
        <w:t>(wskaźnik zapadalności 1,42 na 100 tys. mieszkańców), tj. o 14 zachorowań więcej niż w 2024 r. (9 przypadków).</w:t>
      </w:r>
      <w:r w:rsidRPr="00B4716C">
        <w:rPr>
          <w:rFonts w:ascii="Lato" w:eastAsia="Calibri" w:hAnsi="Lato" w:cs="Calibri"/>
          <w:color w:val="000000" w:themeColor="text1"/>
          <w:sz w:val="22"/>
          <w:szCs w:val="22"/>
        </w:rPr>
        <w:t xml:space="preserve"> Choroba przebiegała w 18 przypadkach pod postacią wrzodziejąco- węzłową, w 3 pod postacią węzłową i w 2 pod inną lub nieznaną postacią. </w:t>
      </w:r>
      <w:r w:rsidRPr="00B4716C">
        <w:rPr>
          <w:rFonts w:ascii="Lato" w:eastAsia="Calibri" w:hAnsi="Lato" w:cstheme="minorHAnsi"/>
          <w:color w:val="000000" w:themeColor="text1"/>
          <w:sz w:val="22"/>
          <w:szCs w:val="22"/>
        </w:rPr>
        <w:t>Wszystkie osoby</w:t>
      </w:r>
      <w:r w:rsidRPr="00B4716C">
        <w:rPr>
          <w:rFonts w:ascii="Lato" w:hAnsi="Lato" w:cstheme="minorHAnsi"/>
          <w:color w:val="000000" w:themeColor="text1"/>
          <w:sz w:val="22"/>
          <w:szCs w:val="22"/>
        </w:rPr>
        <w:t xml:space="preserve"> wyzdrowiały.</w:t>
      </w:r>
      <w:r w:rsidRPr="00B4716C">
        <w:rPr>
          <w:rFonts w:ascii="Lato" w:eastAsia="Calibri" w:hAnsi="Lato" w:cs="Calibri"/>
          <w:color w:val="000000" w:themeColor="text1"/>
          <w:sz w:val="22"/>
          <w:szCs w:val="22"/>
        </w:rPr>
        <w:t xml:space="preserve"> Hospitalizacją byli objęci wszyscy pacjenci. W porównaniu z całym krajem, sytuacja epidemiologiczna w woj. zachodniopomorskim była mniej korzystna. Należy podkreślić, że odnotowana liczba przypadków w woj. zachodniopomorskim stanowiła ponad 28% zachorowań w Polsce, a współczynnik zapadalności był ponad 6 razy wyższy niż krajowy.</w:t>
      </w:r>
    </w:p>
    <w:p w14:paraId="35A490F1" w14:textId="77777777" w:rsidR="00986DE0" w:rsidRPr="00B4716C" w:rsidRDefault="00986DE0" w:rsidP="00380507">
      <w:pPr>
        <w:spacing w:line="360" w:lineRule="auto"/>
        <w:rPr>
          <w:rFonts w:ascii="Lato" w:hAnsi="Lato" w:cstheme="minorHAnsi"/>
          <w:color w:val="000000" w:themeColor="text1"/>
          <w:sz w:val="22"/>
          <w:szCs w:val="22"/>
        </w:rPr>
      </w:pPr>
      <w:r w:rsidRPr="00B4716C">
        <w:rPr>
          <w:rFonts w:ascii="Lato" w:eastAsia="Calibri" w:hAnsi="Lato" w:cs="Calibri"/>
          <w:color w:val="000000" w:themeColor="text1"/>
          <w:sz w:val="22"/>
          <w:szCs w:val="22"/>
        </w:rPr>
        <w:t>Wg piśmiennictwa, w Polsce tularemia występuje endemicznie w północnej części kraju z lokalizacją ognisk w okolicach Szczecina i Olsztyna (</w:t>
      </w:r>
      <w:r w:rsidRPr="00B4716C">
        <w:rPr>
          <w:rFonts w:ascii="Lato" w:eastAsia="Calibri" w:hAnsi="Lato" w:cs="Calibri"/>
          <w:i/>
          <w:color w:val="000000" w:themeColor="text1"/>
          <w:sz w:val="22"/>
          <w:szCs w:val="22"/>
        </w:rPr>
        <w:t>Choroby zakaźne i pasożytnicze –epidemiologia i profilaktyka</w:t>
      </w:r>
      <w:r w:rsidRPr="00B4716C">
        <w:rPr>
          <w:rFonts w:ascii="Lato" w:eastAsia="Calibri" w:hAnsi="Lato" w:cs="Calibri"/>
          <w:color w:val="000000" w:themeColor="text1"/>
          <w:sz w:val="22"/>
          <w:szCs w:val="22"/>
        </w:rPr>
        <w:t xml:space="preserve">, autor: W. </w:t>
      </w:r>
      <w:proofErr w:type="spellStart"/>
      <w:r w:rsidRPr="00B4716C">
        <w:rPr>
          <w:rFonts w:ascii="Lato" w:eastAsia="Calibri" w:hAnsi="Lato" w:cs="Calibri"/>
          <w:color w:val="000000" w:themeColor="text1"/>
          <w:sz w:val="22"/>
          <w:szCs w:val="22"/>
        </w:rPr>
        <w:t>Magdzik</w:t>
      </w:r>
      <w:proofErr w:type="spellEnd"/>
      <w:r w:rsidRPr="00B4716C">
        <w:rPr>
          <w:rFonts w:ascii="Lato" w:eastAsia="Calibri" w:hAnsi="Lato" w:cs="Calibri"/>
          <w:color w:val="000000" w:themeColor="text1"/>
          <w:sz w:val="22"/>
          <w:szCs w:val="22"/>
        </w:rPr>
        <w:t>, D. Naruszewicz-Lesiuk, A. Zieliński).</w:t>
      </w:r>
    </w:p>
    <w:p w14:paraId="0559338A" w14:textId="0FE07013" w:rsidR="00986DE0" w:rsidRDefault="00986DE0" w:rsidP="00380507">
      <w:pPr>
        <w:spacing w:line="360" w:lineRule="auto"/>
        <w:rPr>
          <w:rFonts w:ascii="Lato" w:hAnsi="Lato" w:cs="Calibri"/>
          <w:color w:val="000000" w:themeColor="text1"/>
          <w:sz w:val="22"/>
          <w:szCs w:val="22"/>
        </w:rPr>
      </w:pPr>
      <w:r w:rsidRPr="00B4716C">
        <w:rPr>
          <w:rFonts w:ascii="Lato" w:hAnsi="Lato" w:cs="Calibri"/>
          <w:color w:val="000000" w:themeColor="text1"/>
          <w:sz w:val="22"/>
          <w:szCs w:val="22"/>
        </w:rPr>
        <w:t>Z danych uzyskanych od chorych w trakcie przeprowadzania wywiadów epidemiologicznych wynika, że najczęściej jako wektor narażenia wskazywano owady (komary, kleszcze pchły).</w:t>
      </w:r>
    </w:p>
    <w:p w14:paraId="798B7FBA" w14:textId="77777777" w:rsidR="00EA0E18" w:rsidRPr="00B4716C" w:rsidRDefault="00EA0E18" w:rsidP="00380507">
      <w:pPr>
        <w:spacing w:line="360" w:lineRule="auto"/>
        <w:rPr>
          <w:rFonts w:ascii="Lato" w:hAnsi="Lato" w:cstheme="minorHAnsi"/>
          <w:color w:val="000000" w:themeColor="text1"/>
          <w:sz w:val="22"/>
          <w:szCs w:val="22"/>
        </w:rPr>
      </w:pPr>
    </w:p>
    <w:p w14:paraId="4A1ADB45" w14:textId="27979795" w:rsidR="00986DE0" w:rsidRDefault="00986DE0">
      <w:pPr>
        <w:pStyle w:val="Nagwek3"/>
        <w:numPr>
          <w:ilvl w:val="1"/>
          <w:numId w:val="9"/>
        </w:numPr>
        <w:spacing w:before="0" w:after="0" w:line="360" w:lineRule="auto"/>
        <w:ind w:right="284" w:hanging="284"/>
        <w:rPr>
          <w:color w:val="auto"/>
          <w:szCs w:val="22"/>
        </w:rPr>
      </w:pPr>
      <w:bookmarkStart w:id="59" w:name="_Toc225235854"/>
      <w:bookmarkStart w:id="60" w:name="_Toc225859041"/>
      <w:proofErr w:type="spellStart"/>
      <w:r w:rsidRPr="00665EA1">
        <w:rPr>
          <w:color w:val="auto"/>
          <w:szCs w:val="22"/>
        </w:rPr>
        <w:t>Legioneloza</w:t>
      </w:r>
      <w:bookmarkEnd w:id="59"/>
      <w:bookmarkEnd w:id="60"/>
      <w:proofErr w:type="spellEnd"/>
    </w:p>
    <w:p w14:paraId="7637C33D" w14:textId="77777777" w:rsidR="00EA0E18" w:rsidRPr="00EA0E18" w:rsidRDefault="00EA0E18" w:rsidP="00EA0E18">
      <w:pPr>
        <w:rPr>
          <w:rFonts w:ascii="Lato" w:hAnsi="Lato"/>
          <w:sz w:val="22"/>
          <w:szCs w:val="22"/>
        </w:rPr>
      </w:pPr>
    </w:p>
    <w:p w14:paraId="035AD15E" w14:textId="07D4C645" w:rsidR="00986DE0" w:rsidRDefault="00986DE0" w:rsidP="00380507">
      <w:pPr>
        <w:spacing w:line="360" w:lineRule="auto"/>
        <w:rPr>
          <w:rFonts w:ascii="Lato" w:eastAsia="Calibri" w:hAnsi="Lato" w:cs="Calibri"/>
          <w:color w:val="000000" w:themeColor="text1"/>
          <w:sz w:val="22"/>
          <w:szCs w:val="22"/>
        </w:rPr>
      </w:pPr>
      <w:r w:rsidRPr="00B4716C">
        <w:rPr>
          <w:rFonts w:ascii="Lato" w:eastAsia="Calibri" w:hAnsi="Lato" w:cs="Calibri"/>
          <w:color w:val="000000" w:themeColor="text1"/>
          <w:sz w:val="22"/>
          <w:szCs w:val="22"/>
        </w:rPr>
        <w:t xml:space="preserve">W 2025 roku w woj. zachodniopomorskim zarejestrowano 34 przypadki </w:t>
      </w:r>
      <w:proofErr w:type="spellStart"/>
      <w:r w:rsidRPr="00B4716C">
        <w:rPr>
          <w:rFonts w:ascii="Lato" w:eastAsia="Calibri" w:hAnsi="Lato" w:cs="Calibri"/>
          <w:color w:val="000000" w:themeColor="text1"/>
          <w:sz w:val="22"/>
          <w:szCs w:val="22"/>
        </w:rPr>
        <w:t>legionelozy</w:t>
      </w:r>
      <w:proofErr w:type="spellEnd"/>
      <w:r w:rsidRPr="00B4716C">
        <w:rPr>
          <w:rFonts w:ascii="Lato" w:eastAsia="Calibri" w:hAnsi="Lato" w:cs="Calibri"/>
          <w:color w:val="000000" w:themeColor="text1"/>
          <w:sz w:val="22"/>
          <w:szCs w:val="22"/>
        </w:rPr>
        <w:t xml:space="preserve">, w tym 32 przypadki choroby legionistów oraz 2 przypadki gorączki Pontiac </w:t>
      </w:r>
      <w:r w:rsidRPr="00B4716C">
        <w:rPr>
          <w:rFonts w:ascii="Lato" w:eastAsia="Calibri" w:hAnsi="Lato" w:cs="Calibri"/>
          <w:color w:val="000000" w:themeColor="text1"/>
          <w:spacing w:val="-2"/>
          <w:sz w:val="22"/>
          <w:szCs w:val="22"/>
        </w:rPr>
        <w:t>(wskaźnik zapadalności 2,1 na</w:t>
      </w:r>
      <w:r w:rsidR="00E31B5B">
        <w:rPr>
          <w:rFonts w:ascii="Lato" w:eastAsia="Calibri" w:hAnsi="Lato" w:cs="Calibri"/>
          <w:color w:val="000000" w:themeColor="text1"/>
          <w:spacing w:val="-2"/>
          <w:sz w:val="22"/>
          <w:szCs w:val="22"/>
        </w:rPr>
        <w:t> </w:t>
      </w:r>
      <w:r w:rsidRPr="00B4716C">
        <w:rPr>
          <w:rFonts w:ascii="Lato" w:eastAsia="Calibri" w:hAnsi="Lato" w:cs="Calibri"/>
          <w:color w:val="000000" w:themeColor="text1"/>
          <w:spacing w:val="-2"/>
          <w:sz w:val="22"/>
          <w:szCs w:val="22"/>
        </w:rPr>
        <w:t xml:space="preserve">100 tys. mieszkańców), tj. o 8 zachorowań więcej niż w 2024 r. </w:t>
      </w:r>
      <w:r w:rsidRPr="00B4716C">
        <w:rPr>
          <w:rFonts w:ascii="Lato" w:eastAsia="Calibri" w:hAnsi="Lato" w:cstheme="minorHAnsi"/>
          <w:color w:val="000000" w:themeColor="text1"/>
          <w:sz w:val="22"/>
          <w:szCs w:val="22"/>
        </w:rPr>
        <w:t xml:space="preserve">Wszystkie przypadki były sporadyczne, niepowiązane między sobą. Wśród zarejestrowanych osób: 24 wyzdrowiały, 10 zmarło, w tym 4 z innej przyczyny niż zgłoszona choroba. </w:t>
      </w:r>
      <w:r w:rsidRPr="00B4716C">
        <w:rPr>
          <w:rFonts w:ascii="Lato" w:eastAsia="Calibri" w:hAnsi="Lato" w:cs="Calibri"/>
          <w:color w:val="000000" w:themeColor="text1"/>
          <w:sz w:val="22"/>
          <w:szCs w:val="22"/>
        </w:rPr>
        <w:t>Hospitalizacją byli objęci wszyscy pacjenci. W porównaniu z całym krajem, sytuacja epidemiologiczna w woj. zachodniopomorskim była nieco mniej korzystna (</w:t>
      </w:r>
      <w:r w:rsidRPr="00B4716C">
        <w:rPr>
          <w:rFonts w:ascii="Lato" w:eastAsia="Calibri" w:hAnsi="Lato" w:cs="Calibri"/>
          <w:color w:val="000000" w:themeColor="text1"/>
          <w:spacing w:val="-2"/>
          <w:sz w:val="22"/>
          <w:szCs w:val="22"/>
        </w:rPr>
        <w:t xml:space="preserve">wskaźnik zapadalności w Polsce 1,45 na 100 </w:t>
      </w:r>
      <w:r w:rsidRPr="00B4716C">
        <w:rPr>
          <w:rFonts w:ascii="Lato" w:eastAsia="Calibri" w:hAnsi="Lato" w:cs="Calibri"/>
          <w:color w:val="000000" w:themeColor="text1"/>
          <w:spacing w:val="-2"/>
          <w:sz w:val="22"/>
          <w:szCs w:val="22"/>
        </w:rPr>
        <w:lastRenderedPageBreak/>
        <w:t>tys. mieszkańców</w:t>
      </w:r>
      <w:r w:rsidRPr="00B4716C">
        <w:rPr>
          <w:rFonts w:ascii="Lato" w:eastAsia="Calibri" w:hAnsi="Lato" w:cs="Calibri"/>
          <w:color w:val="000000" w:themeColor="text1"/>
          <w:sz w:val="22"/>
          <w:szCs w:val="22"/>
        </w:rPr>
        <w:t>).Każdorazowo prowadząc dochodzenie epidemiologiczne po zgłoszeniu zachorowania poddawano analizie warunki bytowe lub miejsce pobytu osoby pod kątem poszukiwania źródła zakażenia, pobierano próbki wody do badań i analizowano monitoring wody w obiektach oraz wdrażano działania informacyjno-edukacyjne.</w:t>
      </w:r>
    </w:p>
    <w:p w14:paraId="2A5943AA" w14:textId="77777777" w:rsidR="00EA0E18" w:rsidRPr="00B4716C" w:rsidRDefault="00EA0E18" w:rsidP="00380507">
      <w:pPr>
        <w:spacing w:line="360" w:lineRule="auto"/>
        <w:rPr>
          <w:rFonts w:ascii="Lato" w:eastAsia="Calibri" w:hAnsi="Lato" w:cs="Calibri"/>
          <w:color w:val="000000" w:themeColor="text1"/>
          <w:sz w:val="22"/>
          <w:szCs w:val="22"/>
        </w:rPr>
      </w:pPr>
    </w:p>
    <w:p w14:paraId="4E1EBAD2" w14:textId="2892CF2C" w:rsidR="00986DE0" w:rsidRDefault="00986DE0">
      <w:pPr>
        <w:pStyle w:val="Nagwek3"/>
        <w:numPr>
          <w:ilvl w:val="1"/>
          <w:numId w:val="9"/>
        </w:numPr>
        <w:spacing w:before="0" w:after="0"/>
        <w:ind w:right="284" w:hanging="284"/>
        <w:rPr>
          <w:color w:val="auto"/>
          <w:szCs w:val="22"/>
        </w:rPr>
      </w:pPr>
      <w:bookmarkStart w:id="61" w:name="_Toc225235855"/>
      <w:bookmarkStart w:id="62" w:name="_Toc225859042"/>
      <w:r w:rsidRPr="00665EA1">
        <w:rPr>
          <w:color w:val="auto"/>
          <w:szCs w:val="22"/>
        </w:rPr>
        <w:t>Podsumowanie</w:t>
      </w:r>
      <w:bookmarkEnd w:id="61"/>
      <w:bookmarkEnd w:id="62"/>
    </w:p>
    <w:p w14:paraId="48C3E5B9" w14:textId="77777777" w:rsidR="00EA0E18" w:rsidRPr="00EA0E18" w:rsidRDefault="00EA0E18" w:rsidP="00EA0E18">
      <w:pPr>
        <w:rPr>
          <w:rFonts w:ascii="Lato" w:hAnsi="Lato"/>
          <w:sz w:val="22"/>
          <w:szCs w:val="22"/>
        </w:rPr>
      </w:pPr>
    </w:p>
    <w:p w14:paraId="1194A3DE" w14:textId="77777777" w:rsidR="00547532" w:rsidRDefault="00547532" w:rsidP="00547532">
      <w:pPr>
        <w:pStyle w:val="Standard"/>
        <w:spacing w:line="360" w:lineRule="auto"/>
        <w:rPr>
          <w:rFonts w:ascii="Lato" w:eastAsia="Calibri" w:hAnsi="Lato" w:cs="Calibri"/>
          <w:color w:val="000000" w:themeColor="text1"/>
          <w:sz w:val="22"/>
          <w:szCs w:val="22"/>
        </w:rPr>
      </w:pPr>
      <w:r w:rsidRPr="00AA4517">
        <w:rPr>
          <w:rFonts w:ascii="Lato" w:eastAsia="Calibri" w:hAnsi="Lato" w:cs="Calibri"/>
          <w:color w:val="000000" w:themeColor="text1"/>
          <w:sz w:val="22"/>
          <w:szCs w:val="22"/>
        </w:rPr>
        <w:t>Sytuację epidemiologiczną w zakresie chorób zakaźnych w 2025 r. należy ocenić jako stabilną</w:t>
      </w:r>
      <w:r>
        <w:rPr>
          <w:rFonts w:ascii="Lato" w:eastAsia="Calibri" w:hAnsi="Lato" w:cs="Calibri"/>
          <w:color w:val="000000" w:themeColor="text1"/>
          <w:sz w:val="22"/>
          <w:szCs w:val="22"/>
        </w:rPr>
        <w:t xml:space="preserve"> -  poprawiła się sytuacja chorób, którym można zapobiegać poprzez szczepienia, a także zatruć pokarmowych. Nie występowały masywne ogniska chorób zakaźnych, a poprzez skuteczne działania przeciwepidemiczne udawało się przerwać transmisję zakażeń w środowisku.</w:t>
      </w:r>
    </w:p>
    <w:p w14:paraId="7724051E" w14:textId="149288F4" w:rsidR="00383E25" w:rsidRDefault="00986DE0" w:rsidP="00380507">
      <w:pPr>
        <w:spacing w:line="360" w:lineRule="auto"/>
        <w:rPr>
          <w:rFonts w:ascii="Lato" w:eastAsia="Calibri" w:hAnsi="Lato" w:cs="Calibri"/>
          <w:color w:val="000000" w:themeColor="text1"/>
          <w:sz w:val="22"/>
          <w:szCs w:val="22"/>
        </w:rPr>
      </w:pPr>
      <w:r w:rsidRPr="00B4716C">
        <w:rPr>
          <w:rFonts w:ascii="Lato" w:eastAsia="Calibri" w:hAnsi="Lato" w:cs="Calibri"/>
          <w:color w:val="000000" w:themeColor="text1"/>
          <w:sz w:val="22"/>
          <w:szCs w:val="22"/>
        </w:rPr>
        <w:t>Sytuacja epidemiologiczna wybranych chorób zakaźnych w woj. zachodniopomorskim w latach 2024-2025 przedstawiona została w tabeli 1</w:t>
      </w:r>
      <w:r w:rsidR="0094702F">
        <w:rPr>
          <w:rFonts w:ascii="Lato" w:eastAsia="Calibri" w:hAnsi="Lato" w:cs="Calibri"/>
          <w:color w:val="000000" w:themeColor="text1"/>
          <w:sz w:val="22"/>
          <w:szCs w:val="22"/>
        </w:rPr>
        <w:t>4</w:t>
      </w:r>
      <w:r w:rsidRPr="00B4716C">
        <w:rPr>
          <w:rFonts w:ascii="Lato" w:eastAsia="Calibri" w:hAnsi="Lato" w:cs="Calibri"/>
          <w:color w:val="000000" w:themeColor="text1"/>
          <w:sz w:val="22"/>
          <w:szCs w:val="22"/>
        </w:rPr>
        <w:t>.</w:t>
      </w:r>
    </w:p>
    <w:p w14:paraId="36D4A848" w14:textId="1E22BC3A" w:rsidR="00E2135B" w:rsidRPr="00B4716C" w:rsidRDefault="00E2135B" w:rsidP="00E2135B">
      <w:pPr>
        <w:pStyle w:val="Standard"/>
        <w:spacing w:line="360" w:lineRule="auto"/>
        <w:rPr>
          <w:color w:val="000000" w:themeColor="text1"/>
          <w:sz w:val="22"/>
          <w:szCs w:val="22"/>
        </w:rPr>
      </w:pPr>
      <w:r w:rsidRPr="00AA4517">
        <w:rPr>
          <w:rFonts w:ascii="Lato" w:eastAsia="Calibri" w:hAnsi="Lato" w:cs="Calibri"/>
          <w:color w:val="000000" w:themeColor="text1"/>
          <w:sz w:val="22"/>
          <w:szCs w:val="22"/>
        </w:rPr>
        <w:t xml:space="preserve">W 2025 r. podobnie jak w dwóch poprzednich latach utrzymywał się trend malejący w odniesieniu do ospy wietrznej, zakażenia szerzącego się szczególnie wśród dzieci drogą kropelkową </w:t>
      </w:r>
      <w:r w:rsidRPr="00A04F6E">
        <w:rPr>
          <w:rFonts w:ascii="Lato" w:eastAsia="Calibri" w:hAnsi="Lato" w:cs="Calibri"/>
          <w:color w:val="000000" w:themeColor="text1"/>
          <w:sz w:val="22"/>
          <w:szCs w:val="22"/>
        </w:rPr>
        <w:t>oraz poprzez kontakt bezpośredni</w:t>
      </w:r>
      <w:r w:rsidRPr="00AA4517">
        <w:rPr>
          <w:rFonts w:ascii="Lato" w:eastAsia="Calibri" w:hAnsi="Lato" w:cs="Calibri"/>
          <w:color w:val="000000" w:themeColor="text1"/>
          <w:sz w:val="22"/>
          <w:szCs w:val="22"/>
        </w:rPr>
        <w:t>. Niewątpliwy wpływ na taką sytuację miały szczepienia ochronne realizowane nieodpłatnie w populacji dzieci uczęszczających do</w:t>
      </w:r>
      <w:r>
        <w:rPr>
          <w:rFonts w:ascii="Lato" w:eastAsia="Calibri" w:hAnsi="Lato" w:cs="Calibri"/>
          <w:color w:val="000000" w:themeColor="text1"/>
          <w:sz w:val="22"/>
          <w:szCs w:val="22"/>
        </w:rPr>
        <w:t> </w:t>
      </w:r>
      <w:r w:rsidRPr="00AA4517">
        <w:rPr>
          <w:rFonts w:ascii="Lato" w:eastAsia="Calibri" w:hAnsi="Lato" w:cs="Calibri"/>
          <w:color w:val="000000" w:themeColor="text1"/>
          <w:sz w:val="22"/>
          <w:szCs w:val="22"/>
        </w:rPr>
        <w:t>klubików dziecięcych oraz żłobków.</w:t>
      </w:r>
      <w:r w:rsidRPr="004215D5">
        <w:rPr>
          <w:rFonts w:ascii="Lato" w:eastAsia="Calibri" w:hAnsi="Lato" w:cs="Calibri"/>
          <w:color w:val="EE0000"/>
          <w:sz w:val="22"/>
          <w:szCs w:val="22"/>
        </w:rPr>
        <w:t xml:space="preserve"> </w:t>
      </w:r>
      <w:r w:rsidRPr="00AA4517">
        <w:rPr>
          <w:rFonts w:ascii="Lato" w:eastAsia="Calibri" w:hAnsi="Lato" w:cs="Calibri"/>
          <w:color w:val="000000" w:themeColor="text1"/>
          <w:sz w:val="22"/>
          <w:szCs w:val="22"/>
        </w:rPr>
        <w:t xml:space="preserve">Ponadto po gwałtownym wzroście w 2024 roku zachorowań na krztusiec, określanego jako epidemia wyrównawcza, </w:t>
      </w:r>
      <w:r>
        <w:rPr>
          <w:rFonts w:ascii="Lato" w:eastAsia="Calibri" w:hAnsi="Lato" w:cs="Calibri"/>
          <w:color w:val="000000" w:themeColor="text1"/>
          <w:sz w:val="22"/>
          <w:szCs w:val="22"/>
        </w:rPr>
        <w:t xml:space="preserve">w 2025 r. </w:t>
      </w:r>
      <w:r w:rsidRPr="00AA4517">
        <w:rPr>
          <w:rFonts w:ascii="Lato" w:eastAsia="Calibri" w:hAnsi="Lato" w:cs="Calibri"/>
          <w:color w:val="000000" w:themeColor="text1"/>
          <w:sz w:val="22"/>
          <w:szCs w:val="22"/>
        </w:rPr>
        <w:t>nastąpiła znaczna poprawa sytuacji epidemiologicznej tej choroby zarówno w Polsce, jak też w regionie- współczynnik zapadalności na krztusiec w województwie obniżył się prawie 2-krotnie</w:t>
      </w:r>
      <w:r>
        <w:rPr>
          <w:rFonts w:ascii="Lato" w:eastAsia="Calibri" w:hAnsi="Lato" w:cs="Calibri"/>
          <w:color w:val="000000" w:themeColor="text1"/>
          <w:sz w:val="22"/>
          <w:szCs w:val="22"/>
        </w:rPr>
        <w:t xml:space="preserve">. </w:t>
      </w:r>
      <w:r w:rsidRPr="00AA4517">
        <w:rPr>
          <w:rFonts w:ascii="Lato" w:eastAsia="Calibri" w:hAnsi="Lato" w:cs="Calibri"/>
          <w:color w:val="000000" w:themeColor="text1"/>
          <w:sz w:val="22"/>
          <w:szCs w:val="22"/>
        </w:rPr>
        <w:t>W</w:t>
      </w:r>
      <w:r>
        <w:rPr>
          <w:rFonts w:ascii="Lato" w:eastAsia="Calibri" w:hAnsi="Lato" w:cs="Calibri"/>
          <w:color w:val="000000" w:themeColor="text1"/>
          <w:sz w:val="22"/>
          <w:szCs w:val="22"/>
        </w:rPr>
        <w:t> </w:t>
      </w:r>
      <w:r w:rsidRPr="00AA4517">
        <w:rPr>
          <w:rFonts w:ascii="Lato" w:eastAsia="Calibri" w:hAnsi="Lato" w:cs="Calibri"/>
          <w:color w:val="000000" w:themeColor="text1"/>
          <w:sz w:val="22"/>
          <w:szCs w:val="22"/>
        </w:rPr>
        <w:t>analizowanym okresie nastąpił spadek zatruć pokarmowych o etiologii Salmonella</w:t>
      </w:r>
      <w:r w:rsidRPr="00AA4517">
        <w:rPr>
          <w:rFonts w:ascii="Lato" w:eastAsia="Calibri" w:hAnsi="Lato" w:cs="Calibri"/>
          <w:i/>
          <w:iCs/>
          <w:color w:val="000000" w:themeColor="text1"/>
          <w:sz w:val="22"/>
          <w:szCs w:val="22"/>
        </w:rPr>
        <w:t xml:space="preserve">. </w:t>
      </w:r>
      <w:r w:rsidRPr="00AA4517">
        <w:rPr>
          <w:rFonts w:ascii="Lato" w:eastAsia="Calibri" w:hAnsi="Lato" w:cs="Calibri"/>
          <w:color w:val="000000" w:themeColor="text1"/>
          <w:sz w:val="22"/>
          <w:szCs w:val="22"/>
        </w:rPr>
        <w:t xml:space="preserve">Ponadto w </w:t>
      </w:r>
      <w:r w:rsidRPr="00B4716C">
        <w:rPr>
          <w:rFonts w:ascii="Lato" w:eastAsia="Calibri" w:hAnsi="Lato" w:cs="Calibri"/>
          <w:color w:val="000000" w:themeColor="text1"/>
          <w:sz w:val="22"/>
          <w:szCs w:val="22"/>
        </w:rPr>
        <w:t>regionie odnotowano spadek o prawie 40 % liczby ognisk zakażeń przenoszonych drogą pokarmową.</w:t>
      </w:r>
      <w:r w:rsidR="00C91DF8">
        <w:rPr>
          <w:rFonts w:ascii="Lato" w:eastAsia="Calibri" w:hAnsi="Lato" w:cs="Calibri"/>
          <w:color w:val="000000" w:themeColor="text1"/>
          <w:sz w:val="22"/>
          <w:szCs w:val="22"/>
        </w:rPr>
        <w:t xml:space="preserve"> </w:t>
      </w:r>
      <w:r w:rsidRPr="00B4716C">
        <w:rPr>
          <w:rFonts w:ascii="Lato" w:eastAsia="Calibri" w:hAnsi="Lato" w:cs="Calibri"/>
          <w:color w:val="000000" w:themeColor="text1"/>
          <w:sz w:val="22"/>
          <w:szCs w:val="22"/>
        </w:rPr>
        <w:t xml:space="preserve">W zakresie inwazyjnej choroby </w:t>
      </w:r>
      <w:proofErr w:type="spellStart"/>
      <w:r w:rsidRPr="00B4716C">
        <w:rPr>
          <w:rFonts w:ascii="Lato" w:eastAsia="Calibri" w:hAnsi="Lato" w:cs="Calibri"/>
          <w:color w:val="000000" w:themeColor="text1"/>
          <w:sz w:val="22"/>
          <w:szCs w:val="22"/>
        </w:rPr>
        <w:t>meningokokowej</w:t>
      </w:r>
      <w:proofErr w:type="spellEnd"/>
      <w:r w:rsidRPr="00B4716C">
        <w:rPr>
          <w:rFonts w:ascii="Lato" w:eastAsia="Calibri" w:hAnsi="Lato" w:cs="Calibri"/>
          <w:color w:val="000000" w:themeColor="text1"/>
          <w:sz w:val="22"/>
          <w:szCs w:val="22"/>
        </w:rPr>
        <w:t xml:space="preserve"> nadal utrzymywała się tendencja wzrostowa</w:t>
      </w:r>
      <w:r>
        <w:rPr>
          <w:rFonts w:ascii="Lato" w:eastAsia="Calibri" w:hAnsi="Lato" w:cs="Calibri"/>
          <w:color w:val="000000" w:themeColor="text1"/>
          <w:sz w:val="22"/>
          <w:szCs w:val="22"/>
        </w:rPr>
        <w:t xml:space="preserve"> oraz </w:t>
      </w:r>
      <w:r w:rsidRPr="00B4716C">
        <w:rPr>
          <w:rFonts w:ascii="Lato" w:eastAsia="Calibri" w:hAnsi="Lato" w:cs="Calibri"/>
          <w:color w:val="000000" w:themeColor="text1"/>
          <w:sz w:val="22"/>
          <w:szCs w:val="22"/>
        </w:rPr>
        <w:t>sytuacja w regionie była mniej korzystna niż w Polsce.</w:t>
      </w:r>
    </w:p>
    <w:p w14:paraId="1A906AE4" w14:textId="77777777" w:rsidR="00E2135B" w:rsidRPr="00B4716C" w:rsidRDefault="00E2135B" w:rsidP="00380507">
      <w:pPr>
        <w:spacing w:line="360" w:lineRule="auto"/>
        <w:rPr>
          <w:rFonts w:ascii="Lato" w:eastAsia="Calibri" w:hAnsi="Lato" w:cs="Calibri"/>
          <w:color w:val="000000" w:themeColor="text1"/>
          <w:sz w:val="22"/>
          <w:szCs w:val="22"/>
        </w:rPr>
      </w:pPr>
    </w:p>
    <w:p w14:paraId="598D3A60" w14:textId="2B331295" w:rsidR="00986DE0" w:rsidRDefault="007330DD" w:rsidP="007330DD">
      <w:pPr>
        <w:pStyle w:val="Legenda"/>
        <w:rPr>
          <w:rFonts w:ascii="Lato" w:hAnsi="Lato"/>
          <w:b w:val="0"/>
          <w:bCs w:val="0"/>
          <w:sz w:val="18"/>
          <w:szCs w:val="18"/>
        </w:rPr>
      </w:pPr>
      <w:bookmarkStart w:id="63" w:name="_Toc225859370"/>
      <w:bookmarkStart w:id="64" w:name="_Hlk161406364"/>
      <w:r w:rsidRPr="007330DD">
        <w:rPr>
          <w:rFonts w:ascii="Lato" w:hAnsi="Lato"/>
          <w:b w:val="0"/>
          <w:bCs w:val="0"/>
          <w:sz w:val="18"/>
          <w:szCs w:val="18"/>
        </w:rPr>
        <w:t xml:space="preserve">Tabela </w:t>
      </w:r>
      <w:r w:rsidRPr="007330DD">
        <w:rPr>
          <w:rFonts w:ascii="Lato" w:hAnsi="Lato"/>
          <w:b w:val="0"/>
          <w:bCs w:val="0"/>
          <w:sz w:val="18"/>
          <w:szCs w:val="18"/>
        </w:rPr>
        <w:fldChar w:fldCharType="begin"/>
      </w:r>
      <w:r w:rsidRPr="007330DD">
        <w:rPr>
          <w:rFonts w:ascii="Lato" w:hAnsi="Lato"/>
          <w:b w:val="0"/>
          <w:bCs w:val="0"/>
          <w:sz w:val="18"/>
          <w:szCs w:val="18"/>
        </w:rPr>
        <w:instrText xml:space="preserve"> SEQ Tabela \* ARABIC </w:instrText>
      </w:r>
      <w:r w:rsidRPr="007330DD">
        <w:rPr>
          <w:rFonts w:ascii="Lato" w:hAnsi="Lato"/>
          <w:b w:val="0"/>
          <w:bCs w:val="0"/>
          <w:sz w:val="18"/>
          <w:szCs w:val="18"/>
        </w:rPr>
        <w:fldChar w:fldCharType="separate"/>
      </w:r>
      <w:r w:rsidR="002A3179">
        <w:rPr>
          <w:rFonts w:ascii="Lato" w:hAnsi="Lato"/>
          <w:b w:val="0"/>
          <w:bCs w:val="0"/>
          <w:noProof/>
          <w:sz w:val="18"/>
          <w:szCs w:val="18"/>
        </w:rPr>
        <w:t>14</w:t>
      </w:r>
      <w:r w:rsidRPr="007330DD">
        <w:rPr>
          <w:rFonts w:ascii="Lato" w:hAnsi="Lato"/>
          <w:b w:val="0"/>
          <w:bCs w:val="0"/>
          <w:sz w:val="18"/>
          <w:szCs w:val="18"/>
        </w:rPr>
        <w:fldChar w:fldCharType="end"/>
      </w:r>
      <w:r w:rsidRPr="007330DD">
        <w:rPr>
          <w:rFonts w:ascii="Lato" w:hAnsi="Lato"/>
          <w:b w:val="0"/>
          <w:bCs w:val="0"/>
          <w:sz w:val="18"/>
          <w:szCs w:val="18"/>
        </w:rPr>
        <w:t>. Liczba zachorowań i zapadalność na wybrane choroby zakaźne, zakażenia i zatrucia w woj. zachodniopomorskim w 2025 roku w porównaniu do 2024 roku.</w:t>
      </w:r>
      <w:bookmarkEnd w:id="63"/>
    </w:p>
    <w:tbl>
      <w:tblPr>
        <w:tblW w:w="10178" w:type="dxa"/>
        <w:jc w:val="center"/>
        <w:tblCellMar>
          <w:left w:w="70" w:type="dxa"/>
          <w:right w:w="70" w:type="dxa"/>
        </w:tblCellMar>
        <w:tblLook w:val="04A0" w:firstRow="1" w:lastRow="0" w:firstColumn="1" w:lastColumn="0" w:noHBand="0" w:noVBand="1"/>
        <w:tblCaption w:val="Liczba zachorowań i zapadalność na wybrane choroby zakaźne, zakażenia i zatrucia w woj. zachodniopomorskim w 2025 roku w porównaniu do 2024 roku"/>
      </w:tblPr>
      <w:tblGrid>
        <w:gridCol w:w="567"/>
        <w:gridCol w:w="4961"/>
        <w:gridCol w:w="1151"/>
        <w:gridCol w:w="1174"/>
        <w:gridCol w:w="1151"/>
        <w:gridCol w:w="1174"/>
      </w:tblGrid>
      <w:tr w:rsidR="00986DE0" w:rsidRPr="004B2BBB" w14:paraId="31C6E23E" w14:textId="77777777" w:rsidTr="00CD7E3D">
        <w:trPr>
          <w:trHeight w:val="300"/>
          <w:tblHeader/>
          <w:jc w:val="center"/>
        </w:trPr>
        <w:tc>
          <w:tcPr>
            <w:tcW w:w="567" w:type="dxa"/>
            <w:vMerge w:val="restart"/>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83E5C3A" w14:textId="6CA16816" w:rsidR="00986DE0" w:rsidRPr="00C35EAE" w:rsidRDefault="00547532" w:rsidP="003C7140">
            <w:pPr>
              <w:rPr>
                <w:rFonts w:ascii="Lato" w:hAnsi="Lato" w:cstheme="minorHAnsi"/>
                <w:b/>
                <w:bCs/>
                <w:color w:val="000000" w:themeColor="text1"/>
                <w:sz w:val="18"/>
                <w:szCs w:val="18"/>
              </w:rPr>
            </w:pPr>
            <w:r>
              <w:rPr>
                <w:rFonts w:ascii="Lato" w:hAnsi="Lato" w:cstheme="minorHAnsi"/>
                <w:b/>
                <w:bCs/>
                <w:color w:val="000000" w:themeColor="text1"/>
                <w:sz w:val="18"/>
                <w:szCs w:val="18"/>
              </w:rPr>
              <w:t>Lp.</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4E3BB" w14:textId="767C0CF2" w:rsidR="00986DE0" w:rsidRPr="00C35EAE" w:rsidRDefault="00547532" w:rsidP="003C7140">
            <w:pPr>
              <w:rPr>
                <w:rFonts w:ascii="Lato" w:hAnsi="Lato" w:cstheme="minorHAnsi"/>
                <w:b/>
                <w:bCs/>
                <w:color w:val="000000" w:themeColor="text1"/>
                <w:sz w:val="18"/>
                <w:szCs w:val="18"/>
              </w:rPr>
            </w:pPr>
            <w:r w:rsidRPr="00C35EAE">
              <w:rPr>
                <w:rFonts w:ascii="Lato" w:hAnsi="Lato" w:cstheme="minorHAnsi"/>
                <w:b/>
                <w:bCs/>
                <w:color w:val="000000" w:themeColor="text1"/>
                <w:sz w:val="18"/>
                <w:szCs w:val="18"/>
              </w:rPr>
              <w:t>Jednostka chorobowa</w:t>
            </w:r>
          </w:p>
        </w:tc>
        <w:tc>
          <w:tcPr>
            <w:tcW w:w="23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8813B6C" w14:textId="25E2C95D" w:rsidR="00986DE0" w:rsidRPr="00C35EAE" w:rsidRDefault="00986DE0" w:rsidP="003C7140">
            <w:pPr>
              <w:jc w:val="center"/>
              <w:rPr>
                <w:rFonts w:ascii="Lato" w:hAnsi="Lato" w:cstheme="minorHAnsi"/>
                <w:b/>
                <w:bCs/>
                <w:color w:val="000000" w:themeColor="text1"/>
                <w:sz w:val="18"/>
                <w:szCs w:val="18"/>
              </w:rPr>
            </w:pPr>
            <w:r w:rsidRPr="00C35EAE">
              <w:rPr>
                <w:rFonts w:ascii="Lato" w:hAnsi="Lato" w:cstheme="minorHAnsi"/>
                <w:b/>
                <w:bCs/>
                <w:color w:val="000000" w:themeColor="text1"/>
                <w:sz w:val="18"/>
                <w:szCs w:val="18"/>
              </w:rPr>
              <w:t>2024</w:t>
            </w:r>
            <w:r w:rsidR="00547532">
              <w:rPr>
                <w:rFonts w:ascii="Lato" w:hAnsi="Lato" w:cstheme="minorHAnsi"/>
                <w:b/>
                <w:bCs/>
                <w:color w:val="000000" w:themeColor="text1"/>
                <w:sz w:val="18"/>
                <w:szCs w:val="18"/>
              </w:rPr>
              <w:t xml:space="preserve"> rok</w:t>
            </w:r>
          </w:p>
        </w:tc>
        <w:tc>
          <w:tcPr>
            <w:tcW w:w="23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0D18ACE" w14:textId="10A2D26C" w:rsidR="00986DE0" w:rsidRPr="00C35EAE" w:rsidRDefault="00986DE0" w:rsidP="003C7140">
            <w:pPr>
              <w:jc w:val="center"/>
              <w:rPr>
                <w:rFonts w:ascii="Lato" w:hAnsi="Lato" w:cstheme="minorHAnsi"/>
                <w:b/>
                <w:bCs/>
                <w:color w:val="000000" w:themeColor="text1"/>
                <w:sz w:val="18"/>
                <w:szCs w:val="18"/>
              </w:rPr>
            </w:pPr>
            <w:r w:rsidRPr="00C35EAE">
              <w:rPr>
                <w:rFonts w:ascii="Lato" w:hAnsi="Lato" w:cstheme="minorHAnsi"/>
                <w:b/>
                <w:bCs/>
                <w:color w:val="000000" w:themeColor="text1"/>
                <w:sz w:val="18"/>
                <w:szCs w:val="18"/>
              </w:rPr>
              <w:t>2025</w:t>
            </w:r>
            <w:r w:rsidR="00547532">
              <w:rPr>
                <w:rFonts w:ascii="Lato" w:hAnsi="Lato" w:cstheme="minorHAnsi"/>
                <w:b/>
                <w:bCs/>
                <w:color w:val="000000" w:themeColor="text1"/>
                <w:sz w:val="18"/>
                <w:szCs w:val="18"/>
              </w:rPr>
              <w:t xml:space="preserve"> rok</w:t>
            </w:r>
          </w:p>
        </w:tc>
      </w:tr>
      <w:tr w:rsidR="00986DE0" w:rsidRPr="004B2BBB" w14:paraId="756AB9D4" w14:textId="77777777" w:rsidTr="00CD7E3D">
        <w:trPr>
          <w:trHeight w:val="600"/>
          <w:tblHeader/>
          <w:jc w:val="center"/>
        </w:trPr>
        <w:tc>
          <w:tcPr>
            <w:tcW w:w="567"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35E24375" w14:textId="77777777" w:rsidR="00986DE0" w:rsidRPr="00C35EAE" w:rsidRDefault="00986DE0" w:rsidP="003C7140">
            <w:pPr>
              <w:rPr>
                <w:rFonts w:ascii="Lato" w:hAnsi="Lato" w:cstheme="minorHAnsi"/>
                <w:b/>
                <w:bCs/>
                <w:color w:val="EE0000"/>
                <w:sz w:val="18"/>
                <w:szCs w:val="18"/>
              </w:rPr>
            </w:pPr>
          </w:p>
        </w:tc>
        <w:tc>
          <w:tcPr>
            <w:tcW w:w="496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42BEAA" w14:textId="77777777" w:rsidR="00986DE0" w:rsidRPr="00C35EAE" w:rsidRDefault="00986DE0" w:rsidP="003C7140">
            <w:pPr>
              <w:rPr>
                <w:rFonts w:ascii="Lato" w:hAnsi="Lato" w:cstheme="minorHAnsi"/>
                <w:b/>
                <w:bCs/>
                <w:color w:val="EE0000"/>
                <w:sz w:val="18"/>
                <w:szCs w:val="18"/>
              </w:rPr>
            </w:pPr>
          </w:p>
        </w:tc>
        <w:tc>
          <w:tcPr>
            <w:tcW w:w="1151" w:type="dxa"/>
            <w:tcBorders>
              <w:top w:val="nil"/>
              <w:left w:val="nil"/>
              <w:bottom w:val="single" w:sz="4" w:space="0" w:color="auto"/>
              <w:right w:val="single" w:sz="4" w:space="0" w:color="auto"/>
            </w:tcBorders>
            <w:shd w:val="clear" w:color="auto" w:fill="D9D9D9" w:themeFill="background1" w:themeFillShade="D9"/>
            <w:vAlign w:val="center"/>
            <w:hideMark/>
          </w:tcPr>
          <w:p w14:paraId="4F994D75" w14:textId="77777777" w:rsidR="00986DE0" w:rsidRPr="00C35EAE" w:rsidRDefault="00986DE0" w:rsidP="003C7140">
            <w:pPr>
              <w:jc w:val="center"/>
              <w:rPr>
                <w:rFonts w:ascii="Lato" w:hAnsi="Lato" w:cstheme="minorHAnsi"/>
                <w:b/>
                <w:bCs/>
                <w:color w:val="000000" w:themeColor="text1"/>
                <w:sz w:val="18"/>
                <w:szCs w:val="18"/>
              </w:rPr>
            </w:pPr>
            <w:r w:rsidRPr="00C35EAE">
              <w:rPr>
                <w:rFonts w:ascii="Lato" w:hAnsi="Lato" w:cstheme="minorHAnsi"/>
                <w:b/>
                <w:bCs/>
                <w:color w:val="000000" w:themeColor="text1"/>
                <w:sz w:val="18"/>
                <w:szCs w:val="18"/>
              </w:rPr>
              <w:t>Liczba zachorowań</w:t>
            </w:r>
          </w:p>
        </w:tc>
        <w:tc>
          <w:tcPr>
            <w:tcW w:w="1174" w:type="dxa"/>
            <w:tcBorders>
              <w:top w:val="nil"/>
              <w:left w:val="nil"/>
              <w:bottom w:val="single" w:sz="4" w:space="0" w:color="auto"/>
              <w:right w:val="single" w:sz="4" w:space="0" w:color="auto"/>
            </w:tcBorders>
            <w:shd w:val="clear" w:color="auto" w:fill="D9D9D9" w:themeFill="background1" w:themeFillShade="D9"/>
            <w:noWrap/>
            <w:vAlign w:val="center"/>
            <w:hideMark/>
          </w:tcPr>
          <w:p w14:paraId="473D6934" w14:textId="77777777" w:rsidR="00986DE0" w:rsidRPr="00C35EAE" w:rsidRDefault="00986DE0" w:rsidP="003C7140">
            <w:pPr>
              <w:jc w:val="center"/>
              <w:rPr>
                <w:rFonts w:ascii="Lato" w:hAnsi="Lato" w:cstheme="minorHAnsi"/>
                <w:b/>
                <w:bCs/>
                <w:color w:val="000000" w:themeColor="text1"/>
                <w:sz w:val="18"/>
                <w:szCs w:val="18"/>
              </w:rPr>
            </w:pPr>
            <w:r w:rsidRPr="00C35EAE">
              <w:rPr>
                <w:rFonts w:ascii="Lato" w:hAnsi="Lato" w:cstheme="minorHAnsi"/>
                <w:b/>
                <w:bCs/>
                <w:color w:val="000000" w:themeColor="text1"/>
                <w:sz w:val="18"/>
                <w:szCs w:val="18"/>
              </w:rPr>
              <w:t>Zapadalność</w:t>
            </w:r>
          </w:p>
        </w:tc>
        <w:tc>
          <w:tcPr>
            <w:tcW w:w="1151" w:type="dxa"/>
            <w:tcBorders>
              <w:top w:val="nil"/>
              <w:left w:val="nil"/>
              <w:bottom w:val="single" w:sz="4" w:space="0" w:color="auto"/>
              <w:right w:val="single" w:sz="4" w:space="0" w:color="auto"/>
            </w:tcBorders>
            <w:shd w:val="clear" w:color="auto" w:fill="D9D9D9" w:themeFill="background1" w:themeFillShade="D9"/>
            <w:vAlign w:val="center"/>
            <w:hideMark/>
          </w:tcPr>
          <w:p w14:paraId="19F9D8B8" w14:textId="77777777" w:rsidR="00986DE0" w:rsidRPr="00C35EAE" w:rsidRDefault="00986DE0" w:rsidP="003C7140">
            <w:pPr>
              <w:jc w:val="center"/>
              <w:rPr>
                <w:rFonts w:ascii="Lato" w:hAnsi="Lato" w:cstheme="minorHAnsi"/>
                <w:b/>
                <w:bCs/>
                <w:color w:val="000000" w:themeColor="text1"/>
                <w:sz w:val="18"/>
                <w:szCs w:val="18"/>
              </w:rPr>
            </w:pPr>
            <w:r w:rsidRPr="00C35EAE">
              <w:rPr>
                <w:rFonts w:ascii="Lato" w:hAnsi="Lato" w:cstheme="minorHAnsi"/>
                <w:b/>
                <w:bCs/>
                <w:color w:val="000000" w:themeColor="text1"/>
                <w:sz w:val="18"/>
                <w:szCs w:val="18"/>
              </w:rPr>
              <w:t>Liczba zachorowań</w:t>
            </w:r>
          </w:p>
        </w:tc>
        <w:tc>
          <w:tcPr>
            <w:tcW w:w="1174" w:type="dxa"/>
            <w:tcBorders>
              <w:top w:val="nil"/>
              <w:left w:val="nil"/>
              <w:bottom w:val="single" w:sz="4" w:space="0" w:color="auto"/>
              <w:right w:val="single" w:sz="4" w:space="0" w:color="auto"/>
            </w:tcBorders>
            <w:shd w:val="clear" w:color="auto" w:fill="D9D9D9" w:themeFill="background1" w:themeFillShade="D9"/>
            <w:noWrap/>
            <w:vAlign w:val="center"/>
            <w:hideMark/>
          </w:tcPr>
          <w:p w14:paraId="20FBC2BE" w14:textId="77777777" w:rsidR="00986DE0" w:rsidRPr="00C35EAE" w:rsidRDefault="00986DE0" w:rsidP="003C7140">
            <w:pPr>
              <w:jc w:val="center"/>
              <w:rPr>
                <w:rFonts w:ascii="Lato" w:hAnsi="Lato" w:cstheme="minorHAnsi"/>
                <w:b/>
                <w:bCs/>
                <w:color w:val="000000" w:themeColor="text1"/>
                <w:sz w:val="18"/>
                <w:szCs w:val="18"/>
              </w:rPr>
            </w:pPr>
            <w:r w:rsidRPr="00C35EAE">
              <w:rPr>
                <w:rFonts w:ascii="Lato" w:hAnsi="Lato" w:cstheme="minorHAnsi"/>
                <w:b/>
                <w:bCs/>
                <w:color w:val="000000" w:themeColor="text1"/>
                <w:sz w:val="18"/>
                <w:szCs w:val="18"/>
              </w:rPr>
              <w:t>Zapadalność</w:t>
            </w:r>
          </w:p>
        </w:tc>
      </w:tr>
      <w:tr w:rsidR="00986DE0" w:rsidRPr="004B2BBB" w14:paraId="4E50145D" w14:textId="77777777" w:rsidTr="003C7140">
        <w:trPr>
          <w:trHeight w:val="300"/>
          <w:jc w:val="center"/>
        </w:trPr>
        <w:tc>
          <w:tcPr>
            <w:tcW w:w="567" w:type="dxa"/>
            <w:tcBorders>
              <w:top w:val="nil"/>
              <w:left w:val="single" w:sz="8" w:space="0" w:color="auto"/>
              <w:bottom w:val="single" w:sz="4" w:space="0" w:color="auto"/>
              <w:right w:val="nil"/>
            </w:tcBorders>
            <w:noWrap/>
            <w:vAlign w:val="center"/>
            <w:hideMark/>
          </w:tcPr>
          <w:p w14:paraId="1A67ECCF"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1</w:t>
            </w:r>
          </w:p>
        </w:tc>
        <w:tc>
          <w:tcPr>
            <w:tcW w:w="4961" w:type="dxa"/>
            <w:tcBorders>
              <w:top w:val="nil"/>
              <w:left w:val="single" w:sz="4" w:space="0" w:color="auto"/>
              <w:bottom w:val="single" w:sz="4" w:space="0" w:color="auto"/>
              <w:right w:val="single" w:sz="4" w:space="0" w:color="auto"/>
            </w:tcBorders>
            <w:vAlign w:val="center"/>
            <w:hideMark/>
          </w:tcPr>
          <w:p w14:paraId="1FF47F2B"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Salmonellozy – zatrucie pokarmowe</w:t>
            </w:r>
          </w:p>
        </w:tc>
        <w:tc>
          <w:tcPr>
            <w:tcW w:w="1151" w:type="dxa"/>
            <w:tcBorders>
              <w:top w:val="nil"/>
              <w:left w:val="nil"/>
              <w:bottom w:val="single" w:sz="4" w:space="0" w:color="auto"/>
              <w:right w:val="single" w:sz="4" w:space="0" w:color="auto"/>
            </w:tcBorders>
            <w:vAlign w:val="center"/>
          </w:tcPr>
          <w:p w14:paraId="01BF506B"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632</w:t>
            </w:r>
          </w:p>
        </w:tc>
        <w:tc>
          <w:tcPr>
            <w:tcW w:w="1174" w:type="dxa"/>
            <w:tcBorders>
              <w:top w:val="nil"/>
              <w:left w:val="nil"/>
              <w:bottom w:val="single" w:sz="4" w:space="0" w:color="auto"/>
              <w:right w:val="single" w:sz="4" w:space="0" w:color="auto"/>
            </w:tcBorders>
            <w:vAlign w:val="center"/>
          </w:tcPr>
          <w:p w14:paraId="237CCA67"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38,85</w:t>
            </w:r>
          </w:p>
        </w:tc>
        <w:tc>
          <w:tcPr>
            <w:tcW w:w="1151" w:type="dxa"/>
            <w:tcBorders>
              <w:top w:val="nil"/>
              <w:left w:val="nil"/>
              <w:bottom w:val="single" w:sz="4" w:space="0" w:color="auto"/>
              <w:right w:val="single" w:sz="4" w:space="0" w:color="auto"/>
            </w:tcBorders>
            <w:vAlign w:val="center"/>
          </w:tcPr>
          <w:p w14:paraId="056D875F"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143</w:t>
            </w:r>
          </w:p>
        </w:tc>
        <w:tc>
          <w:tcPr>
            <w:tcW w:w="1174" w:type="dxa"/>
            <w:tcBorders>
              <w:top w:val="nil"/>
              <w:left w:val="nil"/>
              <w:bottom w:val="single" w:sz="4" w:space="0" w:color="auto"/>
              <w:right w:val="single" w:sz="4" w:space="0" w:color="auto"/>
            </w:tcBorders>
            <w:vAlign w:val="center"/>
          </w:tcPr>
          <w:p w14:paraId="55EF0999" w14:textId="77777777" w:rsidR="00986DE0" w:rsidRPr="00DD1E27" w:rsidRDefault="00986DE0" w:rsidP="003C7140">
            <w:pPr>
              <w:jc w:val="center"/>
              <w:rPr>
                <w:rFonts w:ascii="Lato" w:hAnsi="Lato" w:cstheme="minorHAnsi"/>
                <w:sz w:val="18"/>
                <w:szCs w:val="18"/>
              </w:rPr>
            </w:pPr>
            <w:r w:rsidRPr="00DD1E27">
              <w:rPr>
                <w:rFonts w:ascii="Lato" w:hAnsi="Lato"/>
                <w:sz w:val="18"/>
                <w:szCs w:val="18"/>
              </w:rPr>
              <w:t>8,84</w:t>
            </w:r>
          </w:p>
        </w:tc>
      </w:tr>
      <w:tr w:rsidR="00986DE0" w:rsidRPr="004B2BBB" w14:paraId="1AC147C3" w14:textId="77777777" w:rsidTr="003C7140">
        <w:trPr>
          <w:trHeight w:val="300"/>
          <w:jc w:val="center"/>
        </w:trPr>
        <w:tc>
          <w:tcPr>
            <w:tcW w:w="567" w:type="dxa"/>
            <w:tcBorders>
              <w:top w:val="nil"/>
              <w:left w:val="single" w:sz="8" w:space="0" w:color="auto"/>
              <w:bottom w:val="single" w:sz="4" w:space="0" w:color="auto"/>
              <w:right w:val="nil"/>
            </w:tcBorders>
            <w:noWrap/>
            <w:vAlign w:val="center"/>
            <w:hideMark/>
          </w:tcPr>
          <w:p w14:paraId="712A0F32"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2</w:t>
            </w:r>
          </w:p>
        </w:tc>
        <w:tc>
          <w:tcPr>
            <w:tcW w:w="4961" w:type="dxa"/>
            <w:tcBorders>
              <w:top w:val="nil"/>
              <w:left w:val="single" w:sz="4" w:space="0" w:color="auto"/>
              <w:bottom w:val="single" w:sz="4" w:space="0" w:color="auto"/>
              <w:right w:val="single" w:sz="4" w:space="0" w:color="auto"/>
            </w:tcBorders>
            <w:vAlign w:val="center"/>
            <w:hideMark/>
          </w:tcPr>
          <w:p w14:paraId="7595E214"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Salmonellozy – zakażenia pozajelitowe</w:t>
            </w:r>
          </w:p>
        </w:tc>
        <w:tc>
          <w:tcPr>
            <w:tcW w:w="1151" w:type="dxa"/>
            <w:tcBorders>
              <w:top w:val="nil"/>
              <w:left w:val="nil"/>
              <w:bottom w:val="single" w:sz="4" w:space="0" w:color="auto"/>
              <w:right w:val="single" w:sz="4" w:space="0" w:color="auto"/>
            </w:tcBorders>
            <w:vAlign w:val="center"/>
          </w:tcPr>
          <w:p w14:paraId="120F0F48"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4</w:t>
            </w:r>
          </w:p>
        </w:tc>
        <w:tc>
          <w:tcPr>
            <w:tcW w:w="1174" w:type="dxa"/>
            <w:tcBorders>
              <w:top w:val="nil"/>
              <w:left w:val="nil"/>
              <w:bottom w:val="single" w:sz="4" w:space="0" w:color="auto"/>
              <w:right w:val="single" w:sz="4" w:space="0" w:color="auto"/>
            </w:tcBorders>
            <w:vAlign w:val="center"/>
          </w:tcPr>
          <w:p w14:paraId="66C9F3ED"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0,25</w:t>
            </w:r>
          </w:p>
        </w:tc>
        <w:tc>
          <w:tcPr>
            <w:tcW w:w="1151" w:type="dxa"/>
            <w:tcBorders>
              <w:top w:val="nil"/>
              <w:left w:val="nil"/>
              <w:bottom w:val="single" w:sz="4" w:space="0" w:color="auto"/>
              <w:right w:val="single" w:sz="4" w:space="0" w:color="auto"/>
            </w:tcBorders>
            <w:vAlign w:val="center"/>
          </w:tcPr>
          <w:p w14:paraId="6C9FC2D5"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6</w:t>
            </w:r>
          </w:p>
        </w:tc>
        <w:tc>
          <w:tcPr>
            <w:tcW w:w="1174" w:type="dxa"/>
            <w:tcBorders>
              <w:top w:val="nil"/>
              <w:left w:val="nil"/>
              <w:bottom w:val="single" w:sz="4" w:space="0" w:color="auto"/>
              <w:right w:val="single" w:sz="4" w:space="0" w:color="auto"/>
            </w:tcBorders>
            <w:vAlign w:val="center"/>
          </w:tcPr>
          <w:p w14:paraId="48024942" w14:textId="77777777" w:rsidR="00986DE0" w:rsidRPr="00DD1E27" w:rsidRDefault="00986DE0" w:rsidP="003C7140">
            <w:pPr>
              <w:jc w:val="center"/>
              <w:rPr>
                <w:rFonts w:ascii="Lato" w:hAnsi="Lato" w:cstheme="minorHAnsi"/>
                <w:sz w:val="18"/>
                <w:szCs w:val="18"/>
              </w:rPr>
            </w:pPr>
            <w:r w:rsidRPr="00DD1E27">
              <w:rPr>
                <w:rFonts w:ascii="Lato" w:hAnsi="Lato"/>
                <w:sz w:val="18"/>
                <w:szCs w:val="18"/>
              </w:rPr>
              <w:t>0,37</w:t>
            </w:r>
          </w:p>
        </w:tc>
      </w:tr>
      <w:tr w:rsidR="00986DE0" w:rsidRPr="004B2BBB" w14:paraId="6AF3BC79" w14:textId="77777777" w:rsidTr="003C7140">
        <w:trPr>
          <w:trHeight w:val="300"/>
          <w:jc w:val="center"/>
        </w:trPr>
        <w:tc>
          <w:tcPr>
            <w:tcW w:w="567" w:type="dxa"/>
            <w:tcBorders>
              <w:top w:val="nil"/>
              <w:left w:val="single" w:sz="8" w:space="0" w:color="auto"/>
              <w:bottom w:val="single" w:sz="4" w:space="0" w:color="auto"/>
              <w:right w:val="nil"/>
            </w:tcBorders>
            <w:noWrap/>
            <w:vAlign w:val="center"/>
            <w:hideMark/>
          </w:tcPr>
          <w:p w14:paraId="03EAD511"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3</w:t>
            </w:r>
          </w:p>
        </w:tc>
        <w:tc>
          <w:tcPr>
            <w:tcW w:w="4961" w:type="dxa"/>
            <w:tcBorders>
              <w:top w:val="nil"/>
              <w:left w:val="single" w:sz="4" w:space="0" w:color="auto"/>
              <w:bottom w:val="single" w:sz="4" w:space="0" w:color="auto"/>
              <w:right w:val="single" w:sz="4" w:space="0" w:color="auto"/>
            </w:tcBorders>
            <w:vAlign w:val="center"/>
            <w:hideMark/>
          </w:tcPr>
          <w:p w14:paraId="62FC9CC1"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Inne bakteryjne zakażenia jelitowe</w:t>
            </w:r>
          </w:p>
        </w:tc>
        <w:tc>
          <w:tcPr>
            <w:tcW w:w="1151" w:type="dxa"/>
            <w:tcBorders>
              <w:top w:val="nil"/>
              <w:left w:val="nil"/>
              <w:bottom w:val="single" w:sz="4" w:space="0" w:color="auto"/>
              <w:right w:val="single" w:sz="4" w:space="0" w:color="auto"/>
            </w:tcBorders>
            <w:vAlign w:val="center"/>
          </w:tcPr>
          <w:p w14:paraId="10167F11"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761</w:t>
            </w:r>
          </w:p>
        </w:tc>
        <w:tc>
          <w:tcPr>
            <w:tcW w:w="1174" w:type="dxa"/>
            <w:tcBorders>
              <w:top w:val="nil"/>
              <w:left w:val="nil"/>
              <w:bottom w:val="single" w:sz="4" w:space="0" w:color="auto"/>
              <w:right w:val="single" w:sz="4" w:space="0" w:color="auto"/>
            </w:tcBorders>
            <w:vAlign w:val="center"/>
          </w:tcPr>
          <w:p w14:paraId="4A1578AE"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46,78</w:t>
            </w:r>
          </w:p>
        </w:tc>
        <w:tc>
          <w:tcPr>
            <w:tcW w:w="1151" w:type="dxa"/>
            <w:tcBorders>
              <w:top w:val="nil"/>
              <w:left w:val="nil"/>
              <w:bottom w:val="single" w:sz="4" w:space="0" w:color="auto"/>
              <w:right w:val="single" w:sz="4" w:space="0" w:color="auto"/>
            </w:tcBorders>
            <w:vAlign w:val="center"/>
          </w:tcPr>
          <w:p w14:paraId="34C38C52" w14:textId="77777777" w:rsidR="00986DE0" w:rsidRPr="00C35EAE" w:rsidRDefault="00986DE0" w:rsidP="003C7140">
            <w:pPr>
              <w:jc w:val="center"/>
              <w:rPr>
                <w:rFonts w:ascii="Lato" w:hAnsi="Lato" w:cstheme="minorHAnsi"/>
                <w:b/>
                <w:bCs/>
                <w:color w:val="EE0000"/>
                <w:sz w:val="18"/>
                <w:szCs w:val="18"/>
              </w:rPr>
            </w:pPr>
            <w:r w:rsidRPr="00C35EAE">
              <w:rPr>
                <w:rFonts w:ascii="Lato" w:hAnsi="Lato" w:cstheme="minorHAnsi"/>
                <w:b/>
                <w:bCs/>
                <w:sz w:val="18"/>
                <w:szCs w:val="18"/>
              </w:rPr>
              <w:t>867</w:t>
            </w:r>
          </w:p>
        </w:tc>
        <w:tc>
          <w:tcPr>
            <w:tcW w:w="1174" w:type="dxa"/>
            <w:tcBorders>
              <w:top w:val="nil"/>
              <w:left w:val="nil"/>
              <w:bottom w:val="single" w:sz="4" w:space="0" w:color="auto"/>
              <w:right w:val="single" w:sz="4" w:space="0" w:color="auto"/>
            </w:tcBorders>
            <w:vAlign w:val="center"/>
          </w:tcPr>
          <w:p w14:paraId="4CEAE8D9" w14:textId="77777777" w:rsidR="00986DE0" w:rsidRPr="00DD1E27" w:rsidRDefault="00986DE0" w:rsidP="003C7140">
            <w:pPr>
              <w:jc w:val="center"/>
              <w:rPr>
                <w:rFonts w:ascii="Lato" w:hAnsi="Lato" w:cstheme="minorHAnsi"/>
                <w:sz w:val="18"/>
                <w:szCs w:val="18"/>
              </w:rPr>
            </w:pPr>
            <w:r w:rsidRPr="00DD1E27">
              <w:rPr>
                <w:rFonts w:ascii="Lato" w:hAnsi="Lato"/>
                <w:sz w:val="18"/>
                <w:szCs w:val="18"/>
              </w:rPr>
              <w:t>53,60</w:t>
            </w:r>
          </w:p>
        </w:tc>
      </w:tr>
      <w:tr w:rsidR="00986DE0" w:rsidRPr="004B2BBB" w14:paraId="3BDA2AF0" w14:textId="77777777" w:rsidTr="003C7140">
        <w:trPr>
          <w:trHeight w:val="300"/>
          <w:jc w:val="center"/>
        </w:trPr>
        <w:tc>
          <w:tcPr>
            <w:tcW w:w="567" w:type="dxa"/>
            <w:tcBorders>
              <w:top w:val="nil"/>
              <w:left w:val="single" w:sz="8" w:space="0" w:color="auto"/>
              <w:bottom w:val="single" w:sz="4" w:space="0" w:color="auto"/>
              <w:right w:val="nil"/>
            </w:tcBorders>
            <w:noWrap/>
            <w:vAlign w:val="center"/>
            <w:hideMark/>
          </w:tcPr>
          <w:p w14:paraId="23926086"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4</w:t>
            </w:r>
          </w:p>
        </w:tc>
        <w:tc>
          <w:tcPr>
            <w:tcW w:w="4961" w:type="dxa"/>
            <w:tcBorders>
              <w:top w:val="nil"/>
              <w:left w:val="single" w:sz="4" w:space="0" w:color="auto"/>
              <w:bottom w:val="single" w:sz="4" w:space="0" w:color="auto"/>
              <w:right w:val="single" w:sz="4" w:space="0" w:color="auto"/>
            </w:tcBorders>
            <w:vAlign w:val="center"/>
            <w:hideMark/>
          </w:tcPr>
          <w:p w14:paraId="418DC42E"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Inne bakteryjne zatrucia pokarmowe</w:t>
            </w:r>
          </w:p>
        </w:tc>
        <w:tc>
          <w:tcPr>
            <w:tcW w:w="1151" w:type="dxa"/>
            <w:tcBorders>
              <w:top w:val="nil"/>
              <w:left w:val="nil"/>
              <w:bottom w:val="single" w:sz="4" w:space="0" w:color="auto"/>
              <w:right w:val="single" w:sz="4" w:space="0" w:color="auto"/>
            </w:tcBorders>
            <w:vAlign w:val="center"/>
          </w:tcPr>
          <w:p w14:paraId="76ABE7D5"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5</w:t>
            </w:r>
          </w:p>
        </w:tc>
        <w:tc>
          <w:tcPr>
            <w:tcW w:w="1174" w:type="dxa"/>
            <w:tcBorders>
              <w:top w:val="nil"/>
              <w:left w:val="nil"/>
              <w:bottom w:val="single" w:sz="4" w:space="0" w:color="auto"/>
              <w:right w:val="single" w:sz="4" w:space="0" w:color="auto"/>
            </w:tcBorders>
            <w:vAlign w:val="center"/>
          </w:tcPr>
          <w:p w14:paraId="3BE9CF64"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0,31</w:t>
            </w:r>
          </w:p>
        </w:tc>
        <w:tc>
          <w:tcPr>
            <w:tcW w:w="1151" w:type="dxa"/>
            <w:tcBorders>
              <w:top w:val="nil"/>
              <w:left w:val="nil"/>
              <w:bottom w:val="single" w:sz="4" w:space="0" w:color="auto"/>
              <w:right w:val="single" w:sz="4" w:space="0" w:color="auto"/>
            </w:tcBorders>
            <w:vAlign w:val="center"/>
          </w:tcPr>
          <w:p w14:paraId="13C5F04B" w14:textId="77777777" w:rsidR="00986DE0" w:rsidRPr="00C35EAE" w:rsidRDefault="00986DE0" w:rsidP="003C7140">
            <w:pPr>
              <w:jc w:val="center"/>
              <w:rPr>
                <w:rFonts w:ascii="Lato" w:hAnsi="Lato" w:cstheme="minorHAnsi"/>
                <w:b/>
                <w:bCs/>
                <w:sz w:val="18"/>
                <w:szCs w:val="18"/>
              </w:rPr>
            </w:pPr>
            <w:r>
              <w:rPr>
                <w:rFonts w:ascii="Lato" w:hAnsi="Lato" w:cstheme="minorHAnsi"/>
                <w:b/>
                <w:bCs/>
                <w:sz w:val="18"/>
                <w:szCs w:val="18"/>
              </w:rPr>
              <w:t>4</w:t>
            </w:r>
          </w:p>
        </w:tc>
        <w:tc>
          <w:tcPr>
            <w:tcW w:w="1174" w:type="dxa"/>
            <w:tcBorders>
              <w:top w:val="nil"/>
              <w:left w:val="nil"/>
              <w:bottom w:val="single" w:sz="4" w:space="0" w:color="auto"/>
              <w:right w:val="single" w:sz="4" w:space="0" w:color="auto"/>
            </w:tcBorders>
            <w:vAlign w:val="center"/>
          </w:tcPr>
          <w:p w14:paraId="2BA0333B" w14:textId="77777777" w:rsidR="00986DE0" w:rsidRPr="00DD1E27" w:rsidRDefault="00986DE0" w:rsidP="003C7140">
            <w:pPr>
              <w:jc w:val="center"/>
              <w:rPr>
                <w:rFonts w:ascii="Lato" w:hAnsi="Lato" w:cstheme="minorHAnsi"/>
                <w:sz w:val="18"/>
                <w:szCs w:val="18"/>
              </w:rPr>
            </w:pPr>
            <w:r w:rsidRPr="00DD1E27">
              <w:rPr>
                <w:rFonts w:ascii="Lato" w:hAnsi="Lato" w:cstheme="minorHAnsi"/>
                <w:sz w:val="18"/>
                <w:szCs w:val="18"/>
              </w:rPr>
              <w:t>0,25</w:t>
            </w:r>
          </w:p>
        </w:tc>
      </w:tr>
      <w:tr w:rsidR="00986DE0" w:rsidRPr="004B2BBB" w14:paraId="424E28D6" w14:textId="77777777" w:rsidTr="003C7140">
        <w:trPr>
          <w:trHeight w:val="300"/>
          <w:jc w:val="center"/>
        </w:trPr>
        <w:tc>
          <w:tcPr>
            <w:tcW w:w="567" w:type="dxa"/>
            <w:tcBorders>
              <w:top w:val="nil"/>
              <w:left w:val="single" w:sz="8" w:space="0" w:color="auto"/>
              <w:bottom w:val="single" w:sz="4" w:space="0" w:color="auto"/>
              <w:right w:val="nil"/>
            </w:tcBorders>
            <w:noWrap/>
            <w:vAlign w:val="center"/>
            <w:hideMark/>
          </w:tcPr>
          <w:p w14:paraId="3BADFE1F"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5</w:t>
            </w:r>
          </w:p>
        </w:tc>
        <w:tc>
          <w:tcPr>
            <w:tcW w:w="4961" w:type="dxa"/>
            <w:tcBorders>
              <w:top w:val="nil"/>
              <w:left w:val="single" w:sz="4" w:space="0" w:color="auto"/>
              <w:bottom w:val="single" w:sz="4" w:space="0" w:color="auto"/>
              <w:right w:val="single" w:sz="4" w:space="0" w:color="auto"/>
            </w:tcBorders>
            <w:vAlign w:val="center"/>
            <w:hideMark/>
          </w:tcPr>
          <w:p w14:paraId="1CFAC94D" w14:textId="77777777" w:rsidR="00986DE0" w:rsidRPr="00C35EAE" w:rsidRDefault="00986DE0" w:rsidP="003C7140">
            <w:pPr>
              <w:rPr>
                <w:rFonts w:ascii="Lato" w:hAnsi="Lato" w:cstheme="minorHAnsi"/>
                <w:sz w:val="18"/>
                <w:szCs w:val="18"/>
              </w:rPr>
            </w:pPr>
            <w:proofErr w:type="spellStart"/>
            <w:r w:rsidRPr="00C35EAE">
              <w:rPr>
                <w:rFonts w:ascii="Lato" w:hAnsi="Lato" w:cstheme="minorHAnsi"/>
                <w:sz w:val="18"/>
                <w:szCs w:val="18"/>
              </w:rPr>
              <w:t>Giardioza</w:t>
            </w:r>
            <w:proofErr w:type="spellEnd"/>
            <w:r w:rsidRPr="00C35EAE">
              <w:rPr>
                <w:rFonts w:ascii="Lato" w:hAnsi="Lato" w:cstheme="minorHAnsi"/>
                <w:sz w:val="18"/>
                <w:szCs w:val="18"/>
              </w:rPr>
              <w:t xml:space="preserve"> (lamblioza)</w:t>
            </w:r>
          </w:p>
        </w:tc>
        <w:tc>
          <w:tcPr>
            <w:tcW w:w="1151" w:type="dxa"/>
            <w:tcBorders>
              <w:top w:val="nil"/>
              <w:left w:val="nil"/>
              <w:bottom w:val="single" w:sz="4" w:space="0" w:color="auto"/>
              <w:right w:val="single" w:sz="4" w:space="0" w:color="auto"/>
            </w:tcBorders>
            <w:vAlign w:val="center"/>
          </w:tcPr>
          <w:p w14:paraId="5C0940E0"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79</w:t>
            </w:r>
          </w:p>
        </w:tc>
        <w:tc>
          <w:tcPr>
            <w:tcW w:w="1174" w:type="dxa"/>
            <w:tcBorders>
              <w:top w:val="nil"/>
              <w:left w:val="nil"/>
              <w:bottom w:val="single" w:sz="4" w:space="0" w:color="auto"/>
              <w:right w:val="single" w:sz="4" w:space="0" w:color="auto"/>
            </w:tcBorders>
            <w:vAlign w:val="center"/>
          </w:tcPr>
          <w:p w14:paraId="6A0AAA2A"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4,86</w:t>
            </w:r>
          </w:p>
        </w:tc>
        <w:tc>
          <w:tcPr>
            <w:tcW w:w="1151" w:type="dxa"/>
            <w:tcBorders>
              <w:top w:val="nil"/>
              <w:left w:val="nil"/>
              <w:bottom w:val="single" w:sz="4" w:space="0" w:color="auto"/>
              <w:right w:val="single" w:sz="4" w:space="0" w:color="auto"/>
            </w:tcBorders>
            <w:vAlign w:val="center"/>
          </w:tcPr>
          <w:p w14:paraId="362EF077"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112</w:t>
            </w:r>
          </w:p>
        </w:tc>
        <w:tc>
          <w:tcPr>
            <w:tcW w:w="1174" w:type="dxa"/>
            <w:tcBorders>
              <w:top w:val="nil"/>
              <w:left w:val="nil"/>
              <w:bottom w:val="single" w:sz="4" w:space="0" w:color="auto"/>
              <w:right w:val="single" w:sz="4" w:space="0" w:color="auto"/>
            </w:tcBorders>
            <w:vAlign w:val="center"/>
          </w:tcPr>
          <w:p w14:paraId="41CBCB97" w14:textId="77777777" w:rsidR="00986DE0" w:rsidRPr="00DD1E27" w:rsidRDefault="00986DE0" w:rsidP="003C7140">
            <w:pPr>
              <w:jc w:val="center"/>
              <w:rPr>
                <w:rFonts w:ascii="Lato" w:hAnsi="Lato" w:cstheme="minorHAnsi"/>
                <w:sz w:val="18"/>
                <w:szCs w:val="18"/>
              </w:rPr>
            </w:pPr>
            <w:r>
              <w:rPr>
                <w:rFonts w:ascii="Lato" w:hAnsi="Lato" w:cstheme="minorHAnsi"/>
                <w:sz w:val="18"/>
                <w:szCs w:val="18"/>
              </w:rPr>
              <w:t>6.92</w:t>
            </w:r>
          </w:p>
        </w:tc>
      </w:tr>
      <w:tr w:rsidR="00986DE0" w:rsidRPr="004B2BBB" w14:paraId="5061DB4F" w14:textId="77777777" w:rsidTr="003C7140">
        <w:trPr>
          <w:trHeight w:val="300"/>
          <w:jc w:val="center"/>
        </w:trPr>
        <w:tc>
          <w:tcPr>
            <w:tcW w:w="567" w:type="dxa"/>
            <w:vMerge w:val="restart"/>
            <w:tcBorders>
              <w:top w:val="nil"/>
              <w:left w:val="single" w:sz="8" w:space="0" w:color="auto"/>
              <w:bottom w:val="single" w:sz="4" w:space="0" w:color="000000"/>
              <w:right w:val="nil"/>
            </w:tcBorders>
            <w:noWrap/>
            <w:vAlign w:val="center"/>
            <w:hideMark/>
          </w:tcPr>
          <w:p w14:paraId="4B81706F"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6</w:t>
            </w:r>
          </w:p>
        </w:tc>
        <w:tc>
          <w:tcPr>
            <w:tcW w:w="4961" w:type="dxa"/>
            <w:tcBorders>
              <w:top w:val="nil"/>
              <w:left w:val="single" w:sz="4" w:space="0" w:color="auto"/>
              <w:bottom w:val="single" w:sz="4" w:space="0" w:color="auto"/>
              <w:right w:val="single" w:sz="4" w:space="0" w:color="auto"/>
            </w:tcBorders>
            <w:vAlign w:val="center"/>
            <w:hideMark/>
          </w:tcPr>
          <w:p w14:paraId="3FC3323C"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Wirusowe i inne określone zakażenia jelitowe</w:t>
            </w:r>
          </w:p>
        </w:tc>
        <w:tc>
          <w:tcPr>
            <w:tcW w:w="1151" w:type="dxa"/>
            <w:tcBorders>
              <w:top w:val="nil"/>
              <w:left w:val="nil"/>
              <w:bottom w:val="single" w:sz="4" w:space="0" w:color="auto"/>
              <w:right w:val="single" w:sz="4" w:space="0" w:color="auto"/>
            </w:tcBorders>
            <w:vAlign w:val="center"/>
          </w:tcPr>
          <w:p w14:paraId="3E6AEE74"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1443</w:t>
            </w:r>
          </w:p>
        </w:tc>
        <w:tc>
          <w:tcPr>
            <w:tcW w:w="1174" w:type="dxa"/>
            <w:tcBorders>
              <w:top w:val="nil"/>
              <w:left w:val="nil"/>
              <w:bottom w:val="single" w:sz="4" w:space="0" w:color="auto"/>
              <w:right w:val="single" w:sz="4" w:space="0" w:color="auto"/>
            </w:tcBorders>
            <w:vAlign w:val="center"/>
          </w:tcPr>
          <w:p w14:paraId="274ABCFF"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88,70</w:t>
            </w:r>
          </w:p>
        </w:tc>
        <w:tc>
          <w:tcPr>
            <w:tcW w:w="1151" w:type="dxa"/>
            <w:tcBorders>
              <w:top w:val="nil"/>
              <w:left w:val="nil"/>
              <w:bottom w:val="single" w:sz="4" w:space="0" w:color="auto"/>
              <w:right w:val="single" w:sz="4" w:space="0" w:color="auto"/>
            </w:tcBorders>
            <w:vAlign w:val="center"/>
          </w:tcPr>
          <w:p w14:paraId="794148D7"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1403</w:t>
            </w:r>
          </w:p>
        </w:tc>
        <w:tc>
          <w:tcPr>
            <w:tcW w:w="1174" w:type="dxa"/>
            <w:tcBorders>
              <w:top w:val="nil"/>
              <w:left w:val="nil"/>
              <w:bottom w:val="single" w:sz="4" w:space="0" w:color="auto"/>
              <w:right w:val="single" w:sz="4" w:space="0" w:color="auto"/>
            </w:tcBorders>
            <w:vAlign w:val="center"/>
          </w:tcPr>
          <w:p w14:paraId="589467E0" w14:textId="77777777" w:rsidR="00986DE0" w:rsidRPr="00DD1E27" w:rsidRDefault="00986DE0" w:rsidP="003C7140">
            <w:pPr>
              <w:jc w:val="center"/>
              <w:rPr>
                <w:rFonts w:ascii="Lato" w:hAnsi="Lato" w:cstheme="minorHAnsi"/>
                <w:sz w:val="18"/>
                <w:szCs w:val="18"/>
              </w:rPr>
            </w:pPr>
            <w:r>
              <w:rPr>
                <w:rFonts w:ascii="Lato" w:hAnsi="Lato" w:cstheme="minorHAnsi"/>
                <w:sz w:val="18"/>
                <w:szCs w:val="18"/>
              </w:rPr>
              <w:t>86,74</w:t>
            </w:r>
          </w:p>
        </w:tc>
      </w:tr>
      <w:tr w:rsidR="00986DE0" w:rsidRPr="004B2BBB" w14:paraId="7DBBA7C3" w14:textId="77777777" w:rsidTr="003C7140">
        <w:trPr>
          <w:trHeight w:val="300"/>
          <w:jc w:val="center"/>
        </w:trPr>
        <w:tc>
          <w:tcPr>
            <w:tcW w:w="567" w:type="dxa"/>
            <w:vMerge/>
            <w:tcBorders>
              <w:top w:val="nil"/>
              <w:left w:val="single" w:sz="8" w:space="0" w:color="auto"/>
              <w:bottom w:val="single" w:sz="4" w:space="0" w:color="000000"/>
              <w:right w:val="nil"/>
            </w:tcBorders>
            <w:vAlign w:val="center"/>
            <w:hideMark/>
          </w:tcPr>
          <w:p w14:paraId="552744DB" w14:textId="77777777" w:rsidR="00986DE0" w:rsidRPr="00C35EAE" w:rsidRDefault="00986DE0" w:rsidP="003C7140">
            <w:pPr>
              <w:rPr>
                <w:rFonts w:ascii="Lato" w:hAnsi="Lato" w:cstheme="minorHAnsi"/>
                <w:sz w:val="18"/>
                <w:szCs w:val="18"/>
              </w:rPr>
            </w:pPr>
          </w:p>
        </w:tc>
        <w:tc>
          <w:tcPr>
            <w:tcW w:w="4961" w:type="dxa"/>
            <w:tcBorders>
              <w:top w:val="nil"/>
              <w:left w:val="single" w:sz="4" w:space="0" w:color="auto"/>
              <w:bottom w:val="single" w:sz="4" w:space="0" w:color="auto"/>
              <w:right w:val="single" w:sz="4" w:space="0" w:color="auto"/>
            </w:tcBorders>
            <w:vAlign w:val="center"/>
            <w:hideMark/>
          </w:tcPr>
          <w:p w14:paraId="5E89799F"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 xml:space="preserve">w tym nieżyt jelitowy wywołany przez </w:t>
            </w:r>
            <w:proofErr w:type="spellStart"/>
            <w:r w:rsidRPr="00C35EAE">
              <w:rPr>
                <w:rFonts w:ascii="Lato" w:hAnsi="Lato" w:cstheme="minorHAnsi"/>
                <w:sz w:val="18"/>
                <w:szCs w:val="18"/>
              </w:rPr>
              <w:t>rotawirusy</w:t>
            </w:r>
            <w:proofErr w:type="spellEnd"/>
          </w:p>
        </w:tc>
        <w:tc>
          <w:tcPr>
            <w:tcW w:w="1151" w:type="dxa"/>
            <w:tcBorders>
              <w:top w:val="nil"/>
              <w:left w:val="nil"/>
              <w:bottom w:val="single" w:sz="4" w:space="0" w:color="auto"/>
              <w:right w:val="single" w:sz="4" w:space="0" w:color="auto"/>
            </w:tcBorders>
            <w:vAlign w:val="center"/>
          </w:tcPr>
          <w:p w14:paraId="5B0BB076"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296</w:t>
            </w:r>
          </w:p>
        </w:tc>
        <w:tc>
          <w:tcPr>
            <w:tcW w:w="1174" w:type="dxa"/>
            <w:tcBorders>
              <w:top w:val="nil"/>
              <w:left w:val="nil"/>
              <w:bottom w:val="single" w:sz="4" w:space="0" w:color="auto"/>
              <w:right w:val="single" w:sz="4" w:space="0" w:color="auto"/>
            </w:tcBorders>
            <w:vAlign w:val="center"/>
          </w:tcPr>
          <w:p w14:paraId="6A7D87B1"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18,19</w:t>
            </w:r>
          </w:p>
        </w:tc>
        <w:tc>
          <w:tcPr>
            <w:tcW w:w="1151" w:type="dxa"/>
            <w:tcBorders>
              <w:top w:val="nil"/>
              <w:left w:val="nil"/>
              <w:bottom w:val="single" w:sz="4" w:space="0" w:color="auto"/>
              <w:right w:val="single" w:sz="4" w:space="0" w:color="auto"/>
            </w:tcBorders>
            <w:vAlign w:val="center"/>
          </w:tcPr>
          <w:p w14:paraId="6CCB6F8F"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426</w:t>
            </w:r>
          </w:p>
        </w:tc>
        <w:tc>
          <w:tcPr>
            <w:tcW w:w="1174" w:type="dxa"/>
            <w:tcBorders>
              <w:top w:val="nil"/>
              <w:left w:val="nil"/>
              <w:bottom w:val="single" w:sz="4" w:space="0" w:color="auto"/>
              <w:right w:val="single" w:sz="4" w:space="0" w:color="auto"/>
            </w:tcBorders>
            <w:vAlign w:val="center"/>
          </w:tcPr>
          <w:p w14:paraId="5383AE1E" w14:textId="77777777" w:rsidR="00986DE0" w:rsidRPr="00DD1E27" w:rsidRDefault="00986DE0" w:rsidP="003C7140">
            <w:pPr>
              <w:jc w:val="center"/>
              <w:rPr>
                <w:rFonts w:ascii="Lato" w:hAnsi="Lato" w:cstheme="minorHAnsi"/>
                <w:sz w:val="18"/>
                <w:szCs w:val="18"/>
              </w:rPr>
            </w:pPr>
            <w:r w:rsidRPr="00DD1E27">
              <w:rPr>
                <w:rFonts w:ascii="Lato" w:hAnsi="Lato"/>
                <w:sz w:val="18"/>
                <w:szCs w:val="18"/>
              </w:rPr>
              <w:t>26,34</w:t>
            </w:r>
          </w:p>
        </w:tc>
      </w:tr>
      <w:tr w:rsidR="00986DE0" w:rsidRPr="004B2BBB" w14:paraId="1D52D24E" w14:textId="77777777" w:rsidTr="003C7140">
        <w:trPr>
          <w:trHeight w:val="300"/>
          <w:jc w:val="center"/>
        </w:trPr>
        <w:tc>
          <w:tcPr>
            <w:tcW w:w="567" w:type="dxa"/>
            <w:vMerge/>
            <w:tcBorders>
              <w:top w:val="nil"/>
              <w:left w:val="single" w:sz="8" w:space="0" w:color="auto"/>
              <w:bottom w:val="single" w:sz="4" w:space="0" w:color="000000"/>
              <w:right w:val="nil"/>
            </w:tcBorders>
            <w:vAlign w:val="center"/>
            <w:hideMark/>
          </w:tcPr>
          <w:p w14:paraId="231FCF24" w14:textId="77777777" w:rsidR="00986DE0" w:rsidRPr="00C35EAE" w:rsidRDefault="00986DE0" w:rsidP="003C7140">
            <w:pPr>
              <w:rPr>
                <w:rFonts w:ascii="Lato" w:hAnsi="Lato" w:cstheme="minorHAnsi"/>
                <w:sz w:val="18"/>
                <w:szCs w:val="18"/>
              </w:rPr>
            </w:pPr>
          </w:p>
        </w:tc>
        <w:tc>
          <w:tcPr>
            <w:tcW w:w="4961" w:type="dxa"/>
            <w:tcBorders>
              <w:top w:val="nil"/>
              <w:left w:val="single" w:sz="4" w:space="0" w:color="auto"/>
              <w:bottom w:val="single" w:sz="4" w:space="0" w:color="auto"/>
              <w:right w:val="single" w:sz="4" w:space="0" w:color="auto"/>
            </w:tcBorders>
            <w:vAlign w:val="center"/>
            <w:hideMark/>
          </w:tcPr>
          <w:p w14:paraId="165A4FC1"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 xml:space="preserve">w tym nieżyt jelitowy wywołany przez </w:t>
            </w:r>
            <w:proofErr w:type="spellStart"/>
            <w:r w:rsidRPr="00C35EAE">
              <w:rPr>
                <w:rFonts w:ascii="Lato" w:hAnsi="Lato" w:cstheme="minorHAnsi"/>
                <w:sz w:val="18"/>
                <w:szCs w:val="18"/>
              </w:rPr>
              <w:t>norowirusy</w:t>
            </w:r>
            <w:proofErr w:type="spellEnd"/>
          </w:p>
        </w:tc>
        <w:tc>
          <w:tcPr>
            <w:tcW w:w="1151" w:type="dxa"/>
            <w:tcBorders>
              <w:top w:val="nil"/>
              <w:left w:val="nil"/>
              <w:bottom w:val="single" w:sz="4" w:space="0" w:color="auto"/>
              <w:right w:val="single" w:sz="4" w:space="0" w:color="auto"/>
            </w:tcBorders>
            <w:vAlign w:val="center"/>
          </w:tcPr>
          <w:p w14:paraId="21B25105"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470</w:t>
            </w:r>
          </w:p>
        </w:tc>
        <w:tc>
          <w:tcPr>
            <w:tcW w:w="1174" w:type="dxa"/>
            <w:tcBorders>
              <w:top w:val="nil"/>
              <w:left w:val="nil"/>
              <w:bottom w:val="single" w:sz="4" w:space="0" w:color="auto"/>
              <w:right w:val="single" w:sz="4" w:space="0" w:color="auto"/>
            </w:tcBorders>
            <w:vAlign w:val="center"/>
          </w:tcPr>
          <w:p w14:paraId="50DADF3E"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28,89</w:t>
            </w:r>
          </w:p>
        </w:tc>
        <w:tc>
          <w:tcPr>
            <w:tcW w:w="1151" w:type="dxa"/>
            <w:tcBorders>
              <w:top w:val="nil"/>
              <w:left w:val="nil"/>
              <w:bottom w:val="single" w:sz="4" w:space="0" w:color="auto"/>
              <w:right w:val="single" w:sz="4" w:space="0" w:color="auto"/>
            </w:tcBorders>
            <w:vAlign w:val="center"/>
          </w:tcPr>
          <w:p w14:paraId="77B330BA"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507</w:t>
            </w:r>
          </w:p>
        </w:tc>
        <w:tc>
          <w:tcPr>
            <w:tcW w:w="1174" w:type="dxa"/>
            <w:tcBorders>
              <w:top w:val="nil"/>
              <w:left w:val="nil"/>
              <w:bottom w:val="single" w:sz="4" w:space="0" w:color="auto"/>
              <w:right w:val="single" w:sz="4" w:space="0" w:color="auto"/>
            </w:tcBorders>
            <w:vAlign w:val="center"/>
          </w:tcPr>
          <w:p w14:paraId="30613C4B" w14:textId="77777777" w:rsidR="00986DE0" w:rsidRPr="00DD1E27" w:rsidRDefault="00986DE0" w:rsidP="003C7140">
            <w:pPr>
              <w:jc w:val="center"/>
              <w:rPr>
                <w:rFonts w:ascii="Lato" w:hAnsi="Lato" w:cstheme="minorHAnsi"/>
                <w:sz w:val="18"/>
                <w:szCs w:val="18"/>
              </w:rPr>
            </w:pPr>
            <w:r w:rsidRPr="00DD1E27">
              <w:rPr>
                <w:rFonts w:ascii="Lato" w:hAnsi="Lato"/>
                <w:sz w:val="18"/>
                <w:szCs w:val="18"/>
              </w:rPr>
              <w:t>31,35</w:t>
            </w:r>
          </w:p>
        </w:tc>
      </w:tr>
      <w:tr w:rsidR="00986DE0" w:rsidRPr="004B2BBB" w14:paraId="275FB37A" w14:textId="77777777" w:rsidTr="003C7140">
        <w:trPr>
          <w:trHeight w:val="376"/>
          <w:jc w:val="center"/>
        </w:trPr>
        <w:tc>
          <w:tcPr>
            <w:tcW w:w="567" w:type="dxa"/>
            <w:tcBorders>
              <w:top w:val="nil"/>
              <w:left w:val="single" w:sz="8" w:space="0" w:color="auto"/>
              <w:bottom w:val="single" w:sz="4" w:space="0" w:color="auto"/>
              <w:right w:val="nil"/>
            </w:tcBorders>
            <w:noWrap/>
            <w:vAlign w:val="center"/>
            <w:hideMark/>
          </w:tcPr>
          <w:p w14:paraId="0D5AB1A3"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lastRenderedPageBreak/>
              <w:t>7</w:t>
            </w:r>
          </w:p>
        </w:tc>
        <w:tc>
          <w:tcPr>
            <w:tcW w:w="4961" w:type="dxa"/>
            <w:tcBorders>
              <w:top w:val="nil"/>
              <w:left w:val="single" w:sz="4" w:space="0" w:color="auto"/>
              <w:bottom w:val="single" w:sz="4" w:space="0" w:color="auto"/>
              <w:right w:val="single" w:sz="4" w:space="0" w:color="auto"/>
            </w:tcBorders>
            <w:vAlign w:val="center"/>
            <w:hideMark/>
          </w:tcPr>
          <w:p w14:paraId="6B5D6FA3"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Biegunka i zapalenie żołądkowo-jelitowe BNO, o prawdopodobnie zakaźnym pochodzeniu u dzieci do lat 2</w:t>
            </w:r>
          </w:p>
        </w:tc>
        <w:tc>
          <w:tcPr>
            <w:tcW w:w="1151" w:type="dxa"/>
            <w:tcBorders>
              <w:top w:val="nil"/>
              <w:left w:val="nil"/>
              <w:bottom w:val="single" w:sz="4" w:space="0" w:color="auto"/>
              <w:right w:val="single" w:sz="4" w:space="0" w:color="auto"/>
            </w:tcBorders>
            <w:vAlign w:val="center"/>
          </w:tcPr>
          <w:p w14:paraId="7A90AD9B"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364</w:t>
            </w:r>
          </w:p>
        </w:tc>
        <w:tc>
          <w:tcPr>
            <w:tcW w:w="1174" w:type="dxa"/>
            <w:tcBorders>
              <w:top w:val="nil"/>
              <w:left w:val="nil"/>
              <w:bottom w:val="single" w:sz="4" w:space="0" w:color="auto"/>
              <w:right w:val="single" w:sz="4" w:space="0" w:color="auto"/>
            </w:tcBorders>
            <w:vAlign w:val="center"/>
          </w:tcPr>
          <w:p w14:paraId="1B611B02"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1100,00</w:t>
            </w:r>
          </w:p>
        </w:tc>
        <w:tc>
          <w:tcPr>
            <w:tcW w:w="1151" w:type="dxa"/>
            <w:tcBorders>
              <w:top w:val="nil"/>
              <w:left w:val="nil"/>
              <w:bottom w:val="single" w:sz="4" w:space="0" w:color="auto"/>
              <w:right w:val="single" w:sz="4" w:space="0" w:color="auto"/>
            </w:tcBorders>
            <w:vAlign w:val="center"/>
          </w:tcPr>
          <w:p w14:paraId="7755CD67"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327</w:t>
            </w:r>
          </w:p>
        </w:tc>
        <w:tc>
          <w:tcPr>
            <w:tcW w:w="1174" w:type="dxa"/>
            <w:tcBorders>
              <w:top w:val="nil"/>
              <w:left w:val="nil"/>
              <w:bottom w:val="single" w:sz="4" w:space="0" w:color="auto"/>
              <w:right w:val="single" w:sz="4" w:space="0" w:color="auto"/>
            </w:tcBorders>
            <w:vAlign w:val="center"/>
          </w:tcPr>
          <w:p w14:paraId="31B5D2AB" w14:textId="77777777" w:rsidR="00986DE0" w:rsidRPr="00DD1E27" w:rsidRDefault="00986DE0" w:rsidP="003C7140">
            <w:pPr>
              <w:jc w:val="center"/>
              <w:rPr>
                <w:rFonts w:ascii="Lato" w:hAnsi="Lato" w:cstheme="minorHAnsi"/>
                <w:sz w:val="18"/>
                <w:szCs w:val="18"/>
              </w:rPr>
            </w:pPr>
            <w:r w:rsidRPr="00DD1E27">
              <w:rPr>
                <w:rFonts w:ascii="Lato" w:hAnsi="Lato"/>
                <w:sz w:val="18"/>
                <w:szCs w:val="18"/>
              </w:rPr>
              <w:t>1087,53</w:t>
            </w:r>
          </w:p>
        </w:tc>
      </w:tr>
      <w:tr w:rsidR="00986DE0" w:rsidRPr="004B2BBB" w14:paraId="01CB8F82" w14:textId="77777777" w:rsidTr="003C7140">
        <w:trPr>
          <w:trHeight w:val="300"/>
          <w:jc w:val="center"/>
        </w:trPr>
        <w:tc>
          <w:tcPr>
            <w:tcW w:w="567" w:type="dxa"/>
            <w:tcBorders>
              <w:top w:val="nil"/>
              <w:left w:val="single" w:sz="8" w:space="0" w:color="auto"/>
              <w:bottom w:val="single" w:sz="4" w:space="0" w:color="auto"/>
              <w:right w:val="nil"/>
            </w:tcBorders>
            <w:noWrap/>
            <w:vAlign w:val="center"/>
            <w:hideMark/>
          </w:tcPr>
          <w:p w14:paraId="1D75227E"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color w:val="000000" w:themeColor="text1"/>
                <w:sz w:val="18"/>
                <w:szCs w:val="18"/>
              </w:rPr>
              <w:t>8</w:t>
            </w:r>
          </w:p>
        </w:tc>
        <w:tc>
          <w:tcPr>
            <w:tcW w:w="4961" w:type="dxa"/>
            <w:tcBorders>
              <w:top w:val="nil"/>
              <w:left w:val="single" w:sz="4" w:space="0" w:color="auto"/>
              <w:bottom w:val="single" w:sz="4" w:space="0" w:color="auto"/>
              <w:right w:val="single" w:sz="4" w:space="0" w:color="auto"/>
            </w:tcBorders>
            <w:vAlign w:val="center"/>
            <w:hideMark/>
          </w:tcPr>
          <w:p w14:paraId="31B90714" w14:textId="77777777" w:rsidR="00986DE0" w:rsidRPr="00C35EAE" w:rsidRDefault="00986DE0" w:rsidP="003C7140">
            <w:pPr>
              <w:rPr>
                <w:rFonts w:ascii="Lato" w:hAnsi="Lato" w:cstheme="minorHAnsi"/>
                <w:color w:val="000000" w:themeColor="text1"/>
                <w:sz w:val="18"/>
                <w:szCs w:val="18"/>
              </w:rPr>
            </w:pPr>
            <w:proofErr w:type="spellStart"/>
            <w:r w:rsidRPr="00C35EAE">
              <w:rPr>
                <w:rFonts w:ascii="Lato" w:hAnsi="Lato" w:cstheme="minorHAnsi"/>
                <w:color w:val="000000" w:themeColor="text1"/>
                <w:sz w:val="18"/>
                <w:szCs w:val="18"/>
              </w:rPr>
              <w:t>Listerioza</w:t>
            </w:r>
            <w:proofErr w:type="spellEnd"/>
          </w:p>
        </w:tc>
        <w:tc>
          <w:tcPr>
            <w:tcW w:w="1151" w:type="dxa"/>
            <w:tcBorders>
              <w:top w:val="nil"/>
              <w:left w:val="nil"/>
              <w:bottom w:val="single" w:sz="4" w:space="0" w:color="auto"/>
              <w:right w:val="single" w:sz="4" w:space="0" w:color="auto"/>
            </w:tcBorders>
            <w:vAlign w:val="center"/>
          </w:tcPr>
          <w:p w14:paraId="225152CC"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b/>
                <w:bCs/>
                <w:color w:val="000000" w:themeColor="text1"/>
                <w:sz w:val="18"/>
                <w:szCs w:val="18"/>
              </w:rPr>
              <w:t>11</w:t>
            </w:r>
          </w:p>
        </w:tc>
        <w:tc>
          <w:tcPr>
            <w:tcW w:w="1174" w:type="dxa"/>
            <w:tcBorders>
              <w:top w:val="nil"/>
              <w:left w:val="nil"/>
              <w:bottom w:val="single" w:sz="4" w:space="0" w:color="auto"/>
              <w:right w:val="single" w:sz="4" w:space="0" w:color="auto"/>
            </w:tcBorders>
            <w:vAlign w:val="center"/>
          </w:tcPr>
          <w:p w14:paraId="24E22F5B"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color w:val="000000" w:themeColor="text1"/>
                <w:sz w:val="18"/>
                <w:szCs w:val="18"/>
              </w:rPr>
              <w:t>0,68</w:t>
            </w:r>
          </w:p>
        </w:tc>
        <w:tc>
          <w:tcPr>
            <w:tcW w:w="1151" w:type="dxa"/>
            <w:tcBorders>
              <w:top w:val="nil"/>
              <w:left w:val="nil"/>
              <w:bottom w:val="single" w:sz="4" w:space="0" w:color="auto"/>
              <w:right w:val="single" w:sz="4" w:space="0" w:color="auto"/>
            </w:tcBorders>
            <w:vAlign w:val="center"/>
          </w:tcPr>
          <w:p w14:paraId="143F8855" w14:textId="77777777" w:rsidR="00986DE0" w:rsidRPr="00C35EAE" w:rsidRDefault="00986DE0" w:rsidP="003C7140">
            <w:pPr>
              <w:jc w:val="center"/>
              <w:rPr>
                <w:rFonts w:ascii="Lato" w:hAnsi="Lato" w:cstheme="minorHAnsi"/>
                <w:b/>
                <w:bCs/>
                <w:color w:val="000000" w:themeColor="text1"/>
                <w:sz w:val="18"/>
                <w:szCs w:val="18"/>
              </w:rPr>
            </w:pPr>
            <w:r w:rsidRPr="00C35EAE">
              <w:rPr>
                <w:rFonts w:ascii="Lato" w:hAnsi="Lato" w:cstheme="minorHAnsi"/>
                <w:b/>
                <w:bCs/>
                <w:color w:val="000000" w:themeColor="text1"/>
                <w:sz w:val="18"/>
                <w:szCs w:val="18"/>
              </w:rPr>
              <w:t>2</w:t>
            </w:r>
            <w:r>
              <w:rPr>
                <w:rFonts w:ascii="Lato" w:hAnsi="Lato" w:cstheme="minorHAnsi"/>
                <w:b/>
                <w:bCs/>
                <w:color w:val="000000" w:themeColor="text1"/>
                <w:sz w:val="18"/>
                <w:szCs w:val="18"/>
              </w:rPr>
              <w:t>4</w:t>
            </w:r>
          </w:p>
        </w:tc>
        <w:tc>
          <w:tcPr>
            <w:tcW w:w="1174" w:type="dxa"/>
            <w:tcBorders>
              <w:top w:val="nil"/>
              <w:left w:val="nil"/>
              <w:bottom w:val="single" w:sz="4" w:space="0" w:color="auto"/>
              <w:right w:val="single" w:sz="4" w:space="0" w:color="auto"/>
            </w:tcBorders>
            <w:vAlign w:val="center"/>
          </w:tcPr>
          <w:p w14:paraId="645DE949" w14:textId="77777777" w:rsidR="00986DE0" w:rsidRPr="00DD1E27" w:rsidRDefault="00986DE0" w:rsidP="003C7140">
            <w:pPr>
              <w:jc w:val="center"/>
              <w:rPr>
                <w:rFonts w:ascii="Lato" w:hAnsi="Lato" w:cstheme="minorHAnsi"/>
                <w:sz w:val="18"/>
                <w:szCs w:val="18"/>
              </w:rPr>
            </w:pPr>
            <w:r w:rsidRPr="00DD1E27">
              <w:rPr>
                <w:rFonts w:ascii="Lato" w:hAnsi="Lato" w:cstheme="minorHAnsi"/>
                <w:sz w:val="18"/>
                <w:szCs w:val="18"/>
              </w:rPr>
              <w:t>1,48</w:t>
            </w:r>
          </w:p>
        </w:tc>
      </w:tr>
      <w:tr w:rsidR="00986DE0" w:rsidRPr="004B2BBB" w14:paraId="73C599C3" w14:textId="77777777" w:rsidTr="003C7140">
        <w:trPr>
          <w:trHeight w:val="300"/>
          <w:jc w:val="center"/>
        </w:trPr>
        <w:tc>
          <w:tcPr>
            <w:tcW w:w="567" w:type="dxa"/>
            <w:vMerge w:val="restart"/>
            <w:tcBorders>
              <w:top w:val="nil"/>
              <w:left w:val="single" w:sz="8" w:space="0" w:color="auto"/>
              <w:bottom w:val="single" w:sz="4" w:space="0" w:color="000000"/>
              <w:right w:val="nil"/>
            </w:tcBorders>
            <w:noWrap/>
            <w:vAlign w:val="center"/>
            <w:hideMark/>
          </w:tcPr>
          <w:p w14:paraId="794D169C"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color w:val="000000" w:themeColor="text1"/>
                <w:sz w:val="18"/>
                <w:szCs w:val="18"/>
              </w:rPr>
              <w:t>9</w:t>
            </w:r>
          </w:p>
        </w:tc>
        <w:tc>
          <w:tcPr>
            <w:tcW w:w="4961" w:type="dxa"/>
            <w:tcBorders>
              <w:top w:val="nil"/>
              <w:left w:val="single" w:sz="4" w:space="0" w:color="auto"/>
              <w:bottom w:val="single" w:sz="4" w:space="0" w:color="auto"/>
              <w:right w:val="single" w:sz="4" w:space="0" w:color="auto"/>
            </w:tcBorders>
            <w:vAlign w:val="center"/>
            <w:hideMark/>
          </w:tcPr>
          <w:p w14:paraId="1D695B35" w14:textId="77777777" w:rsidR="00986DE0" w:rsidRPr="00C35EAE" w:rsidRDefault="00986DE0" w:rsidP="003C7140">
            <w:pPr>
              <w:rPr>
                <w:rFonts w:ascii="Lato" w:hAnsi="Lato" w:cstheme="minorHAnsi"/>
                <w:color w:val="000000" w:themeColor="text1"/>
                <w:sz w:val="18"/>
                <w:szCs w:val="18"/>
              </w:rPr>
            </w:pPr>
            <w:r w:rsidRPr="00C35EAE">
              <w:rPr>
                <w:rFonts w:ascii="Lato" w:hAnsi="Lato" w:cstheme="minorHAnsi"/>
                <w:color w:val="000000" w:themeColor="text1"/>
                <w:sz w:val="18"/>
                <w:szCs w:val="18"/>
              </w:rPr>
              <w:t>Grypa ogółem</w:t>
            </w:r>
          </w:p>
        </w:tc>
        <w:tc>
          <w:tcPr>
            <w:tcW w:w="1151" w:type="dxa"/>
            <w:tcBorders>
              <w:top w:val="nil"/>
              <w:left w:val="nil"/>
              <w:bottom w:val="single" w:sz="4" w:space="0" w:color="auto"/>
              <w:right w:val="single" w:sz="4" w:space="0" w:color="auto"/>
            </w:tcBorders>
            <w:vAlign w:val="center"/>
          </w:tcPr>
          <w:p w14:paraId="6DDCC676"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b/>
                <w:bCs/>
                <w:color w:val="000000" w:themeColor="text1"/>
                <w:sz w:val="18"/>
                <w:szCs w:val="18"/>
              </w:rPr>
              <w:t>128</w:t>
            </w:r>
          </w:p>
        </w:tc>
        <w:tc>
          <w:tcPr>
            <w:tcW w:w="1174" w:type="dxa"/>
            <w:tcBorders>
              <w:top w:val="nil"/>
              <w:left w:val="nil"/>
              <w:bottom w:val="single" w:sz="4" w:space="0" w:color="auto"/>
              <w:right w:val="single" w:sz="4" w:space="0" w:color="auto"/>
            </w:tcBorders>
            <w:vAlign w:val="center"/>
          </w:tcPr>
          <w:p w14:paraId="49B67E46"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color w:val="000000" w:themeColor="text1"/>
                <w:sz w:val="18"/>
                <w:szCs w:val="18"/>
              </w:rPr>
              <w:t>7,87</w:t>
            </w:r>
          </w:p>
        </w:tc>
        <w:tc>
          <w:tcPr>
            <w:tcW w:w="1151" w:type="dxa"/>
            <w:tcBorders>
              <w:top w:val="nil"/>
              <w:left w:val="nil"/>
              <w:bottom w:val="single" w:sz="4" w:space="0" w:color="auto"/>
              <w:right w:val="single" w:sz="4" w:space="0" w:color="auto"/>
            </w:tcBorders>
            <w:vAlign w:val="center"/>
          </w:tcPr>
          <w:p w14:paraId="7917225C" w14:textId="77777777" w:rsidR="00986DE0" w:rsidRPr="00C35EAE" w:rsidRDefault="00986DE0" w:rsidP="003C7140">
            <w:pPr>
              <w:jc w:val="center"/>
              <w:rPr>
                <w:rFonts w:ascii="Lato" w:hAnsi="Lato" w:cstheme="minorHAnsi"/>
                <w:b/>
                <w:bCs/>
                <w:color w:val="000000" w:themeColor="text1"/>
                <w:sz w:val="18"/>
                <w:szCs w:val="18"/>
              </w:rPr>
            </w:pPr>
            <w:r w:rsidRPr="00C35EAE">
              <w:rPr>
                <w:rFonts w:ascii="Lato" w:hAnsi="Lato" w:cstheme="minorHAnsi"/>
                <w:b/>
                <w:bCs/>
                <w:color w:val="000000" w:themeColor="text1"/>
                <w:sz w:val="18"/>
                <w:szCs w:val="18"/>
              </w:rPr>
              <w:t>181</w:t>
            </w:r>
          </w:p>
        </w:tc>
        <w:tc>
          <w:tcPr>
            <w:tcW w:w="1174" w:type="dxa"/>
            <w:tcBorders>
              <w:top w:val="nil"/>
              <w:left w:val="nil"/>
              <w:bottom w:val="single" w:sz="4" w:space="0" w:color="auto"/>
              <w:right w:val="single" w:sz="4" w:space="0" w:color="auto"/>
            </w:tcBorders>
            <w:vAlign w:val="center"/>
          </w:tcPr>
          <w:p w14:paraId="078E28F3" w14:textId="77777777" w:rsidR="00986DE0" w:rsidRPr="00BB6CD1" w:rsidRDefault="00986DE0" w:rsidP="003C7140">
            <w:pPr>
              <w:jc w:val="center"/>
              <w:rPr>
                <w:rFonts w:ascii="Lato" w:hAnsi="Lato" w:cstheme="minorHAnsi"/>
                <w:sz w:val="18"/>
                <w:szCs w:val="18"/>
              </w:rPr>
            </w:pPr>
            <w:r w:rsidRPr="00BB6CD1">
              <w:rPr>
                <w:rFonts w:ascii="Lato" w:hAnsi="Lato" w:cstheme="minorHAnsi"/>
                <w:sz w:val="18"/>
                <w:szCs w:val="18"/>
              </w:rPr>
              <w:t>11,19</w:t>
            </w:r>
          </w:p>
        </w:tc>
      </w:tr>
      <w:tr w:rsidR="00986DE0" w:rsidRPr="004B2BBB" w14:paraId="4E6E9EB9" w14:textId="77777777" w:rsidTr="003C7140">
        <w:trPr>
          <w:trHeight w:val="300"/>
          <w:jc w:val="center"/>
        </w:trPr>
        <w:tc>
          <w:tcPr>
            <w:tcW w:w="567" w:type="dxa"/>
            <w:vMerge/>
            <w:tcBorders>
              <w:top w:val="nil"/>
              <w:left w:val="single" w:sz="8" w:space="0" w:color="auto"/>
              <w:bottom w:val="single" w:sz="4" w:space="0" w:color="000000"/>
              <w:right w:val="nil"/>
            </w:tcBorders>
            <w:vAlign w:val="center"/>
            <w:hideMark/>
          </w:tcPr>
          <w:p w14:paraId="7EA8C379" w14:textId="77777777" w:rsidR="00986DE0" w:rsidRPr="00C35EAE" w:rsidRDefault="00986DE0" w:rsidP="003C7140">
            <w:pPr>
              <w:rPr>
                <w:rFonts w:ascii="Lato" w:hAnsi="Lato" w:cstheme="minorHAnsi"/>
                <w:color w:val="EE0000"/>
                <w:sz w:val="18"/>
                <w:szCs w:val="18"/>
              </w:rPr>
            </w:pPr>
          </w:p>
        </w:tc>
        <w:tc>
          <w:tcPr>
            <w:tcW w:w="4961" w:type="dxa"/>
            <w:tcBorders>
              <w:top w:val="nil"/>
              <w:left w:val="single" w:sz="4" w:space="0" w:color="auto"/>
              <w:bottom w:val="single" w:sz="4" w:space="0" w:color="auto"/>
              <w:right w:val="single" w:sz="4" w:space="0" w:color="auto"/>
            </w:tcBorders>
            <w:vAlign w:val="center"/>
            <w:hideMark/>
          </w:tcPr>
          <w:p w14:paraId="2B60000E" w14:textId="77777777" w:rsidR="00986DE0" w:rsidRPr="00C35EAE" w:rsidRDefault="00986DE0" w:rsidP="003C7140">
            <w:pPr>
              <w:jc w:val="right"/>
              <w:rPr>
                <w:rFonts w:ascii="Lato" w:hAnsi="Lato" w:cstheme="minorHAnsi"/>
                <w:color w:val="EE0000"/>
                <w:sz w:val="18"/>
                <w:szCs w:val="18"/>
              </w:rPr>
            </w:pPr>
            <w:r w:rsidRPr="00C35EAE">
              <w:rPr>
                <w:rFonts w:ascii="Lato" w:hAnsi="Lato" w:cstheme="minorHAnsi"/>
                <w:color w:val="000000" w:themeColor="text1"/>
                <w:sz w:val="18"/>
                <w:szCs w:val="18"/>
              </w:rPr>
              <w:t>w tym dzieci do 14 r.ż.</w:t>
            </w:r>
          </w:p>
        </w:tc>
        <w:tc>
          <w:tcPr>
            <w:tcW w:w="1151" w:type="dxa"/>
            <w:tcBorders>
              <w:top w:val="nil"/>
              <w:left w:val="nil"/>
              <w:bottom w:val="single" w:sz="4" w:space="0" w:color="auto"/>
              <w:right w:val="single" w:sz="4" w:space="0" w:color="auto"/>
            </w:tcBorders>
            <w:vAlign w:val="center"/>
          </w:tcPr>
          <w:p w14:paraId="1CEEDFBF"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b/>
                <w:bCs/>
                <w:color w:val="000000" w:themeColor="text1"/>
                <w:sz w:val="18"/>
                <w:szCs w:val="18"/>
              </w:rPr>
              <w:t>26</w:t>
            </w:r>
          </w:p>
        </w:tc>
        <w:tc>
          <w:tcPr>
            <w:tcW w:w="1174" w:type="dxa"/>
            <w:tcBorders>
              <w:top w:val="nil"/>
              <w:left w:val="nil"/>
              <w:bottom w:val="single" w:sz="4" w:space="0" w:color="auto"/>
              <w:right w:val="single" w:sz="4" w:space="0" w:color="auto"/>
            </w:tcBorders>
            <w:vAlign w:val="center"/>
          </w:tcPr>
          <w:p w14:paraId="130A60E1"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color w:val="000000" w:themeColor="text1"/>
                <w:sz w:val="18"/>
                <w:szCs w:val="18"/>
              </w:rPr>
              <w:t>11,63</w:t>
            </w:r>
          </w:p>
        </w:tc>
        <w:tc>
          <w:tcPr>
            <w:tcW w:w="1151" w:type="dxa"/>
            <w:tcBorders>
              <w:top w:val="nil"/>
              <w:left w:val="nil"/>
              <w:bottom w:val="single" w:sz="4" w:space="0" w:color="auto"/>
              <w:right w:val="single" w:sz="4" w:space="0" w:color="auto"/>
            </w:tcBorders>
            <w:vAlign w:val="center"/>
          </w:tcPr>
          <w:p w14:paraId="10335DF3" w14:textId="77777777" w:rsidR="00986DE0" w:rsidRPr="00C35EAE" w:rsidRDefault="00986DE0" w:rsidP="003C7140">
            <w:pPr>
              <w:jc w:val="center"/>
              <w:rPr>
                <w:rFonts w:ascii="Lato" w:hAnsi="Lato" w:cstheme="minorHAnsi"/>
                <w:b/>
                <w:bCs/>
                <w:color w:val="000000" w:themeColor="text1"/>
                <w:sz w:val="18"/>
                <w:szCs w:val="18"/>
              </w:rPr>
            </w:pPr>
            <w:r w:rsidRPr="00C35EAE">
              <w:rPr>
                <w:rFonts w:ascii="Lato" w:hAnsi="Lato" w:cstheme="minorHAnsi"/>
                <w:b/>
                <w:bCs/>
                <w:color w:val="000000" w:themeColor="text1"/>
                <w:sz w:val="18"/>
                <w:szCs w:val="18"/>
              </w:rPr>
              <w:t>67</w:t>
            </w:r>
          </w:p>
        </w:tc>
        <w:tc>
          <w:tcPr>
            <w:tcW w:w="1174" w:type="dxa"/>
            <w:tcBorders>
              <w:top w:val="nil"/>
              <w:left w:val="nil"/>
              <w:bottom w:val="single" w:sz="4" w:space="0" w:color="auto"/>
              <w:right w:val="single" w:sz="4" w:space="0" w:color="auto"/>
            </w:tcBorders>
            <w:vAlign w:val="center"/>
          </w:tcPr>
          <w:p w14:paraId="1DA7EE53" w14:textId="77777777" w:rsidR="00986DE0" w:rsidRPr="00BB6CD1" w:rsidRDefault="00986DE0" w:rsidP="003C7140">
            <w:pPr>
              <w:jc w:val="center"/>
              <w:rPr>
                <w:rFonts w:ascii="Lato" w:hAnsi="Lato" w:cstheme="minorHAnsi"/>
                <w:sz w:val="18"/>
                <w:szCs w:val="18"/>
              </w:rPr>
            </w:pPr>
            <w:r w:rsidRPr="00BB6CD1">
              <w:rPr>
                <w:rFonts w:ascii="Lato" w:hAnsi="Lato" w:cstheme="minorHAnsi"/>
                <w:sz w:val="18"/>
                <w:szCs w:val="18"/>
              </w:rPr>
              <w:t>31,17</w:t>
            </w:r>
          </w:p>
        </w:tc>
      </w:tr>
      <w:tr w:rsidR="00986DE0" w:rsidRPr="004B2BBB" w14:paraId="74156562" w14:textId="77777777" w:rsidTr="00BA7929">
        <w:trPr>
          <w:trHeight w:val="300"/>
          <w:jc w:val="center"/>
        </w:trPr>
        <w:tc>
          <w:tcPr>
            <w:tcW w:w="567" w:type="dxa"/>
            <w:tcBorders>
              <w:top w:val="single" w:sz="4" w:space="0" w:color="auto"/>
              <w:left w:val="single" w:sz="8" w:space="0" w:color="auto"/>
              <w:bottom w:val="single" w:sz="4" w:space="0" w:color="auto"/>
              <w:right w:val="nil"/>
            </w:tcBorders>
            <w:noWrap/>
            <w:vAlign w:val="center"/>
          </w:tcPr>
          <w:p w14:paraId="04CBFE5F"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color w:val="000000" w:themeColor="text1"/>
                <w:sz w:val="18"/>
                <w:szCs w:val="18"/>
              </w:rPr>
              <w:t>10</w:t>
            </w:r>
          </w:p>
        </w:tc>
        <w:tc>
          <w:tcPr>
            <w:tcW w:w="4961" w:type="dxa"/>
            <w:tcBorders>
              <w:top w:val="single" w:sz="4" w:space="0" w:color="auto"/>
              <w:left w:val="single" w:sz="4" w:space="0" w:color="auto"/>
              <w:bottom w:val="single" w:sz="4" w:space="0" w:color="auto"/>
              <w:right w:val="single" w:sz="4" w:space="0" w:color="auto"/>
            </w:tcBorders>
            <w:vAlign w:val="center"/>
          </w:tcPr>
          <w:p w14:paraId="20EA29DA" w14:textId="77777777" w:rsidR="00986DE0" w:rsidRPr="00C35EAE" w:rsidRDefault="00986DE0" w:rsidP="003C7140">
            <w:pPr>
              <w:rPr>
                <w:rFonts w:ascii="Lato" w:hAnsi="Lato" w:cstheme="minorHAnsi"/>
                <w:color w:val="000000" w:themeColor="text1"/>
                <w:sz w:val="18"/>
                <w:szCs w:val="18"/>
              </w:rPr>
            </w:pPr>
            <w:r w:rsidRPr="00C35EAE">
              <w:rPr>
                <w:rFonts w:ascii="Lato" w:hAnsi="Lato" w:cstheme="minorHAnsi"/>
                <w:color w:val="000000" w:themeColor="text1"/>
                <w:sz w:val="18"/>
                <w:szCs w:val="18"/>
              </w:rPr>
              <w:t>Grypa potwierdzona wynikiem szybkiego testu antygenowego</w:t>
            </w:r>
          </w:p>
        </w:tc>
        <w:tc>
          <w:tcPr>
            <w:tcW w:w="1151" w:type="dxa"/>
            <w:tcBorders>
              <w:top w:val="single" w:sz="4" w:space="0" w:color="auto"/>
              <w:left w:val="nil"/>
              <w:bottom w:val="single" w:sz="4" w:space="0" w:color="auto"/>
              <w:right w:val="single" w:sz="4" w:space="0" w:color="auto"/>
            </w:tcBorders>
            <w:vAlign w:val="center"/>
          </w:tcPr>
          <w:p w14:paraId="52545188" w14:textId="77777777" w:rsidR="00986DE0" w:rsidRPr="00C35EAE" w:rsidRDefault="00986DE0" w:rsidP="003C7140">
            <w:pPr>
              <w:jc w:val="center"/>
              <w:rPr>
                <w:rFonts w:ascii="Lato" w:hAnsi="Lato" w:cstheme="minorHAnsi"/>
                <w:b/>
                <w:bCs/>
                <w:color w:val="000000" w:themeColor="text1"/>
                <w:sz w:val="18"/>
                <w:szCs w:val="18"/>
              </w:rPr>
            </w:pPr>
            <w:r w:rsidRPr="00C35EAE">
              <w:rPr>
                <w:rFonts w:ascii="Lato" w:hAnsi="Lato" w:cstheme="minorHAnsi"/>
                <w:b/>
                <w:bCs/>
                <w:color w:val="000000" w:themeColor="text1"/>
                <w:sz w:val="18"/>
                <w:szCs w:val="18"/>
              </w:rPr>
              <w:t>4950</w:t>
            </w:r>
          </w:p>
        </w:tc>
        <w:tc>
          <w:tcPr>
            <w:tcW w:w="1174" w:type="dxa"/>
            <w:tcBorders>
              <w:top w:val="single" w:sz="4" w:space="0" w:color="auto"/>
              <w:left w:val="nil"/>
              <w:bottom w:val="single" w:sz="4" w:space="0" w:color="auto"/>
              <w:right w:val="single" w:sz="4" w:space="0" w:color="auto"/>
            </w:tcBorders>
            <w:vAlign w:val="center"/>
          </w:tcPr>
          <w:p w14:paraId="07C8B73C"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color w:val="000000" w:themeColor="text1"/>
                <w:sz w:val="18"/>
                <w:szCs w:val="18"/>
              </w:rPr>
              <w:t>304,26</w:t>
            </w:r>
          </w:p>
        </w:tc>
        <w:tc>
          <w:tcPr>
            <w:tcW w:w="1151" w:type="dxa"/>
            <w:tcBorders>
              <w:top w:val="single" w:sz="4" w:space="0" w:color="auto"/>
              <w:left w:val="nil"/>
              <w:bottom w:val="single" w:sz="4" w:space="0" w:color="auto"/>
              <w:right w:val="single" w:sz="4" w:space="0" w:color="auto"/>
            </w:tcBorders>
            <w:vAlign w:val="center"/>
          </w:tcPr>
          <w:p w14:paraId="3A2A30B2" w14:textId="77777777" w:rsidR="00986DE0" w:rsidRPr="00C35EAE" w:rsidRDefault="00986DE0" w:rsidP="003C7140">
            <w:pPr>
              <w:jc w:val="center"/>
              <w:rPr>
                <w:rFonts w:ascii="Lato" w:hAnsi="Lato" w:cstheme="minorHAnsi"/>
                <w:b/>
                <w:bCs/>
                <w:color w:val="000000" w:themeColor="text1"/>
                <w:sz w:val="18"/>
                <w:szCs w:val="18"/>
              </w:rPr>
            </w:pPr>
            <w:r w:rsidRPr="00C35EAE">
              <w:rPr>
                <w:rFonts w:ascii="Lato" w:hAnsi="Lato" w:cstheme="minorHAnsi"/>
                <w:b/>
                <w:bCs/>
                <w:color w:val="000000" w:themeColor="text1"/>
                <w:sz w:val="18"/>
                <w:szCs w:val="18"/>
              </w:rPr>
              <w:t>20597</w:t>
            </w:r>
          </w:p>
        </w:tc>
        <w:tc>
          <w:tcPr>
            <w:tcW w:w="1174" w:type="dxa"/>
            <w:tcBorders>
              <w:top w:val="single" w:sz="4" w:space="0" w:color="auto"/>
              <w:left w:val="nil"/>
              <w:bottom w:val="single" w:sz="4" w:space="0" w:color="auto"/>
              <w:right w:val="single" w:sz="4" w:space="0" w:color="auto"/>
            </w:tcBorders>
            <w:vAlign w:val="center"/>
          </w:tcPr>
          <w:p w14:paraId="7F9AE378" w14:textId="77777777" w:rsidR="00986DE0" w:rsidRPr="00C35EAE" w:rsidRDefault="00986DE0" w:rsidP="003C7140">
            <w:pPr>
              <w:jc w:val="center"/>
              <w:rPr>
                <w:rFonts w:ascii="Lato" w:hAnsi="Lato" w:cstheme="minorHAnsi"/>
                <w:color w:val="EE0000"/>
                <w:sz w:val="18"/>
                <w:szCs w:val="18"/>
              </w:rPr>
            </w:pPr>
            <w:r w:rsidRPr="00DD1E27">
              <w:rPr>
                <w:rFonts w:ascii="Lato" w:hAnsi="Lato" w:cstheme="minorHAnsi"/>
                <w:sz w:val="18"/>
                <w:szCs w:val="18"/>
              </w:rPr>
              <w:t>1273,45</w:t>
            </w:r>
          </w:p>
        </w:tc>
      </w:tr>
      <w:tr w:rsidR="00986DE0" w:rsidRPr="004B2BBB" w14:paraId="6330BD2E" w14:textId="77777777" w:rsidTr="003C7140">
        <w:trPr>
          <w:trHeight w:val="300"/>
          <w:jc w:val="center"/>
        </w:trPr>
        <w:tc>
          <w:tcPr>
            <w:tcW w:w="567" w:type="dxa"/>
            <w:tcBorders>
              <w:top w:val="nil"/>
              <w:left w:val="single" w:sz="8" w:space="0" w:color="auto"/>
              <w:bottom w:val="single" w:sz="4" w:space="0" w:color="auto"/>
              <w:right w:val="nil"/>
            </w:tcBorders>
            <w:noWrap/>
            <w:vAlign w:val="center"/>
          </w:tcPr>
          <w:p w14:paraId="73DF44ED" w14:textId="77777777" w:rsidR="00986DE0" w:rsidRPr="00C35EAE" w:rsidRDefault="00986DE0" w:rsidP="003C7140">
            <w:pPr>
              <w:jc w:val="center"/>
              <w:rPr>
                <w:rFonts w:ascii="Lato" w:hAnsi="Lato" w:cstheme="minorHAnsi"/>
                <w:color w:val="EE0000"/>
                <w:sz w:val="18"/>
                <w:szCs w:val="18"/>
              </w:rPr>
            </w:pPr>
            <w:r w:rsidRPr="00C35EAE">
              <w:rPr>
                <w:rFonts w:ascii="Lato" w:hAnsi="Lato" w:cstheme="minorHAnsi"/>
                <w:color w:val="000000" w:themeColor="text1"/>
                <w:sz w:val="18"/>
                <w:szCs w:val="18"/>
              </w:rPr>
              <w:t>11</w:t>
            </w:r>
          </w:p>
        </w:tc>
        <w:tc>
          <w:tcPr>
            <w:tcW w:w="4961" w:type="dxa"/>
            <w:tcBorders>
              <w:top w:val="nil"/>
              <w:left w:val="single" w:sz="4" w:space="0" w:color="auto"/>
              <w:bottom w:val="single" w:sz="4" w:space="0" w:color="auto"/>
              <w:right w:val="single" w:sz="4" w:space="0" w:color="auto"/>
            </w:tcBorders>
            <w:vAlign w:val="center"/>
            <w:hideMark/>
          </w:tcPr>
          <w:p w14:paraId="576440B1" w14:textId="77777777" w:rsidR="00986DE0" w:rsidRPr="00C35EAE" w:rsidRDefault="00986DE0" w:rsidP="003C7140">
            <w:pPr>
              <w:rPr>
                <w:rFonts w:ascii="Lato" w:hAnsi="Lato" w:cstheme="minorHAnsi"/>
                <w:color w:val="EE0000"/>
                <w:sz w:val="18"/>
                <w:szCs w:val="18"/>
              </w:rPr>
            </w:pPr>
            <w:r w:rsidRPr="00C35EAE">
              <w:rPr>
                <w:rFonts w:ascii="Lato" w:hAnsi="Lato" w:cstheme="minorHAnsi"/>
                <w:color w:val="000000" w:themeColor="text1"/>
                <w:sz w:val="18"/>
                <w:szCs w:val="18"/>
              </w:rPr>
              <w:t>Krztusiec</w:t>
            </w:r>
          </w:p>
        </w:tc>
        <w:tc>
          <w:tcPr>
            <w:tcW w:w="1151" w:type="dxa"/>
            <w:tcBorders>
              <w:top w:val="nil"/>
              <w:left w:val="nil"/>
              <w:bottom w:val="single" w:sz="4" w:space="0" w:color="auto"/>
              <w:right w:val="single" w:sz="4" w:space="0" w:color="auto"/>
            </w:tcBorders>
            <w:vAlign w:val="center"/>
          </w:tcPr>
          <w:p w14:paraId="3C12A53C"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b/>
                <w:bCs/>
                <w:color w:val="000000" w:themeColor="text1"/>
                <w:sz w:val="18"/>
                <w:szCs w:val="18"/>
              </w:rPr>
              <w:t>642</w:t>
            </w:r>
          </w:p>
        </w:tc>
        <w:tc>
          <w:tcPr>
            <w:tcW w:w="1174" w:type="dxa"/>
            <w:tcBorders>
              <w:top w:val="nil"/>
              <w:left w:val="nil"/>
              <w:bottom w:val="single" w:sz="4" w:space="0" w:color="auto"/>
              <w:right w:val="single" w:sz="4" w:space="0" w:color="auto"/>
            </w:tcBorders>
            <w:vAlign w:val="center"/>
          </w:tcPr>
          <w:p w14:paraId="3259CDF5"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color w:val="000000" w:themeColor="text1"/>
                <w:sz w:val="18"/>
                <w:szCs w:val="18"/>
              </w:rPr>
              <w:t>39,46</w:t>
            </w:r>
          </w:p>
        </w:tc>
        <w:tc>
          <w:tcPr>
            <w:tcW w:w="1151" w:type="dxa"/>
            <w:tcBorders>
              <w:top w:val="nil"/>
              <w:left w:val="nil"/>
              <w:bottom w:val="single" w:sz="4" w:space="0" w:color="auto"/>
              <w:right w:val="single" w:sz="4" w:space="0" w:color="auto"/>
            </w:tcBorders>
            <w:vAlign w:val="center"/>
          </w:tcPr>
          <w:p w14:paraId="3A3EFDB5" w14:textId="77777777" w:rsidR="00986DE0" w:rsidRPr="00C35EAE" w:rsidRDefault="00986DE0" w:rsidP="003C7140">
            <w:pPr>
              <w:jc w:val="center"/>
              <w:rPr>
                <w:rFonts w:ascii="Lato" w:hAnsi="Lato" w:cstheme="minorHAnsi"/>
                <w:b/>
                <w:bCs/>
                <w:color w:val="000000" w:themeColor="text1"/>
                <w:sz w:val="18"/>
                <w:szCs w:val="18"/>
              </w:rPr>
            </w:pPr>
            <w:r w:rsidRPr="00C35EAE">
              <w:rPr>
                <w:rFonts w:ascii="Lato" w:hAnsi="Lato" w:cstheme="minorHAnsi"/>
                <w:b/>
                <w:bCs/>
                <w:color w:val="000000" w:themeColor="text1"/>
                <w:sz w:val="18"/>
                <w:szCs w:val="18"/>
              </w:rPr>
              <w:t>345</w:t>
            </w:r>
          </w:p>
        </w:tc>
        <w:tc>
          <w:tcPr>
            <w:tcW w:w="1174" w:type="dxa"/>
            <w:tcBorders>
              <w:top w:val="nil"/>
              <w:left w:val="nil"/>
              <w:bottom w:val="single" w:sz="4" w:space="0" w:color="auto"/>
              <w:right w:val="single" w:sz="4" w:space="0" w:color="auto"/>
            </w:tcBorders>
            <w:vAlign w:val="center"/>
          </w:tcPr>
          <w:p w14:paraId="1D97CA18" w14:textId="77777777" w:rsidR="00986DE0" w:rsidRPr="00C35EAE" w:rsidRDefault="00986DE0" w:rsidP="003C7140">
            <w:pPr>
              <w:jc w:val="center"/>
              <w:rPr>
                <w:rFonts w:ascii="Lato" w:hAnsi="Lato" w:cstheme="minorHAnsi"/>
                <w:color w:val="EE0000"/>
                <w:sz w:val="18"/>
                <w:szCs w:val="18"/>
              </w:rPr>
            </w:pPr>
            <w:r w:rsidRPr="00DD1E27">
              <w:rPr>
                <w:rFonts w:ascii="Lato" w:hAnsi="Lato" w:cstheme="minorHAnsi"/>
                <w:sz w:val="18"/>
                <w:szCs w:val="18"/>
              </w:rPr>
              <w:t>21,33</w:t>
            </w:r>
          </w:p>
        </w:tc>
      </w:tr>
      <w:tr w:rsidR="00986DE0" w:rsidRPr="004B2BBB" w14:paraId="41F4BDDF" w14:textId="77777777" w:rsidTr="003C7140">
        <w:trPr>
          <w:trHeight w:val="300"/>
          <w:jc w:val="center"/>
        </w:trPr>
        <w:tc>
          <w:tcPr>
            <w:tcW w:w="567" w:type="dxa"/>
            <w:tcBorders>
              <w:top w:val="nil"/>
              <w:left w:val="single" w:sz="8" w:space="0" w:color="auto"/>
              <w:bottom w:val="single" w:sz="4" w:space="0" w:color="auto"/>
              <w:right w:val="nil"/>
            </w:tcBorders>
            <w:noWrap/>
            <w:vAlign w:val="center"/>
          </w:tcPr>
          <w:p w14:paraId="5FD66BF8"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color w:val="000000" w:themeColor="text1"/>
                <w:sz w:val="18"/>
                <w:szCs w:val="18"/>
              </w:rPr>
              <w:t>12</w:t>
            </w:r>
          </w:p>
        </w:tc>
        <w:tc>
          <w:tcPr>
            <w:tcW w:w="4961" w:type="dxa"/>
            <w:tcBorders>
              <w:top w:val="nil"/>
              <w:left w:val="single" w:sz="4" w:space="0" w:color="auto"/>
              <w:bottom w:val="single" w:sz="4" w:space="0" w:color="auto"/>
              <w:right w:val="single" w:sz="4" w:space="0" w:color="auto"/>
            </w:tcBorders>
            <w:vAlign w:val="center"/>
            <w:hideMark/>
          </w:tcPr>
          <w:p w14:paraId="3FF8F644" w14:textId="77777777" w:rsidR="00986DE0" w:rsidRPr="00C35EAE" w:rsidRDefault="00986DE0" w:rsidP="003C7140">
            <w:pPr>
              <w:rPr>
                <w:rFonts w:ascii="Lato" w:hAnsi="Lato" w:cstheme="minorHAnsi"/>
                <w:color w:val="000000" w:themeColor="text1"/>
                <w:sz w:val="18"/>
                <w:szCs w:val="18"/>
              </w:rPr>
            </w:pPr>
            <w:r w:rsidRPr="00C35EAE">
              <w:rPr>
                <w:rFonts w:ascii="Lato" w:hAnsi="Lato" w:cstheme="minorHAnsi"/>
                <w:color w:val="000000" w:themeColor="text1"/>
                <w:sz w:val="18"/>
                <w:szCs w:val="18"/>
              </w:rPr>
              <w:t>Płonica (szkarlatyna)</w:t>
            </w:r>
          </w:p>
        </w:tc>
        <w:tc>
          <w:tcPr>
            <w:tcW w:w="1151" w:type="dxa"/>
            <w:tcBorders>
              <w:top w:val="nil"/>
              <w:left w:val="nil"/>
              <w:bottom w:val="single" w:sz="4" w:space="0" w:color="auto"/>
              <w:right w:val="single" w:sz="4" w:space="0" w:color="auto"/>
            </w:tcBorders>
            <w:vAlign w:val="center"/>
          </w:tcPr>
          <w:p w14:paraId="4D0C5B21"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b/>
                <w:bCs/>
                <w:color w:val="000000" w:themeColor="text1"/>
                <w:sz w:val="18"/>
                <w:szCs w:val="18"/>
              </w:rPr>
              <w:t>1858</w:t>
            </w:r>
          </w:p>
        </w:tc>
        <w:tc>
          <w:tcPr>
            <w:tcW w:w="1174" w:type="dxa"/>
            <w:tcBorders>
              <w:top w:val="nil"/>
              <w:left w:val="nil"/>
              <w:bottom w:val="single" w:sz="4" w:space="0" w:color="auto"/>
              <w:right w:val="single" w:sz="4" w:space="0" w:color="auto"/>
            </w:tcBorders>
            <w:vAlign w:val="center"/>
          </w:tcPr>
          <w:p w14:paraId="6E10E551"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color w:val="000000" w:themeColor="text1"/>
                <w:sz w:val="18"/>
                <w:szCs w:val="18"/>
              </w:rPr>
              <w:t>114,21</w:t>
            </w:r>
          </w:p>
        </w:tc>
        <w:tc>
          <w:tcPr>
            <w:tcW w:w="1151" w:type="dxa"/>
            <w:tcBorders>
              <w:top w:val="nil"/>
              <w:left w:val="nil"/>
              <w:bottom w:val="single" w:sz="4" w:space="0" w:color="auto"/>
              <w:right w:val="single" w:sz="4" w:space="0" w:color="auto"/>
            </w:tcBorders>
            <w:vAlign w:val="center"/>
          </w:tcPr>
          <w:p w14:paraId="193A3696" w14:textId="77777777" w:rsidR="00986DE0" w:rsidRPr="00C35EAE" w:rsidRDefault="00986DE0" w:rsidP="003C7140">
            <w:pPr>
              <w:jc w:val="center"/>
              <w:rPr>
                <w:rFonts w:ascii="Lato" w:hAnsi="Lato" w:cstheme="minorHAnsi"/>
                <w:b/>
                <w:bCs/>
                <w:color w:val="EE0000"/>
                <w:sz w:val="18"/>
                <w:szCs w:val="18"/>
              </w:rPr>
            </w:pPr>
            <w:r w:rsidRPr="00C35EAE">
              <w:rPr>
                <w:rFonts w:ascii="Lato" w:hAnsi="Lato" w:cstheme="minorHAnsi"/>
                <w:b/>
                <w:bCs/>
                <w:color w:val="000000" w:themeColor="text1"/>
                <w:sz w:val="18"/>
                <w:szCs w:val="18"/>
              </w:rPr>
              <w:t>494</w:t>
            </w:r>
          </w:p>
        </w:tc>
        <w:tc>
          <w:tcPr>
            <w:tcW w:w="1174" w:type="dxa"/>
            <w:tcBorders>
              <w:top w:val="nil"/>
              <w:left w:val="nil"/>
              <w:bottom w:val="single" w:sz="4" w:space="0" w:color="auto"/>
              <w:right w:val="single" w:sz="4" w:space="0" w:color="auto"/>
            </w:tcBorders>
            <w:vAlign w:val="center"/>
          </w:tcPr>
          <w:p w14:paraId="694CCA2B" w14:textId="77777777" w:rsidR="00986DE0" w:rsidRPr="00C35EAE" w:rsidRDefault="00986DE0" w:rsidP="003C7140">
            <w:pPr>
              <w:jc w:val="center"/>
              <w:rPr>
                <w:rFonts w:ascii="Lato" w:hAnsi="Lato" w:cstheme="minorHAnsi"/>
                <w:color w:val="EE0000"/>
                <w:sz w:val="18"/>
                <w:szCs w:val="18"/>
              </w:rPr>
            </w:pPr>
            <w:r w:rsidRPr="00DD1E27">
              <w:rPr>
                <w:rFonts w:ascii="Lato" w:hAnsi="Lato" w:cstheme="minorHAnsi"/>
                <w:sz w:val="18"/>
                <w:szCs w:val="18"/>
              </w:rPr>
              <w:t>30,42</w:t>
            </w:r>
          </w:p>
        </w:tc>
      </w:tr>
      <w:tr w:rsidR="00986DE0" w:rsidRPr="004B2BBB" w14:paraId="4AC6015C" w14:textId="77777777" w:rsidTr="003C7140">
        <w:trPr>
          <w:trHeight w:val="300"/>
          <w:jc w:val="center"/>
        </w:trPr>
        <w:tc>
          <w:tcPr>
            <w:tcW w:w="567" w:type="dxa"/>
            <w:vMerge w:val="restart"/>
            <w:tcBorders>
              <w:top w:val="nil"/>
              <w:left w:val="single" w:sz="8" w:space="0" w:color="auto"/>
              <w:bottom w:val="single" w:sz="4" w:space="0" w:color="000000"/>
              <w:right w:val="nil"/>
            </w:tcBorders>
            <w:noWrap/>
            <w:vAlign w:val="center"/>
          </w:tcPr>
          <w:p w14:paraId="6524DD37" w14:textId="77777777" w:rsidR="00986DE0" w:rsidRPr="00C35EAE" w:rsidRDefault="00986DE0" w:rsidP="003C7140">
            <w:pPr>
              <w:jc w:val="center"/>
              <w:rPr>
                <w:rFonts w:ascii="Lato" w:hAnsi="Lato" w:cstheme="minorHAnsi"/>
                <w:color w:val="000000" w:themeColor="text1"/>
                <w:sz w:val="18"/>
                <w:szCs w:val="18"/>
              </w:rPr>
            </w:pPr>
          </w:p>
          <w:p w14:paraId="52477294"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color w:val="000000" w:themeColor="text1"/>
                <w:sz w:val="18"/>
                <w:szCs w:val="18"/>
              </w:rPr>
              <w:t>13</w:t>
            </w:r>
          </w:p>
        </w:tc>
        <w:tc>
          <w:tcPr>
            <w:tcW w:w="4961" w:type="dxa"/>
            <w:tcBorders>
              <w:top w:val="nil"/>
              <w:left w:val="single" w:sz="4" w:space="0" w:color="auto"/>
              <w:bottom w:val="single" w:sz="4" w:space="0" w:color="auto"/>
              <w:right w:val="single" w:sz="4" w:space="0" w:color="auto"/>
            </w:tcBorders>
            <w:vAlign w:val="center"/>
            <w:hideMark/>
          </w:tcPr>
          <w:p w14:paraId="1A036B50" w14:textId="77777777" w:rsidR="00986DE0" w:rsidRPr="00C35EAE" w:rsidRDefault="00986DE0" w:rsidP="003C7140">
            <w:pPr>
              <w:rPr>
                <w:rFonts w:ascii="Lato" w:hAnsi="Lato" w:cstheme="minorHAnsi"/>
                <w:color w:val="000000" w:themeColor="text1"/>
                <w:sz w:val="18"/>
                <w:szCs w:val="18"/>
              </w:rPr>
            </w:pPr>
            <w:r w:rsidRPr="00C35EAE">
              <w:rPr>
                <w:rFonts w:ascii="Lato" w:hAnsi="Lato" w:cstheme="minorHAnsi"/>
                <w:color w:val="000000" w:themeColor="text1"/>
                <w:sz w:val="18"/>
                <w:szCs w:val="18"/>
              </w:rPr>
              <w:t>Inwazyjna choroba meningokokowa</w:t>
            </w:r>
          </w:p>
        </w:tc>
        <w:tc>
          <w:tcPr>
            <w:tcW w:w="1151" w:type="dxa"/>
            <w:tcBorders>
              <w:top w:val="nil"/>
              <w:left w:val="nil"/>
              <w:bottom w:val="single" w:sz="4" w:space="0" w:color="auto"/>
              <w:right w:val="single" w:sz="4" w:space="0" w:color="auto"/>
            </w:tcBorders>
            <w:vAlign w:val="center"/>
          </w:tcPr>
          <w:p w14:paraId="1038A3D9"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b/>
                <w:bCs/>
                <w:color w:val="000000" w:themeColor="text1"/>
                <w:sz w:val="18"/>
                <w:szCs w:val="18"/>
              </w:rPr>
              <w:t>15</w:t>
            </w:r>
          </w:p>
        </w:tc>
        <w:tc>
          <w:tcPr>
            <w:tcW w:w="1174" w:type="dxa"/>
            <w:tcBorders>
              <w:top w:val="nil"/>
              <w:left w:val="nil"/>
              <w:bottom w:val="single" w:sz="4" w:space="0" w:color="auto"/>
              <w:right w:val="single" w:sz="4" w:space="0" w:color="auto"/>
            </w:tcBorders>
            <w:vAlign w:val="center"/>
          </w:tcPr>
          <w:p w14:paraId="67F26FC1"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color w:val="000000" w:themeColor="text1"/>
                <w:sz w:val="18"/>
                <w:szCs w:val="18"/>
              </w:rPr>
              <w:t>0,92</w:t>
            </w:r>
          </w:p>
        </w:tc>
        <w:tc>
          <w:tcPr>
            <w:tcW w:w="1151" w:type="dxa"/>
            <w:tcBorders>
              <w:top w:val="nil"/>
              <w:left w:val="nil"/>
              <w:bottom w:val="single" w:sz="4" w:space="0" w:color="auto"/>
              <w:right w:val="single" w:sz="4" w:space="0" w:color="auto"/>
            </w:tcBorders>
            <w:vAlign w:val="center"/>
          </w:tcPr>
          <w:p w14:paraId="5AB63A98" w14:textId="77777777" w:rsidR="00986DE0" w:rsidRPr="00C35EAE" w:rsidRDefault="00986DE0" w:rsidP="003C7140">
            <w:pPr>
              <w:jc w:val="center"/>
              <w:rPr>
                <w:rFonts w:ascii="Lato" w:hAnsi="Lato" w:cstheme="minorHAnsi"/>
                <w:b/>
                <w:bCs/>
                <w:color w:val="000000" w:themeColor="text1"/>
                <w:sz w:val="18"/>
                <w:szCs w:val="18"/>
              </w:rPr>
            </w:pPr>
            <w:r w:rsidRPr="00C35EAE">
              <w:rPr>
                <w:rFonts w:ascii="Lato" w:hAnsi="Lato" w:cstheme="minorHAnsi"/>
                <w:b/>
                <w:bCs/>
                <w:color w:val="000000" w:themeColor="text1"/>
                <w:sz w:val="18"/>
                <w:szCs w:val="18"/>
              </w:rPr>
              <w:t>21</w:t>
            </w:r>
          </w:p>
        </w:tc>
        <w:tc>
          <w:tcPr>
            <w:tcW w:w="1174" w:type="dxa"/>
            <w:tcBorders>
              <w:top w:val="nil"/>
              <w:left w:val="nil"/>
              <w:bottom w:val="single" w:sz="4" w:space="0" w:color="auto"/>
              <w:right w:val="single" w:sz="4" w:space="0" w:color="auto"/>
            </w:tcBorders>
            <w:vAlign w:val="center"/>
          </w:tcPr>
          <w:p w14:paraId="1BF2C03F" w14:textId="77777777" w:rsidR="00986DE0" w:rsidRPr="00DD1E27" w:rsidRDefault="00986DE0" w:rsidP="003C7140">
            <w:pPr>
              <w:jc w:val="center"/>
              <w:rPr>
                <w:rFonts w:ascii="Lato" w:hAnsi="Lato" w:cstheme="minorHAnsi"/>
                <w:sz w:val="18"/>
                <w:szCs w:val="18"/>
              </w:rPr>
            </w:pPr>
            <w:r w:rsidRPr="00DD1E27">
              <w:rPr>
                <w:rFonts w:ascii="Lato" w:hAnsi="Lato" w:cstheme="minorHAnsi"/>
                <w:sz w:val="18"/>
                <w:szCs w:val="18"/>
              </w:rPr>
              <w:t>1,3</w:t>
            </w:r>
            <w:r>
              <w:rPr>
                <w:rFonts w:ascii="Lato" w:hAnsi="Lato" w:cstheme="minorHAnsi"/>
                <w:sz w:val="18"/>
                <w:szCs w:val="18"/>
              </w:rPr>
              <w:t>0</w:t>
            </w:r>
          </w:p>
        </w:tc>
      </w:tr>
      <w:tr w:rsidR="00986DE0" w:rsidRPr="004B2BBB" w14:paraId="7663D90E" w14:textId="77777777" w:rsidTr="009F15CD">
        <w:trPr>
          <w:trHeight w:val="300"/>
          <w:jc w:val="center"/>
        </w:trPr>
        <w:tc>
          <w:tcPr>
            <w:tcW w:w="567" w:type="dxa"/>
            <w:vMerge/>
            <w:tcBorders>
              <w:top w:val="single" w:sz="4" w:space="0" w:color="auto"/>
              <w:left w:val="single" w:sz="8" w:space="0" w:color="auto"/>
              <w:bottom w:val="single" w:sz="4" w:space="0" w:color="000000"/>
              <w:right w:val="nil"/>
            </w:tcBorders>
            <w:vAlign w:val="center"/>
          </w:tcPr>
          <w:p w14:paraId="292F0369" w14:textId="77777777" w:rsidR="00986DE0" w:rsidRPr="00C35EAE" w:rsidRDefault="00986DE0" w:rsidP="003C7140">
            <w:pPr>
              <w:rPr>
                <w:rFonts w:ascii="Lato" w:hAnsi="Lato" w:cstheme="minorHAnsi"/>
                <w:color w:val="000000" w:themeColor="text1"/>
                <w:sz w:val="18"/>
                <w:szCs w:val="18"/>
              </w:rPr>
            </w:pPr>
          </w:p>
        </w:tc>
        <w:tc>
          <w:tcPr>
            <w:tcW w:w="4961" w:type="dxa"/>
            <w:tcBorders>
              <w:top w:val="single" w:sz="4" w:space="0" w:color="auto"/>
              <w:left w:val="single" w:sz="4" w:space="0" w:color="auto"/>
              <w:bottom w:val="single" w:sz="4" w:space="0" w:color="auto"/>
              <w:right w:val="single" w:sz="4" w:space="0" w:color="auto"/>
            </w:tcBorders>
            <w:vAlign w:val="center"/>
            <w:hideMark/>
          </w:tcPr>
          <w:p w14:paraId="0BA29695" w14:textId="77777777" w:rsidR="00986DE0" w:rsidRPr="00C35EAE" w:rsidRDefault="00986DE0" w:rsidP="003C7140">
            <w:pPr>
              <w:jc w:val="right"/>
              <w:rPr>
                <w:rFonts w:ascii="Lato" w:hAnsi="Lato" w:cstheme="minorHAnsi"/>
                <w:color w:val="000000" w:themeColor="text1"/>
                <w:sz w:val="18"/>
                <w:szCs w:val="18"/>
              </w:rPr>
            </w:pPr>
            <w:r w:rsidRPr="00C35EAE">
              <w:rPr>
                <w:rFonts w:ascii="Lato" w:hAnsi="Lato" w:cstheme="minorHAnsi"/>
                <w:color w:val="000000" w:themeColor="text1"/>
                <w:sz w:val="18"/>
                <w:szCs w:val="18"/>
              </w:rPr>
              <w:t>w tym neuroinfekcje</w:t>
            </w:r>
          </w:p>
        </w:tc>
        <w:tc>
          <w:tcPr>
            <w:tcW w:w="1151" w:type="dxa"/>
            <w:tcBorders>
              <w:top w:val="single" w:sz="4" w:space="0" w:color="auto"/>
              <w:left w:val="nil"/>
              <w:bottom w:val="single" w:sz="4" w:space="0" w:color="auto"/>
              <w:right w:val="single" w:sz="4" w:space="0" w:color="auto"/>
            </w:tcBorders>
            <w:vAlign w:val="center"/>
          </w:tcPr>
          <w:p w14:paraId="777797E2"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b/>
                <w:bCs/>
                <w:color w:val="000000" w:themeColor="text1"/>
                <w:sz w:val="18"/>
                <w:szCs w:val="18"/>
              </w:rPr>
              <w:t>6</w:t>
            </w:r>
          </w:p>
        </w:tc>
        <w:tc>
          <w:tcPr>
            <w:tcW w:w="1174" w:type="dxa"/>
            <w:tcBorders>
              <w:top w:val="single" w:sz="4" w:space="0" w:color="auto"/>
              <w:left w:val="nil"/>
              <w:bottom w:val="single" w:sz="4" w:space="0" w:color="auto"/>
              <w:right w:val="single" w:sz="4" w:space="0" w:color="auto"/>
            </w:tcBorders>
            <w:vAlign w:val="center"/>
          </w:tcPr>
          <w:p w14:paraId="420ABD6D"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color w:val="000000" w:themeColor="text1"/>
                <w:sz w:val="18"/>
                <w:szCs w:val="18"/>
              </w:rPr>
              <w:t>0,37</w:t>
            </w:r>
          </w:p>
        </w:tc>
        <w:tc>
          <w:tcPr>
            <w:tcW w:w="1151" w:type="dxa"/>
            <w:tcBorders>
              <w:top w:val="single" w:sz="4" w:space="0" w:color="auto"/>
              <w:left w:val="nil"/>
              <w:bottom w:val="single" w:sz="4" w:space="0" w:color="auto"/>
              <w:right w:val="single" w:sz="4" w:space="0" w:color="auto"/>
            </w:tcBorders>
            <w:vAlign w:val="center"/>
          </w:tcPr>
          <w:p w14:paraId="3111D00C" w14:textId="77777777" w:rsidR="00986DE0" w:rsidRPr="00C35EAE" w:rsidRDefault="00986DE0" w:rsidP="003C7140">
            <w:pPr>
              <w:jc w:val="center"/>
              <w:rPr>
                <w:rFonts w:ascii="Lato" w:hAnsi="Lato" w:cstheme="minorHAnsi"/>
                <w:b/>
                <w:bCs/>
                <w:color w:val="000000" w:themeColor="text1"/>
                <w:sz w:val="18"/>
                <w:szCs w:val="18"/>
              </w:rPr>
            </w:pPr>
            <w:r w:rsidRPr="00C35EAE">
              <w:rPr>
                <w:rFonts w:ascii="Lato" w:hAnsi="Lato" w:cstheme="minorHAnsi"/>
                <w:b/>
                <w:bCs/>
                <w:color w:val="000000" w:themeColor="text1"/>
                <w:sz w:val="18"/>
                <w:szCs w:val="18"/>
              </w:rPr>
              <w:t>9</w:t>
            </w:r>
          </w:p>
        </w:tc>
        <w:tc>
          <w:tcPr>
            <w:tcW w:w="1174" w:type="dxa"/>
            <w:tcBorders>
              <w:top w:val="single" w:sz="4" w:space="0" w:color="auto"/>
              <w:left w:val="nil"/>
              <w:bottom w:val="single" w:sz="4" w:space="0" w:color="auto"/>
              <w:right w:val="single" w:sz="4" w:space="0" w:color="auto"/>
            </w:tcBorders>
            <w:vAlign w:val="center"/>
          </w:tcPr>
          <w:p w14:paraId="136720D9" w14:textId="77777777" w:rsidR="00986DE0" w:rsidRPr="00DD1E27" w:rsidRDefault="00986DE0" w:rsidP="003C7140">
            <w:pPr>
              <w:jc w:val="center"/>
              <w:rPr>
                <w:rFonts w:ascii="Lato" w:hAnsi="Lato" w:cstheme="minorHAnsi"/>
                <w:sz w:val="18"/>
                <w:szCs w:val="18"/>
              </w:rPr>
            </w:pPr>
            <w:r w:rsidRPr="00DD1E27">
              <w:rPr>
                <w:rFonts w:ascii="Lato" w:hAnsi="Lato" w:cstheme="minorHAnsi"/>
                <w:sz w:val="18"/>
                <w:szCs w:val="18"/>
              </w:rPr>
              <w:t>0,56</w:t>
            </w:r>
          </w:p>
        </w:tc>
      </w:tr>
      <w:tr w:rsidR="00986DE0" w:rsidRPr="004B2BBB" w14:paraId="239EE57D" w14:textId="77777777" w:rsidTr="003C7140">
        <w:trPr>
          <w:trHeight w:val="300"/>
          <w:jc w:val="center"/>
        </w:trPr>
        <w:tc>
          <w:tcPr>
            <w:tcW w:w="567" w:type="dxa"/>
            <w:tcBorders>
              <w:top w:val="nil"/>
              <w:left w:val="single" w:sz="8" w:space="0" w:color="auto"/>
              <w:bottom w:val="nil"/>
              <w:right w:val="nil"/>
            </w:tcBorders>
            <w:noWrap/>
            <w:vAlign w:val="center"/>
          </w:tcPr>
          <w:p w14:paraId="6F8ADF13"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color w:val="000000" w:themeColor="text1"/>
                <w:sz w:val="18"/>
                <w:szCs w:val="18"/>
              </w:rPr>
              <w:t>14</w:t>
            </w:r>
          </w:p>
        </w:tc>
        <w:tc>
          <w:tcPr>
            <w:tcW w:w="4961" w:type="dxa"/>
            <w:tcBorders>
              <w:top w:val="nil"/>
              <w:left w:val="single" w:sz="4" w:space="0" w:color="auto"/>
              <w:bottom w:val="single" w:sz="4" w:space="0" w:color="auto"/>
              <w:right w:val="single" w:sz="4" w:space="0" w:color="auto"/>
            </w:tcBorders>
            <w:vAlign w:val="center"/>
            <w:hideMark/>
          </w:tcPr>
          <w:p w14:paraId="3D9CD8CF" w14:textId="77777777" w:rsidR="00986DE0" w:rsidRPr="00C35EAE" w:rsidRDefault="00986DE0" w:rsidP="003C7140">
            <w:pPr>
              <w:rPr>
                <w:rFonts w:ascii="Lato" w:hAnsi="Lato" w:cstheme="minorHAnsi"/>
                <w:color w:val="000000" w:themeColor="text1"/>
                <w:sz w:val="18"/>
                <w:szCs w:val="18"/>
              </w:rPr>
            </w:pPr>
            <w:r w:rsidRPr="00C35EAE">
              <w:rPr>
                <w:rFonts w:ascii="Lato" w:hAnsi="Lato" w:cstheme="minorHAnsi"/>
                <w:color w:val="000000" w:themeColor="text1"/>
                <w:sz w:val="18"/>
                <w:szCs w:val="18"/>
              </w:rPr>
              <w:t>Borelioza z Lyme</w:t>
            </w:r>
          </w:p>
        </w:tc>
        <w:tc>
          <w:tcPr>
            <w:tcW w:w="1151" w:type="dxa"/>
            <w:tcBorders>
              <w:top w:val="nil"/>
              <w:left w:val="nil"/>
              <w:bottom w:val="single" w:sz="4" w:space="0" w:color="auto"/>
              <w:right w:val="single" w:sz="4" w:space="0" w:color="auto"/>
            </w:tcBorders>
            <w:vAlign w:val="center"/>
          </w:tcPr>
          <w:p w14:paraId="45364F3F"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b/>
                <w:bCs/>
                <w:color w:val="000000" w:themeColor="text1"/>
                <w:sz w:val="18"/>
                <w:szCs w:val="18"/>
              </w:rPr>
              <w:t>1111</w:t>
            </w:r>
          </w:p>
        </w:tc>
        <w:tc>
          <w:tcPr>
            <w:tcW w:w="1174" w:type="dxa"/>
            <w:tcBorders>
              <w:top w:val="nil"/>
              <w:left w:val="nil"/>
              <w:bottom w:val="single" w:sz="4" w:space="0" w:color="auto"/>
              <w:right w:val="single" w:sz="4" w:space="0" w:color="auto"/>
            </w:tcBorders>
            <w:vAlign w:val="center"/>
          </w:tcPr>
          <w:p w14:paraId="4F8AF9C1"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color w:val="000000" w:themeColor="text1"/>
                <w:sz w:val="18"/>
                <w:szCs w:val="18"/>
              </w:rPr>
              <w:t>68,29</w:t>
            </w:r>
          </w:p>
        </w:tc>
        <w:tc>
          <w:tcPr>
            <w:tcW w:w="1151" w:type="dxa"/>
            <w:tcBorders>
              <w:top w:val="nil"/>
              <w:left w:val="nil"/>
              <w:bottom w:val="single" w:sz="4" w:space="0" w:color="auto"/>
              <w:right w:val="single" w:sz="4" w:space="0" w:color="auto"/>
            </w:tcBorders>
            <w:vAlign w:val="center"/>
          </w:tcPr>
          <w:p w14:paraId="219C4119" w14:textId="77777777" w:rsidR="00986DE0" w:rsidRPr="00C35EAE" w:rsidRDefault="00986DE0" w:rsidP="003C7140">
            <w:pPr>
              <w:jc w:val="center"/>
              <w:rPr>
                <w:rFonts w:ascii="Lato" w:hAnsi="Lato" w:cstheme="minorHAnsi"/>
                <w:b/>
                <w:bCs/>
                <w:color w:val="000000" w:themeColor="text1"/>
                <w:sz w:val="18"/>
                <w:szCs w:val="18"/>
              </w:rPr>
            </w:pPr>
            <w:r w:rsidRPr="00C35EAE">
              <w:rPr>
                <w:rFonts w:ascii="Lato" w:hAnsi="Lato" w:cstheme="minorHAnsi"/>
                <w:b/>
                <w:bCs/>
                <w:color w:val="000000" w:themeColor="text1"/>
                <w:sz w:val="18"/>
                <w:szCs w:val="18"/>
              </w:rPr>
              <w:t>15</w:t>
            </w:r>
            <w:r>
              <w:rPr>
                <w:rFonts w:ascii="Lato" w:hAnsi="Lato" w:cstheme="minorHAnsi"/>
                <w:b/>
                <w:bCs/>
                <w:color w:val="000000" w:themeColor="text1"/>
                <w:sz w:val="18"/>
                <w:szCs w:val="18"/>
              </w:rPr>
              <w:t>78</w:t>
            </w:r>
          </w:p>
        </w:tc>
        <w:tc>
          <w:tcPr>
            <w:tcW w:w="1174" w:type="dxa"/>
            <w:tcBorders>
              <w:top w:val="nil"/>
              <w:left w:val="nil"/>
              <w:bottom w:val="single" w:sz="4" w:space="0" w:color="auto"/>
              <w:right w:val="single" w:sz="4" w:space="0" w:color="auto"/>
            </w:tcBorders>
            <w:vAlign w:val="center"/>
          </w:tcPr>
          <w:p w14:paraId="027A29B6" w14:textId="77777777" w:rsidR="00986DE0" w:rsidRPr="00DD1E27" w:rsidRDefault="00986DE0" w:rsidP="003C7140">
            <w:pPr>
              <w:jc w:val="center"/>
              <w:rPr>
                <w:rFonts w:ascii="Lato" w:hAnsi="Lato" w:cstheme="minorHAnsi"/>
                <w:sz w:val="18"/>
                <w:szCs w:val="18"/>
              </w:rPr>
            </w:pPr>
            <w:r w:rsidRPr="00DD1E27">
              <w:rPr>
                <w:rFonts w:ascii="Lato" w:hAnsi="Lato" w:cstheme="minorHAnsi"/>
                <w:sz w:val="18"/>
                <w:szCs w:val="18"/>
              </w:rPr>
              <w:t>97,</w:t>
            </w:r>
            <w:r>
              <w:rPr>
                <w:rFonts w:ascii="Lato" w:hAnsi="Lato" w:cstheme="minorHAnsi"/>
                <w:sz w:val="18"/>
                <w:szCs w:val="18"/>
              </w:rPr>
              <w:t>56</w:t>
            </w:r>
          </w:p>
        </w:tc>
      </w:tr>
      <w:tr w:rsidR="00986DE0" w:rsidRPr="004B2BBB" w14:paraId="197A8CDD" w14:textId="77777777" w:rsidTr="003C7140">
        <w:trPr>
          <w:trHeight w:val="300"/>
          <w:jc w:val="center"/>
        </w:trPr>
        <w:tc>
          <w:tcPr>
            <w:tcW w:w="567" w:type="dxa"/>
            <w:tcBorders>
              <w:top w:val="single" w:sz="4" w:space="0" w:color="auto"/>
              <w:left w:val="single" w:sz="4" w:space="0" w:color="auto"/>
              <w:bottom w:val="single" w:sz="4" w:space="0" w:color="auto"/>
              <w:right w:val="single" w:sz="4" w:space="0" w:color="auto"/>
            </w:tcBorders>
            <w:noWrap/>
            <w:vAlign w:val="center"/>
          </w:tcPr>
          <w:p w14:paraId="21D6B2FF"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sz w:val="18"/>
                <w:szCs w:val="18"/>
              </w:rPr>
              <w:t>15</w:t>
            </w:r>
          </w:p>
        </w:tc>
        <w:tc>
          <w:tcPr>
            <w:tcW w:w="4961" w:type="dxa"/>
            <w:tcBorders>
              <w:top w:val="nil"/>
              <w:left w:val="nil"/>
              <w:bottom w:val="single" w:sz="4" w:space="0" w:color="auto"/>
              <w:right w:val="single" w:sz="4" w:space="0" w:color="auto"/>
            </w:tcBorders>
            <w:vAlign w:val="center"/>
            <w:hideMark/>
          </w:tcPr>
          <w:p w14:paraId="449DAF29" w14:textId="77777777" w:rsidR="00986DE0" w:rsidRPr="00C35EAE" w:rsidRDefault="00986DE0" w:rsidP="003C7140">
            <w:pPr>
              <w:rPr>
                <w:rFonts w:ascii="Lato" w:hAnsi="Lato" w:cstheme="minorHAnsi"/>
                <w:color w:val="000000" w:themeColor="text1"/>
                <w:sz w:val="18"/>
                <w:szCs w:val="18"/>
              </w:rPr>
            </w:pPr>
            <w:r w:rsidRPr="00C35EAE">
              <w:rPr>
                <w:rFonts w:ascii="Lato" w:hAnsi="Lato" w:cstheme="minorHAnsi"/>
                <w:color w:val="000000" w:themeColor="text1"/>
                <w:sz w:val="18"/>
                <w:szCs w:val="18"/>
              </w:rPr>
              <w:t>Ostre porażenie wiotkie u dzieci w wieku 0-14 lat</w:t>
            </w:r>
          </w:p>
        </w:tc>
        <w:tc>
          <w:tcPr>
            <w:tcW w:w="1151" w:type="dxa"/>
            <w:tcBorders>
              <w:top w:val="nil"/>
              <w:left w:val="nil"/>
              <w:bottom w:val="single" w:sz="4" w:space="0" w:color="auto"/>
              <w:right w:val="single" w:sz="4" w:space="0" w:color="auto"/>
            </w:tcBorders>
            <w:vAlign w:val="center"/>
          </w:tcPr>
          <w:p w14:paraId="70559F85"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b/>
                <w:bCs/>
                <w:color w:val="000000" w:themeColor="text1"/>
                <w:sz w:val="18"/>
                <w:szCs w:val="18"/>
              </w:rPr>
              <w:t>1</w:t>
            </w:r>
          </w:p>
        </w:tc>
        <w:tc>
          <w:tcPr>
            <w:tcW w:w="1174" w:type="dxa"/>
            <w:tcBorders>
              <w:top w:val="nil"/>
              <w:left w:val="nil"/>
              <w:bottom w:val="single" w:sz="4" w:space="0" w:color="auto"/>
              <w:right w:val="single" w:sz="4" w:space="0" w:color="auto"/>
            </w:tcBorders>
            <w:vAlign w:val="center"/>
          </w:tcPr>
          <w:p w14:paraId="1FD5932D"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color w:val="000000" w:themeColor="text1"/>
                <w:sz w:val="18"/>
                <w:szCs w:val="18"/>
              </w:rPr>
              <w:t>0,45</w:t>
            </w:r>
          </w:p>
        </w:tc>
        <w:tc>
          <w:tcPr>
            <w:tcW w:w="1151" w:type="dxa"/>
            <w:tcBorders>
              <w:top w:val="nil"/>
              <w:left w:val="nil"/>
              <w:bottom w:val="single" w:sz="4" w:space="0" w:color="auto"/>
              <w:right w:val="single" w:sz="4" w:space="0" w:color="auto"/>
            </w:tcBorders>
            <w:vAlign w:val="center"/>
          </w:tcPr>
          <w:p w14:paraId="5F7BE183" w14:textId="77777777" w:rsidR="00986DE0" w:rsidRPr="00C35EAE" w:rsidRDefault="00986DE0" w:rsidP="003C7140">
            <w:pPr>
              <w:jc w:val="center"/>
              <w:rPr>
                <w:rFonts w:ascii="Lato" w:hAnsi="Lato" w:cstheme="minorHAnsi"/>
                <w:b/>
                <w:bCs/>
                <w:color w:val="000000" w:themeColor="text1"/>
                <w:sz w:val="18"/>
                <w:szCs w:val="18"/>
              </w:rPr>
            </w:pPr>
            <w:r w:rsidRPr="00C35EAE">
              <w:rPr>
                <w:rFonts w:ascii="Lato" w:hAnsi="Lato" w:cstheme="minorHAnsi"/>
                <w:b/>
                <w:bCs/>
                <w:color w:val="000000" w:themeColor="text1"/>
                <w:sz w:val="18"/>
                <w:szCs w:val="18"/>
              </w:rPr>
              <w:t>0</w:t>
            </w:r>
          </w:p>
        </w:tc>
        <w:tc>
          <w:tcPr>
            <w:tcW w:w="1174" w:type="dxa"/>
            <w:tcBorders>
              <w:top w:val="nil"/>
              <w:left w:val="nil"/>
              <w:bottom w:val="single" w:sz="4" w:space="0" w:color="auto"/>
              <w:right w:val="single" w:sz="4" w:space="0" w:color="auto"/>
            </w:tcBorders>
            <w:vAlign w:val="center"/>
          </w:tcPr>
          <w:p w14:paraId="2E875953" w14:textId="77777777" w:rsidR="00986DE0" w:rsidRPr="00DD1E27" w:rsidRDefault="00986DE0" w:rsidP="003C7140">
            <w:pPr>
              <w:jc w:val="center"/>
              <w:rPr>
                <w:rFonts w:ascii="Lato" w:hAnsi="Lato" w:cstheme="minorHAnsi"/>
                <w:sz w:val="18"/>
                <w:szCs w:val="18"/>
              </w:rPr>
            </w:pPr>
            <w:r w:rsidRPr="00DD1E27">
              <w:rPr>
                <w:rFonts w:ascii="Lato" w:hAnsi="Lato" w:cstheme="minorHAnsi"/>
                <w:sz w:val="18"/>
                <w:szCs w:val="18"/>
              </w:rPr>
              <w:t>-</w:t>
            </w:r>
          </w:p>
        </w:tc>
      </w:tr>
      <w:tr w:rsidR="00986DE0" w:rsidRPr="004B2BBB" w14:paraId="6E848CBD" w14:textId="77777777" w:rsidTr="003C7140">
        <w:trPr>
          <w:trHeight w:val="300"/>
          <w:jc w:val="center"/>
        </w:trPr>
        <w:tc>
          <w:tcPr>
            <w:tcW w:w="567" w:type="dxa"/>
            <w:tcBorders>
              <w:top w:val="nil"/>
              <w:left w:val="single" w:sz="8" w:space="0" w:color="auto"/>
              <w:bottom w:val="nil"/>
              <w:right w:val="nil"/>
            </w:tcBorders>
            <w:noWrap/>
            <w:vAlign w:val="center"/>
          </w:tcPr>
          <w:p w14:paraId="0D7AA73F"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16</w:t>
            </w:r>
          </w:p>
        </w:tc>
        <w:tc>
          <w:tcPr>
            <w:tcW w:w="4961" w:type="dxa"/>
            <w:tcBorders>
              <w:top w:val="nil"/>
              <w:left w:val="single" w:sz="4" w:space="0" w:color="auto"/>
              <w:bottom w:val="single" w:sz="4" w:space="0" w:color="auto"/>
              <w:right w:val="single" w:sz="4" w:space="0" w:color="auto"/>
            </w:tcBorders>
            <w:vAlign w:val="center"/>
            <w:hideMark/>
          </w:tcPr>
          <w:p w14:paraId="356ECEC4" w14:textId="77777777" w:rsidR="00986DE0" w:rsidRPr="00C35EAE" w:rsidRDefault="00986DE0" w:rsidP="003C7140">
            <w:pPr>
              <w:rPr>
                <w:rFonts w:ascii="Lato" w:hAnsi="Lato" w:cstheme="minorHAnsi"/>
                <w:color w:val="000000" w:themeColor="text1"/>
                <w:sz w:val="18"/>
                <w:szCs w:val="18"/>
              </w:rPr>
            </w:pPr>
            <w:r w:rsidRPr="00C35EAE">
              <w:rPr>
                <w:rFonts w:ascii="Lato" w:hAnsi="Lato" w:cstheme="minorHAnsi"/>
                <w:color w:val="000000" w:themeColor="text1"/>
                <w:sz w:val="18"/>
                <w:szCs w:val="18"/>
              </w:rPr>
              <w:t xml:space="preserve">Encefalopatie gąbczaste (choroba </w:t>
            </w:r>
            <w:proofErr w:type="spellStart"/>
            <w:r w:rsidRPr="00C35EAE">
              <w:rPr>
                <w:rFonts w:ascii="Lato" w:hAnsi="Lato" w:cstheme="minorHAnsi"/>
                <w:color w:val="000000" w:themeColor="text1"/>
                <w:sz w:val="18"/>
                <w:szCs w:val="18"/>
              </w:rPr>
              <w:t>Creutzfeldta</w:t>
            </w:r>
            <w:proofErr w:type="spellEnd"/>
            <w:r w:rsidRPr="00C35EAE">
              <w:rPr>
                <w:rFonts w:ascii="Lato" w:hAnsi="Lato" w:cstheme="minorHAnsi"/>
                <w:color w:val="000000" w:themeColor="text1"/>
                <w:sz w:val="18"/>
                <w:szCs w:val="18"/>
              </w:rPr>
              <w:t>-Jacoba)</w:t>
            </w:r>
          </w:p>
        </w:tc>
        <w:tc>
          <w:tcPr>
            <w:tcW w:w="1151" w:type="dxa"/>
            <w:tcBorders>
              <w:top w:val="nil"/>
              <w:left w:val="nil"/>
              <w:bottom w:val="single" w:sz="4" w:space="0" w:color="auto"/>
              <w:right w:val="single" w:sz="4" w:space="0" w:color="auto"/>
            </w:tcBorders>
            <w:vAlign w:val="center"/>
          </w:tcPr>
          <w:p w14:paraId="76FEF57D"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b/>
                <w:bCs/>
                <w:color w:val="000000" w:themeColor="text1"/>
                <w:sz w:val="18"/>
                <w:szCs w:val="18"/>
              </w:rPr>
              <w:t>7</w:t>
            </w:r>
          </w:p>
        </w:tc>
        <w:tc>
          <w:tcPr>
            <w:tcW w:w="1174" w:type="dxa"/>
            <w:tcBorders>
              <w:top w:val="nil"/>
              <w:left w:val="nil"/>
              <w:bottom w:val="single" w:sz="4" w:space="0" w:color="auto"/>
              <w:right w:val="single" w:sz="4" w:space="0" w:color="auto"/>
            </w:tcBorders>
            <w:vAlign w:val="center"/>
          </w:tcPr>
          <w:p w14:paraId="2E1CB6C5"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color w:val="000000" w:themeColor="text1"/>
                <w:sz w:val="18"/>
                <w:szCs w:val="18"/>
              </w:rPr>
              <w:t>0,43</w:t>
            </w:r>
          </w:p>
        </w:tc>
        <w:tc>
          <w:tcPr>
            <w:tcW w:w="1151" w:type="dxa"/>
            <w:tcBorders>
              <w:top w:val="nil"/>
              <w:left w:val="nil"/>
              <w:bottom w:val="single" w:sz="4" w:space="0" w:color="auto"/>
              <w:right w:val="single" w:sz="4" w:space="0" w:color="auto"/>
            </w:tcBorders>
            <w:vAlign w:val="center"/>
          </w:tcPr>
          <w:p w14:paraId="1E9C6EDF" w14:textId="77777777" w:rsidR="00986DE0" w:rsidRPr="00C35EAE" w:rsidRDefault="00986DE0" w:rsidP="003C7140">
            <w:pPr>
              <w:jc w:val="center"/>
              <w:rPr>
                <w:rFonts w:ascii="Lato" w:hAnsi="Lato" w:cstheme="minorHAnsi"/>
                <w:b/>
                <w:bCs/>
                <w:color w:val="000000" w:themeColor="text1"/>
                <w:sz w:val="18"/>
                <w:szCs w:val="18"/>
              </w:rPr>
            </w:pPr>
            <w:r w:rsidRPr="00C35EAE">
              <w:rPr>
                <w:rFonts w:ascii="Lato" w:hAnsi="Lato" w:cstheme="minorHAnsi"/>
                <w:b/>
                <w:bCs/>
                <w:color w:val="000000" w:themeColor="text1"/>
                <w:sz w:val="18"/>
                <w:szCs w:val="18"/>
              </w:rPr>
              <w:t>3</w:t>
            </w:r>
          </w:p>
        </w:tc>
        <w:tc>
          <w:tcPr>
            <w:tcW w:w="1174" w:type="dxa"/>
            <w:tcBorders>
              <w:top w:val="nil"/>
              <w:left w:val="nil"/>
              <w:bottom w:val="single" w:sz="4" w:space="0" w:color="auto"/>
              <w:right w:val="single" w:sz="4" w:space="0" w:color="auto"/>
            </w:tcBorders>
            <w:vAlign w:val="center"/>
          </w:tcPr>
          <w:p w14:paraId="7256298A" w14:textId="77777777" w:rsidR="00986DE0" w:rsidRPr="00DD1E27" w:rsidRDefault="00986DE0" w:rsidP="003C7140">
            <w:pPr>
              <w:jc w:val="center"/>
              <w:rPr>
                <w:rFonts w:ascii="Lato" w:hAnsi="Lato" w:cstheme="minorHAnsi"/>
                <w:sz w:val="18"/>
                <w:szCs w:val="18"/>
              </w:rPr>
            </w:pPr>
            <w:r w:rsidRPr="00DD1E27">
              <w:rPr>
                <w:rFonts w:ascii="Lato" w:hAnsi="Lato" w:cstheme="minorHAnsi"/>
                <w:sz w:val="18"/>
                <w:szCs w:val="18"/>
              </w:rPr>
              <w:t>0,19</w:t>
            </w:r>
          </w:p>
        </w:tc>
      </w:tr>
      <w:tr w:rsidR="00986DE0" w:rsidRPr="004B2BBB" w14:paraId="42004DA9" w14:textId="77777777" w:rsidTr="003C7140">
        <w:trPr>
          <w:trHeight w:val="300"/>
          <w:jc w:val="center"/>
        </w:trPr>
        <w:tc>
          <w:tcPr>
            <w:tcW w:w="567" w:type="dxa"/>
            <w:tcBorders>
              <w:top w:val="single" w:sz="4" w:space="0" w:color="auto"/>
              <w:left w:val="single" w:sz="4" w:space="0" w:color="auto"/>
              <w:bottom w:val="single" w:sz="4" w:space="0" w:color="auto"/>
              <w:right w:val="single" w:sz="4" w:space="0" w:color="auto"/>
            </w:tcBorders>
            <w:noWrap/>
            <w:vAlign w:val="center"/>
          </w:tcPr>
          <w:p w14:paraId="6E18275E"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17</w:t>
            </w:r>
          </w:p>
        </w:tc>
        <w:tc>
          <w:tcPr>
            <w:tcW w:w="4961" w:type="dxa"/>
            <w:tcBorders>
              <w:top w:val="nil"/>
              <w:left w:val="nil"/>
              <w:bottom w:val="single" w:sz="4" w:space="0" w:color="auto"/>
              <w:right w:val="single" w:sz="4" w:space="0" w:color="auto"/>
            </w:tcBorders>
            <w:vAlign w:val="center"/>
            <w:hideMark/>
          </w:tcPr>
          <w:p w14:paraId="2FAB32F7" w14:textId="77777777" w:rsidR="00986DE0" w:rsidRPr="00C35EAE" w:rsidRDefault="00986DE0" w:rsidP="003C7140">
            <w:pPr>
              <w:rPr>
                <w:rFonts w:ascii="Lato" w:hAnsi="Lato" w:cstheme="minorHAnsi"/>
                <w:color w:val="000000" w:themeColor="text1"/>
                <w:sz w:val="18"/>
                <w:szCs w:val="18"/>
              </w:rPr>
            </w:pPr>
            <w:r w:rsidRPr="00C35EAE">
              <w:rPr>
                <w:rFonts w:ascii="Lato" w:hAnsi="Lato" w:cstheme="minorHAnsi"/>
                <w:color w:val="000000" w:themeColor="text1"/>
                <w:sz w:val="18"/>
                <w:szCs w:val="18"/>
              </w:rPr>
              <w:t>Styczność i narażenie na wściekliznę /potrzeba szczepień</w:t>
            </w:r>
          </w:p>
        </w:tc>
        <w:tc>
          <w:tcPr>
            <w:tcW w:w="1151" w:type="dxa"/>
            <w:tcBorders>
              <w:top w:val="nil"/>
              <w:left w:val="nil"/>
              <w:bottom w:val="single" w:sz="4" w:space="0" w:color="auto"/>
              <w:right w:val="single" w:sz="4" w:space="0" w:color="auto"/>
            </w:tcBorders>
            <w:vAlign w:val="center"/>
          </w:tcPr>
          <w:p w14:paraId="55CF0446"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b/>
                <w:bCs/>
                <w:color w:val="000000" w:themeColor="text1"/>
                <w:sz w:val="18"/>
                <w:szCs w:val="18"/>
              </w:rPr>
              <w:t>494</w:t>
            </w:r>
          </w:p>
        </w:tc>
        <w:tc>
          <w:tcPr>
            <w:tcW w:w="1174" w:type="dxa"/>
            <w:tcBorders>
              <w:top w:val="nil"/>
              <w:left w:val="nil"/>
              <w:bottom w:val="single" w:sz="4" w:space="0" w:color="auto"/>
              <w:right w:val="single" w:sz="4" w:space="0" w:color="auto"/>
            </w:tcBorders>
            <w:vAlign w:val="center"/>
          </w:tcPr>
          <w:p w14:paraId="01E3C368"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color w:val="000000" w:themeColor="text1"/>
                <w:sz w:val="18"/>
                <w:szCs w:val="18"/>
              </w:rPr>
              <w:t>30,36</w:t>
            </w:r>
          </w:p>
        </w:tc>
        <w:tc>
          <w:tcPr>
            <w:tcW w:w="1151" w:type="dxa"/>
            <w:tcBorders>
              <w:top w:val="nil"/>
              <w:left w:val="nil"/>
              <w:bottom w:val="single" w:sz="4" w:space="0" w:color="auto"/>
              <w:right w:val="single" w:sz="4" w:space="0" w:color="auto"/>
            </w:tcBorders>
            <w:vAlign w:val="center"/>
          </w:tcPr>
          <w:p w14:paraId="19CC1552" w14:textId="77777777" w:rsidR="00986DE0" w:rsidRPr="00C35EAE" w:rsidRDefault="00986DE0" w:rsidP="003C7140">
            <w:pPr>
              <w:jc w:val="center"/>
              <w:rPr>
                <w:rFonts w:ascii="Lato" w:hAnsi="Lato" w:cstheme="minorHAnsi"/>
                <w:b/>
                <w:bCs/>
                <w:color w:val="000000" w:themeColor="text1"/>
                <w:sz w:val="18"/>
                <w:szCs w:val="18"/>
              </w:rPr>
            </w:pPr>
            <w:r w:rsidRPr="00C35EAE">
              <w:rPr>
                <w:rFonts w:ascii="Lato" w:hAnsi="Lato" w:cstheme="minorHAnsi"/>
                <w:b/>
                <w:bCs/>
                <w:color w:val="000000" w:themeColor="text1"/>
                <w:sz w:val="18"/>
                <w:szCs w:val="18"/>
              </w:rPr>
              <w:t>469</w:t>
            </w:r>
          </w:p>
        </w:tc>
        <w:tc>
          <w:tcPr>
            <w:tcW w:w="1174" w:type="dxa"/>
            <w:tcBorders>
              <w:top w:val="nil"/>
              <w:left w:val="nil"/>
              <w:bottom w:val="single" w:sz="4" w:space="0" w:color="auto"/>
              <w:right w:val="single" w:sz="4" w:space="0" w:color="auto"/>
            </w:tcBorders>
            <w:vAlign w:val="center"/>
          </w:tcPr>
          <w:p w14:paraId="455AA888" w14:textId="77777777" w:rsidR="00986DE0" w:rsidRPr="00C35EAE" w:rsidRDefault="00986DE0" w:rsidP="003C7140">
            <w:pPr>
              <w:jc w:val="center"/>
              <w:rPr>
                <w:rFonts w:ascii="Lato" w:hAnsi="Lato" w:cstheme="minorHAnsi"/>
                <w:color w:val="EE0000"/>
                <w:sz w:val="18"/>
                <w:szCs w:val="18"/>
              </w:rPr>
            </w:pPr>
            <w:r w:rsidRPr="00DD1E27">
              <w:rPr>
                <w:rFonts w:ascii="Lato" w:hAnsi="Lato" w:cstheme="minorHAnsi"/>
                <w:sz w:val="18"/>
                <w:szCs w:val="18"/>
              </w:rPr>
              <w:t>29,00</w:t>
            </w:r>
          </w:p>
        </w:tc>
      </w:tr>
      <w:tr w:rsidR="00986DE0" w:rsidRPr="004B2BBB" w14:paraId="52C42F59" w14:textId="77777777" w:rsidTr="003C7140">
        <w:trPr>
          <w:trHeight w:val="300"/>
          <w:jc w:val="center"/>
        </w:trPr>
        <w:tc>
          <w:tcPr>
            <w:tcW w:w="567" w:type="dxa"/>
            <w:tcBorders>
              <w:top w:val="nil"/>
              <w:left w:val="single" w:sz="8" w:space="0" w:color="auto"/>
              <w:bottom w:val="nil"/>
              <w:right w:val="nil"/>
            </w:tcBorders>
            <w:noWrap/>
            <w:vAlign w:val="center"/>
          </w:tcPr>
          <w:p w14:paraId="20B02796"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18</w:t>
            </w:r>
          </w:p>
        </w:tc>
        <w:tc>
          <w:tcPr>
            <w:tcW w:w="4961" w:type="dxa"/>
            <w:tcBorders>
              <w:top w:val="nil"/>
              <w:left w:val="single" w:sz="4" w:space="0" w:color="auto"/>
              <w:bottom w:val="single" w:sz="4" w:space="0" w:color="auto"/>
              <w:right w:val="single" w:sz="4" w:space="0" w:color="auto"/>
            </w:tcBorders>
            <w:vAlign w:val="center"/>
            <w:hideMark/>
          </w:tcPr>
          <w:p w14:paraId="20EB5B25" w14:textId="77777777" w:rsidR="00986DE0" w:rsidRPr="00C35EAE" w:rsidRDefault="00986DE0" w:rsidP="003C7140">
            <w:pPr>
              <w:rPr>
                <w:rFonts w:ascii="Lato" w:hAnsi="Lato" w:cstheme="minorHAnsi"/>
                <w:color w:val="EE0000"/>
                <w:sz w:val="18"/>
                <w:szCs w:val="18"/>
              </w:rPr>
            </w:pPr>
            <w:r w:rsidRPr="00C35EAE">
              <w:rPr>
                <w:rFonts w:ascii="Lato" w:hAnsi="Lato" w:cstheme="minorHAnsi"/>
                <w:sz w:val="18"/>
                <w:szCs w:val="18"/>
              </w:rPr>
              <w:t>Wirusowe zapalenie mózgu w tym kleszczowe zapalenie mózgu</w:t>
            </w:r>
          </w:p>
        </w:tc>
        <w:tc>
          <w:tcPr>
            <w:tcW w:w="1151" w:type="dxa"/>
            <w:tcBorders>
              <w:top w:val="nil"/>
              <w:left w:val="nil"/>
              <w:bottom w:val="single" w:sz="4" w:space="0" w:color="auto"/>
              <w:right w:val="single" w:sz="4" w:space="0" w:color="auto"/>
            </w:tcBorders>
            <w:vAlign w:val="center"/>
          </w:tcPr>
          <w:p w14:paraId="00145005"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20</w:t>
            </w:r>
          </w:p>
        </w:tc>
        <w:tc>
          <w:tcPr>
            <w:tcW w:w="1174" w:type="dxa"/>
            <w:tcBorders>
              <w:top w:val="nil"/>
              <w:left w:val="nil"/>
              <w:bottom w:val="single" w:sz="4" w:space="0" w:color="auto"/>
              <w:right w:val="single" w:sz="4" w:space="0" w:color="auto"/>
            </w:tcBorders>
            <w:vAlign w:val="center"/>
          </w:tcPr>
          <w:p w14:paraId="264E7E6C"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1,23</w:t>
            </w:r>
          </w:p>
        </w:tc>
        <w:tc>
          <w:tcPr>
            <w:tcW w:w="1151" w:type="dxa"/>
            <w:tcBorders>
              <w:top w:val="nil"/>
              <w:left w:val="nil"/>
              <w:bottom w:val="single" w:sz="4" w:space="0" w:color="auto"/>
              <w:right w:val="single" w:sz="4" w:space="0" w:color="auto"/>
            </w:tcBorders>
            <w:vAlign w:val="center"/>
          </w:tcPr>
          <w:p w14:paraId="2C54CE54" w14:textId="77777777" w:rsidR="00986DE0" w:rsidRPr="00C35EAE" w:rsidRDefault="00986DE0" w:rsidP="003C7140">
            <w:pPr>
              <w:jc w:val="center"/>
              <w:rPr>
                <w:rFonts w:ascii="Lato" w:hAnsi="Lato" w:cstheme="minorHAnsi"/>
                <w:b/>
                <w:bCs/>
                <w:color w:val="EE0000"/>
                <w:sz w:val="18"/>
                <w:szCs w:val="18"/>
              </w:rPr>
            </w:pPr>
            <w:r w:rsidRPr="00C35EAE">
              <w:rPr>
                <w:rFonts w:ascii="Lato" w:hAnsi="Lato" w:cstheme="minorHAnsi"/>
                <w:b/>
                <w:bCs/>
                <w:sz w:val="18"/>
                <w:szCs w:val="18"/>
              </w:rPr>
              <w:t>14</w:t>
            </w:r>
          </w:p>
        </w:tc>
        <w:tc>
          <w:tcPr>
            <w:tcW w:w="1174" w:type="dxa"/>
            <w:tcBorders>
              <w:top w:val="nil"/>
              <w:left w:val="nil"/>
              <w:bottom w:val="single" w:sz="4" w:space="0" w:color="auto"/>
              <w:right w:val="single" w:sz="4" w:space="0" w:color="auto"/>
            </w:tcBorders>
            <w:vAlign w:val="center"/>
          </w:tcPr>
          <w:p w14:paraId="4C7C2C81" w14:textId="77777777" w:rsidR="00986DE0" w:rsidRPr="00BB6CD1" w:rsidRDefault="00986DE0" w:rsidP="003C7140">
            <w:pPr>
              <w:jc w:val="center"/>
              <w:rPr>
                <w:rFonts w:ascii="Lato" w:hAnsi="Lato" w:cstheme="minorHAnsi"/>
                <w:sz w:val="18"/>
                <w:szCs w:val="18"/>
              </w:rPr>
            </w:pPr>
            <w:r w:rsidRPr="00BB6CD1">
              <w:rPr>
                <w:rFonts w:ascii="Lato" w:hAnsi="Lato" w:cstheme="minorHAnsi"/>
                <w:sz w:val="18"/>
                <w:szCs w:val="18"/>
              </w:rPr>
              <w:t>0,87</w:t>
            </w:r>
          </w:p>
        </w:tc>
      </w:tr>
      <w:tr w:rsidR="00986DE0" w:rsidRPr="004B2BBB" w14:paraId="09011B68" w14:textId="77777777" w:rsidTr="003C7140">
        <w:trPr>
          <w:trHeight w:val="300"/>
          <w:jc w:val="center"/>
        </w:trPr>
        <w:tc>
          <w:tcPr>
            <w:tcW w:w="567" w:type="dxa"/>
            <w:tcBorders>
              <w:top w:val="single" w:sz="4" w:space="0" w:color="auto"/>
              <w:left w:val="single" w:sz="4" w:space="0" w:color="auto"/>
              <w:bottom w:val="single" w:sz="4" w:space="0" w:color="auto"/>
              <w:right w:val="single" w:sz="4" w:space="0" w:color="auto"/>
            </w:tcBorders>
            <w:noWrap/>
            <w:vAlign w:val="center"/>
          </w:tcPr>
          <w:p w14:paraId="4B59450B"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19</w:t>
            </w:r>
          </w:p>
        </w:tc>
        <w:tc>
          <w:tcPr>
            <w:tcW w:w="4961" w:type="dxa"/>
            <w:tcBorders>
              <w:top w:val="nil"/>
              <w:left w:val="nil"/>
              <w:bottom w:val="single" w:sz="4" w:space="0" w:color="auto"/>
              <w:right w:val="single" w:sz="4" w:space="0" w:color="auto"/>
            </w:tcBorders>
            <w:vAlign w:val="center"/>
            <w:hideMark/>
          </w:tcPr>
          <w:p w14:paraId="3ABA9D6C"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Wirusowe zapalenie opon mózgowych</w:t>
            </w:r>
          </w:p>
        </w:tc>
        <w:tc>
          <w:tcPr>
            <w:tcW w:w="1151" w:type="dxa"/>
            <w:tcBorders>
              <w:top w:val="nil"/>
              <w:left w:val="nil"/>
              <w:bottom w:val="single" w:sz="4" w:space="0" w:color="auto"/>
              <w:right w:val="single" w:sz="4" w:space="0" w:color="auto"/>
            </w:tcBorders>
            <w:vAlign w:val="center"/>
          </w:tcPr>
          <w:p w14:paraId="24361DB0"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41</w:t>
            </w:r>
          </w:p>
        </w:tc>
        <w:tc>
          <w:tcPr>
            <w:tcW w:w="1174" w:type="dxa"/>
            <w:tcBorders>
              <w:top w:val="nil"/>
              <w:left w:val="nil"/>
              <w:bottom w:val="single" w:sz="4" w:space="0" w:color="auto"/>
              <w:right w:val="single" w:sz="4" w:space="0" w:color="auto"/>
            </w:tcBorders>
            <w:vAlign w:val="center"/>
          </w:tcPr>
          <w:p w14:paraId="4B1DC087"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2,52</w:t>
            </w:r>
          </w:p>
        </w:tc>
        <w:tc>
          <w:tcPr>
            <w:tcW w:w="1151" w:type="dxa"/>
            <w:tcBorders>
              <w:top w:val="nil"/>
              <w:left w:val="nil"/>
              <w:bottom w:val="single" w:sz="4" w:space="0" w:color="auto"/>
              <w:right w:val="single" w:sz="4" w:space="0" w:color="auto"/>
            </w:tcBorders>
            <w:vAlign w:val="center"/>
          </w:tcPr>
          <w:p w14:paraId="4F6FE1D8"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28</w:t>
            </w:r>
          </w:p>
        </w:tc>
        <w:tc>
          <w:tcPr>
            <w:tcW w:w="1174" w:type="dxa"/>
            <w:tcBorders>
              <w:top w:val="nil"/>
              <w:left w:val="nil"/>
              <w:bottom w:val="single" w:sz="4" w:space="0" w:color="auto"/>
              <w:right w:val="single" w:sz="4" w:space="0" w:color="auto"/>
            </w:tcBorders>
            <w:vAlign w:val="center"/>
          </w:tcPr>
          <w:p w14:paraId="1237FD67" w14:textId="77777777" w:rsidR="00986DE0" w:rsidRPr="00BB6CD1" w:rsidRDefault="00986DE0" w:rsidP="003C7140">
            <w:pPr>
              <w:jc w:val="center"/>
              <w:rPr>
                <w:rFonts w:ascii="Lato" w:hAnsi="Lato" w:cstheme="minorHAnsi"/>
                <w:sz w:val="18"/>
                <w:szCs w:val="18"/>
              </w:rPr>
            </w:pPr>
            <w:r w:rsidRPr="00BB6CD1">
              <w:rPr>
                <w:rFonts w:ascii="Lato" w:hAnsi="Lato" w:cstheme="minorHAnsi"/>
                <w:sz w:val="18"/>
                <w:szCs w:val="18"/>
              </w:rPr>
              <w:t>1,73</w:t>
            </w:r>
          </w:p>
        </w:tc>
      </w:tr>
      <w:tr w:rsidR="00986DE0" w:rsidRPr="004B2BBB" w14:paraId="3ADEA546" w14:textId="77777777" w:rsidTr="003C7140">
        <w:trPr>
          <w:trHeight w:val="421"/>
          <w:jc w:val="center"/>
        </w:trPr>
        <w:tc>
          <w:tcPr>
            <w:tcW w:w="567" w:type="dxa"/>
            <w:tcBorders>
              <w:top w:val="nil"/>
              <w:left w:val="single" w:sz="8" w:space="0" w:color="auto"/>
              <w:bottom w:val="nil"/>
              <w:right w:val="nil"/>
            </w:tcBorders>
            <w:noWrap/>
            <w:vAlign w:val="center"/>
          </w:tcPr>
          <w:p w14:paraId="0A852719"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20</w:t>
            </w:r>
          </w:p>
        </w:tc>
        <w:tc>
          <w:tcPr>
            <w:tcW w:w="4961" w:type="dxa"/>
            <w:tcBorders>
              <w:top w:val="nil"/>
              <w:left w:val="single" w:sz="4" w:space="0" w:color="auto"/>
              <w:bottom w:val="single" w:sz="4" w:space="0" w:color="auto"/>
              <w:right w:val="single" w:sz="4" w:space="0" w:color="auto"/>
            </w:tcBorders>
            <w:vAlign w:val="center"/>
            <w:hideMark/>
          </w:tcPr>
          <w:p w14:paraId="3139940B"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Ospa wietrzna</w:t>
            </w:r>
          </w:p>
        </w:tc>
        <w:tc>
          <w:tcPr>
            <w:tcW w:w="1151" w:type="dxa"/>
            <w:tcBorders>
              <w:top w:val="nil"/>
              <w:left w:val="nil"/>
              <w:bottom w:val="single" w:sz="4" w:space="0" w:color="auto"/>
              <w:right w:val="single" w:sz="4" w:space="0" w:color="auto"/>
            </w:tcBorders>
            <w:vAlign w:val="center"/>
          </w:tcPr>
          <w:p w14:paraId="08F1390D"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5314</w:t>
            </w:r>
          </w:p>
        </w:tc>
        <w:tc>
          <w:tcPr>
            <w:tcW w:w="1174" w:type="dxa"/>
            <w:tcBorders>
              <w:top w:val="nil"/>
              <w:left w:val="nil"/>
              <w:bottom w:val="single" w:sz="4" w:space="0" w:color="auto"/>
              <w:right w:val="single" w:sz="4" w:space="0" w:color="auto"/>
            </w:tcBorders>
            <w:vAlign w:val="center"/>
          </w:tcPr>
          <w:p w14:paraId="29264D0A"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326,64</w:t>
            </w:r>
          </w:p>
        </w:tc>
        <w:tc>
          <w:tcPr>
            <w:tcW w:w="1151" w:type="dxa"/>
            <w:tcBorders>
              <w:top w:val="nil"/>
              <w:left w:val="nil"/>
              <w:bottom w:val="single" w:sz="4" w:space="0" w:color="auto"/>
              <w:right w:val="single" w:sz="4" w:space="0" w:color="auto"/>
            </w:tcBorders>
            <w:vAlign w:val="center"/>
          </w:tcPr>
          <w:p w14:paraId="3D663DA4" w14:textId="77777777" w:rsidR="00986DE0" w:rsidRPr="00C35EAE" w:rsidRDefault="00986DE0" w:rsidP="003C7140">
            <w:pPr>
              <w:jc w:val="center"/>
              <w:rPr>
                <w:rFonts w:ascii="Lato" w:hAnsi="Lato" w:cstheme="minorHAnsi"/>
                <w:b/>
                <w:bCs/>
                <w:color w:val="EE0000"/>
                <w:sz w:val="18"/>
                <w:szCs w:val="18"/>
              </w:rPr>
            </w:pPr>
            <w:r w:rsidRPr="00C35EAE">
              <w:rPr>
                <w:rFonts w:ascii="Lato" w:hAnsi="Lato" w:cstheme="minorHAnsi"/>
                <w:b/>
                <w:bCs/>
                <w:sz w:val="18"/>
                <w:szCs w:val="18"/>
              </w:rPr>
              <w:t>4</w:t>
            </w:r>
            <w:r>
              <w:rPr>
                <w:rFonts w:ascii="Lato" w:hAnsi="Lato" w:cstheme="minorHAnsi"/>
                <w:b/>
                <w:bCs/>
                <w:sz w:val="18"/>
                <w:szCs w:val="18"/>
              </w:rPr>
              <w:t>199</w:t>
            </w:r>
          </w:p>
        </w:tc>
        <w:tc>
          <w:tcPr>
            <w:tcW w:w="1174" w:type="dxa"/>
            <w:tcBorders>
              <w:top w:val="nil"/>
              <w:left w:val="nil"/>
              <w:bottom w:val="single" w:sz="4" w:space="0" w:color="auto"/>
              <w:right w:val="single" w:sz="4" w:space="0" w:color="auto"/>
            </w:tcBorders>
            <w:vAlign w:val="center"/>
          </w:tcPr>
          <w:p w14:paraId="1657A196" w14:textId="77777777" w:rsidR="00986DE0" w:rsidRPr="00C35EAE" w:rsidRDefault="00986DE0" w:rsidP="003C7140">
            <w:pPr>
              <w:jc w:val="center"/>
              <w:rPr>
                <w:rFonts w:ascii="Lato" w:hAnsi="Lato" w:cstheme="minorHAnsi"/>
                <w:color w:val="EE0000"/>
                <w:sz w:val="18"/>
                <w:szCs w:val="18"/>
              </w:rPr>
            </w:pPr>
            <w:r w:rsidRPr="00CF00AE">
              <w:rPr>
                <w:rFonts w:ascii="Lato" w:hAnsi="Lato" w:cstheme="minorHAnsi"/>
                <w:sz w:val="18"/>
                <w:szCs w:val="18"/>
              </w:rPr>
              <w:t>259,61</w:t>
            </w:r>
          </w:p>
        </w:tc>
      </w:tr>
      <w:tr w:rsidR="00986DE0" w:rsidRPr="004B2BBB" w14:paraId="53C1DDE4" w14:textId="77777777" w:rsidTr="003C7140">
        <w:trPr>
          <w:trHeight w:val="300"/>
          <w:jc w:val="center"/>
        </w:trPr>
        <w:tc>
          <w:tcPr>
            <w:tcW w:w="567" w:type="dxa"/>
            <w:tcBorders>
              <w:top w:val="single" w:sz="4" w:space="0" w:color="auto"/>
              <w:left w:val="single" w:sz="4" w:space="0" w:color="auto"/>
              <w:bottom w:val="single" w:sz="4" w:space="0" w:color="auto"/>
              <w:right w:val="single" w:sz="4" w:space="0" w:color="auto"/>
            </w:tcBorders>
            <w:noWrap/>
            <w:vAlign w:val="center"/>
          </w:tcPr>
          <w:p w14:paraId="0A774799"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21</w:t>
            </w:r>
          </w:p>
        </w:tc>
        <w:tc>
          <w:tcPr>
            <w:tcW w:w="4961" w:type="dxa"/>
            <w:tcBorders>
              <w:top w:val="nil"/>
              <w:left w:val="nil"/>
              <w:bottom w:val="single" w:sz="4" w:space="0" w:color="auto"/>
              <w:right w:val="single" w:sz="4" w:space="0" w:color="auto"/>
            </w:tcBorders>
            <w:vAlign w:val="center"/>
            <w:hideMark/>
          </w:tcPr>
          <w:p w14:paraId="1D0271E8"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Odra</w:t>
            </w:r>
          </w:p>
        </w:tc>
        <w:tc>
          <w:tcPr>
            <w:tcW w:w="1151" w:type="dxa"/>
            <w:tcBorders>
              <w:top w:val="nil"/>
              <w:left w:val="nil"/>
              <w:bottom w:val="single" w:sz="4" w:space="0" w:color="auto"/>
              <w:right w:val="single" w:sz="4" w:space="0" w:color="auto"/>
            </w:tcBorders>
            <w:vAlign w:val="center"/>
          </w:tcPr>
          <w:p w14:paraId="01D8830A"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6</w:t>
            </w:r>
          </w:p>
        </w:tc>
        <w:tc>
          <w:tcPr>
            <w:tcW w:w="1174" w:type="dxa"/>
            <w:tcBorders>
              <w:top w:val="nil"/>
              <w:left w:val="nil"/>
              <w:bottom w:val="single" w:sz="4" w:space="0" w:color="auto"/>
              <w:right w:val="single" w:sz="4" w:space="0" w:color="auto"/>
            </w:tcBorders>
            <w:vAlign w:val="center"/>
          </w:tcPr>
          <w:p w14:paraId="6A27BB1F"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0,37</w:t>
            </w:r>
          </w:p>
        </w:tc>
        <w:tc>
          <w:tcPr>
            <w:tcW w:w="1151" w:type="dxa"/>
            <w:tcBorders>
              <w:top w:val="nil"/>
              <w:left w:val="nil"/>
              <w:bottom w:val="single" w:sz="4" w:space="0" w:color="auto"/>
              <w:right w:val="single" w:sz="4" w:space="0" w:color="auto"/>
            </w:tcBorders>
            <w:vAlign w:val="center"/>
          </w:tcPr>
          <w:p w14:paraId="11427FB7"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1</w:t>
            </w:r>
          </w:p>
        </w:tc>
        <w:tc>
          <w:tcPr>
            <w:tcW w:w="1174" w:type="dxa"/>
            <w:tcBorders>
              <w:top w:val="nil"/>
              <w:left w:val="nil"/>
              <w:bottom w:val="single" w:sz="4" w:space="0" w:color="auto"/>
              <w:right w:val="single" w:sz="4" w:space="0" w:color="auto"/>
            </w:tcBorders>
          </w:tcPr>
          <w:p w14:paraId="3F2A45BB" w14:textId="77777777" w:rsidR="00986DE0" w:rsidRPr="00CF00AE" w:rsidRDefault="00986DE0" w:rsidP="003C7140">
            <w:pPr>
              <w:jc w:val="center"/>
              <w:rPr>
                <w:rFonts w:ascii="Lato" w:hAnsi="Lato" w:cstheme="minorHAnsi"/>
                <w:sz w:val="18"/>
                <w:szCs w:val="18"/>
              </w:rPr>
            </w:pPr>
            <w:r w:rsidRPr="00CF00AE">
              <w:rPr>
                <w:rFonts w:ascii="Lato" w:hAnsi="Lato"/>
                <w:sz w:val="18"/>
                <w:szCs w:val="18"/>
              </w:rPr>
              <w:t>0,06</w:t>
            </w:r>
          </w:p>
        </w:tc>
      </w:tr>
      <w:tr w:rsidR="00986DE0" w:rsidRPr="004B2BBB" w14:paraId="35FE3911" w14:textId="77777777" w:rsidTr="003C7140">
        <w:trPr>
          <w:trHeight w:val="300"/>
          <w:jc w:val="center"/>
        </w:trPr>
        <w:tc>
          <w:tcPr>
            <w:tcW w:w="567" w:type="dxa"/>
            <w:tcBorders>
              <w:top w:val="nil"/>
              <w:left w:val="single" w:sz="8" w:space="0" w:color="auto"/>
              <w:bottom w:val="nil"/>
              <w:right w:val="nil"/>
            </w:tcBorders>
            <w:noWrap/>
            <w:vAlign w:val="center"/>
          </w:tcPr>
          <w:p w14:paraId="4F6A4E31"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22</w:t>
            </w:r>
          </w:p>
        </w:tc>
        <w:tc>
          <w:tcPr>
            <w:tcW w:w="4961" w:type="dxa"/>
            <w:tcBorders>
              <w:top w:val="nil"/>
              <w:left w:val="single" w:sz="4" w:space="0" w:color="auto"/>
              <w:bottom w:val="single" w:sz="4" w:space="0" w:color="auto"/>
              <w:right w:val="single" w:sz="4" w:space="0" w:color="auto"/>
            </w:tcBorders>
            <w:vAlign w:val="center"/>
            <w:hideMark/>
          </w:tcPr>
          <w:p w14:paraId="3C4689E3"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Różyczka</w:t>
            </w:r>
          </w:p>
        </w:tc>
        <w:tc>
          <w:tcPr>
            <w:tcW w:w="1151" w:type="dxa"/>
            <w:tcBorders>
              <w:top w:val="nil"/>
              <w:left w:val="nil"/>
              <w:bottom w:val="single" w:sz="4" w:space="0" w:color="auto"/>
              <w:right w:val="single" w:sz="4" w:space="0" w:color="auto"/>
            </w:tcBorders>
            <w:vAlign w:val="center"/>
          </w:tcPr>
          <w:p w14:paraId="7924AC5E"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8</w:t>
            </w:r>
          </w:p>
        </w:tc>
        <w:tc>
          <w:tcPr>
            <w:tcW w:w="1174" w:type="dxa"/>
            <w:tcBorders>
              <w:top w:val="nil"/>
              <w:left w:val="nil"/>
              <w:bottom w:val="single" w:sz="4" w:space="0" w:color="auto"/>
              <w:right w:val="single" w:sz="4" w:space="0" w:color="auto"/>
            </w:tcBorders>
            <w:vAlign w:val="center"/>
          </w:tcPr>
          <w:p w14:paraId="0EF5895D"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0,49</w:t>
            </w:r>
          </w:p>
        </w:tc>
        <w:tc>
          <w:tcPr>
            <w:tcW w:w="1151" w:type="dxa"/>
            <w:tcBorders>
              <w:top w:val="nil"/>
              <w:left w:val="nil"/>
              <w:bottom w:val="single" w:sz="4" w:space="0" w:color="auto"/>
              <w:right w:val="single" w:sz="4" w:space="0" w:color="auto"/>
            </w:tcBorders>
            <w:vAlign w:val="center"/>
          </w:tcPr>
          <w:p w14:paraId="7CA367F5"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3</w:t>
            </w:r>
          </w:p>
        </w:tc>
        <w:tc>
          <w:tcPr>
            <w:tcW w:w="1174" w:type="dxa"/>
            <w:tcBorders>
              <w:top w:val="nil"/>
              <w:left w:val="nil"/>
              <w:bottom w:val="single" w:sz="4" w:space="0" w:color="auto"/>
              <w:right w:val="single" w:sz="4" w:space="0" w:color="auto"/>
            </w:tcBorders>
          </w:tcPr>
          <w:p w14:paraId="23D82488" w14:textId="77777777" w:rsidR="00986DE0" w:rsidRPr="00CF00AE" w:rsidRDefault="00986DE0" w:rsidP="003C7140">
            <w:pPr>
              <w:jc w:val="center"/>
              <w:rPr>
                <w:rFonts w:ascii="Lato" w:hAnsi="Lato" w:cstheme="minorHAnsi"/>
                <w:sz w:val="18"/>
                <w:szCs w:val="18"/>
              </w:rPr>
            </w:pPr>
            <w:r w:rsidRPr="00CF00AE">
              <w:rPr>
                <w:rFonts w:ascii="Lato" w:hAnsi="Lato"/>
                <w:sz w:val="18"/>
                <w:szCs w:val="18"/>
              </w:rPr>
              <w:t>0,19</w:t>
            </w:r>
          </w:p>
        </w:tc>
      </w:tr>
      <w:tr w:rsidR="00986DE0" w:rsidRPr="004B2BBB" w14:paraId="40BB51CB" w14:textId="77777777" w:rsidTr="003C7140">
        <w:trPr>
          <w:trHeight w:val="300"/>
          <w:jc w:val="center"/>
        </w:trPr>
        <w:tc>
          <w:tcPr>
            <w:tcW w:w="567" w:type="dxa"/>
            <w:vMerge w:val="restart"/>
            <w:tcBorders>
              <w:top w:val="single" w:sz="4" w:space="0" w:color="auto"/>
              <w:left w:val="single" w:sz="8" w:space="0" w:color="auto"/>
              <w:bottom w:val="single" w:sz="4" w:space="0" w:color="000000"/>
              <w:right w:val="nil"/>
            </w:tcBorders>
            <w:noWrap/>
            <w:vAlign w:val="center"/>
          </w:tcPr>
          <w:p w14:paraId="74E01BD6" w14:textId="77777777" w:rsidR="00986DE0" w:rsidRPr="00C35EAE" w:rsidRDefault="00986DE0" w:rsidP="003C7140">
            <w:pPr>
              <w:jc w:val="center"/>
              <w:rPr>
                <w:rFonts w:ascii="Lato" w:hAnsi="Lato" w:cstheme="minorHAnsi"/>
                <w:sz w:val="18"/>
                <w:szCs w:val="18"/>
              </w:rPr>
            </w:pPr>
          </w:p>
          <w:p w14:paraId="5498D8B4"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23</w:t>
            </w:r>
          </w:p>
        </w:tc>
        <w:tc>
          <w:tcPr>
            <w:tcW w:w="4961" w:type="dxa"/>
            <w:tcBorders>
              <w:top w:val="nil"/>
              <w:left w:val="single" w:sz="4" w:space="0" w:color="auto"/>
              <w:bottom w:val="single" w:sz="4" w:space="0" w:color="auto"/>
              <w:right w:val="single" w:sz="4" w:space="0" w:color="auto"/>
            </w:tcBorders>
            <w:vAlign w:val="center"/>
            <w:hideMark/>
          </w:tcPr>
          <w:p w14:paraId="06BE43E4"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 xml:space="preserve">Wirusowe zapalenia wątroby </w:t>
            </w:r>
          </w:p>
        </w:tc>
        <w:tc>
          <w:tcPr>
            <w:tcW w:w="1151" w:type="dxa"/>
            <w:tcBorders>
              <w:top w:val="nil"/>
              <w:left w:val="nil"/>
              <w:bottom w:val="single" w:sz="4" w:space="0" w:color="auto"/>
              <w:right w:val="single" w:sz="4" w:space="0" w:color="auto"/>
            </w:tcBorders>
            <w:vAlign w:val="center"/>
          </w:tcPr>
          <w:p w14:paraId="4C3F34C7"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394</w:t>
            </w:r>
          </w:p>
        </w:tc>
        <w:tc>
          <w:tcPr>
            <w:tcW w:w="1174" w:type="dxa"/>
            <w:tcBorders>
              <w:top w:val="nil"/>
              <w:left w:val="nil"/>
              <w:bottom w:val="single" w:sz="4" w:space="0" w:color="auto"/>
              <w:right w:val="single" w:sz="4" w:space="0" w:color="auto"/>
            </w:tcBorders>
            <w:vAlign w:val="center"/>
          </w:tcPr>
          <w:p w14:paraId="2FD8A3EA"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24,22</w:t>
            </w:r>
          </w:p>
        </w:tc>
        <w:tc>
          <w:tcPr>
            <w:tcW w:w="1151" w:type="dxa"/>
            <w:tcBorders>
              <w:top w:val="nil"/>
              <w:left w:val="nil"/>
              <w:bottom w:val="single" w:sz="4" w:space="0" w:color="auto"/>
              <w:right w:val="single" w:sz="4" w:space="0" w:color="auto"/>
            </w:tcBorders>
            <w:vAlign w:val="center"/>
          </w:tcPr>
          <w:p w14:paraId="251517E2"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398</w:t>
            </w:r>
          </w:p>
        </w:tc>
        <w:tc>
          <w:tcPr>
            <w:tcW w:w="1174" w:type="dxa"/>
            <w:tcBorders>
              <w:top w:val="nil"/>
              <w:left w:val="nil"/>
              <w:bottom w:val="single" w:sz="4" w:space="0" w:color="auto"/>
              <w:right w:val="single" w:sz="4" w:space="0" w:color="auto"/>
            </w:tcBorders>
            <w:vAlign w:val="center"/>
          </w:tcPr>
          <w:p w14:paraId="354204B5" w14:textId="77777777" w:rsidR="00986DE0" w:rsidRPr="00CF00AE" w:rsidRDefault="00986DE0" w:rsidP="003C7140">
            <w:pPr>
              <w:jc w:val="center"/>
              <w:rPr>
                <w:rFonts w:ascii="Lato" w:hAnsi="Lato" w:cstheme="minorHAnsi"/>
                <w:sz w:val="18"/>
                <w:szCs w:val="18"/>
              </w:rPr>
            </w:pPr>
            <w:r w:rsidRPr="00CF00AE">
              <w:rPr>
                <w:rFonts w:ascii="Lato" w:hAnsi="Lato" w:cstheme="minorHAnsi"/>
                <w:sz w:val="18"/>
                <w:szCs w:val="18"/>
              </w:rPr>
              <w:t>24,61</w:t>
            </w:r>
          </w:p>
        </w:tc>
      </w:tr>
      <w:tr w:rsidR="00986DE0" w:rsidRPr="004B2BBB" w14:paraId="6CF8776B" w14:textId="77777777" w:rsidTr="003C7140">
        <w:trPr>
          <w:trHeight w:val="300"/>
          <w:jc w:val="center"/>
        </w:trPr>
        <w:tc>
          <w:tcPr>
            <w:tcW w:w="567" w:type="dxa"/>
            <w:vMerge/>
            <w:tcBorders>
              <w:top w:val="single" w:sz="4" w:space="0" w:color="auto"/>
              <w:left w:val="single" w:sz="8" w:space="0" w:color="auto"/>
              <w:bottom w:val="single" w:sz="4" w:space="0" w:color="000000"/>
              <w:right w:val="nil"/>
            </w:tcBorders>
            <w:vAlign w:val="center"/>
          </w:tcPr>
          <w:p w14:paraId="6D3DC1DE" w14:textId="77777777" w:rsidR="00986DE0" w:rsidRPr="00C35EAE" w:rsidRDefault="00986DE0" w:rsidP="003C7140">
            <w:pPr>
              <w:rPr>
                <w:rFonts w:ascii="Lato" w:hAnsi="Lato" w:cstheme="minorHAnsi"/>
                <w:sz w:val="18"/>
                <w:szCs w:val="18"/>
              </w:rPr>
            </w:pPr>
          </w:p>
        </w:tc>
        <w:tc>
          <w:tcPr>
            <w:tcW w:w="4961" w:type="dxa"/>
            <w:tcBorders>
              <w:top w:val="nil"/>
              <w:left w:val="single" w:sz="4" w:space="0" w:color="auto"/>
              <w:bottom w:val="single" w:sz="4" w:space="0" w:color="auto"/>
              <w:right w:val="single" w:sz="4" w:space="0" w:color="auto"/>
            </w:tcBorders>
            <w:vAlign w:val="center"/>
            <w:hideMark/>
          </w:tcPr>
          <w:p w14:paraId="75435BC7"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 xml:space="preserve"> w tym WZW typu "A"</w:t>
            </w:r>
          </w:p>
        </w:tc>
        <w:tc>
          <w:tcPr>
            <w:tcW w:w="1151" w:type="dxa"/>
            <w:tcBorders>
              <w:top w:val="nil"/>
              <w:left w:val="nil"/>
              <w:bottom w:val="single" w:sz="4" w:space="0" w:color="auto"/>
              <w:right w:val="single" w:sz="4" w:space="0" w:color="auto"/>
            </w:tcBorders>
            <w:vAlign w:val="center"/>
          </w:tcPr>
          <w:p w14:paraId="3424E47E"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24</w:t>
            </w:r>
          </w:p>
        </w:tc>
        <w:tc>
          <w:tcPr>
            <w:tcW w:w="1174" w:type="dxa"/>
            <w:tcBorders>
              <w:top w:val="nil"/>
              <w:left w:val="nil"/>
              <w:bottom w:val="single" w:sz="4" w:space="0" w:color="auto"/>
              <w:right w:val="single" w:sz="4" w:space="0" w:color="auto"/>
            </w:tcBorders>
            <w:vAlign w:val="center"/>
          </w:tcPr>
          <w:p w14:paraId="065E91B7"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1,48</w:t>
            </w:r>
          </w:p>
        </w:tc>
        <w:tc>
          <w:tcPr>
            <w:tcW w:w="1151" w:type="dxa"/>
            <w:tcBorders>
              <w:top w:val="nil"/>
              <w:left w:val="nil"/>
              <w:bottom w:val="single" w:sz="4" w:space="0" w:color="auto"/>
              <w:right w:val="single" w:sz="4" w:space="0" w:color="auto"/>
            </w:tcBorders>
            <w:vAlign w:val="center"/>
          </w:tcPr>
          <w:p w14:paraId="7508C815"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26</w:t>
            </w:r>
          </w:p>
        </w:tc>
        <w:tc>
          <w:tcPr>
            <w:tcW w:w="1174" w:type="dxa"/>
            <w:tcBorders>
              <w:top w:val="nil"/>
              <w:left w:val="nil"/>
              <w:bottom w:val="single" w:sz="4" w:space="0" w:color="auto"/>
              <w:right w:val="single" w:sz="4" w:space="0" w:color="auto"/>
            </w:tcBorders>
            <w:vAlign w:val="center"/>
          </w:tcPr>
          <w:p w14:paraId="6CF0CD14" w14:textId="77777777" w:rsidR="00986DE0" w:rsidRPr="00BB6CD1" w:rsidRDefault="00986DE0" w:rsidP="003C7140">
            <w:pPr>
              <w:jc w:val="center"/>
              <w:rPr>
                <w:rFonts w:ascii="Lato" w:hAnsi="Lato" w:cstheme="minorHAnsi"/>
                <w:sz w:val="18"/>
                <w:szCs w:val="18"/>
              </w:rPr>
            </w:pPr>
            <w:r w:rsidRPr="00BB6CD1">
              <w:rPr>
                <w:rFonts w:ascii="Lato" w:hAnsi="Lato" w:cstheme="minorHAnsi"/>
                <w:sz w:val="18"/>
                <w:szCs w:val="18"/>
              </w:rPr>
              <w:t>1,61</w:t>
            </w:r>
          </w:p>
        </w:tc>
      </w:tr>
      <w:tr w:rsidR="00986DE0" w:rsidRPr="004B2BBB" w14:paraId="141EA564" w14:textId="77777777" w:rsidTr="003C7140">
        <w:trPr>
          <w:trHeight w:val="300"/>
          <w:jc w:val="center"/>
        </w:trPr>
        <w:tc>
          <w:tcPr>
            <w:tcW w:w="567" w:type="dxa"/>
            <w:vMerge/>
            <w:tcBorders>
              <w:top w:val="single" w:sz="4" w:space="0" w:color="auto"/>
              <w:left w:val="single" w:sz="8" w:space="0" w:color="auto"/>
              <w:bottom w:val="single" w:sz="4" w:space="0" w:color="000000"/>
              <w:right w:val="nil"/>
            </w:tcBorders>
            <w:vAlign w:val="center"/>
          </w:tcPr>
          <w:p w14:paraId="130A2727" w14:textId="77777777" w:rsidR="00986DE0" w:rsidRPr="00C35EAE" w:rsidRDefault="00986DE0" w:rsidP="003C7140">
            <w:pPr>
              <w:rPr>
                <w:rFonts w:ascii="Lato" w:hAnsi="Lato" w:cstheme="minorHAnsi"/>
                <w:sz w:val="18"/>
                <w:szCs w:val="18"/>
              </w:rPr>
            </w:pPr>
          </w:p>
        </w:tc>
        <w:tc>
          <w:tcPr>
            <w:tcW w:w="4961" w:type="dxa"/>
            <w:tcBorders>
              <w:top w:val="nil"/>
              <w:left w:val="single" w:sz="4" w:space="0" w:color="auto"/>
              <w:bottom w:val="single" w:sz="4" w:space="0" w:color="auto"/>
              <w:right w:val="single" w:sz="4" w:space="0" w:color="auto"/>
            </w:tcBorders>
            <w:vAlign w:val="center"/>
            <w:hideMark/>
          </w:tcPr>
          <w:p w14:paraId="078CD093"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w tym WZW typu "B" ostre i przewlekłe</w:t>
            </w:r>
          </w:p>
        </w:tc>
        <w:tc>
          <w:tcPr>
            <w:tcW w:w="1151" w:type="dxa"/>
            <w:tcBorders>
              <w:top w:val="nil"/>
              <w:left w:val="nil"/>
              <w:bottom w:val="single" w:sz="4" w:space="0" w:color="auto"/>
              <w:right w:val="single" w:sz="4" w:space="0" w:color="auto"/>
            </w:tcBorders>
            <w:vAlign w:val="center"/>
          </w:tcPr>
          <w:p w14:paraId="402A3CDE"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111</w:t>
            </w:r>
          </w:p>
        </w:tc>
        <w:tc>
          <w:tcPr>
            <w:tcW w:w="1174" w:type="dxa"/>
            <w:tcBorders>
              <w:top w:val="nil"/>
              <w:left w:val="nil"/>
              <w:bottom w:val="single" w:sz="4" w:space="0" w:color="auto"/>
              <w:right w:val="single" w:sz="4" w:space="0" w:color="auto"/>
            </w:tcBorders>
            <w:vAlign w:val="center"/>
          </w:tcPr>
          <w:p w14:paraId="2F6DE398"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6,82</w:t>
            </w:r>
          </w:p>
        </w:tc>
        <w:tc>
          <w:tcPr>
            <w:tcW w:w="1151" w:type="dxa"/>
            <w:tcBorders>
              <w:top w:val="nil"/>
              <w:left w:val="nil"/>
              <w:bottom w:val="single" w:sz="4" w:space="0" w:color="auto"/>
              <w:right w:val="single" w:sz="4" w:space="0" w:color="auto"/>
            </w:tcBorders>
            <w:vAlign w:val="center"/>
          </w:tcPr>
          <w:p w14:paraId="25C11AFB"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122</w:t>
            </w:r>
          </w:p>
        </w:tc>
        <w:tc>
          <w:tcPr>
            <w:tcW w:w="1174" w:type="dxa"/>
            <w:tcBorders>
              <w:top w:val="nil"/>
              <w:left w:val="nil"/>
              <w:bottom w:val="single" w:sz="4" w:space="0" w:color="auto"/>
              <w:right w:val="single" w:sz="4" w:space="0" w:color="auto"/>
            </w:tcBorders>
            <w:vAlign w:val="center"/>
          </w:tcPr>
          <w:p w14:paraId="7C34E413" w14:textId="77777777" w:rsidR="00986DE0" w:rsidRPr="00BB6CD1" w:rsidRDefault="00986DE0" w:rsidP="003C7140">
            <w:pPr>
              <w:jc w:val="center"/>
              <w:rPr>
                <w:rFonts w:ascii="Lato" w:hAnsi="Lato" w:cstheme="minorHAnsi"/>
                <w:sz w:val="18"/>
                <w:szCs w:val="18"/>
              </w:rPr>
            </w:pPr>
            <w:r w:rsidRPr="00BB6CD1">
              <w:rPr>
                <w:rFonts w:ascii="Lato" w:hAnsi="Lato" w:cstheme="minorHAnsi"/>
                <w:sz w:val="18"/>
                <w:szCs w:val="18"/>
              </w:rPr>
              <w:t>7,54</w:t>
            </w:r>
          </w:p>
        </w:tc>
      </w:tr>
      <w:tr w:rsidR="00986DE0" w:rsidRPr="004B2BBB" w14:paraId="3255B127" w14:textId="77777777" w:rsidTr="003C7140">
        <w:trPr>
          <w:trHeight w:val="300"/>
          <w:jc w:val="center"/>
        </w:trPr>
        <w:tc>
          <w:tcPr>
            <w:tcW w:w="567" w:type="dxa"/>
            <w:vMerge/>
            <w:tcBorders>
              <w:top w:val="single" w:sz="4" w:space="0" w:color="auto"/>
              <w:left w:val="single" w:sz="8" w:space="0" w:color="auto"/>
              <w:bottom w:val="single" w:sz="4" w:space="0" w:color="000000"/>
              <w:right w:val="nil"/>
            </w:tcBorders>
            <w:vAlign w:val="center"/>
          </w:tcPr>
          <w:p w14:paraId="76BBA3CC" w14:textId="77777777" w:rsidR="00986DE0" w:rsidRPr="00C35EAE" w:rsidRDefault="00986DE0" w:rsidP="003C7140">
            <w:pPr>
              <w:rPr>
                <w:rFonts w:ascii="Lato" w:hAnsi="Lato" w:cstheme="minorHAnsi"/>
                <w:sz w:val="18"/>
                <w:szCs w:val="18"/>
              </w:rPr>
            </w:pPr>
          </w:p>
        </w:tc>
        <w:tc>
          <w:tcPr>
            <w:tcW w:w="4961" w:type="dxa"/>
            <w:tcBorders>
              <w:top w:val="nil"/>
              <w:left w:val="single" w:sz="4" w:space="0" w:color="auto"/>
              <w:bottom w:val="single" w:sz="4" w:space="0" w:color="auto"/>
              <w:right w:val="single" w:sz="4" w:space="0" w:color="auto"/>
            </w:tcBorders>
            <w:vAlign w:val="center"/>
            <w:hideMark/>
          </w:tcPr>
          <w:p w14:paraId="1787CB56"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 xml:space="preserve">w tym WZW typu "C" </w:t>
            </w:r>
          </w:p>
        </w:tc>
        <w:tc>
          <w:tcPr>
            <w:tcW w:w="1151" w:type="dxa"/>
            <w:tcBorders>
              <w:top w:val="nil"/>
              <w:left w:val="nil"/>
              <w:bottom w:val="single" w:sz="4" w:space="0" w:color="auto"/>
              <w:right w:val="single" w:sz="4" w:space="0" w:color="auto"/>
            </w:tcBorders>
            <w:vAlign w:val="center"/>
          </w:tcPr>
          <w:p w14:paraId="4F907064"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254</w:t>
            </w:r>
          </w:p>
        </w:tc>
        <w:tc>
          <w:tcPr>
            <w:tcW w:w="1174" w:type="dxa"/>
            <w:tcBorders>
              <w:top w:val="nil"/>
              <w:left w:val="nil"/>
              <w:bottom w:val="single" w:sz="4" w:space="0" w:color="auto"/>
              <w:right w:val="single" w:sz="4" w:space="0" w:color="auto"/>
            </w:tcBorders>
            <w:vAlign w:val="center"/>
          </w:tcPr>
          <w:p w14:paraId="73349779"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15,61</w:t>
            </w:r>
          </w:p>
        </w:tc>
        <w:tc>
          <w:tcPr>
            <w:tcW w:w="1151" w:type="dxa"/>
            <w:tcBorders>
              <w:top w:val="nil"/>
              <w:left w:val="nil"/>
              <w:bottom w:val="single" w:sz="4" w:space="0" w:color="auto"/>
              <w:right w:val="single" w:sz="4" w:space="0" w:color="auto"/>
            </w:tcBorders>
            <w:vAlign w:val="center"/>
          </w:tcPr>
          <w:p w14:paraId="43A3F36B"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248</w:t>
            </w:r>
          </w:p>
        </w:tc>
        <w:tc>
          <w:tcPr>
            <w:tcW w:w="1174" w:type="dxa"/>
            <w:tcBorders>
              <w:top w:val="nil"/>
              <w:left w:val="nil"/>
              <w:bottom w:val="single" w:sz="4" w:space="0" w:color="auto"/>
              <w:right w:val="single" w:sz="4" w:space="0" w:color="auto"/>
            </w:tcBorders>
            <w:vAlign w:val="center"/>
          </w:tcPr>
          <w:p w14:paraId="03BE3075" w14:textId="77777777" w:rsidR="00986DE0" w:rsidRPr="00BB6CD1" w:rsidRDefault="00986DE0" w:rsidP="003C7140">
            <w:pPr>
              <w:jc w:val="center"/>
              <w:rPr>
                <w:rFonts w:ascii="Lato" w:hAnsi="Lato" w:cstheme="minorHAnsi"/>
                <w:sz w:val="18"/>
                <w:szCs w:val="18"/>
              </w:rPr>
            </w:pPr>
            <w:r w:rsidRPr="00BB6CD1">
              <w:rPr>
                <w:rFonts w:ascii="Lato" w:hAnsi="Lato" w:cstheme="minorHAnsi"/>
                <w:sz w:val="18"/>
                <w:szCs w:val="18"/>
              </w:rPr>
              <w:t>15,33</w:t>
            </w:r>
          </w:p>
        </w:tc>
      </w:tr>
      <w:tr w:rsidR="00986DE0" w:rsidRPr="004B2BBB" w14:paraId="56C6398F" w14:textId="77777777" w:rsidTr="003C7140">
        <w:trPr>
          <w:trHeight w:val="300"/>
          <w:jc w:val="center"/>
        </w:trPr>
        <w:tc>
          <w:tcPr>
            <w:tcW w:w="567" w:type="dxa"/>
            <w:tcBorders>
              <w:top w:val="nil"/>
              <w:left w:val="single" w:sz="8" w:space="0" w:color="auto"/>
              <w:bottom w:val="single" w:sz="4" w:space="0" w:color="auto"/>
              <w:right w:val="nil"/>
            </w:tcBorders>
            <w:noWrap/>
            <w:vAlign w:val="center"/>
          </w:tcPr>
          <w:p w14:paraId="1C79E4EF"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24</w:t>
            </w:r>
          </w:p>
        </w:tc>
        <w:tc>
          <w:tcPr>
            <w:tcW w:w="4961" w:type="dxa"/>
            <w:tcBorders>
              <w:top w:val="nil"/>
              <w:left w:val="single" w:sz="4" w:space="0" w:color="auto"/>
              <w:bottom w:val="single" w:sz="4" w:space="0" w:color="auto"/>
              <w:right w:val="single" w:sz="4" w:space="0" w:color="auto"/>
            </w:tcBorders>
            <w:vAlign w:val="center"/>
            <w:hideMark/>
          </w:tcPr>
          <w:p w14:paraId="0B506E68"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AIDS - Zespół nabytego upośledzenia odporności</w:t>
            </w:r>
          </w:p>
        </w:tc>
        <w:tc>
          <w:tcPr>
            <w:tcW w:w="1151" w:type="dxa"/>
            <w:tcBorders>
              <w:top w:val="nil"/>
              <w:left w:val="nil"/>
              <w:bottom w:val="single" w:sz="4" w:space="0" w:color="auto"/>
              <w:right w:val="single" w:sz="4" w:space="0" w:color="auto"/>
            </w:tcBorders>
            <w:vAlign w:val="center"/>
          </w:tcPr>
          <w:p w14:paraId="27A84D7F"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10</w:t>
            </w:r>
          </w:p>
        </w:tc>
        <w:tc>
          <w:tcPr>
            <w:tcW w:w="1174" w:type="dxa"/>
            <w:tcBorders>
              <w:top w:val="nil"/>
              <w:left w:val="nil"/>
              <w:bottom w:val="single" w:sz="4" w:space="0" w:color="auto"/>
              <w:right w:val="single" w:sz="4" w:space="0" w:color="auto"/>
            </w:tcBorders>
            <w:vAlign w:val="center"/>
          </w:tcPr>
          <w:p w14:paraId="7EB1C013"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0,61</w:t>
            </w:r>
          </w:p>
        </w:tc>
        <w:tc>
          <w:tcPr>
            <w:tcW w:w="1151" w:type="dxa"/>
            <w:tcBorders>
              <w:top w:val="nil"/>
              <w:left w:val="nil"/>
              <w:bottom w:val="single" w:sz="4" w:space="0" w:color="auto"/>
              <w:right w:val="single" w:sz="4" w:space="0" w:color="auto"/>
            </w:tcBorders>
            <w:vAlign w:val="center"/>
          </w:tcPr>
          <w:p w14:paraId="042288ED"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10</w:t>
            </w:r>
          </w:p>
        </w:tc>
        <w:tc>
          <w:tcPr>
            <w:tcW w:w="1174" w:type="dxa"/>
            <w:tcBorders>
              <w:top w:val="nil"/>
              <w:left w:val="nil"/>
              <w:bottom w:val="single" w:sz="4" w:space="0" w:color="auto"/>
              <w:right w:val="single" w:sz="4" w:space="0" w:color="auto"/>
            </w:tcBorders>
            <w:vAlign w:val="center"/>
          </w:tcPr>
          <w:p w14:paraId="3BEB8E7E" w14:textId="77777777" w:rsidR="00986DE0" w:rsidRPr="00BB6CD1" w:rsidRDefault="00986DE0" w:rsidP="003C7140">
            <w:pPr>
              <w:jc w:val="center"/>
              <w:rPr>
                <w:rFonts w:ascii="Lato" w:hAnsi="Lato" w:cstheme="minorHAnsi"/>
                <w:sz w:val="18"/>
                <w:szCs w:val="18"/>
              </w:rPr>
            </w:pPr>
            <w:r w:rsidRPr="00BB6CD1">
              <w:rPr>
                <w:rFonts w:ascii="Lato" w:hAnsi="Lato" w:cstheme="minorHAnsi"/>
                <w:sz w:val="18"/>
                <w:szCs w:val="18"/>
              </w:rPr>
              <w:t>0,62</w:t>
            </w:r>
          </w:p>
        </w:tc>
      </w:tr>
      <w:tr w:rsidR="00986DE0" w:rsidRPr="004B2BBB" w14:paraId="5CC951C0" w14:textId="77777777" w:rsidTr="003C7140">
        <w:trPr>
          <w:trHeight w:val="300"/>
          <w:jc w:val="center"/>
        </w:trPr>
        <w:tc>
          <w:tcPr>
            <w:tcW w:w="567" w:type="dxa"/>
            <w:tcBorders>
              <w:top w:val="nil"/>
              <w:left w:val="single" w:sz="8" w:space="0" w:color="auto"/>
              <w:bottom w:val="single" w:sz="4" w:space="0" w:color="auto"/>
              <w:right w:val="nil"/>
            </w:tcBorders>
            <w:noWrap/>
            <w:vAlign w:val="center"/>
          </w:tcPr>
          <w:p w14:paraId="0D9B0F39"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25</w:t>
            </w:r>
          </w:p>
        </w:tc>
        <w:tc>
          <w:tcPr>
            <w:tcW w:w="4961" w:type="dxa"/>
            <w:tcBorders>
              <w:top w:val="nil"/>
              <w:left w:val="single" w:sz="4" w:space="0" w:color="auto"/>
              <w:bottom w:val="single" w:sz="4" w:space="0" w:color="auto"/>
              <w:right w:val="single" w:sz="4" w:space="0" w:color="auto"/>
            </w:tcBorders>
            <w:vAlign w:val="center"/>
            <w:hideMark/>
          </w:tcPr>
          <w:p w14:paraId="10A3C33E"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Nowo wykryte zakażenia HIV</w:t>
            </w:r>
          </w:p>
        </w:tc>
        <w:tc>
          <w:tcPr>
            <w:tcW w:w="1151" w:type="dxa"/>
            <w:tcBorders>
              <w:top w:val="nil"/>
              <w:left w:val="nil"/>
              <w:bottom w:val="single" w:sz="4" w:space="0" w:color="auto"/>
              <w:right w:val="single" w:sz="4" w:space="0" w:color="auto"/>
            </w:tcBorders>
            <w:vAlign w:val="center"/>
          </w:tcPr>
          <w:p w14:paraId="7585EA93"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107</w:t>
            </w:r>
          </w:p>
        </w:tc>
        <w:tc>
          <w:tcPr>
            <w:tcW w:w="1174" w:type="dxa"/>
            <w:tcBorders>
              <w:top w:val="nil"/>
              <w:left w:val="nil"/>
              <w:bottom w:val="single" w:sz="4" w:space="0" w:color="auto"/>
              <w:right w:val="single" w:sz="4" w:space="0" w:color="auto"/>
            </w:tcBorders>
            <w:vAlign w:val="center"/>
          </w:tcPr>
          <w:p w14:paraId="2D850D6D"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6,58</w:t>
            </w:r>
          </w:p>
        </w:tc>
        <w:tc>
          <w:tcPr>
            <w:tcW w:w="1151" w:type="dxa"/>
            <w:tcBorders>
              <w:top w:val="nil"/>
              <w:left w:val="nil"/>
              <w:bottom w:val="single" w:sz="4" w:space="0" w:color="auto"/>
              <w:right w:val="single" w:sz="4" w:space="0" w:color="auto"/>
            </w:tcBorders>
            <w:vAlign w:val="center"/>
          </w:tcPr>
          <w:p w14:paraId="6460EA88"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142</w:t>
            </w:r>
          </w:p>
        </w:tc>
        <w:tc>
          <w:tcPr>
            <w:tcW w:w="1174" w:type="dxa"/>
            <w:tcBorders>
              <w:top w:val="nil"/>
              <w:left w:val="nil"/>
              <w:bottom w:val="single" w:sz="4" w:space="0" w:color="auto"/>
              <w:right w:val="single" w:sz="4" w:space="0" w:color="auto"/>
            </w:tcBorders>
            <w:vAlign w:val="center"/>
          </w:tcPr>
          <w:p w14:paraId="75125EBC" w14:textId="77777777" w:rsidR="00986DE0" w:rsidRPr="00BB6CD1" w:rsidRDefault="00986DE0" w:rsidP="003C7140">
            <w:pPr>
              <w:jc w:val="center"/>
              <w:rPr>
                <w:rFonts w:ascii="Lato" w:hAnsi="Lato" w:cstheme="minorHAnsi"/>
                <w:sz w:val="18"/>
                <w:szCs w:val="18"/>
              </w:rPr>
            </w:pPr>
            <w:r w:rsidRPr="00BB6CD1">
              <w:rPr>
                <w:rFonts w:ascii="Lato" w:hAnsi="Lato" w:cstheme="minorHAnsi"/>
                <w:sz w:val="18"/>
                <w:szCs w:val="18"/>
              </w:rPr>
              <w:t>8,78</w:t>
            </w:r>
          </w:p>
        </w:tc>
      </w:tr>
      <w:tr w:rsidR="00986DE0" w:rsidRPr="004B2BBB" w14:paraId="636170D4" w14:textId="77777777" w:rsidTr="003C7140">
        <w:trPr>
          <w:trHeight w:val="300"/>
          <w:jc w:val="center"/>
        </w:trPr>
        <w:tc>
          <w:tcPr>
            <w:tcW w:w="567" w:type="dxa"/>
            <w:tcBorders>
              <w:top w:val="nil"/>
              <w:left w:val="single" w:sz="8" w:space="0" w:color="auto"/>
              <w:bottom w:val="single" w:sz="4" w:space="0" w:color="auto"/>
              <w:right w:val="nil"/>
            </w:tcBorders>
            <w:noWrap/>
            <w:vAlign w:val="center"/>
          </w:tcPr>
          <w:p w14:paraId="32520B8B"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26</w:t>
            </w:r>
          </w:p>
        </w:tc>
        <w:tc>
          <w:tcPr>
            <w:tcW w:w="4961" w:type="dxa"/>
            <w:tcBorders>
              <w:top w:val="nil"/>
              <w:left w:val="single" w:sz="4" w:space="0" w:color="auto"/>
              <w:bottom w:val="single" w:sz="4" w:space="0" w:color="auto"/>
              <w:right w:val="single" w:sz="4" w:space="0" w:color="auto"/>
            </w:tcBorders>
            <w:vAlign w:val="center"/>
            <w:hideMark/>
          </w:tcPr>
          <w:p w14:paraId="10919057"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Świnka (nagminne zapalenie przyusznic)</w:t>
            </w:r>
          </w:p>
        </w:tc>
        <w:tc>
          <w:tcPr>
            <w:tcW w:w="1151" w:type="dxa"/>
            <w:tcBorders>
              <w:top w:val="nil"/>
              <w:left w:val="nil"/>
              <w:bottom w:val="single" w:sz="4" w:space="0" w:color="auto"/>
              <w:right w:val="single" w:sz="4" w:space="0" w:color="auto"/>
            </w:tcBorders>
            <w:vAlign w:val="center"/>
          </w:tcPr>
          <w:p w14:paraId="3B5B1FF7"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28</w:t>
            </w:r>
          </w:p>
        </w:tc>
        <w:tc>
          <w:tcPr>
            <w:tcW w:w="1174" w:type="dxa"/>
            <w:tcBorders>
              <w:top w:val="nil"/>
              <w:left w:val="nil"/>
              <w:bottom w:val="single" w:sz="4" w:space="0" w:color="auto"/>
              <w:right w:val="single" w:sz="4" w:space="0" w:color="auto"/>
            </w:tcBorders>
            <w:vAlign w:val="center"/>
          </w:tcPr>
          <w:p w14:paraId="31E60FB6"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1,72</w:t>
            </w:r>
          </w:p>
        </w:tc>
        <w:tc>
          <w:tcPr>
            <w:tcW w:w="1151" w:type="dxa"/>
            <w:tcBorders>
              <w:top w:val="nil"/>
              <w:left w:val="nil"/>
              <w:bottom w:val="single" w:sz="4" w:space="0" w:color="auto"/>
              <w:right w:val="single" w:sz="4" w:space="0" w:color="auto"/>
            </w:tcBorders>
            <w:vAlign w:val="center"/>
          </w:tcPr>
          <w:p w14:paraId="61F58FCF"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26</w:t>
            </w:r>
          </w:p>
        </w:tc>
        <w:tc>
          <w:tcPr>
            <w:tcW w:w="1174" w:type="dxa"/>
            <w:tcBorders>
              <w:top w:val="nil"/>
              <w:left w:val="nil"/>
              <w:bottom w:val="single" w:sz="4" w:space="0" w:color="auto"/>
              <w:right w:val="single" w:sz="4" w:space="0" w:color="auto"/>
            </w:tcBorders>
            <w:vAlign w:val="center"/>
          </w:tcPr>
          <w:p w14:paraId="249AD81C" w14:textId="77777777" w:rsidR="00986DE0" w:rsidRPr="00BB6CD1" w:rsidRDefault="00986DE0" w:rsidP="003C7140">
            <w:pPr>
              <w:jc w:val="center"/>
              <w:rPr>
                <w:rFonts w:ascii="Lato" w:hAnsi="Lato" w:cstheme="minorHAnsi"/>
                <w:sz w:val="18"/>
                <w:szCs w:val="18"/>
              </w:rPr>
            </w:pPr>
            <w:r w:rsidRPr="00BB6CD1">
              <w:rPr>
                <w:rFonts w:ascii="Lato" w:hAnsi="Lato" w:cstheme="minorHAnsi"/>
                <w:sz w:val="18"/>
                <w:szCs w:val="18"/>
              </w:rPr>
              <w:t>1,61</w:t>
            </w:r>
          </w:p>
        </w:tc>
      </w:tr>
      <w:tr w:rsidR="00986DE0" w:rsidRPr="004B2BBB" w14:paraId="05800257" w14:textId="77777777" w:rsidTr="003C7140">
        <w:trPr>
          <w:trHeight w:val="300"/>
          <w:jc w:val="center"/>
        </w:trPr>
        <w:tc>
          <w:tcPr>
            <w:tcW w:w="567" w:type="dxa"/>
            <w:tcBorders>
              <w:top w:val="nil"/>
              <w:left w:val="single" w:sz="8" w:space="0" w:color="auto"/>
              <w:bottom w:val="single" w:sz="4" w:space="0" w:color="auto"/>
              <w:right w:val="nil"/>
            </w:tcBorders>
            <w:noWrap/>
            <w:vAlign w:val="center"/>
          </w:tcPr>
          <w:p w14:paraId="2C3259DF"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27</w:t>
            </w:r>
          </w:p>
        </w:tc>
        <w:tc>
          <w:tcPr>
            <w:tcW w:w="4961" w:type="dxa"/>
            <w:tcBorders>
              <w:top w:val="nil"/>
              <w:left w:val="single" w:sz="4" w:space="0" w:color="auto"/>
              <w:bottom w:val="single" w:sz="4" w:space="0" w:color="auto"/>
              <w:right w:val="single" w:sz="4" w:space="0" w:color="auto"/>
            </w:tcBorders>
            <w:vAlign w:val="center"/>
            <w:hideMark/>
          </w:tcPr>
          <w:p w14:paraId="22AE8639"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Gruźlica</w:t>
            </w:r>
          </w:p>
        </w:tc>
        <w:tc>
          <w:tcPr>
            <w:tcW w:w="1151" w:type="dxa"/>
            <w:tcBorders>
              <w:top w:val="nil"/>
              <w:left w:val="nil"/>
              <w:bottom w:val="single" w:sz="4" w:space="0" w:color="auto"/>
              <w:right w:val="single" w:sz="4" w:space="0" w:color="auto"/>
            </w:tcBorders>
            <w:vAlign w:val="center"/>
          </w:tcPr>
          <w:p w14:paraId="1C5FF3C1"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b/>
                <w:bCs/>
                <w:color w:val="000000" w:themeColor="text1"/>
                <w:sz w:val="18"/>
                <w:szCs w:val="18"/>
              </w:rPr>
              <w:t>197</w:t>
            </w:r>
          </w:p>
        </w:tc>
        <w:tc>
          <w:tcPr>
            <w:tcW w:w="1174" w:type="dxa"/>
            <w:tcBorders>
              <w:top w:val="nil"/>
              <w:left w:val="nil"/>
              <w:bottom w:val="single" w:sz="4" w:space="0" w:color="auto"/>
              <w:right w:val="single" w:sz="4" w:space="0" w:color="auto"/>
            </w:tcBorders>
            <w:vAlign w:val="center"/>
          </w:tcPr>
          <w:p w14:paraId="2816EBB0" w14:textId="77777777" w:rsidR="00986DE0" w:rsidRPr="00C35EAE" w:rsidRDefault="00986DE0" w:rsidP="003C7140">
            <w:pPr>
              <w:jc w:val="center"/>
              <w:rPr>
                <w:rFonts w:ascii="Lato" w:hAnsi="Lato" w:cstheme="minorHAnsi"/>
                <w:color w:val="000000" w:themeColor="text1"/>
                <w:sz w:val="18"/>
                <w:szCs w:val="18"/>
              </w:rPr>
            </w:pPr>
            <w:r w:rsidRPr="00C35EAE">
              <w:rPr>
                <w:rFonts w:ascii="Lato" w:hAnsi="Lato" w:cstheme="minorHAnsi"/>
                <w:color w:val="000000" w:themeColor="text1"/>
                <w:sz w:val="18"/>
                <w:szCs w:val="18"/>
              </w:rPr>
              <w:t>12,11</w:t>
            </w:r>
          </w:p>
        </w:tc>
        <w:tc>
          <w:tcPr>
            <w:tcW w:w="1151" w:type="dxa"/>
            <w:tcBorders>
              <w:top w:val="nil"/>
              <w:left w:val="nil"/>
              <w:bottom w:val="single" w:sz="4" w:space="0" w:color="auto"/>
              <w:right w:val="single" w:sz="4" w:space="0" w:color="auto"/>
            </w:tcBorders>
            <w:vAlign w:val="center"/>
          </w:tcPr>
          <w:p w14:paraId="125C77BC" w14:textId="77777777" w:rsidR="00986DE0" w:rsidRPr="00C35EAE" w:rsidRDefault="00986DE0" w:rsidP="003C7140">
            <w:pPr>
              <w:jc w:val="center"/>
              <w:rPr>
                <w:rFonts w:ascii="Lato" w:hAnsi="Lato" w:cstheme="minorHAnsi"/>
                <w:b/>
                <w:bCs/>
                <w:color w:val="000000" w:themeColor="text1"/>
                <w:sz w:val="18"/>
                <w:szCs w:val="18"/>
              </w:rPr>
            </w:pPr>
            <w:r w:rsidRPr="00C35EAE">
              <w:rPr>
                <w:rFonts w:ascii="Lato" w:hAnsi="Lato" w:cstheme="minorHAnsi"/>
                <w:b/>
                <w:bCs/>
                <w:color w:val="000000" w:themeColor="text1"/>
                <w:sz w:val="18"/>
                <w:szCs w:val="18"/>
              </w:rPr>
              <w:t>178</w:t>
            </w:r>
          </w:p>
        </w:tc>
        <w:tc>
          <w:tcPr>
            <w:tcW w:w="1174" w:type="dxa"/>
            <w:tcBorders>
              <w:top w:val="nil"/>
              <w:left w:val="nil"/>
              <w:bottom w:val="single" w:sz="4" w:space="0" w:color="auto"/>
              <w:right w:val="single" w:sz="4" w:space="0" w:color="auto"/>
            </w:tcBorders>
            <w:vAlign w:val="center"/>
          </w:tcPr>
          <w:p w14:paraId="006A3500" w14:textId="77777777" w:rsidR="00986DE0" w:rsidRPr="00C35EAE" w:rsidRDefault="00986DE0" w:rsidP="003C7140">
            <w:pPr>
              <w:jc w:val="center"/>
              <w:rPr>
                <w:rFonts w:ascii="Lato" w:hAnsi="Lato" w:cstheme="minorHAnsi"/>
                <w:color w:val="EE0000"/>
                <w:sz w:val="18"/>
                <w:szCs w:val="18"/>
              </w:rPr>
            </w:pPr>
            <w:r w:rsidRPr="00C35EAE">
              <w:rPr>
                <w:rFonts w:ascii="Lato" w:hAnsi="Lato" w:cstheme="minorHAnsi"/>
                <w:sz w:val="18"/>
                <w:szCs w:val="18"/>
              </w:rPr>
              <w:t>11,01</w:t>
            </w:r>
          </w:p>
        </w:tc>
      </w:tr>
      <w:tr w:rsidR="00986DE0" w:rsidRPr="004B2BBB" w14:paraId="52C2D9B3" w14:textId="77777777" w:rsidTr="003C7140">
        <w:trPr>
          <w:trHeight w:val="300"/>
          <w:jc w:val="center"/>
        </w:trPr>
        <w:tc>
          <w:tcPr>
            <w:tcW w:w="567" w:type="dxa"/>
            <w:tcBorders>
              <w:top w:val="nil"/>
              <w:left w:val="single" w:sz="8" w:space="0" w:color="auto"/>
              <w:bottom w:val="single" w:sz="4" w:space="0" w:color="auto"/>
              <w:right w:val="nil"/>
            </w:tcBorders>
            <w:noWrap/>
            <w:vAlign w:val="center"/>
          </w:tcPr>
          <w:p w14:paraId="1AE68612"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28</w:t>
            </w:r>
          </w:p>
        </w:tc>
        <w:tc>
          <w:tcPr>
            <w:tcW w:w="4961" w:type="dxa"/>
            <w:tcBorders>
              <w:top w:val="nil"/>
              <w:left w:val="single" w:sz="4" w:space="0" w:color="auto"/>
              <w:bottom w:val="single" w:sz="4" w:space="0" w:color="auto"/>
              <w:right w:val="single" w:sz="4" w:space="0" w:color="auto"/>
            </w:tcBorders>
            <w:vAlign w:val="center"/>
            <w:hideMark/>
          </w:tcPr>
          <w:p w14:paraId="18B223EF"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 xml:space="preserve">Choroba wywołana przez </w:t>
            </w:r>
            <w:proofErr w:type="spellStart"/>
            <w:r w:rsidRPr="00C35EAE">
              <w:rPr>
                <w:rFonts w:ascii="Lato" w:hAnsi="Lato" w:cstheme="minorHAnsi"/>
                <w:i/>
                <w:iCs/>
                <w:sz w:val="18"/>
                <w:szCs w:val="18"/>
              </w:rPr>
              <w:t>Streptococcus</w:t>
            </w:r>
            <w:proofErr w:type="spellEnd"/>
            <w:r w:rsidRPr="00C35EAE">
              <w:rPr>
                <w:rFonts w:ascii="Lato" w:hAnsi="Lato" w:cstheme="minorHAnsi"/>
                <w:i/>
                <w:iCs/>
                <w:sz w:val="18"/>
                <w:szCs w:val="18"/>
              </w:rPr>
              <w:t xml:space="preserve"> </w:t>
            </w:r>
            <w:proofErr w:type="spellStart"/>
            <w:r w:rsidRPr="00C35EAE">
              <w:rPr>
                <w:rFonts w:ascii="Lato" w:hAnsi="Lato" w:cstheme="minorHAnsi"/>
                <w:i/>
                <w:iCs/>
                <w:sz w:val="18"/>
                <w:szCs w:val="18"/>
              </w:rPr>
              <w:t>pneumoniae</w:t>
            </w:r>
            <w:proofErr w:type="spellEnd"/>
          </w:p>
        </w:tc>
        <w:tc>
          <w:tcPr>
            <w:tcW w:w="1151" w:type="dxa"/>
            <w:tcBorders>
              <w:top w:val="nil"/>
              <w:left w:val="nil"/>
              <w:bottom w:val="single" w:sz="4" w:space="0" w:color="auto"/>
              <w:right w:val="single" w:sz="4" w:space="0" w:color="auto"/>
            </w:tcBorders>
            <w:vAlign w:val="center"/>
          </w:tcPr>
          <w:p w14:paraId="051955A4"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262</w:t>
            </w:r>
          </w:p>
        </w:tc>
        <w:tc>
          <w:tcPr>
            <w:tcW w:w="1174" w:type="dxa"/>
            <w:tcBorders>
              <w:top w:val="nil"/>
              <w:left w:val="nil"/>
              <w:bottom w:val="single" w:sz="4" w:space="0" w:color="auto"/>
              <w:right w:val="single" w:sz="4" w:space="0" w:color="auto"/>
            </w:tcBorders>
            <w:vAlign w:val="center"/>
          </w:tcPr>
          <w:p w14:paraId="37F72D30"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16,10</w:t>
            </w:r>
          </w:p>
        </w:tc>
        <w:tc>
          <w:tcPr>
            <w:tcW w:w="1151" w:type="dxa"/>
            <w:tcBorders>
              <w:top w:val="nil"/>
              <w:left w:val="nil"/>
              <w:bottom w:val="single" w:sz="4" w:space="0" w:color="auto"/>
              <w:right w:val="single" w:sz="4" w:space="0" w:color="auto"/>
            </w:tcBorders>
            <w:vAlign w:val="center"/>
          </w:tcPr>
          <w:p w14:paraId="208D59E7" w14:textId="77777777" w:rsidR="00986DE0" w:rsidRPr="009647DB" w:rsidRDefault="00986DE0" w:rsidP="003C7140">
            <w:pPr>
              <w:jc w:val="center"/>
              <w:rPr>
                <w:rFonts w:ascii="Lato" w:hAnsi="Lato" w:cstheme="minorHAnsi"/>
                <w:b/>
                <w:bCs/>
                <w:sz w:val="18"/>
                <w:szCs w:val="18"/>
              </w:rPr>
            </w:pPr>
            <w:r w:rsidRPr="009647DB">
              <w:rPr>
                <w:rFonts w:ascii="Lato" w:hAnsi="Lato" w:cstheme="minorHAnsi"/>
                <w:b/>
                <w:bCs/>
                <w:sz w:val="18"/>
                <w:szCs w:val="18"/>
              </w:rPr>
              <w:t>228</w:t>
            </w:r>
          </w:p>
        </w:tc>
        <w:tc>
          <w:tcPr>
            <w:tcW w:w="1174" w:type="dxa"/>
            <w:tcBorders>
              <w:top w:val="nil"/>
              <w:left w:val="nil"/>
              <w:bottom w:val="single" w:sz="4" w:space="0" w:color="auto"/>
              <w:right w:val="single" w:sz="4" w:space="0" w:color="auto"/>
            </w:tcBorders>
            <w:vAlign w:val="center"/>
          </w:tcPr>
          <w:p w14:paraId="69BEAB69" w14:textId="77777777" w:rsidR="00986DE0" w:rsidRPr="009647DB" w:rsidRDefault="00986DE0" w:rsidP="003C7140">
            <w:pPr>
              <w:jc w:val="center"/>
              <w:rPr>
                <w:rFonts w:ascii="Lato" w:hAnsi="Lato" w:cstheme="minorHAnsi"/>
                <w:sz w:val="18"/>
                <w:szCs w:val="18"/>
              </w:rPr>
            </w:pPr>
            <w:r w:rsidRPr="009647DB">
              <w:rPr>
                <w:rFonts w:ascii="Lato" w:hAnsi="Lato" w:cstheme="minorHAnsi"/>
                <w:sz w:val="18"/>
                <w:szCs w:val="18"/>
              </w:rPr>
              <w:t>14,10</w:t>
            </w:r>
          </w:p>
        </w:tc>
      </w:tr>
      <w:tr w:rsidR="00986DE0" w:rsidRPr="004B2BBB" w14:paraId="3FC3C666" w14:textId="77777777" w:rsidTr="003C7140">
        <w:trPr>
          <w:trHeight w:val="300"/>
          <w:jc w:val="center"/>
        </w:trPr>
        <w:tc>
          <w:tcPr>
            <w:tcW w:w="567" w:type="dxa"/>
            <w:tcBorders>
              <w:top w:val="nil"/>
              <w:left w:val="single" w:sz="8" w:space="0" w:color="auto"/>
              <w:bottom w:val="single" w:sz="4" w:space="0" w:color="auto"/>
              <w:right w:val="nil"/>
            </w:tcBorders>
            <w:noWrap/>
            <w:vAlign w:val="center"/>
          </w:tcPr>
          <w:p w14:paraId="182679DA" w14:textId="77777777" w:rsidR="00986DE0" w:rsidRPr="00C35EAE" w:rsidRDefault="00986DE0" w:rsidP="003C7140">
            <w:pPr>
              <w:jc w:val="center"/>
              <w:rPr>
                <w:rFonts w:ascii="Lato" w:hAnsi="Lato" w:cstheme="minorHAnsi"/>
                <w:color w:val="EE0000"/>
                <w:sz w:val="18"/>
                <w:szCs w:val="18"/>
              </w:rPr>
            </w:pPr>
            <w:r w:rsidRPr="00C35EAE">
              <w:rPr>
                <w:rFonts w:ascii="Lato" w:hAnsi="Lato" w:cstheme="minorHAnsi"/>
                <w:sz w:val="18"/>
                <w:szCs w:val="18"/>
              </w:rPr>
              <w:t>29</w:t>
            </w:r>
          </w:p>
        </w:tc>
        <w:tc>
          <w:tcPr>
            <w:tcW w:w="4961" w:type="dxa"/>
            <w:tcBorders>
              <w:top w:val="nil"/>
              <w:left w:val="single" w:sz="4" w:space="0" w:color="auto"/>
              <w:bottom w:val="single" w:sz="4" w:space="0" w:color="auto"/>
              <w:right w:val="single" w:sz="4" w:space="0" w:color="auto"/>
            </w:tcBorders>
            <w:vAlign w:val="center"/>
            <w:hideMark/>
          </w:tcPr>
          <w:p w14:paraId="171D6129"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 xml:space="preserve">Choroba wywołana przez </w:t>
            </w:r>
            <w:proofErr w:type="spellStart"/>
            <w:r w:rsidRPr="00C35EAE">
              <w:rPr>
                <w:rFonts w:ascii="Lato" w:hAnsi="Lato" w:cstheme="minorHAnsi"/>
                <w:i/>
                <w:iCs/>
                <w:sz w:val="18"/>
                <w:szCs w:val="18"/>
              </w:rPr>
              <w:t>Haemophilus</w:t>
            </w:r>
            <w:proofErr w:type="spellEnd"/>
            <w:r w:rsidRPr="00C35EAE">
              <w:rPr>
                <w:rFonts w:ascii="Lato" w:hAnsi="Lato" w:cstheme="minorHAnsi"/>
                <w:i/>
                <w:iCs/>
                <w:sz w:val="18"/>
                <w:szCs w:val="18"/>
              </w:rPr>
              <w:t xml:space="preserve"> </w:t>
            </w:r>
            <w:proofErr w:type="spellStart"/>
            <w:r w:rsidRPr="00C35EAE">
              <w:rPr>
                <w:rFonts w:ascii="Lato" w:hAnsi="Lato" w:cstheme="minorHAnsi"/>
                <w:i/>
                <w:iCs/>
                <w:sz w:val="18"/>
                <w:szCs w:val="18"/>
              </w:rPr>
              <w:t>influenzae</w:t>
            </w:r>
            <w:proofErr w:type="spellEnd"/>
            <w:r w:rsidRPr="00C35EAE">
              <w:rPr>
                <w:rFonts w:ascii="Lato" w:hAnsi="Lato" w:cstheme="minorHAnsi"/>
                <w:sz w:val="18"/>
                <w:szCs w:val="18"/>
              </w:rPr>
              <w:t xml:space="preserve"> typ B</w:t>
            </w:r>
          </w:p>
        </w:tc>
        <w:tc>
          <w:tcPr>
            <w:tcW w:w="1151" w:type="dxa"/>
            <w:tcBorders>
              <w:top w:val="nil"/>
              <w:left w:val="nil"/>
              <w:bottom w:val="single" w:sz="4" w:space="0" w:color="auto"/>
              <w:right w:val="single" w:sz="4" w:space="0" w:color="auto"/>
            </w:tcBorders>
            <w:vAlign w:val="center"/>
          </w:tcPr>
          <w:p w14:paraId="5D2527E0"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23</w:t>
            </w:r>
          </w:p>
        </w:tc>
        <w:tc>
          <w:tcPr>
            <w:tcW w:w="1174" w:type="dxa"/>
            <w:tcBorders>
              <w:top w:val="nil"/>
              <w:left w:val="nil"/>
              <w:bottom w:val="single" w:sz="4" w:space="0" w:color="auto"/>
              <w:right w:val="single" w:sz="4" w:space="0" w:color="auto"/>
            </w:tcBorders>
            <w:vAlign w:val="center"/>
          </w:tcPr>
          <w:p w14:paraId="7577AF3D"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1,41</w:t>
            </w:r>
          </w:p>
        </w:tc>
        <w:tc>
          <w:tcPr>
            <w:tcW w:w="1151" w:type="dxa"/>
            <w:tcBorders>
              <w:top w:val="nil"/>
              <w:left w:val="nil"/>
              <w:bottom w:val="single" w:sz="4" w:space="0" w:color="auto"/>
              <w:right w:val="single" w:sz="4" w:space="0" w:color="auto"/>
            </w:tcBorders>
            <w:vAlign w:val="center"/>
          </w:tcPr>
          <w:p w14:paraId="0B8AA276" w14:textId="77777777" w:rsidR="00986DE0" w:rsidRPr="009647DB" w:rsidRDefault="00986DE0" w:rsidP="003C7140">
            <w:pPr>
              <w:jc w:val="center"/>
              <w:rPr>
                <w:rFonts w:ascii="Lato" w:hAnsi="Lato" w:cstheme="minorHAnsi"/>
                <w:b/>
                <w:bCs/>
                <w:sz w:val="18"/>
                <w:szCs w:val="18"/>
              </w:rPr>
            </w:pPr>
            <w:r w:rsidRPr="009647DB">
              <w:rPr>
                <w:rFonts w:ascii="Lato" w:hAnsi="Lato" w:cstheme="minorHAnsi"/>
                <w:b/>
                <w:bCs/>
                <w:sz w:val="18"/>
                <w:szCs w:val="18"/>
              </w:rPr>
              <w:t>23</w:t>
            </w:r>
          </w:p>
        </w:tc>
        <w:tc>
          <w:tcPr>
            <w:tcW w:w="1174" w:type="dxa"/>
            <w:tcBorders>
              <w:top w:val="nil"/>
              <w:left w:val="nil"/>
              <w:bottom w:val="single" w:sz="4" w:space="0" w:color="auto"/>
              <w:right w:val="single" w:sz="4" w:space="0" w:color="auto"/>
            </w:tcBorders>
            <w:vAlign w:val="center"/>
          </w:tcPr>
          <w:p w14:paraId="6087408A" w14:textId="77777777" w:rsidR="00986DE0" w:rsidRPr="009647DB" w:rsidRDefault="00986DE0" w:rsidP="003C7140">
            <w:pPr>
              <w:jc w:val="center"/>
              <w:rPr>
                <w:rFonts w:ascii="Lato" w:hAnsi="Lato" w:cstheme="minorHAnsi"/>
                <w:sz w:val="18"/>
                <w:szCs w:val="18"/>
              </w:rPr>
            </w:pPr>
            <w:r w:rsidRPr="009647DB">
              <w:rPr>
                <w:rFonts w:ascii="Lato" w:hAnsi="Lato" w:cstheme="minorHAnsi"/>
                <w:sz w:val="18"/>
                <w:szCs w:val="18"/>
              </w:rPr>
              <w:t>1,42</w:t>
            </w:r>
          </w:p>
        </w:tc>
      </w:tr>
      <w:tr w:rsidR="00986DE0" w:rsidRPr="004B2BBB" w14:paraId="38388CA6" w14:textId="77777777" w:rsidTr="003C7140">
        <w:trPr>
          <w:trHeight w:val="300"/>
          <w:jc w:val="center"/>
        </w:trPr>
        <w:tc>
          <w:tcPr>
            <w:tcW w:w="567" w:type="dxa"/>
            <w:tcBorders>
              <w:top w:val="nil"/>
              <w:left w:val="single" w:sz="8" w:space="0" w:color="auto"/>
              <w:bottom w:val="single" w:sz="4" w:space="0" w:color="auto"/>
              <w:right w:val="nil"/>
            </w:tcBorders>
            <w:noWrap/>
            <w:vAlign w:val="center"/>
          </w:tcPr>
          <w:p w14:paraId="549F0FD8"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30</w:t>
            </w:r>
          </w:p>
        </w:tc>
        <w:tc>
          <w:tcPr>
            <w:tcW w:w="4961" w:type="dxa"/>
            <w:tcBorders>
              <w:top w:val="nil"/>
              <w:left w:val="single" w:sz="4" w:space="0" w:color="auto"/>
              <w:bottom w:val="single" w:sz="4" w:space="0" w:color="auto"/>
              <w:right w:val="single" w:sz="4" w:space="0" w:color="auto"/>
            </w:tcBorders>
            <w:vAlign w:val="center"/>
            <w:hideMark/>
          </w:tcPr>
          <w:p w14:paraId="752FB4AC"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Bakteryjne zapalenie opon mózgowych i/lub mózgu w tym neuroborelioza</w:t>
            </w:r>
          </w:p>
        </w:tc>
        <w:tc>
          <w:tcPr>
            <w:tcW w:w="1151" w:type="dxa"/>
            <w:tcBorders>
              <w:top w:val="nil"/>
              <w:left w:val="nil"/>
              <w:bottom w:val="single" w:sz="4" w:space="0" w:color="auto"/>
              <w:right w:val="single" w:sz="4" w:space="0" w:color="auto"/>
            </w:tcBorders>
            <w:vAlign w:val="center"/>
          </w:tcPr>
          <w:p w14:paraId="42331735"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50</w:t>
            </w:r>
          </w:p>
        </w:tc>
        <w:tc>
          <w:tcPr>
            <w:tcW w:w="1174" w:type="dxa"/>
            <w:tcBorders>
              <w:top w:val="nil"/>
              <w:left w:val="nil"/>
              <w:bottom w:val="single" w:sz="4" w:space="0" w:color="auto"/>
              <w:right w:val="single" w:sz="4" w:space="0" w:color="auto"/>
            </w:tcBorders>
            <w:vAlign w:val="center"/>
          </w:tcPr>
          <w:p w14:paraId="3D0E154F"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3,07</w:t>
            </w:r>
          </w:p>
        </w:tc>
        <w:tc>
          <w:tcPr>
            <w:tcW w:w="1151" w:type="dxa"/>
            <w:tcBorders>
              <w:top w:val="nil"/>
              <w:left w:val="nil"/>
              <w:bottom w:val="single" w:sz="4" w:space="0" w:color="auto"/>
              <w:right w:val="single" w:sz="4" w:space="0" w:color="auto"/>
            </w:tcBorders>
            <w:vAlign w:val="center"/>
          </w:tcPr>
          <w:p w14:paraId="6054555C" w14:textId="77777777" w:rsidR="00986DE0" w:rsidRPr="009647DB" w:rsidRDefault="00986DE0" w:rsidP="003C7140">
            <w:pPr>
              <w:jc w:val="center"/>
              <w:rPr>
                <w:rFonts w:ascii="Lato" w:hAnsi="Lato" w:cstheme="minorHAnsi"/>
                <w:b/>
                <w:bCs/>
                <w:sz w:val="18"/>
                <w:szCs w:val="18"/>
              </w:rPr>
            </w:pPr>
            <w:r w:rsidRPr="009647DB">
              <w:rPr>
                <w:rFonts w:ascii="Lato" w:hAnsi="Lato" w:cstheme="minorHAnsi"/>
                <w:b/>
                <w:bCs/>
                <w:sz w:val="18"/>
                <w:szCs w:val="18"/>
              </w:rPr>
              <w:t>66</w:t>
            </w:r>
          </w:p>
        </w:tc>
        <w:tc>
          <w:tcPr>
            <w:tcW w:w="1174" w:type="dxa"/>
            <w:tcBorders>
              <w:top w:val="nil"/>
              <w:left w:val="nil"/>
              <w:bottom w:val="single" w:sz="4" w:space="0" w:color="auto"/>
              <w:right w:val="single" w:sz="4" w:space="0" w:color="auto"/>
            </w:tcBorders>
            <w:vAlign w:val="center"/>
          </w:tcPr>
          <w:p w14:paraId="1E5B8636" w14:textId="77777777" w:rsidR="00986DE0" w:rsidRPr="009647DB" w:rsidRDefault="00986DE0" w:rsidP="003C7140">
            <w:pPr>
              <w:jc w:val="center"/>
              <w:rPr>
                <w:rFonts w:ascii="Lato" w:hAnsi="Lato" w:cstheme="minorHAnsi"/>
                <w:sz w:val="18"/>
                <w:szCs w:val="18"/>
              </w:rPr>
            </w:pPr>
            <w:r w:rsidRPr="009647DB">
              <w:rPr>
                <w:rFonts w:ascii="Lato" w:hAnsi="Lato" w:cstheme="minorHAnsi"/>
                <w:sz w:val="18"/>
                <w:szCs w:val="18"/>
              </w:rPr>
              <w:t>4,08</w:t>
            </w:r>
          </w:p>
        </w:tc>
      </w:tr>
      <w:tr w:rsidR="00986DE0" w:rsidRPr="004B2BBB" w14:paraId="5C305FFD" w14:textId="77777777" w:rsidTr="00380507">
        <w:trPr>
          <w:trHeight w:val="300"/>
          <w:jc w:val="center"/>
        </w:trPr>
        <w:tc>
          <w:tcPr>
            <w:tcW w:w="567" w:type="dxa"/>
            <w:tcBorders>
              <w:top w:val="single" w:sz="4" w:space="0" w:color="auto"/>
              <w:left w:val="single" w:sz="8" w:space="0" w:color="auto"/>
              <w:bottom w:val="single" w:sz="4" w:space="0" w:color="auto"/>
              <w:right w:val="nil"/>
            </w:tcBorders>
            <w:noWrap/>
            <w:vAlign w:val="center"/>
          </w:tcPr>
          <w:p w14:paraId="6C789DA2"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32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A444E2E"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Zapalenie opon mózgowych inne i nieokreślone</w:t>
            </w:r>
          </w:p>
        </w:tc>
        <w:tc>
          <w:tcPr>
            <w:tcW w:w="1151" w:type="dxa"/>
            <w:tcBorders>
              <w:top w:val="single" w:sz="4" w:space="0" w:color="auto"/>
              <w:left w:val="nil"/>
              <w:bottom w:val="single" w:sz="4" w:space="0" w:color="auto"/>
              <w:right w:val="single" w:sz="4" w:space="0" w:color="auto"/>
            </w:tcBorders>
            <w:vAlign w:val="center"/>
          </w:tcPr>
          <w:p w14:paraId="59781E24"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24</w:t>
            </w:r>
          </w:p>
        </w:tc>
        <w:tc>
          <w:tcPr>
            <w:tcW w:w="1174" w:type="dxa"/>
            <w:tcBorders>
              <w:top w:val="single" w:sz="4" w:space="0" w:color="auto"/>
              <w:left w:val="nil"/>
              <w:bottom w:val="single" w:sz="4" w:space="0" w:color="auto"/>
              <w:right w:val="single" w:sz="4" w:space="0" w:color="auto"/>
            </w:tcBorders>
            <w:vAlign w:val="center"/>
          </w:tcPr>
          <w:p w14:paraId="70292657"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1,48</w:t>
            </w:r>
          </w:p>
        </w:tc>
        <w:tc>
          <w:tcPr>
            <w:tcW w:w="1151" w:type="dxa"/>
            <w:tcBorders>
              <w:top w:val="single" w:sz="4" w:space="0" w:color="auto"/>
              <w:left w:val="nil"/>
              <w:bottom w:val="single" w:sz="4" w:space="0" w:color="auto"/>
              <w:right w:val="single" w:sz="4" w:space="0" w:color="auto"/>
            </w:tcBorders>
            <w:vAlign w:val="center"/>
          </w:tcPr>
          <w:p w14:paraId="75B0BA95"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2</w:t>
            </w:r>
            <w:r>
              <w:rPr>
                <w:rFonts w:ascii="Lato" w:hAnsi="Lato" w:cstheme="minorHAnsi"/>
                <w:b/>
                <w:bCs/>
                <w:sz w:val="18"/>
                <w:szCs w:val="18"/>
              </w:rPr>
              <w:t>1</w:t>
            </w:r>
          </w:p>
        </w:tc>
        <w:tc>
          <w:tcPr>
            <w:tcW w:w="1174" w:type="dxa"/>
            <w:tcBorders>
              <w:top w:val="single" w:sz="4" w:space="0" w:color="auto"/>
              <w:left w:val="nil"/>
              <w:bottom w:val="single" w:sz="4" w:space="0" w:color="auto"/>
              <w:right w:val="single" w:sz="4" w:space="0" w:color="auto"/>
            </w:tcBorders>
            <w:vAlign w:val="center"/>
          </w:tcPr>
          <w:p w14:paraId="17F2E463" w14:textId="77777777" w:rsidR="00986DE0" w:rsidRPr="00C35EAE" w:rsidRDefault="00986DE0" w:rsidP="003C7140">
            <w:pPr>
              <w:jc w:val="center"/>
              <w:rPr>
                <w:rFonts w:ascii="Lato" w:hAnsi="Lato" w:cstheme="minorHAnsi"/>
                <w:color w:val="EE0000"/>
                <w:sz w:val="18"/>
                <w:szCs w:val="18"/>
              </w:rPr>
            </w:pPr>
            <w:r w:rsidRPr="00CF00AE">
              <w:rPr>
                <w:rFonts w:ascii="Lato" w:hAnsi="Lato" w:cstheme="minorHAnsi"/>
                <w:sz w:val="18"/>
                <w:szCs w:val="18"/>
              </w:rPr>
              <w:t>1,30</w:t>
            </w:r>
          </w:p>
        </w:tc>
      </w:tr>
      <w:tr w:rsidR="00986DE0" w:rsidRPr="004B2BBB" w14:paraId="26EB4E78" w14:textId="77777777" w:rsidTr="003C7140">
        <w:trPr>
          <w:trHeight w:val="392"/>
          <w:jc w:val="center"/>
        </w:trPr>
        <w:tc>
          <w:tcPr>
            <w:tcW w:w="567" w:type="dxa"/>
            <w:tcBorders>
              <w:top w:val="nil"/>
              <w:left w:val="single" w:sz="8" w:space="0" w:color="auto"/>
              <w:bottom w:val="single" w:sz="4" w:space="0" w:color="auto"/>
              <w:right w:val="nil"/>
            </w:tcBorders>
            <w:noWrap/>
            <w:vAlign w:val="center"/>
          </w:tcPr>
          <w:p w14:paraId="46DF4553" w14:textId="77777777" w:rsidR="00986DE0" w:rsidRPr="00C35EAE" w:rsidRDefault="00986DE0" w:rsidP="003C7140">
            <w:pPr>
              <w:jc w:val="center"/>
              <w:rPr>
                <w:rFonts w:ascii="Lato" w:hAnsi="Lato" w:cstheme="minorHAnsi"/>
                <w:color w:val="EE0000"/>
                <w:sz w:val="18"/>
                <w:szCs w:val="18"/>
              </w:rPr>
            </w:pPr>
            <w:r w:rsidRPr="00C35EAE">
              <w:rPr>
                <w:rFonts w:ascii="Lato" w:hAnsi="Lato" w:cstheme="minorHAnsi"/>
                <w:sz w:val="18"/>
                <w:szCs w:val="18"/>
              </w:rPr>
              <w:t>33</w:t>
            </w:r>
          </w:p>
        </w:tc>
        <w:tc>
          <w:tcPr>
            <w:tcW w:w="4961" w:type="dxa"/>
            <w:tcBorders>
              <w:top w:val="nil"/>
              <w:left w:val="single" w:sz="4" w:space="0" w:color="auto"/>
              <w:bottom w:val="single" w:sz="4" w:space="0" w:color="auto"/>
              <w:right w:val="single" w:sz="4" w:space="0" w:color="auto"/>
            </w:tcBorders>
            <w:vAlign w:val="center"/>
            <w:hideMark/>
          </w:tcPr>
          <w:p w14:paraId="7E7367E0"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Zakażenia SARS-CoV-2 (COVID-19) - przypadki potwierdzone</w:t>
            </w:r>
          </w:p>
        </w:tc>
        <w:tc>
          <w:tcPr>
            <w:tcW w:w="1151" w:type="dxa"/>
            <w:tcBorders>
              <w:top w:val="nil"/>
              <w:left w:val="nil"/>
              <w:bottom w:val="single" w:sz="4" w:space="0" w:color="auto"/>
              <w:right w:val="single" w:sz="4" w:space="0" w:color="auto"/>
            </w:tcBorders>
            <w:vAlign w:val="center"/>
          </w:tcPr>
          <w:p w14:paraId="2C64FDB4"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8775</w:t>
            </w:r>
          </w:p>
        </w:tc>
        <w:tc>
          <w:tcPr>
            <w:tcW w:w="1174" w:type="dxa"/>
            <w:tcBorders>
              <w:top w:val="nil"/>
              <w:left w:val="nil"/>
              <w:bottom w:val="single" w:sz="4" w:space="0" w:color="auto"/>
              <w:right w:val="single" w:sz="4" w:space="0" w:color="auto"/>
            </w:tcBorders>
            <w:vAlign w:val="center"/>
          </w:tcPr>
          <w:p w14:paraId="3965A9A6"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539,38</w:t>
            </w:r>
          </w:p>
        </w:tc>
        <w:tc>
          <w:tcPr>
            <w:tcW w:w="1151" w:type="dxa"/>
            <w:tcBorders>
              <w:top w:val="nil"/>
              <w:left w:val="nil"/>
              <w:bottom w:val="single" w:sz="4" w:space="0" w:color="auto"/>
              <w:right w:val="single" w:sz="4" w:space="0" w:color="auto"/>
            </w:tcBorders>
            <w:vAlign w:val="center"/>
          </w:tcPr>
          <w:p w14:paraId="0C2A152F"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6856</w:t>
            </w:r>
          </w:p>
        </w:tc>
        <w:tc>
          <w:tcPr>
            <w:tcW w:w="1174" w:type="dxa"/>
            <w:tcBorders>
              <w:top w:val="nil"/>
              <w:left w:val="nil"/>
              <w:bottom w:val="single" w:sz="4" w:space="0" w:color="auto"/>
              <w:right w:val="single" w:sz="4" w:space="0" w:color="auto"/>
            </w:tcBorders>
            <w:vAlign w:val="center"/>
          </w:tcPr>
          <w:p w14:paraId="457B5150" w14:textId="77777777" w:rsidR="00986DE0" w:rsidRPr="00C35EAE" w:rsidRDefault="00986DE0" w:rsidP="003C7140">
            <w:pPr>
              <w:jc w:val="center"/>
              <w:rPr>
                <w:rFonts w:ascii="Lato" w:hAnsi="Lato" w:cstheme="minorHAnsi"/>
                <w:color w:val="EE0000"/>
                <w:sz w:val="18"/>
                <w:szCs w:val="18"/>
              </w:rPr>
            </w:pPr>
            <w:r w:rsidRPr="00DD1E27">
              <w:rPr>
                <w:rFonts w:ascii="Lato" w:hAnsi="Lato" w:cstheme="minorHAnsi"/>
                <w:sz w:val="18"/>
                <w:szCs w:val="18"/>
              </w:rPr>
              <w:t>423,89</w:t>
            </w:r>
          </w:p>
        </w:tc>
      </w:tr>
      <w:tr w:rsidR="00986DE0" w:rsidRPr="004B2BBB" w14:paraId="76120F02" w14:textId="77777777" w:rsidTr="003C7140">
        <w:trPr>
          <w:trHeight w:val="300"/>
          <w:jc w:val="center"/>
        </w:trPr>
        <w:tc>
          <w:tcPr>
            <w:tcW w:w="567" w:type="dxa"/>
            <w:tcBorders>
              <w:top w:val="nil"/>
              <w:left w:val="single" w:sz="8" w:space="0" w:color="auto"/>
              <w:bottom w:val="single" w:sz="4" w:space="0" w:color="auto"/>
              <w:right w:val="nil"/>
            </w:tcBorders>
            <w:noWrap/>
            <w:vAlign w:val="center"/>
          </w:tcPr>
          <w:p w14:paraId="2C2E145B"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34</w:t>
            </w:r>
          </w:p>
        </w:tc>
        <w:tc>
          <w:tcPr>
            <w:tcW w:w="4961" w:type="dxa"/>
            <w:tcBorders>
              <w:top w:val="nil"/>
              <w:left w:val="single" w:sz="4" w:space="0" w:color="auto"/>
              <w:bottom w:val="single" w:sz="4" w:space="0" w:color="auto"/>
              <w:right w:val="single" w:sz="4" w:space="0" w:color="auto"/>
            </w:tcBorders>
            <w:vAlign w:val="center"/>
            <w:hideMark/>
          </w:tcPr>
          <w:p w14:paraId="7ECFBAD3"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Ospa małpia (rejestracja od 2022 r.)</w:t>
            </w:r>
          </w:p>
        </w:tc>
        <w:tc>
          <w:tcPr>
            <w:tcW w:w="1151" w:type="dxa"/>
            <w:tcBorders>
              <w:top w:val="nil"/>
              <w:left w:val="nil"/>
              <w:bottom w:val="single" w:sz="4" w:space="0" w:color="auto"/>
              <w:right w:val="single" w:sz="4" w:space="0" w:color="auto"/>
            </w:tcBorders>
            <w:vAlign w:val="center"/>
          </w:tcPr>
          <w:p w14:paraId="023F33B5"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0</w:t>
            </w:r>
          </w:p>
        </w:tc>
        <w:tc>
          <w:tcPr>
            <w:tcW w:w="1174" w:type="dxa"/>
            <w:tcBorders>
              <w:top w:val="nil"/>
              <w:left w:val="nil"/>
              <w:bottom w:val="single" w:sz="4" w:space="0" w:color="auto"/>
              <w:right w:val="single" w:sz="4" w:space="0" w:color="auto"/>
            </w:tcBorders>
            <w:vAlign w:val="center"/>
          </w:tcPr>
          <w:p w14:paraId="4DAF4E64"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w:t>
            </w:r>
          </w:p>
        </w:tc>
        <w:tc>
          <w:tcPr>
            <w:tcW w:w="1151" w:type="dxa"/>
            <w:tcBorders>
              <w:top w:val="nil"/>
              <w:left w:val="nil"/>
              <w:bottom w:val="single" w:sz="4" w:space="0" w:color="auto"/>
              <w:right w:val="single" w:sz="4" w:space="0" w:color="auto"/>
            </w:tcBorders>
            <w:vAlign w:val="center"/>
          </w:tcPr>
          <w:p w14:paraId="595F2F8A"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0</w:t>
            </w:r>
          </w:p>
        </w:tc>
        <w:tc>
          <w:tcPr>
            <w:tcW w:w="1174" w:type="dxa"/>
            <w:tcBorders>
              <w:top w:val="nil"/>
              <w:left w:val="nil"/>
              <w:bottom w:val="single" w:sz="4" w:space="0" w:color="auto"/>
              <w:right w:val="single" w:sz="4" w:space="0" w:color="auto"/>
            </w:tcBorders>
            <w:vAlign w:val="center"/>
          </w:tcPr>
          <w:p w14:paraId="33AFB07A" w14:textId="77777777" w:rsidR="00986DE0" w:rsidRPr="00C35EAE" w:rsidRDefault="00986DE0" w:rsidP="003C7140">
            <w:pPr>
              <w:jc w:val="center"/>
              <w:rPr>
                <w:rFonts w:ascii="Lato" w:hAnsi="Lato" w:cstheme="minorHAnsi"/>
                <w:sz w:val="18"/>
                <w:szCs w:val="18"/>
              </w:rPr>
            </w:pPr>
            <w:r w:rsidRPr="00D34FD6">
              <w:rPr>
                <w:rFonts w:ascii="Lato" w:hAnsi="Lato" w:cstheme="minorHAnsi"/>
                <w:color w:val="0070C0"/>
                <w:sz w:val="18"/>
                <w:szCs w:val="18"/>
              </w:rPr>
              <w:t>-</w:t>
            </w:r>
          </w:p>
        </w:tc>
      </w:tr>
      <w:tr w:rsidR="00986DE0" w:rsidRPr="004B2BBB" w14:paraId="71F3F2FF" w14:textId="77777777" w:rsidTr="003C7140">
        <w:trPr>
          <w:trHeight w:val="300"/>
          <w:jc w:val="center"/>
        </w:trPr>
        <w:tc>
          <w:tcPr>
            <w:tcW w:w="567" w:type="dxa"/>
            <w:tcBorders>
              <w:top w:val="single" w:sz="4" w:space="0" w:color="auto"/>
              <w:left w:val="single" w:sz="4" w:space="0" w:color="auto"/>
              <w:bottom w:val="single" w:sz="4" w:space="0" w:color="auto"/>
              <w:right w:val="nil"/>
            </w:tcBorders>
            <w:noWrap/>
            <w:vAlign w:val="center"/>
          </w:tcPr>
          <w:p w14:paraId="2DD6C600"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35</w:t>
            </w:r>
          </w:p>
        </w:tc>
        <w:tc>
          <w:tcPr>
            <w:tcW w:w="4961" w:type="dxa"/>
            <w:tcBorders>
              <w:top w:val="single" w:sz="4" w:space="0" w:color="auto"/>
              <w:left w:val="single" w:sz="4" w:space="0" w:color="auto"/>
              <w:bottom w:val="single" w:sz="4" w:space="0" w:color="auto"/>
              <w:right w:val="single" w:sz="4" w:space="0" w:color="auto"/>
            </w:tcBorders>
            <w:vAlign w:val="center"/>
          </w:tcPr>
          <w:p w14:paraId="2376B4A9"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Tularemia</w:t>
            </w:r>
          </w:p>
        </w:tc>
        <w:tc>
          <w:tcPr>
            <w:tcW w:w="1151" w:type="dxa"/>
            <w:tcBorders>
              <w:top w:val="single" w:sz="4" w:space="0" w:color="auto"/>
              <w:left w:val="nil"/>
              <w:bottom w:val="single" w:sz="4" w:space="0" w:color="auto"/>
              <w:right w:val="single" w:sz="4" w:space="0" w:color="auto"/>
            </w:tcBorders>
            <w:vAlign w:val="center"/>
          </w:tcPr>
          <w:p w14:paraId="1BFD75E3"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9</w:t>
            </w:r>
          </w:p>
        </w:tc>
        <w:tc>
          <w:tcPr>
            <w:tcW w:w="1174" w:type="dxa"/>
            <w:tcBorders>
              <w:top w:val="single" w:sz="4" w:space="0" w:color="auto"/>
              <w:left w:val="nil"/>
              <w:bottom w:val="single" w:sz="4" w:space="0" w:color="auto"/>
              <w:right w:val="single" w:sz="4" w:space="0" w:color="auto"/>
            </w:tcBorders>
            <w:vAlign w:val="center"/>
          </w:tcPr>
          <w:p w14:paraId="65A04BAC"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0,55</w:t>
            </w:r>
          </w:p>
        </w:tc>
        <w:tc>
          <w:tcPr>
            <w:tcW w:w="1151" w:type="dxa"/>
            <w:tcBorders>
              <w:top w:val="single" w:sz="4" w:space="0" w:color="auto"/>
              <w:left w:val="nil"/>
              <w:bottom w:val="single" w:sz="4" w:space="0" w:color="auto"/>
              <w:right w:val="single" w:sz="4" w:space="0" w:color="auto"/>
            </w:tcBorders>
            <w:vAlign w:val="center"/>
          </w:tcPr>
          <w:p w14:paraId="5183E6E4" w14:textId="77777777" w:rsidR="00986DE0" w:rsidRPr="00C35EAE" w:rsidRDefault="00986DE0" w:rsidP="003C7140">
            <w:pPr>
              <w:jc w:val="center"/>
              <w:rPr>
                <w:rFonts w:ascii="Lato" w:hAnsi="Lato" w:cstheme="minorHAnsi"/>
                <w:b/>
                <w:bCs/>
                <w:color w:val="EE0000"/>
                <w:sz w:val="18"/>
                <w:szCs w:val="18"/>
              </w:rPr>
            </w:pPr>
            <w:r w:rsidRPr="00C35EAE">
              <w:rPr>
                <w:rFonts w:ascii="Lato" w:hAnsi="Lato" w:cstheme="minorHAnsi"/>
                <w:b/>
                <w:bCs/>
                <w:sz w:val="18"/>
                <w:szCs w:val="18"/>
              </w:rPr>
              <w:t>23</w:t>
            </w:r>
          </w:p>
        </w:tc>
        <w:tc>
          <w:tcPr>
            <w:tcW w:w="1174" w:type="dxa"/>
            <w:tcBorders>
              <w:top w:val="single" w:sz="4" w:space="0" w:color="auto"/>
              <w:left w:val="nil"/>
              <w:bottom w:val="single" w:sz="4" w:space="0" w:color="auto"/>
              <w:right w:val="single" w:sz="4" w:space="0" w:color="auto"/>
            </w:tcBorders>
            <w:vAlign w:val="center"/>
          </w:tcPr>
          <w:p w14:paraId="4C3D97C3" w14:textId="77777777" w:rsidR="00986DE0" w:rsidRPr="00CF00AE" w:rsidRDefault="00986DE0" w:rsidP="003C7140">
            <w:pPr>
              <w:jc w:val="center"/>
              <w:rPr>
                <w:rFonts w:ascii="Lato" w:hAnsi="Lato" w:cstheme="minorHAnsi"/>
                <w:sz w:val="18"/>
                <w:szCs w:val="18"/>
              </w:rPr>
            </w:pPr>
            <w:r w:rsidRPr="00CF00AE">
              <w:rPr>
                <w:rFonts w:ascii="Lato" w:hAnsi="Lato" w:cstheme="minorHAnsi"/>
                <w:sz w:val="18"/>
                <w:szCs w:val="18"/>
              </w:rPr>
              <w:t>1,42</w:t>
            </w:r>
          </w:p>
        </w:tc>
      </w:tr>
      <w:tr w:rsidR="00986DE0" w:rsidRPr="004B2BBB" w14:paraId="481056DE" w14:textId="77777777" w:rsidTr="003C7140">
        <w:trPr>
          <w:trHeight w:val="300"/>
          <w:jc w:val="center"/>
        </w:trPr>
        <w:tc>
          <w:tcPr>
            <w:tcW w:w="567" w:type="dxa"/>
            <w:tcBorders>
              <w:top w:val="single" w:sz="4" w:space="0" w:color="auto"/>
              <w:left w:val="single" w:sz="8" w:space="0" w:color="auto"/>
              <w:bottom w:val="single" w:sz="4" w:space="0" w:color="auto"/>
              <w:right w:val="nil"/>
            </w:tcBorders>
            <w:noWrap/>
            <w:vAlign w:val="center"/>
          </w:tcPr>
          <w:p w14:paraId="36BE14B4"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36</w:t>
            </w:r>
          </w:p>
        </w:tc>
        <w:tc>
          <w:tcPr>
            <w:tcW w:w="4961" w:type="dxa"/>
            <w:tcBorders>
              <w:top w:val="single" w:sz="4" w:space="0" w:color="auto"/>
              <w:left w:val="single" w:sz="4" w:space="0" w:color="auto"/>
              <w:bottom w:val="single" w:sz="4" w:space="0" w:color="auto"/>
              <w:right w:val="single" w:sz="4" w:space="0" w:color="auto"/>
            </w:tcBorders>
            <w:vAlign w:val="center"/>
          </w:tcPr>
          <w:p w14:paraId="352CFECE" w14:textId="77777777" w:rsidR="00986DE0" w:rsidRPr="00C35EAE" w:rsidRDefault="00986DE0" w:rsidP="003C7140">
            <w:pPr>
              <w:rPr>
                <w:rFonts w:ascii="Lato" w:hAnsi="Lato" w:cstheme="minorHAnsi"/>
                <w:sz w:val="18"/>
                <w:szCs w:val="18"/>
              </w:rPr>
            </w:pPr>
            <w:proofErr w:type="spellStart"/>
            <w:r w:rsidRPr="00C35EAE">
              <w:rPr>
                <w:rFonts w:ascii="Lato" w:hAnsi="Lato" w:cstheme="minorHAnsi"/>
                <w:sz w:val="18"/>
                <w:szCs w:val="18"/>
              </w:rPr>
              <w:t>Legioneloza</w:t>
            </w:r>
            <w:proofErr w:type="spellEnd"/>
            <w:r w:rsidRPr="00C35EAE">
              <w:rPr>
                <w:rFonts w:ascii="Lato" w:hAnsi="Lato" w:cstheme="minorHAnsi"/>
                <w:sz w:val="18"/>
                <w:szCs w:val="18"/>
              </w:rPr>
              <w:t xml:space="preserve"> </w:t>
            </w:r>
          </w:p>
        </w:tc>
        <w:tc>
          <w:tcPr>
            <w:tcW w:w="1151" w:type="dxa"/>
            <w:tcBorders>
              <w:top w:val="single" w:sz="4" w:space="0" w:color="auto"/>
              <w:left w:val="nil"/>
              <w:bottom w:val="single" w:sz="4" w:space="0" w:color="auto"/>
              <w:right w:val="single" w:sz="4" w:space="0" w:color="auto"/>
            </w:tcBorders>
            <w:vAlign w:val="center"/>
          </w:tcPr>
          <w:p w14:paraId="1A37EE45"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26</w:t>
            </w:r>
          </w:p>
        </w:tc>
        <w:tc>
          <w:tcPr>
            <w:tcW w:w="1174" w:type="dxa"/>
            <w:tcBorders>
              <w:top w:val="single" w:sz="4" w:space="0" w:color="auto"/>
              <w:left w:val="nil"/>
              <w:bottom w:val="single" w:sz="4" w:space="0" w:color="auto"/>
              <w:right w:val="single" w:sz="4" w:space="0" w:color="auto"/>
            </w:tcBorders>
            <w:vAlign w:val="center"/>
          </w:tcPr>
          <w:p w14:paraId="6EBC80D7"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1,60</w:t>
            </w:r>
          </w:p>
        </w:tc>
        <w:tc>
          <w:tcPr>
            <w:tcW w:w="1151" w:type="dxa"/>
            <w:tcBorders>
              <w:top w:val="single" w:sz="4" w:space="0" w:color="auto"/>
              <w:left w:val="nil"/>
              <w:bottom w:val="single" w:sz="4" w:space="0" w:color="auto"/>
              <w:right w:val="single" w:sz="4" w:space="0" w:color="auto"/>
            </w:tcBorders>
            <w:vAlign w:val="center"/>
          </w:tcPr>
          <w:p w14:paraId="50A7A5A6" w14:textId="77777777" w:rsidR="00986DE0" w:rsidRPr="00C35EAE" w:rsidRDefault="00986DE0" w:rsidP="003C7140">
            <w:pPr>
              <w:jc w:val="center"/>
              <w:rPr>
                <w:rFonts w:ascii="Lato" w:hAnsi="Lato" w:cstheme="minorHAnsi"/>
                <w:b/>
                <w:bCs/>
                <w:color w:val="EE0000"/>
                <w:sz w:val="18"/>
                <w:szCs w:val="18"/>
              </w:rPr>
            </w:pPr>
            <w:r w:rsidRPr="00C35EAE">
              <w:rPr>
                <w:rFonts w:ascii="Lato" w:hAnsi="Lato" w:cstheme="minorHAnsi"/>
                <w:b/>
                <w:bCs/>
                <w:sz w:val="18"/>
                <w:szCs w:val="18"/>
              </w:rPr>
              <w:t>3</w:t>
            </w:r>
            <w:r>
              <w:rPr>
                <w:rFonts w:ascii="Lato" w:hAnsi="Lato" w:cstheme="minorHAnsi"/>
                <w:b/>
                <w:bCs/>
                <w:sz w:val="18"/>
                <w:szCs w:val="18"/>
              </w:rPr>
              <w:t>4</w:t>
            </w:r>
          </w:p>
        </w:tc>
        <w:tc>
          <w:tcPr>
            <w:tcW w:w="1174" w:type="dxa"/>
            <w:tcBorders>
              <w:top w:val="single" w:sz="4" w:space="0" w:color="auto"/>
              <w:left w:val="nil"/>
              <w:bottom w:val="single" w:sz="4" w:space="0" w:color="auto"/>
              <w:right w:val="single" w:sz="4" w:space="0" w:color="auto"/>
            </w:tcBorders>
            <w:vAlign w:val="center"/>
          </w:tcPr>
          <w:p w14:paraId="4A8AC0B9" w14:textId="77777777" w:rsidR="00986DE0" w:rsidRPr="00CF00AE" w:rsidRDefault="00986DE0" w:rsidP="003C7140">
            <w:pPr>
              <w:jc w:val="center"/>
              <w:rPr>
                <w:rFonts w:ascii="Lato" w:hAnsi="Lato" w:cstheme="minorHAnsi"/>
                <w:sz w:val="18"/>
                <w:szCs w:val="18"/>
              </w:rPr>
            </w:pPr>
            <w:r w:rsidRPr="00CF00AE">
              <w:rPr>
                <w:rFonts w:ascii="Lato" w:hAnsi="Lato" w:cstheme="minorHAnsi"/>
                <w:sz w:val="18"/>
                <w:szCs w:val="18"/>
              </w:rPr>
              <w:t>2,10</w:t>
            </w:r>
          </w:p>
        </w:tc>
      </w:tr>
      <w:tr w:rsidR="00986DE0" w:rsidRPr="004B2BBB" w14:paraId="33072478" w14:textId="77777777" w:rsidTr="003C7140">
        <w:trPr>
          <w:trHeight w:val="300"/>
          <w:jc w:val="center"/>
        </w:trPr>
        <w:tc>
          <w:tcPr>
            <w:tcW w:w="567" w:type="dxa"/>
            <w:tcBorders>
              <w:top w:val="single" w:sz="4" w:space="0" w:color="auto"/>
              <w:left w:val="single" w:sz="8" w:space="0" w:color="auto"/>
              <w:bottom w:val="single" w:sz="4" w:space="0" w:color="auto"/>
              <w:right w:val="nil"/>
            </w:tcBorders>
            <w:noWrap/>
            <w:vAlign w:val="center"/>
          </w:tcPr>
          <w:p w14:paraId="35E15E70"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37</w:t>
            </w:r>
          </w:p>
        </w:tc>
        <w:tc>
          <w:tcPr>
            <w:tcW w:w="4961" w:type="dxa"/>
            <w:tcBorders>
              <w:top w:val="single" w:sz="4" w:space="0" w:color="auto"/>
              <w:left w:val="single" w:sz="4" w:space="0" w:color="auto"/>
              <w:bottom w:val="single" w:sz="4" w:space="0" w:color="auto"/>
              <w:right w:val="single" w:sz="4" w:space="0" w:color="auto"/>
            </w:tcBorders>
            <w:vAlign w:val="center"/>
          </w:tcPr>
          <w:p w14:paraId="21F0B5B9" w14:textId="77777777" w:rsidR="00986DE0" w:rsidRPr="00C35EAE" w:rsidRDefault="00986DE0" w:rsidP="003C7140">
            <w:pPr>
              <w:rPr>
                <w:rFonts w:ascii="Lato" w:hAnsi="Lato" w:cstheme="minorHAnsi"/>
                <w:sz w:val="18"/>
                <w:szCs w:val="18"/>
              </w:rPr>
            </w:pPr>
            <w:r w:rsidRPr="00C35EAE">
              <w:rPr>
                <w:rFonts w:ascii="Lato" w:hAnsi="Lato" w:cstheme="minorHAnsi"/>
                <w:sz w:val="18"/>
                <w:szCs w:val="18"/>
              </w:rPr>
              <w:t xml:space="preserve">Inwazyjna choroba wywołana przez </w:t>
            </w:r>
            <w:proofErr w:type="spellStart"/>
            <w:r w:rsidRPr="00C35EAE">
              <w:rPr>
                <w:rFonts w:ascii="Lato" w:hAnsi="Lato" w:cstheme="minorHAnsi"/>
                <w:i/>
                <w:iCs/>
                <w:sz w:val="18"/>
                <w:szCs w:val="18"/>
              </w:rPr>
              <w:t>Streptococcus</w:t>
            </w:r>
            <w:proofErr w:type="spellEnd"/>
            <w:r w:rsidRPr="00C35EAE">
              <w:rPr>
                <w:rFonts w:ascii="Lato" w:hAnsi="Lato" w:cstheme="minorHAnsi"/>
                <w:i/>
                <w:iCs/>
                <w:sz w:val="18"/>
                <w:szCs w:val="18"/>
              </w:rPr>
              <w:t xml:space="preserve"> </w:t>
            </w:r>
            <w:proofErr w:type="spellStart"/>
            <w:r w:rsidRPr="00C35EAE">
              <w:rPr>
                <w:rFonts w:ascii="Lato" w:hAnsi="Lato" w:cstheme="minorHAnsi"/>
                <w:i/>
                <w:iCs/>
                <w:sz w:val="18"/>
                <w:szCs w:val="18"/>
              </w:rPr>
              <w:t>pyogenes</w:t>
            </w:r>
            <w:proofErr w:type="spellEnd"/>
            <w:r w:rsidRPr="00C35EAE">
              <w:rPr>
                <w:rFonts w:ascii="Lato" w:hAnsi="Lato" w:cstheme="minorHAnsi"/>
                <w:sz w:val="18"/>
                <w:szCs w:val="18"/>
              </w:rPr>
              <w:t xml:space="preserve"> ogółem</w:t>
            </w:r>
          </w:p>
        </w:tc>
        <w:tc>
          <w:tcPr>
            <w:tcW w:w="1151" w:type="dxa"/>
            <w:tcBorders>
              <w:top w:val="single" w:sz="4" w:space="0" w:color="auto"/>
              <w:left w:val="nil"/>
              <w:bottom w:val="single" w:sz="4" w:space="0" w:color="auto"/>
              <w:right w:val="single" w:sz="4" w:space="0" w:color="auto"/>
            </w:tcBorders>
            <w:vAlign w:val="center"/>
          </w:tcPr>
          <w:p w14:paraId="2A78352D" w14:textId="77777777" w:rsidR="00986DE0" w:rsidRPr="00C35EAE" w:rsidRDefault="00986DE0" w:rsidP="003C7140">
            <w:pPr>
              <w:jc w:val="center"/>
              <w:rPr>
                <w:rFonts w:ascii="Lato" w:hAnsi="Lato" w:cstheme="minorHAnsi"/>
                <w:sz w:val="18"/>
                <w:szCs w:val="18"/>
              </w:rPr>
            </w:pPr>
            <w:r w:rsidRPr="00C35EAE">
              <w:rPr>
                <w:rFonts w:ascii="Lato" w:hAnsi="Lato" w:cstheme="minorHAnsi"/>
                <w:b/>
                <w:bCs/>
                <w:sz w:val="18"/>
                <w:szCs w:val="18"/>
              </w:rPr>
              <w:t>179</w:t>
            </w:r>
          </w:p>
        </w:tc>
        <w:tc>
          <w:tcPr>
            <w:tcW w:w="1174" w:type="dxa"/>
            <w:tcBorders>
              <w:top w:val="single" w:sz="4" w:space="0" w:color="auto"/>
              <w:left w:val="nil"/>
              <w:bottom w:val="single" w:sz="4" w:space="0" w:color="auto"/>
              <w:right w:val="single" w:sz="4" w:space="0" w:color="auto"/>
            </w:tcBorders>
            <w:vAlign w:val="center"/>
          </w:tcPr>
          <w:p w14:paraId="609CD750"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11,00</w:t>
            </w:r>
          </w:p>
        </w:tc>
        <w:tc>
          <w:tcPr>
            <w:tcW w:w="1151" w:type="dxa"/>
            <w:tcBorders>
              <w:top w:val="single" w:sz="4" w:space="0" w:color="auto"/>
              <w:left w:val="nil"/>
              <w:bottom w:val="single" w:sz="4" w:space="0" w:color="auto"/>
              <w:right w:val="single" w:sz="4" w:space="0" w:color="auto"/>
            </w:tcBorders>
            <w:vAlign w:val="center"/>
          </w:tcPr>
          <w:p w14:paraId="7BFCFB57"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161</w:t>
            </w:r>
          </w:p>
        </w:tc>
        <w:tc>
          <w:tcPr>
            <w:tcW w:w="1174" w:type="dxa"/>
            <w:tcBorders>
              <w:top w:val="single" w:sz="4" w:space="0" w:color="auto"/>
              <w:left w:val="nil"/>
              <w:bottom w:val="single" w:sz="4" w:space="0" w:color="auto"/>
              <w:right w:val="single" w:sz="4" w:space="0" w:color="auto"/>
            </w:tcBorders>
            <w:vAlign w:val="center"/>
          </w:tcPr>
          <w:p w14:paraId="33432C4C" w14:textId="77777777" w:rsidR="00986DE0" w:rsidRPr="00CF00AE" w:rsidRDefault="00986DE0" w:rsidP="003C7140">
            <w:pPr>
              <w:jc w:val="center"/>
              <w:rPr>
                <w:rFonts w:ascii="Lato" w:hAnsi="Lato" w:cstheme="minorHAnsi"/>
                <w:sz w:val="18"/>
                <w:szCs w:val="18"/>
              </w:rPr>
            </w:pPr>
            <w:r w:rsidRPr="00CF00AE">
              <w:rPr>
                <w:rFonts w:ascii="Lato" w:hAnsi="Lato" w:cstheme="minorHAnsi"/>
                <w:sz w:val="18"/>
                <w:szCs w:val="18"/>
              </w:rPr>
              <w:t>9,95</w:t>
            </w:r>
          </w:p>
        </w:tc>
      </w:tr>
      <w:tr w:rsidR="00986DE0" w:rsidRPr="004B2BBB" w14:paraId="4F9D3E72" w14:textId="77777777" w:rsidTr="003C7140">
        <w:trPr>
          <w:trHeight w:val="115"/>
          <w:jc w:val="center"/>
        </w:trPr>
        <w:tc>
          <w:tcPr>
            <w:tcW w:w="567" w:type="dxa"/>
            <w:vMerge w:val="restart"/>
            <w:tcBorders>
              <w:top w:val="single" w:sz="4" w:space="0" w:color="auto"/>
              <w:left w:val="single" w:sz="8" w:space="0" w:color="auto"/>
              <w:right w:val="nil"/>
            </w:tcBorders>
            <w:noWrap/>
            <w:vAlign w:val="center"/>
          </w:tcPr>
          <w:p w14:paraId="340EE6A9" w14:textId="77777777" w:rsidR="00986DE0" w:rsidRPr="00C35EAE" w:rsidRDefault="00986DE0" w:rsidP="003C7140">
            <w:pPr>
              <w:jc w:val="center"/>
              <w:rPr>
                <w:rFonts w:ascii="Lato" w:hAnsi="Lato" w:cstheme="minorHAnsi"/>
                <w:color w:val="EE0000"/>
                <w:sz w:val="18"/>
                <w:szCs w:val="18"/>
              </w:rPr>
            </w:pPr>
            <w:r w:rsidRPr="00C35EAE">
              <w:rPr>
                <w:rFonts w:ascii="Lato" w:hAnsi="Lato" w:cstheme="minorHAnsi"/>
                <w:sz w:val="18"/>
                <w:szCs w:val="18"/>
              </w:rPr>
              <w:t>38</w:t>
            </w:r>
          </w:p>
        </w:tc>
        <w:tc>
          <w:tcPr>
            <w:tcW w:w="4961" w:type="dxa"/>
            <w:tcBorders>
              <w:top w:val="single" w:sz="4" w:space="0" w:color="auto"/>
              <w:left w:val="single" w:sz="4" w:space="0" w:color="auto"/>
              <w:bottom w:val="single" w:sz="4" w:space="0" w:color="auto"/>
              <w:right w:val="single" w:sz="4" w:space="0" w:color="auto"/>
            </w:tcBorders>
            <w:vAlign w:val="center"/>
          </w:tcPr>
          <w:p w14:paraId="3AB3BDC8" w14:textId="77777777" w:rsidR="00986DE0" w:rsidRPr="00C35EAE" w:rsidRDefault="00986DE0" w:rsidP="003C7140">
            <w:pPr>
              <w:rPr>
                <w:rFonts w:ascii="Lato" w:hAnsi="Lato" w:cstheme="minorHAnsi"/>
                <w:color w:val="EE0000"/>
                <w:sz w:val="18"/>
                <w:szCs w:val="18"/>
              </w:rPr>
            </w:pPr>
            <w:r w:rsidRPr="00C35EAE">
              <w:rPr>
                <w:rFonts w:ascii="Lato" w:hAnsi="Lato" w:cstheme="minorHAnsi"/>
                <w:sz w:val="18"/>
                <w:szCs w:val="18"/>
              </w:rPr>
              <w:t>Zakażenie wirusem RSV</w:t>
            </w:r>
          </w:p>
        </w:tc>
        <w:tc>
          <w:tcPr>
            <w:tcW w:w="1151" w:type="dxa"/>
            <w:tcBorders>
              <w:top w:val="single" w:sz="4" w:space="0" w:color="auto"/>
              <w:left w:val="nil"/>
              <w:bottom w:val="single" w:sz="4" w:space="0" w:color="auto"/>
              <w:right w:val="single" w:sz="4" w:space="0" w:color="auto"/>
            </w:tcBorders>
            <w:vAlign w:val="center"/>
          </w:tcPr>
          <w:p w14:paraId="1C847A13"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1106</w:t>
            </w:r>
          </w:p>
        </w:tc>
        <w:tc>
          <w:tcPr>
            <w:tcW w:w="1174" w:type="dxa"/>
            <w:tcBorders>
              <w:top w:val="single" w:sz="4" w:space="0" w:color="auto"/>
              <w:left w:val="nil"/>
              <w:bottom w:val="single" w:sz="4" w:space="0" w:color="auto"/>
              <w:right w:val="single" w:sz="4" w:space="0" w:color="auto"/>
            </w:tcBorders>
            <w:vAlign w:val="center"/>
          </w:tcPr>
          <w:p w14:paraId="214BEB45"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67,98</w:t>
            </w:r>
          </w:p>
        </w:tc>
        <w:tc>
          <w:tcPr>
            <w:tcW w:w="1151" w:type="dxa"/>
            <w:tcBorders>
              <w:top w:val="single" w:sz="4" w:space="0" w:color="auto"/>
              <w:left w:val="nil"/>
              <w:bottom w:val="single" w:sz="4" w:space="0" w:color="auto"/>
              <w:right w:val="single" w:sz="4" w:space="0" w:color="auto"/>
            </w:tcBorders>
            <w:vAlign w:val="center"/>
          </w:tcPr>
          <w:p w14:paraId="788D6AAA"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3182</w:t>
            </w:r>
          </w:p>
        </w:tc>
        <w:tc>
          <w:tcPr>
            <w:tcW w:w="1174" w:type="dxa"/>
            <w:tcBorders>
              <w:top w:val="single" w:sz="4" w:space="0" w:color="auto"/>
              <w:left w:val="nil"/>
              <w:bottom w:val="single" w:sz="4" w:space="0" w:color="auto"/>
              <w:right w:val="single" w:sz="4" w:space="0" w:color="auto"/>
            </w:tcBorders>
            <w:vAlign w:val="center"/>
          </w:tcPr>
          <w:p w14:paraId="6441E93A" w14:textId="77777777" w:rsidR="00986DE0" w:rsidRPr="00CF00AE" w:rsidRDefault="00986DE0" w:rsidP="003C7140">
            <w:pPr>
              <w:jc w:val="center"/>
              <w:rPr>
                <w:rFonts w:ascii="Lato" w:hAnsi="Lato" w:cstheme="minorHAnsi"/>
                <w:sz w:val="18"/>
                <w:szCs w:val="18"/>
              </w:rPr>
            </w:pPr>
            <w:r w:rsidRPr="00CF00AE">
              <w:rPr>
                <w:rFonts w:ascii="Lato" w:hAnsi="Lato" w:cstheme="minorHAnsi"/>
                <w:sz w:val="18"/>
                <w:szCs w:val="18"/>
              </w:rPr>
              <w:t>196,73</w:t>
            </w:r>
          </w:p>
        </w:tc>
      </w:tr>
      <w:tr w:rsidR="00986DE0" w:rsidRPr="004B2BBB" w14:paraId="0AFF0D9B" w14:textId="77777777" w:rsidTr="003C7140">
        <w:trPr>
          <w:trHeight w:val="115"/>
          <w:jc w:val="center"/>
        </w:trPr>
        <w:tc>
          <w:tcPr>
            <w:tcW w:w="567" w:type="dxa"/>
            <w:vMerge/>
            <w:tcBorders>
              <w:left w:val="single" w:sz="8" w:space="0" w:color="auto"/>
              <w:bottom w:val="single" w:sz="4" w:space="0" w:color="auto"/>
              <w:right w:val="nil"/>
            </w:tcBorders>
            <w:noWrap/>
            <w:vAlign w:val="center"/>
          </w:tcPr>
          <w:p w14:paraId="5E71763A" w14:textId="77777777" w:rsidR="00986DE0" w:rsidRPr="00C35EAE" w:rsidRDefault="00986DE0" w:rsidP="003C7140">
            <w:pPr>
              <w:jc w:val="center"/>
              <w:rPr>
                <w:rFonts w:ascii="Lato" w:hAnsi="Lato" w:cstheme="minorHAnsi"/>
                <w:color w:val="EE0000"/>
                <w:sz w:val="18"/>
                <w:szCs w:val="18"/>
              </w:rPr>
            </w:pPr>
          </w:p>
        </w:tc>
        <w:tc>
          <w:tcPr>
            <w:tcW w:w="4961" w:type="dxa"/>
            <w:tcBorders>
              <w:top w:val="single" w:sz="4" w:space="0" w:color="auto"/>
              <w:left w:val="single" w:sz="4" w:space="0" w:color="auto"/>
              <w:bottom w:val="single" w:sz="4" w:space="0" w:color="auto"/>
              <w:right w:val="single" w:sz="4" w:space="0" w:color="auto"/>
            </w:tcBorders>
            <w:vAlign w:val="center"/>
          </w:tcPr>
          <w:p w14:paraId="41D16E9B" w14:textId="77777777" w:rsidR="00986DE0" w:rsidRPr="00C35EAE" w:rsidRDefault="00986DE0" w:rsidP="003C7140">
            <w:pPr>
              <w:jc w:val="right"/>
              <w:rPr>
                <w:rFonts w:ascii="Lato" w:hAnsi="Lato" w:cstheme="minorHAnsi"/>
                <w:color w:val="EE0000"/>
                <w:sz w:val="18"/>
                <w:szCs w:val="18"/>
              </w:rPr>
            </w:pPr>
            <w:r w:rsidRPr="00C35EAE">
              <w:rPr>
                <w:rFonts w:ascii="Lato" w:hAnsi="Lato" w:cstheme="minorHAnsi"/>
                <w:color w:val="000000" w:themeColor="text1"/>
                <w:sz w:val="18"/>
                <w:szCs w:val="18"/>
              </w:rPr>
              <w:t>w tym dzieci do 2r.ż.</w:t>
            </w:r>
          </w:p>
        </w:tc>
        <w:tc>
          <w:tcPr>
            <w:tcW w:w="1151" w:type="dxa"/>
            <w:tcBorders>
              <w:top w:val="single" w:sz="4" w:space="0" w:color="auto"/>
              <w:left w:val="nil"/>
              <w:bottom w:val="single" w:sz="4" w:space="0" w:color="auto"/>
              <w:right w:val="single" w:sz="4" w:space="0" w:color="auto"/>
            </w:tcBorders>
            <w:vAlign w:val="center"/>
          </w:tcPr>
          <w:p w14:paraId="1A8CFA7D"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519</w:t>
            </w:r>
          </w:p>
        </w:tc>
        <w:tc>
          <w:tcPr>
            <w:tcW w:w="1174" w:type="dxa"/>
            <w:tcBorders>
              <w:top w:val="single" w:sz="4" w:space="0" w:color="auto"/>
              <w:left w:val="nil"/>
              <w:bottom w:val="single" w:sz="4" w:space="0" w:color="auto"/>
              <w:right w:val="single" w:sz="4" w:space="0" w:color="auto"/>
            </w:tcBorders>
            <w:vAlign w:val="center"/>
          </w:tcPr>
          <w:p w14:paraId="2D726082" w14:textId="77777777" w:rsidR="00986DE0" w:rsidRPr="00C35EAE" w:rsidRDefault="00986DE0" w:rsidP="003C7140">
            <w:pPr>
              <w:jc w:val="center"/>
              <w:rPr>
                <w:rFonts w:ascii="Lato" w:hAnsi="Lato" w:cstheme="minorHAnsi"/>
                <w:sz w:val="18"/>
                <w:szCs w:val="18"/>
              </w:rPr>
            </w:pPr>
            <w:r w:rsidRPr="00C35EAE">
              <w:rPr>
                <w:rFonts w:ascii="Lato" w:hAnsi="Lato" w:cstheme="minorHAnsi"/>
                <w:sz w:val="18"/>
                <w:szCs w:val="18"/>
              </w:rPr>
              <w:t>1568,40</w:t>
            </w:r>
          </w:p>
        </w:tc>
        <w:tc>
          <w:tcPr>
            <w:tcW w:w="1151" w:type="dxa"/>
            <w:tcBorders>
              <w:top w:val="single" w:sz="4" w:space="0" w:color="auto"/>
              <w:left w:val="nil"/>
              <w:bottom w:val="single" w:sz="4" w:space="0" w:color="auto"/>
              <w:right w:val="single" w:sz="4" w:space="0" w:color="auto"/>
            </w:tcBorders>
            <w:vAlign w:val="center"/>
          </w:tcPr>
          <w:p w14:paraId="17ED1F90" w14:textId="77777777" w:rsidR="00986DE0" w:rsidRPr="00C35EAE" w:rsidRDefault="00986DE0" w:rsidP="003C7140">
            <w:pPr>
              <w:jc w:val="center"/>
              <w:rPr>
                <w:rFonts w:ascii="Lato" w:hAnsi="Lato" w:cstheme="minorHAnsi"/>
                <w:b/>
                <w:bCs/>
                <w:sz w:val="18"/>
                <w:szCs w:val="18"/>
              </w:rPr>
            </w:pPr>
            <w:r w:rsidRPr="00C35EAE">
              <w:rPr>
                <w:rFonts w:ascii="Lato" w:hAnsi="Lato" w:cstheme="minorHAnsi"/>
                <w:b/>
                <w:bCs/>
                <w:sz w:val="18"/>
                <w:szCs w:val="18"/>
              </w:rPr>
              <w:t>1219</w:t>
            </w:r>
          </w:p>
        </w:tc>
        <w:tc>
          <w:tcPr>
            <w:tcW w:w="1174" w:type="dxa"/>
            <w:tcBorders>
              <w:top w:val="single" w:sz="4" w:space="0" w:color="auto"/>
              <w:left w:val="nil"/>
              <w:bottom w:val="single" w:sz="4" w:space="0" w:color="auto"/>
              <w:right w:val="single" w:sz="4" w:space="0" w:color="auto"/>
            </w:tcBorders>
            <w:vAlign w:val="center"/>
          </w:tcPr>
          <w:p w14:paraId="7EE0A3F6" w14:textId="77777777" w:rsidR="00986DE0" w:rsidRPr="00CF00AE" w:rsidRDefault="00986DE0" w:rsidP="003C7140">
            <w:pPr>
              <w:jc w:val="center"/>
              <w:rPr>
                <w:rFonts w:ascii="Lato" w:hAnsi="Lato" w:cstheme="minorHAnsi"/>
                <w:sz w:val="18"/>
                <w:szCs w:val="18"/>
              </w:rPr>
            </w:pPr>
            <w:r w:rsidRPr="00CF00AE">
              <w:rPr>
                <w:rFonts w:ascii="Lato" w:hAnsi="Lato" w:cstheme="minorHAnsi"/>
                <w:sz w:val="18"/>
                <w:szCs w:val="18"/>
              </w:rPr>
              <w:t>4054,14</w:t>
            </w:r>
          </w:p>
        </w:tc>
      </w:tr>
    </w:tbl>
    <w:p w14:paraId="71E64687" w14:textId="77777777" w:rsidR="00EA0E18" w:rsidRDefault="00EA0E18" w:rsidP="00245ED6">
      <w:pPr>
        <w:pStyle w:val="Standard"/>
        <w:spacing w:line="360" w:lineRule="auto"/>
        <w:rPr>
          <w:rFonts w:ascii="Lato" w:eastAsia="Calibri" w:hAnsi="Lato" w:cs="Calibri"/>
          <w:color w:val="000000" w:themeColor="text1"/>
          <w:sz w:val="22"/>
          <w:szCs w:val="22"/>
        </w:rPr>
      </w:pPr>
      <w:bookmarkStart w:id="65" w:name="_Hlk193439278"/>
      <w:bookmarkEnd w:id="64"/>
    </w:p>
    <w:bookmarkEnd w:id="65"/>
    <w:p w14:paraId="654AFACC" w14:textId="77777777" w:rsidR="00986DE0" w:rsidRPr="00B4716C" w:rsidRDefault="00986DE0" w:rsidP="00245ED6">
      <w:pPr>
        <w:pStyle w:val="Standard"/>
        <w:spacing w:line="360" w:lineRule="auto"/>
        <w:rPr>
          <w:color w:val="000000" w:themeColor="text1"/>
          <w:sz w:val="22"/>
          <w:szCs w:val="22"/>
        </w:rPr>
      </w:pPr>
      <w:r w:rsidRPr="00B4716C">
        <w:rPr>
          <w:rFonts w:ascii="Lato" w:eastAsia="Calibri" w:hAnsi="Lato" w:cs="Calibri"/>
          <w:color w:val="000000" w:themeColor="text1"/>
          <w:sz w:val="22"/>
          <w:szCs w:val="22"/>
        </w:rPr>
        <w:lastRenderedPageBreak/>
        <w:t>Dalsze pogorszenie sytuacji epidemiologicznej w 2025r. nastąpiło w odniesieniu do boreliozy- taki trend utrzymuje się od 2020 roku. Ponadto niekorzystną sytuację epidemiologiczną w stosunku do roku poprzedniego odnotowano w zakresie zakażeń RSV (trzykrotny wzrost zachorowań) i grypy (ponad 4-krotny wzrost).</w:t>
      </w:r>
    </w:p>
    <w:p w14:paraId="08844C43" w14:textId="77777777" w:rsidR="00986DE0" w:rsidRPr="00B4716C" w:rsidRDefault="00986DE0" w:rsidP="00245ED6">
      <w:pPr>
        <w:pStyle w:val="Standard"/>
        <w:spacing w:line="360" w:lineRule="auto"/>
        <w:rPr>
          <w:color w:val="000000" w:themeColor="text1"/>
          <w:sz w:val="22"/>
          <w:szCs w:val="22"/>
        </w:rPr>
      </w:pPr>
      <w:bookmarkStart w:id="66" w:name="_Hlk162336031"/>
      <w:r w:rsidRPr="00B4716C">
        <w:rPr>
          <w:rFonts w:ascii="Lato" w:eastAsia="Calibri" w:hAnsi="Lato" w:cs="Calibri"/>
          <w:color w:val="000000" w:themeColor="text1"/>
          <w:sz w:val="22"/>
          <w:szCs w:val="22"/>
        </w:rPr>
        <w:t>Wzmożonej obserwacji wymagają  zachorowania na wirusowe zapalenia wątroby typu A w regionie, bowiem w Polsce zaobserwowano znaczne pogorszenie sytuacji epidemiologicznej tej jednostki chorobowej oraz występowanie wielu ognisk epidemicznych, czego nie obserwowano w 2025 r. w województwie. W odniesieniu natomiast do wirusowego zapalenia wątroby typu C pomimo porównywalnej do roku ubiegłego sytuacji, współczynnik zapadalności był wyższy niż w Polsce stąd sytuację w regionie należy uznać za niekorzystną.</w:t>
      </w:r>
    </w:p>
    <w:p w14:paraId="566E6C3F" w14:textId="05021FAF" w:rsidR="00986DE0" w:rsidRPr="00B4716C" w:rsidRDefault="00986DE0" w:rsidP="00245ED6">
      <w:pPr>
        <w:spacing w:line="360" w:lineRule="auto"/>
        <w:rPr>
          <w:rFonts w:ascii="Lato" w:eastAsia="Calibri" w:hAnsi="Lato" w:cstheme="minorHAnsi"/>
          <w:color w:val="000000" w:themeColor="text1"/>
          <w:sz w:val="22"/>
          <w:szCs w:val="22"/>
        </w:rPr>
      </w:pPr>
      <w:r w:rsidRPr="00B4716C">
        <w:rPr>
          <w:rFonts w:ascii="Lato" w:eastAsia="Calibri" w:hAnsi="Lato" w:cstheme="minorHAnsi"/>
          <w:color w:val="000000" w:themeColor="text1"/>
          <w:sz w:val="22"/>
          <w:szCs w:val="22"/>
        </w:rPr>
        <w:t>W 2025 r. w woj. zachodniopomorskim zarejestrowano łącznie 230 zgłoszeń zgonów z powodu podejrzenia albo rozpoznania zakażenia lub choroby zakaźnej (o 49 więcej niż w roku poprzedzającym). Największy udział w ogólnej liczbie zgonów tj. prawie 47 % miały zgony z powodu posocznicy,</w:t>
      </w:r>
      <w:r w:rsidR="0067268A">
        <w:rPr>
          <w:rFonts w:ascii="Lato" w:eastAsia="Calibri" w:hAnsi="Lato" w:cstheme="minorHAnsi"/>
          <w:color w:val="000000" w:themeColor="text1"/>
          <w:sz w:val="22"/>
          <w:szCs w:val="22"/>
        </w:rPr>
        <w:t xml:space="preserve"> </w:t>
      </w:r>
      <w:r w:rsidRPr="00B4716C">
        <w:rPr>
          <w:rFonts w:ascii="Lato" w:eastAsia="Calibri" w:hAnsi="Lato" w:cstheme="minorHAnsi"/>
          <w:color w:val="000000" w:themeColor="text1"/>
          <w:sz w:val="22"/>
          <w:szCs w:val="22"/>
        </w:rPr>
        <w:t xml:space="preserve">zgony z powodu zapalenia płuc stanowiły ponad 20 % ,a zgony z powodu grypy–ponad 9 %. </w:t>
      </w:r>
    </w:p>
    <w:p w14:paraId="653B98C8" w14:textId="77777777" w:rsidR="00986DE0" w:rsidRPr="00B4716C" w:rsidRDefault="00986DE0" w:rsidP="00245ED6">
      <w:pPr>
        <w:spacing w:line="360" w:lineRule="auto"/>
        <w:rPr>
          <w:rFonts w:ascii="Lato" w:eastAsia="Calibri" w:hAnsi="Lato" w:cstheme="minorHAnsi"/>
          <w:color w:val="000000" w:themeColor="text1"/>
          <w:sz w:val="22"/>
          <w:szCs w:val="22"/>
        </w:rPr>
      </w:pPr>
      <w:r w:rsidRPr="00B4716C">
        <w:rPr>
          <w:rFonts w:ascii="Lato" w:eastAsia="Calibri" w:hAnsi="Lato" w:cstheme="minorHAnsi"/>
          <w:color w:val="000000" w:themeColor="text1"/>
          <w:sz w:val="22"/>
          <w:szCs w:val="22"/>
        </w:rPr>
        <w:t xml:space="preserve">Podkreślić należy, że monitorowanie sytuacji epidemiologicznej stanowi ważny element dla utrzymania bezpieczeństwa zdrowotnego w regionie, bowiem analiza tych danych pozwala podjąć adekwatne działania przeciwepidemiczne oraz profilaktyczne w sytuacji zagrożenia zdrowia populacji. </w:t>
      </w:r>
    </w:p>
    <w:p w14:paraId="7BE36183" w14:textId="432A461D" w:rsidR="00A572AF" w:rsidRPr="009E38FA" w:rsidRDefault="00986DE0">
      <w:pPr>
        <w:pStyle w:val="Nagwek2"/>
        <w:numPr>
          <w:ilvl w:val="0"/>
          <w:numId w:val="9"/>
        </w:numPr>
        <w:rPr>
          <w:b/>
          <w:bCs/>
        </w:rPr>
      </w:pPr>
      <w:bookmarkStart w:id="67" w:name="_Toc225235856"/>
      <w:bookmarkStart w:id="68" w:name="_Toc225859043"/>
      <w:bookmarkEnd w:id="66"/>
      <w:r w:rsidRPr="009476ED">
        <w:rPr>
          <w:b/>
          <w:bCs/>
        </w:rPr>
        <w:t>Szczepienia ochronne</w:t>
      </w:r>
      <w:bookmarkEnd w:id="67"/>
      <w:bookmarkEnd w:id="68"/>
    </w:p>
    <w:p w14:paraId="1EA0D822" w14:textId="03FC03F6" w:rsidR="00A572AF" w:rsidRDefault="00986DE0">
      <w:pPr>
        <w:pStyle w:val="Nagwek3"/>
        <w:numPr>
          <w:ilvl w:val="1"/>
          <w:numId w:val="9"/>
        </w:numPr>
        <w:rPr>
          <w:color w:val="auto"/>
          <w:szCs w:val="22"/>
        </w:rPr>
      </w:pPr>
      <w:bookmarkStart w:id="69" w:name="_Toc225235857"/>
      <w:bookmarkStart w:id="70" w:name="_Toc225859044"/>
      <w:r w:rsidRPr="00665EA1">
        <w:rPr>
          <w:color w:val="auto"/>
          <w:szCs w:val="22"/>
        </w:rPr>
        <w:t>Realizacja programu szczepień ochronnych (PSO)</w:t>
      </w:r>
      <w:bookmarkEnd w:id="69"/>
      <w:bookmarkEnd w:id="70"/>
    </w:p>
    <w:p w14:paraId="2BB07D03" w14:textId="77777777" w:rsidR="009E38FA" w:rsidRPr="00E31B5B" w:rsidRDefault="009E38FA" w:rsidP="009E38FA">
      <w:pPr>
        <w:rPr>
          <w:sz w:val="22"/>
          <w:szCs w:val="22"/>
        </w:rPr>
      </w:pPr>
    </w:p>
    <w:p w14:paraId="4E1609FF" w14:textId="4543B784" w:rsidR="00986DE0" w:rsidRPr="00B74DAD" w:rsidRDefault="00986DE0" w:rsidP="0072675B">
      <w:pPr>
        <w:spacing w:line="360" w:lineRule="auto"/>
        <w:rPr>
          <w:rFonts w:ascii="Lato" w:hAnsi="Lato" w:cs="Calibri"/>
          <w:color w:val="000000"/>
          <w:sz w:val="22"/>
          <w:szCs w:val="22"/>
        </w:rPr>
      </w:pPr>
      <w:r w:rsidRPr="00B74DAD">
        <w:rPr>
          <w:rFonts w:ascii="Lato" w:hAnsi="Lato" w:cstheme="minorHAnsi"/>
          <w:color w:val="000000" w:themeColor="text1"/>
          <w:sz w:val="22"/>
          <w:szCs w:val="22"/>
        </w:rPr>
        <w:t>W 2025 r. PSO na terenie woj. zachodniopomorskiego realizowany był przez 308 świadczeniodawców w 439 gabinetach szczepień</w:t>
      </w:r>
      <w:r w:rsidR="0072675B">
        <w:rPr>
          <w:rFonts w:ascii="Lato" w:hAnsi="Lato" w:cstheme="minorHAnsi"/>
          <w:color w:val="000000" w:themeColor="text1"/>
          <w:sz w:val="22"/>
          <w:szCs w:val="22"/>
        </w:rPr>
        <w:t xml:space="preserve">. </w:t>
      </w:r>
      <w:r w:rsidRPr="00B74DAD">
        <w:rPr>
          <w:rFonts w:ascii="Lato" w:hAnsi="Lato" w:cs="Calibri"/>
          <w:color w:val="000000"/>
          <w:sz w:val="22"/>
          <w:szCs w:val="22"/>
        </w:rPr>
        <w:t>W ramach nadzoru nad realizacją szczepień ochronnych przeprowadzono 974 kontrole w podmiotach działalności leczniczej, w obrębie których funkcjonują gabinety wykonujące szczepienia ochronne. Skontrolowane gabinety szczepień na ogół spełniają wymagania jakim</w:t>
      </w:r>
      <w:r w:rsidRPr="00631EFC">
        <w:rPr>
          <w:rFonts w:ascii="Lato" w:hAnsi="Lato" w:cs="Calibri"/>
          <w:color w:val="000000"/>
          <w:sz w:val="22"/>
          <w:szCs w:val="22"/>
        </w:rPr>
        <w:t xml:space="preserve"> powinny odpowiadać gabinety o</w:t>
      </w:r>
      <w:r>
        <w:rPr>
          <w:rFonts w:ascii="Lato" w:hAnsi="Lato" w:cs="Calibri"/>
          <w:color w:val="000000"/>
          <w:sz w:val="22"/>
          <w:szCs w:val="22"/>
        </w:rPr>
        <w:t xml:space="preserve"> </w:t>
      </w:r>
      <w:r w:rsidRPr="00631EFC">
        <w:rPr>
          <w:rFonts w:ascii="Lato" w:hAnsi="Lato" w:cs="Calibri"/>
          <w:color w:val="000000"/>
          <w:sz w:val="22"/>
          <w:szCs w:val="22"/>
        </w:rPr>
        <w:t xml:space="preserve">charakterze zabiegowym. W trakcie czynności kontrolnych </w:t>
      </w:r>
      <w:r w:rsidRPr="00B74DAD">
        <w:rPr>
          <w:rFonts w:ascii="Lato" w:hAnsi="Lato" w:cs="Calibri"/>
          <w:color w:val="000000"/>
          <w:sz w:val="22"/>
          <w:szCs w:val="22"/>
        </w:rPr>
        <w:t>stwierdzono 88 uchybień, w tym braki i</w:t>
      </w:r>
      <w:r w:rsidR="0072675B">
        <w:rPr>
          <w:rFonts w:ascii="Lato" w:hAnsi="Lato" w:cs="Calibri"/>
          <w:color w:val="000000"/>
          <w:sz w:val="22"/>
          <w:szCs w:val="22"/>
        </w:rPr>
        <w:t> </w:t>
      </w:r>
      <w:r w:rsidRPr="00B74DAD">
        <w:rPr>
          <w:rFonts w:ascii="Lato" w:hAnsi="Lato" w:cs="Calibri"/>
          <w:color w:val="000000"/>
          <w:sz w:val="22"/>
          <w:szCs w:val="22"/>
        </w:rPr>
        <w:t xml:space="preserve">opóźnienia w terminach realizacji szczepień, nieprawidłowości w zakresie warunków przechowywania szczepionek, nieprawidłowości w dokumentacji szczepień oraz brak lub niekompletne procedury. Pielęgniarki wykonujące obowiązkowe szczepienia ochronne spełniały wymagane kwalifikacje. Ponadto pracownicy powiatowych stacji sanitarno-epidemiologicznych przeprowadzili masową weryfikację kart uodpornienia znajdujących się u świadczeniodawców, podczas której zaktualizowano informacje dot. danych dzieci </w:t>
      </w:r>
      <w:r w:rsidRPr="00B74DAD">
        <w:rPr>
          <w:rFonts w:ascii="Lato" w:hAnsi="Lato" w:cs="Calibri"/>
          <w:color w:val="000000"/>
          <w:sz w:val="22"/>
          <w:szCs w:val="22"/>
        </w:rPr>
        <w:lastRenderedPageBreak/>
        <w:t>niezaszczepionych wg PSO – łącznie przeprowadzono 601 kontroli kart uodpornienia. Akcja kontynuowana jest w 2026 roku.</w:t>
      </w:r>
    </w:p>
    <w:p w14:paraId="3E8A4A50" w14:textId="39F2CD56" w:rsidR="00986DE0" w:rsidRPr="00B74DAD" w:rsidRDefault="00986DE0" w:rsidP="00245ED6">
      <w:pPr>
        <w:pStyle w:val="Standard"/>
        <w:spacing w:line="360" w:lineRule="auto"/>
        <w:rPr>
          <w:rFonts w:ascii="Lato" w:hAnsi="Lato" w:cs="Calibri"/>
          <w:bCs/>
          <w:color w:val="000000"/>
          <w:sz w:val="22"/>
          <w:szCs w:val="22"/>
        </w:rPr>
      </w:pPr>
      <w:r w:rsidRPr="00B74DAD">
        <w:rPr>
          <w:rFonts w:ascii="Lato" w:hAnsi="Lato" w:cs="Calibri"/>
          <w:color w:val="000000"/>
          <w:sz w:val="22"/>
          <w:szCs w:val="22"/>
          <w:u w:val="single"/>
        </w:rPr>
        <w:t>Powszechny program szczepień przeciw HPV</w:t>
      </w:r>
      <w:r w:rsidRPr="00B74DAD">
        <w:rPr>
          <w:rFonts w:ascii="Lato" w:hAnsi="Lato" w:cs="Calibri"/>
          <w:color w:val="000000"/>
          <w:sz w:val="22"/>
          <w:szCs w:val="22"/>
        </w:rPr>
        <w:t xml:space="preserve">, który realizuje założenia i cele Narodowej Strategii Onkologicznej na lata 2020-2030 uzupełnia bezpłatny program szczepień ochronnych dla dzieci i młodzieży. </w:t>
      </w:r>
      <w:r w:rsidRPr="00B74DAD">
        <w:rPr>
          <w:rFonts w:ascii="Lato" w:hAnsi="Lato" w:cs="Calibri"/>
          <w:bCs/>
          <w:color w:val="000000"/>
          <w:sz w:val="22"/>
          <w:szCs w:val="22"/>
        </w:rPr>
        <w:t>W woj. zachodniopomorskim szczepienia realizowane były zarówno w punktach szczepień, jak też na terenie szkół przez uprawnionych lekarzy i pielęgniarki.  Zaszczepiono dotychczas ok. 23% dzieci z rocznika 2010 (wzrost w stosunku do roku ubiegłego o ok. 3%), ok. 32% dzieci z rocznika 2011 (wzrost w stosunku do roku ubiegłego o ok. 5%), ok. 30% dzieci z rocznika 2012 (wzrost w stosunku do roku ubiegłego o ok. 13%) oraz ok. 18% z rocznika 2013 (wzrost w stosunku do roku ubiegłego o ok. 10%).</w:t>
      </w:r>
    </w:p>
    <w:p w14:paraId="5A51AE43" w14:textId="77777777" w:rsidR="00986DE0" w:rsidRPr="00B74DAD" w:rsidRDefault="00986DE0" w:rsidP="00245ED6">
      <w:pPr>
        <w:pStyle w:val="NormalnyWeb"/>
        <w:spacing w:before="0" w:beforeAutospacing="0" w:after="0" w:afterAutospacing="0" w:line="360" w:lineRule="auto"/>
        <w:rPr>
          <w:rFonts w:ascii="Lato" w:hAnsi="Lato"/>
          <w:sz w:val="22"/>
          <w:szCs w:val="22"/>
        </w:rPr>
      </w:pPr>
      <w:r w:rsidRPr="00B74DAD">
        <w:rPr>
          <w:rFonts w:ascii="Lato" w:hAnsi="Lato" w:cs="Calibri"/>
          <w:color w:val="000000"/>
          <w:sz w:val="22"/>
          <w:szCs w:val="22"/>
        </w:rPr>
        <w:t xml:space="preserve">W ramach PSO </w:t>
      </w:r>
      <w:r w:rsidRPr="00B74DAD">
        <w:rPr>
          <w:rFonts w:ascii="Lato" w:hAnsi="Lato" w:cs="Calibri"/>
          <w:color w:val="000000"/>
          <w:sz w:val="22"/>
          <w:szCs w:val="22"/>
          <w:u w:val="single"/>
        </w:rPr>
        <w:t>szczepienia zalecane</w:t>
      </w:r>
      <w:r w:rsidRPr="00B74DAD">
        <w:rPr>
          <w:rFonts w:ascii="Lato" w:hAnsi="Lato" w:cs="Calibri"/>
          <w:color w:val="000000"/>
          <w:sz w:val="22"/>
          <w:szCs w:val="22"/>
        </w:rPr>
        <w:t xml:space="preserve"> wykonywane były zarówno przez świadczeniodawców</w:t>
      </w:r>
      <w:r w:rsidRPr="00B74DAD">
        <w:rPr>
          <w:rFonts w:ascii="Lato" w:hAnsi="Lato" w:cs="Calibri"/>
          <w:color w:val="000000"/>
          <w:sz w:val="22"/>
          <w:szCs w:val="22"/>
          <w:u w:val="single"/>
        </w:rPr>
        <w:t xml:space="preserve"> </w:t>
      </w:r>
      <w:r w:rsidRPr="00B74DAD">
        <w:rPr>
          <w:rFonts w:ascii="Lato" w:hAnsi="Lato" w:cs="Calibri"/>
          <w:color w:val="000000"/>
          <w:sz w:val="22"/>
          <w:szCs w:val="22"/>
        </w:rPr>
        <w:t xml:space="preserve">jak też w punktach szczepień ochronnych, których wykaz znajduje się na stronie internetowej Wojewódzkiej Stacji Sanitarno-Epidemiologicznej w Szczecinie pod linkiem </w:t>
      </w:r>
      <w:hyperlink r:id="rId16" w:history="1">
        <w:r w:rsidRPr="00B74DAD">
          <w:rPr>
            <w:rStyle w:val="Internetlink"/>
            <w:rFonts w:ascii="Lato" w:hAnsi="Lato" w:cs="Calibri"/>
            <w:color w:val="000000"/>
            <w:sz w:val="22"/>
            <w:szCs w:val="22"/>
          </w:rPr>
          <w:t>https://www.gov.pl/web/wsse-szczecin/oddzial-epidemiologii-szczepienia-ochronne</w:t>
        </w:r>
      </w:hyperlink>
      <w:r w:rsidRPr="00B74DAD">
        <w:rPr>
          <w:rFonts w:ascii="Lato" w:hAnsi="Lato" w:cs="Calibri"/>
          <w:color w:val="000000"/>
          <w:sz w:val="22"/>
          <w:szCs w:val="22"/>
        </w:rPr>
        <w:t>.</w:t>
      </w:r>
    </w:p>
    <w:p w14:paraId="0A9719F5" w14:textId="77777777" w:rsidR="00986DE0" w:rsidRPr="00B74DAD" w:rsidRDefault="00986DE0" w:rsidP="00245ED6">
      <w:pPr>
        <w:pStyle w:val="Standard"/>
        <w:spacing w:line="360" w:lineRule="auto"/>
        <w:rPr>
          <w:rFonts w:ascii="Lato" w:hAnsi="Lato" w:cs="Calibri"/>
          <w:color w:val="000000"/>
          <w:sz w:val="22"/>
          <w:szCs w:val="22"/>
        </w:rPr>
      </w:pPr>
      <w:r w:rsidRPr="00B74DAD">
        <w:rPr>
          <w:rFonts w:ascii="Lato" w:hAnsi="Lato" w:cs="Calibri"/>
          <w:color w:val="000000"/>
          <w:sz w:val="22"/>
          <w:szCs w:val="22"/>
        </w:rPr>
        <w:t xml:space="preserve">Szczepienia </w:t>
      </w:r>
      <w:proofErr w:type="spellStart"/>
      <w:r w:rsidRPr="00B74DAD">
        <w:rPr>
          <w:rFonts w:ascii="Lato" w:hAnsi="Lato" w:cs="Calibri"/>
          <w:color w:val="000000"/>
          <w:sz w:val="22"/>
          <w:szCs w:val="22"/>
        </w:rPr>
        <w:t>poekspozycyjne</w:t>
      </w:r>
      <w:proofErr w:type="spellEnd"/>
      <w:r w:rsidRPr="00B74DAD">
        <w:rPr>
          <w:rFonts w:ascii="Lato" w:hAnsi="Lato" w:cs="Calibri"/>
          <w:color w:val="000000"/>
          <w:sz w:val="22"/>
          <w:szCs w:val="22"/>
        </w:rPr>
        <w:t xml:space="preserve"> przeciw wściekliźnie wykonywane były w wybranych specjalistycznych poradniach chorób zakaźnych natomiast szczepienia </w:t>
      </w:r>
      <w:proofErr w:type="spellStart"/>
      <w:r w:rsidRPr="00B74DAD">
        <w:rPr>
          <w:rFonts w:ascii="Lato" w:hAnsi="Lato" w:cs="Calibri"/>
          <w:color w:val="000000"/>
          <w:sz w:val="22"/>
          <w:szCs w:val="22"/>
        </w:rPr>
        <w:t>poekspozycyjne</w:t>
      </w:r>
      <w:proofErr w:type="spellEnd"/>
      <w:r w:rsidRPr="00B74DAD">
        <w:rPr>
          <w:rFonts w:ascii="Lato" w:hAnsi="Lato" w:cs="Calibri"/>
          <w:color w:val="000000"/>
          <w:sz w:val="22"/>
          <w:szCs w:val="22"/>
        </w:rPr>
        <w:t xml:space="preserve"> przeciw tężcowi realizowane były w obrębie izb przyjęć i szpitalnych oddziałów ratunkowych.</w:t>
      </w:r>
    </w:p>
    <w:p w14:paraId="61CB88C5" w14:textId="3E0532F3" w:rsidR="00986DE0" w:rsidRPr="00B74DAD" w:rsidRDefault="00986DE0" w:rsidP="00245ED6">
      <w:pPr>
        <w:pStyle w:val="Standard"/>
        <w:spacing w:line="360" w:lineRule="auto"/>
        <w:rPr>
          <w:rFonts w:ascii="Lato" w:hAnsi="Lato"/>
          <w:color w:val="000000"/>
          <w:sz w:val="22"/>
          <w:szCs w:val="22"/>
        </w:rPr>
      </w:pPr>
      <w:r w:rsidRPr="00B74DAD">
        <w:rPr>
          <w:rFonts w:ascii="Lato" w:hAnsi="Lato" w:cs="Calibri"/>
          <w:color w:val="000000"/>
          <w:sz w:val="22"/>
          <w:szCs w:val="22"/>
        </w:rPr>
        <w:t>Konsultacje specjalistyczne z zakresu szczepień ochronnych na terenie województwa udzielane były w Samodzielnym Publicznym Wojewódzkim Szpitalu Zespolonym w Szczecinie przy ul. Arkońskiej 4 w Poradni Chorób Zakaźnych dla Dzieci.</w:t>
      </w:r>
    </w:p>
    <w:p w14:paraId="584AD351" w14:textId="77777777" w:rsidR="00986DE0" w:rsidRPr="00631EFC" w:rsidRDefault="00986DE0" w:rsidP="00245ED6">
      <w:pPr>
        <w:pStyle w:val="Standard"/>
        <w:spacing w:line="360" w:lineRule="auto"/>
        <w:rPr>
          <w:rFonts w:ascii="Lato" w:hAnsi="Lato" w:cs="Calibri"/>
          <w:color w:val="000000"/>
          <w:sz w:val="22"/>
          <w:szCs w:val="22"/>
        </w:rPr>
      </w:pPr>
      <w:r w:rsidRPr="00631EFC">
        <w:rPr>
          <w:rFonts w:ascii="Lato" w:hAnsi="Lato" w:cs="Calibri"/>
          <w:color w:val="000000"/>
          <w:sz w:val="22"/>
          <w:szCs w:val="22"/>
        </w:rPr>
        <w:t>Na podstawie danych zawartych w rocznych sprawozdaniach ze szczepień ochronnych MZ-54 przekazywanych przez świadczeniodawców prowadzących szczepienia do właściwych państwowych powiatowych inspektorów sanitarnych stwierdzono:</w:t>
      </w:r>
    </w:p>
    <w:p w14:paraId="4999BDE4" w14:textId="235A41D8" w:rsidR="00986DE0" w:rsidRPr="00631EFC" w:rsidRDefault="00986DE0">
      <w:pPr>
        <w:pStyle w:val="Standard"/>
        <w:numPr>
          <w:ilvl w:val="0"/>
          <w:numId w:val="47"/>
        </w:numPr>
        <w:spacing w:line="360" w:lineRule="auto"/>
        <w:ind w:left="851" w:hanging="284"/>
        <w:rPr>
          <w:rFonts w:ascii="Lato" w:hAnsi="Lato" w:cs="Calibri"/>
          <w:color w:val="000000"/>
          <w:sz w:val="22"/>
          <w:szCs w:val="22"/>
        </w:rPr>
      </w:pPr>
      <w:r w:rsidRPr="00631EFC">
        <w:rPr>
          <w:rFonts w:ascii="Lato" w:hAnsi="Lato" w:cs="Calibri"/>
          <w:color w:val="000000"/>
          <w:sz w:val="22"/>
          <w:szCs w:val="22"/>
        </w:rPr>
        <w:t>w większości roczników uległa zwiększeniu liczba dzieci i młodzieży nieobjętych</w:t>
      </w:r>
      <w:r>
        <w:rPr>
          <w:rFonts w:ascii="Lato" w:hAnsi="Lato" w:cs="Calibri"/>
          <w:color w:val="000000"/>
          <w:sz w:val="22"/>
          <w:szCs w:val="22"/>
        </w:rPr>
        <w:t xml:space="preserve"> </w:t>
      </w:r>
      <w:r w:rsidRPr="00631EFC">
        <w:rPr>
          <w:rFonts w:ascii="Lato" w:hAnsi="Lato" w:cs="Calibri"/>
          <w:color w:val="000000"/>
          <w:sz w:val="22"/>
          <w:szCs w:val="22"/>
        </w:rPr>
        <w:t>szczepieniami w stosunku do roku 2024;</w:t>
      </w:r>
    </w:p>
    <w:p w14:paraId="2A16AA26" w14:textId="0F0FBEA8" w:rsidR="00986DE0" w:rsidRPr="00631EFC" w:rsidRDefault="00986DE0">
      <w:pPr>
        <w:pStyle w:val="Standard"/>
        <w:numPr>
          <w:ilvl w:val="0"/>
          <w:numId w:val="47"/>
        </w:numPr>
        <w:spacing w:line="360" w:lineRule="auto"/>
        <w:ind w:left="851" w:hanging="284"/>
        <w:rPr>
          <w:rFonts w:ascii="Lato" w:hAnsi="Lato" w:cs="Calibri"/>
          <w:color w:val="000000"/>
          <w:sz w:val="22"/>
          <w:szCs w:val="22"/>
        </w:rPr>
      </w:pPr>
      <w:r w:rsidRPr="00631EFC">
        <w:rPr>
          <w:rFonts w:ascii="Lato" w:hAnsi="Lato" w:cs="Calibri"/>
          <w:color w:val="000000"/>
          <w:sz w:val="22"/>
          <w:szCs w:val="22"/>
        </w:rPr>
        <w:t>zbyt niski dla osiągnięcia odporności zbiorowiskowej odsetek stanu zaszczepienia dzieci i</w:t>
      </w:r>
      <w:r>
        <w:rPr>
          <w:rFonts w:ascii="Lato" w:hAnsi="Lato" w:cs="Calibri"/>
          <w:color w:val="000000"/>
          <w:sz w:val="22"/>
          <w:szCs w:val="22"/>
        </w:rPr>
        <w:t> </w:t>
      </w:r>
      <w:r w:rsidRPr="00631EFC">
        <w:rPr>
          <w:rFonts w:ascii="Lato" w:hAnsi="Lato" w:cs="Calibri"/>
          <w:color w:val="000000"/>
          <w:sz w:val="22"/>
          <w:szCs w:val="22"/>
        </w:rPr>
        <w:t>młodzieży w części roczników podlegających obowiązkowym szczepieniom ochronnym w</w:t>
      </w:r>
      <w:r>
        <w:rPr>
          <w:rFonts w:ascii="Lato" w:hAnsi="Lato" w:cs="Calibri"/>
          <w:color w:val="000000"/>
          <w:sz w:val="22"/>
          <w:szCs w:val="22"/>
        </w:rPr>
        <w:t> </w:t>
      </w:r>
      <w:r w:rsidRPr="00631EFC">
        <w:rPr>
          <w:rFonts w:ascii="Lato" w:hAnsi="Lato" w:cs="Calibri"/>
          <w:color w:val="000000"/>
          <w:sz w:val="22"/>
          <w:szCs w:val="22"/>
        </w:rPr>
        <w:t>2025 roku,</w:t>
      </w:r>
    </w:p>
    <w:p w14:paraId="428A30DF" w14:textId="4D2F0A9A" w:rsidR="00986DE0" w:rsidRPr="00631EFC" w:rsidRDefault="00986DE0">
      <w:pPr>
        <w:pStyle w:val="Standard"/>
        <w:numPr>
          <w:ilvl w:val="0"/>
          <w:numId w:val="47"/>
        </w:numPr>
        <w:spacing w:line="360" w:lineRule="auto"/>
        <w:ind w:left="851" w:hanging="284"/>
        <w:rPr>
          <w:rFonts w:ascii="Lato" w:hAnsi="Lato" w:cs="Calibri"/>
          <w:color w:val="000000"/>
          <w:sz w:val="22"/>
          <w:szCs w:val="22"/>
        </w:rPr>
      </w:pPr>
      <w:r w:rsidRPr="00631EFC">
        <w:rPr>
          <w:rFonts w:ascii="Lato" w:hAnsi="Lato" w:cs="Calibri"/>
          <w:color w:val="000000"/>
          <w:sz w:val="22"/>
          <w:szCs w:val="22"/>
        </w:rPr>
        <w:t xml:space="preserve">nie objęto szczepieniami przeciw gruźlicy 287 dzieci z rocznika </w:t>
      </w:r>
      <w:r w:rsidRPr="001B74A0">
        <w:rPr>
          <w:rFonts w:ascii="Lato" w:hAnsi="Lato" w:cs="Calibri"/>
          <w:sz w:val="22"/>
          <w:szCs w:val="22"/>
        </w:rPr>
        <w:t>2025 tj. 3,43 % dzieci;</w:t>
      </w:r>
    </w:p>
    <w:p w14:paraId="4A81B646" w14:textId="77777777" w:rsidR="00986DE0" w:rsidRPr="00631EFC" w:rsidRDefault="00986DE0" w:rsidP="00245ED6">
      <w:pPr>
        <w:pStyle w:val="Standard"/>
        <w:spacing w:line="360" w:lineRule="auto"/>
        <w:rPr>
          <w:rFonts w:ascii="Lato" w:hAnsi="Lato" w:cs="Calibri"/>
          <w:color w:val="000000"/>
          <w:sz w:val="22"/>
          <w:szCs w:val="22"/>
        </w:rPr>
      </w:pPr>
      <w:r w:rsidRPr="00631EFC">
        <w:rPr>
          <w:rFonts w:ascii="Lato" w:hAnsi="Lato" w:cs="Calibri"/>
          <w:color w:val="000000"/>
          <w:sz w:val="22"/>
          <w:szCs w:val="22"/>
        </w:rPr>
        <w:t>Powyższa sytuacja została spowodowana</w:t>
      </w:r>
      <w:r>
        <w:rPr>
          <w:rFonts w:ascii="Lato" w:hAnsi="Lato" w:cs="Calibri"/>
          <w:color w:val="000000"/>
          <w:sz w:val="22"/>
          <w:szCs w:val="22"/>
        </w:rPr>
        <w:t xml:space="preserve"> m.in.</w:t>
      </w:r>
      <w:r w:rsidRPr="00631EFC">
        <w:rPr>
          <w:rFonts w:ascii="Lato" w:hAnsi="Lato" w:cs="Calibri"/>
          <w:color w:val="000000"/>
          <w:sz w:val="22"/>
          <w:szCs w:val="22"/>
        </w:rPr>
        <w:t>:</w:t>
      </w:r>
    </w:p>
    <w:p w14:paraId="6D3A7E68" w14:textId="275BB138" w:rsidR="00986DE0" w:rsidRPr="00631EFC" w:rsidRDefault="00986DE0">
      <w:pPr>
        <w:pStyle w:val="Standard"/>
        <w:numPr>
          <w:ilvl w:val="0"/>
          <w:numId w:val="48"/>
        </w:numPr>
        <w:spacing w:line="360" w:lineRule="auto"/>
        <w:ind w:left="851" w:hanging="284"/>
        <w:rPr>
          <w:rFonts w:ascii="Lato" w:hAnsi="Lato" w:cs="Calibri"/>
          <w:color w:val="000000"/>
          <w:sz w:val="22"/>
          <w:szCs w:val="22"/>
        </w:rPr>
      </w:pPr>
      <w:r w:rsidRPr="00631EFC">
        <w:rPr>
          <w:rFonts w:ascii="Lato" w:hAnsi="Lato" w:cs="Calibri"/>
          <w:color w:val="000000"/>
          <w:sz w:val="22"/>
          <w:szCs w:val="22"/>
        </w:rPr>
        <w:t>występującą na naszym terenie znaczną migracją ludności,</w:t>
      </w:r>
    </w:p>
    <w:p w14:paraId="781059F5" w14:textId="40BE7AD7" w:rsidR="00986DE0" w:rsidRPr="00482836" w:rsidRDefault="00986DE0">
      <w:pPr>
        <w:pStyle w:val="Standard"/>
        <w:numPr>
          <w:ilvl w:val="0"/>
          <w:numId w:val="48"/>
        </w:numPr>
        <w:spacing w:line="360" w:lineRule="auto"/>
        <w:ind w:left="851" w:hanging="284"/>
        <w:rPr>
          <w:rFonts w:ascii="Lato" w:hAnsi="Lato" w:cs="Calibri"/>
          <w:color w:val="000000"/>
          <w:sz w:val="22"/>
          <w:szCs w:val="22"/>
        </w:rPr>
      </w:pPr>
      <w:r w:rsidRPr="00631EFC">
        <w:rPr>
          <w:rFonts w:ascii="Lato" w:hAnsi="Lato" w:cs="Calibri"/>
          <w:color w:val="000000"/>
          <w:sz w:val="22"/>
          <w:szCs w:val="22"/>
        </w:rPr>
        <w:t>powrotami dzieci, które przez pewien czas przebywały poza granicami kraju,</w:t>
      </w:r>
    </w:p>
    <w:p w14:paraId="265807B6" w14:textId="2811DCF0" w:rsidR="00986DE0" w:rsidRPr="00631EFC" w:rsidRDefault="00986DE0">
      <w:pPr>
        <w:pStyle w:val="Standard"/>
        <w:numPr>
          <w:ilvl w:val="0"/>
          <w:numId w:val="48"/>
        </w:numPr>
        <w:spacing w:line="360" w:lineRule="auto"/>
        <w:ind w:left="851" w:hanging="284"/>
        <w:rPr>
          <w:rFonts w:ascii="Lato" w:hAnsi="Lato" w:cs="Calibri"/>
          <w:color w:val="000000"/>
          <w:sz w:val="22"/>
          <w:szCs w:val="22"/>
        </w:rPr>
      </w:pPr>
      <w:r w:rsidRPr="00631EFC">
        <w:rPr>
          <w:rFonts w:ascii="Lato" w:hAnsi="Lato" w:cs="Calibri"/>
          <w:color w:val="000000"/>
          <w:sz w:val="22"/>
          <w:szCs w:val="22"/>
        </w:rPr>
        <w:t>stałymi lub czasowymi przeciwwskazaniami do szczepień,</w:t>
      </w:r>
    </w:p>
    <w:p w14:paraId="1A2CA6C3" w14:textId="043327DE" w:rsidR="00986DE0" w:rsidRPr="00631EFC" w:rsidRDefault="00986DE0">
      <w:pPr>
        <w:pStyle w:val="Standard"/>
        <w:numPr>
          <w:ilvl w:val="0"/>
          <w:numId w:val="48"/>
        </w:numPr>
        <w:spacing w:line="360" w:lineRule="auto"/>
        <w:ind w:left="851" w:hanging="284"/>
        <w:rPr>
          <w:rFonts w:ascii="Lato" w:hAnsi="Lato" w:cs="Calibri"/>
          <w:color w:val="000000"/>
          <w:sz w:val="22"/>
          <w:szCs w:val="22"/>
        </w:rPr>
      </w:pPr>
      <w:r w:rsidRPr="00631EFC">
        <w:rPr>
          <w:rFonts w:ascii="Lato" w:hAnsi="Lato" w:cs="Calibri"/>
          <w:color w:val="000000"/>
          <w:sz w:val="22"/>
          <w:szCs w:val="22"/>
        </w:rPr>
        <w:t>sezonem infekcyjnym, z powodu którego część dzieci urodzonych w drugiej połowie roku nie zdążyła zostać zaszczepiona pełnym cyklem szczepień</w:t>
      </w:r>
      <w:r>
        <w:rPr>
          <w:rFonts w:ascii="Lato" w:hAnsi="Lato" w:cs="Calibri"/>
          <w:color w:val="000000"/>
          <w:sz w:val="22"/>
          <w:szCs w:val="22"/>
        </w:rPr>
        <w:t>,</w:t>
      </w:r>
    </w:p>
    <w:p w14:paraId="3E0651EB" w14:textId="73CED3B8" w:rsidR="00986DE0" w:rsidRPr="00631EFC" w:rsidRDefault="00986DE0">
      <w:pPr>
        <w:pStyle w:val="Standard"/>
        <w:numPr>
          <w:ilvl w:val="0"/>
          <w:numId w:val="48"/>
        </w:numPr>
        <w:spacing w:line="360" w:lineRule="auto"/>
        <w:ind w:left="851" w:hanging="284"/>
        <w:rPr>
          <w:rFonts w:ascii="Lato" w:hAnsi="Lato" w:cs="Calibri"/>
          <w:color w:val="000000"/>
          <w:sz w:val="22"/>
          <w:szCs w:val="22"/>
        </w:rPr>
      </w:pPr>
      <w:r w:rsidRPr="00631EFC">
        <w:rPr>
          <w:rFonts w:ascii="Lato" w:hAnsi="Lato" w:cs="Calibri"/>
          <w:color w:val="000000"/>
          <w:sz w:val="22"/>
          <w:szCs w:val="22"/>
        </w:rPr>
        <w:lastRenderedPageBreak/>
        <w:t>wzrostem na terenie woj. zachodniopomorskiego liczby osób nierealizujących obowiązku szczepień ochronnych.</w:t>
      </w:r>
    </w:p>
    <w:p w14:paraId="13817E5D" w14:textId="767A7DDB" w:rsidR="00986DE0" w:rsidRPr="00B74DAD" w:rsidRDefault="00986DE0" w:rsidP="00245ED6">
      <w:pPr>
        <w:spacing w:line="360" w:lineRule="auto"/>
        <w:rPr>
          <w:rFonts w:ascii="Lato" w:hAnsi="Lato" w:cs="Calibri"/>
          <w:color w:val="000000"/>
          <w:sz w:val="22"/>
          <w:szCs w:val="22"/>
        </w:rPr>
      </w:pPr>
      <w:r w:rsidRPr="00B74DAD">
        <w:rPr>
          <w:rFonts w:ascii="Lato" w:hAnsi="Lato" w:cs="Calibri"/>
          <w:color w:val="000000"/>
          <w:spacing w:val="-2"/>
          <w:sz w:val="22"/>
          <w:szCs w:val="22"/>
        </w:rPr>
        <w:t xml:space="preserve">Stan uodpornienia dzieci i młodzieży w rocznikach podlegających szczepieniom w 2025 r. </w:t>
      </w:r>
      <w:r w:rsidRPr="00B74DAD">
        <w:rPr>
          <w:rFonts w:ascii="Lato" w:hAnsi="Lato" w:cs="Calibri"/>
          <w:color w:val="000000"/>
          <w:sz w:val="22"/>
          <w:szCs w:val="22"/>
        </w:rPr>
        <w:t>na</w:t>
      </w:r>
      <w:r w:rsidR="00E63C92">
        <w:rPr>
          <w:rFonts w:ascii="Lato" w:hAnsi="Lato" w:cs="Calibri"/>
          <w:color w:val="000000"/>
          <w:sz w:val="22"/>
          <w:szCs w:val="22"/>
        </w:rPr>
        <w:t> </w:t>
      </w:r>
      <w:r w:rsidRPr="00B74DAD">
        <w:rPr>
          <w:rFonts w:ascii="Lato" w:hAnsi="Lato" w:cs="Calibri"/>
          <w:color w:val="000000"/>
          <w:sz w:val="22"/>
          <w:szCs w:val="22"/>
        </w:rPr>
        <w:t>terenie woj. zachodniopomorskiego przedstawia tabela 1</w:t>
      </w:r>
      <w:r w:rsidR="001B3A58">
        <w:rPr>
          <w:rFonts w:ascii="Lato" w:hAnsi="Lato" w:cs="Calibri"/>
          <w:color w:val="000000"/>
          <w:sz w:val="22"/>
          <w:szCs w:val="22"/>
        </w:rPr>
        <w:t>5</w:t>
      </w:r>
      <w:r w:rsidRPr="00B74DAD">
        <w:rPr>
          <w:rFonts w:ascii="Lato" w:hAnsi="Lato" w:cs="Calibri"/>
          <w:color w:val="000000"/>
          <w:sz w:val="22"/>
          <w:szCs w:val="22"/>
        </w:rPr>
        <w:t>.</w:t>
      </w:r>
    </w:p>
    <w:p w14:paraId="1F7D07B2" w14:textId="6617C35B" w:rsidR="00C92B81" w:rsidRPr="00C92B81" w:rsidRDefault="000F1F19" w:rsidP="00CC39AE">
      <w:pPr>
        <w:pStyle w:val="Legenda"/>
      </w:pPr>
      <w:bookmarkStart w:id="71" w:name="_Toc225859371"/>
      <w:r w:rsidRPr="000F1F19">
        <w:rPr>
          <w:rFonts w:ascii="Lato" w:hAnsi="Lato"/>
          <w:b w:val="0"/>
          <w:bCs w:val="0"/>
          <w:sz w:val="18"/>
          <w:szCs w:val="18"/>
        </w:rPr>
        <w:t xml:space="preserve">Tabela </w:t>
      </w:r>
      <w:r w:rsidRPr="000F1F19">
        <w:rPr>
          <w:rFonts w:ascii="Lato" w:hAnsi="Lato"/>
          <w:b w:val="0"/>
          <w:bCs w:val="0"/>
          <w:sz w:val="18"/>
          <w:szCs w:val="18"/>
        </w:rPr>
        <w:fldChar w:fldCharType="begin"/>
      </w:r>
      <w:r w:rsidRPr="000F1F19">
        <w:rPr>
          <w:rFonts w:ascii="Lato" w:hAnsi="Lato"/>
          <w:b w:val="0"/>
          <w:bCs w:val="0"/>
          <w:sz w:val="18"/>
          <w:szCs w:val="18"/>
        </w:rPr>
        <w:instrText xml:space="preserve"> SEQ Tabela \* ARABIC </w:instrText>
      </w:r>
      <w:r w:rsidRPr="000F1F19">
        <w:rPr>
          <w:rFonts w:ascii="Lato" w:hAnsi="Lato"/>
          <w:b w:val="0"/>
          <w:bCs w:val="0"/>
          <w:sz w:val="18"/>
          <w:szCs w:val="18"/>
        </w:rPr>
        <w:fldChar w:fldCharType="separate"/>
      </w:r>
      <w:r w:rsidR="002A3179">
        <w:rPr>
          <w:rFonts w:ascii="Lato" w:hAnsi="Lato"/>
          <w:b w:val="0"/>
          <w:bCs w:val="0"/>
          <w:noProof/>
          <w:sz w:val="18"/>
          <w:szCs w:val="18"/>
        </w:rPr>
        <w:t>15</w:t>
      </w:r>
      <w:r w:rsidRPr="000F1F19">
        <w:rPr>
          <w:rFonts w:ascii="Lato" w:hAnsi="Lato"/>
          <w:b w:val="0"/>
          <w:bCs w:val="0"/>
          <w:sz w:val="18"/>
          <w:szCs w:val="18"/>
        </w:rPr>
        <w:fldChar w:fldCharType="end"/>
      </w:r>
      <w:r w:rsidRPr="000F1F19">
        <w:rPr>
          <w:rFonts w:ascii="Lato" w:hAnsi="Lato"/>
          <w:b w:val="0"/>
          <w:bCs w:val="0"/>
          <w:sz w:val="18"/>
          <w:szCs w:val="18"/>
        </w:rPr>
        <w:t>. Stan uodpornienia dzieci i młodzieży w rocznikach podlegających szczepieniom w 2025 r.</w:t>
      </w:r>
      <w:bookmarkEnd w:id="71"/>
    </w:p>
    <w:tbl>
      <w:tblPr>
        <w:tblW w:w="0" w:type="auto"/>
        <w:tblInd w:w="579" w:type="dxa"/>
        <w:tblLayout w:type="fixed"/>
        <w:tblCellMar>
          <w:left w:w="70" w:type="dxa"/>
          <w:right w:w="70" w:type="dxa"/>
        </w:tblCellMar>
        <w:tblLook w:val="04A0" w:firstRow="1" w:lastRow="0" w:firstColumn="1" w:lastColumn="0" w:noHBand="0" w:noVBand="1"/>
        <w:tblCaption w:val="Stan uodpornienia dzieci i młodzieży w rocznikach podlegających szczepieniom w 2025 r."/>
        <w:tblDescription w:val="Tabela przedstawia dane na temat odsetka zaszczepionych dzieci i młodzieży w rocznikach 2025, 2024, 2020, 2016, 2012, 2007."/>
      </w:tblPr>
      <w:tblGrid>
        <w:gridCol w:w="1559"/>
        <w:gridCol w:w="1447"/>
        <w:gridCol w:w="444"/>
        <w:gridCol w:w="46"/>
        <w:gridCol w:w="113"/>
        <w:gridCol w:w="2191"/>
        <w:gridCol w:w="2147"/>
      </w:tblGrid>
      <w:tr w:rsidR="00986DE0" w:rsidRPr="004B39AC" w14:paraId="146DFAE3" w14:textId="77777777" w:rsidTr="00130F95">
        <w:trPr>
          <w:trHeight w:val="900"/>
        </w:trPr>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85570D" w14:textId="77777777" w:rsidR="00986DE0" w:rsidRPr="001B74A0" w:rsidRDefault="00986DE0" w:rsidP="003C7140">
            <w:pPr>
              <w:spacing w:line="276" w:lineRule="auto"/>
              <w:rPr>
                <w:rFonts w:ascii="Lato" w:hAnsi="Lato" w:cstheme="minorHAnsi"/>
                <w:b/>
                <w:bCs/>
                <w:sz w:val="20"/>
                <w:szCs w:val="20"/>
              </w:rPr>
            </w:pPr>
            <w:r w:rsidRPr="001B74A0">
              <w:rPr>
                <w:rFonts w:ascii="Lato" w:hAnsi="Lato" w:cstheme="minorHAnsi"/>
                <w:b/>
                <w:bCs/>
                <w:sz w:val="20"/>
                <w:szCs w:val="20"/>
              </w:rPr>
              <w:t>Rocznik</w:t>
            </w:r>
          </w:p>
        </w:tc>
        <w:tc>
          <w:tcPr>
            <w:tcW w:w="42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69830F" w14:textId="77777777" w:rsidR="00986DE0" w:rsidRPr="001B74A0" w:rsidRDefault="00986DE0" w:rsidP="003C7140">
            <w:pPr>
              <w:spacing w:line="276" w:lineRule="auto"/>
              <w:rPr>
                <w:rFonts w:ascii="Lato" w:hAnsi="Lato" w:cstheme="minorHAnsi"/>
                <w:b/>
                <w:bCs/>
                <w:sz w:val="20"/>
                <w:szCs w:val="20"/>
              </w:rPr>
            </w:pPr>
            <w:r w:rsidRPr="001B74A0">
              <w:rPr>
                <w:rFonts w:ascii="Lato" w:hAnsi="Lato" w:cstheme="minorHAnsi"/>
                <w:b/>
                <w:bCs/>
                <w:sz w:val="20"/>
                <w:szCs w:val="20"/>
              </w:rPr>
              <w:t>Szczepienia przeciw</w:t>
            </w:r>
          </w:p>
        </w:tc>
        <w:tc>
          <w:tcPr>
            <w:tcW w:w="2147" w:type="dxa"/>
            <w:tcBorders>
              <w:top w:val="single" w:sz="4" w:space="0" w:color="auto"/>
              <w:left w:val="single" w:sz="4" w:space="0" w:color="auto"/>
              <w:right w:val="single" w:sz="4" w:space="0" w:color="auto"/>
            </w:tcBorders>
            <w:shd w:val="clear" w:color="auto" w:fill="D9D9D9" w:themeFill="background1" w:themeFillShade="D9"/>
            <w:vAlign w:val="center"/>
          </w:tcPr>
          <w:p w14:paraId="25D5C186" w14:textId="77777777" w:rsidR="00986DE0" w:rsidRPr="001B74A0" w:rsidRDefault="00986DE0" w:rsidP="003C7140">
            <w:pPr>
              <w:spacing w:line="276" w:lineRule="auto"/>
              <w:rPr>
                <w:rFonts w:ascii="Lato" w:hAnsi="Lato" w:cstheme="minorHAnsi"/>
                <w:b/>
                <w:bCs/>
                <w:sz w:val="20"/>
                <w:szCs w:val="20"/>
              </w:rPr>
            </w:pPr>
            <w:r w:rsidRPr="001B74A0">
              <w:rPr>
                <w:rFonts w:ascii="Lato" w:hAnsi="Lato" w:cstheme="minorHAnsi"/>
                <w:b/>
                <w:bCs/>
                <w:sz w:val="20"/>
                <w:szCs w:val="20"/>
              </w:rPr>
              <w:t>Odsetek zaszczepionych dzieci i młodzieży w rocznikach podlegającym szczepieniom</w:t>
            </w:r>
          </w:p>
        </w:tc>
      </w:tr>
      <w:tr w:rsidR="00986DE0" w:rsidRPr="004B39AC" w14:paraId="686A45E7" w14:textId="77777777" w:rsidTr="003C7140">
        <w:trPr>
          <w:trHeight w:val="284"/>
        </w:trPr>
        <w:tc>
          <w:tcPr>
            <w:tcW w:w="1559" w:type="dxa"/>
            <w:vMerge w:val="restart"/>
            <w:tcBorders>
              <w:top w:val="single" w:sz="4" w:space="0" w:color="auto"/>
              <w:left w:val="single" w:sz="4" w:space="0" w:color="auto"/>
              <w:right w:val="single" w:sz="4" w:space="0" w:color="auto"/>
            </w:tcBorders>
            <w:vAlign w:val="center"/>
            <w:hideMark/>
          </w:tcPr>
          <w:p w14:paraId="5A3E9BB3"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1 r.ż.</w:t>
            </w:r>
          </w:p>
          <w:p w14:paraId="2EE7F593"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rocznik 2025</w:t>
            </w:r>
          </w:p>
        </w:tc>
        <w:tc>
          <w:tcPr>
            <w:tcW w:w="4241" w:type="dxa"/>
            <w:gridSpan w:val="5"/>
            <w:tcBorders>
              <w:top w:val="single" w:sz="4" w:space="0" w:color="auto"/>
              <w:left w:val="single" w:sz="4" w:space="0" w:color="auto"/>
              <w:bottom w:val="single" w:sz="4" w:space="0" w:color="auto"/>
              <w:right w:val="single" w:sz="4" w:space="0" w:color="auto"/>
            </w:tcBorders>
            <w:vAlign w:val="center"/>
            <w:hideMark/>
          </w:tcPr>
          <w:p w14:paraId="13C4D030"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Gruźlica</w:t>
            </w:r>
          </w:p>
        </w:tc>
        <w:tc>
          <w:tcPr>
            <w:tcW w:w="2147" w:type="dxa"/>
            <w:tcBorders>
              <w:top w:val="single" w:sz="4" w:space="0" w:color="auto"/>
              <w:left w:val="single" w:sz="4" w:space="0" w:color="auto"/>
              <w:bottom w:val="single" w:sz="4" w:space="0" w:color="auto"/>
              <w:right w:val="single" w:sz="4" w:space="0" w:color="auto"/>
            </w:tcBorders>
          </w:tcPr>
          <w:p w14:paraId="0073755E"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96,57</w:t>
            </w:r>
          </w:p>
        </w:tc>
      </w:tr>
      <w:tr w:rsidR="00986DE0" w:rsidRPr="004B39AC" w14:paraId="16C7C2CB" w14:textId="77777777" w:rsidTr="003C7140">
        <w:trPr>
          <w:trHeight w:val="284"/>
        </w:trPr>
        <w:tc>
          <w:tcPr>
            <w:tcW w:w="1559" w:type="dxa"/>
            <w:vMerge/>
            <w:tcBorders>
              <w:left w:val="single" w:sz="4" w:space="0" w:color="auto"/>
              <w:right w:val="single" w:sz="4" w:space="0" w:color="auto"/>
            </w:tcBorders>
            <w:vAlign w:val="center"/>
            <w:hideMark/>
          </w:tcPr>
          <w:p w14:paraId="500895F2" w14:textId="77777777" w:rsidR="00986DE0" w:rsidRPr="001B74A0" w:rsidRDefault="00986DE0" w:rsidP="003C7140">
            <w:pPr>
              <w:spacing w:line="276" w:lineRule="auto"/>
              <w:rPr>
                <w:rFonts w:ascii="Lato" w:hAnsi="Lato" w:cstheme="minorHAnsi"/>
                <w:sz w:val="20"/>
                <w:szCs w:val="20"/>
              </w:rPr>
            </w:pPr>
          </w:p>
        </w:tc>
        <w:tc>
          <w:tcPr>
            <w:tcW w:w="1937"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46D40D9"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WZW typu „B”</w:t>
            </w:r>
          </w:p>
        </w:tc>
        <w:tc>
          <w:tcPr>
            <w:tcW w:w="2304" w:type="dxa"/>
            <w:gridSpan w:val="2"/>
            <w:tcBorders>
              <w:top w:val="single" w:sz="4" w:space="0" w:color="auto"/>
              <w:left w:val="single" w:sz="4" w:space="0" w:color="auto"/>
              <w:bottom w:val="single" w:sz="4" w:space="0" w:color="auto"/>
              <w:right w:val="single" w:sz="4" w:space="0" w:color="auto"/>
            </w:tcBorders>
            <w:vAlign w:val="center"/>
            <w:hideMark/>
          </w:tcPr>
          <w:p w14:paraId="1E5DC02B"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Pierwotne</w:t>
            </w:r>
          </w:p>
        </w:tc>
        <w:tc>
          <w:tcPr>
            <w:tcW w:w="2147" w:type="dxa"/>
            <w:tcBorders>
              <w:top w:val="single" w:sz="4" w:space="0" w:color="auto"/>
              <w:left w:val="single" w:sz="4" w:space="0" w:color="auto"/>
              <w:bottom w:val="single" w:sz="4" w:space="0" w:color="auto"/>
              <w:right w:val="single" w:sz="4" w:space="0" w:color="auto"/>
            </w:tcBorders>
          </w:tcPr>
          <w:p w14:paraId="0DA1E480"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42,45</w:t>
            </w:r>
          </w:p>
        </w:tc>
      </w:tr>
      <w:tr w:rsidR="00986DE0" w:rsidRPr="004B39AC" w14:paraId="24209653" w14:textId="77777777" w:rsidTr="003C7140">
        <w:trPr>
          <w:trHeight w:val="284"/>
        </w:trPr>
        <w:tc>
          <w:tcPr>
            <w:tcW w:w="1559" w:type="dxa"/>
            <w:vMerge/>
            <w:tcBorders>
              <w:left w:val="single" w:sz="4" w:space="0" w:color="auto"/>
              <w:right w:val="single" w:sz="4" w:space="0" w:color="auto"/>
            </w:tcBorders>
            <w:vAlign w:val="center"/>
            <w:hideMark/>
          </w:tcPr>
          <w:p w14:paraId="08889362" w14:textId="77777777" w:rsidR="00986DE0" w:rsidRPr="001B74A0" w:rsidRDefault="00986DE0" w:rsidP="003C7140">
            <w:pPr>
              <w:spacing w:line="276" w:lineRule="auto"/>
              <w:rPr>
                <w:rFonts w:ascii="Lato" w:hAnsi="Lato" w:cstheme="minorHAnsi"/>
                <w:sz w:val="20"/>
                <w:szCs w:val="20"/>
              </w:rPr>
            </w:pPr>
          </w:p>
        </w:tc>
        <w:tc>
          <w:tcPr>
            <w:tcW w:w="1937" w:type="dxa"/>
            <w:gridSpan w:val="3"/>
            <w:vMerge/>
            <w:tcBorders>
              <w:top w:val="single" w:sz="4" w:space="0" w:color="auto"/>
              <w:left w:val="single" w:sz="4" w:space="0" w:color="auto"/>
              <w:bottom w:val="single" w:sz="4" w:space="0" w:color="auto"/>
              <w:right w:val="single" w:sz="4" w:space="0" w:color="auto"/>
            </w:tcBorders>
            <w:vAlign w:val="center"/>
            <w:hideMark/>
          </w:tcPr>
          <w:p w14:paraId="7A8ABB77" w14:textId="77777777" w:rsidR="00986DE0" w:rsidRPr="001B74A0" w:rsidRDefault="00986DE0" w:rsidP="003C7140">
            <w:pPr>
              <w:spacing w:line="276" w:lineRule="auto"/>
              <w:rPr>
                <w:rFonts w:ascii="Lato" w:hAnsi="Lato" w:cstheme="minorHAnsi"/>
                <w:sz w:val="20"/>
                <w:szCs w:val="20"/>
              </w:rPr>
            </w:pPr>
          </w:p>
        </w:tc>
        <w:tc>
          <w:tcPr>
            <w:tcW w:w="2304" w:type="dxa"/>
            <w:gridSpan w:val="2"/>
            <w:tcBorders>
              <w:top w:val="single" w:sz="4" w:space="0" w:color="auto"/>
              <w:left w:val="single" w:sz="4" w:space="0" w:color="auto"/>
              <w:bottom w:val="single" w:sz="4" w:space="0" w:color="auto"/>
              <w:right w:val="single" w:sz="4" w:space="0" w:color="auto"/>
            </w:tcBorders>
            <w:vAlign w:val="center"/>
            <w:hideMark/>
          </w:tcPr>
          <w:p w14:paraId="3746AC28"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Uzupełniające</w:t>
            </w:r>
          </w:p>
        </w:tc>
        <w:tc>
          <w:tcPr>
            <w:tcW w:w="2147" w:type="dxa"/>
            <w:tcBorders>
              <w:top w:val="single" w:sz="4" w:space="0" w:color="auto"/>
              <w:left w:val="single" w:sz="4" w:space="0" w:color="auto"/>
              <w:bottom w:val="single" w:sz="4" w:space="0" w:color="auto"/>
              <w:right w:val="single" w:sz="4" w:space="0" w:color="auto"/>
            </w:tcBorders>
          </w:tcPr>
          <w:p w14:paraId="2D4751F9"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42,95</w:t>
            </w:r>
          </w:p>
        </w:tc>
      </w:tr>
      <w:tr w:rsidR="00986DE0" w:rsidRPr="004B39AC" w14:paraId="331A7095" w14:textId="77777777" w:rsidTr="003C7140">
        <w:trPr>
          <w:trHeight w:val="284"/>
        </w:trPr>
        <w:tc>
          <w:tcPr>
            <w:tcW w:w="1559" w:type="dxa"/>
            <w:vMerge/>
            <w:tcBorders>
              <w:left w:val="single" w:sz="4" w:space="0" w:color="auto"/>
              <w:right w:val="single" w:sz="4" w:space="0" w:color="auto"/>
            </w:tcBorders>
            <w:vAlign w:val="center"/>
            <w:hideMark/>
          </w:tcPr>
          <w:p w14:paraId="1133B1F7" w14:textId="77777777" w:rsidR="00986DE0" w:rsidRPr="001B74A0" w:rsidRDefault="00986DE0" w:rsidP="003C7140">
            <w:pPr>
              <w:spacing w:line="276" w:lineRule="auto"/>
              <w:rPr>
                <w:rFonts w:ascii="Lato" w:hAnsi="Lato" w:cstheme="minorHAnsi"/>
                <w:sz w:val="20"/>
                <w:szCs w:val="20"/>
              </w:rPr>
            </w:pPr>
          </w:p>
        </w:tc>
        <w:tc>
          <w:tcPr>
            <w:tcW w:w="1937"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073F12F9"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pierwotne</w:t>
            </w:r>
          </w:p>
        </w:tc>
        <w:tc>
          <w:tcPr>
            <w:tcW w:w="2304" w:type="dxa"/>
            <w:gridSpan w:val="2"/>
            <w:tcBorders>
              <w:top w:val="single" w:sz="4" w:space="0" w:color="auto"/>
              <w:left w:val="single" w:sz="4" w:space="0" w:color="auto"/>
              <w:bottom w:val="single" w:sz="4" w:space="0" w:color="auto"/>
              <w:right w:val="single" w:sz="4" w:space="0" w:color="auto"/>
            </w:tcBorders>
            <w:vAlign w:val="center"/>
            <w:hideMark/>
          </w:tcPr>
          <w:p w14:paraId="19C77D74"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Błonica, tężec</w:t>
            </w:r>
          </w:p>
        </w:tc>
        <w:tc>
          <w:tcPr>
            <w:tcW w:w="2147" w:type="dxa"/>
            <w:tcBorders>
              <w:top w:val="single" w:sz="4" w:space="0" w:color="auto"/>
              <w:left w:val="single" w:sz="4" w:space="0" w:color="auto"/>
              <w:bottom w:val="single" w:sz="4" w:space="0" w:color="auto"/>
              <w:right w:val="single" w:sz="4" w:space="0" w:color="auto"/>
            </w:tcBorders>
          </w:tcPr>
          <w:p w14:paraId="152477F3"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50,16</w:t>
            </w:r>
          </w:p>
        </w:tc>
      </w:tr>
      <w:tr w:rsidR="00986DE0" w:rsidRPr="004B39AC" w14:paraId="4922F7EE" w14:textId="77777777" w:rsidTr="008B49FA">
        <w:trPr>
          <w:trHeight w:val="284"/>
        </w:trPr>
        <w:tc>
          <w:tcPr>
            <w:tcW w:w="1559" w:type="dxa"/>
            <w:vMerge/>
            <w:tcBorders>
              <w:left w:val="single" w:sz="4" w:space="0" w:color="auto"/>
              <w:bottom w:val="single" w:sz="4" w:space="0" w:color="auto"/>
              <w:right w:val="single" w:sz="4" w:space="0" w:color="auto"/>
            </w:tcBorders>
            <w:vAlign w:val="center"/>
            <w:hideMark/>
          </w:tcPr>
          <w:p w14:paraId="185DCCAA" w14:textId="77777777" w:rsidR="00986DE0" w:rsidRPr="001B74A0" w:rsidRDefault="00986DE0" w:rsidP="003C7140">
            <w:pPr>
              <w:spacing w:line="276" w:lineRule="auto"/>
              <w:rPr>
                <w:rFonts w:ascii="Lato" w:hAnsi="Lato" w:cstheme="minorHAnsi"/>
                <w:sz w:val="20"/>
                <w:szCs w:val="20"/>
              </w:rPr>
            </w:pPr>
          </w:p>
        </w:tc>
        <w:tc>
          <w:tcPr>
            <w:tcW w:w="1937" w:type="dxa"/>
            <w:gridSpan w:val="3"/>
            <w:vMerge/>
            <w:tcBorders>
              <w:top w:val="single" w:sz="4" w:space="0" w:color="auto"/>
              <w:left w:val="single" w:sz="4" w:space="0" w:color="auto"/>
              <w:bottom w:val="single" w:sz="4" w:space="0" w:color="auto"/>
              <w:right w:val="single" w:sz="4" w:space="0" w:color="auto"/>
            </w:tcBorders>
            <w:vAlign w:val="center"/>
            <w:hideMark/>
          </w:tcPr>
          <w:p w14:paraId="618142A3" w14:textId="77777777" w:rsidR="00986DE0" w:rsidRPr="001B74A0" w:rsidRDefault="00986DE0" w:rsidP="003C7140">
            <w:pPr>
              <w:spacing w:line="276" w:lineRule="auto"/>
              <w:rPr>
                <w:rFonts w:ascii="Lato" w:hAnsi="Lato" w:cstheme="minorHAnsi"/>
                <w:sz w:val="20"/>
                <w:szCs w:val="20"/>
              </w:rPr>
            </w:pPr>
          </w:p>
        </w:tc>
        <w:tc>
          <w:tcPr>
            <w:tcW w:w="2304" w:type="dxa"/>
            <w:gridSpan w:val="2"/>
            <w:tcBorders>
              <w:top w:val="single" w:sz="4" w:space="0" w:color="auto"/>
              <w:left w:val="single" w:sz="4" w:space="0" w:color="auto"/>
              <w:bottom w:val="single" w:sz="4" w:space="0" w:color="auto"/>
              <w:right w:val="single" w:sz="4" w:space="0" w:color="auto"/>
            </w:tcBorders>
            <w:vAlign w:val="center"/>
            <w:hideMark/>
          </w:tcPr>
          <w:p w14:paraId="36E65FDA"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Krztusiec</w:t>
            </w:r>
          </w:p>
        </w:tc>
        <w:tc>
          <w:tcPr>
            <w:tcW w:w="2147" w:type="dxa"/>
            <w:tcBorders>
              <w:top w:val="single" w:sz="4" w:space="0" w:color="auto"/>
              <w:left w:val="single" w:sz="4" w:space="0" w:color="auto"/>
              <w:bottom w:val="single" w:sz="4" w:space="0" w:color="auto"/>
              <w:right w:val="single" w:sz="4" w:space="0" w:color="auto"/>
            </w:tcBorders>
          </w:tcPr>
          <w:p w14:paraId="3EF7F29B"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50,16</w:t>
            </w:r>
          </w:p>
        </w:tc>
      </w:tr>
      <w:tr w:rsidR="00986DE0" w:rsidRPr="004B39AC" w14:paraId="301174F3" w14:textId="77777777" w:rsidTr="008B49FA">
        <w:trPr>
          <w:trHeight w:val="284"/>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5D8E3436" w14:textId="77777777" w:rsidR="00986DE0" w:rsidRPr="001B74A0" w:rsidRDefault="00986DE0" w:rsidP="003C7140">
            <w:pPr>
              <w:spacing w:line="276" w:lineRule="auto"/>
              <w:rPr>
                <w:rFonts w:ascii="Lato" w:hAnsi="Lato" w:cstheme="minorHAnsi"/>
                <w:sz w:val="20"/>
                <w:szCs w:val="20"/>
              </w:rPr>
            </w:pPr>
          </w:p>
        </w:tc>
        <w:tc>
          <w:tcPr>
            <w:tcW w:w="1937" w:type="dxa"/>
            <w:gridSpan w:val="3"/>
            <w:vMerge/>
            <w:tcBorders>
              <w:top w:val="single" w:sz="4" w:space="0" w:color="auto"/>
              <w:left w:val="single" w:sz="4" w:space="0" w:color="auto"/>
              <w:bottom w:val="single" w:sz="4" w:space="0" w:color="auto"/>
              <w:right w:val="single" w:sz="4" w:space="0" w:color="auto"/>
            </w:tcBorders>
            <w:vAlign w:val="center"/>
            <w:hideMark/>
          </w:tcPr>
          <w:p w14:paraId="3375D1C9" w14:textId="77777777" w:rsidR="00986DE0" w:rsidRPr="001B74A0" w:rsidRDefault="00986DE0" w:rsidP="003C7140">
            <w:pPr>
              <w:spacing w:line="276" w:lineRule="auto"/>
              <w:rPr>
                <w:rFonts w:ascii="Lato" w:hAnsi="Lato" w:cstheme="minorHAnsi"/>
                <w:sz w:val="20"/>
                <w:szCs w:val="20"/>
              </w:rPr>
            </w:pPr>
          </w:p>
        </w:tc>
        <w:tc>
          <w:tcPr>
            <w:tcW w:w="2304" w:type="dxa"/>
            <w:gridSpan w:val="2"/>
            <w:tcBorders>
              <w:top w:val="single" w:sz="4" w:space="0" w:color="auto"/>
              <w:left w:val="single" w:sz="4" w:space="0" w:color="auto"/>
              <w:bottom w:val="single" w:sz="4" w:space="0" w:color="auto"/>
              <w:right w:val="single" w:sz="4" w:space="0" w:color="auto"/>
            </w:tcBorders>
            <w:vAlign w:val="center"/>
            <w:hideMark/>
          </w:tcPr>
          <w:p w14:paraId="49FDE183" w14:textId="77777777" w:rsidR="00986DE0" w:rsidRPr="001B74A0" w:rsidRDefault="00986DE0" w:rsidP="003C7140">
            <w:pPr>
              <w:spacing w:line="276" w:lineRule="auto"/>
              <w:rPr>
                <w:rFonts w:ascii="Lato" w:hAnsi="Lato" w:cstheme="minorHAnsi"/>
                <w:sz w:val="20"/>
                <w:szCs w:val="20"/>
              </w:rPr>
            </w:pPr>
            <w:proofErr w:type="spellStart"/>
            <w:r w:rsidRPr="001B74A0">
              <w:rPr>
                <w:rFonts w:ascii="Lato" w:hAnsi="Lato" w:cstheme="minorHAnsi"/>
                <w:sz w:val="20"/>
                <w:szCs w:val="20"/>
              </w:rPr>
              <w:t>Poliomyelitis</w:t>
            </w:r>
            <w:proofErr w:type="spellEnd"/>
          </w:p>
        </w:tc>
        <w:tc>
          <w:tcPr>
            <w:tcW w:w="2147" w:type="dxa"/>
            <w:tcBorders>
              <w:top w:val="single" w:sz="4" w:space="0" w:color="auto"/>
              <w:left w:val="single" w:sz="4" w:space="0" w:color="auto"/>
              <w:bottom w:val="single" w:sz="4" w:space="0" w:color="auto"/>
              <w:right w:val="single" w:sz="4" w:space="0" w:color="auto"/>
            </w:tcBorders>
          </w:tcPr>
          <w:p w14:paraId="2BC14219"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49,47</w:t>
            </w:r>
          </w:p>
        </w:tc>
      </w:tr>
      <w:tr w:rsidR="008B49FA" w:rsidRPr="004B39AC" w14:paraId="0BD6584D" w14:textId="77777777" w:rsidTr="005F2D17">
        <w:trPr>
          <w:trHeight w:val="284"/>
        </w:trPr>
        <w:tc>
          <w:tcPr>
            <w:tcW w:w="1559" w:type="dxa"/>
            <w:vMerge w:val="restart"/>
            <w:tcBorders>
              <w:top w:val="single" w:sz="4" w:space="0" w:color="auto"/>
              <w:left w:val="single" w:sz="4" w:space="0" w:color="auto"/>
              <w:right w:val="single" w:sz="4" w:space="0" w:color="auto"/>
            </w:tcBorders>
            <w:vAlign w:val="center"/>
          </w:tcPr>
          <w:p w14:paraId="6A28A5FC" w14:textId="77777777" w:rsidR="008B49FA" w:rsidRPr="001B74A0" w:rsidRDefault="008B49FA" w:rsidP="008B49FA">
            <w:pPr>
              <w:spacing w:line="276" w:lineRule="auto"/>
              <w:rPr>
                <w:rFonts w:ascii="Lato" w:hAnsi="Lato" w:cstheme="minorHAnsi"/>
                <w:sz w:val="20"/>
                <w:szCs w:val="20"/>
              </w:rPr>
            </w:pPr>
          </w:p>
        </w:tc>
        <w:tc>
          <w:tcPr>
            <w:tcW w:w="1891" w:type="dxa"/>
            <w:gridSpan w:val="2"/>
            <w:vMerge w:val="restart"/>
            <w:tcBorders>
              <w:top w:val="single" w:sz="4" w:space="0" w:color="auto"/>
              <w:left w:val="single" w:sz="4" w:space="0" w:color="auto"/>
              <w:right w:val="single" w:sz="4" w:space="0" w:color="auto"/>
            </w:tcBorders>
            <w:vAlign w:val="center"/>
          </w:tcPr>
          <w:p w14:paraId="347498E0" w14:textId="77777777" w:rsidR="008B49FA" w:rsidRPr="001B74A0" w:rsidRDefault="008B49FA" w:rsidP="008B49FA">
            <w:pPr>
              <w:spacing w:line="276" w:lineRule="auto"/>
              <w:rPr>
                <w:rFonts w:ascii="Lato" w:hAnsi="Lato" w:cstheme="minorHAnsi"/>
                <w:sz w:val="20"/>
                <w:szCs w:val="20"/>
              </w:rPr>
            </w:pPr>
          </w:p>
        </w:tc>
        <w:tc>
          <w:tcPr>
            <w:tcW w:w="2350" w:type="dxa"/>
            <w:gridSpan w:val="3"/>
            <w:tcBorders>
              <w:top w:val="single" w:sz="4" w:space="0" w:color="auto"/>
              <w:left w:val="single" w:sz="4" w:space="0" w:color="auto"/>
              <w:bottom w:val="single" w:sz="4" w:space="0" w:color="auto"/>
              <w:right w:val="single" w:sz="4" w:space="0" w:color="auto"/>
            </w:tcBorders>
            <w:vAlign w:val="center"/>
          </w:tcPr>
          <w:p w14:paraId="56BB2372" w14:textId="4AC3D446" w:rsidR="008B49FA" w:rsidRPr="001B74A0" w:rsidRDefault="008B49FA" w:rsidP="008B49FA">
            <w:pPr>
              <w:spacing w:line="276" w:lineRule="auto"/>
              <w:rPr>
                <w:rFonts w:ascii="Lato" w:hAnsi="Lato" w:cstheme="minorHAnsi"/>
                <w:sz w:val="20"/>
                <w:szCs w:val="20"/>
              </w:rPr>
            </w:pPr>
            <w:r w:rsidRPr="001B74A0">
              <w:rPr>
                <w:rFonts w:ascii="Lato" w:hAnsi="Lato" w:cstheme="minorHAnsi"/>
                <w:sz w:val="20"/>
                <w:szCs w:val="20"/>
              </w:rPr>
              <w:t xml:space="preserve">H. </w:t>
            </w:r>
            <w:proofErr w:type="spellStart"/>
            <w:r w:rsidRPr="001B74A0">
              <w:rPr>
                <w:rFonts w:ascii="Lato" w:hAnsi="Lato" w:cstheme="minorHAnsi"/>
                <w:sz w:val="20"/>
                <w:szCs w:val="20"/>
              </w:rPr>
              <w:t>influenzae</w:t>
            </w:r>
            <w:proofErr w:type="spellEnd"/>
          </w:p>
        </w:tc>
        <w:tc>
          <w:tcPr>
            <w:tcW w:w="2147" w:type="dxa"/>
            <w:tcBorders>
              <w:top w:val="single" w:sz="4" w:space="0" w:color="auto"/>
              <w:left w:val="single" w:sz="4" w:space="0" w:color="auto"/>
              <w:bottom w:val="single" w:sz="4" w:space="0" w:color="auto"/>
              <w:right w:val="single" w:sz="4" w:space="0" w:color="auto"/>
            </w:tcBorders>
          </w:tcPr>
          <w:p w14:paraId="7819AB87" w14:textId="55B35C04" w:rsidR="008B49FA" w:rsidRPr="001B74A0" w:rsidRDefault="008B49FA" w:rsidP="008B49FA">
            <w:pPr>
              <w:spacing w:line="276" w:lineRule="auto"/>
              <w:rPr>
                <w:rFonts w:ascii="Lato" w:hAnsi="Lato" w:cstheme="minorHAnsi"/>
                <w:sz w:val="20"/>
                <w:szCs w:val="20"/>
              </w:rPr>
            </w:pPr>
            <w:r w:rsidRPr="001B74A0">
              <w:rPr>
                <w:rFonts w:ascii="Lato" w:hAnsi="Lato" w:cstheme="minorHAnsi"/>
                <w:sz w:val="20"/>
                <w:szCs w:val="20"/>
              </w:rPr>
              <w:t>49,80</w:t>
            </w:r>
          </w:p>
        </w:tc>
      </w:tr>
      <w:tr w:rsidR="008B49FA" w:rsidRPr="004B39AC" w14:paraId="5F426902" w14:textId="77777777" w:rsidTr="005F2D17">
        <w:trPr>
          <w:trHeight w:val="284"/>
        </w:trPr>
        <w:tc>
          <w:tcPr>
            <w:tcW w:w="1559" w:type="dxa"/>
            <w:vMerge/>
            <w:tcBorders>
              <w:left w:val="single" w:sz="4" w:space="0" w:color="auto"/>
              <w:right w:val="single" w:sz="4" w:space="0" w:color="auto"/>
            </w:tcBorders>
            <w:vAlign w:val="center"/>
          </w:tcPr>
          <w:p w14:paraId="7EDAAFC7" w14:textId="77777777" w:rsidR="008B49FA" w:rsidRPr="001B74A0" w:rsidRDefault="008B49FA" w:rsidP="008B49FA">
            <w:pPr>
              <w:spacing w:line="276" w:lineRule="auto"/>
              <w:rPr>
                <w:rFonts w:ascii="Lato" w:hAnsi="Lato" w:cstheme="minorHAnsi"/>
                <w:sz w:val="20"/>
                <w:szCs w:val="20"/>
              </w:rPr>
            </w:pPr>
          </w:p>
        </w:tc>
        <w:tc>
          <w:tcPr>
            <w:tcW w:w="1891" w:type="dxa"/>
            <w:gridSpan w:val="2"/>
            <w:vMerge/>
            <w:tcBorders>
              <w:left w:val="single" w:sz="4" w:space="0" w:color="auto"/>
              <w:bottom w:val="single" w:sz="4" w:space="0" w:color="auto"/>
              <w:right w:val="single" w:sz="4" w:space="0" w:color="auto"/>
            </w:tcBorders>
            <w:vAlign w:val="center"/>
          </w:tcPr>
          <w:p w14:paraId="2696741C" w14:textId="77777777" w:rsidR="008B49FA" w:rsidRPr="001B74A0" w:rsidRDefault="008B49FA" w:rsidP="008B49FA">
            <w:pPr>
              <w:spacing w:line="276" w:lineRule="auto"/>
              <w:rPr>
                <w:rFonts w:ascii="Lato" w:hAnsi="Lato" w:cstheme="minorHAnsi"/>
                <w:sz w:val="20"/>
                <w:szCs w:val="20"/>
              </w:rPr>
            </w:pPr>
          </w:p>
        </w:tc>
        <w:tc>
          <w:tcPr>
            <w:tcW w:w="2350" w:type="dxa"/>
            <w:gridSpan w:val="3"/>
            <w:tcBorders>
              <w:top w:val="single" w:sz="4" w:space="0" w:color="auto"/>
              <w:left w:val="single" w:sz="4" w:space="0" w:color="auto"/>
              <w:bottom w:val="single" w:sz="4" w:space="0" w:color="auto"/>
              <w:right w:val="single" w:sz="4" w:space="0" w:color="auto"/>
            </w:tcBorders>
            <w:vAlign w:val="center"/>
          </w:tcPr>
          <w:p w14:paraId="56554912" w14:textId="5CDDF672" w:rsidR="008B49FA" w:rsidRPr="001B74A0" w:rsidRDefault="008B49FA" w:rsidP="008B49FA">
            <w:pPr>
              <w:spacing w:line="276" w:lineRule="auto"/>
              <w:rPr>
                <w:rFonts w:ascii="Lato" w:hAnsi="Lato" w:cstheme="minorHAnsi"/>
                <w:sz w:val="20"/>
                <w:szCs w:val="20"/>
              </w:rPr>
            </w:pPr>
            <w:r w:rsidRPr="001B74A0">
              <w:rPr>
                <w:rFonts w:ascii="Lato" w:hAnsi="Lato" w:cstheme="minorHAnsi"/>
                <w:sz w:val="20"/>
                <w:szCs w:val="20"/>
              </w:rPr>
              <w:t xml:space="preserve">S. </w:t>
            </w:r>
            <w:proofErr w:type="spellStart"/>
            <w:r w:rsidRPr="001B74A0">
              <w:rPr>
                <w:rFonts w:ascii="Lato" w:hAnsi="Lato" w:cstheme="minorHAnsi"/>
                <w:sz w:val="20"/>
                <w:szCs w:val="20"/>
              </w:rPr>
              <w:t>pneumoniae</w:t>
            </w:r>
            <w:proofErr w:type="spellEnd"/>
          </w:p>
        </w:tc>
        <w:tc>
          <w:tcPr>
            <w:tcW w:w="2147" w:type="dxa"/>
            <w:tcBorders>
              <w:top w:val="single" w:sz="4" w:space="0" w:color="auto"/>
              <w:left w:val="single" w:sz="4" w:space="0" w:color="auto"/>
              <w:bottom w:val="single" w:sz="4" w:space="0" w:color="auto"/>
              <w:right w:val="single" w:sz="4" w:space="0" w:color="auto"/>
            </w:tcBorders>
          </w:tcPr>
          <w:p w14:paraId="74F111BD" w14:textId="4A4449F5" w:rsidR="008B49FA" w:rsidRPr="001B74A0" w:rsidRDefault="008B49FA" w:rsidP="008B49FA">
            <w:pPr>
              <w:spacing w:line="276" w:lineRule="auto"/>
              <w:rPr>
                <w:rFonts w:ascii="Lato" w:hAnsi="Lato" w:cstheme="minorHAnsi"/>
                <w:sz w:val="20"/>
                <w:szCs w:val="20"/>
              </w:rPr>
            </w:pPr>
            <w:r w:rsidRPr="001B74A0">
              <w:rPr>
                <w:rFonts w:ascii="Lato" w:hAnsi="Lato" w:cstheme="minorHAnsi"/>
                <w:sz w:val="20"/>
                <w:szCs w:val="20"/>
              </w:rPr>
              <w:t>58,77</w:t>
            </w:r>
          </w:p>
        </w:tc>
      </w:tr>
      <w:tr w:rsidR="008B49FA" w:rsidRPr="004B39AC" w14:paraId="636FB047" w14:textId="77777777" w:rsidTr="004B477F">
        <w:trPr>
          <w:trHeight w:val="284"/>
        </w:trPr>
        <w:tc>
          <w:tcPr>
            <w:tcW w:w="1559" w:type="dxa"/>
            <w:vMerge/>
            <w:tcBorders>
              <w:left w:val="single" w:sz="4" w:space="0" w:color="auto"/>
              <w:right w:val="single" w:sz="4" w:space="0" w:color="auto"/>
            </w:tcBorders>
            <w:vAlign w:val="center"/>
          </w:tcPr>
          <w:p w14:paraId="22D52EAA" w14:textId="77777777" w:rsidR="008B49FA" w:rsidRPr="001B74A0" w:rsidRDefault="008B49FA" w:rsidP="008B49FA">
            <w:pPr>
              <w:spacing w:line="276" w:lineRule="auto"/>
              <w:rPr>
                <w:rFonts w:ascii="Lato" w:hAnsi="Lato" w:cstheme="minorHAnsi"/>
                <w:sz w:val="20"/>
                <w:szCs w:val="20"/>
              </w:rPr>
            </w:pPr>
          </w:p>
        </w:tc>
        <w:tc>
          <w:tcPr>
            <w:tcW w:w="4241" w:type="dxa"/>
            <w:gridSpan w:val="5"/>
            <w:tcBorders>
              <w:top w:val="single" w:sz="4" w:space="0" w:color="auto"/>
              <w:left w:val="single" w:sz="4" w:space="0" w:color="auto"/>
              <w:bottom w:val="single" w:sz="4" w:space="0" w:color="auto"/>
              <w:right w:val="single" w:sz="4" w:space="0" w:color="auto"/>
            </w:tcBorders>
            <w:vAlign w:val="center"/>
          </w:tcPr>
          <w:p w14:paraId="676BFDC2" w14:textId="5E1725E1" w:rsidR="008B49FA" w:rsidRPr="001B74A0" w:rsidRDefault="008B49FA" w:rsidP="008B49FA">
            <w:pPr>
              <w:spacing w:line="276" w:lineRule="auto"/>
              <w:rPr>
                <w:rFonts w:ascii="Lato" w:hAnsi="Lato" w:cstheme="minorHAnsi"/>
                <w:sz w:val="20"/>
                <w:szCs w:val="20"/>
              </w:rPr>
            </w:pPr>
            <w:proofErr w:type="spellStart"/>
            <w:r w:rsidRPr="001B74A0">
              <w:rPr>
                <w:rFonts w:ascii="Lato" w:hAnsi="Lato" w:cstheme="minorHAnsi"/>
                <w:sz w:val="20"/>
                <w:szCs w:val="20"/>
              </w:rPr>
              <w:t>Rotawirusy</w:t>
            </w:r>
            <w:proofErr w:type="spellEnd"/>
          </w:p>
        </w:tc>
        <w:tc>
          <w:tcPr>
            <w:tcW w:w="2147" w:type="dxa"/>
            <w:tcBorders>
              <w:top w:val="single" w:sz="4" w:space="0" w:color="auto"/>
              <w:left w:val="single" w:sz="4" w:space="0" w:color="auto"/>
              <w:bottom w:val="single" w:sz="4" w:space="0" w:color="auto"/>
              <w:right w:val="single" w:sz="4" w:space="0" w:color="auto"/>
            </w:tcBorders>
          </w:tcPr>
          <w:p w14:paraId="34F2D8B0" w14:textId="39150E91" w:rsidR="008B49FA" w:rsidRPr="001B74A0" w:rsidRDefault="008B49FA" w:rsidP="008B49FA">
            <w:pPr>
              <w:spacing w:line="276" w:lineRule="auto"/>
              <w:rPr>
                <w:rFonts w:ascii="Lato" w:hAnsi="Lato" w:cstheme="minorHAnsi"/>
                <w:sz w:val="20"/>
                <w:szCs w:val="20"/>
              </w:rPr>
            </w:pPr>
            <w:r w:rsidRPr="001B74A0">
              <w:rPr>
                <w:rFonts w:ascii="Lato" w:hAnsi="Lato" w:cstheme="minorHAnsi"/>
                <w:sz w:val="20"/>
                <w:szCs w:val="20"/>
              </w:rPr>
              <w:t>69,18</w:t>
            </w:r>
          </w:p>
        </w:tc>
      </w:tr>
      <w:tr w:rsidR="00986DE0" w:rsidRPr="004B39AC" w14:paraId="3D78B78D" w14:textId="77777777" w:rsidTr="003C7140">
        <w:trPr>
          <w:trHeight w:val="284"/>
        </w:trPr>
        <w:tc>
          <w:tcPr>
            <w:tcW w:w="1559" w:type="dxa"/>
            <w:vMerge w:val="restart"/>
            <w:tcBorders>
              <w:top w:val="single" w:sz="4" w:space="0" w:color="auto"/>
              <w:left w:val="single" w:sz="4" w:space="0" w:color="auto"/>
              <w:right w:val="single" w:sz="4" w:space="0" w:color="auto"/>
            </w:tcBorders>
            <w:vAlign w:val="center"/>
            <w:hideMark/>
          </w:tcPr>
          <w:p w14:paraId="35FBFA90"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2 r.ż.</w:t>
            </w:r>
          </w:p>
          <w:p w14:paraId="1EC82F98"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rocznik 2024</w:t>
            </w:r>
          </w:p>
        </w:tc>
        <w:tc>
          <w:tcPr>
            <w:tcW w:w="4241" w:type="dxa"/>
            <w:gridSpan w:val="5"/>
            <w:tcBorders>
              <w:top w:val="single" w:sz="4" w:space="0" w:color="auto"/>
              <w:left w:val="single" w:sz="4" w:space="0" w:color="auto"/>
              <w:bottom w:val="single" w:sz="4" w:space="0" w:color="auto"/>
              <w:right w:val="single" w:sz="4" w:space="0" w:color="auto"/>
            </w:tcBorders>
            <w:vAlign w:val="center"/>
            <w:hideMark/>
          </w:tcPr>
          <w:p w14:paraId="00D6A66D"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Gruźlica</w:t>
            </w:r>
          </w:p>
        </w:tc>
        <w:tc>
          <w:tcPr>
            <w:tcW w:w="2147" w:type="dxa"/>
            <w:tcBorders>
              <w:top w:val="single" w:sz="4" w:space="0" w:color="auto"/>
              <w:left w:val="single" w:sz="4" w:space="0" w:color="auto"/>
              <w:bottom w:val="single" w:sz="4" w:space="0" w:color="auto"/>
              <w:right w:val="single" w:sz="4" w:space="0" w:color="auto"/>
            </w:tcBorders>
          </w:tcPr>
          <w:p w14:paraId="45BB4CA9"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97,53</w:t>
            </w:r>
          </w:p>
        </w:tc>
      </w:tr>
      <w:tr w:rsidR="00986DE0" w:rsidRPr="004B39AC" w14:paraId="349C3B09" w14:textId="77777777" w:rsidTr="003C7140">
        <w:trPr>
          <w:trHeight w:val="284"/>
        </w:trPr>
        <w:tc>
          <w:tcPr>
            <w:tcW w:w="1559" w:type="dxa"/>
            <w:vMerge/>
            <w:tcBorders>
              <w:left w:val="single" w:sz="4" w:space="0" w:color="auto"/>
              <w:right w:val="single" w:sz="4" w:space="0" w:color="auto"/>
            </w:tcBorders>
            <w:vAlign w:val="center"/>
            <w:hideMark/>
          </w:tcPr>
          <w:p w14:paraId="5B267E74" w14:textId="77777777" w:rsidR="00986DE0" w:rsidRPr="001B74A0" w:rsidRDefault="00986DE0" w:rsidP="003C7140">
            <w:pPr>
              <w:spacing w:line="276" w:lineRule="auto"/>
              <w:rPr>
                <w:rFonts w:ascii="Lato" w:hAnsi="Lato" w:cstheme="minorHAnsi"/>
                <w:sz w:val="20"/>
                <w:szCs w:val="20"/>
              </w:rPr>
            </w:pPr>
          </w:p>
        </w:tc>
        <w:tc>
          <w:tcPr>
            <w:tcW w:w="1937"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ECE06FF"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WZW typu B</w:t>
            </w:r>
          </w:p>
        </w:tc>
        <w:tc>
          <w:tcPr>
            <w:tcW w:w="2304" w:type="dxa"/>
            <w:gridSpan w:val="2"/>
            <w:tcBorders>
              <w:top w:val="single" w:sz="4" w:space="0" w:color="auto"/>
              <w:left w:val="single" w:sz="4" w:space="0" w:color="auto"/>
              <w:bottom w:val="single" w:sz="4" w:space="0" w:color="auto"/>
              <w:right w:val="single" w:sz="4" w:space="0" w:color="auto"/>
            </w:tcBorders>
            <w:vAlign w:val="center"/>
            <w:hideMark/>
          </w:tcPr>
          <w:p w14:paraId="70EF6330"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Pierwotne</w:t>
            </w:r>
          </w:p>
        </w:tc>
        <w:tc>
          <w:tcPr>
            <w:tcW w:w="2147" w:type="dxa"/>
            <w:tcBorders>
              <w:top w:val="single" w:sz="4" w:space="0" w:color="auto"/>
              <w:left w:val="single" w:sz="4" w:space="0" w:color="auto"/>
              <w:bottom w:val="single" w:sz="4" w:space="0" w:color="auto"/>
              <w:right w:val="single" w:sz="4" w:space="0" w:color="auto"/>
            </w:tcBorders>
          </w:tcPr>
          <w:p w14:paraId="2ABD20B3"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6,96</w:t>
            </w:r>
          </w:p>
        </w:tc>
      </w:tr>
      <w:tr w:rsidR="00986DE0" w:rsidRPr="004B39AC" w14:paraId="2853F2CC" w14:textId="77777777" w:rsidTr="003C7140">
        <w:trPr>
          <w:trHeight w:val="284"/>
        </w:trPr>
        <w:tc>
          <w:tcPr>
            <w:tcW w:w="1559" w:type="dxa"/>
            <w:vMerge/>
            <w:tcBorders>
              <w:left w:val="single" w:sz="4" w:space="0" w:color="auto"/>
              <w:right w:val="single" w:sz="4" w:space="0" w:color="auto"/>
            </w:tcBorders>
            <w:vAlign w:val="center"/>
            <w:hideMark/>
          </w:tcPr>
          <w:p w14:paraId="68919119" w14:textId="77777777" w:rsidR="00986DE0" w:rsidRPr="001B74A0" w:rsidRDefault="00986DE0" w:rsidP="003C7140">
            <w:pPr>
              <w:spacing w:line="276" w:lineRule="auto"/>
              <w:rPr>
                <w:rFonts w:ascii="Lato" w:hAnsi="Lato" w:cstheme="minorHAnsi"/>
                <w:sz w:val="20"/>
                <w:szCs w:val="20"/>
              </w:rPr>
            </w:pPr>
          </w:p>
        </w:tc>
        <w:tc>
          <w:tcPr>
            <w:tcW w:w="1937" w:type="dxa"/>
            <w:gridSpan w:val="3"/>
            <w:vMerge/>
            <w:tcBorders>
              <w:top w:val="single" w:sz="4" w:space="0" w:color="auto"/>
              <w:left w:val="single" w:sz="4" w:space="0" w:color="auto"/>
              <w:bottom w:val="single" w:sz="4" w:space="0" w:color="auto"/>
              <w:right w:val="single" w:sz="4" w:space="0" w:color="auto"/>
            </w:tcBorders>
            <w:vAlign w:val="center"/>
            <w:hideMark/>
          </w:tcPr>
          <w:p w14:paraId="33785B34" w14:textId="77777777" w:rsidR="00986DE0" w:rsidRPr="001B74A0" w:rsidRDefault="00986DE0" w:rsidP="003C7140">
            <w:pPr>
              <w:spacing w:line="276" w:lineRule="auto"/>
              <w:rPr>
                <w:rFonts w:ascii="Lato" w:hAnsi="Lato" w:cstheme="minorHAnsi"/>
                <w:sz w:val="20"/>
                <w:szCs w:val="20"/>
              </w:rPr>
            </w:pPr>
          </w:p>
        </w:tc>
        <w:tc>
          <w:tcPr>
            <w:tcW w:w="2304" w:type="dxa"/>
            <w:gridSpan w:val="2"/>
            <w:tcBorders>
              <w:top w:val="single" w:sz="4" w:space="0" w:color="auto"/>
              <w:left w:val="single" w:sz="4" w:space="0" w:color="auto"/>
              <w:bottom w:val="single" w:sz="4" w:space="0" w:color="auto"/>
              <w:right w:val="single" w:sz="4" w:space="0" w:color="auto"/>
            </w:tcBorders>
            <w:vAlign w:val="center"/>
            <w:hideMark/>
          </w:tcPr>
          <w:p w14:paraId="2B4F9BAE"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Uzupełniające</w:t>
            </w:r>
          </w:p>
        </w:tc>
        <w:tc>
          <w:tcPr>
            <w:tcW w:w="2147" w:type="dxa"/>
            <w:tcBorders>
              <w:top w:val="single" w:sz="4" w:space="0" w:color="auto"/>
              <w:left w:val="single" w:sz="4" w:space="0" w:color="auto"/>
              <w:bottom w:val="single" w:sz="4" w:space="0" w:color="auto"/>
              <w:right w:val="single" w:sz="4" w:space="0" w:color="auto"/>
            </w:tcBorders>
          </w:tcPr>
          <w:p w14:paraId="2814281F"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90,67</w:t>
            </w:r>
          </w:p>
        </w:tc>
      </w:tr>
      <w:tr w:rsidR="00986DE0" w:rsidRPr="004B39AC" w14:paraId="31C8CC6E" w14:textId="77777777" w:rsidTr="003C7140">
        <w:trPr>
          <w:trHeight w:val="284"/>
        </w:trPr>
        <w:tc>
          <w:tcPr>
            <w:tcW w:w="1559" w:type="dxa"/>
            <w:vMerge/>
            <w:tcBorders>
              <w:left w:val="single" w:sz="4" w:space="0" w:color="auto"/>
              <w:right w:val="single" w:sz="4" w:space="0" w:color="auto"/>
            </w:tcBorders>
            <w:vAlign w:val="center"/>
            <w:hideMark/>
          </w:tcPr>
          <w:p w14:paraId="3796452A" w14:textId="77777777" w:rsidR="00986DE0" w:rsidRPr="001B74A0" w:rsidRDefault="00986DE0" w:rsidP="003C7140">
            <w:pPr>
              <w:spacing w:line="276" w:lineRule="auto"/>
              <w:rPr>
                <w:rFonts w:ascii="Lato" w:hAnsi="Lato" w:cstheme="minorHAnsi"/>
                <w:sz w:val="20"/>
                <w:szCs w:val="20"/>
              </w:rPr>
            </w:pPr>
          </w:p>
        </w:tc>
        <w:tc>
          <w:tcPr>
            <w:tcW w:w="1937" w:type="dxa"/>
            <w:gridSpan w:val="3"/>
            <w:tcBorders>
              <w:top w:val="single" w:sz="4" w:space="0" w:color="auto"/>
              <w:left w:val="single" w:sz="4" w:space="0" w:color="auto"/>
              <w:bottom w:val="single" w:sz="4" w:space="0" w:color="auto"/>
              <w:right w:val="single" w:sz="4" w:space="0" w:color="auto"/>
            </w:tcBorders>
            <w:vAlign w:val="center"/>
            <w:hideMark/>
          </w:tcPr>
          <w:p w14:paraId="1AE839EC"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podst. 13-14 m. ż.</w:t>
            </w:r>
          </w:p>
        </w:tc>
        <w:tc>
          <w:tcPr>
            <w:tcW w:w="2304" w:type="dxa"/>
            <w:gridSpan w:val="2"/>
            <w:tcBorders>
              <w:top w:val="single" w:sz="4" w:space="0" w:color="auto"/>
              <w:left w:val="single" w:sz="4" w:space="0" w:color="auto"/>
              <w:bottom w:val="single" w:sz="4" w:space="0" w:color="auto"/>
              <w:right w:val="single" w:sz="4" w:space="0" w:color="auto"/>
            </w:tcBorders>
            <w:vAlign w:val="center"/>
            <w:hideMark/>
          </w:tcPr>
          <w:p w14:paraId="5A02C828"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Odra, świnka, różyczka</w:t>
            </w:r>
          </w:p>
        </w:tc>
        <w:tc>
          <w:tcPr>
            <w:tcW w:w="2147" w:type="dxa"/>
            <w:tcBorders>
              <w:top w:val="single" w:sz="4" w:space="0" w:color="auto"/>
              <w:left w:val="single" w:sz="4" w:space="0" w:color="auto"/>
              <w:bottom w:val="single" w:sz="4" w:space="0" w:color="auto"/>
              <w:right w:val="single" w:sz="4" w:space="0" w:color="auto"/>
            </w:tcBorders>
          </w:tcPr>
          <w:p w14:paraId="37C593ED"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79,42</w:t>
            </w:r>
          </w:p>
        </w:tc>
      </w:tr>
      <w:tr w:rsidR="00986DE0" w:rsidRPr="004B39AC" w14:paraId="663313BA" w14:textId="77777777" w:rsidTr="003C7140">
        <w:trPr>
          <w:trHeight w:val="284"/>
        </w:trPr>
        <w:tc>
          <w:tcPr>
            <w:tcW w:w="1559" w:type="dxa"/>
            <w:vMerge/>
            <w:tcBorders>
              <w:left w:val="single" w:sz="4" w:space="0" w:color="auto"/>
              <w:right w:val="single" w:sz="4" w:space="0" w:color="auto"/>
            </w:tcBorders>
            <w:vAlign w:val="center"/>
            <w:hideMark/>
          </w:tcPr>
          <w:p w14:paraId="7F576FEC" w14:textId="77777777" w:rsidR="00986DE0" w:rsidRPr="001B74A0" w:rsidRDefault="00986DE0" w:rsidP="003C7140">
            <w:pPr>
              <w:spacing w:line="276" w:lineRule="auto"/>
              <w:rPr>
                <w:rFonts w:ascii="Lato" w:hAnsi="Lato" w:cstheme="minorHAnsi"/>
                <w:sz w:val="20"/>
                <w:szCs w:val="20"/>
              </w:rPr>
            </w:pPr>
          </w:p>
        </w:tc>
        <w:tc>
          <w:tcPr>
            <w:tcW w:w="1937"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586DBA60"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 xml:space="preserve">H. </w:t>
            </w:r>
            <w:proofErr w:type="spellStart"/>
            <w:r w:rsidRPr="001B74A0">
              <w:rPr>
                <w:rFonts w:ascii="Lato" w:hAnsi="Lato" w:cstheme="minorHAnsi"/>
                <w:sz w:val="20"/>
                <w:szCs w:val="20"/>
              </w:rPr>
              <w:t>influenzae</w:t>
            </w:r>
            <w:proofErr w:type="spellEnd"/>
          </w:p>
        </w:tc>
        <w:tc>
          <w:tcPr>
            <w:tcW w:w="2304" w:type="dxa"/>
            <w:gridSpan w:val="2"/>
            <w:tcBorders>
              <w:top w:val="single" w:sz="4" w:space="0" w:color="auto"/>
              <w:left w:val="single" w:sz="4" w:space="0" w:color="auto"/>
              <w:bottom w:val="single" w:sz="4" w:space="0" w:color="auto"/>
              <w:right w:val="single" w:sz="4" w:space="0" w:color="auto"/>
            </w:tcBorders>
            <w:vAlign w:val="center"/>
            <w:hideMark/>
          </w:tcPr>
          <w:p w14:paraId="0493E8A5"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Pierwotne</w:t>
            </w:r>
          </w:p>
        </w:tc>
        <w:tc>
          <w:tcPr>
            <w:tcW w:w="2147" w:type="dxa"/>
            <w:tcBorders>
              <w:top w:val="single" w:sz="4" w:space="0" w:color="auto"/>
              <w:left w:val="single" w:sz="4" w:space="0" w:color="auto"/>
              <w:bottom w:val="single" w:sz="4" w:space="0" w:color="auto"/>
              <w:right w:val="single" w:sz="4" w:space="0" w:color="auto"/>
            </w:tcBorders>
          </w:tcPr>
          <w:p w14:paraId="3950A768"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50,52</w:t>
            </w:r>
          </w:p>
        </w:tc>
      </w:tr>
      <w:tr w:rsidR="00986DE0" w:rsidRPr="004B39AC" w14:paraId="748A52E2" w14:textId="77777777" w:rsidTr="003C7140">
        <w:trPr>
          <w:trHeight w:val="284"/>
        </w:trPr>
        <w:tc>
          <w:tcPr>
            <w:tcW w:w="1559" w:type="dxa"/>
            <w:vMerge/>
            <w:tcBorders>
              <w:left w:val="single" w:sz="4" w:space="0" w:color="auto"/>
              <w:right w:val="single" w:sz="4" w:space="0" w:color="auto"/>
            </w:tcBorders>
            <w:vAlign w:val="center"/>
            <w:hideMark/>
          </w:tcPr>
          <w:p w14:paraId="5088A355" w14:textId="77777777" w:rsidR="00986DE0" w:rsidRPr="001B74A0" w:rsidRDefault="00986DE0" w:rsidP="003C7140">
            <w:pPr>
              <w:spacing w:line="276" w:lineRule="auto"/>
              <w:rPr>
                <w:rFonts w:ascii="Lato" w:hAnsi="Lato" w:cstheme="minorHAnsi"/>
                <w:sz w:val="20"/>
                <w:szCs w:val="20"/>
              </w:rPr>
            </w:pPr>
          </w:p>
        </w:tc>
        <w:tc>
          <w:tcPr>
            <w:tcW w:w="1937" w:type="dxa"/>
            <w:gridSpan w:val="3"/>
            <w:vMerge/>
            <w:tcBorders>
              <w:top w:val="single" w:sz="4" w:space="0" w:color="auto"/>
              <w:left w:val="single" w:sz="4" w:space="0" w:color="auto"/>
              <w:bottom w:val="single" w:sz="4" w:space="0" w:color="auto"/>
              <w:right w:val="single" w:sz="4" w:space="0" w:color="auto"/>
            </w:tcBorders>
            <w:vAlign w:val="center"/>
            <w:hideMark/>
          </w:tcPr>
          <w:p w14:paraId="24EEC8C6" w14:textId="77777777" w:rsidR="00986DE0" w:rsidRPr="001B74A0" w:rsidRDefault="00986DE0" w:rsidP="003C7140">
            <w:pPr>
              <w:spacing w:line="276" w:lineRule="auto"/>
              <w:rPr>
                <w:rFonts w:ascii="Lato" w:hAnsi="Lato" w:cstheme="minorHAnsi"/>
                <w:sz w:val="20"/>
                <w:szCs w:val="20"/>
              </w:rPr>
            </w:pPr>
          </w:p>
        </w:tc>
        <w:tc>
          <w:tcPr>
            <w:tcW w:w="2304" w:type="dxa"/>
            <w:gridSpan w:val="2"/>
            <w:tcBorders>
              <w:top w:val="single" w:sz="4" w:space="0" w:color="auto"/>
              <w:left w:val="single" w:sz="4" w:space="0" w:color="auto"/>
              <w:bottom w:val="single" w:sz="4" w:space="0" w:color="auto"/>
              <w:right w:val="single" w:sz="4" w:space="0" w:color="auto"/>
            </w:tcBorders>
            <w:vAlign w:val="center"/>
            <w:hideMark/>
          </w:tcPr>
          <w:p w14:paraId="7799260C"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Uzupełniające</w:t>
            </w:r>
          </w:p>
        </w:tc>
        <w:tc>
          <w:tcPr>
            <w:tcW w:w="2147" w:type="dxa"/>
            <w:tcBorders>
              <w:top w:val="single" w:sz="4" w:space="0" w:color="auto"/>
              <w:left w:val="single" w:sz="4" w:space="0" w:color="auto"/>
              <w:bottom w:val="single" w:sz="4" w:space="0" w:color="auto"/>
              <w:right w:val="single" w:sz="4" w:space="0" w:color="auto"/>
            </w:tcBorders>
          </w:tcPr>
          <w:p w14:paraId="49559D8F"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45,27</w:t>
            </w:r>
          </w:p>
        </w:tc>
      </w:tr>
      <w:tr w:rsidR="00986DE0" w:rsidRPr="004B39AC" w14:paraId="681773B0" w14:textId="77777777" w:rsidTr="003C7140">
        <w:trPr>
          <w:trHeight w:val="284"/>
        </w:trPr>
        <w:tc>
          <w:tcPr>
            <w:tcW w:w="1559" w:type="dxa"/>
            <w:vMerge/>
            <w:tcBorders>
              <w:left w:val="single" w:sz="4" w:space="0" w:color="auto"/>
              <w:right w:val="single" w:sz="4" w:space="0" w:color="auto"/>
            </w:tcBorders>
            <w:vAlign w:val="center"/>
            <w:hideMark/>
          </w:tcPr>
          <w:p w14:paraId="799AA36E" w14:textId="77777777" w:rsidR="00986DE0" w:rsidRPr="001B74A0" w:rsidRDefault="00986DE0" w:rsidP="003C7140">
            <w:pPr>
              <w:spacing w:line="276" w:lineRule="auto"/>
              <w:rPr>
                <w:rFonts w:ascii="Lato" w:hAnsi="Lato" w:cstheme="minorHAnsi"/>
                <w:sz w:val="20"/>
                <w:szCs w:val="20"/>
              </w:rPr>
            </w:pPr>
          </w:p>
        </w:tc>
        <w:tc>
          <w:tcPr>
            <w:tcW w:w="1937"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3C7CB290"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Błonica, tężec</w:t>
            </w:r>
          </w:p>
        </w:tc>
        <w:tc>
          <w:tcPr>
            <w:tcW w:w="2304" w:type="dxa"/>
            <w:gridSpan w:val="2"/>
            <w:tcBorders>
              <w:top w:val="single" w:sz="4" w:space="0" w:color="auto"/>
              <w:left w:val="single" w:sz="4" w:space="0" w:color="auto"/>
              <w:bottom w:val="single" w:sz="4" w:space="0" w:color="auto"/>
              <w:right w:val="single" w:sz="4" w:space="0" w:color="auto"/>
            </w:tcBorders>
            <w:vAlign w:val="center"/>
            <w:hideMark/>
          </w:tcPr>
          <w:p w14:paraId="16DB250B"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Pierwotne</w:t>
            </w:r>
          </w:p>
        </w:tc>
        <w:tc>
          <w:tcPr>
            <w:tcW w:w="2147" w:type="dxa"/>
            <w:tcBorders>
              <w:top w:val="single" w:sz="4" w:space="0" w:color="auto"/>
              <w:left w:val="single" w:sz="4" w:space="0" w:color="auto"/>
              <w:bottom w:val="single" w:sz="4" w:space="0" w:color="auto"/>
              <w:right w:val="single" w:sz="4" w:space="0" w:color="auto"/>
            </w:tcBorders>
          </w:tcPr>
          <w:p w14:paraId="7028CB98"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51,13</w:t>
            </w:r>
          </w:p>
        </w:tc>
      </w:tr>
      <w:tr w:rsidR="00986DE0" w:rsidRPr="004B39AC" w14:paraId="1E0637C0" w14:textId="77777777" w:rsidTr="003C7140">
        <w:trPr>
          <w:trHeight w:val="284"/>
        </w:trPr>
        <w:tc>
          <w:tcPr>
            <w:tcW w:w="1559" w:type="dxa"/>
            <w:vMerge/>
            <w:tcBorders>
              <w:left w:val="single" w:sz="4" w:space="0" w:color="auto"/>
              <w:right w:val="single" w:sz="4" w:space="0" w:color="auto"/>
            </w:tcBorders>
            <w:vAlign w:val="center"/>
            <w:hideMark/>
          </w:tcPr>
          <w:p w14:paraId="66BE0F50" w14:textId="77777777" w:rsidR="00986DE0" w:rsidRPr="001B74A0" w:rsidRDefault="00986DE0" w:rsidP="003C7140">
            <w:pPr>
              <w:spacing w:line="276" w:lineRule="auto"/>
              <w:rPr>
                <w:rFonts w:ascii="Lato" w:hAnsi="Lato" w:cstheme="minorHAnsi"/>
                <w:sz w:val="20"/>
                <w:szCs w:val="20"/>
              </w:rPr>
            </w:pPr>
          </w:p>
        </w:tc>
        <w:tc>
          <w:tcPr>
            <w:tcW w:w="1937" w:type="dxa"/>
            <w:gridSpan w:val="3"/>
            <w:vMerge/>
            <w:tcBorders>
              <w:top w:val="single" w:sz="4" w:space="0" w:color="auto"/>
              <w:left w:val="single" w:sz="4" w:space="0" w:color="auto"/>
              <w:bottom w:val="single" w:sz="4" w:space="0" w:color="auto"/>
              <w:right w:val="single" w:sz="4" w:space="0" w:color="auto"/>
            </w:tcBorders>
            <w:vAlign w:val="center"/>
            <w:hideMark/>
          </w:tcPr>
          <w:p w14:paraId="245E4AE1" w14:textId="77777777" w:rsidR="00986DE0" w:rsidRPr="001B74A0" w:rsidRDefault="00986DE0" w:rsidP="003C7140">
            <w:pPr>
              <w:spacing w:line="276" w:lineRule="auto"/>
              <w:rPr>
                <w:rFonts w:ascii="Lato" w:hAnsi="Lato" w:cstheme="minorHAnsi"/>
                <w:sz w:val="20"/>
                <w:szCs w:val="20"/>
              </w:rPr>
            </w:pPr>
          </w:p>
        </w:tc>
        <w:tc>
          <w:tcPr>
            <w:tcW w:w="2304" w:type="dxa"/>
            <w:gridSpan w:val="2"/>
            <w:tcBorders>
              <w:top w:val="single" w:sz="4" w:space="0" w:color="auto"/>
              <w:left w:val="single" w:sz="4" w:space="0" w:color="auto"/>
              <w:bottom w:val="single" w:sz="4" w:space="0" w:color="auto"/>
              <w:right w:val="single" w:sz="4" w:space="0" w:color="auto"/>
            </w:tcBorders>
            <w:vAlign w:val="center"/>
            <w:hideMark/>
          </w:tcPr>
          <w:p w14:paraId="506B52E8"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Uzupełniające</w:t>
            </w:r>
          </w:p>
        </w:tc>
        <w:tc>
          <w:tcPr>
            <w:tcW w:w="2147" w:type="dxa"/>
            <w:tcBorders>
              <w:top w:val="single" w:sz="4" w:space="0" w:color="auto"/>
              <w:left w:val="single" w:sz="4" w:space="0" w:color="auto"/>
              <w:bottom w:val="single" w:sz="4" w:space="0" w:color="auto"/>
              <w:right w:val="single" w:sz="4" w:space="0" w:color="auto"/>
            </w:tcBorders>
          </w:tcPr>
          <w:p w14:paraId="40587ED3"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44,80</w:t>
            </w:r>
          </w:p>
        </w:tc>
      </w:tr>
      <w:tr w:rsidR="00986DE0" w:rsidRPr="004B39AC" w14:paraId="30FF3BF7" w14:textId="77777777" w:rsidTr="003C7140">
        <w:trPr>
          <w:trHeight w:val="284"/>
        </w:trPr>
        <w:tc>
          <w:tcPr>
            <w:tcW w:w="1559" w:type="dxa"/>
            <w:vMerge/>
            <w:tcBorders>
              <w:left w:val="single" w:sz="4" w:space="0" w:color="auto"/>
              <w:right w:val="single" w:sz="4" w:space="0" w:color="auto"/>
            </w:tcBorders>
            <w:vAlign w:val="center"/>
            <w:hideMark/>
          </w:tcPr>
          <w:p w14:paraId="6F958515" w14:textId="77777777" w:rsidR="00986DE0" w:rsidRPr="001B74A0" w:rsidRDefault="00986DE0" w:rsidP="003C7140">
            <w:pPr>
              <w:spacing w:line="276" w:lineRule="auto"/>
              <w:rPr>
                <w:rFonts w:ascii="Lato" w:hAnsi="Lato" w:cstheme="minorHAnsi"/>
                <w:sz w:val="20"/>
                <w:szCs w:val="20"/>
              </w:rPr>
            </w:pPr>
          </w:p>
        </w:tc>
        <w:tc>
          <w:tcPr>
            <w:tcW w:w="1937"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561F69A5"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Krztusiec</w:t>
            </w:r>
          </w:p>
        </w:tc>
        <w:tc>
          <w:tcPr>
            <w:tcW w:w="2304" w:type="dxa"/>
            <w:gridSpan w:val="2"/>
            <w:tcBorders>
              <w:top w:val="single" w:sz="4" w:space="0" w:color="auto"/>
              <w:left w:val="single" w:sz="4" w:space="0" w:color="auto"/>
              <w:bottom w:val="single" w:sz="4" w:space="0" w:color="auto"/>
              <w:right w:val="single" w:sz="4" w:space="0" w:color="auto"/>
            </w:tcBorders>
            <w:vAlign w:val="center"/>
            <w:hideMark/>
          </w:tcPr>
          <w:p w14:paraId="0E24B1E4"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Pierwotne</w:t>
            </w:r>
          </w:p>
        </w:tc>
        <w:tc>
          <w:tcPr>
            <w:tcW w:w="2147" w:type="dxa"/>
            <w:tcBorders>
              <w:top w:val="single" w:sz="4" w:space="0" w:color="auto"/>
              <w:left w:val="single" w:sz="4" w:space="0" w:color="auto"/>
              <w:bottom w:val="single" w:sz="4" w:space="0" w:color="auto"/>
              <w:right w:val="single" w:sz="4" w:space="0" w:color="auto"/>
            </w:tcBorders>
          </w:tcPr>
          <w:p w14:paraId="30C92E3A"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51,13</w:t>
            </w:r>
          </w:p>
        </w:tc>
      </w:tr>
      <w:tr w:rsidR="00986DE0" w:rsidRPr="004B39AC" w14:paraId="4A56E8E3" w14:textId="77777777" w:rsidTr="003C7140">
        <w:trPr>
          <w:trHeight w:val="284"/>
        </w:trPr>
        <w:tc>
          <w:tcPr>
            <w:tcW w:w="1559" w:type="dxa"/>
            <w:vMerge/>
            <w:tcBorders>
              <w:left w:val="single" w:sz="4" w:space="0" w:color="auto"/>
              <w:right w:val="single" w:sz="4" w:space="0" w:color="auto"/>
            </w:tcBorders>
            <w:vAlign w:val="center"/>
            <w:hideMark/>
          </w:tcPr>
          <w:p w14:paraId="4AAC44DA" w14:textId="77777777" w:rsidR="00986DE0" w:rsidRPr="001B74A0" w:rsidRDefault="00986DE0" w:rsidP="003C7140">
            <w:pPr>
              <w:spacing w:line="276" w:lineRule="auto"/>
              <w:rPr>
                <w:rFonts w:ascii="Lato" w:hAnsi="Lato" w:cstheme="minorHAnsi"/>
                <w:sz w:val="20"/>
                <w:szCs w:val="20"/>
              </w:rPr>
            </w:pPr>
          </w:p>
        </w:tc>
        <w:tc>
          <w:tcPr>
            <w:tcW w:w="1937" w:type="dxa"/>
            <w:gridSpan w:val="3"/>
            <w:vMerge/>
            <w:tcBorders>
              <w:top w:val="single" w:sz="4" w:space="0" w:color="auto"/>
              <w:left w:val="single" w:sz="4" w:space="0" w:color="auto"/>
              <w:bottom w:val="single" w:sz="4" w:space="0" w:color="auto"/>
              <w:right w:val="single" w:sz="4" w:space="0" w:color="auto"/>
            </w:tcBorders>
            <w:vAlign w:val="center"/>
            <w:hideMark/>
          </w:tcPr>
          <w:p w14:paraId="4DDA3C08" w14:textId="77777777" w:rsidR="00986DE0" w:rsidRPr="001B74A0" w:rsidRDefault="00986DE0" w:rsidP="003C7140">
            <w:pPr>
              <w:spacing w:line="276" w:lineRule="auto"/>
              <w:rPr>
                <w:rFonts w:ascii="Lato" w:hAnsi="Lato" w:cstheme="minorHAnsi"/>
                <w:sz w:val="20"/>
                <w:szCs w:val="20"/>
              </w:rPr>
            </w:pPr>
          </w:p>
        </w:tc>
        <w:tc>
          <w:tcPr>
            <w:tcW w:w="2304" w:type="dxa"/>
            <w:gridSpan w:val="2"/>
            <w:tcBorders>
              <w:top w:val="single" w:sz="4" w:space="0" w:color="auto"/>
              <w:left w:val="single" w:sz="4" w:space="0" w:color="auto"/>
              <w:bottom w:val="single" w:sz="4" w:space="0" w:color="auto"/>
              <w:right w:val="single" w:sz="4" w:space="0" w:color="auto"/>
            </w:tcBorders>
            <w:vAlign w:val="center"/>
            <w:hideMark/>
          </w:tcPr>
          <w:p w14:paraId="483DDAC5"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Uzupełniające</w:t>
            </w:r>
          </w:p>
        </w:tc>
        <w:tc>
          <w:tcPr>
            <w:tcW w:w="2147" w:type="dxa"/>
            <w:tcBorders>
              <w:top w:val="single" w:sz="4" w:space="0" w:color="auto"/>
              <w:left w:val="single" w:sz="4" w:space="0" w:color="auto"/>
              <w:bottom w:val="single" w:sz="4" w:space="0" w:color="auto"/>
              <w:right w:val="single" w:sz="4" w:space="0" w:color="auto"/>
            </w:tcBorders>
          </w:tcPr>
          <w:p w14:paraId="07FE8592"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44,80</w:t>
            </w:r>
          </w:p>
        </w:tc>
      </w:tr>
      <w:tr w:rsidR="00986DE0" w:rsidRPr="004B39AC" w14:paraId="417F9B4B" w14:textId="77777777" w:rsidTr="003C7140">
        <w:trPr>
          <w:trHeight w:val="284"/>
        </w:trPr>
        <w:tc>
          <w:tcPr>
            <w:tcW w:w="1559" w:type="dxa"/>
            <w:vMerge/>
            <w:tcBorders>
              <w:left w:val="single" w:sz="4" w:space="0" w:color="auto"/>
              <w:right w:val="single" w:sz="4" w:space="0" w:color="auto"/>
            </w:tcBorders>
            <w:vAlign w:val="center"/>
            <w:hideMark/>
          </w:tcPr>
          <w:p w14:paraId="033124CF" w14:textId="77777777" w:rsidR="00986DE0" w:rsidRPr="001B74A0" w:rsidRDefault="00986DE0" w:rsidP="003C7140">
            <w:pPr>
              <w:spacing w:line="276" w:lineRule="auto"/>
              <w:rPr>
                <w:rFonts w:ascii="Lato" w:hAnsi="Lato" w:cstheme="minorHAnsi"/>
                <w:sz w:val="20"/>
                <w:szCs w:val="20"/>
              </w:rPr>
            </w:pPr>
          </w:p>
        </w:tc>
        <w:tc>
          <w:tcPr>
            <w:tcW w:w="1937"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0F5DD299" w14:textId="77777777" w:rsidR="00986DE0" w:rsidRPr="001B74A0" w:rsidRDefault="00986DE0" w:rsidP="003C7140">
            <w:pPr>
              <w:spacing w:line="276" w:lineRule="auto"/>
              <w:rPr>
                <w:rFonts w:ascii="Lato" w:hAnsi="Lato" w:cstheme="minorHAnsi"/>
                <w:sz w:val="20"/>
                <w:szCs w:val="20"/>
              </w:rPr>
            </w:pPr>
            <w:proofErr w:type="spellStart"/>
            <w:r w:rsidRPr="001B74A0">
              <w:rPr>
                <w:rFonts w:ascii="Lato" w:hAnsi="Lato" w:cstheme="minorHAnsi"/>
                <w:sz w:val="20"/>
                <w:szCs w:val="20"/>
              </w:rPr>
              <w:t>Poliomyelitis</w:t>
            </w:r>
            <w:proofErr w:type="spellEnd"/>
          </w:p>
        </w:tc>
        <w:tc>
          <w:tcPr>
            <w:tcW w:w="2304" w:type="dxa"/>
            <w:gridSpan w:val="2"/>
            <w:tcBorders>
              <w:top w:val="single" w:sz="4" w:space="0" w:color="auto"/>
              <w:left w:val="single" w:sz="4" w:space="0" w:color="auto"/>
              <w:bottom w:val="single" w:sz="4" w:space="0" w:color="auto"/>
              <w:right w:val="single" w:sz="4" w:space="0" w:color="auto"/>
            </w:tcBorders>
            <w:vAlign w:val="center"/>
            <w:hideMark/>
          </w:tcPr>
          <w:p w14:paraId="1D64F04F"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Pierwotne</w:t>
            </w:r>
          </w:p>
        </w:tc>
        <w:tc>
          <w:tcPr>
            <w:tcW w:w="2147" w:type="dxa"/>
            <w:tcBorders>
              <w:top w:val="single" w:sz="4" w:space="0" w:color="auto"/>
              <w:left w:val="single" w:sz="4" w:space="0" w:color="auto"/>
              <w:bottom w:val="single" w:sz="4" w:space="0" w:color="auto"/>
              <w:right w:val="single" w:sz="4" w:space="0" w:color="auto"/>
            </w:tcBorders>
          </w:tcPr>
          <w:p w14:paraId="4463BE12"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50,87</w:t>
            </w:r>
          </w:p>
        </w:tc>
      </w:tr>
      <w:tr w:rsidR="00986DE0" w:rsidRPr="004B39AC" w14:paraId="766CCEAC" w14:textId="77777777" w:rsidTr="003C7140">
        <w:trPr>
          <w:trHeight w:val="284"/>
        </w:trPr>
        <w:tc>
          <w:tcPr>
            <w:tcW w:w="1559" w:type="dxa"/>
            <w:vMerge/>
            <w:tcBorders>
              <w:left w:val="single" w:sz="4" w:space="0" w:color="auto"/>
              <w:right w:val="single" w:sz="4" w:space="0" w:color="auto"/>
            </w:tcBorders>
            <w:vAlign w:val="center"/>
            <w:hideMark/>
          </w:tcPr>
          <w:p w14:paraId="57757585" w14:textId="77777777" w:rsidR="00986DE0" w:rsidRPr="001B74A0" w:rsidRDefault="00986DE0" w:rsidP="003C7140">
            <w:pPr>
              <w:spacing w:line="276" w:lineRule="auto"/>
              <w:rPr>
                <w:rFonts w:ascii="Lato" w:hAnsi="Lato" w:cstheme="minorHAnsi"/>
                <w:sz w:val="20"/>
                <w:szCs w:val="20"/>
              </w:rPr>
            </w:pPr>
          </w:p>
        </w:tc>
        <w:tc>
          <w:tcPr>
            <w:tcW w:w="1937" w:type="dxa"/>
            <w:gridSpan w:val="3"/>
            <w:vMerge/>
            <w:tcBorders>
              <w:top w:val="single" w:sz="4" w:space="0" w:color="auto"/>
              <w:left w:val="single" w:sz="4" w:space="0" w:color="auto"/>
              <w:bottom w:val="single" w:sz="4" w:space="0" w:color="auto"/>
              <w:right w:val="single" w:sz="4" w:space="0" w:color="auto"/>
            </w:tcBorders>
            <w:vAlign w:val="center"/>
            <w:hideMark/>
          </w:tcPr>
          <w:p w14:paraId="502A5106" w14:textId="77777777" w:rsidR="00986DE0" w:rsidRPr="001B74A0" w:rsidRDefault="00986DE0" w:rsidP="003C7140">
            <w:pPr>
              <w:spacing w:line="276" w:lineRule="auto"/>
              <w:rPr>
                <w:rFonts w:ascii="Lato" w:hAnsi="Lato" w:cstheme="minorHAnsi"/>
                <w:sz w:val="20"/>
                <w:szCs w:val="20"/>
              </w:rPr>
            </w:pPr>
          </w:p>
        </w:tc>
        <w:tc>
          <w:tcPr>
            <w:tcW w:w="2304" w:type="dxa"/>
            <w:gridSpan w:val="2"/>
            <w:tcBorders>
              <w:top w:val="single" w:sz="4" w:space="0" w:color="auto"/>
              <w:left w:val="single" w:sz="4" w:space="0" w:color="auto"/>
              <w:bottom w:val="single" w:sz="4" w:space="0" w:color="auto"/>
              <w:right w:val="single" w:sz="4" w:space="0" w:color="auto"/>
            </w:tcBorders>
            <w:vAlign w:val="center"/>
            <w:hideMark/>
          </w:tcPr>
          <w:p w14:paraId="027327A1"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Uzupełniające</w:t>
            </w:r>
          </w:p>
        </w:tc>
        <w:tc>
          <w:tcPr>
            <w:tcW w:w="2147" w:type="dxa"/>
            <w:tcBorders>
              <w:top w:val="single" w:sz="4" w:space="0" w:color="auto"/>
              <w:left w:val="single" w:sz="4" w:space="0" w:color="auto"/>
              <w:bottom w:val="single" w:sz="4" w:space="0" w:color="auto"/>
              <w:right w:val="single" w:sz="4" w:space="0" w:color="auto"/>
            </w:tcBorders>
          </w:tcPr>
          <w:p w14:paraId="16C3F3CD"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44,78</w:t>
            </w:r>
          </w:p>
        </w:tc>
      </w:tr>
      <w:tr w:rsidR="00986DE0" w:rsidRPr="004B39AC" w14:paraId="418D5DEA" w14:textId="77777777" w:rsidTr="003C7140">
        <w:trPr>
          <w:trHeight w:val="284"/>
        </w:trPr>
        <w:tc>
          <w:tcPr>
            <w:tcW w:w="1559" w:type="dxa"/>
            <w:vMerge/>
            <w:tcBorders>
              <w:left w:val="single" w:sz="4" w:space="0" w:color="auto"/>
              <w:right w:val="single" w:sz="4" w:space="0" w:color="auto"/>
            </w:tcBorders>
            <w:vAlign w:val="center"/>
            <w:hideMark/>
          </w:tcPr>
          <w:p w14:paraId="47418D1A" w14:textId="77777777" w:rsidR="00986DE0" w:rsidRPr="001B74A0" w:rsidRDefault="00986DE0" w:rsidP="003C7140">
            <w:pPr>
              <w:spacing w:line="276" w:lineRule="auto"/>
              <w:rPr>
                <w:rFonts w:ascii="Lato" w:hAnsi="Lato" w:cstheme="minorHAnsi"/>
                <w:sz w:val="20"/>
                <w:szCs w:val="20"/>
              </w:rPr>
            </w:pPr>
          </w:p>
        </w:tc>
        <w:tc>
          <w:tcPr>
            <w:tcW w:w="1937" w:type="dxa"/>
            <w:gridSpan w:val="3"/>
            <w:vMerge w:val="restart"/>
            <w:tcBorders>
              <w:top w:val="single" w:sz="4" w:space="0" w:color="auto"/>
              <w:left w:val="single" w:sz="4" w:space="0" w:color="auto"/>
              <w:right w:val="single" w:sz="4" w:space="0" w:color="auto"/>
            </w:tcBorders>
            <w:vAlign w:val="center"/>
            <w:hideMark/>
          </w:tcPr>
          <w:p w14:paraId="38CEF896"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 xml:space="preserve">S. </w:t>
            </w:r>
            <w:proofErr w:type="spellStart"/>
            <w:r w:rsidRPr="001B74A0">
              <w:rPr>
                <w:rFonts w:ascii="Lato" w:hAnsi="Lato" w:cstheme="minorHAnsi"/>
                <w:sz w:val="20"/>
                <w:szCs w:val="20"/>
              </w:rPr>
              <w:t>pneumoniae</w:t>
            </w:r>
            <w:proofErr w:type="spellEnd"/>
          </w:p>
        </w:tc>
        <w:tc>
          <w:tcPr>
            <w:tcW w:w="2304" w:type="dxa"/>
            <w:gridSpan w:val="2"/>
            <w:tcBorders>
              <w:top w:val="single" w:sz="4" w:space="0" w:color="auto"/>
              <w:left w:val="single" w:sz="4" w:space="0" w:color="auto"/>
              <w:bottom w:val="single" w:sz="4" w:space="0" w:color="auto"/>
              <w:right w:val="single" w:sz="4" w:space="0" w:color="auto"/>
            </w:tcBorders>
            <w:vAlign w:val="center"/>
          </w:tcPr>
          <w:p w14:paraId="772359AC"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Pierwotne</w:t>
            </w:r>
          </w:p>
        </w:tc>
        <w:tc>
          <w:tcPr>
            <w:tcW w:w="2147" w:type="dxa"/>
            <w:tcBorders>
              <w:top w:val="single" w:sz="4" w:space="0" w:color="auto"/>
              <w:left w:val="single" w:sz="4" w:space="0" w:color="auto"/>
              <w:bottom w:val="single" w:sz="4" w:space="0" w:color="auto"/>
              <w:right w:val="single" w:sz="4" w:space="0" w:color="auto"/>
            </w:tcBorders>
          </w:tcPr>
          <w:p w14:paraId="22340AC1"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25,05</w:t>
            </w:r>
          </w:p>
        </w:tc>
      </w:tr>
      <w:tr w:rsidR="00986DE0" w:rsidRPr="004B39AC" w14:paraId="1BED5C82" w14:textId="77777777" w:rsidTr="003C7140">
        <w:trPr>
          <w:trHeight w:val="284"/>
        </w:trPr>
        <w:tc>
          <w:tcPr>
            <w:tcW w:w="1559" w:type="dxa"/>
            <w:vMerge/>
            <w:tcBorders>
              <w:left w:val="single" w:sz="4" w:space="0" w:color="auto"/>
              <w:right w:val="single" w:sz="4" w:space="0" w:color="auto"/>
            </w:tcBorders>
            <w:vAlign w:val="center"/>
          </w:tcPr>
          <w:p w14:paraId="67589EA4" w14:textId="77777777" w:rsidR="00986DE0" w:rsidRPr="001B74A0" w:rsidRDefault="00986DE0" w:rsidP="003C7140">
            <w:pPr>
              <w:spacing w:line="276" w:lineRule="auto"/>
              <w:rPr>
                <w:rFonts w:ascii="Lato" w:hAnsi="Lato" w:cstheme="minorHAnsi"/>
                <w:sz w:val="20"/>
                <w:szCs w:val="20"/>
              </w:rPr>
            </w:pPr>
          </w:p>
        </w:tc>
        <w:tc>
          <w:tcPr>
            <w:tcW w:w="1937" w:type="dxa"/>
            <w:gridSpan w:val="3"/>
            <w:vMerge/>
            <w:tcBorders>
              <w:left w:val="single" w:sz="4" w:space="0" w:color="auto"/>
              <w:bottom w:val="single" w:sz="4" w:space="0" w:color="auto"/>
              <w:right w:val="single" w:sz="4" w:space="0" w:color="auto"/>
            </w:tcBorders>
            <w:vAlign w:val="center"/>
          </w:tcPr>
          <w:p w14:paraId="4DCAE21A" w14:textId="77777777" w:rsidR="00986DE0" w:rsidRPr="001B74A0" w:rsidRDefault="00986DE0" w:rsidP="003C7140">
            <w:pPr>
              <w:spacing w:line="276" w:lineRule="auto"/>
              <w:rPr>
                <w:rFonts w:ascii="Lato" w:hAnsi="Lato" w:cstheme="minorHAnsi"/>
                <w:sz w:val="20"/>
                <w:szCs w:val="20"/>
              </w:rPr>
            </w:pPr>
          </w:p>
        </w:tc>
        <w:tc>
          <w:tcPr>
            <w:tcW w:w="2304" w:type="dxa"/>
            <w:gridSpan w:val="2"/>
            <w:tcBorders>
              <w:top w:val="single" w:sz="4" w:space="0" w:color="auto"/>
              <w:left w:val="single" w:sz="4" w:space="0" w:color="auto"/>
              <w:bottom w:val="single" w:sz="4" w:space="0" w:color="auto"/>
              <w:right w:val="single" w:sz="4" w:space="0" w:color="auto"/>
            </w:tcBorders>
            <w:vAlign w:val="center"/>
          </w:tcPr>
          <w:p w14:paraId="7B50E831"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Uzupełniające</w:t>
            </w:r>
          </w:p>
        </w:tc>
        <w:tc>
          <w:tcPr>
            <w:tcW w:w="2147" w:type="dxa"/>
            <w:tcBorders>
              <w:top w:val="single" w:sz="4" w:space="0" w:color="auto"/>
              <w:left w:val="single" w:sz="4" w:space="0" w:color="auto"/>
              <w:bottom w:val="single" w:sz="4" w:space="0" w:color="auto"/>
              <w:right w:val="single" w:sz="4" w:space="0" w:color="auto"/>
            </w:tcBorders>
          </w:tcPr>
          <w:p w14:paraId="69E89D74"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70,69</w:t>
            </w:r>
          </w:p>
        </w:tc>
      </w:tr>
      <w:tr w:rsidR="00986DE0" w:rsidRPr="004B39AC" w14:paraId="29F5A65A" w14:textId="77777777" w:rsidTr="003C7140">
        <w:trPr>
          <w:trHeight w:val="284"/>
        </w:trPr>
        <w:tc>
          <w:tcPr>
            <w:tcW w:w="1559" w:type="dxa"/>
            <w:vMerge/>
            <w:tcBorders>
              <w:left w:val="single" w:sz="4" w:space="0" w:color="auto"/>
              <w:bottom w:val="single" w:sz="4" w:space="0" w:color="auto"/>
              <w:right w:val="single" w:sz="4" w:space="0" w:color="auto"/>
            </w:tcBorders>
            <w:vAlign w:val="center"/>
          </w:tcPr>
          <w:p w14:paraId="7C02BA3E" w14:textId="77777777" w:rsidR="00986DE0" w:rsidRPr="001B74A0" w:rsidRDefault="00986DE0" w:rsidP="003C7140">
            <w:pPr>
              <w:spacing w:line="276" w:lineRule="auto"/>
              <w:rPr>
                <w:rFonts w:ascii="Lato" w:hAnsi="Lato" w:cstheme="minorHAnsi"/>
                <w:sz w:val="20"/>
                <w:szCs w:val="20"/>
              </w:rPr>
            </w:pPr>
          </w:p>
        </w:tc>
        <w:tc>
          <w:tcPr>
            <w:tcW w:w="4241" w:type="dxa"/>
            <w:gridSpan w:val="5"/>
            <w:tcBorders>
              <w:left w:val="single" w:sz="4" w:space="0" w:color="auto"/>
              <w:bottom w:val="single" w:sz="4" w:space="0" w:color="auto"/>
              <w:right w:val="single" w:sz="4" w:space="0" w:color="auto"/>
            </w:tcBorders>
          </w:tcPr>
          <w:p w14:paraId="0FAFE69F" w14:textId="77777777" w:rsidR="00986DE0" w:rsidRPr="001B74A0" w:rsidRDefault="00986DE0" w:rsidP="003C7140">
            <w:pPr>
              <w:spacing w:line="276" w:lineRule="auto"/>
              <w:rPr>
                <w:rFonts w:ascii="Lato" w:hAnsi="Lato" w:cstheme="minorHAnsi"/>
                <w:sz w:val="20"/>
                <w:szCs w:val="20"/>
              </w:rPr>
            </w:pPr>
            <w:proofErr w:type="spellStart"/>
            <w:r w:rsidRPr="001B74A0">
              <w:rPr>
                <w:rFonts w:ascii="Lato" w:hAnsi="Lato" w:cstheme="minorHAnsi"/>
                <w:sz w:val="20"/>
                <w:szCs w:val="20"/>
              </w:rPr>
              <w:t>Rotawirusy</w:t>
            </w:r>
            <w:proofErr w:type="spellEnd"/>
          </w:p>
        </w:tc>
        <w:tc>
          <w:tcPr>
            <w:tcW w:w="2147" w:type="dxa"/>
            <w:tcBorders>
              <w:top w:val="single" w:sz="4" w:space="0" w:color="auto"/>
              <w:left w:val="single" w:sz="4" w:space="0" w:color="auto"/>
              <w:bottom w:val="single" w:sz="4" w:space="0" w:color="auto"/>
              <w:right w:val="single" w:sz="4" w:space="0" w:color="auto"/>
            </w:tcBorders>
          </w:tcPr>
          <w:p w14:paraId="6A2F0C3E"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90,06</w:t>
            </w:r>
          </w:p>
        </w:tc>
      </w:tr>
      <w:tr w:rsidR="00986DE0" w:rsidRPr="004B39AC" w14:paraId="4EF427EF" w14:textId="77777777" w:rsidTr="003C7140">
        <w:trPr>
          <w:trHeight w:val="284"/>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FFB9FE3"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6 r.ż.</w:t>
            </w:r>
          </w:p>
          <w:p w14:paraId="0331B577"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rocznik 2020</w:t>
            </w:r>
          </w:p>
          <w:p w14:paraId="250B3C39"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I dawka przyp.</w:t>
            </w:r>
          </w:p>
        </w:tc>
        <w:tc>
          <w:tcPr>
            <w:tcW w:w="4241" w:type="dxa"/>
            <w:gridSpan w:val="5"/>
            <w:tcBorders>
              <w:top w:val="single" w:sz="4" w:space="0" w:color="auto"/>
              <w:left w:val="single" w:sz="4" w:space="0" w:color="auto"/>
              <w:bottom w:val="single" w:sz="4" w:space="0" w:color="auto"/>
              <w:right w:val="single" w:sz="4" w:space="0" w:color="auto"/>
            </w:tcBorders>
            <w:vAlign w:val="center"/>
            <w:hideMark/>
          </w:tcPr>
          <w:p w14:paraId="3B120DB5"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Błonica, tężec</w:t>
            </w:r>
          </w:p>
        </w:tc>
        <w:tc>
          <w:tcPr>
            <w:tcW w:w="2147" w:type="dxa"/>
            <w:tcBorders>
              <w:top w:val="single" w:sz="4" w:space="0" w:color="auto"/>
              <w:left w:val="single" w:sz="4" w:space="0" w:color="auto"/>
              <w:bottom w:val="single" w:sz="4" w:space="0" w:color="auto"/>
              <w:right w:val="single" w:sz="4" w:space="0" w:color="auto"/>
            </w:tcBorders>
          </w:tcPr>
          <w:p w14:paraId="3EA4AFAC"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66,39</w:t>
            </w:r>
          </w:p>
        </w:tc>
      </w:tr>
      <w:tr w:rsidR="00986DE0" w:rsidRPr="004B39AC" w14:paraId="42B8BA5F" w14:textId="77777777" w:rsidTr="003C7140">
        <w:trPr>
          <w:trHeight w:val="284"/>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07ACDC7C" w14:textId="77777777" w:rsidR="00986DE0" w:rsidRPr="001B74A0" w:rsidRDefault="00986DE0" w:rsidP="003C7140">
            <w:pPr>
              <w:spacing w:line="276" w:lineRule="auto"/>
              <w:rPr>
                <w:rFonts w:ascii="Lato" w:hAnsi="Lato" w:cstheme="minorHAnsi"/>
                <w:sz w:val="20"/>
                <w:szCs w:val="20"/>
              </w:rPr>
            </w:pPr>
          </w:p>
        </w:tc>
        <w:tc>
          <w:tcPr>
            <w:tcW w:w="4241" w:type="dxa"/>
            <w:gridSpan w:val="5"/>
            <w:tcBorders>
              <w:top w:val="single" w:sz="4" w:space="0" w:color="auto"/>
              <w:left w:val="single" w:sz="4" w:space="0" w:color="auto"/>
              <w:bottom w:val="single" w:sz="4" w:space="0" w:color="auto"/>
              <w:right w:val="single" w:sz="4" w:space="0" w:color="auto"/>
            </w:tcBorders>
            <w:vAlign w:val="center"/>
            <w:hideMark/>
          </w:tcPr>
          <w:p w14:paraId="0D9340AA"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Krztusiec</w:t>
            </w:r>
          </w:p>
        </w:tc>
        <w:tc>
          <w:tcPr>
            <w:tcW w:w="2147" w:type="dxa"/>
            <w:tcBorders>
              <w:top w:val="single" w:sz="4" w:space="0" w:color="auto"/>
              <w:left w:val="single" w:sz="4" w:space="0" w:color="auto"/>
              <w:bottom w:val="single" w:sz="4" w:space="0" w:color="auto"/>
              <w:right w:val="single" w:sz="4" w:space="0" w:color="auto"/>
            </w:tcBorders>
          </w:tcPr>
          <w:p w14:paraId="65247566"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66,38</w:t>
            </w:r>
          </w:p>
        </w:tc>
      </w:tr>
      <w:tr w:rsidR="00986DE0" w:rsidRPr="004B39AC" w14:paraId="0E9FA25B" w14:textId="77777777" w:rsidTr="003C7140">
        <w:trPr>
          <w:trHeight w:val="284"/>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43D2B311" w14:textId="77777777" w:rsidR="00986DE0" w:rsidRPr="001B74A0" w:rsidRDefault="00986DE0" w:rsidP="003C7140">
            <w:pPr>
              <w:spacing w:line="276" w:lineRule="auto"/>
              <w:rPr>
                <w:rFonts w:ascii="Lato" w:hAnsi="Lato" w:cstheme="minorHAnsi"/>
                <w:sz w:val="20"/>
                <w:szCs w:val="20"/>
              </w:rPr>
            </w:pPr>
          </w:p>
        </w:tc>
        <w:tc>
          <w:tcPr>
            <w:tcW w:w="4241" w:type="dxa"/>
            <w:gridSpan w:val="5"/>
            <w:tcBorders>
              <w:top w:val="single" w:sz="4" w:space="0" w:color="auto"/>
              <w:left w:val="single" w:sz="4" w:space="0" w:color="auto"/>
              <w:bottom w:val="single" w:sz="4" w:space="0" w:color="auto"/>
              <w:right w:val="single" w:sz="4" w:space="0" w:color="auto"/>
            </w:tcBorders>
            <w:vAlign w:val="center"/>
            <w:hideMark/>
          </w:tcPr>
          <w:p w14:paraId="052C63E1" w14:textId="77777777" w:rsidR="00986DE0" w:rsidRPr="001B74A0" w:rsidRDefault="00986DE0" w:rsidP="003C7140">
            <w:pPr>
              <w:spacing w:line="276" w:lineRule="auto"/>
              <w:rPr>
                <w:rFonts w:ascii="Lato" w:hAnsi="Lato" w:cstheme="minorHAnsi"/>
                <w:sz w:val="20"/>
                <w:szCs w:val="20"/>
              </w:rPr>
            </w:pPr>
            <w:proofErr w:type="spellStart"/>
            <w:r w:rsidRPr="001B74A0">
              <w:rPr>
                <w:rFonts w:ascii="Lato" w:hAnsi="Lato" w:cstheme="minorHAnsi"/>
                <w:sz w:val="20"/>
                <w:szCs w:val="20"/>
              </w:rPr>
              <w:t>Poliomyelitis</w:t>
            </w:r>
            <w:proofErr w:type="spellEnd"/>
          </w:p>
        </w:tc>
        <w:tc>
          <w:tcPr>
            <w:tcW w:w="2147" w:type="dxa"/>
            <w:tcBorders>
              <w:top w:val="single" w:sz="4" w:space="0" w:color="auto"/>
              <w:left w:val="single" w:sz="4" w:space="0" w:color="auto"/>
              <w:bottom w:val="single" w:sz="4" w:space="0" w:color="auto"/>
              <w:right w:val="single" w:sz="4" w:space="0" w:color="auto"/>
            </w:tcBorders>
          </w:tcPr>
          <w:p w14:paraId="130053E8"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66,50</w:t>
            </w:r>
          </w:p>
        </w:tc>
      </w:tr>
      <w:tr w:rsidR="00986DE0" w:rsidRPr="004B39AC" w14:paraId="711530C1" w14:textId="77777777" w:rsidTr="003C7140">
        <w:trPr>
          <w:trHeight w:val="284"/>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1D2443F1"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10 r.ż.</w:t>
            </w:r>
          </w:p>
          <w:p w14:paraId="134F47F3"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rocznik 2016</w:t>
            </w:r>
          </w:p>
        </w:tc>
        <w:tc>
          <w:tcPr>
            <w:tcW w:w="1447" w:type="dxa"/>
            <w:vMerge w:val="restart"/>
            <w:tcBorders>
              <w:top w:val="single" w:sz="4" w:space="0" w:color="auto"/>
              <w:left w:val="single" w:sz="4" w:space="0" w:color="auto"/>
              <w:bottom w:val="single" w:sz="4" w:space="0" w:color="auto"/>
              <w:right w:val="single" w:sz="4" w:space="0" w:color="auto"/>
            </w:tcBorders>
            <w:vAlign w:val="center"/>
            <w:hideMark/>
          </w:tcPr>
          <w:p w14:paraId="6387EF1F"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Odra, świnka, różyczka</w:t>
            </w:r>
          </w:p>
        </w:tc>
        <w:tc>
          <w:tcPr>
            <w:tcW w:w="2794" w:type="dxa"/>
            <w:gridSpan w:val="4"/>
            <w:tcBorders>
              <w:top w:val="single" w:sz="4" w:space="0" w:color="auto"/>
              <w:left w:val="single" w:sz="4" w:space="0" w:color="auto"/>
              <w:bottom w:val="single" w:sz="4" w:space="0" w:color="auto"/>
              <w:right w:val="single" w:sz="4" w:space="0" w:color="auto"/>
            </w:tcBorders>
            <w:vAlign w:val="center"/>
            <w:hideMark/>
          </w:tcPr>
          <w:p w14:paraId="70ED5ACA"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Ogółem objętych szczepieniami</w:t>
            </w:r>
          </w:p>
        </w:tc>
        <w:tc>
          <w:tcPr>
            <w:tcW w:w="2147" w:type="dxa"/>
            <w:tcBorders>
              <w:top w:val="single" w:sz="4" w:space="0" w:color="auto"/>
              <w:left w:val="single" w:sz="4" w:space="0" w:color="auto"/>
              <w:bottom w:val="single" w:sz="4" w:space="0" w:color="auto"/>
              <w:right w:val="single" w:sz="4" w:space="0" w:color="auto"/>
            </w:tcBorders>
            <w:vAlign w:val="center"/>
          </w:tcPr>
          <w:p w14:paraId="5CC0F21D"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97,55</w:t>
            </w:r>
          </w:p>
        </w:tc>
      </w:tr>
      <w:tr w:rsidR="00986DE0" w:rsidRPr="004B39AC" w14:paraId="4BAE5A06" w14:textId="77777777" w:rsidTr="003C7140">
        <w:trPr>
          <w:trHeight w:val="284"/>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54FC3D5F" w14:textId="77777777" w:rsidR="00986DE0" w:rsidRPr="001B74A0" w:rsidRDefault="00986DE0" w:rsidP="003C7140">
            <w:pPr>
              <w:spacing w:line="276" w:lineRule="auto"/>
              <w:rPr>
                <w:rFonts w:ascii="Lato" w:hAnsi="Lato" w:cstheme="minorHAnsi"/>
                <w:sz w:val="20"/>
                <w:szCs w:val="20"/>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6BCB36A8" w14:textId="77777777" w:rsidR="00986DE0" w:rsidRPr="001B74A0" w:rsidRDefault="00986DE0" w:rsidP="003C7140">
            <w:pPr>
              <w:spacing w:line="276" w:lineRule="auto"/>
              <w:rPr>
                <w:rFonts w:ascii="Lato" w:hAnsi="Lato" w:cstheme="minorHAnsi"/>
                <w:sz w:val="20"/>
                <w:szCs w:val="20"/>
              </w:rPr>
            </w:pPr>
          </w:p>
        </w:tc>
        <w:tc>
          <w:tcPr>
            <w:tcW w:w="603"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DFCC05E"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w tym</w:t>
            </w:r>
          </w:p>
        </w:tc>
        <w:tc>
          <w:tcPr>
            <w:tcW w:w="2191" w:type="dxa"/>
            <w:tcBorders>
              <w:top w:val="single" w:sz="4" w:space="0" w:color="auto"/>
              <w:left w:val="single" w:sz="4" w:space="0" w:color="auto"/>
              <w:bottom w:val="single" w:sz="4" w:space="0" w:color="auto"/>
              <w:right w:val="single" w:sz="4" w:space="0" w:color="auto"/>
            </w:tcBorders>
            <w:vAlign w:val="center"/>
            <w:hideMark/>
          </w:tcPr>
          <w:p w14:paraId="146CC160"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z I dawką</w:t>
            </w:r>
          </w:p>
        </w:tc>
        <w:tc>
          <w:tcPr>
            <w:tcW w:w="2147" w:type="dxa"/>
            <w:tcBorders>
              <w:top w:val="single" w:sz="4" w:space="0" w:color="auto"/>
              <w:left w:val="single" w:sz="4" w:space="0" w:color="auto"/>
              <w:bottom w:val="single" w:sz="4" w:space="0" w:color="auto"/>
              <w:right w:val="single" w:sz="4" w:space="0" w:color="auto"/>
            </w:tcBorders>
          </w:tcPr>
          <w:p w14:paraId="2B4330A8"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4,20</w:t>
            </w:r>
          </w:p>
        </w:tc>
      </w:tr>
      <w:tr w:rsidR="00986DE0" w:rsidRPr="004B39AC" w14:paraId="2C17D88F" w14:textId="77777777" w:rsidTr="003C7140">
        <w:trPr>
          <w:trHeight w:val="284"/>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7AC06C79" w14:textId="77777777" w:rsidR="00986DE0" w:rsidRPr="001B74A0" w:rsidRDefault="00986DE0" w:rsidP="003C7140">
            <w:pPr>
              <w:spacing w:line="276" w:lineRule="auto"/>
              <w:rPr>
                <w:rFonts w:ascii="Lato" w:hAnsi="Lato" w:cstheme="minorHAnsi"/>
                <w:sz w:val="20"/>
                <w:szCs w:val="20"/>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430E450F" w14:textId="77777777" w:rsidR="00986DE0" w:rsidRPr="001B74A0" w:rsidRDefault="00986DE0" w:rsidP="003C7140">
            <w:pPr>
              <w:spacing w:line="276" w:lineRule="auto"/>
              <w:rPr>
                <w:rFonts w:ascii="Lato" w:hAnsi="Lato" w:cstheme="minorHAnsi"/>
                <w:sz w:val="20"/>
                <w:szCs w:val="20"/>
              </w:rPr>
            </w:pPr>
          </w:p>
        </w:tc>
        <w:tc>
          <w:tcPr>
            <w:tcW w:w="603" w:type="dxa"/>
            <w:gridSpan w:val="3"/>
            <w:vMerge/>
            <w:tcBorders>
              <w:top w:val="single" w:sz="4" w:space="0" w:color="auto"/>
              <w:left w:val="single" w:sz="4" w:space="0" w:color="auto"/>
              <w:bottom w:val="single" w:sz="4" w:space="0" w:color="auto"/>
              <w:right w:val="single" w:sz="4" w:space="0" w:color="auto"/>
            </w:tcBorders>
            <w:vAlign w:val="center"/>
            <w:hideMark/>
          </w:tcPr>
          <w:p w14:paraId="157C27E5" w14:textId="77777777" w:rsidR="00986DE0" w:rsidRPr="001B74A0" w:rsidRDefault="00986DE0" w:rsidP="003C7140">
            <w:pPr>
              <w:spacing w:line="276" w:lineRule="auto"/>
              <w:rPr>
                <w:rFonts w:ascii="Lato" w:hAnsi="Lato" w:cstheme="minorHAnsi"/>
                <w:sz w:val="20"/>
                <w:szCs w:val="20"/>
              </w:rPr>
            </w:pPr>
          </w:p>
        </w:tc>
        <w:tc>
          <w:tcPr>
            <w:tcW w:w="2191" w:type="dxa"/>
            <w:tcBorders>
              <w:top w:val="single" w:sz="4" w:space="0" w:color="auto"/>
              <w:left w:val="single" w:sz="4" w:space="0" w:color="auto"/>
              <w:bottom w:val="single" w:sz="4" w:space="0" w:color="auto"/>
              <w:right w:val="single" w:sz="4" w:space="0" w:color="auto"/>
            </w:tcBorders>
            <w:vAlign w:val="center"/>
            <w:hideMark/>
          </w:tcPr>
          <w:p w14:paraId="57132EB1"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z II dawką</w:t>
            </w:r>
          </w:p>
        </w:tc>
        <w:tc>
          <w:tcPr>
            <w:tcW w:w="2147" w:type="dxa"/>
            <w:tcBorders>
              <w:top w:val="single" w:sz="4" w:space="0" w:color="auto"/>
              <w:left w:val="single" w:sz="4" w:space="0" w:color="auto"/>
              <w:bottom w:val="single" w:sz="4" w:space="0" w:color="auto"/>
              <w:right w:val="single" w:sz="4" w:space="0" w:color="auto"/>
            </w:tcBorders>
          </w:tcPr>
          <w:p w14:paraId="15F3267A"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93,34</w:t>
            </w:r>
          </w:p>
        </w:tc>
      </w:tr>
      <w:tr w:rsidR="00986DE0" w:rsidRPr="004B39AC" w14:paraId="5A55C57C" w14:textId="77777777" w:rsidTr="003C7140">
        <w:trPr>
          <w:trHeight w:val="284"/>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29DBAF4E"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14 r.ż.</w:t>
            </w:r>
          </w:p>
          <w:p w14:paraId="6BE11681"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rocznik 2012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35294488"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Błonica, tężec</w:t>
            </w:r>
          </w:p>
        </w:tc>
        <w:tc>
          <w:tcPr>
            <w:tcW w:w="2794" w:type="dxa"/>
            <w:gridSpan w:val="4"/>
            <w:tcBorders>
              <w:top w:val="single" w:sz="4" w:space="0" w:color="auto"/>
              <w:left w:val="single" w:sz="4" w:space="0" w:color="auto"/>
              <w:bottom w:val="single" w:sz="4" w:space="0" w:color="auto"/>
              <w:right w:val="single" w:sz="4" w:space="0" w:color="auto"/>
            </w:tcBorders>
            <w:vAlign w:val="center"/>
            <w:hideMark/>
          </w:tcPr>
          <w:p w14:paraId="0B36DE04"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II dawka przyp.</w:t>
            </w:r>
          </w:p>
        </w:tc>
        <w:tc>
          <w:tcPr>
            <w:tcW w:w="2147" w:type="dxa"/>
            <w:tcBorders>
              <w:top w:val="single" w:sz="4" w:space="0" w:color="auto"/>
              <w:left w:val="single" w:sz="4" w:space="0" w:color="auto"/>
              <w:bottom w:val="single" w:sz="4" w:space="0" w:color="auto"/>
              <w:right w:val="single" w:sz="4" w:space="0" w:color="auto"/>
            </w:tcBorders>
          </w:tcPr>
          <w:p w14:paraId="52EFF34D"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71,06</w:t>
            </w:r>
          </w:p>
        </w:tc>
      </w:tr>
      <w:tr w:rsidR="00986DE0" w:rsidRPr="004B39AC" w14:paraId="7FB0E242" w14:textId="77777777" w:rsidTr="003C7140">
        <w:trPr>
          <w:trHeight w:val="284"/>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27861132" w14:textId="77777777" w:rsidR="00986DE0" w:rsidRPr="001B74A0" w:rsidRDefault="00986DE0" w:rsidP="003C7140">
            <w:pPr>
              <w:spacing w:line="276" w:lineRule="auto"/>
              <w:rPr>
                <w:rFonts w:ascii="Lato" w:hAnsi="Lato" w:cstheme="minorHAnsi"/>
                <w:sz w:val="20"/>
                <w:szCs w:val="20"/>
              </w:rPr>
            </w:pPr>
          </w:p>
        </w:tc>
        <w:tc>
          <w:tcPr>
            <w:tcW w:w="1447" w:type="dxa"/>
            <w:tcBorders>
              <w:top w:val="single" w:sz="4" w:space="0" w:color="auto"/>
              <w:left w:val="single" w:sz="4" w:space="0" w:color="auto"/>
              <w:bottom w:val="single" w:sz="4" w:space="0" w:color="auto"/>
              <w:right w:val="single" w:sz="4" w:space="0" w:color="auto"/>
            </w:tcBorders>
            <w:vAlign w:val="center"/>
            <w:hideMark/>
          </w:tcPr>
          <w:p w14:paraId="5D4E7B43"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Krztusiec</w:t>
            </w:r>
          </w:p>
        </w:tc>
        <w:tc>
          <w:tcPr>
            <w:tcW w:w="2794" w:type="dxa"/>
            <w:gridSpan w:val="4"/>
            <w:tcBorders>
              <w:top w:val="single" w:sz="4" w:space="0" w:color="auto"/>
              <w:left w:val="single" w:sz="4" w:space="0" w:color="auto"/>
              <w:bottom w:val="single" w:sz="4" w:space="0" w:color="auto"/>
              <w:right w:val="single" w:sz="4" w:space="0" w:color="auto"/>
            </w:tcBorders>
            <w:vAlign w:val="center"/>
            <w:hideMark/>
          </w:tcPr>
          <w:p w14:paraId="26DB99D9"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II dawka przyp.</w:t>
            </w:r>
          </w:p>
        </w:tc>
        <w:tc>
          <w:tcPr>
            <w:tcW w:w="2147" w:type="dxa"/>
            <w:tcBorders>
              <w:top w:val="single" w:sz="4" w:space="0" w:color="auto"/>
              <w:left w:val="single" w:sz="4" w:space="0" w:color="auto"/>
              <w:bottom w:val="single" w:sz="4" w:space="0" w:color="auto"/>
              <w:right w:val="single" w:sz="4" w:space="0" w:color="auto"/>
            </w:tcBorders>
          </w:tcPr>
          <w:p w14:paraId="51A9F1DF"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71,06</w:t>
            </w:r>
          </w:p>
        </w:tc>
      </w:tr>
      <w:tr w:rsidR="00986DE0" w:rsidRPr="004B39AC" w14:paraId="5E3EBF99" w14:textId="77777777" w:rsidTr="003C7140">
        <w:trPr>
          <w:trHeight w:val="284"/>
        </w:trPr>
        <w:tc>
          <w:tcPr>
            <w:tcW w:w="3006" w:type="dxa"/>
            <w:gridSpan w:val="2"/>
            <w:tcBorders>
              <w:top w:val="single" w:sz="4" w:space="0" w:color="auto"/>
              <w:left w:val="single" w:sz="4" w:space="0" w:color="auto"/>
              <w:bottom w:val="single" w:sz="4" w:space="0" w:color="auto"/>
              <w:right w:val="single" w:sz="4" w:space="0" w:color="auto"/>
            </w:tcBorders>
            <w:vAlign w:val="center"/>
            <w:hideMark/>
          </w:tcPr>
          <w:p w14:paraId="3FE4ED8C"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19 r.ż.</w:t>
            </w:r>
          </w:p>
          <w:p w14:paraId="4C79D92B"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rocznik 2007</w:t>
            </w:r>
          </w:p>
          <w:p w14:paraId="798D2122"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III dawka przypominająca</w:t>
            </w:r>
          </w:p>
        </w:tc>
        <w:tc>
          <w:tcPr>
            <w:tcW w:w="2794" w:type="dxa"/>
            <w:gridSpan w:val="4"/>
            <w:tcBorders>
              <w:top w:val="single" w:sz="4" w:space="0" w:color="auto"/>
              <w:left w:val="single" w:sz="4" w:space="0" w:color="auto"/>
              <w:bottom w:val="single" w:sz="4" w:space="0" w:color="auto"/>
              <w:right w:val="single" w:sz="4" w:space="0" w:color="auto"/>
            </w:tcBorders>
            <w:vAlign w:val="center"/>
            <w:hideMark/>
          </w:tcPr>
          <w:p w14:paraId="363CFF60"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Błonica, tężec</w:t>
            </w:r>
          </w:p>
        </w:tc>
        <w:tc>
          <w:tcPr>
            <w:tcW w:w="2147" w:type="dxa"/>
            <w:tcBorders>
              <w:top w:val="single" w:sz="4" w:space="0" w:color="auto"/>
              <w:left w:val="single" w:sz="4" w:space="0" w:color="auto"/>
              <w:bottom w:val="single" w:sz="4" w:space="0" w:color="auto"/>
              <w:right w:val="single" w:sz="4" w:space="0" w:color="auto"/>
            </w:tcBorders>
            <w:vAlign w:val="center"/>
          </w:tcPr>
          <w:p w14:paraId="5D1DE09D"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64,35</w:t>
            </w:r>
          </w:p>
        </w:tc>
      </w:tr>
    </w:tbl>
    <w:p w14:paraId="1DF2549C" w14:textId="75925DD9" w:rsidR="00986DE0" w:rsidRPr="00B74DAD" w:rsidRDefault="00986DE0" w:rsidP="00245ED6">
      <w:pPr>
        <w:spacing w:line="360" w:lineRule="auto"/>
        <w:rPr>
          <w:rFonts w:ascii="Lato" w:hAnsi="Lato" w:cstheme="minorHAnsi"/>
          <w:sz w:val="22"/>
          <w:szCs w:val="22"/>
        </w:rPr>
      </w:pPr>
      <w:r w:rsidRPr="00B74DAD">
        <w:rPr>
          <w:rFonts w:ascii="Lato" w:hAnsi="Lato" w:cstheme="minorHAnsi"/>
          <w:sz w:val="22"/>
          <w:szCs w:val="22"/>
        </w:rPr>
        <w:lastRenderedPageBreak/>
        <w:t xml:space="preserve">Realizację obowiązkowych szczepień osób narażonych w sposób szczególny na zakażenie w związku z przesłankami klinicznymi lub epidemiologicznymi oraz obowiązkowe szczepienia </w:t>
      </w:r>
      <w:proofErr w:type="spellStart"/>
      <w:r w:rsidRPr="00B74DAD">
        <w:rPr>
          <w:rFonts w:ascii="Lato" w:hAnsi="Lato" w:cstheme="minorHAnsi"/>
          <w:sz w:val="22"/>
          <w:szCs w:val="22"/>
        </w:rPr>
        <w:t>poekspozycyjne</w:t>
      </w:r>
      <w:proofErr w:type="spellEnd"/>
      <w:r w:rsidRPr="00B74DAD">
        <w:rPr>
          <w:rFonts w:ascii="Lato" w:hAnsi="Lato" w:cstheme="minorHAnsi"/>
          <w:sz w:val="22"/>
          <w:szCs w:val="22"/>
        </w:rPr>
        <w:t xml:space="preserve"> w roku 2025 przedstawia tabela 1</w:t>
      </w:r>
      <w:r w:rsidR="004D3372">
        <w:rPr>
          <w:rFonts w:ascii="Lato" w:hAnsi="Lato" w:cstheme="minorHAnsi"/>
          <w:sz w:val="22"/>
          <w:szCs w:val="22"/>
        </w:rPr>
        <w:t>6</w:t>
      </w:r>
      <w:r w:rsidRPr="00B74DAD">
        <w:rPr>
          <w:rFonts w:ascii="Lato" w:hAnsi="Lato" w:cstheme="minorHAnsi"/>
          <w:sz w:val="22"/>
          <w:szCs w:val="22"/>
        </w:rPr>
        <w:t>.</w:t>
      </w:r>
    </w:p>
    <w:p w14:paraId="74A4AC86" w14:textId="782D8FAD" w:rsidR="00986DE0" w:rsidRPr="00377D16" w:rsidRDefault="00377D16" w:rsidP="00377D16">
      <w:pPr>
        <w:pStyle w:val="Legenda"/>
        <w:rPr>
          <w:rFonts w:ascii="Lato" w:hAnsi="Lato" w:cstheme="minorHAnsi"/>
          <w:b w:val="0"/>
          <w:bCs w:val="0"/>
          <w:i/>
          <w:iCs/>
          <w:sz w:val="18"/>
          <w:szCs w:val="18"/>
        </w:rPr>
      </w:pPr>
      <w:bookmarkStart w:id="72" w:name="_Toc225859372"/>
      <w:r w:rsidRPr="00377D16">
        <w:rPr>
          <w:rFonts w:ascii="Lato" w:hAnsi="Lato"/>
          <w:b w:val="0"/>
          <w:bCs w:val="0"/>
          <w:sz w:val="18"/>
          <w:szCs w:val="18"/>
        </w:rPr>
        <w:t xml:space="preserve">Tabela </w:t>
      </w:r>
      <w:r w:rsidRPr="00377D16">
        <w:rPr>
          <w:rFonts w:ascii="Lato" w:hAnsi="Lato"/>
          <w:b w:val="0"/>
          <w:bCs w:val="0"/>
          <w:sz w:val="18"/>
          <w:szCs w:val="18"/>
        </w:rPr>
        <w:fldChar w:fldCharType="begin"/>
      </w:r>
      <w:r w:rsidRPr="00377D16">
        <w:rPr>
          <w:rFonts w:ascii="Lato" w:hAnsi="Lato"/>
          <w:b w:val="0"/>
          <w:bCs w:val="0"/>
          <w:sz w:val="18"/>
          <w:szCs w:val="18"/>
        </w:rPr>
        <w:instrText xml:space="preserve"> SEQ Tabela \* ARABIC </w:instrText>
      </w:r>
      <w:r w:rsidRPr="00377D16">
        <w:rPr>
          <w:rFonts w:ascii="Lato" w:hAnsi="Lato"/>
          <w:b w:val="0"/>
          <w:bCs w:val="0"/>
          <w:sz w:val="18"/>
          <w:szCs w:val="18"/>
        </w:rPr>
        <w:fldChar w:fldCharType="separate"/>
      </w:r>
      <w:r w:rsidR="002A3179">
        <w:rPr>
          <w:rFonts w:ascii="Lato" w:hAnsi="Lato"/>
          <w:b w:val="0"/>
          <w:bCs w:val="0"/>
          <w:noProof/>
          <w:sz w:val="18"/>
          <w:szCs w:val="18"/>
        </w:rPr>
        <w:t>16</w:t>
      </w:r>
      <w:r w:rsidRPr="00377D16">
        <w:rPr>
          <w:rFonts w:ascii="Lato" w:hAnsi="Lato"/>
          <w:b w:val="0"/>
          <w:bCs w:val="0"/>
          <w:sz w:val="18"/>
          <w:szCs w:val="18"/>
        </w:rPr>
        <w:fldChar w:fldCharType="end"/>
      </w:r>
      <w:r w:rsidRPr="00377D16">
        <w:rPr>
          <w:rFonts w:ascii="Lato" w:hAnsi="Lato"/>
          <w:b w:val="0"/>
          <w:bCs w:val="0"/>
          <w:sz w:val="18"/>
          <w:szCs w:val="18"/>
        </w:rPr>
        <w:t>. Liczba szczepień u osób narażonych w sposób szczególny na zakażenie w roku 2025 na terenie woj. zachodniopomorskiego.</w:t>
      </w:r>
      <w:bookmarkEnd w:id="72"/>
    </w:p>
    <w:tbl>
      <w:tblPr>
        <w:tblW w:w="23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czba szczepień u osób narażonych w sposób szczególny na zakażenie w roku 2025 na terenie woj. zachodniopomorskiego"/>
        <w:tblDescription w:val="Tabela przedstawia dane dotyczace liczby szczepień u osób nar4ażonych na zakażenie w roku 2025. Pośród tych szczepień, najwięcej wykonano szczepień przeciwko tężcowi - szczepienia poekspozycyjne (11843 szczepienia), ospie wietrznej (3051 szczepień) oraz szczepień profilaktycznych przeciw tężcowi (2277 szczepień)."/>
      </w:tblPr>
      <w:tblGrid>
        <w:gridCol w:w="3047"/>
        <w:gridCol w:w="1151"/>
      </w:tblGrid>
      <w:tr w:rsidR="00986DE0" w:rsidRPr="003C18B3" w14:paraId="64AEDB4F" w14:textId="77777777" w:rsidTr="00130F95">
        <w:trPr>
          <w:trHeight w:val="340"/>
          <w:jc w:val="center"/>
        </w:trPr>
        <w:tc>
          <w:tcPr>
            <w:tcW w:w="3629" w:type="pct"/>
            <w:shd w:val="clear" w:color="auto" w:fill="D9D9D9" w:themeFill="background1" w:themeFillShade="D9"/>
            <w:vAlign w:val="center"/>
          </w:tcPr>
          <w:p w14:paraId="6C7B984C" w14:textId="77777777" w:rsidR="00986DE0" w:rsidRPr="004B39AC" w:rsidRDefault="00986DE0" w:rsidP="003C7140">
            <w:pPr>
              <w:spacing w:line="276" w:lineRule="auto"/>
              <w:rPr>
                <w:rFonts w:ascii="Lato" w:hAnsi="Lato" w:cstheme="minorHAnsi"/>
                <w:b/>
              </w:rPr>
            </w:pPr>
            <w:r w:rsidRPr="004B39AC">
              <w:rPr>
                <w:rFonts w:ascii="Lato" w:hAnsi="Lato" w:cstheme="minorHAnsi"/>
                <w:b/>
              </w:rPr>
              <w:t>Rok</w:t>
            </w:r>
          </w:p>
        </w:tc>
        <w:tc>
          <w:tcPr>
            <w:tcW w:w="1371" w:type="pct"/>
            <w:shd w:val="clear" w:color="auto" w:fill="D9D9D9" w:themeFill="background1" w:themeFillShade="D9"/>
            <w:vAlign w:val="center"/>
          </w:tcPr>
          <w:p w14:paraId="5C8E931E" w14:textId="77777777" w:rsidR="00986DE0" w:rsidRPr="004B39AC" w:rsidRDefault="00986DE0" w:rsidP="003C7140">
            <w:pPr>
              <w:spacing w:line="276" w:lineRule="auto"/>
              <w:jc w:val="center"/>
              <w:rPr>
                <w:rFonts w:ascii="Lato" w:hAnsi="Lato" w:cstheme="minorHAnsi"/>
                <w:b/>
              </w:rPr>
            </w:pPr>
            <w:r w:rsidRPr="004B39AC">
              <w:rPr>
                <w:rFonts w:ascii="Lato" w:hAnsi="Lato" w:cstheme="minorHAnsi"/>
                <w:b/>
              </w:rPr>
              <w:t>2025</w:t>
            </w:r>
          </w:p>
        </w:tc>
      </w:tr>
      <w:tr w:rsidR="00986DE0" w:rsidRPr="003C18B3" w14:paraId="75DCECE8" w14:textId="77777777" w:rsidTr="003C7140">
        <w:trPr>
          <w:trHeight w:val="283"/>
          <w:jc w:val="center"/>
        </w:trPr>
        <w:tc>
          <w:tcPr>
            <w:tcW w:w="3629" w:type="pct"/>
            <w:vAlign w:val="center"/>
          </w:tcPr>
          <w:p w14:paraId="232057BE"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Błonica</w:t>
            </w:r>
          </w:p>
        </w:tc>
        <w:tc>
          <w:tcPr>
            <w:tcW w:w="1371" w:type="pct"/>
            <w:vAlign w:val="center"/>
          </w:tcPr>
          <w:p w14:paraId="2AD2D909" w14:textId="77777777" w:rsidR="00986DE0" w:rsidRPr="001B74A0" w:rsidRDefault="00986DE0" w:rsidP="003C7140">
            <w:pPr>
              <w:spacing w:line="276" w:lineRule="auto"/>
              <w:jc w:val="center"/>
              <w:rPr>
                <w:rFonts w:ascii="Lato" w:hAnsi="Lato" w:cstheme="minorHAnsi"/>
                <w:sz w:val="20"/>
                <w:szCs w:val="20"/>
              </w:rPr>
            </w:pPr>
            <w:r w:rsidRPr="001B74A0">
              <w:rPr>
                <w:rFonts w:ascii="Lato" w:hAnsi="Lato" w:cstheme="minorHAnsi"/>
                <w:sz w:val="20"/>
                <w:szCs w:val="20"/>
              </w:rPr>
              <w:t>1119</w:t>
            </w:r>
          </w:p>
        </w:tc>
      </w:tr>
      <w:tr w:rsidR="00986DE0" w:rsidRPr="003C18B3" w14:paraId="23B56A6A" w14:textId="77777777" w:rsidTr="003C7140">
        <w:trPr>
          <w:trHeight w:val="283"/>
          <w:jc w:val="center"/>
        </w:trPr>
        <w:tc>
          <w:tcPr>
            <w:tcW w:w="3629" w:type="pct"/>
            <w:vAlign w:val="center"/>
          </w:tcPr>
          <w:p w14:paraId="37797ACA"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Krztusiec</w:t>
            </w:r>
          </w:p>
        </w:tc>
        <w:tc>
          <w:tcPr>
            <w:tcW w:w="1371" w:type="pct"/>
            <w:vAlign w:val="center"/>
          </w:tcPr>
          <w:p w14:paraId="4A68709F" w14:textId="77777777" w:rsidR="00986DE0" w:rsidRPr="001B74A0" w:rsidRDefault="00986DE0" w:rsidP="003C7140">
            <w:pPr>
              <w:spacing w:line="276" w:lineRule="auto"/>
              <w:jc w:val="center"/>
              <w:rPr>
                <w:rFonts w:ascii="Lato" w:hAnsi="Lato" w:cstheme="minorHAnsi"/>
                <w:sz w:val="20"/>
                <w:szCs w:val="20"/>
              </w:rPr>
            </w:pPr>
            <w:r w:rsidRPr="001B74A0">
              <w:rPr>
                <w:rFonts w:ascii="Lato" w:hAnsi="Lato" w:cstheme="minorHAnsi"/>
                <w:sz w:val="20"/>
                <w:szCs w:val="20"/>
              </w:rPr>
              <w:t>1121</w:t>
            </w:r>
          </w:p>
        </w:tc>
      </w:tr>
      <w:tr w:rsidR="00986DE0" w:rsidRPr="003C18B3" w14:paraId="4BBFF248" w14:textId="77777777" w:rsidTr="003C7140">
        <w:trPr>
          <w:trHeight w:val="283"/>
          <w:jc w:val="center"/>
        </w:trPr>
        <w:tc>
          <w:tcPr>
            <w:tcW w:w="3629" w:type="pct"/>
            <w:vAlign w:val="center"/>
          </w:tcPr>
          <w:p w14:paraId="01C03882"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Odra, świnka i różyczka</w:t>
            </w:r>
          </w:p>
        </w:tc>
        <w:tc>
          <w:tcPr>
            <w:tcW w:w="1371" w:type="pct"/>
            <w:vAlign w:val="center"/>
          </w:tcPr>
          <w:p w14:paraId="46447817" w14:textId="77777777" w:rsidR="00986DE0" w:rsidRPr="001B74A0" w:rsidRDefault="00986DE0" w:rsidP="003C7140">
            <w:pPr>
              <w:spacing w:line="276" w:lineRule="auto"/>
              <w:jc w:val="center"/>
              <w:rPr>
                <w:rFonts w:ascii="Lato" w:hAnsi="Lato" w:cstheme="minorHAnsi"/>
                <w:sz w:val="20"/>
                <w:szCs w:val="20"/>
              </w:rPr>
            </w:pPr>
            <w:r w:rsidRPr="001B74A0">
              <w:rPr>
                <w:rFonts w:ascii="Lato" w:hAnsi="Lato" w:cstheme="minorHAnsi"/>
                <w:sz w:val="20"/>
                <w:szCs w:val="20"/>
              </w:rPr>
              <w:t>23</w:t>
            </w:r>
          </w:p>
        </w:tc>
      </w:tr>
      <w:tr w:rsidR="00986DE0" w:rsidRPr="003C18B3" w14:paraId="52E5A321" w14:textId="77777777" w:rsidTr="003C7140">
        <w:trPr>
          <w:trHeight w:val="283"/>
          <w:jc w:val="center"/>
        </w:trPr>
        <w:tc>
          <w:tcPr>
            <w:tcW w:w="3629" w:type="pct"/>
            <w:vAlign w:val="center"/>
          </w:tcPr>
          <w:p w14:paraId="1DBEA287" w14:textId="77777777" w:rsidR="00986DE0" w:rsidRPr="001B74A0" w:rsidRDefault="00986DE0" w:rsidP="003C7140">
            <w:pPr>
              <w:spacing w:line="276" w:lineRule="auto"/>
              <w:rPr>
                <w:rFonts w:ascii="Lato" w:hAnsi="Lato" w:cstheme="minorHAnsi"/>
                <w:sz w:val="20"/>
                <w:szCs w:val="20"/>
              </w:rPr>
            </w:pPr>
            <w:proofErr w:type="spellStart"/>
            <w:r w:rsidRPr="001B74A0">
              <w:rPr>
                <w:rFonts w:ascii="Lato" w:hAnsi="Lato" w:cstheme="minorHAnsi"/>
                <w:sz w:val="20"/>
                <w:szCs w:val="20"/>
              </w:rPr>
              <w:t>Poliomyelitis</w:t>
            </w:r>
            <w:proofErr w:type="spellEnd"/>
          </w:p>
        </w:tc>
        <w:tc>
          <w:tcPr>
            <w:tcW w:w="1371" w:type="pct"/>
            <w:vAlign w:val="center"/>
          </w:tcPr>
          <w:p w14:paraId="356DDDE0" w14:textId="77777777" w:rsidR="00986DE0" w:rsidRPr="001B74A0" w:rsidRDefault="00986DE0" w:rsidP="003C7140">
            <w:pPr>
              <w:spacing w:line="276" w:lineRule="auto"/>
              <w:jc w:val="center"/>
              <w:rPr>
                <w:rFonts w:ascii="Lato" w:hAnsi="Lato" w:cstheme="minorHAnsi"/>
                <w:sz w:val="20"/>
                <w:szCs w:val="20"/>
              </w:rPr>
            </w:pPr>
            <w:r w:rsidRPr="001B74A0">
              <w:rPr>
                <w:rFonts w:ascii="Lato" w:hAnsi="Lato" w:cstheme="minorHAnsi"/>
                <w:sz w:val="20"/>
                <w:szCs w:val="20"/>
              </w:rPr>
              <w:t>211</w:t>
            </w:r>
          </w:p>
        </w:tc>
      </w:tr>
      <w:tr w:rsidR="00986DE0" w:rsidRPr="003C18B3" w14:paraId="16D24A72" w14:textId="77777777" w:rsidTr="003C7140">
        <w:trPr>
          <w:trHeight w:val="283"/>
          <w:jc w:val="center"/>
        </w:trPr>
        <w:tc>
          <w:tcPr>
            <w:tcW w:w="3629" w:type="pct"/>
            <w:vAlign w:val="center"/>
          </w:tcPr>
          <w:p w14:paraId="4EB01123"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Tężec – szczepienie profilaktyczne</w:t>
            </w:r>
          </w:p>
        </w:tc>
        <w:tc>
          <w:tcPr>
            <w:tcW w:w="1371" w:type="pct"/>
            <w:vAlign w:val="center"/>
          </w:tcPr>
          <w:p w14:paraId="538E57FC" w14:textId="77777777" w:rsidR="00986DE0" w:rsidRPr="001B74A0" w:rsidRDefault="00986DE0" w:rsidP="003C7140">
            <w:pPr>
              <w:spacing w:line="276" w:lineRule="auto"/>
              <w:jc w:val="center"/>
              <w:rPr>
                <w:rFonts w:ascii="Lato" w:hAnsi="Lato" w:cstheme="minorHAnsi"/>
                <w:sz w:val="20"/>
                <w:szCs w:val="20"/>
              </w:rPr>
            </w:pPr>
            <w:r w:rsidRPr="001B74A0">
              <w:rPr>
                <w:rFonts w:ascii="Lato" w:hAnsi="Lato" w:cstheme="minorHAnsi"/>
                <w:sz w:val="20"/>
                <w:szCs w:val="20"/>
              </w:rPr>
              <w:t>2277</w:t>
            </w:r>
          </w:p>
        </w:tc>
      </w:tr>
      <w:tr w:rsidR="00986DE0" w:rsidRPr="003C18B3" w14:paraId="3CC62E67" w14:textId="77777777" w:rsidTr="003C7140">
        <w:trPr>
          <w:trHeight w:val="283"/>
          <w:jc w:val="center"/>
        </w:trPr>
        <w:tc>
          <w:tcPr>
            <w:tcW w:w="3629" w:type="pct"/>
            <w:vAlign w:val="center"/>
          </w:tcPr>
          <w:p w14:paraId="1C7EC079"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WZW typu B</w:t>
            </w:r>
          </w:p>
        </w:tc>
        <w:tc>
          <w:tcPr>
            <w:tcW w:w="1371" w:type="pct"/>
            <w:vAlign w:val="center"/>
          </w:tcPr>
          <w:p w14:paraId="45AA9941" w14:textId="77777777" w:rsidR="00986DE0" w:rsidRPr="001B74A0" w:rsidRDefault="00986DE0" w:rsidP="003C7140">
            <w:pPr>
              <w:spacing w:line="276" w:lineRule="auto"/>
              <w:jc w:val="center"/>
              <w:rPr>
                <w:rFonts w:ascii="Lato" w:hAnsi="Lato" w:cstheme="minorHAnsi"/>
                <w:sz w:val="20"/>
                <w:szCs w:val="20"/>
              </w:rPr>
            </w:pPr>
            <w:r w:rsidRPr="001B74A0">
              <w:rPr>
                <w:rFonts w:ascii="Lato" w:hAnsi="Lato" w:cstheme="minorHAnsi"/>
                <w:sz w:val="20"/>
                <w:szCs w:val="20"/>
              </w:rPr>
              <w:t>1530</w:t>
            </w:r>
          </w:p>
        </w:tc>
      </w:tr>
      <w:tr w:rsidR="00986DE0" w:rsidRPr="003C18B3" w14:paraId="4222DF23" w14:textId="77777777" w:rsidTr="003C7140">
        <w:trPr>
          <w:trHeight w:val="283"/>
          <w:jc w:val="center"/>
        </w:trPr>
        <w:tc>
          <w:tcPr>
            <w:tcW w:w="3629" w:type="pct"/>
            <w:vAlign w:val="center"/>
          </w:tcPr>
          <w:p w14:paraId="19EEEC74" w14:textId="77777777" w:rsidR="00986DE0" w:rsidRPr="001B74A0" w:rsidRDefault="00986DE0" w:rsidP="003C7140">
            <w:pPr>
              <w:spacing w:line="276" w:lineRule="auto"/>
              <w:rPr>
                <w:rFonts w:ascii="Lato" w:hAnsi="Lato" w:cstheme="minorHAnsi"/>
                <w:sz w:val="20"/>
                <w:szCs w:val="20"/>
              </w:rPr>
            </w:pPr>
            <w:proofErr w:type="spellStart"/>
            <w:r w:rsidRPr="001B74A0">
              <w:rPr>
                <w:rFonts w:ascii="Lato" w:hAnsi="Lato" w:cstheme="minorHAnsi"/>
                <w:sz w:val="20"/>
                <w:szCs w:val="20"/>
              </w:rPr>
              <w:t>Haemophilus</w:t>
            </w:r>
            <w:proofErr w:type="spellEnd"/>
            <w:r w:rsidRPr="001B74A0">
              <w:rPr>
                <w:rFonts w:ascii="Lato" w:hAnsi="Lato" w:cstheme="minorHAnsi"/>
                <w:sz w:val="20"/>
                <w:szCs w:val="20"/>
              </w:rPr>
              <w:t xml:space="preserve"> </w:t>
            </w:r>
            <w:proofErr w:type="spellStart"/>
            <w:r w:rsidRPr="001B74A0">
              <w:rPr>
                <w:rFonts w:ascii="Lato" w:hAnsi="Lato" w:cstheme="minorHAnsi"/>
                <w:sz w:val="20"/>
                <w:szCs w:val="20"/>
              </w:rPr>
              <w:t>influenzae</w:t>
            </w:r>
            <w:proofErr w:type="spellEnd"/>
            <w:r w:rsidRPr="001B74A0">
              <w:rPr>
                <w:rFonts w:ascii="Lato" w:hAnsi="Lato" w:cstheme="minorHAnsi"/>
                <w:sz w:val="20"/>
                <w:szCs w:val="20"/>
              </w:rPr>
              <w:t xml:space="preserve"> typu b</w:t>
            </w:r>
          </w:p>
        </w:tc>
        <w:tc>
          <w:tcPr>
            <w:tcW w:w="1371" w:type="pct"/>
            <w:vAlign w:val="center"/>
          </w:tcPr>
          <w:p w14:paraId="7DF1D91B" w14:textId="77777777" w:rsidR="00986DE0" w:rsidRPr="001B74A0" w:rsidRDefault="00986DE0" w:rsidP="003C7140">
            <w:pPr>
              <w:spacing w:line="276" w:lineRule="auto"/>
              <w:jc w:val="center"/>
              <w:rPr>
                <w:rFonts w:ascii="Lato" w:hAnsi="Lato" w:cstheme="minorHAnsi"/>
                <w:sz w:val="20"/>
                <w:szCs w:val="20"/>
              </w:rPr>
            </w:pPr>
            <w:r w:rsidRPr="001B74A0">
              <w:rPr>
                <w:rFonts w:ascii="Lato" w:hAnsi="Lato" w:cstheme="minorHAnsi"/>
                <w:sz w:val="20"/>
                <w:szCs w:val="20"/>
              </w:rPr>
              <w:t>103</w:t>
            </w:r>
          </w:p>
        </w:tc>
      </w:tr>
      <w:tr w:rsidR="00986DE0" w:rsidRPr="003C18B3" w14:paraId="0437F760" w14:textId="77777777" w:rsidTr="003C7140">
        <w:trPr>
          <w:trHeight w:val="283"/>
          <w:jc w:val="center"/>
        </w:trPr>
        <w:tc>
          <w:tcPr>
            <w:tcW w:w="3629" w:type="pct"/>
            <w:vAlign w:val="center"/>
          </w:tcPr>
          <w:p w14:paraId="4ED72525" w14:textId="77777777" w:rsidR="00986DE0" w:rsidRPr="001B74A0" w:rsidRDefault="00986DE0" w:rsidP="003C7140">
            <w:pPr>
              <w:spacing w:line="276" w:lineRule="auto"/>
              <w:rPr>
                <w:rFonts w:ascii="Lato" w:hAnsi="Lato" w:cstheme="minorHAnsi"/>
                <w:sz w:val="20"/>
                <w:szCs w:val="20"/>
              </w:rPr>
            </w:pPr>
            <w:proofErr w:type="spellStart"/>
            <w:r w:rsidRPr="001B74A0">
              <w:rPr>
                <w:rFonts w:ascii="Lato" w:hAnsi="Lato" w:cstheme="minorHAnsi"/>
                <w:sz w:val="20"/>
                <w:szCs w:val="20"/>
              </w:rPr>
              <w:t>Streptococcus</w:t>
            </w:r>
            <w:proofErr w:type="spellEnd"/>
            <w:r w:rsidRPr="001B74A0">
              <w:rPr>
                <w:rFonts w:ascii="Lato" w:hAnsi="Lato" w:cstheme="minorHAnsi"/>
                <w:sz w:val="20"/>
                <w:szCs w:val="20"/>
              </w:rPr>
              <w:t xml:space="preserve"> </w:t>
            </w:r>
            <w:proofErr w:type="spellStart"/>
            <w:r w:rsidRPr="001B74A0">
              <w:rPr>
                <w:rFonts w:ascii="Lato" w:hAnsi="Lato" w:cstheme="minorHAnsi"/>
                <w:sz w:val="20"/>
                <w:szCs w:val="20"/>
              </w:rPr>
              <w:t>pneumoniae</w:t>
            </w:r>
            <w:proofErr w:type="spellEnd"/>
          </w:p>
        </w:tc>
        <w:tc>
          <w:tcPr>
            <w:tcW w:w="1371" w:type="pct"/>
            <w:vAlign w:val="center"/>
          </w:tcPr>
          <w:p w14:paraId="2EB8D7B5" w14:textId="77777777" w:rsidR="00986DE0" w:rsidRPr="001B74A0" w:rsidRDefault="00986DE0" w:rsidP="003C7140">
            <w:pPr>
              <w:spacing w:line="276" w:lineRule="auto"/>
              <w:jc w:val="center"/>
              <w:rPr>
                <w:rFonts w:ascii="Lato" w:hAnsi="Lato" w:cstheme="minorHAnsi"/>
                <w:sz w:val="20"/>
                <w:szCs w:val="20"/>
              </w:rPr>
            </w:pPr>
            <w:r w:rsidRPr="001B74A0">
              <w:rPr>
                <w:rFonts w:ascii="Lato" w:hAnsi="Lato" w:cstheme="minorHAnsi"/>
                <w:sz w:val="20"/>
                <w:szCs w:val="20"/>
              </w:rPr>
              <w:t>1181</w:t>
            </w:r>
          </w:p>
        </w:tc>
      </w:tr>
      <w:tr w:rsidR="00986DE0" w:rsidRPr="003C18B3" w14:paraId="4E623390" w14:textId="77777777" w:rsidTr="003C7140">
        <w:trPr>
          <w:trHeight w:val="283"/>
          <w:jc w:val="center"/>
        </w:trPr>
        <w:tc>
          <w:tcPr>
            <w:tcW w:w="3629" w:type="pct"/>
            <w:vAlign w:val="center"/>
          </w:tcPr>
          <w:p w14:paraId="7219CF53"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Ospa wietrzna</w:t>
            </w:r>
          </w:p>
        </w:tc>
        <w:tc>
          <w:tcPr>
            <w:tcW w:w="1371" w:type="pct"/>
            <w:vAlign w:val="center"/>
          </w:tcPr>
          <w:p w14:paraId="63339EDB" w14:textId="77777777" w:rsidR="00986DE0" w:rsidRPr="001B74A0" w:rsidRDefault="00986DE0" w:rsidP="003C7140">
            <w:pPr>
              <w:spacing w:line="276" w:lineRule="auto"/>
              <w:jc w:val="center"/>
              <w:rPr>
                <w:rFonts w:ascii="Lato" w:hAnsi="Lato" w:cstheme="minorHAnsi"/>
                <w:sz w:val="20"/>
                <w:szCs w:val="20"/>
              </w:rPr>
            </w:pPr>
            <w:r w:rsidRPr="001B74A0">
              <w:rPr>
                <w:rFonts w:ascii="Lato" w:hAnsi="Lato" w:cstheme="minorHAnsi"/>
                <w:sz w:val="20"/>
                <w:szCs w:val="20"/>
              </w:rPr>
              <w:t>3051</w:t>
            </w:r>
          </w:p>
        </w:tc>
      </w:tr>
      <w:tr w:rsidR="00986DE0" w:rsidRPr="003C18B3" w14:paraId="7AB01F0D" w14:textId="77777777" w:rsidTr="003C7140">
        <w:trPr>
          <w:trHeight w:val="283"/>
          <w:jc w:val="center"/>
        </w:trPr>
        <w:tc>
          <w:tcPr>
            <w:tcW w:w="3629" w:type="pct"/>
            <w:vAlign w:val="center"/>
          </w:tcPr>
          <w:p w14:paraId="28610CC1"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 xml:space="preserve">Tężec – szczepienie </w:t>
            </w:r>
            <w:proofErr w:type="spellStart"/>
            <w:r w:rsidRPr="001B74A0">
              <w:rPr>
                <w:rFonts w:ascii="Lato" w:hAnsi="Lato" w:cstheme="minorHAnsi"/>
                <w:sz w:val="20"/>
                <w:szCs w:val="20"/>
              </w:rPr>
              <w:t>poekspozycyjne</w:t>
            </w:r>
            <w:proofErr w:type="spellEnd"/>
          </w:p>
        </w:tc>
        <w:tc>
          <w:tcPr>
            <w:tcW w:w="1371" w:type="pct"/>
            <w:vAlign w:val="center"/>
          </w:tcPr>
          <w:p w14:paraId="2E33221B" w14:textId="77777777" w:rsidR="00986DE0" w:rsidRPr="001B74A0" w:rsidRDefault="00986DE0" w:rsidP="003C7140">
            <w:pPr>
              <w:spacing w:line="276" w:lineRule="auto"/>
              <w:jc w:val="center"/>
              <w:rPr>
                <w:rFonts w:ascii="Lato" w:hAnsi="Lato" w:cstheme="minorHAnsi"/>
                <w:sz w:val="20"/>
                <w:szCs w:val="20"/>
              </w:rPr>
            </w:pPr>
            <w:r w:rsidRPr="001B74A0">
              <w:rPr>
                <w:rFonts w:ascii="Lato" w:hAnsi="Lato" w:cstheme="minorHAnsi"/>
                <w:sz w:val="20"/>
                <w:szCs w:val="20"/>
              </w:rPr>
              <w:t>11843</w:t>
            </w:r>
          </w:p>
        </w:tc>
      </w:tr>
      <w:tr w:rsidR="00986DE0" w:rsidRPr="003C18B3" w14:paraId="1080C183" w14:textId="77777777" w:rsidTr="003C7140">
        <w:trPr>
          <w:trHeight w:val="283"/>
          <w:jc w:val="center"/>
        </w:trPr>
        <w:tc>
          <w:tcPr>
            <w:tcW w:w="3629" w:type="pct"/>
            <w:vAlign w:val="center"/>
          </w:tcPr>
          <w:p w14:paraId="51A42D3C" w14:textId="77777777" w:rsidR="00986DE0" w:rsidRPr="001B74A0" w:rsidRDefault="00986DE0" w:rsidP="003C7140">
            <w:pPr>
              <w:spacing w:line="276" w:lineRule="auto"/>
              <w:rPr>
                <w:rFonts w:ascii="Lato" w:hAnsi="Lato" w:cstheme="minorHAnsi"/>
                <w:sz w:val="20"/>
                <w:szCs w:val="20"/>
              </w:rPr>
            </w:pPr>
            <w:r w:rsidRPr="001B74A0">
              <w:rPr>
                <w:rFonts w:ascii="Lato" w:hAnsi="Lato" w:cstheme="minorHAnsi"/>
                <w:sz w:val="20"/>
                <w:szCs w:val="20"/>
              </w:rPr>
              <w:t xml:space="preserve">Wścieklizna – szczepienie </w:t>
            </w:r>
            <w:proofErr w:type="spellStart"/>
            <w:r w:rsidRPr="001B74A0">
              <w:rPr>
                <w:rFonts w:ascii="Lato" w:hAnsi="Lato" w:cstheme="minorHAnsi"/>
                <w:sz w:val="20"/>
                <w:szCs w:val="20"/>
              </w:rPr>
              <w:t>poekspozycyjne</w:t>
            </w:r>
            <w:proofErr w:type="spellEnd"/>
          </w:p>
        </w:tc>
        <w:tc>
          <w:tcPr>
            <w:tcW w:w="1371" w:type="pct"/>
            <w:vAlign w:val="center"/>
          </w:tcPr>
          <w:p w14:paraId="226825D9" w14:textId="77777777" w:rsidR="00986DE0" w:rsidRPr="001B74A0" w:rsidRDefault="00986DE0" w:rsidP="003C7140">
            <w:pPr>
              <w:spacing w:line="276" w:lineRule="auto"/>
              <w:jc w:val="center"/>
              <w:rPr>
                <w:rFonts w:ascii="Lato" w:hAnsi="Lato" w:cstheme="minorHAnsi"/>
                <w:sz w:val="20"/>
                <w:szCs w:val="20"/>
              </w:rPr>
            </w:pPr>
            <w:r w:rsidRPr="001B74A0">
              <w:rPr>
                <w:rFonts w:ascii="Lato" w:hAnsi="Lato" w:cstheme="minorHAnsi"/>
                <w:sz w:val="20"/>
                <w:szCs w:val="20"/>
              </w:rPr>
              <w:t>551</w:t>
            </w:r>
          </w:p>
        </w:tc>
      </w:tr>
    </w:tbl>
    <w:p w14:paraId="124CA788" w14:textId="77777777" w:rsidR="00C31ECB" w:rsidRDefault="00C31ECB" w:rsidP="00EA310A">
      <w:pPr>
        <w:pStyle w:val="Standard"/>
        <w:spacing w:line="360" w:lineRule="auto"/>
        <w:rPr>
          <w:rFonts w:ascii="Lato" w:hAnsi="Lato" w:cs="Calibri"/>
          <w:color w:val="000000"/>
          <w:sz w:val="22"/>
          <w:szCs w:val="22"/>
        </w:rPr>
      </w:pPr>
    </w:p>
    <w:p w14:paraId="368C839A" w14:textId="422E3BE0" w:rsidR="00986DE0" w:rsidRPr="004B39AC" w:rsidRDefault="00986DE0" w:rsidP="00EA310A">
      <w:pPr>
        <w:pStyle w:val="Standard"/>
        <w:spacing w:line="360" w:lineRule="auto"/>
        <w:rPr>
          <w:color w:val="000000"/>
          <w:sz w:val="22"/>
          <w:szCs w:val="22"/>
        </w:rPr>
      </w:pPr>
      <w:r w:rsidRPr="004B39AC">
        <w:rPr>
          <w:rFonts w:ascii="Lato" w:hAnsi="Lato" w:cs="Calibri"/>
          <w:color w:val="000000"/>
          <w:sz w:val="22"/>
          <w:szCs w:val="22"/>
        </w:rPr>
        <w:t>Osoby nierealizujące obowiązku szczepień ochronnych stanowią istotny problem na terenie województwa. Pomimo iż sukcesywnie</w:t>
      </w:r>
      <w:r w:rsidRPr="004B39AC">
        <w:rPr>
          <w:rFonts w:ascii="Lato" w:hAnsi="Lato" w:cs="Calibri"/>
          <w:b/>
          <w:color w:val="000000"/>
          <w:sz w:val="22"/>
          <w:szCs w:val="22"/>
        </w:rPr>
        <w:t xml:space="preserve"> </w:t>
      </w:r>
      <w:r w:rsidRPr="004B39AC">
        <w:rPr>
          <w:rFonts w:ascii="Lato" w:hAnsi="Lato" w:cs="Calibri"/>
          <w:color w:val="000000"/>
          <w:sz w:val="22"/>
          <w:szCs w:val="22"/>
        </w:rPr>
        <w:t>prowadzone są</w:t>
      </w:r>
      <w:r w:rsidRPr="004B39AC">
        <w:rPr>
          <w:rFonts w:ascii="Lato" w:hAnsi="Lato" w:cs="Calibri"/>
          <w:b/>
          <w:color w:val="000000"/>
          <w:sz w:val="22"/>
          <w:szCs w:val="22"/>
        </w:rPr>
        <w:t xml:space="preserve"> </w:t>
      </w:r>
      <w:r w:rsidRPr="004B39AC">
        <w:rPr>
          <w:rFonts w:ascii="Lato" w:hAnsi="Lato" w:cs="Calibri"/>
          <w:color w:val="000000"/>
          <w:sz w:val="22"/>
          <w:szCs w:val="22"/>
        </w:rPr>
        <w:t>działania edukacyjne w stosunku do</w:t>
      </w:r>
      <w:r w:rsidR="00DB3C4E">
        <w:rPr>
          <w:rFonts w:ascii="Lato" w:hAnsi="Lato" w:cs="Calibri"/>
          <w:color w:val="000000"/>
          <w:sz w:val="22"/>
          <w:szCs w:val="22"/>
        </w:rPr>
        <w:t> </w:t>
      </w:r>
      <w:r w:rsidRPr="004B39AC">
        <w:rPr>
          <w:rFonts w:ascii="Lato" w:hAnsi="Lato" w:cs="Calibri"/>
          <w:color w:val="000000"/>
          <w:sz w:val="22"/>
          <w:szCs w:val="22"/>
        </w:rPr>
        <w:t xml:space="preserve">rodziców nierealizujących obowiązku poddania dziecka szczepieniom ochronnym oraz działania przymuszające, w 2025 r. zaobserwowano dalszy wzrost liczby osób nierealizujących obowiązku szczepień. </w:t>
      </w:r>
    </w:p>
    <w:p w14:paraId="47A16996" w14:textId="77777777" w:rsidR="00986DE0" w:rsidRPr="004B39AC" w:rsidRDefault="00986DE0" w:rsidP="00EA310A">
      <w:pPr>
        <w:pStyle w:val="Standard"/>
        <w:spacing w:line="360" w:lineRule="auto"/>
        <w:rPr>
          <w:rFonts w:ascii="Lato" w:hAnsi="Lato" w:cs="Calibri"/>
          <w:color w:val="000000"/>
          <w:sz w:val="22"/>
          <w:szCs w:val="22"/>
        </w:rPr>
      </w:pPr>
      <w:r w:rsidRPr="004B39AC">
        <w:rPr>
          <w:rFonts w:ascii="Lato" w:hAnsi="Lato" w:cs="Calibri"/>
          <w:color w:val="000000"/>
          <w:sz w:val="22"/>
          <w:szCs w:val="22"/>
        </w:rPr>
        <w:t>W przypadkach uporczywego nierealizowania obowiązku poddania dzieci szczepieniom ochronnym wdrażane jest postępowanie egzekucyjne.</w:t>
      </w:r>
    </w:p>
    <w:p w14:paraId="165C73A4" w14:textId="77777777" w:rsidR="00986DE0" w:rsidRPr="004B39AC" w:rsidRDefault="00986DE0" w:rsidP="00EA310A">
      <w:pPr>
        <w:pStyle w:val="Standard"/>
        <w:spacing w:line="360" w:lineRule="auto"/>
        <w:rPr>
          <w:rFonts w:ascii="Lato" w:hAnsi="Lato" w:cs="Calibri"/>
          <w:color w:val="000000"/>
          <w:sz w:val="22"/>
          <w:szCs w:val="22"/>
        </w:rPr>
      </w:pPr>
      <w:r w:rsidRPr="004B39AC">
        <w:rPr>
          <w:rFonts w:ascii="Lato" w:hAnsi="Lato" w:cs="Calibri"/>
          <w:color w:val="000000"/>
          <w:sz w:val="22"/>
          <w:szCs w:val="22"/>
        </w:rPr>
        <w:t>W 2025 r. pracownicy Państwowej Inspekcji Sanitarnej podjęli działania w stosunku do osób nierealizujących obowiązku szczepień ochronnych, m. in.:</w:t>
      </w:r>
    </w:p>
    <w:p w14:paraId="73CD0D60" w14:textId="1DFF19FD" w:rsidR="00986DE0" w:rsidRPr="004B39AC" w:rsidRDefault="00986DE0">
      <w:pPr>
        <w:pStyle w:val="Standard"/>
        <w:numPr>
          <w:ilvl w:val="0"/>
          <w:numId w:val="50"/>
        </w:numPr>
        <w:spacing w:line="360" w:lineRule="auto"/>
        <w:rPr>
          <w:rFonts w:ascii="Lato" w:hAnsi="Lato" w:cs="Calibri"/>
          <w:bCs/>
          <w:color w:val="000000"/>
          <w:sz w:val="22"/>
          <w:szCs w:val="22"/>
        </w:rPr>
      </w:pPr>
      <w:r w:rsidRPr="004B39AC">
        <w:rPr>
          <w:rFonts w:ascii="Lato" w:hAnsi="Lato" w:cs="Calibri"/>
          <w:bCs/>
          <w:color w:val="000000"/>
          <w:sz w:val="22"/>
          <w:szCs w:val="22"/>
        </w:rPr>
        <w:t>wysłano 1531 pism informacyjnych do rodziców/ opiekunów prawnych dzieci, w</w:t>
      </w:r>
      <w:r w:rsidR="00DB3C4E">
        <w:rPr>
          <w:rFonts w:ascii="Lato" w:hAnsi="Lato" w:cs="Calibri"/>
          <w:bCs/>
          <w:color w:val="000000"/>
          <w:sz w:val="22"/>
          <w:szCs w:val="22"/>
        </w:rPr>
        <w:t> </w:t>
      </w:r>
      <w:r w:rsidRPr="004B39AC">
        <w:rPr>
          <w:rFonts w:ascii="Lato" w:hAnsi="Lato" w:cs="Calibri"/>
          <w:bCs/>
          <w:color w:val="000000"/>
          <w:sz w:val="22"/>
          <w:szCs w:val="22"/>
        </w:rPr>
        <w:t>których przedstawiono korzyści wynikające z uodpornienia dziecka oraz zagrożenia związane z</w:t>
      </w:r>
      <w:r>
        <w:rPr>
          <w:rFonts w:ascii="Lato" w:hAnsi="Lato" w:cs="Calibri"/>
          <w:bCs/>
          <w:color w:val="000000"/>
          <w:sz w:val="22"/>
          <w:szCs w:val="22"/>
        </w:rPr>
        <w:t> </w:t>
      </w:r>
      <w:r w:rsidRPr="004B39AC">
        <w:rPr>
          <w:rFonts w:ascii="Lato" w:hAnsi="Lato" w:cs="Calibri"/>
          <w:bCs/>
          <w:color w:val="000000"/>
          <w:sz w:val="22"/>
          <w:szCs w:val="22"/>
        </w:rPr>
        <w:t>chorobami, na które istnieje możliwość uodpornienia poprzez szczepienie,</w:t>
      </w:r>
    </w:p>
    <w:p w14:paraId="1C8721ED" w14:textId="293C75B3" w:rsidR="00986DE0" w:rsidRPr="004B39AC" w:rsidRDefault="00986DE0">
      <w:pPr>
        <w:pStyle w:val="Standard"/>
        <w:numPr>
          <w:ilvl w:val="0"/>
          <w:numId w:val="50"/>
        </w:numPr>
        <w:spacing w:line="360" w:lineRule="auto"/>
        <w:rPr>
          <w:rFonts w:ascii="Lato" w:hAnsi="Lato" w:cs="Calibri"/>
          <w:bCs/>
          <w:color w:val="000000"/>
          <w:sz w:val="22"/>
          <w:szCs w:val="22"/>
        </w:rPr>
      </w:pPr>
      <w:r w:rsidRPr="004B39AC">
        <w:rPr>
          <w:rFonts w:ascii="Lato" w:hAnsi="Lato" w:cs="Calibri"/>
          <w:bCs/>
          <w:color w:val="000000"/>
          <w:sz w:val="22"/>
          <w:szCs w:val="22"/>
        </w:rPr>
        <w:t>przeprowadzono 287 instruktaży edukacyjnych z zakresu szczepień ochronnych mających na celu pouczenie rodziców lub opiekunów prawnych o korzyściach szczepień,</w:t>
      </w:r>
    </w:p>
    <w:p w14:paraId="072D32EE" w14:textId="27E4A73F" w:rsidR="00986DE0" w:rsidRPr="004B39AC" w:rsidRDefault="00986DE0">
      <w:pPr>
        <w:pStyle w:val="Standard"/>
        <w:numPr>
          <w:ilvl w:val="0"/>
          <w:numId w:val="50"/>
        </w:numPr>
        <w:spacing w:line="360" w:lineRule="auto"/>
        <w:rPr>
          <w:rFonts w:ascii="Lato" w:hAnsi="Lato" w:cs="Calibri"/>
          <w:color w:val="000000"/>
          <w:sz w:val="22"/>
          <w:szCs w:val="22"/>
        </w:rPr>
      </w:pPr>
      <w:r w:rsidRPr="004B39AC">
        <w:rPr>
          <w:rFonts w:ascii="Lato" w:eastAsia="Calibri" w:hAnsi="Lato" w:cs="Calibri"/>
          <w:color w:val="000000"/>
          <w:sz w:val="22"/>
          <w:szCs w:val="22"/>
        </w:rPr>
        <w:t>wysłano 582 upomnienia zawierające wezwanie do wykonania szczepień ochronnych</w:t>
      </w:r>
      <w:r>
        <w:rPr>
          <w:rFonts w:ascii="Lato" w:eastAsia="Calibri" w:hAnsi="Lato" w:cs="Calibri"/>
          <w:color w:val="000000"/>
          <w:sz w:val="22"/>
          <w:szCs w:val="22"/>
        </w:rPr>
        <w:t>,</w:t>
      </w:r>
    </w:p>
    <w:p w14:paraId="284A370F" w14:textId="7B439B6C" w:rsidR="0004472E" w:rsidRDefault="00986DE0">
      <w:pPr>
        <w:pStyle w:val="Standard"/>
        <w:numPr>
          <w:ilvl w:val="0"/>
          <w:numId w:val="50"/>
        </w:numPr>
        <w:spacing w:line="360" w:lineRule="auto"/>
        <w:rPr>
          <w:rFonts w:ascii="Lato" w:hAnsi="Lato" w:cs="Calibri"/>
          <w:color w:val="000000"/>
          <w:sz w:val="22"/>
          <w:szCs w:val="22"/>
        </w:rPr>
      </w:pPr>
      <w:r w:rsidRPr="004B39AC">
        <w:rPr>
          <w:rFonts w:ascii="Lato" w:hAnsi="Lato" w:cs="Calibri"/>
          <w:bCs/>
          <w:color w:val="000000"/>
          <w:sz w:val="22"/>
          <w:szCs w:val="22"/>
        </w:rPr>
        <w:lastRenderedPageBreak/>
        <w:t xml:space="preserve">wystawiono 435 tytułów wykonawczych na rodziców/opiekunów </w:t>
      </w:r>
      <w:r w:rsidRPr="004B39AC">
        <w:rPr>
          <w:rFonts w:ascii="Lato" w:hAnsi="Lato" w:cs="Calibri"/>
          <w:color w:val="000000"/>
          <w:sz w:val="22"/>
          <w:szCs w:val="22"/>
        </w:rPr>
        <w:t>nierealizujących obowiązku szczepień u dziecka oraz skierowano wnioski do organu egzekucyjnego o</w:t>
      </w:r>
      <w:r>
        <w:rPr>
          <w:rFonts w:ascii="Lato" w:hAnsi="Lato" w:cs="Calibri"/>
          <w:color w:val="000000"/>
          <w:sz w:val="22"/>
          <w:szCs w:val="22"/>
        </w:rPr>
        <w:t> </w:t>
      </w:r>
      <w:r w:rsidRPr="004B39AC">
        <w:rPr>
          <w:rFonts w:ascii="Lato" w:hAnsi="Lato" w:cs="Calibri"/>
          <w:color w:val="000000"/>
          <w:sz w:val="22"/>
          <w:szCs w:val="22"/>
        </w:rPr>
        <w:t>nałożenie grzywny.</w:t>
      </w:r>
      <w:bookmarkStart w:id="73" w:name="_Toc225235858"/>
    </w:p>
    <w:p w14:paraId="5ADE8BAF" w14:textId="77777777" w:rsidR="0004472E" w:rsidRDefault="0004472E" w:rsidP="00E31B5B">
      <w:pPr>
        <w:pStyle w:val="Standard"/>
        <w:spacing w:line="360" w:lineRule="auto"/>
        <w:rPr>
          <w:rFonts w:ascii="Lato" w:hAnsi="Lato" w:cs="Calibri"/>
          <w:color w:val="000000"/>
          <w:sz w:val="22"/>
          <w:szCs w:val="22"/>
        </w:rPr>
      </w:pPr>
    </w:p>
    <w:p w14:paraId="76C341B2" w14:textId="1D2BC57F" w:rsidR="00986DE0" w:rsidRPr="00A572AF" w:rsidRDefault="00986DE0">
      <w:pPr>
        <w:pStyle w:val="Nagwek3"/>
        <w:numPr>
          <w:ilvl w:val="1"/>
          <w:numId w:val="9"/>
        </w:numPr>
        <w:spacing w:before="0" w:after="0" w:line="360" w:lineRule="auto"/>
        <w:rPr>
          <w:rFonts w:cs="Calibri"/>
          <w:color w:val="000000"/>
        </w:rPr>
      </w:pPr>
      <w:bookmarkStart w:id="74" w:name="_Toc225859045"/>
      <w:r w:rsidRPr="00927094">
        <w:rPr>
          <w:color w:val="auto"/>
        </w:rPr>
        <w:t>Niepożądane odczyny poszczepienne (NOP)</w:t>
      </w:r>
      <w:bookmarkEnd w:id="73"/>
      <w:bookmarkEnd w:id="74"/>
    </w:p>
    <w:p w14:paraId="5015CEAB" w14:textId="77777777" w:rsidR="00A572AF" w:rsidRPr="0004472E" w:rsidRDefault="00A572AF" w:rsidP="00A572AF">
      <w:pPr>
        <w:pStyle w:val="Standard"/>
        <w:spacing w:line="276" w:lineRule="auto"/>
        <w:ind w:left="720"/>
        <w:rPr>
          <w:rFonts w:ascii="Lato" w:hAnsi="Lato" w:cs="Calibri"/>
          <w:color w:val="000000"/>
          <w:sz w:val="22"/>
          <w:szCs w:val="22"/>
        </w:rPr>
      </w:pPr>
    </w:p>
    <w:p w14:paraId="17B31601" w14:textId="3F65F549" w:rsidR="00C516BB" w:rsidRDefault="00986DE0" w:rsidP="00C516BB">
      <w:pPr>
        <w:spacing w:line="360" w:lineRule="auto"/>
        <w:rPr>
          <w:rFonts w:ascii="Lato" w:hAnsi="Lato" w:cstheme="minorHAnsi"/>
          <w:sz w:val="22"/>
          <w:szCs w:val="22"/>
        </w:rPr>
      </w:pPr>
      <w:r w:rsidRPr="00B74DAD">
        <w:rPr>
          <w:rFonts w:ascii="Lato" w:hAnsi="Lato" w:cstheme="minorHAnsi"/>
          <w:sz w:val="22"/>
          <w:szCs w:val="22"/>
        </w:rPr>
        <w:t>W 2025 r. na terenie woj. zachodniopomorskiego zgłoszono łącznie 142 niepożądane odczyny poszczepienne, z których tak jak w latach ubiegłych, 130 stanowiły odczyny łagodne, najczęściej pod postacią nasilonego odczynu w miejscu wstrzyknięcia lub gorączki. Spośród 12 odczynów ciężkich i poważnych zarejestrowano m.in.: nasilone obrzęki kończyny górnej, osłabienie siły mięśniowej, omdlenie, drgawki oraz duszność.</w:t>
      </w:r>
      <w:bookmarkStart w:id="75" w:name="_Toc225235859"/>
      <w:r w:rsidR="00326187">
        <w:rPr>
          <w:rFonts w:ascii="Lato" w:hAnsi="Lato" w:cstheme="minorHAnsi"/>
          <w:sz w:val="22"/>
          <w:szCs w:val="22"/>
        </w:rPr>
        <w:t xml:space="preserve"> </w:t>
      </w:r>
    </w:p>
    <w:p w14:paraId="229CBA1A" w14:textId="2331F8FC" w:rsidR="0004472E" w:rsidRDefault="00986DE0">
      <w:pPr>
        <w:pStyle w:val="Nagwek3"/>
        <w:numPr>
          <w:ilvl w:val="1"/>
          <w:numId w:val="22"/>
        </w:numPr>
        <w:rPr>
          <w:color w:val="auto"/>
        </w:rPr>
      </w:pPr>
      <w:bookmarkStart w:id="76" w:name="_Toc225859046"/>
      <w:r w:rsidRPr="00C516BB">
        <w:rPr>
          <w:color w:val="auto"/>
        </w:rPr>
        <w:t>Podsumowanie</w:t>
      </w:r>
      <w:bookmarkEnd w:id="75"/>
      <w:bookmarkEnd w:id="76"/>
    </w:p>
    <w:p w14:paraId="22206B58" w14:textId="77777777" w:rsidR="00A572AF" w:rsidRPr="00A572AF" w:rsidRDefault="00A572AF" w:rsidP="00A572AF"/>
    <w:p w14:paraId="57A5B79D" w14:textId="6C01E390" w:rsidR="00A379E0" w:rsidRPr="0090516C" w:rsidRDefault="00986DE0" w:rsidP="000B3940">
      <w:pPr>
        <w:spacing w:line="360" w:lineRule="auto"/>
        <w:rPr>
          <w:rFonts w:ascii="Lato" w:hAnsi="Lato" w:cs="Calibri"/>
          <w:color w:val="000000"/>
          <w:sz w:val="22"/>
          <w:szCs w:val="22"/>
        </w:rPr>
      </w:pPr>
      <w:r w:rsidRPr="00B74DAD">
        <w:rPr>
          <w:rFonts w:ascii="Lato" w:hAnsi="Lato" w:cs="Calibri"/>
          <w:color w:val="000000"/>
          <w:sz w:val="22"/>
          <w:szCs w:val="22"/>
        </w:rPr>
        <w:t xml:space="preserve">W 2025 r. w woj. zachodniopomorskim szczepienia obowiązkowe i zalecane przeprowadzane były zgodnie z Rozporządzeniem Ministra Zdrowia o obowiązkowych szczepieniach ochronnych oraz Programem Szczepień Ochronnych (PSO) na 2025 r. Nadal utrzymuje się tendencja wzrostowa liczby osób, które nie realizują ustawowego obowiązku szczepień. W 2025 r. liczba ta przekroczyła 5350 osób. </w:t>
      </w:r>
      <w:r w:rsidR="00006B89">
        <w:rPr>
          <w:rFonts w:ascii="Lato" w:hAnsi="Lato" w:cs="Calibri"/>
          <w:color w:val="000000"/>
          <w:sz w:val="22"/>
          <w:szCs w:val="22"/>
        </w:rPr>
        <w:t>Zjawisko to ma</w:t>
      </w:r>
      <w:r w:rsidRPr="00B74DAD">
        <w:rPr>
          <w:rFonts w:ascii="Lato" w:hAnsi="Lato" w:cs="Calibri"/>
          <w:color w:val="000000"/>
          <w:sz w:val="22"/>
          <w:szCs w:val="22"/>
        </w:rPr>
        <w:t xml:space="preserve"> niekorzystny wpływ na stan zaszczepienia dzieci oraz na odporność zbiorowiskową. Z uwagi na konieczność stałego monitorowania stanu uodpornienia populacji w kontekście odporności zbiorowiskowej należy obserwować i rzetelnie monitorować sytuację dot. niedopełniania obowiązku szczepień, bowiem ma to istotny wpływ na ocenę bezpieczeństwa epidemiologicznego populacji. Ponadto kontynuowane są działania edukacyjno-informacyjne wśród świadczeniodawców oraz ogółu społeczeństwa m.in. nt. zalet szczepień ochronnych w zapobieganiu chorobom zakaźnym, bezpieczeństwa szczepień i wymagań związanych z ich realizacją.</w:t>
      </w:r>
    </w:p>
    <w:p w14:paraId="6C1DD14B" w14:textId="143B6FDA" w:rsidR="00986DE0" w:rsidRDefault="00986DE0">
      <w:pPr>
        <w:pStyle w:val="Nagwek2"/>
        <w:numPr>
          <w:ilvl w:val="0"/>
          <w:numId w:val="10"/>
        </w:numPr>
        <w:rPr>
          <w:b/>
          <w:bCs/>
        </w:rPr>
      </w:pPr>
      <w:bookmarkStart w:id="77" w:name="_Toc225859047"/>
      <w:r w:rsidRPr="009476ED">
        <w:rPr>
          <w:b/>
          <w:bCs/>
        </w:rPr>
        <w:t>Sytuacja epidemiologiczna w szpitalach</w:t>
      </w:r>
      <w:bookmarkEnd w:id="77"/>
    </w:p>
    <w:p w14:paraId="5EC0B202" w14:textId="77777777" w:rsidR="00A572AF" w:rsidRPr="00A572AF" w:rsidRDefault="00A572AF" w:rsidP="00A572AF"/>
    <w:p w14:paraId="4EF325CD" w14:textId="29ACF647" w:rsidR="00986DE0" w:rsidRDefault="00986DE0">
      <w:pPr>
        <w:pStyle w:val="Nagwek3"/>
        <w:numPr>
          <w:ilvl w:val="1"/>
          <w:numId w:val="10"/>
        </w:numPr>
        <w:spacing w:before="0" w:after="0" w:line="360" w:lineRule="auto"/>
        <w:ind w:left="568" w:right="284" w:hanging="284"/>
        <w:rPr>
          <w:color w:val="auto"/>
          <w:szCs w:val="22"/>
        </w:rPr>
      </w:pPr>
      <w:bookmarkStart w:id="78" w:name="_Toc225235860"/>
      <w:bookmarkStart w:id="79" w:name="_Toc225859048"/>
      <w:r w:rsidRPr="00A379E0">
        <w:rPr>
          <w:color w:val="auto"/>
          <w:szCs w:val="22"/>
        </w:rPr>
        <w:t>Zakażenia szpitalne i działalność zespołów kontroli zakażeń szpitalnych</w:t>
      </w:r>
      <w:bookmarkEnd w:id="78"/>
      <w:bookmarkEnd w:id="79"/>
    </w:p>
    <w:p w14:paraId="1A89DE00" w14:textId="77777777" w:rsidR="00EA0E18" w:rsidRPr="00EA0E18" w:rsidRDefault="00EA0E18" w:rsidP="00EA0E18">
      <w:pPr>
        <w:rPr>
          <w:rFonts w:ascii="Lato" w:hAnsi="Lato"/>
          <w:sz w:val="22"/>
          <w:szCs w:val="22"/>
        </w:rPr>
      </w:pPr>
    </w:p>
    <w:p w14:paraId="60FE178A" w14:textId="77777777" w:rsidR="00986DE0" w:rsidRPr="00B84AAC" w:rsidRDefault="00986DE0" w:rsidP="00EA310A">
      <w:pPr>
        <w:pStyle w:val="Standard"/>
        <w:spacing w:line="360" w:lineRule="auto"/>
        <w:rPr>
          <w:sz w:val="22"/>
          <w:szCs w:val="22"/>
        </w:rPr>
      </w:pPr>
      <w:bookmarkStart w:id="80" w:name="_Hlk162336094"/>
      <w:r w:rsidRPr="00B84AAC">
        <w:rPr>
          <w:rFonts w:ascii="Lato" w:hAnsi="Lato" w:cstheme="minorHAnsi"/>
          <w:bCs/>
          <w:color w:val="000000" w:themeColor="text1"/>
          <w:sz w:val="22"/>
          <w:szCs w:val="22"/>
        </w:rPr>
        <w:t xml:space="preserve">Na przestrzeni </w:t>
      </w:r>
      <w:r w:rsidRPr="00B84AAC">
        <w:rPr>
          <w:rFonts w:ascii="Lato" w:hAnsi="Lato" w:cs="Calibri"/>
          <w:bCs/>
          <w:color w:val="000000"/>
          <w:sz w:val="22"/>
          <w:szCs w:val="22"/>
        </w:rPr>
        <w:t>ostatnich lat zauważalna jest poprawa zgłaszalności występowania ognisk zakażeń szpitalnych w regionie, na co niewątpliwy wpływ ma aktywna współpraca przedstawicieli Państwowej Inspekcji Sanitarnej z członkami Zespołów Kontroli Zakażeń Szpitalnych.</w:t>
      </w:r>
    </w:p>
    <w:p w14:paraId="0EDA02D2" w14:textId="4ABD165E" w:rsidR="00986DE0" w:rsidRDefault="00986DE0" w:rsidP="00EA310A">
      <w:pPr>
        <w:spacing w:line="360" w:lineRule="auto"/>
        <w:rPr>
          <w:rFonts w:ascii="Lato" w:hAnsi="Lato" w:cstheme="minorHAnsi"/>
          <w:sz w:val="22"/>
          <w:szCs w:val="22"/>
        </w:rPr>
      </w:pPr>
      <w:r w:rsidRPr="00B74DAD">
        <w:rPr>
          <w:rFonts w:ascii="Lato" w:hAnsi="Lato" w:cs="Calibri"/>
          <w:bCs/>
          <w:color w:val="000000"/>
          <w:sz w:val="22"/>
          <w:szCs w:val="22"/>
        </w:rPr>
        <w:t xml:space="preserve">W związku z pojawiającymi się na terenie woj. zachodniopomorskiego zachorowaniami sporadycznymi oraz ogniskami epidemicznymi wywołanymi szczepami alarmowymi wytwarzającymi </w:t>
      </w:r>
      <w:proofErr w:type="spellStart"/>
      <w:r w:rsidRPr="00B74DAD">
        <w:rPr>
          <w:rFonts w:ascii="Lato" w:hAnsi="Lato" w:cs="Calibri"/>
          <w:bCs/>
          <w:color w:val="000000"/>
          <w:sz w:val="22"/>
          <w:szCs w:val="22"/>
        </w:rPr>
        <w:t>karbapenemazy</w:t>
      </w:r>
      <w:proofErr w:type="spellEnd"/>
      <w:r w:rsidRPr="00B74DAD">
        <w:rPr>
          <w:rFonts w:ascii="Lato" w:hAnsi="Lato" w:cs="Calibri"/>
          <w:bCs/>
          <w:color w:val="000000"/>
          <w:sz w:val="22"/>
          <w:szCs w:val="22"/>
        </w:rPr>
        <w:t xml:space="preserve"> MBL (+) typ NDM, KPC, OXA-48 oraz VIM, a także </w:t>
      </w:r>
      <w:r w:rsidRPr="00B74DAD">
        <w:rPr>
          <w:rFonts w:ascii="Lato" w:hAnsi="Lato" w:cs="Calibri"/>
          <w:bCs/>
          <w:color w:val="000000"/>
          <w:sz w:val="22"/>
          <w:szCs w:val="22"/>
        </w:rPr>
        <w:lastRenderedPageBreak/>
        <w:t xml:space="preserve">utrzymującą się niekorzystną sytuacją epidemiologiczną w tym zakresie, kontynuowano wzmożony nadzór przeciwepidemiczny m.in. poprzez ocenę wdrożenia procedur postępowania w przypadku stwierdzenia ww. zachorowań i bieżące zgłaszanie każdego przypadku podejrzenia zakażenia/zakażenia szczepami alarmowymi, w tym także przypadki nosicielstwa, do właściwych państwowych inspektorów sanitarnych. W ramach prowadzonego wzmożonego nadzoru nad czynnikami alarmowymi na terenie województwa działa powołany zarządzeniem przez Wojewodę Zachodniopomorskiego, Wojewódzki Zespół ds. Monitorowania i Zwalczania Zakażeń Drobnoustrojami Opornymi na Antybiotyki Kluczowe dla Leczenia. </w:t>
      </w:r>
      <w:r w:rsidRPr="00B74DAD">
        <w:rPr>
          <w:rFonts w:ascii="Lato" w:hAnsi="Lato" w:cs="Calibri"/>
          <w:sz w:val="22"/>
          <w:szCs w:val="22"/>
        </w:rPr>
        <w:t xml:space="preserve">Działania Zespołu w 2025 r. skupione były na monitorowaniu </w:t>
      </w:r>
      <w:r w:rsidRPr="00B74DAD">
        <w:rPr>
          <w:rFonts w:ascii="Lato" w:hAnsi="Lato" w:cs="Calibri"/>
          <w:kern w:val="3"/>
          <w:sz w:val="22"/>
          <w:szCs w:val="22"/>
        </w:rPr>
        <w:t xml:space="preserve">sytuacji epidemiologicznej w zakresie występowania pałeczek wielolekoopornych </w:t>
      </w:r>
      <w:proofErr w:type="spellStart"/>
      <w:r w:rsidRPr="00B74DAD">
        <w:rPr>
          <w:rFonts w:ascii="Lato" w:hAnsi="Lato" w:cs="Calibri"/>
          <w:kern w:val="3"/>
          <w:sz w:val="22"/>
          <w:szCs w:val="22"/>
        </w:rPr>
        <w:t>Enterobacterales</w:t>
      </w:r>
      <w:proofErr w:type="spellEnd"/>
      <w:r w:rsidRPr="00B74DAD">
        <w:rPr>
          <w:rFonts w:ascii="Lato" w:hAnsi="Lato" w:cs="Calibri"/>
          <w:kern w:val="3"/>
          <w:sz w:val="22"/>
          <w:szCs w:val="22"/>
        </w:rPr>
        <w:t xml:space="preserve"> CPE, podejmowaniu doraźnych działań przeciwepidemicznych, a także kontynuacji strategii regionalnej działań zapobiegających rozprzestrzenianiu drobnoustrojów wielolekoopornych. Jak dotychczas z</w:t>
      </w:r>
      <w:r w:rsidR="00DB3C4E">
        <w:rPr>
          <w:rFonts w:ascii="Lato" w:hAnsi="Lato" w:cs="Calibri"/>
          <w:kern w:val="3"/>
          <w:sz w:val="22"/>
          <w:szCs w:val="22"/>
        </w:rPr>
        <w:t> </w:t>
      </w:r>
      <w:r w:rsidRPr="00B74DAD">
        <w:rPr>
          <w:rFonts w:ascii="Lato" w:hAnsi="Lato" w:cs="Calibri"/>
          <w:kern w:val="3"/>
          <w:sz w:val="22"/>
          <w:szCs w:val="22"/>
        </w:rPr>
        <w:t xml:space="preserve">poziomu PSSE i WSSE wspierano szpitale na etapie jednolitego raportowania ognisk oraz podczas dochodzeń epidemiologicznych w ogniskach. Ponadto  </w:t>
      </w:r>
      <w:r w:rsidRPr="00B74DAD">
        <w:rPr>
          <w:rFonts w:ascii="Lato" w:hAnsi="Lato" w:cs="Calibri"/>
          <w:sz w:val="22"/>
          <w:szCs w:val="22"/>
        </w:rPr>
        <w:t>utrzymywano współpracę z</w:t>
      </w:r>
      <w:r w:rsidR="00DB3C4E">
        <w:rPr>
          <w:rFonts w:ascii="Lato" w:hAnsi="Lato" w:cs="Calibri"/>
          <w:sz w:val="22"/>
          <w:szCs w:val="22"/>
        </w:rPr>
        <w:t> </w:t>
      </w:r>
      <w:r w:rsidRPr="00B74DAD">
        <w:rPr>
          <w:rFonts w:ascii="Lato" w:hAnsi="Lato" w:cs="Calibri"/>
          <w:sz w:val="22"/>
          <w:szCs w:val="22"/>
        </w:rPr>
        <w:t>Zachodniopomorskim Zespołem Pielęgniarek Epidemiologicznych m.in. poprzez udział w</w:t>
      </w:r>
      <w:r w:rsidR="00DB3C4E">
        <w:rPr>
          <w:rFonts w:ascii="Lato" w:hAnsi="Lato" w:cs="Calibri"/>
          <w:sz w:val="22"/>
          <w:szCs w:val="22"/>
        </w:rPr>
        <w:t> </w:t>
      </w:r>
      <w:r w:rsidRPr="00B74DAD">
        <w:rPr>
          <w:rFonts w:ascii="Lato" w:hAnsi="Lato" w:cs="Calibri"/>
          <w:sz w:val="22"/>
          <w:szCs w:val="22"/>
        </w:rPr>
        <w:t>organizowanych</w:t>
      </w:r>
      <w:r w:rsidRPr="00B74DAD">
        <w:rPr>
          <w:rFonts w:ascii="Lato" w:hAnsi="Lato" w:cs="Calibri"/>
          <w:kern w:val="3"/>
          <w:sz w:val="22"/>
          <w:szCs w:val="22"/>
        </w:rPr>
        <w:t xml:space="preserve"> warsztatach, podczas których przekazano szpitalom dane dotyczące sytuacji ognisk w regionie oraz </w:t>
      </w:r>
      <w:r w:rsidRPr="00B74DAD">
        <w:rPr>
          <w:rFonts w:ascii="Lato" w:hAnsi="Lato" w:cs="Calibri"/>
          <w:sz w:val="22"/>
          <w:szCs w:val="22"/>
        </w:rPr>
        <w:t xml:space="preserve">poruszono zagadnienia </w:t>
      </w:r>
      <w:r w:rsidR="00006B89">
        <w:rPr>
          <w:rFonts w:ascii="Lato" w:hAnsi="Lato" w:cs="Calibri"/>
          <w:sz w:val="22"/>
          <w:szCs w:val="22"/>
        </w:rPr>
        <w:t>dotyczące</w:t>
      </w:r>
      <w:r w:rsidRPr="00B74DAD">
        <w:rPr>
          <w:rFonts w:ascii="Lato" w:hAnsi="Lato" w:cs="Calibri"/>
          <w:sz w:val="22"/>
          <w:szCs w:val="22"/>
        </w:rPr>
        <w:t xml:space="preserve"> aktualny</w:t>
      </w:r>
      <w:r w:rsidR="00006B89">
        <w:rPr>
          <w:rFonts w:ascii="Lato" w:hAnsi="Lato" w:cs="Calibri"/>
          <w:sz w:val="22"/>
          <w:szCs w:val="22"/>
        </w:rPr>
        <w:t>ch</w:t>
      </w:r>
      <w:r w:rsidRPr="00B74DAD">
        <w:rPr>
          <w:rFonts w:ascii="Lato" w:hAnsi="Lato" w:cs="Calibri"/>
          <w:sz w:val="22"/>
          <w:szCs w:val="22"/>
        </w:rPr>
        <w:t xml:space="preserve"> problem</w:t>
      </w:r>
      <w:r w:rsidR="00006B89">
        <w:rPr>
          <w:rFonts w:ascii="Lato" w:hAnsi="Lato" w:cs="Calibri"/>
          <w:sz w:val="22"/>
          <w:szCs w:val="22"/>
        </w:rPr>
        <w:t>ów</w:t>
      </w:r>
      <w:r w:rsidRPr="00B74DAD">
        <w:rPr>
          <w:rFonts w:ascii="Lato" w:hAnsi="Lato" w:cs="Calibri"/>
          <w:sz w:val="22"/>
          <w:szCs w:val="22"/>
        </w:rPr>
        <w:t xml:space="preserve"> związany</w:t>
      </w:r>
      <w:r w:rsidR="00006B89">
        <w:rPr>
          <w:rFonts w:ascii="Lato" w:hAnsi="Lato" w:cs="Calibri"/>
          <w:sz w:val="22"/>
          <w:szCs w:val="22"/>
        </w:rPr>
        <w:t>ch</w:t>
      </w:r>
      <w:r w:rsidRPr="00B74DAD">
        <w:rPr>
          <w:rFonts w:ascii="Lato" w:hAnsi="Lato" w:cs="Calibri"/>
          <w:sz w:val="22"/>
          <w:szCs w:val="22"/>
        </w:rPr>
        <w:t xml:space="preserve"> z</w:t>
      </w:r>
      <w:r w:rsidR="00DB3C4E">
        <w:rPr>
          <w:rFonts w:ascii="Lato" w:hAnsi="Lato" w:cs="Calibri"/>
          <w:sz w:val="22"/>
          <w:szCs w:val="22"/>
        </w:rPr>
        <w:t> </w:t>
      </w:r>
      <w:r w:rsidRPr="00B74DAD">
        <w:rPr>
          <w:rFonts w:ascii="Lato" w:hAnsi="Lato" w:cs="Calibri"/>
          <w:sz w:val="22"/>
          <w:szCs w:val="22"/>
        </w:rPr>
        <w:t>transmisją szczepów wielolekoopornych w szpitalach</w:t>
      </w:r>
      <w:r w:rsidRPr="00B74DAD">
        <w:rPr>
          <w:rFonts w:ascii="Lato" w:hAnsi="Lato" w:cstheme="minorHAnsi"/>
          <w:sz w:val="22"/>
          <w:szCs w:val="22"/>
        </w:rPr>
        <w:t xml:space="preserve"> woj. zachodniopomorskiego.</w:t>
      </w:r>
    </w:p>
    <w:p w14:paraId="1E36E351" w14:textId="77777777" w:rsidR="00A572AF" w:rsidRPr="00B74DAD" w:rsidRDefault="00A572AF" w:rsidP="00EA310A">
      <w:pPr>
        <w:spacing w:line="360" w:lineRule="auto"/>
        <w:rPr>
          <w:rFonts w:ascii="Lato" w:hAnsi="Lato" w:cstheme="minorHAnsi"/>
          <w:bCs/>
          <w:color w:val="EE0000"/>
          <w:sz w:val="22"/>
          <w:szCs w:val="22"/>
        </w:rPr>
      </w:pPr>
    </w:p>
    <w:p w14:paraId="5CAAE52A" w14:textId="25C29535" w:rsidR="00986DE0" w:rsidRDefault="00986DE0">
      <w:pPr>
        <w:pStyle w:val="Nagwek3"/>
        <w:numPr>
          <w:ilvl w:val="1"/>
          <w:numId w:val="10"/>
        </w:numPr>
        <w:spacing w:before="0" w:after="0" w:line="360" w:lineRule="auto"/>
        <w:ind w:left="568" w:right="284" w:hanging="284"/>
        <w:rPr>
          <w:color w:val="auto"/>
          <w:szCs w:val="22"/>
        </w:rPr>
      </w:pPr>
      <w:bookmarkStart w:id="81" w:name="_Toc225859049"/>
      <w:r w:rsidRPr="00A379E0">
        <w:rPr>
          <w:color w:val="auto"/>
          <w:szCs w:val="22"/>
        </w:rPr>
        <w:t>Nadzór nad czynnikami alarmowymi w podmiotach leczniczych</w:t>
      </w:r>
      <w:bookmarkEnd w:id="81"/>
    </w:p>
    <w:p w14:paraId="0E62C7D7" w14:textId="77777777" w:rsidR="00EA0E18" w:rsidRPr="00EA0E18" w:rsidRDefault="00EA0E18" w:rsidP="00EA0E18">
      <w:pPr>
        <w:rPr>
          <w:rFonts w:ascii="Lato" w:hAnsi="Lato"/>
          <w:sz w:val="22"/>
          <w:szCs w:val="22"/>
        </w:rPr>
      </w:pPr>
    </w:p>
    <w:p w14:paraId="232662E9" w14:textId="50A58F28" w:rsidR="00986DE0" w:rsidRDefault="00986DE0" w:rsidP="00EA310A">
      <w:pPr>
        <w:spacing w:line="360" w:lineRule="auto"/>
        <w:rPr>
          <w:rFonts w:ascii="Lato" w:hAnsi="Lato" w:cstheme="minorHAnsi"/>
          <w:bCs/>
          <w:color w:val="000000" w:themeColor="text1"/>
          <w:sz w:val="22"/>
          <w:szCs w:val="22"/>
        </w:rPr>
      </w:pPr>
      <w:r w:rsidRPr="00B74DAD">
        <w:rPr>
          <w:rFonts w:ascii="Lato" w:hAnsi="Lato" w:cstheme="minorHAnsi"/>
          <w:bCs/>
          <w:color w:val="000000" w:themeColor="text1"/>
          <w:sz w:val="22"/>
          <w:szCs w:val="22"/>
        </w:rPr>
        <w:t>W 2025 roku w podmiotach leczniczych woj. zachodniopomorskiego nastąpił spadek liczby ognisk epidemicznych. Liczba ognisk zakażeń szpitalnych w woj. zachodniopomorskiego na</w:t>
      </w:r>
      <w:r w:rsidR="00E31B5B">
        <w:rPr>
          <w:rFonts w:ascii="Lato" w:hAnsi="Lato" w:cstheme="minorHAnsi"/>
          <w:bCs/>
          <w:color w:val="000000" w:themeColor="text1"/>
          <w:sz w:val="22"/>
          <w:szCs w:val="22"/>
        </w:rPr>
        <w:t> </w:t>
      </w:r>
      <w:r w:rsidRPr="00B74DAD">
        <w:rPr>
          <w:rFonts w:ascii="Lato" w:hAnsi="Lato" w:cstheme="minorHAnsi"/>
          <w:bCs/>
          <w:color w:val="000000" w:themeColor="text1"/>
          <w:sz w:val="22"/>
          <w:szCs w:val="22"/>
        </w:rPr>
        <w:t xml:space="preserve">przestrzeni lat 2021-2025 przedstawiona została </w:t>
      </w:r>
      <w:r w:rsidRPr="00B74DAD">
        <w:rPr>
          <w:rFonts w:ascii="Lato" w:hAnsi="Lato" w:cstheme="minorHAnsi"/>
          <w:bCs/>
          <w:sz w:val="22"/>
          <w:szCs w:val="22"/>
        </w:rPr>
        <w:t xml:space="preserve">na </w:t>
      </w:r>
      <w:r w:rsidR="00F72D7A">
        <w:rPr>
          <w:rFonts w:ascii="Lato" w:hAnsi="Lato" w:cstheme="minorHAnsi"/>
          <w:bCs/>
          <w:sz w:val="22"/>
          <w:szCs w:val="22"/>
        </w:rPr>
        <w:t>wykresie</w:t>
      </w:r>
      <w:r w:rsidRPr="00B74DAD">
        <w:rPr>
          <w:rFonts w:ascii="Lato" w:hAnsi="Lato" w:cstheme="minorHAnsi"/>
          <w:bCs/>
          <w:sz w:val="22"/>
          <w:szCs w:val="22"/>
        </w:rPr>
        <w:t xml:space="preserve"> 5. </w:t>
      </w:r>
      <w:r w:rsidRPr="00B74DAD">
        <w:rPr>
          <w:rFonts w:ascii="Lato" w:hAnsi="Lato" w:cstheme="minorHAnsi"/>
          <w:bCs/>
          <w:color w:val="000000" w:themeColor="text1"/>
          <w:sz w:val="22"/>
          <w:szCs w:val="22"/>
        </w:rPr>
        <w:t>Analiza uwzględnia ogniska, w których czynnikiem etiologicznym był wirus SARS-CoV-2.</w:t>
      </w:r>
    </w:p>
    <w:p w14:paraId="374B82FB" w14:textId="77777777" w:rsidR="00CC39AE" w:rsidRPr="00B74DAD" w:rsidRDefault="00CC39AE" w:rsidP="00CC39AE">
      <w:pPr>
        <w:pStyle w:val="Standard"/>
        <w:spacing w:line="360" w:lineRule="auto"/>
        <w:rPr>
          <w:sz w:val="22"/>
          <w:szCs w:val="22"/>
        </w:rPr>
      </w:pPr>
      <w:r w:rsidRPr="00B74DAD">
        <w:rPr>
          <w:rFonts w:ascii="Lato" w:hAnsi="Lato" w:cstheme="minorHAnsi"/>
          <w:bCs/>
          <w:color w:val="000000" w:themeColor="text1"/>
          <w:sz w:val="22"/>
          <w:szCs w:val="22"/>
        </w:rPr>
        <w:t xml:space="preserve">Mimo </w:t>
      </w:r>
      <w:r w:rsidRPr="00B74DAD">
        <w:rPr>
          <w:rFonts w:ascii="Lato" w:hAnsi="Lato" w:cs="Calibri"/>
          <w:bCs/>
          <w:color w:val="000000"/>
          <w:sz w:val="22"/>
          <w:szCs w:val="22"/>
        </w:rPr>
        <w:t>tendencji spadkowej w liczbie ognisk zakażeń szpitalnych wywołanych wirusem SARS-CoV-2 w 2025 r., stanowił on jeden z głównych czynników etiologicznych (24% wszystkich ognisk).</w:t>
      </w:r>
    </w:p>
    <w:p w14:paraId="66ECA974" w14:textId="77777777" w:rsidR="00CC39AE" w:rsidRPr="00B74DAD" w:rsidRDefault="00CC39AE" w:rsidP="00CC39AE">
      <w:pPr>
        <w:pStyle w:val="Standard"/>
        <w:spacing w:line="360" w:lineRule="auto"/>
        <w:rPr>
          <w:sz w:val="22"/>
          <w:szCs w:val="22"/>
        </w:rPr>
      </w:pPr>
      <w:r w:rsidRPr="00B74DAD">
        <w:rPr>
          <w:rFonts w:ascii="Lato" w:hAnsi="Lato" w:cs="Calibri"/>
          <w:bCs/>
          <w:color w:val="000000"/>
          <w:sz w:val="22"/>
          <w:szCs w:val="22"/>
        </w:rPr>
        <w:t xml:space="preserve">Wśród pozostałych ognisk epidemicznych, najwięcej wywołanych było przez wirusa grypy (22 ogniska), </w:t>
      </w:r>
      <w:proofErr w:type="spellStart"/>
      <w:r w:rsidRPr="00B74DAD">
        <w:rPr>
          <w:rFonts w:ascii="Lato" w:hAnsi="Lato" w:cs="Calibri"/>
          <w:bCs/>
          <w:color w:val="000000"/>
          <w:sz w:val="22"/>
          <w:szCs w:val="22"/>
        </w:rPr>
        <w:t>Klebsiella</w:t>
      </w:r>
      <w:proofErr w:type="spellEnd"/>
      <w:r w:rsidRPr="00B74DAD">
        <w:rPr>
          <w:rFonts w:ascii="Lato" w:hAnsi="Lato" w:cs="Calibri"/>
          <w:bCs/>
          <w:color w:val="000000"/>
          <w:sz w:val="22"/>
          <w:szCs w:val="22"/>
        </w:rPr>
        <w:t xml:space="preserve"> </w:t>
      </w:r>
      <w:proofErr w:type="spellStart"/>
      <w:r w:rsidRPr="00B74DAD">
        <w:rPr>
          <w:rFonts w:ascii="Lato" w:hAnsi="Lato" w:cs="Calibri"/>
          <w:bCs/>
          <w:color w:val="000000"/>
          <w:sz w:val="22"/>
          <w:szCs w:val="22"/>
        </w:rPr>
        <w:t>pneumoniae</w:t>
      </w:r>
      <w:proofErr w:type="spellEnd"/>
      <w:r w:rsidRPr="00B74DAD">
        <w:rPr>
          <w:rFonts w:ascii="Lato" w:hAnsi="Lato" w:cs="Calibri"/>
          <w:bCs/>
          <w:color w:val="000000"/>
          <w:sz w:val="22"/>
          <w:szCs w:val="22"/>
        </w:rPr>
        <w:t xml:space="preserve"> z różnymi mechanizmami oporności (20 ognisk), </w:t>
      </w:r>
      <w:proofErr w:type="spellStart"/>
      <w:r w:rsidRPr="00B74DAD">
        <w:rPr>
          <w:rFonts w:ascii="Lato" w:hAnsi="Lato" w:cs="Calibri"/>
          <w:bCs/>
          <w:color w:val="000000"/>
          <w:sz w:val="22"/>
          <w:szCs w:val="22"/>
        </w:rPr>
        <w:t>Clostridioides</w:t>
      </w:r>
      <w:proofErr w:type="spellEnd"/>
      <w:r w:rsidRPr="00B74DAD">
        <w:rPr>
          <w:rFonts w:ascii="Lato" w:hAnsi="Lato" w:cs="Calibri"/>
          <w:bCs/>
          <w:color w:val="000000"/>
          <w:sz w:val="22"/>
          <w:szCs w:val="22"/>
        </w:rPr>
        <w:t xml:space="preserve"> </w:t>
      </w:r>
      <w:proofErr w:type="spellStart"/>
      <w:r w:rsidRPr="00B74DAD">
        <w:rPr>
          <w:rFonts w:ascii="Lato" w:hAnsi="Lato" w:cs="Calibri"/>
          <w:bCs/>
          <w:color w:val="000000"/>
          <w:sz w:val="22"/>
          <w:szCs w:val="22"/>
        </w:rPr>
        <w:t>difficile</w:t>
      </w:r>
      <w:proofErr w:type="spellEnd"/>
      <w:r w:rsidRPr="00B74DAD">
        <w:rPr>
          <w:rFonts w:ascii="Lato" w:hAnsi="Lato" w:cs="Calibri"/>
          <w:bCs/>
          <w:color w:val="000000"/>
          <w:sz w:val="22"/>
          <w:szCs w:val="22"/>
        </w:rPr>
        <w:t xml:space="preserve"> (11 ognisk) i </w:t>
      </w:r>
      <w:proofErr w:type="spellStart"/>
      <w:r w:rsidRPr="00B74DAD">
        <w:rPr>
          <w:rFonts w:ascii="Lato" w:hAnsi="Lato" w:cs="Calibri"/>
          <w:bCs/>
          <w:color w:val="000000"/>
          <w:sz w:val="22"/>
          <w:szCs w:val="22"/>
        </w:rPr>
        <w:t>Acinetobacter</w:t>
      </w:r>
      <w:proofErr w:type="spellEnd"/>
      <w:r w:rsidRPr="00B74DAD">
        <w:rPr>
          <w:rFonts w:ascii="Lato" w:hAnsi="Lato" w:cs="Calibri"/>
          <w:bCs/>
          <w:color w:val="000000"/>
          <w:sz w:val="22"/>
          <w:szCs w:val="22"/>
        </w:rPr>
        <w:t xml:space="preserve"> </w:t>
      </w:r>
      <w:proofErr w:type="spellStart"/>
      <w:r w:rsidRPr="00B74DAD">
        <w:rPr>
          <w:rFonts w:ascii="Lato" w:hAnsi="Lato" w:cs="Calibri"/>
          <w:bCs/>
          <w:color w:val="000000"/>
          <w:sz w:val="22"/>
          <w:szCs w:val="22"/>
        </w:rPr>
        <w:t>baumannii</w:t>
      </w:r>
      <w:proofErr w:type="spellEnd"/>
      <w:r w:rsidRPr="00B74DAD">
        <w:rPr>
          <w:rFonts w:ascii="Lato" w:hAnsi="Lato" w:cs="Calibri"/>
          <w:bCs/>
          <w:color w:val="000000"/>
          <w:sz w:val="22"/>
          <w:szCs w:val="22"/>
        </w:rPr>
        <w:t xml:space="preserve"> z różnymi mechanizmami oporności (10 ognisk).</w:t>
      </w:r>
    </w:p>
    <w:p w14:paraId="202DB1EA" w14:textId="77777777" w:rsidR="00CC39AE" w:rsidRPr="00B74DAD" w:rsidRDefault="00CC39AE" w:rsidP="00CC39AE">
      <w:pPr>
        <w:pStyle w:val="Standard"/>
        <w:spacing w:line="360" w:lineRule="auto"/>
        <w:rPr>
          <w:sz w:val="22"/>
          <w:szCs w:val="22"/>
        </w:rPr>
      </w:pPr>
      <w:r w:rsidRPr="00B74DAD">
        <w:rPr>
          <w:rFonts w:ascii="Lato" w:hAnsi="Lato" w:cs="Calibri"/>
          <w:bCs/>
          <w:color w:val="000000"/>
          <w:sz w:val="22"/>
          <w:szCs w:val="22"/>
        </w:rPr>
        <w:t xml:space="preserve">Pojedyncze ogniska epidemiczne, wywołane zostały przez inne czynniki etiologiczne o różnych mechanizmach oporności tj.: Adenowirus, Aspergillus </w:t>
      </w:r>
      <w:proofErr w:type="spellStart"/>
      <w:r w:rsidRPr="00B74DAD">
        <w:rPr>
          <w:rFonts w:ascii="Lato" w:hAnsi="Lato" w:cs="Calibri"/>
          <w:bCs/>
          <w:color w:val="000000"/>
          <w:sz w:val="22"/>
          <w:szCs w:val="22"/>
        </w:rPr>
        <w:t>fumigatus</w:t>
      </w:r>
      <w:proofErr w:type="spellEnd"/>
      <w:r w:rsidRPr="00B74DAD">
        <w:rPr>
          <w:rFonts w:ascii="Lato" w:hAnsi="Lato" w:cs="Calibri"/>
          <w:bCs/>
          <w:color w:val="000000"/>
          <w:sz w:val="22"/>
          <w:szCs w:val="22"/>
        </w:rPr>
        <w:t xml:space="preserve">, </w:t>
      </w:r>
      <w:proofErr w:type="spellStart"/>
      <w:r w:rsidRPr="00B74DAD">
        <w:rPr>
          <w:rFonts w:ascii="Lato" w:hAnsi="Lato" w:cs="Calibri"/>
          <w:bCs/>
          <w:color w:val="000000"/>
          <w:sz w:val="22"/>
          <w:szCs w:val="22"/>
        </w:rPr>
        <w:t>Enterobacter</w:t>
      </w:r>
      <w:proofErr w:type="spellEnd"/>
      <w:r w:rsidRPr="00B74DAD">
        <w:rPr>
          <w:rFonts w:ascii="Lato" w:hAnsi="Lato" w:cs="Calibri"/>
          <w:bCs/>
          <w:color w:val="000000"/>
          <w:sz w:val="22"/>
          <w:szCs w:val="22"/>
        </w:rPr>
        <w:t xml:space="preserve"> </w:t>
      </w:r>
      <w:proofErr w:type="spellStart"/>
      <w:r w:rsidRPr="00B74DAD">
        <w:rPr>
          <w:rFonts w:ascii="Lato" w:hAnsi="Lato" w:cs="Calibri"/>
          <w:bCs/>
          <w:color w:val="000000"/>
          <w:sz w:val="22"/>
          <w:szCs w:val="22"/>
        </w:rPr>
        <w:t>hormaechei</w:t>
      </w:r>
      <w:proofErr w:type="spellEnd"/>
      <w:r w:rsidRPr="00B74DAD">
        <w:rPr>
          <w:rFonts w:ascii="Lato" w:hAnsi="Lato" w:cs="Calibri"/>
          <w:bCs/>
          <w:color w:val="000000"/>
          <w:sz w:val="22"/>
          <w:szCs w:val="22"/>
        </w:rPr>
        <w:t xml:space="preserve">, Escherichia coli, </w:t>
      </w:r>
      <w:proofErr w:type="spellStart"/>
      <w:r w:rsidRPr="00B74DAD">
        <w:rPr>
          <w:rFonts w:ascii="Lato" w:hAnsi="Lato" w:cs="Calibri"/>
          <w:bCs/>
          <w:color w:val="000000"/>
          <w:sz w:val="22"/>
          <w:szCs w:val="22"/>
        </w:rPr>
        <w:t>norowirusy</w:t>
      </w:r>
      <w:proofErr w:type="spellEnd"/>
      <w:r w:rsidRPr="00B74DAD">
        <w:rPr>
          <w:rFonts w:ascii="Lato" w:hAnsi="Lato" w:cs="Calibri"/>
          <w:bCs/>
          <w:color w:val="000000"/>
          <w:sz w:val="22"/>
          <w:szCs w:val="22"/>
        </w:rPr>
        <w:t xml:space="preserve">, </w:t>
      </w:r>
      <w:proofErr w:type="spellStart"/>
      <w:r w:rsidRPr="00B74DAD">
        <w:rPr>
          <w:rFonts w:ascii="Lato" w:hAnsi="Lato" w:cs="Calibri"/>
          <w:bCs/>
          <w:color w:val="000000"/>
          <w:sz w:val="22"/>
          <w:szCs w:val="22"/>
        </w:rPr>
        <w:t>Pseudomonas</w:t>
      </w:r>
      <w:proofErr w:type="spellEnd"/>
      <w:r w:rsidRPr="00B74DAD">
        <w:rPr>
          <w:rFonts w:ascii="Lato" w:hAnsi="Lato" w:cs="Calibri"/>
          <w:bCs/>
          <w:color w:val="000000"/>
          <w:sz w:val="22"/>
          <w:szCs w:val="22"/>
        </w:rPr>
        <w:t xml:space="preserve"> </w:t>
      </w:r>
      <w:proofErr w:type="spellStart"/>
      <w:r w:rsidRPr="00B74DAD">
        <w:rPr>
          <w:rFonts w:ascii="Lato" w:hAnsi="Lato" w:cs="Calibri"/>
          <w:bCs/>
          <w:color w:val="000000"/>
          <w:sz w:val="22"/>
          <w:szCs w:val="22"/>
        </w:rPr>
        <w:t>aeruginosa</w:t>
      </w:r>
      <w:proofErr w:type="spellEnd"/>
      <w:r w:rsidRPr="00B74DAD">
        <w:rPr>
          <w:rFonts w:ascii="Lato" w:hAnsi="Lato" w:cs="Calibri"/>
          <w:bCs/>
          <w:color w:val="000000"/>
          <w:sz w:val="22"/>
          <w:szCs w:val="22"/>
        </w:rPr>
        <w:t xml:space="preserve">, </w:t>
      </w:r>
      <w:proofErr w:type="spellStart"/>
      <w:r w:rsidRPr="00B74DAD">
        <w:rPr>
          <w:rFonts w:ascii="Lato" w:hAnsi="Lato" w:cs="Calibri"/>
          <w:bCs/>
          <w:color w:val="000000"/>
          <w:sz w:val="22"/>
          <w:szCs w:val="22"/>
        </w:rPr>
        <w:t>Staphylococcus</w:t>
      </w:r>
      <w:proofErr w:type="spellEnd"/>
      <w:r w:rsidRPr="00B74DAD">
        <w:rPr>
          <w:rFonts w:ascii="Lato" w:hAnsi="Lato" w:cs="Calibri"/>
          <w:bCs/>
          <w:color w:val="000000"/>
          <w:sz w:val="22"/>
          <w:szCs w:val="22"/>
        </w:rPr>
        <w:t xml:space="preserve"> </w:t>
      </w:r>
      <w:proofErr w:type="spellStart"/>
      <w:r w:rsidRPr="00B74DAD">
        <w:rPr>
          <w:rFonts w:ascii="Lato" w:hAnsi="Lato" w:cs="Calibri"/>
          <w:bCs/>
          <w:color w:val="000000"/>
          <w:sz w:val="22"/>
          <w:szCs w:val="22"/>
        </w:rPr>
        <w:t>aureus</w:t>
      </w:r>
      <w:proofErr w:type="spellEnd"/>
      <w:r w:rsidRPr="00B74DAD">
        <w:rPr>
          <w:rFonts w:ascii="Lato" w:hAnsi="Lato" w:cs="Calibri"/>
          <w:bCs/>
          <w:color w:val="000000"/>
          <w:sz w:val="22"/>
          <w:szCs w:val="22"/>
        </w:rPr>
        <w:t>, świerzbowiec ludzki oraz wirus RSV.</w:t>
      </w:r>
    </w:p>
    <w:p w14:paraId="5EDA0122" w14:textId="7422FFD3" w:rsidR="00D20125" w:rsidRPr="00D20125" w:rsidRDefault="00D20125" w:rsidP="00D20125">
      <w:pPr>
        <w:pStyle w:val="Legenda"/>
        <w:rPr>
          <w:rFonts w:ascii="Lato" w:hAnsi="Lato" w:cstheme="minorHAnsi"/>
          <w:b w:val="0"/>
          <w:bCs w:val="0"/>
          <w:color w:val="000000" w:themeColor="text1"/>
          <w:sz w:val="18"/>
          <w:szCs w:val="18"/>
        </w:rPr>
      </w:pPr>
      <w:bookmarkStart w:id="82" w:name="_Toc225859347"/>
      <w:bookmarkStart w:id="83" w:name="_Toc225922350"/>
      <w:r w:rsidRPr="004F4122">
        <w:rPr>
          <w:rFonts w:ascii="Lato" w:hAnsi="Lato"/>
          <w:b w:val="0"/>
          <w:bCs w:val="0"/>
          <w:sz w:val="18"/>
          <w:szCs w:val="18"/>
        </w:rPr>
        <w:lastRenderedPageBreak/>
        <w:t>Wykres</w:t>
      </w:r>
      <w:r w:rsidRPr="00D20125">
        <w:rPr>
          <w:rFonts w:ascii="Lato" w:hAnsi="Lato"/>
          <w:b w:val="0"/>
          <w:bCs w:val="0"/>
          <w:sz w:val="18"/>
          <w:szCs w:val="18"/>
        </w:rPr>
        <w:t xml:space="preserve">  </w:t>
      </w:r>
      <w:r w:rsidRPr="00D20125">
        <w:rPr>
          <w:rFonts w:ascii="Lato" w:hAnsi="Lato"/>
          <w:b w:val="0"/>
          <w:bCs w:val="0"/>
          <w:sz w:val="18"/>
          <w:szCs w:val="18"/>
        </w:rPr>
        <w:fldChar w:fldCharType="begin"/>
      </w:r>
      <w:r w:rsidRPr="00D20125">
        <w:rPr>
          <w:rFonts w:ascii="Lato" w:hAnsi="Lato"/>
          <w:b w:val="0"/>
          <w:bCs w:val="0"/>
          <w:sz w:val="18"/>
          <w:szCs w:val="18"/>
        </w:rPr>
        <w:instrText xml:space="preserve"> SEQ Wykres_ \* ARABIC </w:instrText>
      </w:r>
      <w:r w:rsidRPr="00D20125">
        <w:rPr>
          <w:rFonts w:ascii="Lato" w:hAnsi="Lato"/>
          <w:b w:val="0"/>
          <w:bCs w:val="0"/>
          <w:sz w:val="18"/>
          <w:szCs w:val="18"/>
        </w:rPr>
        <w:fldChar w:fldCharType="separate"/>
      </w:r>
      <w:r w:rsidR="002A3179">
        <w:rPr>
          <w:rFonts w:ascii="Lato" w:hAnsi="Lato"/>
          <w:b w:val="0"/>
          <w:bCs w:val="0"/>
          <w:noProof/>
          <w:sz w:val="18"/>
          <w:szCs w:val="18"/>
        </w:rPr>
        <w:t>5</w:t>
      </w:r>
      <w:r w:rsidRPr="00D20125">
        <w:rPr>
          <w:rFonts w:ascii="Lato" w:hAnsi="Lato"/>
          <w:b w:val="0"/>
          <w:bCs w:val="0"/>
          <w:sz w:val="18"/>
          <w:szCs w:val="18"/>
        </w:rPr>
        <w:fldChar w:fldCharType="end"/>
      </w:r>
      <w:r w:rsidRPr="00D20125">
        <w:rPr>
          <w:rFonts w:ascii="Lato" w:hAnsi="Lato"/>
          <w:b w:val="0"/>
          <w:bCs w:val="0"/>
          <w:sz w:val="18"/>
          <w:szCs w:val="18"/>
        </w:rPr>
        <w:t>. Liczba ognisk zakażeń szpitalnych w woj. zachodniopomorskim zgłoszonych do Państwowej Inspekcji Sanitarnej w latach 2021 -2025.</w:t>
      </w:r>
      <w:bookmarkEnd w:id="82"/>
      <w:bookmarkEnd w:id="83"/>
    </w:p>
    <w:p w14:paraId="1F2E56CF" w14:textId="77777777" w:rsidR="00986DE0" w:rsidRPr="004B2BBB" w:rsidRDefault="00986DE0" w:rsidP="00986DE0">
      <w:pPr>
        <w:rPr>
          <w:color w:val="EE0000"/>
        </w:rPr>
      </w:pPr>
      <w:r w:rsidRPr="004B2BBB">
        <w:rPr>
          <w:noProof/>
          <w:color w:val="EE0000"/>
        </w:rPr>
        <w:drawing>
          <wp:inline distT="0" distB="0" distL="0" distR="0" wp14:anchorId="53899789" wp14:editId="60874B5E">
            <wp:extent cx="5756400" cy="2833200"/>
            <wp:effectExtent l="0" t="0" r="15875" b="5715"/>
            <wp:docPr id="1692086560" name="Wykres 1692086560" descr="Wykres przedstawia ilość ognisk zakażeń szpitalnych w woj. zachodniopomorskim, zgłoszonych do Państwowej Inspekcji Sanitarnej w latach 2021-2025.">
              <a:extLst xmlns:a="http://schemas.openxmlformats.org/drawingml/2006/main">
                <a:ext uri="{FF2B5EF4-FFF2-40B4-BE49-F238E27FC236}">
                  <a16:creationId xmlns:a16="http://schemas.microsoft.com/office/drawing/2014/main" id="{7AEF05D8-70BC-50E6-F26F-32055834D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C504C3" w14:textId="77777777" w:rsidR="00986DE0" w:rsidRPr="003A66BD" w:rsidRDefault="00986DE0" w:rsidP="00986DE0">
      <w:pPr>
        <w:pStyle w:val="Standard"/>
        <w:tabs>
          <w:tab w:val="left" w:pos="4395"/>
        </w:tabs>
        <w:spacing w:after="120" w:line="276" w:lineRule="auto"/>
        <w:rPr>
          <w:rFonts w:ascii="Lato" w:hAnsi="Lato" w:cstheme="minorHAnsi"/>
          <w:bCs/>
          <w:color w:val="000000" w:themeColor="text1"/>
          <w:sz w:val="18"/>
          <w:szCs w:val="18"/>
        </w:rPr>
      </w:pPr>
      <w:r w:rsidRPr="003A66BD">
        <w:rPr>
          <w:rFonts w:ascii="Lato" w:hAnsi="Lato" w:cstheme="minorHAnsi"/>
          <w:bCs/>
          <w:color w:val="000000" w:themeColor="text1"/>
          <w:sz w:val="18"/>
          <w:szCs w:val="18"/>
        </w:rPr>
        <w:t xml:space="preserve">*od 2025 roku </w:t>
      </w:r>
      <w:r>
        <w:rPr>
          <w:rFonts w:ascii="Lato" w:hAnsi="Lato" w:cstheme="minorHAnsi"/>
          <w:bCs/>
          <w:color w:val="000000" w:themeColor="text1"/>
          <w:sz w:val="18"/>
          <w:szCs w:val="18"/>
        </w:rPr>
        <w:t>odstąpiono</w:t>
      </w:r>
      <w:r w:rsidRPr="003A66BD">
        <w:rPr>
          <w:rFonts w:ascii="Lato" w:hAnsi="Lato" w:cstheme="minorHAnsi"/>
          <w:bCs/>
          <w:color w:val="000000" w:themeColor="text1"/>
          <w:sz w:val="18"/>
          <w:szCs w:val="18"/>
        </w:rPr>
        <w:t xml:space="preserve"> od raportowania ognisk, w których nie wystąpiły zakażenia objawowe</w:t>
      </w:r>
    </w:p>
    <w:p w14:paraId="419F764F" w14:textId="77777777" w:rsidR="00986DE0" w:rsidRDefault="00986DE0" w:rsidP="00EA310A">
      <w:pPr>
        <w:spacing w:line="360" w:lineRule="auto"/>
        <w:rPr>
          <w:rFonts w:ascii="Lato" w:hAnsi="Lato" w:cstheme="minorHAnsi"/>
          <w:bCs/>
          <w:color w:val="000000" w:themeColor="text1"/>
          <w:sz w:val="22"/>
          <w:szCs w:val="22"/>
        </w:rPr>
      </w:pPr>
      <w:r w:rsidRPr="00B74DAD">
        <w:rPr>
          <w:rFonts w:ascii="Lato" w:hAnsi="Lato" w:cs="Calibri"/>
          <w:bCs/>
          <w:color w:val="000000"/>
          <w:sz w:val="22"/>
          <w:szCs w:val="22"/>
        </w:rPr>
        <w:t xml:space="preserve">Dochodzenia epidemiologiczne ujawniły, iż potwierdzonym lub prawdopodobnym źródłem zakażenia w większości ognisk był skolonizowany czynnikiem chorobotwórczym lub zakażony pacjent i/lub personel, a także </w:t>
      </w:r>
      <w:r w:rsidRPr="00B74DAD">
        <w:rPr>
          <w:rFonts w:ascii="Lato" w:hAnsi="Lato" w:cstheme="minorHAnsi"/>
          <w:bCs/>
          <w:color w:val="000000" w:themeColor="text1"/>
          <w:sz w:val="22"/>
          <w:szCs w:val="22"/>
        </w:rPr>
        <w:t>osoby odwiedzjące.</w:t>
      </w:r>
    </w:p>
    <w:p w14:paraId="5E5C21A2" w14:textId="77777777" w:rsidR="00A572AF" w:rsidRPr="00B74DAD" w:rsidRDefault="00A572AF" w:rsidP="00EA310A">
      <w:pPr>
        <w:spacing w:line="360" w:lineRule="auto"/>
        <w:rPr>
          <w:rFonts w:ascii="Lato" w:hAnsi="Lato" w:cstheme="minorHAnsi"/>
          <w:bCs/>
          <w:color w:val="000000" w:themeColor="text1"/>
          <w:sz w:val="22"/>
          <w:szCs w:val="22"/>
        </w:rPr>
      </w:pPr>
    </w:p>
    <w:p w14:paraId="1D8A8194" w14:textId="4333B624" w:rsidR="00986DE0" w:rsidRDefault="00986DE0">
      <w:pPr>
        <w:pStyle w:val="Nagwek3"/>
        <w:numPr>
          <w:ilvl w:val="1"/>
          <w:numId w:val="10"/>
        </w:numPr>
        <w:spacing w:before="0" w:after="0" w:line="360" w:lineRule="auto"/>
        <w:ind w:left="568" w:right="284" w:hanging="284"/>
        <w:rPr>
          <w:color w:val="auto"/>
          <w:szCs w:val="22"/>
        </w:rPr>
      </w:pPr>
      <w:bookmarkStart w:id="84" w:name="_Toc225235861"/>
      <w:bookmarkStart w:id="85" w:name="_Toc225859050"/>
      <w:r w:rsidRPr="00A379E0">
        <w:rPr>
          <w:color w:val="auto"/>
          <w:szCs w:val="22"/>
        </w:rPr>
        <w:t>Podsumowanie</w:t>
      </w:r>
      <w:bookmarkEnd w:id="84"/>
      <w:bookmarkEnd w:id="85"/>
    </w:p>
    <w:p w14:paraId="6F3D4068" w14:textId="77777777" w:rsidR="00C31ECB" w:rsidRPr="00C31ECB" w:rsidRDefault="00C31ECB" w:rsidP="00C31ECB">
      <w:pPr>
        <w:rPr>
          <w:rFonts w:ascii="Lato" w:hAnsi="Lato"/>
          <w:sz w:val="22"/>
          <w:szCs w:val="22"/>
        </w:rPr>
      </w:pPr>
    </w:p>
    <w:p w14:paraId="6599CC2D" w14:textId="77777777" w:rsidR="00986DE0" w:rsidRPr="00C75499" w:rsidRDefault="00986DE0" w:rsidP="00EA310A">
      <w:pPr>
        <w:pStyle w:val="Standard"/>
        <w:spacing w:line="360" w:lineRule="auto"/>
        <w:rPr>
          <w:sz w:val="22"/>
          <w:szCs w:val="22"/>
        </w:rPr>
      </w:pPr>
      <w:r w:rsidRPr="00C75499">
        <w:rPr>
          <w:rFonts w:ascii="Lato" w:hAnsi="Lato" w:cstheme="minorHAnsi"/>
          <w:color w:val="000000" w:themeColor="text1"/>
          <w:sz w:val="22"/>
          <w:szCs w:val="22"/>
        </w:rPr>
        <w:t xml:space="preserve">Zapobieganie </w:t>
      </w:r>
      <w:r w:rsidRPr="00C75499">
        <w:rPr>
          <w:rFonts w:ascii="Lato" w:hAnsi="Lato" w:cs="Calibri"/>
          <w:color w:val="000000"/>
          <w:sz w:val="22"/>
          <w:szCs w:val="22"/>
        </w:rPr>
        <w:t>zakażeniom szpitalnym w podmiotach działalności leczniczej</w:t>
      </w:r>
      <w:r>
        <w:rPr>
          <w:rFonts w:ascii="Lato" w:hAnsi="Lato" w:cs="Calibri"/>
          <w:color w:val="000000"/>
          <w:sz w:val="22"/>
          <w:szCs w:val="22"/>
        </w:rPr>
        <w:t>,</w:t>
      </w:r>
      <w:r w:rsidRPr="00C75499">
        <w:rPr>
          <w:rFonts w:ascii="Lato" w:hAnsi="Lato" w:cs="Calibri"/>
          <w:color w:val="000000"/>
          <w:sz w:val="22"/>
          <w:szCs w:val="22"/>
        </w:rPr>
        <w:t xml:space="preserve"> w</w:t>
      </w:r>
      <w:r>
        <w:rPr>
          <w:rFonts w:ascii="Lato" w:hAnsi="Lato" w:cs="Calibri"/>
          <w:color w:val="000000"/>
          <w:sz w:val="22"/>
          <w:szCs w:val="22"/>
        </w:rPr>
        <w:t xml:space="preserve"> </w:t>
      </w:r>
      <w:r w:rsidRPr="00C75499">
        <w:rPr>
          <w:rFonts w:ascii="Lato" w:hAnsi="Lato" w:cs="Calibri"/>
          <w:color w:val="000000"/>
          <w:sz w:val="22"/>
          <w:szCs w:val="22"/>
        </w:rPr>
        <w:t>szczególności realizujących stacjonarne świadczenia szpitalne stanowi jeden z kluczowych elementów świadczących o jakości usług i tym samym o bezpieczeństwie pacjentów i</w:t>
      </w:r>
      <w:r>
        <w:rPr>
          <w:rFonts w:ascii="Lato" w:hAnsi="Lato" w:cs="Calibri"/>
          <w:color w:val="000000"/>
          <w:sz w:val="22"/>
          <w:szCs w:val="22"/>
        </w:rPr>
        <w:t xml:space="preserve"> </w:t>
      </w:r>
      <w:r w:rsidRPr="00C75499">
        <w:rPr>
          <w:rFonts w:ascii="Lato" w:hAnsi="Lato" w:cs="Calibri"/>
          <w:color w:val="000000"/>
          <w:sz w:val="22"/>
          <w:szCs w:val="22"/>
        </w:rPr>
        <w:t>personelu. Jednocześnie nadzór nad realizacją działań zapobiegających szerzeniu się zakażeń i chorób zakaźnych oraz prowadzeniem dokumentacji w tym zakresie jest jednym z</w:t>
      </w:r>
      <w:r>
        <w:rPr>
          <w:rFonts w:ascii="Lato" w:hAnsi="Lato" w:cs="Calibri"/>
          <w:color w:val="000000"/>
          <w:sz w:val="22"/>
          <w:szCs w:val="22"/>
        </w:rPr>
        <w:t xml:space="preserve"> </w:t>
      </w:r>
      <w:r w:rsidRPr="00C75499">
        <w:rPr>
          <w:rFonts w:ascii="Lato" w:hAnsi="Lato" w:cs="Calibri"/>
          <w:color w:val="000000"/>
          <w:sz w:val="22"/>
          <w:szCs w:val="22"/>
        </w:rPr>
        <w:t>priorytetowych zagadnień nadzorowych.</w:t>
      </w:r>
      <w:r w:rsidRPr="00C75499">
        <w:rPr>
          <w:rFonts w:ascii="Lato" w:hAnsi="Lato" w:cs="Calibri"/>
          <w:bCs/>
          <w:color w:val="000000"/>
          <w:sz w:val="22"/>
          <w:szCs w:val="22"/>
        </w:rPr>
        <w:t xml:space="preserve"> </w:t>
      </w:r>
      <w:r>
        <w:rPr>
          <w:rFonts w:ascii="Lato" w:hAnsi="Lato" w:cs="Calibri"/>
          <w:bCs/>
          <w:color w:val="000000"/>
          <w:sz w:val="22"/>
          <w:szCs w:val="22"/>
        </w:rPr>
        <w:t xml:space="preserve">Po okresie pandemii Covid-19 zaobserwowano spadek zgłaszalności ognisk epidemicznych w regionie, co świadczy o rzetelnym podejściu szpitali do problemu monitorowania zakażeń szpitalnych i wdrażaniu działań przeciwepidemicznych, tym samym skuteczności podejmowanych działań w odniesieniu do zagrożenia. </w:t>
      </w:r>
      <w:r w:rsidRPr="00C75499">
        <w:rPr>
          <w:rFonts w:ascii="Lato" w:hAnsi="Lato" w:cs="Calibri"/>
          <w:bCs/>
          <w:color w:val="000000"/>
          <w:sz w:val="22"/>
          <w:szCs w:val="22"/>
        </w:rPr>
        <w:t>Kluczowe znaczenie w zapobieganiu zakażeniom ma właściwy monitoring, aktywnie prowadzony przez Zespoły Kontroli Zakażeń Szpitalnych w oparciu o mikrobiologiczną ocenę zagrożeń występujących w</w:t>
      </w:r>
      <w:r>
        <w:rPr>
          <w:rFonts w:ascii="Lato" w:hAnsi="Lato" w:cs="Calibri"/>
          <w:bCs/>
          <w:color w:val="000000"/>
          <w:sz w:val="22"/>
          <w:szCs w:val="22"/>
        </w:rPr>
        <w:t> </w:t>
      </w:r>
      <w:r w:rsidRPr="00C75499">
        <w:rPr>
          <w:rFonts w:ascii="Lato" w:hAnsi="Lato" w:cs="Calibri"/>
          <w:bCs/>
          <w:color w:val="000000"/>
          <w:sz w:val="22"/>
          <w:szCs w:val="22"/>
        </w:rPr>
        <w:t xml:space="preserve">środowisku szpitalnym, który pozwala na ocenę skali </w:t>
      </w:r>
      <w:r>
        <w:rPr>
          <w:rFonts w:ascii="Lato" w:hAnsi="Lato" w:cs="Calibri"/>
          <w:bCs/>
          <w:color w:val="000000"/>
          <w:sz w:val="22"/>
          <w:szCs w:val="22"/>
        </w:rPr>
        <w:t>ryzyka</w:t>
      </w:r>
      <w:r w:rsidRPr="00C75499">
        <w:rPr>
          <w:rFonts w:ascii="Lato" w:hAnsi="Lato" w:cs="Calibri"/>
          <w:bCs/>
          <w:color w:val="000000"/>
          <w:sz w:val="22"/>
          <w:szCs w:val="22"/>
        </w:rPr>
        <w:t xml:space="preserve"> w</w:t>
      </w:r>
      <w:r>
        <w:rPr>
          <w:rFonts w:ascii="Lato" w:hAnsi="Lato" w:cs="Calibri"/>
          <w:bCs/>
          <w:color w:val="000000"/>
          <w:sz w:val="22"/>
          <w:szCs w:val="22"/>
        </w:rPr>
        <w:t xml:space="preserve"> </w:t>
      </w:r>
      <w:r w:rsidRPr="00C75499">
        <w:rPr>
          <w:rFonts w:ascii="Lato" w:hAnsi="Lato" w:cs="Calibri"/>
          <w:bCs/>
          <w:color w:val="000000"/>
          <w:sz w:val="22"/>
          <w:szCs w:val="22"/>
        </w:rPr>
        <w:t xml:space="preserve">poszczególnych jednostkach szpitala oraz podjęcie </w:t>
      </w:r>
      <w:r>
        <w:rPr>
          <w:rFonts w:ascii="Lato" w:hAnsi="Lato" w:cs="Calibri"/>
          <w:bCs/>
          <w:color w:val="000000"/>
          <w:sz w:val="22"/>
          <w:szCs w:val="22"/>
        </w:rPr>
        <w:t xml:space="preserve">adekwatnych </w:t>
      </w:r>
      <w:r w:rsidRPr="00C75499">
        <w:rPr>
          <w:rFonts w:ascii="Lato" w:hAnsi="Lato" w:cs="Calibri"/>
          <w:bCs/>
          <w:color w:val="000000"/>
          <w:sz w:val="22"/>
          <w:szCs w:val="22"/>
        </w:rPr>
        <w:t>działań przeciwepidemicznych.</w:t>
      </w:r>
    </w:p>
    <w:p w14:paraId="583ACA24" w14:textId="18F82480" w:rsidR="00986DE0" w:rsidRPr="00B74DAD" w:rsidRDefault="00986DE0" w:rsidP="00EA310A">
      <w:pPr>
        <w:spacing w:line="360" w:lineRule="auto"/>
        <w:rPr>
          <w:rFonts w:ascii="Lato" w:hAnsi="Lato" w:cstheme="minorHAnsi"/>
          <w:bCs/>
          <w:color w:val="000000" w:themeColor="text1"/>
          <w:sz w:val="22"/>
          <w:szCs w:val="22"/>
        </w:rPr>
      </w:pPr>
      <w:r w:rsidRPr="00B74DAD">
        <w:rPr>
          <w:rFonts w:ascii="Lato" w:hAnsi="Lato" w:cs="Calibri"/>
          <w:color w:val="000000"/>
          <w:sz w:val="22"/>
          <w:szCs w:val="22"/>
        </w:rPr>
        <w:t xml:space="preserve">Prowadzone działania, poza cyklicznym monitorowaniem sytuacji epidemiologicznej ognisk zakażeń szpitalnych i analizą ujawnionych zagrożeń związanych z szerzeniem się zakażeń wielolekoopornych, skupione były zasadniczo na prawidłowości opracowanych i wdrożonych </w:t>
      </w:r>
      <w:r w:rsidRPr="00B74DAD">
        <w:rPr>
          <w:rFonts w:ascii="Lato" w:hAnsi="Lato" w:cs="Calibri"/>
          <w:color w:val="000000"/>
          <w:sz w:val="22"/>
          <w:szCs w:val="22"/>
        </w:rPr>
        <w:lastRenderedPageBreak/>
        <w:t>procedur zapobiegających zakażeniom, w tym dekontaminacji</w:t>
      </w:r>
      <w:r w:rsidR="008508D2">
        <w:rPr>
          <w:rFonts w:ascii="Lato" w:hAnsi="Lato" w:cs="Calibri"/>
          <w:color w:val="000000"/>
          <w:sz w:val="22"/>
          <w:szCs w:val="22"/>
        </w:rPr>
        <w:t>,</w:t>
      </w:r>
      <w:r w:rsidRPr="00B74DAD">
        <w:rPr>
          <w:rFonts w:ascii="Lato" w:hAnsi="Lato" w:cs="Calibri"/>
          <w:color w:val="000000"/>
          <w:sz w:val="22"/>
          <w:szCs w:val="22"/>
        </w:rPr>
        <w:t xml:space="preserve"> jak również wsparciu zespołów kontroli zakażeń szpitalnych w działaniach przeciwepidemicznych realizowanych</w:t>
      </w:r>
      <w:r w:rsidRPr="00B74DAD">
        <w:rPr>
          <w:rFonts w:ascii="Lato" w:hAnsi="Lato" w:cstheme="minorHAnsi"/>
          <w:color w:val="000000" w:themeColor="text1"/>
          <w:sz w:val="22"/>
          <w:szCs w:val="22"/>
        </w:rPr>
        <w:t xml:space="preserve"> w ogniskach.</w:t>
      </w:r>
    </w:p>
    <w:p w14:paraId="6E86214B" w14:textId="77777777" w:rsidR="0004472E" w:rsidRDefault="0004472E">
      <w:pPr>
        <w:spacing w:after="160" w:line="278" w:lineRule="auto"/>
        <w:rPr>
          <w:rFonts w:ascii="Lato" w:eastAsiaTheme="majorEastAsia" w:hAnsi="Lato" w:cstheme="majorBidi"/>
          <w:color w:val="4C94D8" w:themeColor="text2" w:themeTint="80"/>
          <w:sz w:val="32"/>
          <w:szCs w:val="40"/>
        </w:rPr>
      </w:pPr>
      <w:bookmarkStart w:id="86" w:name="_Toc225235862"/>
      <w:bookmarkEnd w:id="80"/>
      <w:r>
        <w:rPr>
          <w:color w:val="4C94D8" w:themeColor="text2" w:themeTint="80"/>
        </w:rPr>
        <w:br w:type="page"/>
      </w:r>
    </w:p>
    <w:p w14:paraId="6269A137" w14:textId="7B3BE057" w:rsidR="00986DE0" w:rsidRPr="00BA2854" w:rsidRDefault="00986DE0">
      <w:pPr>
        <w:pStyle w:val="Nagwek1"/>
        <w:numPr>
          <w:ilvl w:val="0"/>
          <w:numId w:val="16"/>
        </w:numPr>
        <w:spacing w:before="0" w:after="0" w:line="360" w:lineRule="auto"/>
        <w:ind w:left="568" w:right="284" w:hanging="284"/>
        <w:rPr>
          <w:color w:val="153D63" w:themeColor="text2" w:themeTint="E6"/>
        </w:rPr>
      </w:pPr>
      <w:bookmarkStart w:id="87" w:name="_Toc225859051"/>
      <w:r w:rsidRPr="00BA2854">
        <w:rPr>
          <w:color w:val="153D63" w:themeColor="text2" w:themeTint="E6"/>
        </w:rPr>
        <w:lastRenderedPageBreak/>
        <w:t>Stan sanitarny podmiotów działalności leczniczej</w:t>
      </w:r>
      <w:bookmarkEnd w:id="86"/>
      <w:bookmarkEnd w:id="87"/>
    </w:p>
    <w:p w14:paraId="095AA887" w14:textId="6321F1D7" w:rsidR="00986DE0" w:rsidRPr="00B74DAD" w:rsidRDefault="00986DE0" w:rsidP="00EA310A">
      <w:pPr>
        <w:pStyle w:val="Standard"/>
        <w:tabs>
          <w:tab w:val="left" w:pos="851"/>
        </w:tabs>
        <w:spacing w:line="360" w:lineRule="auto"/>
        <w:rPr>
          <w:rFonts w:ascii="Lato" w:hAnsi="Lato" w:cs="Calibri"/>
          <w:color w:val="000000"/>
          <w:sz w:val="22"/>
          <w:szCs w:val="22"/>
        </w:rPr>
      </w:pPr>
      <w:r w:rsidRPr="00B74DAD">
        <w:rPr>
          <w:rFonts w:ascii="Lato" w:hAnsi="Lato" w:cstheme="minorHAnsi"/>
          <w:sz w:val="22"/>
          <w:szCs w:val="22"/>
        </w:rPr>
        <w:t xml:space="preserve">W 2025 r. </w:t>
      </w:r>
      <w:r w:rsidRPr="00B74DAD">
        <w:rPr>
          <w:rFonts w:ascii="Lato" w:hAnsi="Lato" w:cs="Calibri"/>
          <w:color w:val="000000"/>
          <w:sz w:val="22"/>
          <w:szCs w:val="22"/>
        </w:rPr>
        <w:t xml:space="preserve">pod nadzorem Państwowej Inspekcji Sanitarnej w woj. zachodniopomorskim </w:t>
      </w:r>
      <w:r w:rsidR="00474549">
        <w:rPr>
          <w:rFonts w:ascii="Lato" w:hAnsi="Lato" w:cs="Calibri"/>
          <w:color w:val="000000"/>
          <w:sz w:val="22"/>
          <w:szCs w:val="22"/>
        </w:rPr>
        <w:t>znajdowały się</w:t>
      </w:r>
      <w:r w:rsidRPr="00B74DAD">
        <w:rPr>
          <w:rFonts w:ascii="Lato" w:hAnsi="Lato" w:cs="Calibri"/>
          <w:color w:val="000000"/>
          <w:sz w:val="22"/>
          <w:szCs w:val="22"/>
        </w:rPr>
        <w:t xml:space="preserve"> 1882 obiekty wykonujące stacjonarne i ambulatoryjne świadczenia, tj. szpitale, zakłady opiekuńczo-lecznicze, zakłady </w:t>
      </w:r>
      <w:proofErr w:type="spellStart"/>
      <w:r w:rsidRPr="00B74DAD">
        <w:rPr>
          <w:rFonts w:ascii="Lato" w:hAnsi="Lato" w:cs="Calibri"/>
          <w:color w:val="000000"/>
          <w:sz w:val="22"/>
          <w:szCs w:val="22"/>
        </w:rPr>
        <w:t>pielęgnacyjno</w:t>
      </w:r>
      <w:proofErr w:type="spellEnd"/>
      <w:r w:rsidRPr="00B74DAD">
        <w:rPr>
          <w:rFonts w:ascii="Lato" w:hAnsi="Lato" w:cs="Calibri"/>
          <w:color w:val="000000"/>
          <w:sz w:val="22"/>
          <w:szCs w:val="22"/>
        </w:rPr>
        <w:t xml:space="preserve"> - opiekuńcze, zakłady rehabilitacji leczniczej, sanatoria, hospicja, przychodnie, ośrodki, poradnie, ambulatoria, zakłady badań diagnostycznych oraz medyczne laboratoria diagnostyczne.</w:t>
      </w:r>
    </w:p>
    <w:p w14:paraId="76000BF2" w14:textId="77777777" w:rsidR="00986DE0" w:rsidRPr="00B74DAD" w:rsidRDefault="00986DE0" w:rsidP="00EA310A">
      <w:pPr>
        <w:tabs>
          <w:tab w:val="left" w:pos="851"/>
        </w:tabs>
        <w:spacing w:line="360" w:lineRule="auto"/>
        <w:rPr>
          <w:rFonts w:ascii="Lato" w:hAnsi="Lato" w:cstheme="minorHAnsi"/>
          <w:sz w:val="22"/>
          <w:szCs w:val="22"/>
        </w:rPr>
      </w:pPr>
      <w:r w:rsidRPr="00B74DAD">
        <w:rPr>
          <w:rFonts w:ascii="Lato" w:hAnsi="Lato" w:cs="Calibri"/>
          <w:color w:val="000000"/>
          <w:sz w:val="22"/>
          <w:szCs w:val="22"/>
        </w:rPr>
        <w:t xml:space="preserve">Skontrolowano ponad połowę podmiotów działalności leczniczej (965). </w:t>
      </w:r>
      <w:r w:rsidRPr="00B74DAD">
        <w:rPr>
          <w:rFonts w:ascii="Lato" w:hAnsi="Lato" w:cs="Calibri"/>
          <w:sz w:val="22"/>
          <w:szCs w:val="22"/>
        </w:rPr>
        <w:t>Kontroli poddano również 658 obiektów działalności leczniczej wykonywanej przez praktykę zawodową, tj. prawie 27% wszystkich tego typu podmiotów</w:t>
      </w:r>
      <w:r w:rsidRPr="00B74DAD">
        <w:rPr>
          <w:rFonts w:ascii="Lato" w:hAnsi="Lato" w:cstheme="minorHAnsi"/>
          <w:sz w:val="22"/>
          <w:szCs w:val="22"/>
        </w:rPr>
        <w:t>.</w:t>
      </w:r>
      <w:r w:rsidRPr="00B74DAD">
        <w:rPr>
          <w:rFonts w:ascii="Lato" w:hAnsi="Lato" w:cs="Calibri"/>
          <w:bCs/>
          <w:sz w:val="22"/>
          <w:szCs w:val="22"/>
        </w:rPr>
        <w:t xml:space="preserve"> </w:t>
      </w:r>
    </w:p>
    <w:p w14:paraId="32AC6F6B" w14:textId="7260ED6B" w:rsidR="00EA310A" w:rsidRDefault="00986DE0" w:rsidP="00EA310A">
      <w:pPr>
        <w:tabs>
          <w:tab w:val="left" w:pos="851"/>
        </w:tabs>
        <w:spacing w:line="360" w:lineRule="auto"/>
        <w:rPr>
          <w:rFonts w:ascii="Lato" w:hAnsi="Lato"/>
          <w:sz w:val="22"/>
          <w:szCs w:val="22"/>
        </w:rPr>
      </w:pPr>
      <w:r w:rsidRPr="00B74DAD">
        <w:rPr>
          <w:rFonts w:ascii="Lato" w:hAnsi="Lato" w:cstheme="minorHAnsi"/>
          <w:sz w:val="22"/>
          <w:szCs w:val="22"/>
        </w:rPr>
        <w:t xml:space="preserve">Stan higieniczno-sanitarny skontrolowanych obiektów był na ogół zachowany. </w:t>
      </w:r>
      <w:r w:rsidR="00474549">
        <w:rPr>
          <w:rFonts w:ascii="Lato" w:hAnsi="Lato"/>
          <w:sz w:val="22"/>
          <w:szCs w:val="22"/>
        </w:rPr>
        <w:t>S</w:t>
      </w:r>
      <w:r w:rsidR="00474549" w:rsidRPr="00B74DAD">
        <w:rPr>
          <w:rFonts w:ascii="Lato" w:hAnsi="Lato"/>
          <w:sz w:val="22"/>
          <w:szCs w:val="22"/>
        </w:rPr>
        <w:t>ytuacja w tym zakresie ulega poprawie</w:t>
      </w:r>
      <w:r w:rsidR="00474549">
        <w:rPr>
          <w:rFonts w:ascii="Lato" w:hAnsi="Lato"/>
          <w:sz w:val="22"/>
          <w:szCs w:val="22"/>
        </w:rPr>
        <w:t xml:space="preserve"> w stosunku do 2024r.</w:t>
      </w:r>
      <w:r w:rsidR="00474549" w:rsidRPr="00B74DAD">
        <w:rPr>
          <w:rFonts w:ascii="Lato" w:hAnsi="Lato" w:cstheme="minorHAnsi"/>
          <w:sz w:val="22"/>
          <w:szCs w:val="22"/>
        </w:rPr>
        <w:t xml:space="preserve"> </w:t>
      </w:r>
      <w:r w:rsidRPr="00B74DAD">
        <w:rPr>
          <w:rFonts w:ascii="Lato" w:hAnsi="Lato" w:cstheme="minorHAnsi"/>
          <w:sz w:val="22"/>
          <w:szCs w:val="22"/>
        </w:rPr>
        <w:t>Negatywnie oceniono warunki higieniczno-sanitarne w 129 obiektach, tj. 13 % ogółu skontrolowanych podmiotów (tabela 1</w:t>
      </w:r>
      <w:r w:rsidR="00247299">
        <w:rPr>
          <w:rFonts w:ascii="Lato" w:hAnsi="Lato" w:cstheme="minorHAnsi"/>
          <w:sz w:val="22"/>
          <w:szCs w:val="22"/>
        </w:rPr>
        <w:t>7</w:t>
      </w:r>
      <w:r w:rsidRPr="00B74DAD">
        <w:rPr>
          <w:rFonts w:ascii="Lato" w:hAnsi="Lato" w:cstheme="minorHAnsi"/>
          <w:sz w:val="22"/>
          <w:szCs w:val="22"/>
        </w:rPr>
        <w:t>).</w:t>
      </w:r>
      <w:r w:rsidR="00474549" w:rsidRPr="00474549">
        <w:rPr>
          <w:rFonts w:ascii="Lato" w:hAnsi="Lato"/>
          <w:sz w:val="22"/>
          <w:szCs w:val="22"/>
        </w:rPr>
        <w:t xml:space="preserve"> </w:t>
      </w:r>
    </w:p>
    <w:p w14:paraId="0BF4A643" w14:textId="77777777" w:rsidR="00F45A42" w:rsidRPr="00B74DAD" w:rsidRDefault="00F45A42" w:rsidP="00EA310A">
      <w:pPr>
        <w:tabs>
          <w:tab w:val="left" w:pos="851"/>
        </w:tabs>
        <w:spacing w:line="360" w:lineRule="auto"/>
        <w:rPr>
          <w:rFonts w:ascii="Lato" w:hAnsi="Lato" w:cstheme="minorHAnsi"/>
          <w:sz w:val="22"/>
          <w:szCs w:val="22"/>
        </w:rPr>
      </w:pPr>
    </w:p>
    <w:p w14:paraId="2DB29908" w14:textId="6D6C02D0" w:rsidR="00986DE0" w:rsidRPr="009F2B60" w:rsidRDefault="009F2B60" w:rsidP="009F2B60">
      <w:pPr>
        <w:pStyle w:val="Legenda"/>
        <w:rPr>
          <w:rFonts w:ascii="Lato" w:hAnsi="Lato"/>
          <w:b w:val="0"/>
          <w:bCs w:val="0"/>
          <w:i/>
          <w:iCs/>
          <w:sz w:val="18"/>
          <w:szCs w:val="18"/>
        </w:rPr>
      </w:pPr>
      <w:bookmarkStart w:id="88" w:name="_Toc225859373"/>
      <w:r w:rsidRPr="009F2B60">
        <w:rPr>
          <w:rFonts w:ascii="Lato" w:hAnsi="Lato"/>
          <w:b w:val="0"/>
          <w:bCs w:val="0"/>
          <w:sz w:val="18"/>
          <w:szCs w:val="18"/>
        </w:rPr>
        <w:t xml:space="preserve">Tabela </w:t>
      </w:r>
      <w:r w:rsidRPr="009F2B60">
        <w:rPr>
          <w:rFonts w:ascii="Lato" w:hAnsi="Lato"/>
          <w:b w:val="0"/>
          <w:bCs w:val="0"/>
          <w:sz w:val="18"/>
          <w:szCs w:val="18"/>
        </w:rPr>
        <w:fldChar w:fldCharType="begin"/>
      </w:r>
      <w:r w:rsidRPr="009F2B60">
        <w:rPr>
          <w:rFonts w:ascii="Lato" w:hAnsi="Lato"/>
          <w:b w:val="0"/>
          <w:bCs w:val="0"/>
          <w:sz w:val="18"/>
          <w:szCs w:val="18"/>
        </w:rPr>
        <w:instrText xml:space="preserve"> SEQ Tabela \* ARABIC </w:instrText>
      </w:r>
      <w:r w:rsidRPr="009F2B60">
        <w:rPr>
          <w:rFonts w:ascii="Lato" w:hAnsi="Lato"/>
          <w:b w:val="0"/>
          <w:bCs w:val="0"/>
          <w:sz w:val="18"/>
          <w:szCs w:val="18"/>
        </w:rPr>
        <w:fldChar w:fldCharType="separate"/>
      </w:r>
      <w:r w:rsidR="002A3179">
        <w:rPr>
          <w:rFonts w:ascii="Lato" w:hAnsi="Lato"/>
          <w:b w:val="0"/>
          <w:bCs w:val="0"/>
          <w:noProof/>
          <w:sz w:val="18"/>
          <w:szCs w:val="18"/>
        </w:rPr>
        <w:t>17</w:t>
      </w:r>
      <w:r w:rsidRPr="009F2B60">
        <w:rPr>
          <w:rFonts w:ascii="Lato" w:hAnsi="Lato"/>
          <w:b w:val="0"/>
          <w:bCs w:val="0"/>
          <w:sz w:val="18"/>
          <w:szCs w:val="18"/>
        </w:rPr>
        <w:fldChar w:fldCharType="end"/>
      </w:r>
      <w:r w:rsidRPr="009F2B60">
        <w:rPr>
          <w:rFonts w:ascii="Lato" w:hAnsi="Lato"/>
          <w:b w:val="0"/>
          <w:bCs w:val="0"/>
          <w:sz w:val="18"/>
          <w:szCs w:val="18"/>
        </w:rPr>
        <w:t>. Nadzór nad stanem sanitarnym podmiotów działalności leczniczej wykonujących stacjonarne i</w:t>
      </w:r>
      <w:r w:rsidR="00E31B5B">
        <w:rPr>
          <w:rFonts w:ascii="Lato" w:hAnsi="Lato"/>
          <w:b w:val="0"/>
          <w:bCs w:val="0"/>
          <w:sz w:val="18"/>
          <w:szCs w:val="18"/>
        </w:rPr>
        <w:t> </w:t>
      </w:r>
      <w:r w:rsidRPr="009F2B60">
        <w:rPr>
          <w:rFonts w:ascii="Lato" w:hAnsi="Lato"/>
          <w:b w:val="0"/>
          <w:bCs w:val="0"/>
          <w:sz w:val="18"/>
          <w:szCs w:val="18"/>
        </w:rPr>
        <w:t>ambulatoryjne świadczenia zdrowotne w woj. zachodniopomorskim w 2025 r.</w:t>
      </w:r>
      <w:bookmarkEnd w:id="88"/>
    </w:p>
    <w:tbl>
      <w:tblPr>
        <w:tblW w:w="9629" w:type="dxa"/>
        <w:jc w:val="center"/>
        <w:tblCellMar>
          <w:left w:w="70" w:type="dxa"/>
          <w:right w:w="70" w:type="dxa"/>
        </w:tblCellMar>
        <w:tblLook w:val="0000" w:firstRow="0" w:lastRow="0" w:firstColumn="0" w:lastColumn="0" w:noHBand="0" w:noVBand="0"/>
        <w:tblCaption w:val="Nadzór nad stanem sanitarnym podmiotów działalności leczniczej wykonujących stacjonarne i ambulatoryjne świadczenia zdrowotne w woj. zachodniopomorskim w 2025 r."/>
        <w:tblDescription w:val="Tabela przedstawia wykaz podmiotów działalności leczniczej z uwzględnieniem charakteru prowadzonych świadczeń, ilości przeprowadzonych kontroli oraz ilości kontroli, podczas których stwierdzono nieprawidłowy stan higieniczno-sanitarny w podmiotach działalności leczniczej."/>
      </w:tblPr>
      <w:tblGrid>
        <w:gridCol w:w="1020"/>
        <w:gridCol w:w="2134"/>
        <w:gridCol w:w="1276"/>
        <w:gridCol w:w="1656"/>
        <w:gridCol w:w="992"/>
        <w:gridCol w:w="1559"/>
        <w:gridCol w:w="992"/>
      </w:tblGrid>
      <w:tr w:rsidR="00986DE0" w:rsidRPr="00C75499" w14:paraId="6B710327" w14:textId="77777777" w:rsidTr="00130F95">
        <w:trPr>
          <w:cantSplit/>
          <w:trHeight w:hRule="exact" w:val="284"/>
          <w:jc w:val="center"/>
        </w:trPr>
        <w:tc>
          <w:tcPr>
            <w:tcW w:w="3154" w:type="dxa"/>
            <w:gridSpan w:val="2"/>
            <w:vMerge w:val="restart"/>
            <w:tcBorders>
              <w:top w:val="single" w:sz="8" w:space="0" w:color="000000"/>
              <w:left w:val="single" w:sz="8" w:space="0" w:color="000000"/>
              <w:bottom w:val="single" w:sz="4" w:space="0" w:color="000000"/>
              <w:right w:val="single" w:sz="4" w:space="0" w:color="000000"/>
            </w:tcBorders>
            <w:shd w:val="clear" w:color="auto" w:fill="D9D9D9" w:themeFill="background1" w:themeFillShade="D9"/>
            <w:vAlign w:val="center"/>
          </w:tcPr>
          <w:p w14:paraId="37A58E44" w14:textId="77777777" w:rsidR="00986DE0" w:rsidRPr="00C75499" w:rsidRDefault="00986DE0" w:rsidP="003C7140">
            <w:pPr>
              <w:jc w:val="center"/>
              <w:rPr>
                <w:rFonts w:ascii="Lato" w:hAnsi="Lato" w:cs="Calibri"/>
                <w:bCs/>
                <w:sz w:val="20"/>
                <w:szCs w:val="20"/>
              </w:rPr>
            </w:pPr>
            <w:r w:rsidRPr="00C75499">
              <w:rPr>
                <w:rFonts w:ascii="Lato" w:hAnsi="Lato" w:cs="Calibri"/>
                <w:bCs/>
                <w:sz w:val="20"/>
                <w:szCs w:val="20"/>
              </w:rPr>
              <w:t>Wyszczególnienie</w:t>
            </w:r>
          </w:p>
        </w:tc>
        <w:tc>
          <w:tcPr>
            <w:tcW w:w="6475" w:type="dxa"/>
            <w:gridSpan w:val="5"/>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center"/>
          </w:tcPr>
          <w:p w14:paraId="654F8FAE" w14:textId="77777777" w:rsidR="00986DE0" w:rsidRPr="00C75499" w:rsidRDefault="00986DE0" w:rsidP="003C7140">
            <w:pPr>
              <w:jc w:val="center"/>
              <w:rPr>
                <w:rFonts w:ascii="Lato" w:hAnsi="Lato" w:cs="Calibri"/>
                <w:bCs/>
                <w:sz w:val="20"/>
                <w:szCs w:val="20"/>
              </w:rPr>
            </w:pPr>
            <w:r w:rsidRPr="00C75499">
              <w:rPr>
                <w:rFonts w:ascii="Lato" w:hAnsi="Lato" w:cs="Calibri"/>
                <w:bCs/>
                <w:sz w:val="20"/>
                <w:szCs w:val="20"/>
              </w:rPr>
              <w:t>Liczba obiektów</w:t>
            </w:r>
          </w:p>
          <w:p w14:paraId="38480344" w14:textId="77777777" w:rsidR="00986DE0" w:rsidRPr="00C75499" w:rsidRDefault="00986DE0" w:rsidP="003C7140">
            <w:pPr>
              <w:jc w:val="center"/>
              <w:rPr>
                <w:rFonts w:ascii="Lato" w:hAnsi="Lato" w:cs="Calibri"/>
                <w:bCs/>
                <w:sz w:val="20"/>
                <w:szCs w:val="20"/>
              </w:rPr>
            </w:pPr>
          </w:p>
          <w:p w14:paraId="3DB2279D" w14:textId="77777777" w:rsidR="00986DE0" w:rsidRPr="00C75499" w:rsidRDefault="00986DE0" w:rsidP="003C7140">
            <w:pPr>
              <w:jc w:val="center"/>
              <w:rPr>
                <w:rFonts w:ascii="Lato" w:hAnsi="Lato" w:cs="Calibri"/>
                <w:bCs/>
                <w:sz w:val="20"/>
                <w:szCs w:val="20"/>
              </w:rPr>
            </w:pPr>
          </w:p>
          <w:p w14:paraId="76A678B1" w14:textId="77777777" w:rsidR="00986DE0" w:rsidRPr="00C75499" w:rsidRDefault="00986DE0" w:rsidP="003C7140">
            <w:pPr>
              <w:jc w:val="center"/>
              <w:rPr>
                <w:rFonts w:ascii="Lato" w:hAnsi="Lato" w:cs="Calibri"/>
                <w:bCs/>
                <w:sz w:val="20"/>
                <w:szCs w:val="20"/>
              </w:rPr>
            </w:pPr>
          </w:p>
        </w:tc>
      </w:tr>
      <w:tr w:rsidR="00986DE0" w:rsidRPr="00C75499" w14:paraId="1328C0A9" w14:textId="77777777" w:rsidTr="00130F95">
        <w:trPr>
          <w:cantSplit/>
          <w:trHeight w:hRule="exact" w:val="879"/>
          <w:jc w:val="center"/>
        </w:trPr>
        <w:tc>
          <w:tcPr>
            <w:tcW w:w="3154" w:type="dxa"/>
            <w:gridSpan w:val="2"/>
            <w:vMerge/>
            <w:tcBorders>
              <w:top w:val="single" w:sz="8" w:space="0" w:color="000000"/>
              <w:left w:val="single" w:sz="8" w:space="0" w:color="000000"/>
              <w:bottom w:val="single" w:sz="4" w:space="0" w:color="auto"/>
              <w:right w:val="single" w:sz="8" w:space="0" w:color="000000"/>
            </w:tcBorders>
            <w:shd w:val="clear" w:color="auto" w:fill="D9D9D9" w:themeFill="background1" w:themeFillShade="D9"/>
            <w:vAlign w:val="center"/>
          </w:tcPr>
          <w:p w14:paraId="6992DBE3" w14:textId="77777777" w:rsidR="00986DE0" w:rsidRPr="00C75499" w:rsidRDefault="00986DE0" w:rsidP="003C7140">
            <w:pPr>
              <w:rPr>
                <w:rFonts w:ascii="Lato" w:hAnsi="Lato" w:cs="Calibri"/>
                <w:bCs/>
                <w:sz w:val="20"/>
                <w:szCs w:val="20"/>
              </w:rPr>
            </w:pPr>
          </w:p>
        </w:tc>
        <w:tc>
          <w:tcPr>
            <w:tcW w:w="1276" w:type="dxa"/>
            <w:tcBorders>
              <w:top w:val="nil"/>
              <w:left w:val="single" w:sz="8" w:space="0" w:color="auto"/>
              <w:bottom w:val="single" w:sz="4" w:space="0" w:color="auto"/>
              <w:right w:val="single" w:sz="4" w:space="0" w:color="auto"/>
            </w:tcBorders>
            <w:shd w:val="clear" w:color="auto" w:fill="D9D9D9" w:themeFill="background1" w:themeFillShade="D9"/>
            <w:vAlign w:val="center"/>
          </w:tcPr>
          <w:p w14:paraId="420A82E2" w14:textId="77777777" w:rsidR="00986DE0" w:rsidRPr="00C75499" w:rsidRDefault="00986DE0" w:rsidP="003C7140">
            <w:pPr>
              <w:jc w:val="center"/>
              <w:rPr>
                <w:rFonts w:ascii="Lato" w:hAnsi="Lato" w:cs="Calibri"/>
                <w:bCs/>
                <w:sz w:val="20"/>
                <w:szCs w:val="20"/>
              </w:rPr>
            </w:pPr>
            <w:r w:rsidRPr="00C75499">
              <w:rPr>
                <w:rFonts w:ascii="Lato" w:hAnsi="Lato" w:cs="Calibri"/>
                <w:bCs/>
                <w:sz w:val="20"/>
                <w:szCs w:val="20"/>
              </w:rPr>
              <w:t xml:space="preserve">Ogółem wg </w:t>
            </w:r>
          </w:p>
          <w:p w14:paraId="284BF5C4" w14:textId="77777777" w:rsidR="00986DE0" w:rsidRPr="00C75499" w:rsidRDefault="00986DE0" w:rsidP="003C7140">
            <w:pPr>
              <w:jc w:val="center"/>
              <w:rPr>
                <w:rFonts w:ascii="Lato" w:hAnsi="Lato" w:cs="Calibri"/>
                <w:bCs/>
                <w:sz w:val="20"/>
                <w:szCs w:val="20"/>
              </w:rPr>
            </w:pPr>
            <w:r w:rsidRPr="00C75499">
              <w:rPr>
                <w:rFonts w:ascii="Lato" w:hAnsi="Lato" w:cs="Calibri"/>
                <w:bCs/>
                <w:sz w:val="20"/>
                <w:szCs w:val="20"/>
              </w:rPr>
              <w:t xml:space="preserve">ewidencji </w:t>
            </w:r>
          </w:p>
          <w:p w14:paraId="052015A2" w14:textId="77777777" w:rsidR="00986DE0" w:rsidRPr="00C75499" w:rsidRDefault="00986DE0" w:rsidP="003C7140">
            <w:pPr>
              <w:jc w:val="center"/>
              <w:rPr>
                <w:rFonts w:ascii="Lato" w:hAnsi="Lato" w:cs="Calibri"/>
                <w:bCs/>
                <w:sz w:val="18"/>
                <w:szCs w:val="18"/>
              </w:rPr>
            </w:pPr>
            <w:r w:rsidRPr="00C75499">
              <w:rPr>
                <w:rFonts w:ascii="Lato" w:hAnsi="Lato" w:cs="Calibri"/>
                <w:bCs/>
                <w:sz w:val="20"/>
                <w:szCs w:val="20"/>
              </w:rPr>
              <w:t>na 31.XII</w:t>
            </w:r>
          </w:p>
        </w:tc>
        <w:tc>
          <w:tcPr>
            <w:tcW w:w="1656" w:type="dxa"/>
            <w:tcBorders>
              <w:top w:val="nil"/>
              <w:left w:val="nil"/>
              <w:bottom w:val="single" w:sz="4" w:space="0" w:color="auto"/>
              <w:right w:val="single" w:sz="4" w:space="0" w:color="auto"/>
            </w:tcBorders>
            <w:shd w:val="clear" w:color="auto" w:fill="D9D9D9" w:themeFill="background1" w:themeFillShade="D9"/>
            <w:vAlign w:val="center"/>
          </w:tcPr>
          <w:p w14:paraId="3AEA8885" w14:textId="77777777" w:rsidR="00986DE0" w:rsidRPr="00C75499" w:rsidRDefault="00986DE0" w:rsidP="003C7140">
            <w:pPr>
              <w:jc w:val="center"/>
              <w:rPr>
                <w:rFonts w:ascii="Lato" w:hAnsi="Lato" w:cs="Calibri"/>
                <w:bCs/>
                <w:sz w:val="20"/>
                <w:szCs w:val="20"/>
              </w:rPr>
            </w:pPr>
            <w:r w:rsidRPr="00C75499">
              <w:rPr>
                <w:rFonts w:ascii="Lato" w:hAnsi="Lato" w:cs="Calibri"/>
                <w:bCs/>
                <w:sz w:val="20"/>
                <w:szCs w:val="20"/>
              </w:rPr>
              <w:t>skontrolowanych</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528437A6" w14:textId="77777777" w:rsidR="00986DE0" w:rsidRPr="00C75499" w:rsidRDefault="00986DE0" w:rsidP="003C7140">
            <w:pPr>
              <w:jc w:val="center"/>
              <w:rPr>
                <w:rFonts w:ascii="Lato" w:hAnsi="Lato" w:cs="Calibri"/>
                <w:bCs/>
                <w:sz w:val="20"/>
                <w:szCs w:val="20"/>
              </w:rPr>
            </w:pPr>
            <w:r w:rsidRPr="00C75499">
              <w:rPr>
                <w:rFonts w:ascii="Lato" w:hAnsi="Lato" w:cs="Calibri"/>
                <w:bCs/>
                <w:sz w:val="20"/>
                <w:szCs w:val="20"/>
              </w:rPr>
              <w:t>%</w:t>
            </w:r>
          </w:p>
        </w:tc>
        <w:tc>
          <w:tcPr>
            <w:tcW w:w="1559" w:type="dxa"/>
            <w:tcBorders>
              <w:top w:val="nil"/>
              <w:left w:val="nil"/>
              <w:bottom w:val="single" w:sz="4" w:space="0" w:color="auto"/>
              <w:right w:val="single" w:sz="4" w:space="0" w:color="auto"/>
            </w:tcBorders>
            <w:shd w:val="clear" w:color="auto" w:fill="D9D9D9" w:themeFill="background1" w:themeFillShade="D9"/>
            <w:vAlign w:val="center"/>
          </w:tcPr>
          <w:p w14:paraId="3557B345" w14:textId="77777777" w:rsidR="00986DE0" w:rsidRPr="00C75499" w:rsidRDefault="00986DE0" w:rsidP="003C7140">
            <w:pPr>
              <w:jc w:val="center"/>
              <w:rPr>
                <w:rFonts w:ascii="Lato" w:hAnsi="Lato" w:cs="Calibri"/>
                <w:bCs/>
                <w:sz w:val="16"/>
                <w:szCs w:val="16"/>
              </w:rPr>
            </w:pPr>
            <w:r w:rsidRPr="00C75499">
              <w:rPr>
                <w:rFonts w:ascii="Lato" w:hAnsi="Lato" w:cs="Calibri"/>
                <w:bCs/>
                <w:sz w:val="16"/>
                <w:szCs w:val="16"/>
              </w:rPr>
              <w:t xml:space="preserve">ze stwierdzonym nieprawidłowym stanem </w:t>
            </w:r>
          </w:p>
        </w:tc>
        <w:tc>
          <w:tcPr>
            <w:tcW w:w="992" w:type="dxa"/>
            <w:tcBorders>
              <w:top w:val="nil"/>
              <w:left w:val="nil"/>
              <w:bottom w:val="single" w:sz="4" w:space="0" w:color="auto"/>
              <w:right w:val="single" w:sz="8" w:space="0" w:color="auto"/>
            </w:tcBorders>
            <w:shd w:val="clear" w:color="auto" w:fill="D9D9D9" w:themeFill="background1" w:themeFillShade="D9"/>
            <w:vAlign w:val="center"/>
          </w:tcPr>
          <w:p w14:paraId="0085415A" w14:textId="77777777" w:rsidR="00986DE0" w:rsidRPr="00C75499" w:rsidRDefault="00986DE0" w:rsidP="003C7140">
            <w:pPr>
              <w:jc w:val="center"/>
              <w:rPr>
                <w:rFonts w:ascii="Lato" w:hAnsi="Lato" w:cs="Calibri"/>
                <w:bCs/>
                <w:sz w:val="20"/>
                <w:szCs w:val="20"/>
              </w:rPr>
            </w:pPr>
            <w:r w:rsidRPr="00C75499">
              <w:rPr>
                <w:rFonts w:ascii="Lato" w:hAnsi="Lato" w:cs="Calibri"/>
                <w:bCs/>
                <w:sz w:val="20"/>
                <w:szCs w:val="20"/>
              </w:rPr>
              <w:t>%</w:t>
            </w:r>
          </w:p>
        </w:tc>
      </w:tr>
      <w:tr w:rsidR="00986DE0" w:rsidRPr="00C75499" w14:paraId="28D39872" w14:textId="77777777" w:rsidTr="003C7140">
        <w:trPr>
          <w:cantSplit/>
          <w:trHeight w:val="342"/>
          <w:jc w:val="center"/>
        </w:trPr>
        <w:tc>
          <w:tcPr>
            <w:tcW w:w="1020" w:type="dxa"/>
            <w:vMerge w:val="restart"/>
            <w:tcBorders>
              <w:top w:val="single" w:sz="4" w:space="0" w:color="auto"/>
              <w:left w:val="single" w:sz="4" w:space="0" w:color="auto"/>
              <w:bottom w:val="single" w:sz="4" w:space="0" w:color="auto"/>
              <w:right w:val="single" w:sz="4" w:space="0" w:color="auto"/>
            </w:tcBorders>
            <w:vAlign w:val="center"/>
          </w:tcPr>
          <w:p w14:paraId="1D73D842" w14:textId="77777777" w:rsidR="00986DE0" w:rsidRPr="00C75499" w:rsidRDefault="00986DE0" w:rsidP="003C7140">
            <w:pPr>
              <w:rPr>
                <w:rFonts w:ascii="Lato" w:hAnsi="Lato" w:cs="Calibri"/>
                <w:bCs/>
                <w:sz w:val="20"/>
                <w:szCs w:val="20"/>
              </w:rPr>
            </w:pPr>
            <w:r w:rsidRPr="00C75499">
              <w:rPr>
                <w:rFonts w:ascii="Lato" w:hAnsi="Lato" w:cs="Calibri"/>
                <w:bCs/>
                <w:sz w:val="20"/>
                <w:szCs w:val="20"/>
              </w:rPr>
              <w:t>Szpitale</w:t>
            </w:r>
          </w:p>
        </w:tc>
        <w:tc>
          <w:tcPr>
            <w:tcW w:w="2134" w:type="dxa"/>
            <w:tcBorders>
              <w:top w:val="single" w:sz="4" w:space="0" w:color="auto"/>
              <w:left w:val="single" w:sz="4" w:space="0" w:color="auto"/>
              <w:bottom w:val="single" w:sz="4" w:space="0" w:color="auto"/>
              <w:right w:val="single" w:sz="4" w:space="0" w:color="auto"/>
            </w:tcBorders>
            <w:vAlign w:val="center"/>
          </w:tcPr>
          <w:p w14:paraId="003C1830" w14:textId="77777777" w:rsidR="00986DE0" w:rsidRPr="00C75499" w:rsidRDefault="00986DE0" w:rsidP="003C7140">
            <w:pPr>
              <w:rPr>
                <w:rFonts w:ascii="Lato" w:hAnsi="Lato" w:cs="Calibri"/>
                <w:bCs/>
                <w:sz w:val="20"/>
                <w:szCs w:val="20"/>
              </w:rPr>
            </w:pPr>
            <w:r w:rsidRPr="00C75499">
              <w:rPr>
                <w:rFonts w:ascii="Lato" w:hAnsi="Lato" w:cs="Calibri"/>
                <w:bCs/>
                <w:sz w:val="20"/>
                <w:szCs w:val="20"/>
              </w:rPr>
              <w:t>ogółem</w:t>
            </w:r>
          </w:p>
        </w:tc>
        <w:tc>
          <w:tcPr>
            <w:tcW w:w="1276" w:type="dxa"/>
            <w:tcBorders>
              <w:top w:val="single" w:sz="4" w:space="0" w:color="auto"/>
              <w:left w:val="single" w:sz="4" w:space="0" w:color="auto"/>
              <w:bottom w:val="single" w:sz="4" w:space="0" w:color="auto"/>
              <w:right w:val="single" w:sz="4" w:space="0" w:color="auto"/>
            </w:tcBorders>
            <w:noWrap/>
            <w:vAlign w:val="center"/>
          </w:tcPr>
          <w:p w14:paraId="1C7887C0" w14:textId="77777777" w:rsidR="00986DE0" w:rsidRPr="00C75499" w:rsidRDefault="00986DE0" w:rsidP="003C7140">
            <w:pPr>
              <w:jc w:val="center"/>
              <w:rPr>
                <w:rFonts w:ascii="Lato" w:hAnsi="Lato" w:cstheme="minorHAnsi"/>
                <w:bCs/>
              </w:rPr>
            </w:pPr>
            <w:r w:rsidRPr="00C75499">
              <w:rPr>
                <w:rFonts w:ascii="Lato" w:hAnsi="Lato" w:cstheme="minorHAnsi"/>
                <w:bCs/>
              </w:rPr>
              <w:t>49</w:t>
            </w:r>
          </w:p>
        </w:tc>
        <w:tc>
          <w:tcPr>
            <w:tcW w:w="1656" w:type="dxa"/>
            <w:tcBorders>
              <w:top w:val="single" w:sz="4" w:space="0" w:color="auto"/>
              <w:left w:val="single" w:sz="4" w:space="0" w:color="auto"/>
              <w:bottom w:val="single" w:sz="4" w:space="0" w:color="auto"/>
              <w:right w:val="single" w:sz="4" w:space="0" w:color="auto"/>
            </w:tcBorders>
            <w:noWrap/>
            <w:vAlign w:val="center"/>
          </w:tcPr>
          <w:p w14:paraId="56FC8337" w14:textId="77777777" w:rsidR="00986DE0" w:rsidRPr="00C75499" w:rsidRDefault="00986DE0" w:rsidP="003C7140">
            <w:pPr>
              <w:jc w:val="center"/>
              <w:rPr>
                <w:rFonts w:ascii="Lato" w:hAnsi="Lato" w:cstheme="minorHAnsi"/>
                <w:bCs/>
              </w:rPr>
            </w:pPr>
            <w:r w:rsidRPr="00C75499">
              <w:rPr>
                <w:rFonts w:ascii="Lato" w:hAnsi="Lato" w:cstheme="minorHAnsi"/>
                <w:bCs/>
              </w:rPr>
              <w:t>48</w:t>
            </w:r>
          </w:p>
        </w:tc>
        <w:tc>
          <w:tcPr>
            <w:tcW w:w="992" w:type="dxa"/>
            <w:tcBorders>
              <w:top w:val="single" w:sz="4" w:space="0" w:color="auto"/>
              <w:left w:val="single" w:sz="4" w:space="0" w:color="auto"/>
              <w:bottom w:val="single" w:sz="4" w:space="0" w:color="auto"/>
              <w:right w:val="single" w:sz="4" w:space="0" w:color="auto"/>
            </w:tcBorders>
            <w:noWrap/>
            <w:vAlign w:val="center"/>
          </w:tcPr>
          <w:p w14:paraId="3042B6E0" w14:textId="77777777" w:rsidR="00986DE0" w:rsidRPr="00C75499" w:rsidRDefault="00986DE0" w:rsidP="003C7140">
            <w:pPr>
              <w:jc w:val="center"/>
              <w:rPr>
                <w:rFonts w:ascii="Lato" w:hAnsi="Lato" w:cstheme="minorHAnsi"/>
                <w:bCs/>
              </w:rPr>
            </w:pPr>
            <w:r w:rsidRPr="00C75499">
              <w:rPr>
                <w:rFonts w:ascii="Lato" w:hAnsi="Lato" w:cstheme="minorHAnsi"/>
                <w:bCs/>
              </w:rPr>
              <w:t>9</w:t>
            </w:r>
            <w:r>
              <w:rPr>
                <w:rFonts w:ascii="Lato" w:hAnsi="Lato" w:cstheme="minorHAnsi"/>
                <w:bCs/>
              </w:rPr>
              <w:t>8</w:t>
            </w:r>
          </w:p>
        </w:tc>
        <w:tc>
          <w:tcPr>
            <w:tcW w:w="1559" w:type="dxa"/>
            <w:tcBorders>
              <w:top w:val="single" w:sz="4" w:space="0" w:color="auto"/>
              <w:left w:val="single" w:sz="4" w:space="0" w:color="auto"/>
              <w:bottom w:val="single" w:sz="4" w:space="0" w:color="auto"/>
              <w:right w:val="single" w:sz="4" w:space="0" w:color="auto"/>
            </w:tcBorders>
            <w:noWrap/>
            <w:vAlign w:val="center"/>
          </w:tcPr>
          <w:p w14:paraId="0A6E8219" w14:textId="77777777" w:rsidR="00986DE0" w:rsidRPr="00C75499" w:rsidRDefault="00986DE0" w:rsidP="003C7140">
            <w:pPr>
              <w:jc w:val="center"/>
              <w:rPr>
                <w:rFonts w:ascii="Lato" w:hAnsi="Lato" w:cstheme="minorHAnsi"/>
                <w:bCs/>
              </w:rPr>
            </w:pPr>
            <w:r w:rsidRPr="00C75499">
              <w:rPr>
                <w:rFonts w:ascii="Lato" w:hAnsi="Lato" w:cstheme="minorHAnsi"/>
                <w:bCs/>
              </w:rPr>
              <w:t>26</w:t>
            </w:r>
          </w:p>
        </w:tc>
        <w:tc>
          <w:tcPr>
            <w:tcW w:w="992" w:type="dxa"/>
            <w:tcBorders>
              <w:top w:val="single" w:sz="4" w:space="0" w:color="auto"/>
              <w:left w:val="single" w:sz="4" w:space="0" w:color="auto"/>
              <w:bottom w:val="single" w:sz="4" w:space="0" w:color="auto"/>
              <w:right w:val="single" w:sz="4" w:space="0" w:color="auto"/>
            </w:tcBorders>
            <w:noWrap/>
            <w:vAlign w:val="bottom"/>
          </w:tcPr>
          <w:p w14:paraId="4C81C0F0" w14:textId="77777777" w:rsidR="00986DE0" w:rsidRPr="00C75499" w:rsidRDefault="00986DE0" w:rsidP="003C7140">
            <w:pPr>
              <w:jc w:val="center"/>
              <w:rPr>
                <w:rFonts w:ascii="Lato" w:hAnsi="Lato" w:cstheme="minorHAnsi"/>
                <w:bCs/>
              </w:rPr>
            </w:pPr>
            <w:r w:rsidRPr="00C75499">
              <w:rPr>
                <w:rFonts w:ascii="Lato" w:hAnsi="Lato" w:cstheme="minorHAnsi"/>
                <w:bCs/>
              </w:rPr>
              <w:t>54</w:t>
            </w:r>
          </w:p>
        </w:tc>
      </w:tr>
      <w:tr w:rsidR="00986DE0" w:rsidRPr="00C35EAE" w14:paraId="3C1929B4" w14:textId="77777777" w:rsidTr="003C7140">
        <w:trPr>
          <w:cantSplit/>
          <w:trHeight w:val="342"/>
          <w:jc w:val="center"/>
        </w:trPr>
        <w:tc>
          <w:tcPr>
            <w:tcW w:w="1020" w:type="dxa"/>
            <w:vMerge/>
            <w:tcBorders>
              <w:top w:val="single" w:sz="4" w:space="0" w:color="auto"/>
              <w:left w:val="single" w:sz="4" w:space="0" w:color="auto"/>
              <w:bottom w:val="single" w:sz="4" w:space="0" w:color="auto"/>
              <w:right w:val="single" w:sz="4" w:space="0" w:color="auto"/>
            </w:tcBorders>
            <w:vAlign w:val="center"/>
          </w:tcPr>
          <w:p w14:paraId="588C1E69" w14:textId="77777777" w:rsidR="00986DE0" w:rsidRPr="00F337EF" w:rsidRDefault="00986DE0" w:rsidP="003C7140">
            <w:pPr>
              <w:rPr>
                <w:rFonts w:ascii="Lato" w:hAnsi="Lato" w:cs="Calibri"/>
                <w:b/>
                <w:color w:val="7030A0"/>
                <w:sz w:val="20"/>
                <w:szCs w:val="20"/>
              </w:rPr>
            </w:pPr>
          </w:p>
        </w:tc>
        <w:tc>
          <w:tcPr>
            <w:tcW w:w="2134" w:type="dxa"/>
            <w:tcBorders>
              <w:top w:val="single" w:sz="4" w:space="0" w:color="auto"/>
              <w:left w:val="single" w:sz="4" w:space="0" w:color="auto"/>
              <w:bottom w:val="single" w:sz="4" w:space="0" w:color="auto"/>
              <w:right w:val="single" w:sz="4" w:space="0" w:color="auto"/>
            </w:tcBorders>
            <w:vAlign w:val="center"/>
          </w:tcPr>
          <w:p w14:paraId="1277898C" w14:textId="77777777" w:rsidR="00986DE0" w:rsidRPr="00C75499" w:rsidRDefault="00986DE0" w:rsidP="003C7140">
            <w:pPr>
              <w:rPr>
                <w:rFonts w:ascii="Lato" w:hAnsi="Lato" w:cs="Calibri"/>
                <w:bCs/>
                <w:sz w:val="20"/>
                <w:szCs w:val="20"/>
              </w:rPr>
            </w:pPr>
            <w:r w:rsidRPr="00C75499">
              <w:rPr>
                <w:rFonts w:ascii="Lato" w:hAnsi="Lato" w:cs="Calibri"/>
                <w:bCs/>
                <w:sz w:val="20"/>
                <w:szCs w:val="20"/>
              </w:rPr>
              <w:t>w tym uzdrowiskowe</w:t>
            </w:r>
          </w:p>
        </w:tc>
        <w:tc>
          <w:tcPr>
            <w:tcW w:w="1276" w:type="dxa"/>
            <w:tcBorders>
              <w:top w:val="single" w:sz="4" w:space="0" w:color="auto"/>
              <w:left w:val="single" w:sz="4" w:space="0" w:color="auto"/>
              <w:bottom w:val="single" w:sz="4" w:space="0" w:color="auto"/>
              <w:right w:val="single" w:sz="4" w:space="0" w:color="auto"/>
            </w:tcBorders>
            <w:noWrap/>
            <w:vAlign w:val="center"/>
          </w:tcPr>
          <w:p w14:paraId="0EE48CD0" w14:textId="77777777" w:rsidR="00986DE0" w:rsidRPr="00C75499" w:rsidRDefault="00986DE0" w:rsidP="003C7140">
            <w:pPr>
              <w:jc w:val="center"/>
              <w:rPr>
                <w:rFonts w:ascii="Lato" w:hAnsi="Lato" w:cstheme="minorHAnsi"/>
                <w:bCs/>
              </w:rPr>
            </w:pPr>
            <w:r w:rsidRPr="00C75499">
              <w:rPr>
                <w:rFonts w:ascii="Lato" w:hAnsi="Lato" w:cstheme="minorHAnsi"/>
                <w:bCs/>
              </w:rPr>
              <w:t>6</w:t>
            </w:r>
          </w:p>
        </w:tc>
        <w:tc>
          <w:tcPr>
            <w:tcW w:w="1656" w:type="dxa"/>
            <w:tcBorders>
              <w:top w:val="single" w:sz="4" w:space="0" w:color="auto"/>
              <w:left w:val="single" w:sz="4" w:space="0" w:color="auto"/>
              <w:bottom w:val="single" w:sz="4" w:space="0" w:color="auto"/>
              <w:right w:val="single" w:sz="4" w:space="0" w:color="auto"/>
            </w:tcBorders>
            <w:noWrap/>
            <w:vAlign w:val="center"/>
          </w:tcPr>
          <w:p w14:paraId="70FACFF1" w14:textId="77777777" w:rsidR="00986DE0" w:rsidRPr="00C75499" w:rsidRDefault="00986DE0" w:rsidP="003C7140">
            <w:pPr>
              <w:jc w:val="center"/>
              <w:rPr>
                <w:rFonts w:ascii="Lato" w:hAnsi="Lato" w:cstheme="minorHAnsi"/>
                <w:bCs/>
              </w:rPr>
            </w:pPr>
            <w:r w:rsidRPr="00C75499">
              <w:rPr>
                <w:rFonts w:ascii="Lato" w:hAnsi="Lato" w:cstheme="minorHAnsi"/>
                <w:bCs/>
              </w:rPr>
              <w:t>6</w:t>
            </w:r>
          </w:p>
        </w:tc>
        <w:tc>
          <w:tcPr>
            <w:tcW w:w="992" w:type="dxa"/>
            <w:tcBorders>
              <w:top w:val="single" w:sz="4" w:space="0" w:color="auto"/>
              <w:left w:val="single" w:sz="4" w:space="0" w:color="auto"/>
              <w:bottom w:val="single" w:sz="4" w:space="0" w:color="auto"/>
              <w:right w:val="single" w:sz="4" w:space="0" w:color="auto"/>
            </w:tcBorders>
            <w:noWrap/>
            <w:vAlign w:val="center"/>
          </w:tcPr>
          <w:p w14:paraId="61083C39" w14:textId="77777777" w:rsidR="00986DE0" w:rsidRPr="00C75499" w:rsidRDefault="00986DE0" w:rsidP="003C7140">
            <w:pPr>
              <w:jc w:val="center"/>
              <w:rPr>
                <w:rFonts w:ascii="Lato" w:hAnsi="Lato" w:cstheme="minorHAnsi"/>
                <w:bCs/>
              </w:rPr>
            </w:pPr>
            <w:r w:rsidRPr="00C75499">
              <w:rPr>
                <w:rFonts w:ascii="Lato" w:hAnsi="Lato" w:cstheme="minorHAnsi"/>
                <w:bCs/>
              </w:rPr>
              <w:t>100</w:t>
            </w:r>
          </w:p>
        </w:tc>
        <w:tc>
          <w:tcPr>
            <w:tcW w:w="1559" w:type="dxa"/>
            <w:tcBorders>
              <w:top w:val="single" w:sz="4" w:space="0" w:color="auto"/>
              <w:left w:val="single" w:sz="4" w:space="0" w:color="auto"/>
              <w:bottom w:val="single" w:sz="4" w:space="0" w:color="auto"/>
              <w:right w:val="single" w:sz="4" w:space="0" w:color="auto"/>
            </w:tcBorders>
            <w:noWrap/>
            <w:vAlign w:val="center"/>
          </w:tcPr>
          <w:p w14:paraId="13FB314C" w14:textId="77777777" w:rsidR="00986DE0" w:rsidRPr="00C75499" w:rsidRDefault="00986DE0" w:rsidP="003C7140">
            <w:pPr>
              <w:jc w:val="center"/>
              <w:rPr>
                <w:rFonts w:ascii="Lato" w:hAnsi="Lato" w:cstheme="minorHAnsi"/>
                <w:bCs/>
              </w:rPr>
            </w:pPr>
            <w:r w:rsidRPr="00C75499">
              <w:rPr>
                <w:rFonts w:ascii="Lato" w:hAnsi="Lato" w:cstheme="minorHAnsi"/>
                <w:bCs/>
              </w:rPr>
              <w:t>0</w:t>
            </w:r>
          </w:p>
        </w:tc>
        <w:tc>
          <w:tcPr>
            <w:tcW w:w="992" w:type="dxa"/>
            <w:tcBorders>
              <w:top w:val="single" w:sz="4" w:space="0" w:color="auto"/>
              <w:left w:val="single" w:sz="4" w:space="0" w:color="auto"/>
              <w:bottom w:val="single" w:sz="4" w:space="0" w:color="auto"/>
              <w:right w:val="single" w:sz="4" w:space="0" w:color="auto"/>
            </w:tcBorders>
            <w:noWrap/>
            <w:vAlign w:val="bottom"/>
          </w:tcPr>
          <w:p w14:paraId="269EFB3D" w14:textId="77777777" w:rsidR="00986DE0" w:rsidRPr="00C75499" w:rsidRDefault="00986DE0" w:rsidP="003C7140">
            <w:pPr>
              <w:jc w:val="center"/>
              <w:rPr>
                <w:rFonts w:ascii="Lato" w:hAnsi="Lato" w:cstheme="minorHAnsi"/>
                <w:bCs/>
              </w:rPr>
            </w:pPr>
            <w:r w:rsidRPr="00C75499">
              <w:rPr>
                <w:rFonts w:ascii="Lato" w:hAnsi="Lato" w:cstheme="minorHAnsi"/>
                <w:bCs/>
              </w:rPr>
              <w:t>0</w:t>
            </w:r>
          </w:p>
        </w:tc>
      </w:tr>
      <w:tr w:rsidR="00986DE0" w:rsidRPr="00C35EAE" w14:paraId="6CE09251" w14:textId="77777777" w:rsidTr="003C7140">
        <w:trPr>
          <w:cantSplit/>
          <w:trHeight w:val="342"/>
          <w:jc w:val="center"/>
        </w:trPr>
        <w:tc>
          <w:tcPr>
            <w:tcW w:w="1020" w:type="dxa"/>
            <w:vMerge/>
            <w:tcBorders>
              <w:top w:val="single" w:sz="4" w:space="0" w:color="auto"/>
              <w:left w:val="single" w:sz="4" w:space="0" w:color="auto"/>
              <w:bottom w:val="single" w:sz="4" w:space="0" w:color="auto"/>
              <w:right w:val="single" w:sz="4" w:space="0" w:color="auto"/>
            </w:tcBorders>
            <w:vAlign w:val="center"/>
          </w:tcPr>
          <w:p w14:paraId="2C61B05D" w14:textId="77777777" w:rsidR="00986DE0" w:rsidRPr="00F337EF" w:rsidRDefault="00986DE0" w:rsidP="003C7140">
            <w:pPr>
              <w:rPr>
                <w:rFonts w:ascii="Lato" w:hAnsi="Lato" w:cs="Calibri"/>
                <w:b/>
                <w:color w:val="7030A0"/>
                <w:sz w:val="20"/>
                <w:szCs w:val="20"/>
              </w:rPr>
            </w:pPr>
          </w:p>
        </w:tc>
        <w:tc>
          <w:tcPr>
            <w:tcW w:w="2134" w:type="dxa"/>
            <w:tcBorders>
              <w:top w:val="single" w:sz="4" w:space="0" w:color="auto"/>
              <w:left w:val="single" w:sz="4" w:space="0" w:color="auto"/>
              <w:bottom w:val="single" w:sz="4" w:space="0" w:color="auto"/>
              <w:right w:val="single" w:sz="4" w:space="0" w:color="auto"/>
            </w:tcBorders>
            <w:vAlign w:val="center"/>
          </w:tcPr>
          <w:p w14:paraId="3AB7AEAF" w14:textId="77777777" w:rsidR="00986DE0" w:rsidRPr="00C75499" w:rsidRDefault="00986DE0" w:rsidP="003C7140">
            <w:pPr>
              <w:rPr>
                <w:rFonts w:ascii="Lato" w:hAnsi="Lato" w:cs="Calibri"/>
                <w:bCs/>
                <w:sz w:val="20"/>
                <w:szCs w:val="20"/>
              </w:rPr>
            </w:pPr>
            <w:r w:rsidRPr="00C75499">
              <w:rPr>
                <w:rFonts w:ascii="Lato" w:hAnsi="Lato" w:cs="Calibri"/>
                <w:bCs/>
                <w:sz w:val="20"/>
                <w:szCs w:val="20"/>
              </w:rPr>
              <w:t>w tym jednodniowe</w:t>
            </w:r>
          </w:p>
        </w:tc>
        <w:tc>
          <w:tcPr>
            <w:tcW w:w="1276" w:type="dxa"/>
            <w:tcBorders>
              <w:top w:val="single" w:sz="4" w:space="0" w:color="auto"/>
              <w:left w:val="single" w:sz="4" w:space="0" w:color="auto"/>
              <w:bottom w:val="single" w:sz="4" w:space="0" w:color="auto"/>
              <w:right w:val="single" w:sz="4" w:space="0" w:color="auto"/>
            </w:tcBorders>
            <w:noWrap/>
            <w:vAlign w:val="center"/>
          </w:tcPr>
          <w:p w14:paraId="33B553AE" w14:textId="77777777" w:rsidR="00986DE0" w:rsidRPr="00C75499" w:rsidRDefault="00986DE0" w:rsidP="003C7140">
            <w:pPr>
              <w:jc w:val="center"/>
              <w:rPr>
                <w:rFonts w:ascii="Lato" w:hAnsi="Lato" w:cstheme="minorHAnsi"/>
                <w:bCs/>
              </w:rPr>
            </w:pPr>
            <w:r w:rsidRPr="00C75499">
              <w:rPr>
                <w:rFonts w:ascii="Lato" w:hAnsi="Lato" w:cstheme="minorHAnsi"/>
                <w:bCs/>
              </w:rPr>
              <w:t>5</w:t>
            </w:r>
          </w:p>
        </w:tc>
        <w:tc>
          <w:tcPr>
            <w:tcW w:w="1656" w:type="dxa"/>
            <w:tcBorders>
              <w:top w:val="single" w:sz="4" w:space="0" w:color="auto"/>
              <w:left w:val="single" w:sz="4" w:space="0" w:color="auto"/>
              <w:bottom w:val="single" w:sz="4" w:space="0" w:color="auto"/>
              <w:right w:val="single" w:sz="4" w:space="0" w:color="auto"/>
            </w:tcBorders>
            <w:noWrap/>
            <w:vAlign w:val="center"/>
          </w:tcPr>
          <w:p w14:paraId="4E580776" w14:textId="77777777" w:rsidR="00986DE0" w:rsidRPr="00C75499" w:rsidRDefault="00986DE0" w:rsidP="003C7140">
            <w:pPr>
              <w:jc w:val="center"/>
              <w:rPr>
                <w:rFonts w:ascii="Lato" w:hAnsi="Lato" w:cstheme="minorHAnsi"/>
                <w:bCs/>
              </w:rPr>
            </w:pPr>
            <w:r w:rsidRPr="00C75499">
              <w:rPr>
                <w:rFonts w:ascii="Lato" w:hAnsi="Lato" w:cstheme="minorHAnsi"/>
                <w:bCs/>
              </w:rPr>
              <w:t>4</w:t>
            </w:r>
          </w:p>
        </w:tc>
        <w:tc>
          <w:tcPr>
            <w:tcW w:w="992" w:type="dxa"/>
            <w:tcBorders>
              <w:top w:val="single" w:sz="4" w:space="0" w:color="auto"/>
              <w:left w:val="single" w:sz="4" w:space="0" w:color="auto"/>
              <w:bottom w:val="single" w:sz="4" w:space="0" w:color="auto"/>
              <w:right w:val="single" w:sz="4" w:space="0" w:color="auto"/>
            </w:tcBorders>
            <w:noWrap/>
            <w:vAlign w:val="center"/>
          </w:tcPr>
          <w:p w14:paraId="22231E20" w14:textId="77777777" w:rsidR="00986DE0" w:rsidRPr="00C75499" w:rsidRDefault="00986DE0" w:rsidP="003C7140">
            <w:pPr>
              <w:jc w:val="center"/>
              <w:rPr>
                <w:rFonts w:ascii="Lato" w:hAnsi="Lato" w:cstheme="minorHAnsi"/>
                <w:bCs/>
              </w:rPr>
            </w:pPr>
            <w:r w:rsidRPr="00C75499">
              <w:rPr>
                <w:rFonts w:ascii="Lato" w:hAnsi="Lato" w:cstheme="minorHAnsi"/>
                <w:bCs/>
              </w:rPr>
              <w:t>80</w:t>
            </w:r>
          </w:p>
        </w:tc>
        <w:tc>
          <w:tcPr>
            <w:tcW w:w="1559" w:type="dxa"/>
            <w:tcBorders>
              <w:top w:val="single" w:sz="4" w:space="0" w:color="auto"/>
              <w:left w:val="single" w:sz="4" w:space="0" w:color="auto"/>
              <w:bottom w:val="single" w:sz="4" w:space="0" w:color="auto"/>
              <w:right w:val="single" w:sz="4" w:space="0" w:color="auto"/>
            </w:tcBorders>
            <w:noWrap/>
            <w:vAlign w:val="center"/>
          </w:tcPr>
          <w:p w14:paraId="38476673" w14:textId="77777777" w:rsidR="00986DE0" w:rsidRPr="00C75499" w:rsidRDefault="00986DE0" w:rsidP="003C7140">
            <w:pPr>
              <w:jc w:val="center"/>
              <w:rPr>
                <w:rFonts w:ascii="Lato" w:hAnsi="Lato" w:cstheme="minorHAnsi"/>
                <w:bCs/>
              </w:rPr>
            </w:pPr>
            <w:r w:rsidRPr="00C75499">
              <w:rPr>
                <w:rFonts w:ascii="Lato" w:hAnsi="Lato" w:cstheme="minorHAnsi"/>
                <w:bCs/>
              </w:rPr>
              <w:t>2</w:t>
            </w:r>
          </w:p>
        </w:tc>
        <w:tc>
          <w:tcPr>
            <w:tcW w:w="992" w:type="dxa"/>
            <w:tcBorders>
              <w:top w:val="single" w:sz="4" w:space="0" w:color="auto"/>
              <w:left w:val="single" w:sz="4" w:space="0" w:color="auto"/>
              <w:bottom w:val="single" w:sz="4" w:space="0" w:color="auto"/>
              <w:right w:val="single" w:sz="4" w:space="0" w:color="auto"/>
            </w:tcBorders>
            <w:noWrap/>
            <w:vAlign w:val="bottom"/>
          </w:tcPr>
          <w:p w14:paraId="263225CB" w14:textId="77777777" w:rsidR="00986DE0" w:rsidRPr="00C75499" w:rsidRDefault="00986DE0" w:rsidP="003C7140">
            <w:pPr>
              <w:jc w:val="center"/>
              <w:rPr>
                <w:rFonts w:ascii="Lato" w:hAnsi="Lato" w:cstheme="minorHAnsi"/>
                <w:bCs/>
              </w:rPr>
            </w:pPr>
            <w:r w:rsidRPr="00C75499">
              <w:rPr>
                <w:rFonts w:ascii="Lato" w:hAnsi="Lato" w:cstheme="minorHAnsi"/>
                <w:bCs/>
              </w:rPr>
              <w:t>50</w:t>
            </w:r>
          </w:p>
        </w:tc>
      </w:tr>
      <w:tr w:rsidR="00986DE0" w:rsidRPr="00C35EAE" w14:paraId="1F84C00F" w14:textId="77777777" w:rsidTr="003C7140">
        <w:trPr>
          <w:trHeight w:val="342"/>
          <w:jc w:val="center"/>
        </w:trPr>
        <w:tc>
          <w:tcPr>
            <w:tcW w:w="3154" w:type="dxa"/>
            <w:gridSpan w:val="2"/>
            <w:tcBorders>
              <w:top w:val="single" w:sz="4" w:space="0" w:color="auto"/>
              <w:left w:val="single" w:sz="4" w:space="0" w:color="auto"/>
              <w:bottom w:val="single" w:sz="4" w:space="0" w:color="auto"/>
              <w:right w:val="single" w:sz="4" w:space="0" w:color="auto"/>
            </w:tcBorders>
            <w:vAlign w:val="center"/>
          </w:tcPr>
          <w:p w14:paraId="7E5A28C1" w14:textId="77777777" w:rsidR="00986DE0" w:rsidRPr="00C75499" w:rsidRDefault="00986DE0" w:rsidP="003C7140">
            <w:pPr>
              <w:rPr>
                <w:rFonts w:ascii="Lato" w:hAnsi="Lato" w:cs="Calibri"/>
                <w:bCs/>
                <w:sz w:val="20"/>
                <w:szCs w:val="20"/>
              </w:rPr>
            </w:pPr>
            <w:r w:rsidRPr="00C75499">
              <w:rPr>
                <w:rFonts w:ascii="Lato" w:hAnsi="Lato" w:cs="Calibri"/>
                <w:bCs/>
                <w:sz w:val="20"/>
                <w:szCs w:val="20"/>
              </w:rPr>
              <w:t>Zakłady opiekuńczo - lecznicze</w:t>
            </w:r>
          </w:p>
        </w:tc>
        <w:tc>
          <w:tcPr>
            <w:tcW w:w="1276" w:type="dxa"/>
            <w:tcBorders>
              <w:top w:val="single" w:sz="4" w:space="0" w:color="auto"/>
              <w:left w:val="single" w:sz="4" w:space="0" w:color="auto"/>
              <w:bottom w:val="single" w:sz="4" w:space="0" w:color="auto"/>
              <w:right w:val="single" w:sz="4" w:space="0" w:color="auto"/>
            </w:tcBorders>
            <w:noWrap/>
            <w:vAlign w:val="center"/>
          </w:tcPr>
          <w:p w14:paraId="63DA73B7" w14:textId="77777777" w:rsidR="00986DE0" w:rsidRPr="00C75499" w:rsidRDefault="00986DE0" w:rsidP="003C7140">
            <w:pPr>
              <w:jc w:val="center"/>
              <w:rPr>
                <w:rFonts w:ascii="Lato" w:hAnsi="Lato" w:cstheme="minorHAnsi"/>
                <w:bCs/>
              </w:rPr>
            </w:pPr>
            <w:r w:rsidRPr="00C75499">
              <w:rPr>
                <w:rFonts w:ascii="Lato" w:hAnsi="Lato" w:cstheme="minorHAnsi"/>
                <w:bCs/>
              </w:rPr>
              <w:t>8</w:t>
            </w:r>
          </w:p>
        </w:tc>
        <w:tc>
          <w:tcPr>
            <w:tcW w:w="1656" w:type="dxa"/>
            <w:tcBorders>
              <w:top w:val="single" w:sz="4" w:space="0" w:color="auto"/>
              <w:left w:val="single" w:sz="4" w:space="0" w:color="auto"/>
              <w:bottom w:val="single" w:sz="4" w:space="0" w:color="auto"/>
              <w:right w:val="single" w:sz="4" w:space="0" w:color="auto"/>
            </w:tcBorders>
            <w:noWrap/>
            <w:vAlign w:val="center"/>
          </w:tcPr>
          <w:p w14:paraId="4E961A35" w14:textId="77777777" w:rsidR="00986DE0" w:rsidRPr="00C75499" w:rsidRDefault="00986DE0" w:rsidP="003C7140">
            <w:pPr>
              <w:jc w:val="center"/>
              <w:rPr>
                <w:rFonts w:ascii="Lato" w:hAnsi="Lato" w:cstheme="minorHAnsi"/>
                <w:bCs/>
              </w:rPr>
            </w:pPr>
            <w:r w:rsidRPr="00C75499">
              <w:rPr>
                <w:rFonts w:ascii="Lato" w:hAnsi="Lato" w:cstheme="minorHAnsi"/>
                <w:bCs/>
              </w:rPr>
              <w:t>5</w:t>
            </w:r>
          </w:p>
        </w:tc>
        <w:tc>
          <w:tcPr>
            <w:tcW w:w="992" w:type="dxa"/>
            <w:tcBorders>
              <w:top w:val="single" w:sz="4" w:space="0" w:color="auto"/>
              <w:left w:val="single" w:sz="4" w:space="0" w:color="auto"/>
              <w:bottom w:val="single" w:sz="4" w:space="0" w:color="auto"/>
              <w:right w:val="single" w:sz="4" w:space="0" w:color="auto"/>
            </w:tcBorders>
            <w:noWrap/>
            <w:vAlign w:val="center"/>
          </w:tcPr>
          <w:p w14:paraId="6F783E37" w14:textId="77777777" w:rsidR="00986DE0" w:rsidRPr="00C75499" w:rsidRDefault="00986DE0" w:rsidP="003C7140">
            <w:pPr>
              <w:jc w:val="center"/>
              <w:rPr>
                <w:rFonts w:ascii="Lato" w:hAnsi="Lato" w:cstheme="minorHAnsi"/>
                <w:bCs/>
              </w:rPr>
            </w:pPr>
            <w:r w:rsidRPr="00C75499">
              <w:rPr>
                <w:rFonts w:ascii="Lato" w:hAnsi="Lato" w:cstheme="minorHAnsi"/>
                <w:bCs/>
              </w:rPr>
              <w:t>6</w:t>
            </w:r>
            <w:r>
              <w:rPr>
                <w:rFonts w:ascii="Lato" w:hAnsi="Lato" w:cstheme="minorHAnsi"/>
                <w:bCs/>
              </w:rPr>
              <w:t>3</w:t>
            </w:r>
          </w:p>
        </w:tc>
        <w:tc>
          <w:tcPr>
            <w:tcW w:w="1559" w:type="dxa"/>
            <w:tcBorders>
              <w:top w:val="single" w:sz="4" w:space="0" w:color="auto"/>
              <w:left w:val="single" w:sz="4" w:space="0" w:color="auto"/>
              <w:bottom w:val="single" w:sz="4" w:space="0" w:color="auto"/>
              <w:right w:val="single" w:sz="4" w:space="0" w:color="auto"/>
            </w:tcBorders>
            <w:noWrap/>
            <w:vAlign w:val="center"/>
          </w:tcPr>
          <w:p w14:paraId="72F7B173" w14:textId="77777777" w:rsidR="00986DE0" w:rsidRPr="00C75499" w:rsidRDefault="00986DE0" w:rsidP="003C7140">
            <w:pPr>
              <w:jc w:val="center"/>
              <w:rPr>
                <w:rFonts w:ascii="Lato" w:hAnsi="Lato" w:cstheme="minorHAnsi"/>
                <w:bCs/>
              </w:rPr>
            </w:pPr>
            <w:r w:rsidRPr="00C75499">
              <w:rPr>
                <w:rFonts w:ascii="Lato" w:hAnsi="Lato" w:cstheme="minorHAnsi"/>
                <w:bCs/>
              </w:rPr>
              <w:t>2</w:t>
            </w:r>
          </w:p>
        </w:tc>
        <w:tc>
          <w:tcPr>
            <w:tcW w:w="992" w:type="dxa"/>
            <w:tcBorders>
              <w:top w:val="single" w:sz="4" w:space="0" w:color="auto"/>
              <w:left w:val="single" w:sz="4" w:space="0" w:color="auto"/>
              <w:bottom w:val="single" w:sz="4" w:space="0" w:color="auto"/>
              <w:right w:val="single" w:sz="4" w:space="0" w:color="auto"/>
            </w:tcBorders>
            <w:noWrap/>
            <w:vAlign w:val="center"/>
          </w:tcPr>
          <w:p w14:paraId="235F7128" w14:textId="77777777" w:rsidR="00986DE0" w:rsidRPr="00C75499" w:rsidRDefault="00986DE0" w:rsidP="003C7140">
            <w:pPr>
              <w:jc w:val="center"/>
              <w:rPr>
                <w:rFonts w:ascii="Lato" w:hAnsi="Lato" w:cstheme="minorHAnsi"/>
                <w:bCs/>
              </w:rPr>
            </w:pPr>
            <w:r w:rsidRPr="00C75499">
              <w:rPr>
                <w:rFonts w:ascii="Lato" w:hAnsi="Lato" w:cstheme="minorHAnsi"/>
                <w:bCs/>
              </w:rPr>
              <w:t>40</w:t>
            </w:r>
          </w:p>
        </w:tc>
      </w:tr>
      <w:tr w:rsidR="00986DE0" w:rsidRPr="00C35EAE" w14:paraId="54A0EB7E" w14:textId="77777777" w:rsidTr="003C7140">
        <w:trPr>
          <w:trHeight w:val="342"/>
          <w:jc w:val="center"/>
        </w:trPr>
        <w:tc>
          <w:tcPr>
            <w:tcW w:w="3154" w:type="dxa"/>
            <w:gridSpan w:val="2"/>
            <w:tcBorders>
              <w:top w:val="single" w:sz="4" w:space="0" w:color="auto"/>
              <w:left w:val="single" w:sz="4" w:space="0" w:color="auto"/>
              <w:bottom w:val="single" w:sz="4" w:space="0" w:color="auto"/>
              <w:right w:val="single" w:sz="4" w:space="0" w:color="auto"/>
            </w:tcBorders>
            <w:vAlign w:val="center"/>
          </w:tcPr>
          <w:p w14:paraId="42C8BF97" w14:textId="77777777" w:rsidR="00986DE0" w:rsidRPr="00C75499" w:rsidRDefault="00986DE0" w:rsidP="003C7140">
            <w:pPr>
              <w:rPr>
                <w:rFonts w:ascii="Lato" w:hAnsi="Lato" w:cs="Calibri"/>
                <w:bCs/>
                <w:sz w:val="20"/>
                <w:szCs w:val="20"/>
              </w:rPr>
            </w:pPr>
            <w:r w:rsidRPr="00C75499">
              <w:rPr>
                <w:rFonts w:ascii="Lato" w:hAnsi="Lato" w:cs="Calibri"/>
                <w:bCs/>
                <w:sz w:val="20"/>
                <w:szCs w:val="20"/>
              </w:rPr>
              <w:t xml:space="preserve">Zakłady </w:t>
            </w:r>
            <w:proofErr w:type="spellStart"/>
            <w:r w:rsidRPr="00C75499">
              <w:rPr>
                <w:rFonts w:ascii="Lato" w:hAnsi="Lato" w:cs="Calibri"/>
                <w:bCs/>
                <w:sz w:val="20"/>
                <w:szCs w:val="20"/>
              </w:rPr>
              <w:t>pielęgnacyjno</w:t>
            </w:r>
            <w:proofErr w:type="spellEnd"/>
            <w:r w:rsidRPr="00C75499">
              <w:rPr>
                <w:rFonts w:ascii="Lato" w:hAnsi="Lato" w:cs="Calibri"/>
                <w:bCs/>
                <w:sz w:val="20"/>
                <w:szCs w:val="20"/>
              </w:rPr>
              <w:t xml:space="preserve"> - opiekuńcze</w:t>
            </w:r>
          </w:p>
        </w:tc>
        <w:tc>
          <w:tcPr>
            <w:tcW w:w="1276" w:type="dxa"/>
            <w:tcBorders>
              <w:top w:val="single" w:sz="4" w:space="0" w:color="auto"/>
              <w:left w:val="single" w:sz="4" w:space="0" w:color="auto"/>
              <w:bottom w:val="single" w:sz="4" w:space="0" w:color="auto"/>
              <w:right w:val="single" w:sz="4" w:space="0" w:color="auto"/>
            </w:tcBorders>
            <w:noWrap/>
            <w:vAlign w:val="center"/>
          </w:tcPr>
          <w:p w14:paraId="2A6AC9EA" w14:textId="77777777" w:rsidR="00986DE0" w:rsidRPr="00C75499" w:rsidRDefault="00986DE0" w:rsidP="003C7140">
            <w:pPr>
              <w:jc w:val="center"/>
              <w:rPr>
                <w:rFonts w:ascii="Lato" w:hAnsi="Lato" w:cstheme="minorHAnsi"/>
                <w:bCs/>
              </w:rPr>
            </w:pPr>
            <w:r w:rsidRPr="00C75499">
              <w:rPr>
                <w:rFonts w:ascii="Lato" w:hAnsi="Lato" w:cstheme="minorHAnsi"/>
                <w:bCs/>
              </w:rPr>
              <w:t>16</w:t>
            </w:r>
          </w:p>
        </w:tc>
        <w:tc>
          <w:tcPr>
            <w:tcW w:w="1656" w:type="dxa"/>
            <w:tcBorders>
              <w:top w:val="single" w:sz="4" w:space="0" w:color="auto"/>
              <w:left w:val="single" w:sz="4" w:space="0" w:color="auto"/>
              <w:bottom w:val="single" w:sz="4" w:space="0" w:color="auto"/>
              <w:right w:val="single" w:sz="4" w:space="0" w:color="auto"/>
            </w:tcBorders>
            <w:noWrap/>
            <w:vAlign w:val="center"/>
          </w:tcPr>
          <w:p w14:paraId="5DD0E97A" w14:textId="77777777" w:rsidR="00986DE0" w:rsidRPr="00C75499" w:rsidRDefault="00986DE0" w:rsidP="003C7140">
            <w:pPr>
              <w:jc w:val="center"/>
              <w:rPr>
                <w:rFonts w:ascii="Lato" w:hAnsi="Lato" w:cstheme="minorHAnsi"/>
                <w:bCs/>
              </w:rPr>
            </w:pPr>
            <w:r w:rsidRPr="00C75499">
              <w:rPr>
                <w:rFonts w:ascii="Lato" w:hAnsi="Lato" w:cstheme="minorHAnsi"/>
                <w:bCs/>
              </w:rPr>
              <w:t>13</w:t>
            </w:r>
          </w:p>
        </w:tc>
        <w:tc>
          <w:tcPr>
            <w:tcW w:w="992" w:type="dxa"/>
            <w:tcBorders>
              <w:top w:val="single" w:sz="4" w:space="0" w:color="auto"/>
              <w:left w:val="single" w:sz="4" w:space="0" w:color="auto"/>
              <w:bottom w:val="single" w:sz="4" w:space="0" w:color="auto"/>
              <w:right w:val="single" w:sz="4" w:space="0" w:color="auto"/>
            </w:tcBorders>
            <w:noWrap/>
            <w:vAlign w:val="center"/>
          </w:tcPr>
          <w:p w14:paraId="3299D47F" w14:textId="77777777" w:rsidR="00986DE0" w:rsidRPr="00C75499" w:rsidRDefault="00986DE0" w:rsidP="003C7140">
            <w:pPr>
              <w:jc w:val="center"/>
              <w:rPr>
                <w:rFonts w:ascii="Lato" w:hAnsi="Lato" w:cstheme="minorHAnsi"/>
                <w:bCs/>
              </w:rPr>
            </w:pPr>
            <w:r w:rsidRPr="00C75499">
              <w:rPr>
                <w:rFonts w:ascii="Lato" w:hAnsi="Lato" w:cstheme="minorHAnsi"/>
                <w:bCs/>
              </w:rPr>
              <w:t>81</w:t>
            </w:r>
          </w:p>
        </w:tc>
        <w:tc>
          <w:tcPr>
            <w:tcW w:w="1559" w:type="dxa"/>
            <w:tcBorders>
              <w:top w:val="single" w:sz="4" w:space="0" w:color="auto"/>
              <w:left w:val="single" w:sz="4" w:space="0" w:color="auto"/>
              <w:bottom w:val="single" w:sz="4" w:space="0" w:color="auto"/>
              <w:right w:val="single" w:sz="4" w:space="0" w:color="auto"/>
            </w:tcBorders>
            <w:noWrap/>
            <w:vAlign w:val="center"/>
          </w:tcPr>
          <w:p w14:paraId="5279EA8C" w14:textId="77777777" w:rsidR="00986DE0" w:rsidRPr="00C75499" w:rsidRDefault="00986DE0" w:rsidP="003C7140">
            <w:pPr>
              <w:jc w:val="center"/>
              <w:rPr>
                <w:rFonts w:ascii="Lato" w:hAnsi="Lato" w:cstheme="minorHAnsi"/>
                <w:bCs/>
              </w:rPr>
            </w:pPr>
            <w:r w:rsidRPr="00C75499">
              <w:rPr>
                <w:rFonts w:ascii="Lato" w:hAnsi="Lato" w:cstheme="minorHAnsi"/>
                <w:bCs/>
              </w:rPr>
              <w:t>1</w:t>
            </w:r>
          </w:p>
        </w:tc>
        <w:tc>
          <w:tcPr>
            <w:tcW w:w="992" w:type="dxa"/>
            <w:tcBorders>
              <w:top w:val="single" w:sz="4" w:space="0" w:color="auto"/>
              <w:left w:val="single" w:sz="4" w:space="0" w:color="auto"/>
              <w:bottom w:val="single" w:sz="4" w:space="0" w:color="auto"/>
              <w:right w:val="single" w:sz="4" w:space="0" w:color="auto"/>
            </w:tcBorders>
            <w:noWrap/>
            <w:vAlign w:val="center"/>
          </w:tcPr>
          <w:p w14:paraId="2A27D19B" w14:textId="77777777" w:rsidR="00986DE0" w:rsidRPr="00C75499" w:rsidRDefault="00986DE0" w:rsidP="003C7140">
            <w:pPr>
              <w:jc w:val="center"/>
              <w:rPr>
                <w:rFonts w:ascii="Lato" w:hAnsi="Lato" w:cstheme="minorHAnsi"/>
                <w:bCs/>
              </w:rPr>
            </w:pPr>
            <w:r>
              <w:rPr>
                <w:rFonts w:ascii="Lato" w:hAnsi="Lato" w:cstheme="minorHAnsi"/>
                <w:bCs/>
              </w:rPr>
              <w:t>8</w:t>
            </w:r>
          </w:p>
        </w:tc>
      </w:tr>
      <w:tr w:rsidR="00986DE0" w:rsidRPr="00C35EAE" w14:paraId="66CDC8BE" w14:textId="77777777" w:rsidTr="003C7140">
        <w:trPr>
          <w:trHeight w:val="342"/>
          <w:jc w:val="center"/>
        </w:trPr>
        <w:tc>
          <w:tcPr>
            <w:tcW w:w="3154" w:type="dxa"/>
            <w:gridSpan w:val="2"/>
            <w:tcBorders>
              <w:top w:val="single" w:sz="4" w:space="0" w:color="auto"/>
              <w:left w:val="single" w:sz="4" w:space="0" w:color="auto"/>
              <w:bottom w:val="single" w:sz="4" w:space="0" w:color="auto"/>
              <w:right w:val="single" w:sz="4" w:space="0" w:color="auto"/>
            </w:tcBorders>
            <w:vAlign w:val="center"/>
          </w:tcPr>
          <w:p w14:paraId="3C7725DA" w14:textId="77777777" w:rsidR="00986DE0" w:rsidRPr="00C75499" w:rsidRDefault="00986DE0" w:rsidP="003C7140">
            <w:pPr>
              <w:rPr>
                <w:rFonts w:ascii="Lato" w:hAnsi="Lato" w:cs="Calibri"/>
                <w:bCs/>
                <w:sz w:val="20"/>
                <w:szCs w:val="20"/>
              </w:rPr>
            </w:pPr>
            <w:r w:rsidRPr="00C75499">
              <w:rPr>
                <w:rFonts w:ascii="Lato" w:hAnsi="Lato" w:cs="Calibri"/>
                <w:bCs/>
                <w:sz w:val="20"/>
                <w:szCs w:val="20"/>
              </w:rPr>
              <w:t>Zakłady rehabilitacji leczniczej</w:t>
            </w:r>
          </w:p>
        </w:tc>
        <w:tc>
          <w:tcPr>
            <w:tcW w:w="1276" w:type="dxa"/>
            <w:tcBorders>
              <w:top w:val="single" w:sz="4" w:space="0" w:color="auto"/>
              <w:left w:val="single" w:sz="4" w:space="0" w:color="auto"/>
              <w:bottom w:val="single" w:sz="4" w:space="0" w:color="auto"/>
              <w:right w:val="single" w:sz="4" w:space="0" w:color="auto"/>
            </w:tcBorders>
            <w:noWrap/>
            <w:vAlign w:val="center"/>
          </w:tcPr>
          <w:p w14:paraId="41F3F74F" w14:textId="77777777" w:rsidR="00986DE0" w:rsidRPr="00C75499" w:rsidRDefault="00986DE0" w:rsidP="003C7140">
            <w:pPr>
              <w:jc w:val="center"/>
              <w:rPr>
                <w:rFonts w:ascii="Lato" w:hAnsi="Lato" w:cstheme="minorHAnsi"/>
                <w:bCs/>
              </w:rPr>
            </w:pPr>
            <w:r w:rsidRPr="00C75499">
              <w:rPr>
                <w:rFonts w:ascii="Lato" w:hAnsi="Lato" w:cstheme="minorHAnsi"/>
                <w:bCs/>
              </w:rPr>
              <w:t>33</w:t>
            </w:r>
          </w:p>
        </w:tc>
        <w:tc>
          <w:tcPr>
            <w:tcW w:w="1656" w:type="dxa"/>
            <w:tcBorders>
              <w:top w:val="single" w:sz="4" w:space="0" w:color="auto"/>
              <w:left w:val="single" w:sz="4" w:space="0" w:color="auto"/>
              <w:bottom w:val="single" w:sz="4" w:space="0" w:color="auto"/>
              <w:right w:val="single" w:sz="4" w:space="0" w:color="auto"/>
            </w:tcBorders>
            <w:noWrap/>
            <w:vAlign w:val="center"/>
          </w:tcPr>
          <w:p w14:paraId="476366BE" w14:textId="77777777" w:rsidR="00986DE0" w:rsidRPr="00C75499" w:rsidRDefault="00986DE0" w:rsidP="003C7140">
            <w:pPr>
              <w:jc w:val="center"/>
              <w:rPr>
                <w:rFonts w:ascii="Lato" w:hAnsi="Lato" w:cstheme="minorHAnsi"/>
                <w:bCs/>
              </w:rPr>
            </w:pPr>
            <w:r w:rsidRPr="00C75499">
              <w:rPr>
                <w:rFonts w:ascii="Lato" w:hAnsi="Lato" w:cstheme="minorHAnsi"/>
                <w:bCs/>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4B696715" w14:textId="77777777" w:rsidR="00986DE0" w:rsidRPr="00C75499" w:rsidRDefault="00986DE0" w:rsidP="003C7140">
            <w:pPr>
              <w:jc w:val="center"/>
              <w:rPr>
                <w:rFonts w:ascii="Lato" w:hAnsi="Lato" w:cstheme="minorHAnsi"/>
                <w:bCs/>
              </w:rPr>
            </w:pPr>
            <w:r w:rsidRPr="00C75499">
              <w:rPr>
                <w:rFonts w:ascii="Lato" w:hAnsi="Lato" w:cstheme="minorHAnsi"/>
                <w:bCs/>
              </w:rPr>
              <w:t>6</w:t>
            </w:r>
            <w:r>
              <w:rPr>
                <w:rFonts w:ascii="Lato" w:hAnsi="Lato" w:cstheme="minorHAnsi"/>
                <w:bCs/>
              </w:rPr>
              <w:t>7</w:t>
            </w:r>
          </w:p>
        </w:tc>
        <w:tc>
          <w:tcPr>
            <w:tcW w:w="1559" w:type="dxa"/>
            <w:tcBorders>
              <w:top w:val="single" w:sz="4" w:space="0" w:color="auto"/>
              <w:left w:val="single" w:sz="4" w:space="0" w:color="auto"/>
              <w:bottom w:val="single" w:sz="4" w:space="0" w:color="auto"/>
              <w:right w:val="single" w:sz="4" w:space="0" w:color="auto"/>
            </w:tcBorders>
            <w:noWrap/>
            <w:vAlign w:val="center"/>
          </w:tcPr>
          <w:p w14:paraId="25A4653A" w14:textId="77777777" w:rsidR="00986DE0" w:rsidRPr="00C75499" w:rsidRDefault="00986DE0" w:rsidP="003C7140">
            <w:pPr>
              <w:jc w:val="center"/>
              <w:rPr>
                <w:rFonts w:ascii="Lato" w:hAnsi="Lato" w:cstheme="minorHAnsi"/>
                <w:bCs/>
              </w:rPr>
            </w:pPr>
            <w:r w:rsidRPr="00C75499">
              <w:rPr>
                <w:rFonts w:ascii="Lato" w:hAnsi="Lato" w:cstheme="minorHAnsi"/>
                <w:bCs/>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ECC1852" w14:textId="77777777" w:rsidR="00986DE0" w:rsidRPr="00C75499" w:rsidRDefault="00986DE0" w:rsidP="003C7140">
            <w:pPr>
              <w:jc w:val="center"/>
              <w:rPr>
                <w:rFonts w:ascii="Lato" w:hAnsi="Lato" w:cstheme="minorHAnsi"/>
                <w:bCs/>
              </w:rPr>
            </w:pPr>
            <w:r>
              <w:rPr>
                <w:rFonts w:ascii="Lato" w:hAnsi="Lato" w:cstheme="minorHAnsi"/>
                <w:bCs/>
              </w:rPr>
              <w:t>14</w:t>
            </w:r>
          </w:p>
        </w:tc>
      </w:tr>
      <w:tr w:rsidR="00986DE0" w:rsidRPr="00C35EAE" w14:paraId="7DDF3973" w14:textId="77777777" w:rsidTr="003C7140">
        <w:trPr>
          <w:trHeight w:val="342"/>
          <w:jc w:val="center"/>
        </w:trPr>
        <w:tc>
          <w:tcPr>
            <w:tcW w:w="3154" w:type="dxa"/>
            <w:gridSpan w:val="2"/>
            <w:tcBorders>
              <w:top w:val="single" w:sz="4" w:space="0" w:color="auto"/>
              <w:left w:val="single" w:sz="4" w:space="0" w:color="auto"/>
              <w:bottom w:val="single" w:sz="4" w:space="0" w:color="auto"/>
              <w:right w:val="single" w:sz="4" w:space="0" w:color="auto"/>
            </w:tcBorders>
            <w:vAlign w:val="center"/>
          </w:tcPr>
          <w:p w14:paraId="7F9B21BF" w14:textId="77777777" w:rsidR="00986DE0" w:rsidRPr="00C75499" w:rsidRDefault="00986DE0" w:rsidP="003C7140">
            <w:pPr>
              <w:rPr>
                <w:rFonts w:ascii="Lato" w:hAnsi="Lato" w:cs="Calibri"/>
                <w:bCs/>
                <w:sz w:val="20"/>
                <w:szCs w:val="20"/>
              </w:rPr>
            </w:pPr>
            <w:r w:rsidRPr="00C75499">
              <w:rPr>
                <w:rFonts w:ascii="Lato" w:hAnsi="Lato" w:cs="Calibri"/>
                <w:bCs/>
                <w:sz w:val="20"/>
                <w:szCs w:val="20"/>
              </w:rPr>
              <w:t xml:space="preserve">Sanatoria </w:t>
            </w:r>
          </w:p>
        </w:tc>
        <w:tc>
          <w:tcPr>
            <w:tcW w:w="1276" w:type="dxa"/>
            <w:tcBorders>
              <w:top w:val="single" w:sz="4" w:space="0" w:color="auto"/>
              <w:left w:val="single" w:sz="4" w:space="0" w:color="auto"/>
              <w:bottom w:val="single" w:sz="4" w:space="0" w:color="auto"/>
              <w:right w:val="single" w:sz="4" w:space="0" w:color="auto"/>
            </w:tcBorders>
            <w:noWrap/>
            <w:vAlign w:val="center"/>
          </w:tcPr>
          <w:p w14:paraId="7D6A9ED5" w14:textId="77777777" w:rsidR="00986DE0" w:rsidRPr="00C75499" w:rsidRDefault="00986DE0" w:rsidP="003C7140">
            <w:pPr>
              <w:jc w:val="center"/>
              <w:rPr>
                <w:rFonts w:ascii="Lato" w:hAnsi="Lato" w:cstheme="minorHAnsi"/>
                <w:bCs/>
              </w:rPr>
            </w:pPr>
            <w:r w:rsidRPr="00C75499">
              <w:rPr>
                <w:rFonts w:ascii="Lato" w:hAnsi="Lato" w:cstheme="minorHAnsi"/>
                <w:bCs/>
              </w:rPr>
              <w:t>41</w:t>
            </w:r>
          </w:p>
        </w:tc>
        <w:tc>
          <w:tcPr>
            <w:tcW w:w="1656" w:type="dxa"/>
            <w:tcBorders>
              <w:top w:val="single" w:sz="4" w:space="0" w:color="auto"/>
              <w:left w:val="single" w:sz="4" w:space="0" w:color="auto"/>
              <w:bottom w:val="single" w:sz="4" w:space="0" w:color="auto"/>
              <w:right w:val="single" w:sz="4" w:space="0" w:color="auto"/>
            </w:tcBorders>
            <w:noWrap/>
            <w:vAlign w:val="center"/>
          </w:tcPr>
          <w:p w14:paraId="7E5C5AB8" w14:textId="77777777" w:rsidR="00986DE0" w:rsidRPr="00C75499" w:rsidRDefault="00986DE0" w:rsidP="003C7140">
            <w:pPr>
              <w:jc w:val="center"/>
              <w:rPr>
                <w:rFonts w:ascii="Lato" w:hAnsi="Lato" w:cstheme="minorHAnsi"/>
                <w:bCs/>
              </w:rPr>
            </w:pPr>
            <w:r w:rsidRPr="00C75499">
              <w:rPr>
                <w:rFonts w:ascii="Lato" w:hAnsi="Lato" w:cstheme="minorHAnsi"/>
                <w:bCs/>
              </w:rPr>
              <w:t>31</w:t>
            </w:r>
          </w:p>
        </w:tc>
        <w:tc>
          <w:tcPr>
            <w:tcW w:w="992" w:type="dxa"/>
            <w:tcBorders>
              <w:top w:val="single" w:sz="4" w:space="0" w:color="auto"/>
              <w:left w:val="single" w:sz="4" w:space="0" w:color="auto"/>
              <w:bottom w:val="single" w:sz="4" w:space="0" w:color="auto"/>
              <w:right w:val="single" w:sz="4" w:space="0" w:color="auto"/>
            </w:tcBorders>
            <w:noWrap/>
            <w:vAlign w:val="center"/>
          </w:tcPr>
          <w:p w14:paraId="38114319" w14:textId="77777777" w:rsidR="00986DE0" w:rsidRPr="00C75499" w:rsidRDefault="00986DE0" w:rsidP="003C7140">
            <w:pPr>
              <w:jc w:val="center"/>
              <w:rPr>
                <w:rFonts w:ascii="Lato" w:hAnsi="Lato" w:cstheme="minorHAnsi"/>
                <w:bCs/>
              </w:rPr>
            </w:pPr>
            <w:r w:rsidRPr="00C75499">
              <w:rPr>
                <w:rFonts w:ascii="Lato" w:hAnsi="Lato" w:cstheme="minorHAnsi"/>
                <w:bCs/>
              </w:rPr>
              <w:t>7</w:t>
            </w:r>
            <w:r>
              <w:rPr>
                <w:rFonts w:ascii="Lato" w:hAnsi="Lato" w:cstheme="minorHAnsi"/>
                <w:bCs/>
              </w:rPr>
              <w:t>6</w:t>
            </w:r>
          </w:p>
        </w:tc>
        <w:tc>
          <w:tcPr>
            <w:tcW w:w="1559" w:type="dxa"/>
            <w:tcBorders>
              <w:top w:val="single" w:sz="4" w:space="0" w:color="auto"/>
              <w:left w:val="single" w:sz="4" w:space="0" w:color="auto"/>
              <w:bottom w:val="single" w:sz="4" w:space="0" w:color="auto"/>
              <w:right w:val="single" w:sz="4" w:space="0" w:color="auto"/>
            </w:tcBorders>
            <w:noWrap/>
            <w:vAlign w:val="center"/>
          </w:tcPr>
          <w:p w14:paraId="0947F279" w14:textId="77777777" w:rsidR="00986DE0" w:rsidRPr="00C75499" w:rsidRDefault="00986DE0" w:rsidP="003C7140">
            <w:pPr>
              <w:jc w:val="center"/>
              <w:rPr>
                <w:rFonts w:ascii="Lato" w:hAnsi="Lato" w:cstheme="minorHAnsi"/>
                <w:bCs/>
              </w:rPr>
            </w:pPr>
            <w:r w:rsidRPr="00C75499">
              <w:rPr>
                <w:rFonts w:ascii="Lato" w:hAnsi="Lato" w:cstheme="minorHAnsi"/>
                <w:bCs/>
              </w:rPr>
              <w:t>4</w:t>
            </w:r>
          </w:p>
        </w:tc>
        <w:tc>
          <w:tcPr>
            <w:tcW w:w="992" w:type="dxa"/>
            <w:tcBorders>
              <w:top w:val="single" w:sz="4" w:space="0" w:color="auto"/>
              <w:left w:val="single" w:sz="4" w:space="0" w:color="auto"/>
              <w:bottom w:val="single" w:sz="4" w:space="0" w:color="auto"/>
              <w:right w:val="single" w:sz="4" w:space="0" w:color="auto"/>
            </w:tcBorders>
            <w:noWrap/>
            <w:vAlign w:val="center"/>
          </w:tcPr>
          <w:p w14:paraId="282DBE03" w14:textId="77777777" w:rsidR="00986DE0" w:rsidRPr="00C75499" w:rsidRDefault="00986DE0" w:rsidP="003C7140">
            <w:pPr>
              <w:jc w:val="center"/>
              <w:rPr>
                <w:rFonts w:ascii="Lato" w:hAnsi="Lato" w:cstheme="minorHAnsi"/>
                <w:bCs/>
              </w:rPr>
            </w:pPr>
            <w:r>
              <w:rPr>
                <w:rFonts w:ascii="Lato" w:hAnsi="Lato" w:cstheme="minorHAnsi"/>
                <w:bCs/>
              </w:rPr>
              <w:t>13</w:t>
            </w:r>
          </w:p>
        </w:tc>
      </w:tr>
      <w:tr w:rsidR="00986DE0" w:rsidRPr="00C35EAE" w14:paraId="13780034" w14:textId="77777777" w:rsidTr="003C7140">
        <w:trPr>
          <w:trHeight w:val="342"/>
          <w:jc w:val="center"/>
        </w:trPr>
        <w:tc>
          <w:tcPr>
            <w:tcW w:w="3154" w:type="dxa"/>
            <w:gridSpan w:val="2"/>
            <w:tcBorders>
              <w:top w:val="single" w:sz="4" w:space="0" w:color="auto"/>
              <w:left w:val="single" w:sz="4" w:space="0" w:color="auto"/>
              <w:bottom w:val="single" w:sz="4" w:space="0" w:color="auto"/>
              <w:right w:val="single" w:sz="4" w:space="0" w:color="auto"/>
            </w:tcBorders>
            <w:vAlign w:val="center"/>
          </w:tcPr>
          <w:p w14:paraId="77ABF21A" w14:textId="77777777" w:rsidR="00986DE0" w:rsidRPr="00C75499" w:rsidRDefault="00986DE0" w:rsidP="003C7140">
            <w:pPr>
              <w:rPr>
                <w:rFonts w:ascii="Lato" w:hAnsi="Lato" w:cs="Calibri"/>
                <w:bCs/>
                <w:sz w:val="20"/>
                <w:szCs w:val="20"/>
              </w:rPr>
            </w:pPr>
            <w:r w:rsidRPr="00C75499">
              <w:rPr>
                <w:rFonts w:ascii="Lato" w:hAnsi="Lato" w:cs="Calibri"/>
                <w:bCs/>
                <w:sz w:val="20"/>
                <w:szCs w:val="20"/>
              </w:rPr>
              <w:t xml:space="preserve">Hospicja </w:t>
            </w:r>
          </w:p>
        </w:tc>
        <w:tc>
          <w:tcPr>
            <w:tcW w:w="1276" w:type="dxa"/>
            <w:tcBorders>
              <w:top w:val="single" w:sz="4" w:space="0" w:color="auto"/>
              <w:left w:val="single" w:sz="4" w:space="0" w:color="auto"/>
              <w:bottom w:val="single" w:sz="4" w:space="0" w:color="auto"/>
              <w:right w:val="single" w:sz="4" w:space="0" w:color="auto"/>
            </w:tcBorders>
            <w:noWrap/>
            <w:vAlign w:val="center"/>
          </w:tcPr>
          <w:p w14:paraId="1A73BD11" w14:textId="77777777" w:rsidR="00986DE0" w:rsidRPr="00C75499" w:rsidRDefault="00986DE0" w:rsidP="003C7140">
            <w:pPr>
              <w:jc w:val="center"/>
              <w:rPr>
                <w:rFonts w:ascii="Lato" w:hAnsi="Lato" w:cstheme="minorHAnsi"/>
                <w:bCs/>
              </w:rPr>
            </w:pPr>
            <w:r w:rsidRPr="00C75499">
              <w:rPr>
                <w:rFonts w:ascii="Lato" w:hAnsi="Lato" w:cstheme="minorHAnsi"/>
                <w:bCs/>
              </w:rPr>
              <w:t>8</w:t>
            </w:r>
          </w:p>
        </w:tc>
        <w:tc>
          <w:tcPr>
            <w:tcW w:w="1656" w:type="dxa"/>
            <w:tcBorders>
              <w:top w:val="single" w:sz="4" w:space="0" w:color="auto"/>
              <w:left w:val="single" w:sz="4" w:space="0" w:color="auto"/>
              <w:bottom w:val="single" w:sz="4" w:space="0" w:color="auto"/>
              <w:right w:val="single" w:sz="4" w:space="0" w:color="auto"/>
            </w:tcBorders>
            <w:noWrap/>
            <w:vAlign w:val="center"/>
          </w:tcPr>
          <w:p w14:paraId="6529051F" w14:textId="77777777" w:rsidR="00986DE0" w:rsidRPr="00C75499" w:rsidRDefault="00986DE0" w:rsidP="003C7140">
            <w:pPr>
              <w:jc w:val="center"/>
              <w:rPr>
                <w:rFonts w:ascii="Lato" w:hAnsi="Lato" w:cstheme="minorHAnsi"/>
                <w:bCs/>
              </w:rPr>
            </w:pPr>
            <w:r w:rsidRPr="00C75499">
              <w:rPr>
                <w:rFonts w:ascii="Lato" w:hAnsi="Lato" w:cstheme="minorHAnsi"/>
                <w:bCs/>
              </w:rPr>
              <w:t>5</w:t>
            </w:r>
          </w:p>
        </w:tc>
        <w:tc>
          <w:tcPr>
            <w:tcW w:w="992" w:type="dxa"/>
            <w:tcBorders>
              <w:top w:val="single" w:sz="4" w:space="0" w:color="auto"/>
              <w:left w:val="single" w:sz="4" w:space="0" w:color="auto"/>
              <w:bottom w:val="single" w:sz="4" w:space="0" w:color="auto"/>
              <w:right w:val="single" w:sz="4" w:space="0" w:color="auto"/>
            </w:tcBorders>
            <w:noWrap/>
            <w:vAlign w:val="center"/>
          </w:tcPr>
          <w:p w14:paraId="71B66F31" w14:textId="77777777" w:rsidR="00986DE0" w:rsidRPr="00C75499" w:rsidRDefault="00986DE0" w:rsidP="003C7140">
            <w:pPr>
              <w:jc w:val="center"/>
              <w:rPr>
                <w:rFonts w:ascii="Lato" w:hAnsi="Lato" w:cstheme="minorHAnsi"/>
                <w:bCs/>
              </w:rPr>
            </w:pPr>
            <w:r w:rsidRPr="00C75499">
              <w:rPr>
                <w:rFonts w:ascii="Lato" w:hAnsi="Lato" w:cstheme="minorHAnsi"/>
                <w:bCs/>
              </w:rPr>
              <w:t>62</w:t>
            </w:r>
          </w:p>
        </w:tc>
        <w:tc>
          <w:tcPr>
            <w:tcW w:w="1559" w:type="dxa"/>
            <w:tcBorders>
              <w:top w:val="single" w:sz="4" w:space="0" w:color="auto"/>
              <w:left w:val="single" w:sz="4" w:space="0" w:color="auto"/>
              <w:bottom w:val="single" w:sz="4" w:space="0" w:color="auto"/>
              <w:right w:val="single" w:sz="4" w:space="0" w:color="auto"/>
            </w:tcBorders>
            <w:noWrap/>
            <w:vAlign w:val="center"/>
          </w:tcPr>
          <w:p w14:paraId="7ED4B172" w14:textId="77777777" w:rsidR="00986DE0" w:rsidRPr="00C75499" w:rsidRDefault="00986DE0" w:rsidP="003C7140">
            <w:pPr>
              <w:jc w:val="center"/>
              <w:rPr>
                <w:rFonts w:ascii="Lato" w:hAnsi="Lato" w:cstheme="minorHAnsi"/>
                <w:bCs/>
              </w:rPr>
            </w:pPr>
            <w:r w:rsidRPr="00C75499">
              <w:rPr>
                <w:rFonts w:ascii="Lato" w:hAnsi="Lato" w:cstheme="minorHAnsi"/>
                <w:bCs/>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40A84BFD" w14:textId="77777777" w:rsidR="00986DE0" w:rsidRPr="00C75499" w:rsidRDefault="00986DE0" w:rsidP="003C7140">
            <w:pPr>
              <w:jc w:val="center"/>
              <w:rPr>
                <w:rFonts w:ascii="Lato" w:hAnsi="Lato" w:cstheme="minorHAnsi"/>
                <w:bCs/>
              </w:rPr>
            </w:pPr>
            <w:r w:rsidRPr="00C75499">
              <w:rPr>
                <w:rFonts w:ascii="Lato" w:hAnsi="Lato" w:cstheme="minorHAnsi"/>
                <w:bCs/>
              </w:rPr>
              <w:t>0</w:t>
            </w:r>
          </w:p>
        </w:tc>
      </w:tr>
      <w:tr w:rsidR="00986DE0" w:rsidRPr="00C35EAE" w14:paraId="2A2D8724" w14:textId="77777777" w:rsidTr="003C7140">
        <w:trPr>
          <w:trHeight w:val="342"/>
          <w:jc w:val="center"/>
        </w:trPr>
        <w:tc>
          <w:tcPr>
            <w:tcW w:w="3154" w:type="dxa"/>
            <w:gridSpan w:val="2"/>
            <w:tcBorders>
              <w:top w:val="single" w:sz="4" w:space="0" w:color="auto"/>
              <w:left w:val="single" w:sz="4" w:space="0" w:color="auto"/>
              <w:bottom w:val="single" w:sz="4" w:space="0" w:color="auto"/>
              <w:right w:val="single" w:sz="4" w:space="0" w:color="auto"/>
            </w:tcBorders>
            <w:vAlign w:val="center"/>
          </w:tcPr>
          <w:p w14:paraId="7DAC95D1" w14:textId="77777777" w:rsidR="00986DE0" w:rsidRPr="00C75499" w:rsidRDefault="00986DE0" w:rsidP="003C7140">
            <w:pPr>
              <w:rPr>
                <w:rFonts w:ascii="Lato" w:hAnsi="Lato" w:cs="Calibri"/>
                <w:bCs/>
                <w:sz w:val="20"/>
                <w:szCs w:val="20"/>
              </w:rPr>
            </w:pPr>
            <w:r w:rsidRPr="00C75499">
              <w:rPr>
                <w:rFonts w:ascii="Lato" w:hAnsi="Lato" w:cs="Calibri"/>
                <w:bCs/>
                <w:sz w:val="20"/>
                <w:szCs w:val="20"/>
              </w:rPr>
              <w:t>Inne</w:t>
            </w:r>
          </w:p>
        </w:tc>
        <w:tc>
          <w:tcPr>
            <w:tcW w:w="1276" w:type="dxa"/>
            <w:tcBorders>
              <w:top w:val="single" w:sz="4" w:space="0" w:color="auto"/>
              <w:left w:val="single" w:sz="4" w:space="0" w:color="auto"/>
              <w:bottom w:val="single" w:sz="4" w:space="0" w:color="auto"/>
              <w:right w:val="single" w:sz="4" w:space="0" w:color="auto"/>
            </w:tcBorders>
            <w:noWrap/>
            <w:vAlign w:val="center"/>
          </w:tcPr>
          <w:p w14:paraId="60FC6557" w14:textId="77777777" w:rsidR="00986DE0" w:rsidRPr="00C75499" w:rsidRDefault="00986DE0" w:rsidP="003C7140">
            <w:pPr>
              <w:jc w:val="center"/>
              <w:rPr>
                <w:rFonts w:ascii="Lato" w:hAnsi="Lato" w:cstheme="minorHAnsi"/>
                <w:bCs/>
              </w:rPr>
            </w:pPr>
            <w:r w:rsidRPr="00C75499">
              <w:rPr>
                <w:rFonts w:ascii="Lato" w:hAnsi="Lato" w:cstheme="minorHAnsi"/>
                <w:bCs/>
              </w:rPr>
              <w:t>18</w:t>
            </w:r>
          </w:p>
        </w:tc>
        <w:tc>
          <w:tcPr>
            <w:tcW w:w="1656" w:type="dxa"/>
            <w:tcBorders>
              <w:top w:val="single" w:sz="4" w:space="0" w:color="auto"/>
              <w:left w:val="single" w:sz="4" w:space="0" w:color="auto"/>
              <w:bottom w:val="single" w:sz="4" w:space="0" w:color="auto"/>
              <w:right w:val="single" w:sz="4" w:space="0" w:color="auto"/>
            </w:tcBorders>
            <w:noWrap/>
            <w:vAlign w:val="center"/>
          </w:tcPr>
          <w:p w14:paraId="4DC8A288" w14:textId="77777777" w:rsidR="00986DE0" w:rsidRPr="00C75499" w:rsidRDefault="00986DE0" w:rsidP="003C7140">
            <w:pPr>
              <w:jc w:val="center"/>
              <w:rPr>
                <w:rFonts w:ascii="Lato" w:hAnsi="Lato" w:cstheme="minorHAnsi"/>
                <w:bCs/>
              </w:rPr>
            </w:pPr>
            <w:r w:rsidRPr="00C75499">
              <w:rPr>
                <w:rFonts w:ascii="Lato" w:hAnsi="Lato" w:cstheme="minorHAnsi"/>
                <w:bCs/>
              </w:rPr>
              <w:t>7</w:t>
            </w:r>
          </w:p>
        </w:tc>
        <w:tc>
          <w:tcPr>
            <w:tcW w:w="992" w:type="dxa"/>
            <w:tcBorders>
              <w:top w:val="single" w:sz="4" w:space="0" w:color="auto"/>
              <w:left w:val="single" w:sz="4" w:space="0" w:color="auto"/>
              <w:bottom w:val="single" w:sz="4" w:space="0" w:color="auto"/>
              <w:right w:val="single" w:sz="4" w:space="0" w:color="auto"/>
            </w:tcBorders>
            <w:noWrap/>
            <w:vAlign w:val="center"/>
          </w:tcPr>
          <w:p w14:paraId="251012C6" w14:textId="77777777" w:rsidR="00986DE0" w:rsidRPr="00C75499" w:rsidRDefault="00986DE0" w:rsidP="003C7140">
            <w:pPr>
              <w:jc w:val="center"/>
              <w:rPr>
                <w:rFonts w:ascii="Lato" w:hAnsi="Lato" w:cstheme="minorHAnsi"/>
                <w:bCs/>
              </w:rPr>
            </w:pPr>
            <w:r>
              <w:rPr>
                <w:rFonts w:ascii="Lato" w:hAnsi="Lato" w:cstheme="minorHAnsi"/>
                <w:bCs/>
              </w:rPr>
              <w:t>39</w:t>
            </w:r>
          </w:p>
        </w:tc>
        <w:tc>
          <w:tcPr>
            <w:tcW w:w="1559" w:type="dxa"/>
            <w:tcBorders>
              <w:top w:val="single" w:sz="4" w:space="0" w:color="auto"/>
              <w:left w:val="single" w:sz="4" w:space="0" w:color="auto"/>
              <w:bottom w:val="single" w:sz="4" w:space="0" w:color="auto"/>
              <w:right w:val="single" w:sz="4" w:space="0" w:color="auto"/>
            </w:tcBorders>
            <w:noWrap/>
            <w:vAlign w:val="center"/>
          </w:tcPr>
          <w:p w14:paraId="74AD07D3" w14:textId="77777777" w:rsidR="00986DE0" w:rsidRPr="00C75499" w:rsidRDefault="00986DE0" w:rsidP="003C7140">
            <w:pPr>
              <w:jc w:val="center"/>
              <w:rPr>
                <w:rFonts w:ascii="Lato" w:hAnsi="Lato" w:cstheme="minorHAnsi"/>
                <w:bCs/>
              </w:rPr>
            </w:pPr>
            <w:r w:rsidRPr="00C75499">
              <w:rPr>
                <w:rFonts w:ascii="Lato" w:hAnsi="Lato" w:cstheme="minorHAnsi"/>
                <w:bCs/>
              </w:rPr>
              <w:t>2</w:t>
            </w:r>
          </w:p>
        </w:tc>
        <w:tc>
          <w:tcPr>
            <w:tcW w:w="992" w:type="dxa"/>
            <w:tcBorders>
              <w:top w:val="single" w:sz="4" w:space="0" w:color="auto"/>
              <w:left w:val="single" w:sz="4" w:space="0" w:color="auto"/>
              <w:bottom w:val="single" w:sz="4" w:space="0" w:color="auto"/>
              <w:right w:val="single" w:sz="4" w:space="0" w:color="auto"/>
            </w:tcBorders>
            <w:noWrap/>
            <w:vAlign w:val="center"/>
          </w:tcPr>
          <w:p w14:paraId="2D1217F3" w14:textId="77777777" w:rsidR="00986DE0" w:rsidRPr="00C75499" w:rsidRDefault="00986DE0" w:rsidP="003C7140">
            <w:pPr>
              <w:jc w:val="center"/>
              <w:rPr>
                <w:rFonts w:ascii="Lato" w:hAnsi="Lato" w:cstheme="minorHAnsi"/>
                <w:bCs/>
              </w:rPr>
            </w:pPr>
            <w:r>
              <w:rPr>
                <w:rFonts w:ascii="Lato" w:hAnsi="Lato" w:cstheme="minorHAnsi"/>
                <w:bCs/>
              </w:rPr>
              <w:t>29</w:t>
            </w:r>
          </w:p>
        </w:tc>
      </w:tr>
      <w:tr w:rsidR="00986DE0" w:rsidRPr="00C35EAE" w14:paraId="6D305579" w14:textId="77777777" w:rsidTr="003C7140">
        <w:trPr>
          <w:trHeight w:val="533"/>
          <w:jc w:val="center"/>
        </w:trPr>
        <w:tc>
          <w:tcPr>
            <w:tcW w:w="3154" w:type="dxa"/>
            <w:gridSpan w:val="2"/>
            <w:tcBorders>
              <w:top w:val="single" w:sz="4" w:space="0" w:color="auto"/>
              <w:left w:val="single" w:sz="4" w:space="0" w:color="auto"/>
              <w:bottom w:val="single" w:sz="4" w:space="0" w:color="auto"/>
              <w:right w:val="single" w:sz="4" w:space="0" w:color="auto"/>
            </w:tcBorders>
            <w:vAlign w:val="center"/>
          </w:tcPr>
          <w:p w14:paraId="2FA63CF5" w14:textId="77777777" w:rsidR="00986DE0" w:rsidRPr="00C75499" w:rsidRDefault="00986DE0" w:rsidP="003C7140">
            <w:pPr>
              <w:rPr>
                <w:rFonts w:ascii="Lato" w:hAnsi="Lato" w:cs="Calibri"/>
                <w:bCs/>
                <w:sz w:val="20"/>
                <w:szCs w:val="20"/>
              </w:rPr>
            </w:pPr>
            <w:r w:rsidRPr="00C75499">
              <w:rPr>
                <w:rFonts w:ascii="Lato" w:hAnsi="Lato" w:cs="Calibri"/>
                <w:bCs/>
                <w:sz w:val="20"/>
                <w:szCs w:val="20"/>
              </w:rPr>
              <w:t>Przychodnie, ośrodki, poradnie, ambulatoria - ogółem</w:t>
            </w:r>
          </w:p>
        </w:tc>
        <w:tc>
          <w:tcPr>
            <w:tcW w:w="1276" w:type="dxa"/>
            <w:tcBorders>
              <w:top w:val="single" w:sz="4" w:space="0" w:color="auto"/>
              <w:left w:val="single" w:sz="4" w:space="0" w:color="auto"/>
              <w:bottom w:val="single" w:sz="4" w:space="0" w:color="auto"/>
              <w:right w:val="single" w:sz="4" w:space="0" w:color="auto"/>
            </w:tcBorders>
            <w:noWrap/>
            <w:vAlign w:val="center"/>
          </w:tcPr>
          <w:p w14:paraId="177D446B" w14:textId="77777777" w:rsidR="00986DE0" w:rsidRPr="00C75499" w:rsidRDefault="00986DE0" w:rsidP="003C7140">
            <w:pPr>
              <w:jc w:val="center"/>
              <w:rPr>
                <w:rFonts w:ascii="Lato" w:hAnsi="Lato" w:cstheme="minorHAnsi"/>
                <w:bCs/>
              </w:rPr>
            </w:pPr>
            <w:r w:rsidRPr="00C75499">
              <w:rPr>
                <w:rFonts w:ascii="Lato" w:hAnsi="Lato" w:cstheme="minorHAnsi"/>
                <w:bCs/>
              </w:rPr>
              <w:t>1048</w:t>
            </w:r>
          </w:p>
        </w:tc>
        <w:tc>
          <w:tcPr>
            <w:tcW w:w="1656" w:type="dxa"/>
            <w:tcBorders>
              <w:top w:val="single" w:sz="4" w:space="0" w:color="auto"/>
              <w:left w:val="single" w:sz="4" w:space="0" w:color="auto"/>
              <w:bottom w:val="single" w:sz="4" w:space="0" w:color="auto"/>
              <w:right w:val="single" w:sz="4" w:space="0" w:color="auto"/>
            </w:tcBorders>
            <w:noWrap/>
            <w:vAlign w:val="center"/>
          </w:tcPr>
          <w:p w14:paraId="3BB6864D" w14:textId="77777777" w:rsidR="00986DE0" w:rsidRPr="00C75499" w:rsidRDefault="00986DE0" w:rsidP="003C7140">
            <w:pPr>
              <w:jc w:val="center"/>
              <w:rPr>
                <w:rFonts w:ascii="Lato" w:hAnsi="Lato" w:cstheme="minorHAnsi"/>
                <w:bCs/>
              </w:rPr>
            </w:pPr>
            <w:r w:rsidRPr="00C75499">
              <w:rPr>
                <w:rFonts w:ascii="Lato" w:hAnsi="Lato" w:cstheme="minorHAnsi"/>
                <w:bCs/>
              </w:rPr>
              <w:t>631</w:t>
            </w:r>
          </w:p>
        </w:tc>
        <w:tc>
          <w:tcPr>
            <w:tcW w:w="992" w:type="dxa"/>
            <w:tcBorders>
              <w:top w:val="single" w:sz="4" w:space="0" w:color="auto"/>
              <w:left w:val="single" w:sz="4" w:space="0" w:color="auto"/>
              <w:bottom w:val="single" w:sz="4" w:space="0" w:color="auto"/>
              <w:right w:val="single" w:sz="4" w:space="0" w:color="auto"/>
            </w:tcBorders>
            <w:noWrap/>
            <w:vAlign w:val="center"/>
          </w:tcPr>
          <w:p w14:paraId="644B121C" w14:textId="77777777" w:rsidR="00986DE0" w:rsidRPr="00C75499" w:rsidRDefault="00986DE0" w:rsidP="003C7140">
            <w:pPr>
              <w:jc w:val="center"/>
              <w:rPr>
                <w:rFonts w:ascii="Lato" w:hAnsi="Lato" w:cstheme="minorHAnsi"/>
                <w:bCs/>
              </w:rPr>
            </w:pPr>
            <w:r w:rsidRPr="00C75499">
              <w:rPr>
                <w:rFonts w:ascii="Lato" w:hAnsi="Lato" w:cstheme="minorHAnsi"/>
                <w:bCs/>
              </w:rPr>
              <w:t>60</w:t>
            </w:r>
          </w:p>
        </w:tc>
        <w:tc>
          <w:tcPr>
            <w:tcW w:w="1559" w:type="dxa"/>
            <w:tcBorders>
              <w:top w:val="single" w:sz="4" w:space="0" w:color="auto"/>
              <w:left w:val="single" w:sz="4" w:space="0" w:color="auto"/>
              <w:bottom w:val="single" w:sz="4" w:space="0" w:color="auto"/>
              <w:right w:val="single" w:sz="4" w:space="0" w:color="auto"/>
            </w:tcBorders>
            <w:noWrap/>
            <w:vAlign w:val="center"/>
          </w:tcPr>
          <w:p w14:paraId="2F02A9B8" w14:textId="77777777" w:rsidR="00986DE0" w:rsidRPr="00C75499" w:rsidRDefault="00986DE0" w:rsidP="003C7140">
            <w:pPr>
              <w:jc w:val="center"/>
              <w:rPr>
                <w:rFonts w:ascii="Lato" w:hAnsi="Lato" w:cstheme="minorHAnsi"/>
                <w:bCs/>
              </w:rPr>
            </w:pPr>
            <w:r w:rsidRPr="00C75499">
              <w:rPr>
                <w:rFonts w:ascii="Lato" w:hAnsi="Lato" w:cstheme="minorHAnsi"/>
                <w:bCs/>
              </w:rPr>
              <w:t>71</w:t>
            </w:r>
          </w:p>
        </w:tc>
        <w:tc>
          <w:tcPr>
            <w:tcW w:w="992" w:type="dxa"/>
            <w:tcBorders>
              <w:top w:val="single" w:sz="4" w:space="0" w:color="auto"/>
              <w:left w:val="single" w:sz="4" w:space="0" w:color="auto"/>
              <w:bottom w:val="single" w:sz="4" w:space="0" w:color="auto"/>
              <w:right w:val="single" w:sz="4" w:space="0" w:color="auto"/>
            </w:tcBorders>
            <w:noWrap/>
            <w:vAlign w:val="center"/>
          </w:tcPr>
          <w:p w14:paraId="1435C0C1" w14:textId="77777777" w:rsidR="00986DE0" w:rsidRPr="00C75499" w:rsidRDefault="00986DE0" w:rsidP="003C7140">
            <w:pPr>
              <w:jc w:val="center"/>
              <w:rPr>
                <w:rFonts w:ascii="Lato" w:hAnsi="Lato" w:cstheme="minorHAnsi"/>
                <w:bCs/>
              </w:rPr>
            </w:pPr>
            <w:r w:rsidRPr="00C75499">
              <w:rPr>
                <w:rFonts w:ascii="Lato" w:hAnsi="Lato" w:cstheme="minorHAnsi"/>
                <w:bCs/>
              </w:rPr>
              <w:t>11</w:t>
            </w:r>
          </w:p>
        </w:tc>
      </w:tr>
      <w:tr w:rsidR="00986DE0" w:rsidRPr="00C35EAE" w14:paraId="70AA8772" w14:textId="77777777" w:rsidTr="003C7140">
        <w:trPr>
          <w:trHeight w:val="540"/>
          <w:jc w:val="center"/>
        </w:trPr>
        <w:tc>
          <w:tcPr>
            <w:tcW w:w="3154" w:type="dxa"/>
            <w:gridSpan w:val="2"/>
            <w:tcBorders>
              <w:top w:val="single" w:sz="4" w:space="0" w:color="auto"/>
              <w:left w:val="single" w:sz="4" w:space="0" w:color="auto"/>
              <w:bottom w:val="single" w:sz="4" w:space="0" w:color="auto"/>
              <w:right w:val="single" w:sz="4" w:space="0" w:color="auto"/>
            </w:tcBorders>
            <w:vAlign w:val="center"/>
          </w:tcPr>
          <w:p w14:paraId="724BE6FC" w14:textId="77777777" w:rsidR="00986DE0" w:rsidRPr="00C75499" w:rsidRDefault="00986DE0" w:rsidP="003C7140">
            <w:pPr>
              <w:rPr>
                <w:rFonts w:ascii="Lato" w:hAnsi="Lato" w:cs="Calibri"/>
                <w:bCs/>
                <w:sz w:val="20"/>
                <w:szCs w:val="20"/>
              </w:rPr>
            </w:pPr>
            <w:r w:rsidRPr="00C75499">
              <w:rPr>
                <w:rFonts w:ascii="Lato" w:hAnsi="Lato" w:cs="Calibri"/>
                <w:bCs/>
                <w:sz w:val="20"/>
                <w:szCs w:val="20"/>
              </w:rPr>
              <w:t>Zakłady badań diagnostycznych i medyczne laboratoria diagnostyczne</w:t>
            </w:r>
          </w:p>
        </w:tc>
        <w:tc>
          <w:tcPr>
            <w:tcW w:w="1276" w:type="dxa"/>
            <w:tcBorders>
              <w:top w:val="single" w:sz="4" w:space="0" w:color="auto"/>
              <w:left w:val="single" w:sz="4" w:space="0" w:color="auto"/>
              <w:bottom w:val="single" w:sz="4" w:space="0" w:color="auto"/>
              <w:right w:val="single" w:sz="4" w:space="0" w:color="auto"/>
            </w:tcBorders>
            <w:noWrap/>
            <w:vAlign w:val="center"/>
          </w:tcPr>
          <w:p w14:paraId="64E93E44" w14:textId="77777777" w:rsidR="00986DE0" w:rsidRPr="00C75499" w:rsidRDefault="00986DE0" w:rsidP="003C7140">
            <w:pPr>
              <w:jc w:val="center"/>
              <w:rPr>
                <w:rFonts w:ascii="Lato" w:hAnsi="Lato" w:cstheme="minorHAnsi"/>
                <w:bCs/>
              </w:rPr>
            </w:pPr>
            <w:r w:rsidRPr="00C75499">
              <w:rPr>
                <w:rFonts w:ascii="Lato" w:hAnsi="Lato" w:cstheme="minorHAnsi"/>
                <w:bCs/>
              </w:rPr>
              <w:t>51</w:t>
            </w:r>
          </w:p>
        </w:tc>
        <w:tc>
          <w:tcPr>
            <w:tcW w:w="1656" w:type="dxa"/>
            <w:tcBorders>
              <w:top w:val="single" w:sz="4" w:space="0" w:color="auto"/>
              <w:left w:val="single" w:sz="4" w:space="0" w:color="auto"/>
              <w:bottom w:val="single" w:sz="4" w:space="0" w:color="auto"/>
              <w:right w:val="single" w:sz="4" w:space="0" w:color="auto"/>
            </w:tcBorders>
            <w:noWrap/>
            <w:vAlign w:val="center"/>
          </w:tcPr>
          <w:p w14:paraId="6306A61F" w14:textId="77777777" w:rsidR="00986DE0" w:rsidRPr="00C75499" w:rsidRDefault="00986DE0" w:rsidP="003C7140">
            <w:pPr>
              <w:jc w:val="center"/>
              <w:rPr>
                <w:rFonts w:ascii="Lato" w:hAnsi="Lato" w:cstheme="minorHAnsi"/>
                <w:bCs/>
              </w:rPr>
            </w:pPr>
            <w:r w:rsidRPr="00C75499">
              <w:rPr>
                <w:rFonts w:ascii="Lato" w:hAnsi="Lato" w:cstheme="minorHAnsi"/>
                <w:bCs/>
              </w:rPr>
              <w:t>27</w:t>
            </w:r>
          </w:p>
        </w:tc>
        <w:tc>
          <w:tcPr>
            <w:tcW w:w="992" w:type="dxa"/>
            <w:tcBorders>
              <w:top w:val="single" w:sz="4" w:space="0" w:color="auto"/>
              <w:left w:val="single" w:sz="4" w:space="0" w:color="auto"/>
              <w:bottom w:val="single" w:sz="4" w:space="0" w:color="auto"/>
              <w:right w:val="single" w:sz="4" w:space="0" w:color="auto"/>
            </w:tcBorders>
            <w:noWrap/>
            <w:vAlign w:val="center"/>
          </w:tcPr>
          <w:p w14:paraId="111FD0ED" w14:textId="77777777" w:rsidR="00986DE0" w:rsidRPr="00C75499" w:rsidRDefault="00986DE0" w:rsidP="003C7140">
            <w:pPr>
              <w:jc w:val="center"/>
              <w:rPr>
                <w:rFonts w:ascii="Lato" w:hAnsi="Lato" w:cstheme="minorHAnsi"/>
                <w:bCs/>
              </w:rPr>
            </w:pPr>
            <w:r w:rsidRPr="00C75499">
              <w:rPr>
                <w:rFonts w:ascii="Lato" w:hAnsi="Lato" w:cstheme="minorHAnsi"/>
                <w:bCs/>
              </w:rPr>
              <w:t>5</w:t>
            </w:r>
            <w:r>
              <w:rPr>
                <w:rFonts w:ascii="Lato" w:hAnsi="Lato" w:cstheme="minorHAnsi"/>
                <w:bCs/>
              </w:rPr>
              <w:t>3</w:t>
            </w:r>
          </w:p>
        </w:tc>
        <w:tc>
          <w:tcPr>
            <w:tcW w:w="1559" w:type="dxa"/>
            <w:tcBorders>
              <w:top w:val="single" w:sz="4" w:space="0" w:color="auto"/>
              <w:left w:val="single" w:sz="4" w:space="0" w:color="auto"/>
              <w:bottom w:val="single" w:sz="4" w:space="0" w:color="auto"/>
              <w:right w:val="single" w:sz="4" w:space="0" w:color="auto"/>
            </w:tcBorders>
            <w:noWrap/>
            <w:vAlign w:val="center"/>
          </w:tcPr>
          <w:p w14:paraId="0C9EC986" w14:textId="77777777" w:rsidR="00986DE0" w:rsidRPr="00C75499" w:rsidRDefault="00986DE0" w:rsidP="003C7140">
            <w:pPr>
              <w:jc w:val="center"/>
              <w:rPr>
                <w:rFonts w:ascii="Lato" w:hAnsi="Lato" w:cstheme="minorHAnsi"/>
                <w:bCs/>
              </w:rPr>
            </w:pPr>
            <w:r w:rsidRPr="00C75499">
              <w:rPr>
                <w:rFonts w:ascii="Lato" w:hAnsi="Lato" w:cstheme="minorHAnsi"/>
                <w:bCs/>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42A5E0B6" w14:textId="77777777" w:rsidR="00986DE0" w:rsidRPr="00C75499" w:rsidRDefault="00986DE0" w:rsidP="003C7140">
            <w:pPr>
              <w:jc w:val="center"/>
              <w:rPr>
                <w:rFonts w:ascii="Lato" w:hAnsi="Lato" w:cstheme="minorHAnsi"/>
                <w:bCs/>
              </w:rPr>
            </w:pPr>
            <w:r w:rsidRPr="00C75499">
              <w:rPr>
                <w:rFonts w:ascii="Lato" w:hAnsi="Lato" w:cstheme="minorHAnsi"/>
                <w:bCs/>
              </w:rPr>
              <w:t>11</w:t>
            </w:r>
          </w:p>
        </w:tc>
      </w:tr>
      <w:tr w:rsidR="00986DE0" w:rsidRPr="00C35EAE" w14:paraId="147776AF" w14:textId="77777777" w:rsidTr="003C7140">
        <w:trPr>
          <w:trHeight w:val="315"/>
          <w:jc w:val="center"/>
        </w:trPr>
        <w:tc>
          <w:tcPr>
            <w:tcW w:w="3154" w:type="dxa"/>
            <w:gridSpan w:val="2"/>
            <w:tcBorders>
              <w:top w:val="single" w:sz="4" w:space="0" w:color="auto"/>
              <w:left w:val="single" w:sz="4" w:space="0" w:color="auto"/>
              <w:bottom w:val="single" w:sz="4" w:space="0" w:color="auto"/>
              <w:right w:val="single" w:sz="4" w:space="0" w:color="auto"/>
            </w:tcBorders>
            <w:vAlign w:val="center"/>
          </w:tcPr>
          <w:p w14:paraId="591B1EBE" w14:textId="77777777" w:rsidR="00986DE0" w:rsidRPr="00C75499" w:rsidRDefault="00986DE0" w:rsidP="003C7140">
            <w:pPr>
              <w:rPr>
                <w:rFonts w:ascii="Lato" w:hAnsi="Lato" w:cs="Calibri"/>
                <w:bCs/>
                <w:sz w:val="20"/>
                <w:szCs w:val="20"/>
              </w:rPr>
            </w:pPr>
            <w:r w:rsidRPr="00C75499">
              <w:rPr>
                <w:rFonts w:ascii="Lato" w:hAnsi="Lato" w:cs="Calibri"/>
                <w:bCs/>
                <w:sz w:val="20"/>
                <w:szCs w:val="20"/>
              </w:rPr>
              <w:t>Zakłady rehabilitacji leczniczej</w:t>
            </w:r>
          </w:p>
        </w:tc>
        <w:tc>
          <w:tcPr>
            <w:tcW w:w="1276" w:type="dxa"/>
            <w:tcBorders>
              <w:top w:val="single" w:sz="4" w:space="0" w:color="auto"/>
              <w:left w:val="single" w:sz="4" w:space="0" w:color="auto"/>
              <w:bottom w:val="single" w:sz="4" w:space="0" w:color="auto"/>
              <w:right w:val="single" w:sz="4" w:space="0" w:color="auto"/>
            </w:tcBorders>
            <w:noWrap/>
            <w:vAlign w:val="center"/>
          </w:tcPr>
          <w:p w14:paraId="00774275" w14:textId="77777777" w:rsidR="00986DE0" w:rsidRPr="00C75499" w:rsidRDefault="00986DE0" w:rsidP="003C7140">
            <w:pPr>
              <w:jc w:val="center"/>
              <w:rPr>
                <w:rFonts w:ascii="Lato" w:hAnsi="Lato" w:cstheme="minorHAnsi"/>
                <w:bCs/>
              </w:rPr>
            </w:pPr>
            <w:r w:rsidRPr="00C75499">
              <w:rPr>
                <w:rFonts w:ascii="Lato" w:hAnsi="Lato" w:cstheme="minorHAnsi"/>
                <w:bCs/>
              </w:rPr>
              <w:t>101</w:t>
            </w:r>
          </w:p>
        </w:tc>
        <w:tc>
          <w:tcPr>
            <w:tcW w:w="1656" w:type="dxa"/>
            <w:tcBorders>
              <w:top w:val="single" w:sz="4" w:space="0" w:color="auto"/>
              <w:left w:val="single" w:sz="4" w:space="0" w:color="auto"/>
              <w:bottom w:val="single" w:sz="4" w:space="0" w:color="auto"/>
              <w:right w:val="single" w:sz="4" w:space="0" w:color="auto"/>
            </w:tcBorders>
            <w:noWrap/>
            <w:vAlign w:val="center"/>
          </w:tcPr>
          <w:p w14:paraId="7A3D3766" w14:textId="77777777" w:rsidR="00986DE0" w:rsidRPr="00C75499" w:rsidRDefault="00986DE0" w:rsidP="003C7140">
            <w:pPr>
              <w:jc w:val="center"/>
              <w:rPr>
                <w:rFonts w:ascii="Lato" w:hAnsi="Lato" w:cstheme="minorHAnsi"/>
                <w:bCs/>
              </w:rPr>
            </w:pPr>
            <w:r w:rsidRPr="00C75499">
              <w:rPr>
                <w:rFonts w:ascii="Lato" w:hAnsi="Lato" w:cstheme="minorHAnsi"/>
                <w:bCs/>
              </w:rPr>
              <w:t>32</w:t>
            </w:r>
          </w:p>
        </w:tc>
        <w:tc>
          <w:tcPr>
            <w:tcW w:w="992" w:type="dxa"/>
            <w:tcBorders>
              <w:top w:val="single" w:sz="4" w:space="0" w:color="auto"/>
              <w:left w:val="single" w:sz="4" w:space="0" w:color="auto"/>
              <w:bottom w:val="single" w:sz="4" w:space="0" w:color="auto"/>
              <w:right w:val="single" w:sz="4" w:space="0" w:color="auto"/>
            </w:tcBorders>
            <w:noWrap/>
            <w:vAlign w:val="center"/>
          </w:tcPr>
          <w:p w14:paraId="19834D67" w14:textId="77777777" w:rsidR="00986DE0" w:rsidRPr="00C75499" w:rsidRDefault="00986DE0" w:rsidP="003C7140">
            <w:pPr>
              <w:jc w:val="center"/>
              <w:rPr>
                <w:rFonts w:ascii="Lato" w:hAnsi="Lato" w:cstheme="minorHAnsi"/>
                <w:bCs/>
              </w:rPr>
            </w:pPr>
            <w:r w:rsidRPr="00C75499">
              <w:rPr>
                <w:rFonts w:ascii="Lato" w:hAnsi="Lato" w:cstheme="minorHAnsi"/>
                <w:bCs/>
              </w:rPr>
              <w:t>3</w:t>
            </w:r>
            <w:r>
              <w:rPr>
                <w:rFonts w:ascii="Lato" w:hAnsi="Lato" w:cstheme="minorHAnsi"/>
                <w:bCs/>
              </w:rPr>
              <w:t>2</w:t>
            </w:r>
          </w:p>
        </w:tc>
        <w:tc>
          <w:tcPr>
            <w:tcW w:w="1559" w:type="dxa"/>
            <w:tcBorders>
              <w:top w:val="single" w:sz="4" w:space="0" w:color="auto"/>
              <w:left w:val="single" w:sz="4" w:space="0" w:color="auto"/>
              <w:bottom w:val="single" w:sz="4" w:space="0" w:color="auto"/>
              <w:right w:val="single" w:sz="4" w:space="0" w:color="auto"/>
            </w:tcBorders>
            <w:noWrap/>
            <w:vAlign w:val="center"/>
          </w:tcPr>
          <w:p w14:paraId="5D3D257C" w14:textId="77777777" w:rsidR="00986DE0" w:rsidRPr="00C75499" w:rsidRDefault="00986DE0" w:rsidP="003C7140">
            <w:pPr>
              <w:jc w:val="center"/>
              <w:rPr>
                <w:rFonts w:ascii="Lato" w:hAnsi="Lato" w:cstheme="minorHAnsi"/>
                <w:bCs/>
              </w:rPr>
            </w:pPr>
            <w:r w:rsidRPr="00C75499">
              <w:rPr>
                <w:rFonts w:ascii="Lato" w:hAnsi="Lato" w:cstheme="minorHAnsi"/>
                <w:bCs/>
              </w:rPr>
              <w:t>8</w:t>
            </w:r>
          </w:p>
        </w:tc>
        <w:tc>
          <w:tcPr>
            <w:tcW w:w="992" w:type="dxa"/>
            <w:tcBorders>
              <w:top w:val="single" w:sz="4" w:space="0" w:color="auto"/>
              <w:left w:val="single" w:sz="4" w:space="0" w:color="auto"/>
              <w:bottom w:val="single" w:sz="4" w:space="0" w:color="auto"/>
              <w:right w:val="single" w:sz="4" w:space="0" w:color="auto"/>
            </w:tcBorders>
            <w:noWrap/>
            <w:vAlign w:val="center"/>
          </w:tcPr>
          <w:p w14:paraId="0DD3E150" w14:textId="77777777" w:rsidR="00986DE0" w:rsidRPr="00C75499" w:rsidRDefault="00986DE0" w:rsidP="003C7140">
            <w:pPr>
              <w:jc w:val="center"/>
              <w:rPr>
                <w:rFonts w:ascii="Lato" w:hAnsi="Lato" w:cstheme="minorHAnsi"/>
                <w:bCs/>
              </w:rPr>
            </w:pPr>
            <w:r w:rsidRPr="00C75499">
              <w:rPr>
                <w:rFonts w:ascii="Lato" w:hAnsi="Lato" w:cstheme="minorHAnsi"/>
                <w:bCs/>
              </w:rPr>
              <w:t>25</w:t>
            </w:r>
          </w:p>
        </w:tc>
      </w:tr>
      <w:tr w:rsidR="00986DE0" w:rsidRPr="00C35EAE" w14:paraId="0702285A" w14:textId="77777777" w:rsidTr="003C7140">
        <w:trPr>
          <w:trHeight w:val="426"/>
          <w:jc w:val="center"/>
        </w:trPr>
        <w:tc>
          <w:tcPr>
            <w:tcW w:w="3154" w:type="dxa"/>
            <w:gridSpan w:val="2"/>
            <w:tcBorders>
              <w:top w:val="single" w:sz="4" w:space="0" w:color="auto"/>
              <w:left w:val="single" w:sz="4" w:space="0" w:color="auto"/>
              <w:bottom w:val="single" w:sz="4" w:space="0" w:color="auto"/>
              <w:right w:val="single" w:sz="4" w:space="0" w:color="auto"/>
            </w:tcBorders>
            <w:vAlign w:val="center"/>
          </w:tcPr>
          <w:p w14:paraId="4610C907" w14:textId="77777777" w:rsidR="00986DE0" w:rsidRPr="00C75499" w:rsidRDefault="00986DE0" w:rsidP="003C7140">
            <w:pPr>
              <w:rPr>
                <w:rFonts w:ascii="Lato" w:hAnsi="Lato" w:cs="Calibri"/>
                <w:bCs/>
                <w:sz w:val="20"/>
                <w:szCs w:val="20"/>
              </w:rPr>
            </w:pPr>
            <w:r w:rsidRPr="00C75499">
              <w:rPr>
                <w:rFonts w:ascii="Lato" w:hAnsi="Lato" w:cs="Calibri"/>
                <w:bCs/>
                <w:sz w:val="20"/>
                <w:szCs w:val="20"/>
              </w:rPr>
              <w:t xml:space="preserve">Inne ogółem </w:t>
            </w:r>
          </w:p>
        </w:tc>
        <w:tc>
          <w:tcPr>
            <w:tcW w:w="1276" w:type="dxa"/>
            <w:tcBorders>
              <w:top w:val="single" w:sz="4" w:space="0" w:color="auto"/>
              <w:left w:val="single" w:sz="4" w:space="0" w:color="auto"/>
              <w:bottom w:val="single" w:sz="4" w:space="0" w:color="auto"/>
              <w:right w:val="single" w:sz="4" w:space="0" w:color="auto"/>
            </w:tcBorders>
            <w:noWrap/>
            <w:vAlign w:val="center"/>
          </w:tcPr>
          <w:p w14:paraId="0CFCE6E4" w14:textId="77777777" w:rsidR="00986DE0" w:rsidRPr="00C75499" w:rsidRDefault="00986DE0" w:rsidP="003C7140">
            <w:pPr>
              <w:jc w:val="center"/>
              <w:rPr>
                <w:rFonts w:ascii="Lato" w:hAnsi="Lato" w:cstheme="minorHAnsi"/>
                <w:bCs/>
              </w:rPr>
            </w:pPr>
            <w:r w:rsidRPr="00C75499">
              <w:rPr>
                <w:rFonts w:ascii="Lato" w:hAnsi="Lato" w:cstheme="minorHAnsi"/>
                <w:bCs/>
              </w:rPr>
              <w:t>509</w:t>
            </w:r>
          </w:p>
        </w:tc>
        <w:tc>
          <w:tcPr>
            <w:tcW w:w="1656" w:type="dxa"/>
            <w:tcBorders>
              <w:top w:val="single" w:sz="4" w:space="0" w:color="auto"/>
              <w:left w:val="single" w:sz="4" w:space="0" w:color="auto"/>
              <w:bottom w:val="single" w:sz="4" w:space="0" w:color="auto"/>
              <w:right w:val="single" w:sz="4" w:space="0" w:color="auto"/>
            </w:tcBorders>
            <w:noWrap/>
            <w:vAlign w:val="center"/>
          </w:tcPr>
          <w:p w14:paraId="5D326808" w14:textId="77777777" w:rsidR="00986DE0" w:rsidRPr="00C75499" w:rsidRDefault="00986DE0" w:rsidP="003C7140">
            <w:pPr>
              <w:jc w:val="center"/>
              <w:rPr>
                <w:rFonts w:ascii="Lato" w:hAnsi="Lato" w:cstheme="minorHAnsi"/>
                <w:bCs/>
              </w:rPr>
            </w:pPr>
            <w:r w:rsidRPr="00C75499">
              <w:rPr>
                <w:rFonts w:ascii="Lato" w:hAnsi="Lato" w:cstheme="minorHAnsi"/>
                <w:bCs/>
              </w:rPr>
              <w:t>144</w:t>
            </w:r>
          </w:p>
        </w:tc>
        <w:tc>
          <w:tcPr>
            <w:tcW w:w="992" w:type="dxa"/>
            <w:tcBorders>
              <w:top w:val="single" w:sz="4" w:space="0" w:color="auto"/>
              <w:left w:val="single" w:sz="4" w:space="0" w:color="auto"/>
              <w:bottom w:val="single" w:sz="4" w:space="0" w:color="auto"/>
              <w:right w:val="single" w:sz="4" w:space="0" w:color="auto"/>
            </w:tcBorders>
            <w:noWrap/>
            <w:vAlign w:val="center"/>
          </w:tcPr>
          <w:p w14:paraId="71CDE560" w14:textId="77777777" w:rsidR="00986DE0" w:rsidRPr="00C75499" w:rsidRDefault="00986DE0" w:rsidP="003C7140">
            <w:pPr>
              <w:jc w:val="center"/>
              <w:rPr>
                <w:rFonts w:ascii="Lato" w:hAnsi="Lato" w:cstheme="minorHAnsi"/>
                <w:bCs/>
              </w:rPr>
            </w:pPr>
            <w:r w:rsidRPr="00C75499">
              <w:rPr>
                <w:rFonts w:ascii="Lato" w:hAnsi="Lato" w:cstheme="minorHAnsi"/>
                <w:bCs/>
              </w:rPr>
              <w:t>28</w:t>
            </w:r>
          </w:p>
        </w:tc>
        <w:tc>
          <w:tcPr>
            <w:tcW w:w="1559" w:type="dxa"/>
            <w:tcBorders>
              <w:top w:val="single" w:sz="4" w:space="0" w:color="auto"/>
              <w:left w:val="single" w:sz="4" w:space="0" w:color="auto"/>
              <w:bottom w:val="single" w:sz="4" w:space="0" w:color="auto"/>
              <w:right w:val="single" w:sz="4" w:space="0" w:color="auto"/>
            </w:tcBorders>
            <w:noWrap/>
            <w:vAlign w:val="center"/>
          </w:tcPr>
          <w:p w14:paraId="02E5985A" w14:textId="77777777" w:rsidR="00986DE0" w:rsidRPr="00C75499" w:rsidRDefault="00986DE0" w:rsidP="003C7140">
            <w:pPr>
              <w:jc w:val="center"/>
              <w:rPr>
                <w:rFonts w:ascii="Lato" w:hAnsi="Lato" w:cstheme="minorHAnsi"/>
                <w:bCs/>
              </w:rPr>
            </w:pPr>
            <w:r w:rsidRPr="00C75499">
              <w:rPr>
                <w:rFonts w:ascii="Lato" w:hAnsi="Lato" w:cstheme="minorHAnsi"/>
                <w:bCs/>
              </w:rPr>
              <w:t>9</w:t>
            </w:r>
          </w:p>
        </w:tc>
        <w:tc>
          <w:tcPr>
            <w:tcW w:w="992" w:type="dxa"/>
            <w:tcBorders>
              <w:top w:val="single" w:sz="4" w:space="0" w:color="auto"/>
              <w:left w:val="single" w:sz="4" w:space="0" w:color="auto"/>
              <w:bottom w:val="single" w:sz="4" w:space="0" w:color="auto"/>
              <w:right w:val="single" w:sz="4" w:space="0" w:color="auto"/>
            </w:tcBorders>
            <w:noWrap/>
            <w:vAlign w:val="center"/>
          </w:tcPr>
          <w:p w14:paraId="3D126D91" w14:textId="77777777" w:rsidR="00986DE0" w:rsidRPr="00C75499" w:rsidRDefault="00986DE0" w:rsidP="003C7140">
            <w:pPr>
              <w:jc w:val="center"/>
              <w:rPr>
                <w:rFonts w:ascii="Lato" w:hAnsi="Lato" w:cstheme="minorHAnsi"/>
                <w:bCs/>
              </w:rPr>
            </w:pPr>
            <w:r w:rsidRPr="00C75499">
              <w:rPr>
                <w:rFonts w:ascii="Lato" w:hAnsi="Lato" w:cstheme="minorHAnsi"/>
                <w:bCs/>
              </w:rPr>
              <w:t>6</w:t>
            </w:r>
          </w:p>
        </w:tc>
      </w:tr>
      <w:tr w:rsidR="00986DE0" w:rsidRPr="00C35EAE" w14:paraId="64735053" w14:textId="77777777" w:rsidTr="003C7140">
        <w:trPr>
          <w:trHeight w:val="418"/>
          <w:jc w:val="center"/>
        </w:trPr>
        <w:tc>
          <w:tcPr>
            <w:tcW w:w="3154" w:type="dxa"/>
            <w:gridSpan w:val="2"/>
            <w:tcBorders>
              <w:top w:val="single" w:sz="4" w:space="0" w:color="auto"/>
              <w:left w:val="single" w:sz="4" w:space="0" w:color="auto"/>
              <w:bottom w:val="single" w:sz="4" w:space="0" w:color="auto"/>
              <w:right w:val="single" w:sz="4" w:space="0" w:color="auto"/>
            </w:tcBorders>
            <w:vAlign w:val="center"/>
          </w:tcPr>
          <w:p w14:paraId="78D2B28C" w14:textId="77777777" w:rsidR="00986DE0" w:rsidRPr="00C75499" w:rsidRDefault="00986DE0" w:rsidP="003C7140">
            <w:pPr>
              <w:rPr>
                <w:rFonts w:ascii="Lato" w:hAnsi="Lato" w:cs="Calibri"/>
                <w:bCs/>
                <w:sz w:val="20"/>
                <w:szCs w:val="20"/>
              </w:rPr>
            </w:pPr>
            <w:r w:rsidRPr="00C75499">
              <w:rPr>
                <w:rFonts w:ascii="Lato" w:hAnsi="Lato" w:cs="Calibri"/>
                <w:bCs/>
                <w:sz w:val="20"/>
                <w:szCs w:val="20"/>
              </w:rPr>
              <w:t>w tym uzdrowiskowe</w:t>
            </w:r>
          </w:p>
        </w:tc>
        <w:tc>
          <w:tcPr>
            <w:tcW w:w="1276" w:type="dxa"/>
            <w:tcBorders>
              <w:top w:val="single" w:sz="4" w:space="0" w:color="auto"/>
              <w:left w:val="single" w:sz="4" w:space="0" w:color="auto"/>
              <w:bottom w:val="single" w:sz="4" w:space="0" w:color="auto"/>
              <w:right w:val="single" w:sz="4" w:space="0" w:color="auto"/>
            </w:tcBorders>
            <w:noWrap/>
            <w:vAlign w:val="center"/>
          </w:tcPr>
          <w:p w14:paraId="4618AB5B" w14:textId="77777777" w:rsidR="00986DE0" w:rsidRPr="00C75499" w:rsidRDefault="00986DE0" w:rsidP="003C7140">
            <w:pPr>
              <w:jc w:val="center"/>
              <w:rPr>
                <w:rFonts w:ascii="Lato" w:hAnsi="Lato" w:cstheme="minorHAnsi"/>
                <w:bCs/>
              </w:rPr>
            </w:pPr>
            <w:r w:rsidRPr="00C75499">
              <w:rPr>
                <w:rFonts w:ascii="Lato" w:hAnsi="Lato" w:cstheme="minorHAnsi"/>
                <w:bCs/>
              </w:rPr>
              <w:t>0</w:t>
            </w:r>
          </w:p>
        </w:tc>
        <w:tc>
          <w:tcPr>
            <w:tcW w:w="1656" w:type="dxa"/>
            <w:tcBorders>
              <w:top w:val="single" w:sz="4" w:space="0" w:color="auto"/>
              <w:left w:val="single" w:sz="4" w:space="0" w:color="auto"/>
              <w:bottom w:val="single" w:sz="4" w:space="0" w:color="auto"/>
              <w:right w:val="single" w:sz="4" w:space="0" w:color="auto"/>
            </w:tcBorders>
            <w:noWrap/>
            <w:vAlign w:val="center"/>
          </w:tcPr>
          <w:p w14:paraId="3B729DB2" w14:textId="77777777" w:rsidR="00986DE0" w:rsidRPr="00C75499" w:rsidRDefault="00986DE0" w:rsidP="003C7140">
            <w:pPr>
              <w:jc w:val="center"/>
              <w:rPr>
                <w:rFonts w:ascii="Lato" w:hAnsi="Lato" w:cstheme="minorHAnsi"/>
                <w:bCs/>
              </w:rPr>
            </w:pPr>
            <w:r w:rsidRPr="00C75499">
              <w:rPr>
                <w:rFonts w:ascii="Lato" w:hAnsi="Lato" w:cstheme="minorHAnsi"/>
                <w:bCs/>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37189520" w14:textId="77777777" w:rsidR="00986DE0" w:rsidRPr="00C75499" w:rsidRDefault="00986DE0" w:rsidP="003C7140">
            <w:pPr>
              <w:jc w:val="center"/>
              <w:rPr>
                <w:rFonts w:ascii="Lato" w:hAnsi="Lato" w:cstheme="minorHAnsi"/>
                <w:bCs/>
              </w:rPr>
            </w:pPr>
            <w:r w:rsidRPr="00C75499">
              <w:rPr>
                <w:rFonts w:ascii="Lato" w:hAnsi="Lato" w:cstheme="minorHAnsi"/>
                <w:bCs/>
              </w:rPr>
              <w:t>0</w:t>
            </w:r>
          </w:p>
        </w:tc>
        <w:tc>
          <w:tcPr>
            <w:tcW w:w="1559" w:type="dxa"/>
            <w:tcBorders>
              <w:top w:val="single" w:sz="4" w:space="0" w:color="auto"/>
              <w:left w:val="single" w:sz="4" w:space="0" w:color="auto"/>
              <w:bottom w:val="single" w:sz="4" w:space="0" w:color="auto"/>
              <w:right w:val="single" w:sz="4" w:space="0" w:color="auto"/>
            </w:tcBorders>
            <w:noWrap/>
            <w:vAlign w:val="center"/>
          </w:tcPr>
          <w:p w14:paraId="451DAFD6" w14:textId="77777777" w:rsidR="00986DE0" w:rsidRPr="00C75499" w:rsidRDefault="00986DE0" w:rsidP="003C7140">
            <w:pPr>
              <w:jc w:val="center"/>
              <w:rPr>
                <w:rFonts w:ascii="Lato" w:hAnsi="Lato" w:cstheme="minorHAnsi"/>
                <w:bCs/>
              </w:rPr>
            </w:pPr>
            <w:r w:rsidRPr="00C75499">
              <w:rPr>
                <w:rFonts w:ascii="Lato" w:hAnsi="Lato" w:cstheme="minorHAnsi"/>
                <w:bCs/>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1EEF7BF6" w14:textId="77777777" w:rsidR="00986DE0" w:rsidRPr="00C75499" w:rsidRDefault="00986DE0" w:rsidP="003C7140">
            <w:pPr>
              <w:jc w:val="center"/>
              <w:rPr>
                <w:rFonts w:ascii="Lato" w:hAnsi="Lato" w:cstheme="minorHAnsi"/>
                <w:bCs/>
              </w:rPr>
            </w:pPr>
            <w:r w:rsidRPr="00C75499">
              <w:rPr>
                <w:rFonts w:ascii="Lato" w:hAnsi="Lato" w:cstheme="minorHAnsi"/>
                <w:bCs/>
              </w:rPr>
              <w:t>0</w:t>
            </w:r>
          </w:p>
        </w:tc>
      </w:tr>
      <w:tr w:rsidR="00986DE0" w:rsidRPr="00C35EAE" w14:paraId="1BD71740" w14:textId="77777777" w:rsidTr="003C7140">
        <w:trPr>
          <w:trHeight w:val="387"/>
          <w:jc w:val="center"/>
        </w:trPr>
        <w:tc>
          <w:tcPr>
            <w:tcW w:w="3154" w:type="dxa"/>
            <w:gridSpan w:val="2"/>
            <w:tcBorders>
              <w:top w:val="single" w:sz="4" w:space="0" w:color="auto"/>
              <w:left w:val="single" w:sz="4" w:space="0" w:color="auto"/>
              <w:bottom w:val="single" w:sz="4" w:space="0" w:color="auto"/>
              <w:right w:val="single" w:sz="4" w:space="0" w:color="auto"/>
            </w:tcBorders>
            <w:vAlign w:val="center"/>
          </w:tcPr>
          <w:p w14:paraId="36DD76B1" w14:textId="77777777" w:rsidR="00986DE0" w:rsidRPr="00C75499" w:rsidRDefault="00986DE0" w:rsidP="003C7140">
            <w:pPr>
              <w:rPr>
                <w:rFonts w:ascii="Lato" w:hAnsi="Lato" w:cs="Calibri"/>
                <w:bCs/>
                <w:sz w:val="20"/>
                <w:szCs w:val="20"/>
              </w:rPr>
            </w:pPr>
            <w:r w:rsidRPr="00C75499">
              <w:rPr>
                <w:rFonts w:ascii="Lato" w:hAnsi="Lato" w:cs="Calibri"/>
                <w:bCs/>
                <w:sz w:val="20"/>
                <w:szCs w:val="20"/>
              </w:rPr>
              <w:t>Ogółem:</w:t>
            </w:r>
          </w:p>
        </w:tc>
        <w:tc>
          <w:tcPr>
            <w:tcW w:w="1276" w:type="dxa"/>
            <w:tcBorders>
              <w:top w:val="single" w:sz="4" w:space="0" w:color="auto"/>
              <w:left w:val="single" w:sz="4" w:space="0" w:color="auto"/>
              <w:bottom w:val="single" w:sz="4" w:space="0" w:color="auto"/>
              <w:right w:val="single" w:sz="4" w:space="0" w:color="auto"/>
            </w:tcBorders>
            <w:noWrap/>
            <w:vAlign w:val="center"/>
          </w:tcPr>
          <w:p w14:paraId="691F2569" w14:textId="77777777" w:rsidR="00986DE0" w:rsidRPr="00C75499" w:rsidRDefault="00986DE0" w:rsidP="003C7140">
            <w:pPr>
              <w:jc w:val="center"/>
              <w:rPr>
                <w:rFonts w:ascii="Lato" w:hAnsi="Lato" w:cstheme="minorHAnsi"/>
                <w:bCs/>
              </w:rPr>
            </w:pPr>
            <w:r w:rsidRPr="00C75499">
              <w:rPr>
                <w:rFonts w:ascii="Lato" w:hAnsi="Lato" w:cstheme="minorHAnsi"/>
                <w:bCs/>
              </w:rPr>
              <w:t>1882</w:t>
            </w:r>
          </w:p>
        </w:tc>
        <w:tc>
          <w:tcPr>
            <w:tcW w:w="1656" w:type="dxa"/>
            <w:tcBorders>
              <w:top w:val="single" w:sz="4" w:space="0" w:color="auto"/>
              <w:left w:val="single" w:sz="4" w:space="0" w:color="auto"/>
              <w:bottom w:val="single" w:sz="4" w:space="0" w:color="auto"/>
              <w:right w:val="single" w:sz="4" w:space="0" w:color="auto"/>
            </w:tcBorders>
            <w:noWrap/>
            <w:vAlign w:val="center"/>
          </w:tcPr>
          <w:p w14:paraId="6AEB276D" w14:textId="77777777" w:rsidR="00986DE0" w:rsidRPr="00C75499" w:rsidRDefault="00986DE0" w:rsidP="003C7140">
            <w:pPr>
              <w:jc w:val="center"/>
              <w:rPr>
                <w:rFonts w:ascii="Lato" w:hAnsi="Lato" w:cstheme="minorHAnsi"/>
                <w:bCs/>
              </w:rPr>
            </w:pPr>
            <w:r w:rsidRPr="00C75499">
              <w:rPr>
                <w:rFonts w:ascii="Lato" w:hAnsi="Lato" w:cstheme="minorHAnsi"/>
                <w:bCs/>
              </w:rPr>
              <w:t>965</w:t>
            </w:r>
          </w:p>
        </w:tc>
        <w:tc>
          <w:tcPr>
            <w:tcW w:w="992" w:type="dxa"/>
            <w:tcBorders>
              <w:top w:val="single" w:sz="4" w:space="0" w:color="auto"/>
              <w:left w:val="single" w:sz="4" w:space="0" w:color="auto"/>
              <w:bottom w:val="single" w:sz="4" w:space="0" w:color="auto"/>
              <w:right w:val="single" w:sz="4" w:space="0" w:color="auto"/>
            </w:tcBorders>
            <w:noWrap/>
            <w:vAlign w:val="center"/>
          </w:tcPr>
          <w:p w14:paraId="5A546B38" w14:textId="77777777" w:rsidR="00986DE0" w:rsidRPr="00C75499" w:rsidRDefault="00986DE0" w:rsidP="003C7140">
            <w:pPr>
              <w:jc w:val="center"/>
              <w:rPr>
                <w:rFonts w:ascii="Lato" w:hAnsi="Lato" w:cstheme="minorHAnsi"/>
                <w:bCs/>
              </w:rPr>
            </w:pPr>
            <w:r w:rsidRPr="00C75499">
              <w:rPr>
                <w:rFonts w:ascii="Lato" w:hAnsi="Lato" w:cstheme="minorHAnsi"/>
                <w:bCs/>
              </w:rPr>
              <w:t>51</w:t>
            </w:r>
          </w:p>
        </w:tc>
        <w:tc>
          <w:tcPr>
            <w:tcW w:w="1559" w:type="dxa"/>
            <w:tcBorders>
              <w:top w:val="single" w:sz="4" w:space="0" w:color="auto"/>
              <w:left w:val="single" w:sz="4" w:space="0" w:color="auto"/>
              <w:bottom w:val="single" w:sz="4" w:space="0" w:color="auto"/>
              <w:right w:val="single" w:sz="4" w:space="0" w:color="auto"/>
            </w:tcBorders>
            <w:noWrap/>
            <w:vAlign w:val="center"/>
          </w:tcPr>
          <w:p w14:paraId="73A22F76" w14:textId="77777777" w:rsidR="00986DE0" w:rsidRPr="00C75499" w:rsidRDefault="00986DE0" w:rsidP="003C7140">
            <w:pPr>
              <w:jc w:val="center"/>
              <w:rPr>
                <w:rFonts w:ascii="Lato" w:hAnsi="Lato" w:cstheme="minorHAnsi"/>
                <w:bCs/>
              </w:rPr>
            </w:pPr>
            <w:r w:rsidRPr="00C75499">
              <w:rPr>
                <w:rFonts w:ascii="Lato" w:hAnsi="Lato" w:cstheme="minorHAnsi"/>
                <w:bCs/>
              </w:rPr>
              <w:t>129</w:t>
            </w:r>
          </w:p>
        </w:tc>
        <w:tc>
          <w:tcPr>
            <w:tcW w:w="992" w:type="dxa"/>
            <w:tcBorders>
              <w:top w:val="single" w:sz="4" w:space="0" w:color="auto"/>
              <w:left w:val="single" w:sz="4" w:space="0" w:color="auto"/>
              <w:bottom w:val="single" w:sz="4" w:space="0" w:color="auto"/>
              <w:right w:val="single" w:sz="4" w:space="0" w:color="auto"/>
            </w:tcBorders>
            <w:noWrap/>
            <w:vAlign w:val="center"/>
          </w:tcPr>
          <w:p w14:paraId="3003C631" w14:textId="77777777" w:rsidR="00986DE0" w:rsidRPr="00C75499" w:rsidRDefault="00986DE0" w:rsidP="003C7140">
            <w:pPr>
              <w:jc w:val="center"/>
              <w:rPr>
                <w:rFonts w:ascii="Lato" w:hAnsi="Lato" w:cstheme="minorHAnsi"/>
                <w:bCs/>
              </w:rPr>
            </w:pPr>
            <w:r w:rsidRPr="00C75499">
              <w:rPr>
                <w:rFonts w:ascii="Lato" w:hAnsi="Lato" w:cstheme="minorHAnsi"/>
                <w:bCs/>
              </w:rPr>
              <w:t>13</w:t>
            </w:r>
          </w:p>
        </w:tc>
      </w:tr>
    </w:tbl>
    <w:p w14:paraId="1B60E144" w14:textId="77777777" w:rsidR="00F45A42" w:rsidRDefault="00F45A42" w:rsidP="00EA310A">
      <w:pPr>
        <w:spacing w:line="360" w:lineRule="auto"/>
        <w:rPr>
          <w:rFonts w:ascii="Lato" w:hAnsi="Lato"/>
          <w:sz w:val="22"/>
          <w:szCs w:val="22"/>
        </w:rPr>
      </w:pPr>
      <w:bookmarkStart w:id="89" w:name="_Hlk162336256"/>
    </w:p>
    <w:p w14:paraId="25A3B6BD" w14:textId="5F0D46C5" w:rsidR="00986DE0" w:rsidRPr="00B74DAD" w:rsidRDefault="00986DE0" w:rsidP="00EA310A">
      <w:pPr>
        <w:spacing w:line="360" w:lineRule="auto"/>
        <w:rPr>
          <w:rFonts w:ascii="Lato" w:hAnsi="Lato"/>
          <w:sz w:val="22"/>
          <w:szCs w:val="22"/>
        </w:rPr>
      </w:pPr>
      <w:r w:rsidRPr="00B74DAD">
        <w:rPr>
          <w:rFonts w:ascii="Lato" w:hAnsi="Lato"/>
          <w:sz w:val="22"/>
          <w:szCs w:val="22"/>
        </w:rPr>
        <w:lastRenderedPageBreak/>
        <w:t>Stwierdzone podczas kontroli nieprawidłowości dot. stanu technicznego i</w:t>
      </w:r>
      <w:r w:rsidR="00E31B5B">
        <w:rPr>
          <w:rFonts w:ascii="Lato" w:hAnsi="Lato"/>
          <w:sz w:val="22"/>
          <w:szCs w:val="22"/>
        </w:rPr>
        <w:t> </w:t>
      </w:r>
      <w:r w:rsidRPr="00B74DAD">
        <w:rPr>
          <w:rFonts w:ascii="Lato" w:hAnsi="Lato"/>
          <w:sz w:val="22"/>
          <w:szCs w:val="22"/>
        </w:rPr>
        <w:t xml:space="preserve">funkcjonalnego najczęściej podlegały egzekwowaniu poprzez nakazy objęte decyzjami, natomiast nieprawidłowości związane z bieżącym stanem sanitarnym </w:t>
      </w:r>
      <w:r w:rsidR="00474549">
        <w:rPr>
          <w:rFonts w:ascii="Lato" w:hAnsi="Lato"/>
          <w:sz w:val="22"/>
          <w:szCs w:val="22"/>
        </w:rPr>
        <w:t xml:space="preserve">lub </w:t>
      </w:r>
      <w:r w:rsidRPr="00B74DAD">
        <w:rPr>
          <w:rFonts w:ascii="Lato" w:hAnsi="Lato"/>
          <w:sz w:val="22"/>
          <w:szCs w:val="22"/>
        </w:rPr>
        <w:t>brakiem wdrożenia procedur przeciwepidemicznych egzekwowane były poprzez wydan</w:t>
      </w:r>
      <w:r w:rsidR="00474549">
        <w:rPr>
          <w:rFonts w:ascii="Lato" w:hAnsi="Lato"/>
          <w:sz w:val="22"/>
          <w:szCs w:val="22"/>
        </w:rPr>
        <w:t>i</w:t>
      </w:r>
      <w:r w:rsidRPr="00B74DAD">
        <w:rPr>
          <w:rFonts w:ascii="Lato" w:hAnsi="Lato"/>
          <w:sz w:val="22"/>
          <w:szCs w:val="22"/>
        </w:rPr>
        <w:t>e zalece</w:t>
      </w:r>
      <w:r w:rsidR="00474549">
        <w:rPr>
          <w:rFonts w:ascii="Lato" w:hAnsi="Lato"/>
          <w:sz w:val="22"/>
          <w:szCs w:val="22"/>
        </w:rPr>
        <w:t>ń</w:t>
      </w:r>
      <w:r w:rsidRPr="00B74DAD">
        <w:rPr>
          <w:rFonts w:ascii="Lato" w:hAnsi="Lato"/>
          <w:sz w:val="22"/>
          <w:szCs w:val="22"/>
        </w:rPr>
        <w:t xml:space="preserve"> bieżąc</w:t>
      </w:r>
      <w:r w:rsidR="00474549">
        <w:rPr>
          <w:rFonts w:ascii="Lato" w:hAnsi="Lato"/>
          <w:sz w:val="22"/>
          <w:szCs w:val="22"/>
        </w:rPr>
        <w:t>ych</w:t>
      </w:r>
      <w:r w:rsidRPr="00B74DAD">
        <w:rPr>
          <w:rFonts w:ascii="Lato" w:hAnsi="Lato"/>
          <w:sz w:val="22"/>
          <w:szCs w:val="22"/>
        </w:rPr>
        <w:t xml:space="preserve"> oraz monitorowanie ich realizacji podczas kontroli sprawdzających.</w:t>
      </w:r>
    </w:p>
    <w:p w14:paraId="14A624E3" w14:textId="5CFB058E" w:rsidR="00986DE0" w:rsidRPr="009476ED" w:rsidRDefault="00986DE0">
      <w:pPr>
        <w:pStyle w:val="Nagwek2"/>
        <w:numPr>
          <w:ilvl w:val="0"/>
          <w:numId w:val="17"/>
        </w:numPr>
        <w:rPr>
          <w:b/>
          <w:bCs/>
        </w:rPr>
      </w:pPr>
      <w:bookmarkStart w:id="90" w:name="_Toc225235863"/>
      <w:bookmarkStart w:id="91" w:name="_Toc225859052"/>
      <w:r w:rsidRPr="009476ED">
        <w:rPr>
          <w:b/>
          <w:bCs/>
        </w:rPr>
        <w:t>Szpitale</w:t>
      </w:r>
      <w:bookmarkEnd w:id="90"/>
      <w:bookmarkEnd w:id="91"/>
    </w:p>
    <w:p w14:paraId="44E1E318" w14:textId="603E86F3" w:rsidR="00986DE0" w:rsidRDefault="00986DE0" w:rsidP="00EA310A">
      <w:pPr>
        <w:spacing w:line="360" w:lineRule="auto"/>
        <w:rPr>
          <w:rFonts w:ascii="Lato" w:hAnsi="Lato" w:cstheme="minorHAnsi"/>
          <w:color w:val="000000" w:themeColor="text1"/>
          <w:sz w:val="22"/>
          <w:szCs w:val="22"/>
        </w:rPr>
      </w:pPr>
      <w:bookmarkStart w:id="92" w:name="_Hlk193453495"/>
      <w:r w:rsidRPr="00B74DAD">
        <w:rPr>
          <w:rFonts w:ascii="Lato" w:hAnsi="Lato" w:cstheme="minorHAnsi"/>
          <w:color w:val="000000" w:themeColor="text1"/>
          <w:sz w:val="22"/>
          <w:szCs w:val="22"/>
        </w:rPr>
        <w:t>Na terenie woj. zachodniopomorskiego pod nadzorem Państwowej Inspekcji Sanitarnej w 2025 r. znajdowało się 49 podmiotów leczniczych udzielających stacjonarnych i całodobowych świadczeń zdrowotnych o charakterze szpitalnym, w których dostępnych było łącznie 7879 łóżek szpitalnych, w tym 29 łóżek w szpitalach jednego dnia oraz 447 w szpitalach uzdrowiskowych.</w:t>
      </w:r>
      <w:r w:rsidR="00064411">
        <w:rPr>
          <w:rFonts w:ascii="Lato" w:hAnsi="Lato" w:cstheme="minorHAnsi"/>
          <w:color w:val="000000" w:themeColor="text1"/>
          <w:sz w:val="22"/>
          <w:szCs w:val="22"/>
        </w:rPr>
        <w:t xml:space="preserve"> </w:t>
      </w:r>
      <w:r w:rsidR="00064411" w:rsidRPr="00F72D7A">
        <w:rPr>
          <w:rFonts w:ascii="Lato" w:hAnsi="Lato" w:cstheme="minorHAnsi"/>
          <w:color w:val="000000" w:themeColor="text1"/>
          <w:sz w:val="22"/>
          <w:szCs w:val="22"/>
        </w:rPr>
        <w:t>Kontrole przeprowadzono we wszystkich czynnych placówkach.</w:t>
      </w:r>
    </w:p>
    <w:p w14:paraId="2C97370D" w14:textId="77777777" w:rsidR="0090516C" w:rsidRPr="00B74DAD" w:rsidRDefault="0090516C" w:rsidP="00986DE0">
      <w:pPr>
        <w:rPr>
          <w:rFonts w:ascii="Lato" w:hAnsi="Lato" w:cstheme="minorHAnsi"/>
          <w:color w:val="000000" w:themeColor="text1"/>
          <w:sz w:val="22"/>
          <w:szCs w:val="22"/>
        </w:rPr>
      </w:pPr>
    </w:p>
    <w:p w14:paraId="28D1E643" w14:textId="3890ED86" w:rsidR="00986DE0" w:rsidRDefault="00A572AF">
      <w:pPr>
        <w:pStyle w:val="Nagwek3"/>
        <w:numPr>
          <w:ilvl w:val="1"/>
          <w:numId w:val="17"/>
        </w:numPr>
        <w:spacing w:before="0" w:after="0" w:line="360" w:lineRule="auto"/>
        <w:ind w:left="568" w:right="284" w:hanging="284"/>
        <w:rPr>
          <w:color w:val="auto"/>
          <w:szCs w:val="22"/>
        </w:rPr>
      </w:pPr>
      <w:bookmarkStart w:id="93" w:name="_Toc225235864"/>
      <w:bookmarkEnd w:id="89"/>
      <w:bookmarkEnd w:id="92"/>
      <w:r>
        <w:rPr>
          <w:color w:val="auto"/>
          <w:szCs w:val="22"/>
        </w:rPr>
        <w:t xml:space="preserve"> </w:t>
      </w:r>
      <w:bookmarkStart w:id="94" w:name="_Toc225859053"/>
      <w:r w:rsidR="00986DE0" w:rsidRPr="0004472E">
        <w:rPr>
          <w:color w:val="auto"/>
          <w:szCs w:val="22"/>
        </w:rPr>
        <w:t>Infrastruktura obiektów, ich stan techniczny i funkcjonalność</w:t>
      </w:r>
      <w:bookmarkEnd w:id="93"/>
      <w:bookmarkEnd w:id="94"/>
    </w:p>
    <w:p w14:paraId="117CFC63" w14:textId="77777777" w:rsidR="00885F34" w:rsidRPr="00885F34" w:rsidRDefault="00885F34" w:rsidP="00885F34"/>
    <w:p w14:paraId="177B6A50" w14:textId="77777777" w:rsidR="00986DE0" w:rsidRPr="00B74DAD" w:rsidRDefault="00986DE0" w:rsidP="00EA310A">
      <w:pPr>
        <w:spacing w:line="360" w:lineRule="auto"/>
        <w:rPr>
          <w:rFonts w:ascii="Lato" w:hAnsi="Lato" w:cstheme="minorHAnsi"/>
          <w:sz w:val="22"/>
          <w:szCs w:val="22"/>
        </w:rPr>
      </w:pPr>
      <w:r w:rsidRPr="00B74DAD">
        <w:rPr>
          <w:rFonts w:ascii="Lato" w:hAnsi="Lato" w:cstheme="minorHAnsi"/>
          <w:sz w:val="22"/>
          <w:szCs w:val="22"/>
        </w:rPr>
        <w:t>W ramach nadzoru bieżącego nad szpitalami egzekwowano spełnienie wymagań jakim powinny odpowiadać pomieszczenia i urządzenia podmiotu wykonującego działalność leczniczą. Część podmiotów w 2025 r. prowadziła prace remontowe i modernizacyjne mające na celu dostosowanie obiektów do właściwego stanu sanitarno-technicznego, prowadzono także remonty pomieszczeń szpitali wynikające z reorganizacji niektórych oddziałów oraz nałożonych decyzjami administracyjnymi obowiązków.</w:t>
      </w:r>
    </w:p>
    <w:p w14:paraId="74AA4DF6" w14:textId="77777777" w:rsidR="00986DE0" w:rsidRPr="00B74DAD" w:rsidRDefault="00986DE0" w:rsidP="00EA310A">
      <w:pPr>
        <w:spacing w:line="360" w:lineRule="auto"/>
        <w:rPr>
          <w:rFonts w:ascii="Lato" w:hAnsi="Lato" w:cstheme="minorHAnsi"/>
          <w:sz w:val="22"/>
          <w:szCs w:val="22"/>
        </w:rPr>
      </w:pPr>
      <w:r w:rsidRPr="00B74DAD">
        <w:rPr>
          <w:rFonts w:ascii="Lato" w:hAnsi="Lato" w:cstheme="minorHAnsi"/>
          <w:sz w:val="22"/>
          <w:szCs w:val="22"/>
        </w:rPr>
        <w:t>Prace remontowo-modernizacyjne i adaptacyjne, które wpłynęły na poprawę stanu technicznego i funkcjonalnego szpitali, przeprowadzono m.in. w:</w:t>
      </w:r>
    </w:p>
    <w:p w14:paraId="447DBA79" w14:textId="263850F4" w:rsidR="00986DE0" w:rsidRPr="00A01EAE" w:rsidRDefault="00986DE0">
      <w:pPr>
        <w:pStyle w:val="Akapitzlist"/>
        <w:numPr>
          <w:ilvl w:val="0"/>
          <w:numId w:val="14"/>
        </w:numPr>
        <w:spacing w:line="360" w:lineRule="auto"/>
        <w:rPr>
          <w:rFonts w:ascii="Lato" w:hAnsi="Lato" w:cstheme="minorHAnsi"/>
          <w:color w:val="7030A0"/>
          <w:sz w:val="22"/>
          <w:szCs w:val="22"/>
        </w:rPr>
      </w:pPr>
      <w:r w:rsidRPr="00A01EAE">
        <w:rPr>
          <w:rFonts w:ascii="Lato" w:hAnsi="Lato" w:cs="Calibri"/>
          <w:sz w:val="22"/>
          <w:szCs w:val="22"/>
        </w:rPr>
        <w:t xml:space="preserve">SPZOZ w Gryficach – </w:t>
      </w:r>
      <w:r w:rsidRPr="00A01EAE">
        <w:rPr>
          <w:rFonts w:ascii="Lato" w:hAnsi="Lato" w:cs="Calibri"/>
          <w:color w:val="000000"/>
          <w:sz w:val="22"/>
          <w:szCs w:val="22"/>
        </w:rPr>
        <w:t xml:space="preserve">montaż układu jonizacji ciepłej wody dla całego szpitala, wymianę sieci </w:t>
      </w:r>
      <w:proofErr w:type="spellStart"/>
      <w:r w:rsidR="00BD7BB8">
        <w:rPr>
          <w:rFonts w:ascii="Lato" w:hAnsi="Lato" w:cs="Calibri"/>
          <w:color w:val="000000"/>
          <w:sz w:val="22"/>
          <w:szCs w:val="22"/>
        </w:rPr>
        <w:t>wodowciągowej</w:t>
      </w:r>
      <w:proofErr w:type="spellEnd"/>
      <w:r w:rsidRPr="00A01EAE">
        <w:rPr>
          <w:rFonts w:ascii="Lato" w:hAnsi="Lato" w:cs="Calibri"/>
          <w:color w:val="000000"/>
          <w:sz w:val="22"/>
          <w:szCs w:val="22"/>
        </w:rPr>
        <w:t xml:space="preserve">, modernizacja kanalizacji, wymiana przyłącza wody ciepłej, a także wymiana pionów </w:t>
      </w:r>
      <w:r w:rsidR="00BD7BB8">
        <w:rPr>
          <w:rFonts w:ascii="Lato" w:hAnsi="Lato" w:cs="Calibri"/>
          <w:color w:val="000000"/>
          <w:sz w:val="22"/>
          <w:szCs w:val="22"/>
        </w:rPr>
        <w:t xml:space="preserve">instalacji wodociągowej, </w:t>
      </w:r>
      <w:r w:rsidRPr="00A01EAE">
        <w:rPr>
          <w:rFonts w:ascii="Lato" w:hAnsi="Lato" w:cs="Calibri"/>
          <w:color w:val="000000"/>
          <w:sz w:val="22"/>
          <w:szCs w:val="22"/>
        </w:rPr>
        <w:t xml:space="preserve">centralnego ogrzewania i kanalizacyjnych w głównym budynku </w:t>
      </w:r>
      <w:r w:rsidRPr="00A01EAE">
        <w:rPr>
          <w:rFonts w:ascii="Lato" w:hAnsi="Lato" w:cs="Calibri"/>
          <w:sz w:val="22"/>
          <w:szCs w:val="22"/>
        </w:rPr>
        <w:t>szpitala</w:t>
      </w:r>
      <w:r w:rsidR="00BD7BB8">
        <w:rPr>
          <w:rFonts w:ascii="Lato" w:hAnsi="Lato" w:cs="Calibri"/>
          <w:sz w:val="22"/>
          <w:szCs w:val="22"/>
        </w:rPr>
        <w:t>;</w:t>
      </w:r>
    </w:p>
    <w:p w14:paraId="26678136" w14:textId="53AFB869" w:rsidR="00986DE0" w:rsidRPr="00A01EAE" w:rsidRDefault="00986DE0">
      <w:pPr>
        <w:pStyle w:val="Akapitzlist"/>
        <w:numPr>
          <w:ilvl w:val="0"/>
          <w:numId w:val="14"/>
        </w:numPr>
        <w:spacing w:line="360" w:lineRule="auto"/>
        <w:rPr>
          <w:rFonts w:ascii="Lato" w:hAnsi="Lato" w:cstheme="minorHAnsi"/>
          <w:sz w:val="22"/>
          <w:szCs w:val="22"/>
        </w:rPr>
      </w:pPr>
      <w:r w:rsidRPr="00A01EAE">
        <w:rPr>
          <w:rFonts w:ascii="Lato" w:hAnsi="Lato" w:cs="Calibri"/>
          <w:kern w:val="32"/>
          <w:sz w:val="22"/>
          <w:szCs w:val="22"/>
          <w:lang w:eastAsia="ar-SA"/>
        </w:rPr>
        <w:t xml:space="preserve"> Szpital im. Matki Teresy z Kalkuty w Drawsku Pomorskim </w:t>
      </w:r>
      <w:r w:rsidRPr="00A01EAE">
        <w:rPr>
          <w:rFonts w:ascii="Lato" w:hAnsi="Lato" w:cs="Calibri"/>
          <w:sz w:val="22"/>
          <w:szCs w:val="22"/>
        </w:rPr>
        <w:t xml:space="preserve">- </w:t>
      </w:r>
      <w:r w:rsidRPr="00A01EAE">
        <w:rPr>
          <w:rFonts w:ascii="Lato" w:hAnsi="Lato" w:cs="Calibri"/>
          <w:kern w:val="32"/>
          <w:sz w:val="22"/>
          <w:szCs w:val="22"/>
          <w:lang w:eastAsia="ar-SA"/>
        </w:rPr>
        <w:t xml:space="preserve">od 2024 r. </w:t>
      </w:r>
      <w:r w:rsidRPr="00A01EAE">
        <w:rPr>
          <w:rFonts w:ascii="Lato" w:hAnsi="Lato" w:cs="Calibri"/>
          <w:color w:val="000000"/>
          <w:kern w:val="3"/>
          <w:sz w:val="22"/>
          <w:szCs w:val="22"/>
          <w:lang w:eastAsia="ar-SA"/>
        </w:rPr>
        <w:t>trwają prace nad rozbudową i modernizacją szpitala</w:t>
      </w:r>
      <w:r w:rsidR="00BD7BB8">
        <w:rPr>
          <w:rFonts w:ascii="Lato" w:hAnsi="Lato" w:cs="Calibri"/>
          <w:color w:val="000000"/>
          <w:kern w:val="3"/>
          <w:sz w:val="22"/>
          <w:szCs w:val="22"/>
          <w:lang w:eastAsia="ar-SA"/>
        </w:rPr>
        <w:t>; w</w:t>
      </w:r>
      <w:r w:rsidRPr="00A01EAE">
        <w:rPr>
          <w:rFonts w:ascii="Lato" w:hAnsi="Lato" w:cs="Calibri"/>
          <w:color w:val="000000"/>
          <w:kern w:val="3"/>
          <w:sz w:val="22"/>
          <w:szCs w:val="22"/>
          <w:lang w:eastAsia="ar-SA"/>
        </w:rPr>
        <w:t xml:space="preserve"> 2025 r. wykonano prace związane z budową nowego, trzysalowego bloku operacyjnego</w:t>
      </w:r>
      <w:r w:rsidR="00BD7BB8">
        <w:rPr>
          <w:rFonts w:ascii="Lato" w:hAnsi="Lato" w:cs="Calibri"/>
          <w:color w:val="000000"/>
          <w:kern w:val="3"/>
          <w:sz w:val="22"/>
          <w:szCs w:val="22"/>
          <w:lang w:eastAsia="ar-SA"/>
        </w:rPr>
        <w:t>;</w:t>
      </w:r>
      <w:r w:rsidRPr="00A01EAE">
        <w:rPr>
          <w:rFonts w:ascii="Lato" w:hAnsi="Lato" w:cs="Calibri"/>
          <w:color w:val="000000"/>
          <w:kern w:val="3"/>
          <w:sz w:val="22"/>
          <w:szCs w:val="22"/>
          <w:lang w:eastAsia="ar-SA"/>
        </w:rPr>
        <w:t xml:space="preserve"> </w:t>
      </w:r>
      <w:r w:rsidR="00BD7BB8">
        <w:rPr>
          <w:rFonts w:ascii="Lato" w:hAnsi="Lato" w:cs="Calibri"/>
          <w:color w:val="000000"/>
          <w:kern w:val="3"/>
          <w:sz w:val="22"/>
          <w:szCs w:val="22"/>
          <w:lang w:eastAsia="ar-SA"/>
        </w:rPr>
        <w:t>w</w:t>
      </w:r>
      <w:r w:rsidRPr="00A01EAE">
        <w:rPr>
          <w:rFonts w:ascii="Lato" w:hAnsi="Lato" w:cs="Calibri"/>
          <w:sz w:val="22"/>
          <w:szCs w:val="22"/>
        </w:rPr>
        <w:t>ykonano również podjazd dla karetek</w:t>
      </w:r>
      <w:r w:rsidR="00BD7BB8">
        <w:rPr>
          <w:rFonts w:ascii="Lato" w:hAnsi="Lato" w:cs="Calibri"/>
          <w:sz w:val="22"/>
          <w:szCs w:val="22"/>
        </w:rPr>
        <w:t>;</w:t>
      </w:r>
    </w:p>
    <w:p w14:paraId="6BD4B281" w14:textId="6C177BFB" w:rsidR="00986DE0" w:rsidRPr="00A01EAE" w:rsidRDefault="00986DE0">
      <w:pPr>
        <w:pStyle w:val="Akapitzlist"/>
        <w:numPr>
          <w:ilvl w:val="0"/>
          <w:numId w:val="14"/>
        </w:numPr>
        <w:suppressAutoHyphens/>
        <w:spacing w:line="360" w:lineRule="auto"/>
        <w:rPr>
          <w:rFonts w:ascii="Lato" w:hAnsi="Lato" w:cs="Calibri"/>
          <w:color w:val="EE0000"/>
          <w:sz w:val="22"/>
          <w:szCs w:val="22"/>
          <w:lang w:eastAsia="zh-CN"/>
        </w:rPr>
      </w:pPr>
      <w:r w:rsidRPr="00A01EAE">
        <w:rPr>
          <w:rFonts w:ascii="Lato" w:hAnsi="Lato" w:cs="Calibri"/>
          <w:kern w:val="32"/>
          <w:sz w:val="22"/>
          <w:szCs w:val="22"/>
          <w:lang w:eastAsia="ar-SA"/>
        </w:rPr>
        <w:t>Szpita</w:t>
      </w:r>
      <w:r w:rsidRPr="00A01EAE">
        <w:rPr>
          <w:rFonts w:ascii="Lato" w:hAnsi="Lato" w:cs="Calibri"/>
          <w:sz w:val="22"/>
          <w:szCs w:val="22"/>
        </w:rPr>
        <w:t xml:space="preserve">l w Kamieniu Pomorskim </w:t>
      </w:r>
      <w:proofErr w:type="spellStart"/>
      <w:r w:rsidRPr="00A01EAE">
        <w:rPr>
          <w:rFonts w:ascii="Lato" w:hAnsi="Lato" w:cs="Calibri"/>
          <w:sz w:val="22"/>
          <w:szCs w:val="22"/>
        </w:rPr>
        <w:t>Sp</w:t>
      </w:r>
      <w:proofErr w:type="spellEnd"/>
      <w:r w:rsidRPr="00A01EAE">
        <w:rPr>
          <w:rFonts w:ascii="Lato" w:hAnsi="Lato" w:cs="Calibri"/>
          <w:sz w:val="22"/>
          <w:szCs w:val="22"/>
        </w:rPr>
        <w:t xml:space="preserve"> .z o.o. – wymieniono stolarkę okienną oraz wszystkie grzejniki C.O., a także przeprowadzono generalny remont poradni chirurgicznej oraz poradni ortopedycznej</w:t>
      </w:r>
      <w:r w:rsidR="00BD7BB8">
        <w:rPr>
          <w:rFonts w:ascii="Lato" w:hAnsi="Lato" w:cs="Calibri"/>
          <w:sz w:val="22"/>
          <w:szCs w:val="22"/>
        </w:rPr>
        <w:t>;</w:t>
      </w:r>
    </w:p>
    <w:p w14:paraId="59D1006A" w14:textId="78226E42" w:rsidR="00986DE0" w:rsidRPr="00A01EAE" w:rsidRDefault="00986DE0">
      <w:pPr>
        <w:pStyle w:val="Akapitzlist"/>
        <w:numPr>
          <w:ilvl w:val="0"/>
          <w:numId w:val="14"/>
        </w:numPr>
        <w:suppressAutoHyphens/>
        <w:spacing w:line="360" w:lineRule="auto"/>
        <w:rPr>
          <w:rFonts w:ascii="Lato" w:hAnsi="Lato" w:cs="Calibri"/>
          <w:bCs/>
          <w:sz w:val="22"/>
          <w:szCs w:val="22"/>
          <w:lang w:eastAsia="zh-CN"/>
        </w:rPr>
      </w:pPr>
      <w:r w:rsidRPr="00A01EAE">
        <w:rPr>
          <w:rFonts w:ascii="Lato" w:hAnsi="Lato" w:cs="Calibri"/>
          <w:bCs/>
          <w:iCs/>
          <w:sz w:val="22"/>
          <w:szCs w:val="22"/>
        </w:rPr>
        <w:t xml:space="preserve">Szpital Wojewódzki im. M. Kopernika w Koszalinie - </w:t>
      </w:r>
      <w:r w:rsidRPr="00A01EAE">
        <w:rPr>
          <w:rFonts w:ascii="Lato" w:eastAsia="Arial" w:hAnsi="Lato" w:cs="Calibri"/>
          <w:bCs/>
          <w:sz w:val="22"/>
          <w:szCs w:val="22"/>
        </w:rPr>
        <w:t>zakończono modernizację Szpitalnego Oddziału Ratunkowego</w:t>
      </w:r>
      <w:r w:rsidR="00BD7BB8">
        <w:rPr>
          <w:rFonts w:ascii="Lato" w:eastAsia="Arial" w:hAnsi="Lato" w:cs="Calibri"/>
          <w:bCs/>
          <w:sz w:val="22"/>
          <w:szCs w:val="22"/>
        </w:rPr>
        <w:t>;</w:t>
      </w:r>
    </w:p>
    <w:p w14:paraId="4209BE98" w14:textId="2FA4BBC8" w:rsidR="00986DE0" w:rsidRPr="00A01EAE" w:rsidRDefault="00986DE0">
      <w:pPr>
        <w:pStyle w:val="Akapitzlist"/>
        <w:numPr>
          <w:ilvl w:val="0"/>
          <w:numId w:val="14"/>
        </w:numPr>
        <w:suppressAutoHyphens/>
        <w:spacing w:line="360" w:lineRule="auto"/>
        <w:rPr>
          <w:rFonts w:ascii="Lato" w:hAnsi="Lato" w:cs="Calibri"/>
          <w:bCs/>
          <w:sz w:val="22"/>
          <w:szCs w:val="22"/>
        </w:rPr>
      </w:pPr>
      <w:r w:rsidRPr="00A01EAE">
        <w:rPr>
          <w:rFonts w:ascii="Lato" w:hAnsi="Lato" w:cs="Calibri"/>
          <w:bCs/>
          <w:sz w:val="22"/>
          <w:szCs w:val="22"/>
        </w:rPr>
        <w:lastRenderedPageBreak/>
        <w:t>Szpital w Dębnie Sp. z o.o. - kompleksowy remont Oddziału Chirurgicznego</w:t>
      </w:r>
      <w:r w:rsidR="00BD7BB8">
        <w:rPr>
          <w:rFonts w:ascii="Lato" w:hAnsi="Lato" w:cs="Calibri"/>
          <w:bCs/>
          <w:sz w:val="22"/>
          <w:szCs w:val="22"/>
        </w:rPr>
        <w:t>;</w:t>
      </w:r>
    </w:p>
    <w:p w14:paraId="0AE1B021" w14:textId="5E53678D" w:rsidR="00986DE0" w:rsidRPr="00A01EAE" w:rsidRDefault="00986DE0">
      <w:pPr>
        <w:pStyle w:val="Akapitzlist"/>
        <w:numPr>
          <w:ilvl w:val="0"/>
          <w:numId w:val="14"/>
        </w:numPr>
        <w:suppressAutoHyphens/>
        <w:spacing w:line="360" w:lineRule="auto"/>
        <w:rPr>
          <w:rFonts w:ascii="Lato" w:hAnsi="Lato" w:cs="Calibri"/>
          <w:bCs/>
          <w:color w:val="7030A0"/>
          <w:sz w:val="22"/>
          <w:szCs w:val="22"/>
        </w:rPr>
      </w:pPr>
      <w:r w:rsidRPr="00A01EAE">
        <w:rPr>
          <w:rFonts w:ascii="Lato" w:hAnsi="Lato" w:cs="Calibri"/>
          <w:bCs/>
          <w:sz w:val="22"/>
          <w:szCs w:val="22"/>
        </w:rPr>
        <w:t xml:space="preserve">Samodzielny Publiczny Wojewódzki Szpital Zespolony w Szczecinie, ul., Arkońska 4 -zakończono </w:t>
      </w:r>
      <w:r w:rsidRPr="00A01EAE">
        <w:rPr>
          <w:rFonts w:ascii="Lato" w:hAnsi="Lato" w:cs="Calibri"/>
          <w:bCs/>
          <w:color w:val="000000"/>
          <w:sz w:val="22"/>
          <w:szCs w:val="22"/>
        </w:rPr>
        <w:t>przebudowę budynku „J” na potrzeby utworzenia Poradni Kardiologicznej</w:t>
      </w:r>
      <w:r w:rsidR="00BD7BB8">
        <w:rPr>
          <w:rFonts w:ascii="Lato" w:hAnsi="Lato" w:cs="Calibri"/>
          <w:bCs/>
          <w:color w:val="000000"/>
          <w:sz w:val="22"/>
          <w:szCs w:val="22"/>
        </w:rPr>
        <w:t>; w</w:t>
      </w:r>
      <w:r w:rsidRPr="00A01EAE">
        <w:rPr>
          <w:rFonts w:ascii="Lato" w:hAnsi="Lato" w:cs="Calibri"/>
          <w:bCs/>
          <w:color w:val="000000"/>
          <w:sz w:val="22"/>
          <w:szCs w:val="22"/>
        </w:rPr>
        <w:t>ykonano przebudowę części budynku „A” na potrzeby Oddziału Onkologii</w:t>
      </w:r>
      <w:r w:rsidR="00BD7BB8">
        <w:rPr>
          <w:rFonts w:ascii="Lato" w:hAnsi="Lato" w:cs="Calibri"/>
          <w:bCs/>
          <w:color w:val="000000"/>
          <w:sz w:val="22"/>
          <w:szCs w:val="22"/>
        </w:rPr>
        <w:t>; z</w:t>
      </w:r>
      <w:r w:rsidRPr="00A01EAE">
        <w:rPr>
          <w:rFonts w:ascii="Lato" w:hAnsi="Lato" w:cs="Calibri"/>
          <w:bCs/>
          <w:color w:val="000000"/>
          <w:sz w:val="22"/>
          <w:szCs w:val="22"/>
        </w:rPr>
        <w:t>akończono przebudowę SOR</w:t>
      </w:r>
      <w:r w:rsidR="00BD7BB8">
        <w:rPr>
          <w:rFonts w:ascii="Lato" w:hAnsi="Lato" w:cs="Calibri"/>
          <w:bCs/>
          <w:color w:val="000000"/>
          <w:sz w:val="22"/>
          <w:szCs w:val="22"/>
        </w:rPr>
        <w:t>; z</w:t>
      </w:r>
      <w:r w:rsidRPr="00A01EAE">
        <w:rPr>
          <w:rFonts w:ascii="Lato" w:hAnsi="Lato" w:cs="Calibri"/>
          <w:bCs/>
          <w:color w:val="000000"/>
          <w:sz w:val="22"/>
          <w:szCs w:val="22"/>
        </w:rPr>
        <w:t xml:space="preserve">akończono prace włączenia budynku „C” do </w:t>
      </w:r>
      <w:r w:rsidRPr="00A01EAE">
        <w:rPr>
          <w:rFonts w:ascii="Lato" w:hAnsi="Lato" w:cs="Calibri"/>
          <w:bCs/>
          <w:sz w:val="22"/>
          <w:szCs w:val="22"/>
        </w:rPr>
        <w:t>szpitalnego systemu poczty pneumatycznej</w:t>
      </w:r>
      <w:r w:rsidR="00BD7BB8">
        <w:rPr>
          <w:rFonts w:ascii="Lato" w:hAnsi="Lato" w:cs="Calibri"/>
          <w:bCs/>
          <w:sz w:val="22"/>
          <w:szCs w:val="22"/>
        </w:rPr>
        <w:t>;</w:t>
      </w:r>
    </w:p>
    <w:p w14:paraId="0F2E8C7A" w14:textId="002CE316" w:rsidR="00986DE0" w:rsidRPr="00A01EAE" w:rsidRDefault="00986DE0">
      <w:pPr>
        <w:pStyle w:val="Akapitzlist"/>
        <w:numPr>
          <w:ilvl w:val="0"/>
          <w:numId w:val="14"/>
        </w:numPr>
        <w:suppressAutoHyphens/>
        <w:spacing w:line="360" w:lineRule="auto"/>
        <w:rPr>
          <w:rFonts w:ascii="Lato" w:hAnsi="Lato" w:cs="Calibri"/>
          <w:bCs/>
          <w:color w:val="EE0000"/>
          <w:sz w:val="22"/>
          <w:szCs w:val="22"/>
        </w:rPr>
      </w:pPr>
      <w:r w:rsidRPr="00A01EAE">
        <w:rPr>
          <w:rFonts w:ascii="Lato" w:hAnsi="Lato" w:cs="Calibri"/>
          <w:bCs/>
          <w:sz w:val="22"/>
          <w:szCs w:val="22"/>
        </w:rPr>
        <w:t>Samodzielny Publiczny Wojewódzki Szpital Zespolony (SPWSZ) w Szczecinie, lokalizacja ul. A. Sokołowskiego 11 - rozpoczęto</w:t>
      </w:r>
      <w:r w:rsidRPr="00A01EAE">
        <w:rPr>
          <w:rFonts w:ascii="Lato" w:hAnsi="Lato" w:cs="Calibri"/>
          <w:bCs/>
          <w:color w:val="7030A0"/>
          <w:sz w:val="22"/>
          <w:szCs w:val="22"/>
        </w:rPr>
        <w:t xml:space="preserve"> </w:t>
      </w:r>
      <w:r w:rsidRPr="00A01EAE">
        <w:rPr>
          <w:rFonts w:ascii="Lato" w:hAnsi="Lato" w:cs="Calibri"/>
          <w:bCs/>
          <w:color w:val="000000"/>
          <w:sz w:val="22"/>
          <w:szCs w:val="22"/>
        </w:rPr>
        <w:t>budowę</w:t>
      </w:r>
      <w:r w:rsidRPr="00A01EAE">
        <w:rPr>
          <w:rFonts w:ascii="Lato" w:hAnsi="Lato" w:cs="Calibri"/>
          <w:bCs/>
          <w:color w:val="7030A0"/>
          <w:sz w:val="22"/>
          <w:szCs w:val="22"/>
        </w:rPr>
        <w:t xml:space="preserve"> </w:t>
      </w:r>
      <w:r w:rsidRPr="00A01EAE">
        <w:rPr>
          <w:rFonts w:ascii="Lato" w:hAnsi="Lato" w:cs="Calibri"/>
          <w:bCs/>
          <w:color w:val="000000"/>
          <w:sz w:val="22"/>
          <w:szCs w:val="22"/>
        </w:rPr>
        <w:t>budynku na potrzeby Zakładu Patomorfologii</w:t>
      </w:r>
      <w:r w:rsidR="00BD7BB8">
        <w:rPr>
          <w:rFonts w:ascii="Lato" w:hAnsi="Lato" w:cs="Calibri"/>
          <w:bCs/>
          <w:color w:val="000000"/>
          <w:sz w:val="22"/>
          <w:szCs w:val="22"/>
        </w:rPr>
        <w:t>;</w:t>
      </w:r>
    </w:p>
    <w:p w14:paraId="07CFD76D" w14:textId="77777777" w:rsidR="00986DE0" w:rsidRPr="00A01EAE" w:rsidRDefault="00986DE0">
      <w:pPr>
        <w:pStyle w:val="Akapitzlist"/>
        <w:numPr>
          <w:ilvl w:val="0"/>
          <w:numId w:val="14"/>
        </w:numPr>
        <w:suppressAutoHyphens/>
        <w:spacing w:line="360" w:lineRule="auto"/>
        <w:rPr>
          <w:rFonts w:ascii="Lato" w:hAnsi="Lato" w:cs="Calibri"/>
          <w:bCs/>
          <w:sz w:val="22"/>
          <w:szCs w:val="22"/>
        </w:rPr>
      </w:pPr>
      <w:r w:rsidRPr="00A01EAE">
        <w:rPr>
          <w:rFonts w:ascii="Lato" w:hAnsi="Lato" w:cs="Calibri"/>
          <w:bCs/>
          <w:sz w:val="22"/>
          <w:szCs w:val="22"/>
        </w:rPr>
        <w:t xml:space="preserve">Uniwersytecki Szpital Kliniczny Nr 1 PUM w Policach – przebudowano gruntownie pomieszczenia </w:t>
      </w:r>
      <w:r w:rsidRPr="00A01EAE">
        <w:rPr>
          <w:rFonts w:ascii="Lato" w:hAnsi="Lato"/>
          <w:bCs/>
          <w:sz w:val="22"/>
          <w:szCs w:val="22"/>
        </w:rPr>
        <w:t>Kliniki Chorób Skórnych i Wenerycznych (</w:t>
      </w:r>
      <w:r w:rsidRPr="00A01EAE">
        <w:rPr>
          <w:rFonts w:ascii="Lato" w:hAnsi="Lato" w:cs="Calibri"/>
          <w:bCs/>
          <w:sz w:val="22"/>
          <w:szCs w:val="22"/>
        </w:rPr>
        <w:t xml:space="preserve">II i IV piętro szpitala), </w:t>
      </w:r>
      <w:r w:rsidRPr="00A01EAE">
        <w:rPr>
          <w:rFonts w:ascii="Lato" w:hAnsi="Lato"/>
          <w:bCs/>
          <w:sz w:val="22"/>
          <w:szCs w:val="22"/>
        </w:rPr>
        <w:t>Kliniki Chorób Wewnętrznych, Reumatologii, Diabetologii, Geriatrii, Immunologii Klinicznej z Oddziałem Gastroenterologii (</w:t>
      </w:r>
      <w:r w:rsidRPr="00A01EAE">
        <w:rPr>
          <w:rFonts w:ascii="Lato" w:hAnsi="Lato" w:cs="Calibri"/>
          <w:bCs/>
          <w:sz w:val="22"/>
          <w:szCs w:val="22"/>
        </w:rPr>
        <w:t>III piętro szpitala);</w:t>
      </w:r>
    </w:p>
    <w:p w14:paraId="4B881F6D" w14:textId="36A515B9" w:rsidR="00986DE0" w:rsidRPr="00A01EAE" w:rsidRDefault="00986DE0">
      <w:pPr>
        <w:pStyle w:val="Akapitzlist"/>
        <w:numPr>
          <w:ilvl w:val="0"/>
          <w:numId w:val="14"/>
        </w:numPr>
        <w:suppressAutoHyphens/>
        <w:spacing w:line="360" w:lineRule="auto"/>
        <w:rPr>
          <w:rFonts w:ascii="Lato" w:hAnsi="Lato" w:cs="Calibri"/>
          <w:bCs/>
          <w:color w:val="7030A0"/>
          <w:sz w:val="22"/>
          <w:szCs w:val="22"/>
        </w:rPr>
      </w:pPr>
      <w:r w:rsidRPr="00A01EAE">
        <w:rPr>
          <w:rFonts w:ascii="Lato" w:hAnsi="Lato" w:cs="Calibri"/>
          <w:bCs/>
          <w:sz w:val="22"/>
          <w:szCs w:val="22"/>
        </w:rPr>
        <w:t>Uniwersytecki Szpital Kliniczny Nr 1 im. prof. Tadeusza Sokołowskiego PUM, ul.</w:t>
      </w:r>
      <w:r w:rsidR="00E31B5B" w:rsidRPr="00A01EAE">
        <w:rPr>
          <w:rFonts w:ascii="Lato" w:hAnsi="Lato" w:cs="Calibri"/>
          <w:bCs/>
          <w:sz w:val="22"/>
          <w:szCs w:val="22"/>
        </w:rPr>
        <w:t> </w:t>
      </w:r>
      <w:r w:rsidRPr="00A01EAE">
        <w:rPr>
          <w:rFonts w:ascii="Lato" w:hAnsi="Lato" w:cs="Calibri"/>
          <w:bCs/>
          <w:sz w:val="22"/>
          <w:szCs w:val="22"/>
        </w:rPr>
        <w:t>Unii Lubelskiej 1, 71-252 Szczecin</w:t>
      </w:r>
      <w:r w:rsidR="00DE526F">
        <w:rPr>
          <w:rFonts w:ascii="Lato" w:hAnsi="Lato" w:cs="Calibri"/>
          <w:bCs/>
          <w:sz w:val="22"/>
          <w:szCs w:val="22"/>
        </w:rPr>
        <w:t xml:space="preserve"> </w:t>
      </w:r>
      <w:r w:rsidRPr="00A01EAE">
        <w:rPr>
          <w:rFonts w:ascii="Lato" w:hAnsi="Lato" w:cs="Calibri"/>
          <w:bCs/>
          <w:sz w:val="22"/>
          <w:szCs w:val="22"/>
        </w:rPr>
        <w:t xml:space="preserve">- zrealizowano </w:t>
      </w:r>
      <w:r w:rsidRPr="00A01EAE">
        <w:rPr>
          <w:rFonts w:ascii="Lato" w:hAnsi="Lato" w:cs="Calibri"/>
          <w:bCs/>
          <w:color w:val="000000"/>
          <w:sz w:val="22"/>
          <w:szCs w:val="22"/>
        </w:rPr>
        <w:t>inwestycje pod nazwą: „Doposażenie Zakładu Medycyny Nuklearnej w PET-CT wraz z przebudową pomieszczeń”, „Budowa budynków Oddziału Klinicznego Onkologii, Chemioterapii i Immunoterapii Nowotworów  SPSK Nr 1 PUM wraz z budową podziemnego łącznika, łączącego projektowany budynek z piwnicą budynku Centrum Diagnostyki i Leczenia Chorób Dziedzicznych”</w:t>
      </w:r>
      <w:r w:rsidR="00BD7BB8">
        <w:rPr>
          <w:rFonts w:ascii="Lato" w:hAnsi="Lato" w:cs="Calibri"/>
          <w:bCs/>
          <w:color w:val="000000"/>
          <w:sz w:val="22"/>
          <w:szCs w:val="22"/>
        </w:rPr>
        <w:t>; p</w:t>
      </w:r>
      <w:r w:rsidRPr="00A01EAE">
        <w:rPr>
          <w:rFonts w:ascii="Lato" w:hAnsi="Lato" w:cs="Calibri"/>
          <w:bCs/>
          <w:color w:val="000000"/>
          <w:sz w:val="22"/>
          <w:szCs w:val="22"/>
        </w:rPr>
        <w:t>rzebudowano pomieszczenia budynku głównego w segmencie C, G i H w ramach inwestycji Uniwersyteckie Ponadregionalne Centrum Chirurgii Głowy i Szyi na potrzeby Kliniki Neurochirurgii i Neurochirurgii Dziecięcej zlokalizowanej na II piętrze w segmencie H1, H2- uruchomiono Centrum</w:t>
      </w:r>
      <w:r w:rsidR="00BD7BB8">
        <w:rPr>
          <w:rFonts w:ascii="Lato" w:hAnsi="Lato" w:cs="Calibri"/>
          <w:bCs/>
          <w:color w:val="000000"/>
          <w:sz w:val="22"/>
          <w:szCs w:val="22"/>
        </w:rPr>
        <w:t xml:space="preserve">; </w:t>
      </w:r>
      <w:r w:rsidRPr="00A01EAE">
        <w:rPr>
          <w:rFonts w:ascii="Lato" w:hAnsi="Lato" w:cs="Calibri"/>
          <w:bCs/>
          <w:color w:val="000000"/>
          <w:sz w:val="22"/>
          <w:szCs w:val="22"/>
        </w:rPr>
        <w:t>uruchomiony został Ponadregionalny Ośrodek Żywienia Pozajelitowego dla Dzieci w Szczecinie przy Klinice Pediatrii, Żywienia i Gastroenterologii Dziecięcej</w:t>
      </w:r>
      <w:r w:rsidR="00BD7BB8">
        <w:rPr>
          <w:rFonts w:ascii="Lato" w:hAnsi="Lato" w:cs="Calibri"/>
          <w:bCs/>
          <w:color w:val="000000"/>
          <w:sz w:val="22"/>
          <w:szCs w:val="22"/>
        </w:rPr>
        <w:t>; w</w:t>
      </w:r>
      <w:r w:rsidRPr="00A01EAE">
        <w:rPr>
          <w:rFonts w:ascii="Lato" w:hAnsi="Lato" w:cs="Calibri"/>
          <w:bCs/>
          <w:color w:val="000000"/>
          <w:sz w:val="22"/>
          <w:szCs w:val="22"/>
        </w:rPr>
        <w:t xml:space="preserve"> trakcie realizacji jest budowa Uniwersyteckiego Centrum Zabiegowego dla Dzieci</w:t>
      </w:r>
      <w:r w:rsidR="00BD7BB8">
        <w:rPr>
          <w:rFonts w:ascii="Lato" w:hAnsi="Lato" w:cs="Calibri"/>
          <w:bCs/>
          <w:sz w:val="22"/>
          <w:szCs w:val="22"/>
        </w:rPr>
        <w:t>;</w:t>
      </w:r>
    </w:p>
    <w:p w14:paraId="3A7A4192" w14:textId="1D0E9A69" w:rsidR="00986DE0" w:rsidRPr="00A01EAE" w:rsidRDefault="00986DE0">
      <w:pPr>
        <w:pStyle w:val="Akapitzlist"/>
        <w:numPr>
          <w:ilvl w:val="0"/>
          <w:numId w:val="14"/>
        </w:numPr>
        <w:suppressAutoHyphens/>
        <w:spacing w:line="360" w:lineRule="auto"/>
        <w:rPr>
          <w:rFonts w:ascii="Lato" w:hAnsi="Lato" w:cs="Calibri"/>
          <w:bCs/>
          <w:color w:val="7030A0"/>
          <w:sz w:val="22"/>
          <w:szCs w:val="22"/>
        </w:rPr>
      </w:pPr>
      <w:r w:rsidRPr="00A01EAE">
        <w:rPr>
          <w:rFonts w:ascii="Lato" w:hAnsi="Lato" w:cs="Calibri"/>
          <w:bCs/>
          <w:sz w:val="22"/>
          <w:szCs w:val="22"/>
        </w:rPr>
        <w:t xml:space="preserve">SP Specjalistyczny ZOZ „ZDROJE” - reorganizacja </w:t>
      </w:r>
      <w:r w:rsidRPr="00A01EAE">
        <w:rPr>
          <w:rFonts w:ascii="Lato" w:hAnsi="Lato" w:cs="Calibri"/>
          <w:bCs/>
          <w:color w:val="000000"/>
          <w:sz w:val="22"/>
          <w:szCs w:val="22"/>
        </w:rPr>
        <w:t>oddziału położniczo -ginekologicznego w celu utworzenia oddziału ginekologii onkologicznej</w:t>
      </w:r>
      <w:r w:rsidRPr="00B74DAD">
        <w:rPr>
          <w:rFonts w:ascii="Lato" w:hAnsi="Lato" w:cs="Calibri"/>
          <w:bCs/>
          <w:color w:val="000000"/>
          <w:sz w:val="22"/>
          <w:szCs w:val="22"/>
        </w:rPr>
        <w:t xml:space="preserve">, </w:t>
      </w:r>
      <w:r w:rsidRPr="00A01EAE">
        <w:rPr>
          <w:rFonts w:ascii="Lato" w:hAnsi="Lato" w:cs="Calibri"/>
          <w:bCs/>
          <w:color w:val="000000"/>
          <w:sz w:val="22"/>
          <w:szCs w:val="22"/>
        </w:rPr>
        <w:t>modernizacja części oświetlenia terenu Szpitala oraz montaż oświetlenia</w:t>
      </w:r>
      <w:r w:rsidRPr="00A01EAE">
        <w:rPr>
          <w:rFonts w:ascii="Lato" w:hAnsi="Lato" w:cs="Calibri"/>
          <w:bCs/>
          <w:color w:val="7030A0"/>
          <w:sz w:val="22"/>
          <w:szCs w:val="22"/>
        </w:rPr>
        <w:t xml:space="preserve"> </w:t>
      </w:r>
      <w:r w:rsidRPr="00A01EAE">
        <w:rPr>
          <w:rFonts w:ascii="Lato" w:hAnsi="Lato" w:cs="Calibri"/>
          <w:bCs/>
          <w:sz w:val="22"/>
          <w:szCs w:val="22"/>
        </w:rPr>
        <w:t>awaryjnego</w:t>
      </w:r>
      <w:r w:rsidR="00BD7BB8">
        <w:rPr>
          <w:rFonts w:ascii="Lato" w:hAnsi="Lato" w:cs="Calibri"/>
          <w:bCs/>
          <w:sz w:val="22"/>
          <w:szCs w:val="22"/>
        </w:rPr>
        <w:t>;</w:t>
      </w:r>
    </w:p>
    <w:p w14:paraId="7F325B65" w14:textId="0AD471C5" w:rsidR="00986DE0" w:rsidRPr="00A01EAE" w:rsidRDefault="00986DE0">
      <w:pPr>
        <w:pStyle w:val="Akapitzlist"/>
        <w:numPr>
          <w:ilvl w:val="0"/>
          <w:numId w:val="14"/>
        </w:numPr>
        <w:suppressAutoHyphens/>
        <w:spacing w:line="360" w:lineRule="auto"/>
        <w:rPr>
          <w:rFonts w:ascii="Lato" w:hAnsi="Lato" w:cs="Calibri"/>
          <w:bCs/>
          <w:color w:val="7030A0"/>
          <w:sz w:val="22"/>
          <w:szCs w:val="22"/>
        </w:rPr>
      </w:pPr>
      <w:r w:rsidRPr="00A01EAE">
        <w:rPr>
          <w:rFonts w:ascii="Lato" w:hAnsi="Lato" w:cs="Calibri"/>
          <w:bCs/>
          <w:sz w:val="22"/>
          <w:szCs w:val="22"/>
        </w:rPr>
        <w:t>SP ZOZ Ministerstwa Spraw Wewnętrznych i Administracji w Szczecinie, ul.</w:t>
      </w:r>
      <w:r w:rsidR="00E31B5B" w:rsidRPr="00A01EAE">
        <w:rPr>
          <w:rFonts w:ascii="Lato" w:hAnsi="Lato" w:cs="Calibri"/>
          <w:bCs/>
          <w:sz w:val="22"/>
          <w:szCs w:val="22"/>
        </w:rPr>
        <w:t> </w:t>
      </w:r>
      <w:r w:rsidRPr="00A01EAE">
        <w:rPr>
          <w:rFonts w:ascii="Lato" w:hAnsi="Lato" w:cs="Calibri"/>
          <w:bCs/>
          <w:sz w:val="22"/>
          <w:szCs w:val="22"/>
        </w:rPr>
        <w:t xml:space="preserve">Jagiellońska 44, 70-382 Szczecin </w:t>
      </w:r>
      <w:r w:rsidRPr="00A01EAE">
        <w:rPr>
          <w:rFonts w:ascii="Lato" w:hAnsi="Lato" w:cs="Calibri"/>
          <w:bCs/>
          <w:color w:val="7030A0"/>
          <w:sz w:val="22"/>
          <w:szCs w:val="22"/>
        </w:rPr>
        <w:t xml:space="preserve">- </w:t>
      </w:r>
      <w:r w:rsidRPr="00A01EAE">
        <w:rPr>
          <w:rFonts w:ascii="Lato" w:hAnsi="Lato" w:cs="Calibri"/>
          <w:bCs/>
          <w:sz w:val="22"/>
          <w:szCs w:val="22"/>
        </w:rPr>
        <w:t xml:space="preserve">od 2023 r. do </w:t>
      </w:r>
      <w:r w:rsidRPr="00A01EAE">
        <w:rPr>
          <w:rFonts w:ascii="Lato" w:hAnsi="Lato" w:cs="Calibri"/>
          <w:bCs/>
          <w:color w:val="000000"/>
          <w:sz w:val="22"/>
          <w:szCs w:val="22"/>
        </w:rPr>
        <w:t xml:space="preserve">chwili obecnej prowadzona jest inwestycja polegająca na rozbudowie budynku szpitala oraz remoncie pomieszczeń </w:t>
      </w:r>
      <w:r w:rsidRPr="00A01EAE">
        <w:rPr>
          <w:rFonts w:ascii="Lato" w:hAnsi="Lato" w:cs="Calibri"/>
          <w:bCs/>
          <w:color w:val="000000"/>
          <w:sz w:val="22"/>
          <w:szCs w:val="22"/>
        </w:rPr>
        <w:lastRenderedPageBreak/>
        <w:t>parteru na potrzeby Centrum Diagnostycznego</w:t>
      </w:r>
      <w:r w:rsidR="00BD7BB8">
        <w:rPr>
          <w:rFonts w:ascii="Lato" w:hAnsi="Lato" w:cs="Calibri"/>
          <w:bCs/>
          <w:color w:val="000000"/>
          <w:sz w:val="22"/>
          <w:szCs w:val="22"/>
        </w:rPr>
        <w:t>; z</w:t>
      </w:r>
      <w:r w:rsidRPr="00A01EAE">
        <w:rPr>
          <w:rFonts w:ascii="Lato" w:hAnsi="Lato" w:cs="Calibri"/>
          <w:bCs/>
          <w:color w:val="000000"/>
          <w:sz w:val="22"/>
          <w:szCs w:val="22"/>
        </w:rPr>
        <w:t>akończenie inwestycji jest planowane w II/III kwartału</w:t>
      </w:r>
      <w:r w:rsidRPr="00A01EAE">
        <w:rPr>
          <w:rFonts w:ascii="Lato" w:hAnsi="Lato" w:cs="Calibri"/>
          <w:bCs/>
          <w:color w:val="7030A0"/>
          <w:sz w:val="22"/>
          <w:szCs w:val="22"/>
        </w:rPr>
        <w:t xml:space="preserve"> </w:t>
      </w:r>
      <w:r w:rsidRPr="00A01EAE">
        <w:rPr>
          <w:rFonts w:ascii="Lato" w:hAnsi="Lato" w:cs="Calibri"/>
          <w:bCs/>
          <w:sz w:val="22"/>
          <w:szCs w:val="22"/>
        </w:rPr>
        <w:t>2026 r.</w:t>
      </w:r>
      <w:r w:rsidR="00BD7BB8">
        <w:rPr>
          <w:rFonts w:ascii="Lato" w:hAnsi="Lato" w:cs="Calibri"/>
          <w:bCs/>
          <w:sz w:val="22"/>
          <w:szCs w:val="22"/>
        </w:rPr>
        <w:t>;</w:t>
      </w:r>
    </w:p>
    <w:p w14:paraId="49E93E55" w14:textId="77777777" w:rsidR="00986DE0" w:rsidRPr="00A01EAE" w:rsidRDefault="00986DE0">
      <w:pPr>
        <w:pStyle w:val="Akapitzlist"/>
        <w:numPr>
          <w:ilvl w:val="0"/>
          <w:numId w:val="14"/>
        </w:numPr>
        <w:suppressAutoHyphens/>
        <w:spacing w:line="360" w:lineRule="auto"/>
        <w:ind w:left="1077" w:hanging="357"/>
        <w:contextualSpacing w:val="0"/>
        <w:rPr>
          <w:rFonts w:ascii="Lato" w:hAnsi="Lato"/>
          <w:bCs/>
          <w:sz w:val="22"/>
          <w:szCs w:val="22"/>
        </w:rPr>
      </w:pPr>
      <w:r w:rsidRPr="00A01EAE">
        <w:rPr>
          <w:rFonts w:ascii="Lato" w:hAnsi="Lato" w:cs="Calibri"/>
          <w:bCs/>
          <w:sz w:val="22"/>
          <w:szCs w:val="22"/>
        </w:rPr>
        <w:t>Szpital w Szczecinku ul. Kościuszki 38 -</w:t>
      </w:r>
      <w:r w:rsidRPr="00A01EAE">
        <w:rPr>
          <w:rFonts w:ascii="Lato" w:hAnsi="Lato" w:cs="Calibri"/>
          <w:bCs/>
          <w:color w:val="000000"/>
          <w:sz w:val="22"/>
          <w:szCs w:val="22"/>
        </w:rPr>
        <w:t xml:space="preserve"> remont bloku operacyjnego na Oddziale Chirurgii Ogólnej i Onkologicznej.</w:t>
      </w:r>
    </w:p>
    <w:p w14:paraId="3C495465" w14:textId="798C0D9B" w:rsidR="00986DE0" w:rsidRDefault="00986DE0">
      <w:pPr>
        <w:pStyle w:val="Nagwek3"/>
        <w:numPr>
          <w:ilvl w:val="1"/>
          <w:numId w:val="17"/>
        </w:numPr>
        <w:spacing w:before="0" w:after="0" w:line="360" w:lineRule="auto"/>
        <w:ind w:left="568" w:right="284" w:hanging="284"/>
        <w:rPr>
          <w:rStyle w:val="Nagwek2Znak"/>
          <w:color w:val="auto"/>
          <w:szCs w:val="22"/>
        </w:rPr>
      </w:pPr>
      <w:bookmarkStart w:id="95" w:name="_Toc225235865"/>
      <w:bookmarkStart w:id="96" w:name="_Toc225859054"/>
      <w:r w:rsidRPr="0004472E">
        <w:rPr>
          <w:rStyle w:val="Nagwek2Znak"/>
          <w:color w:val="auto"/>
          <w:szCs w:val="22"/>
        </w:rPr>
        <w:t>Zaopatrzenie szpitali w wodę</w:t>
      </w:r>
      <w:bookmarkEnd w:id="95"/>
      <w:bookmarkEnd w:id="96"/>
    </w:p>
    <w:p w14:paraId="377F7D7E" w14:textId="77777777" w:rsidR="00BA7929" w:rsidRPr="00BA7929" w:rsidRDefault="00BA7929" w:rsidP="00BA7929"/>
    <w:p w14:paraId="2A6A9469" w14:textId="77777777" w:rsidR="00E67A74" w:rsidRPr="00B82CD7" w:rsidRDefault="00E67A74" w:rsidP="00E67A74">
      <w:pPr>
        <w:spacing w:line="360" w:lineRule="auto"/>
        <w:jc w:val="both"/>
        <w:rPr>
          <w:rFonts w:ascii="Lato" w:hAnsi="Lato" w:cstheme="minorHAnsi"/>
          <w:sz w:val="22"/>
          <w:lang w:eastAsia="ar-SA"/>
        </w:rPr>
      </w:pPr>
      <w:r w:rsidRPr="00B82CD7">
        <w:rPr>
          <w:rFonts w:ascii="Lato" w:hAnsi="Lato" w:cstheme="minorHAnsi"/>
          <w:sz w:val="22"/>
          <w:lang w:val="x-none" w:eastAsia="ar-SA"/>
        </w:rPr>
        <w:t xml:space="preserve">Nadzór nad jakością wody w szpitalach </w:t>
      </w:r>
      <w:r w:rsidRPr="00B82CD7">
        <w:rPr>
          <w:rFonts w:ascii="Lato" w:hAnsi="Lato" w:cstheme="minorHAnsi"/>
          <w:sz w:val="22"/>
          <w:lang w:eastAsia="ar-SA"/>
        </w:rPr>
        <w:t xml:space="preserve">obejmował kontrolę jakości zdrowotnej wody przeznaczonej do spożycia w zakresie jej parametrów mikrobiologicznych i fizykochemicznych, jak i </w:t>
      </w:r>
      <w:r w:rsidRPr="00B82CD7">
        <w:rPr>
          <w:rFonts w:ascii="Lato" w:hAnsi="Lato" w:cstheme="minorHAnsi"/>
          <w:bCs/>
          <w:sz w:val="22"/>
          <w:lang w:eastAsia="ar-SA"/>
        </w:rPr>
        <w:t>kontrolę jakości ciepłej wody w zakresie obecności bakterii Legionella</w:t>
      </w:r>
      <w:r w:rsidRPr="00B82CD7">
        <w:rPr>
          <w:rFonts w:ascii="Lato" w:hAnsi="Lato" w:cstheme="minorHAnsi"/>
          <w:sz w:val="22"/>
          <w:lang w:eastAsia="ar-SA"/>
        </w:rPr>
        <w:t xml:space="preserve"> sp. </w:t>
      </w:r>
    </w:p>
    <w:p w14:paraId="55CC3BB6" w14:textId="4E3DE17F" w:rsidR="00E67A74" w:rsidRPr="00B82CD7" w:rsidRDefault="00E67A74" w:rsidP="00E67A74">
      <w:pPr>
        <w:spacing w:line="360" w:lineRule="auto"/>
        <w:jc w:val="both"/>
        <w:rPr>
          <w:rFonts w:ascii="Lato" w:hAnsi="Lato" w:cstheme="minorHAnsi"/>
          <w:sz w:val="22"/>
          <w:lang w:eastAsia="ar-SA"/>
        </w:rPr>
      </w:pPr>
      <w:r w:rsidRPr="00B82CD7">
        <w:rPr>
          <w:rFonts w:ascii="Lato" w:hAnsi="Lato" w:cstheme="minorHAnsi"/>
          <w:sz w:val="22"/>
          <w:lang w:eastAsia="ar-SA"/>
        </w:rPr>
        <w:t xml:space="preserve">Większość szpitali (34 szpitale - 77%) zaopatrywana była w wodę pochodzącą z publicznych sieci wodociągowych, 9 (22%) korzystało z własnych ujęć, a </w:t>
      </w:r>
      <w:r>
        <w:rPr>
          <w:rFonts w:ascii="Lato" w:hAnsi="Lato" w:cstheme="minorHAnsi"/>
          <w:sz w:val="22"/>
          <w:lang w:eastAsia="ar-SA"/>
        </w:rPr>
        <w:t>1 szpital</w:t>
      </w:r>
      <w:r w:rsidRPr="00B82CD7">
        <w:rPr>
          <w:rFonts w:ascii="Lato" w:hAnsi="Lato" w:cstheme="minorHAnsi"/>
          <w:sz w:val="22"/>
          <w:lang w:eastAsia="ar-SA"/>
        </w:rPr>
        <w:t xml:space="preserve"> zaopatrywany był zarówno z</w:t>
      </w:r>
      <w:r w:rsidR="00E31B5B">
        <w:rPr>
          <w:rFonts w:ascii="Lato" w:hAnsi="Lato" w:cstheme="minorHAnsi"/>
          <w:sz w:val="22"/>
          <w:lang w:eastAsia="ar-SA"/>
        </w:rPr>
        <w:t> </w:t>
      </w:r>
      <w:r w:rsidRPr="00B82CD7">
        <w:rPr>
          <w:rFonts w:ascii="Lato" w:hAnsi="Lato" w:cstheme="minorHAnsi"/>
          <w:sz w:val="22"/>
          <w:lang w:eastAsia="ar-SA"/>
        </w:rPr>
        <w:t xml:space="preserve">ujęcia własnego jak i z publicznej sieci wodociągowej. </w:t>
      </w:r>
    </w:p>
    <w:p w14:paraId="171B9E78" w14:textId="2A7365BF" w:rsidR="00E67A74" w:rsidRPr="00B82CD7" w:rsidRDefault="00E67A74" w:rsidP="00E67A74">
      <w:pPr>
        <w:spacing w:line="360" w:lineRule="auto"/>
        <w:jc w:val="both"/>
        <w:rPr>
          <w:rFonts w:ascii="Lato" w:hAnsi="Lato" w:cstheme="minorHAnsi"/>
          <w:sz w:val="22"/>
          <w:lang w:eastAsia="ar-SA"/>
        </w:rPr>
      </w:pPr>
      <w:r w:rsidRPr="00B82CD7">
        <w:rPr>
          <w:rFonts w:ascii="Lato" w:hAnsi="Lato" w:cstheme="minorHAnsi"/>
          <w:sz w:val="22"/>
          <w:lang w:eastAsia="ar-SA"/>
        </w:rPr>
        <w:t xml:space="preserve">Wszystkie wodociągi zaopatrujące szpitale objęte były </w:t>
      </w:r>
      <w:r>
        <w:rPr>
          <w:rFonts w:ascii="Lato" w:hAnsi="Lato" w:cstheme="minorHAnsi"/>
          <w:sz w:val="22"/>
          <w:lang w:eastAsia="ar-SA"/>
        </w:rPr>
        <w:t xml:space="preserve">w 2025 r. </w:t>
      </w:r>
      <w:r w:rsidRPr="00B82CD7">
        <w:rPr>
          <w:rFonts w:ascii="Lato" w:hAnsi="Lato" w:cstheme="minorHAnsi"/>
          <w:sz w:val="22"/>
          <w:lang w:eastAsia="ar-SA"/>
        </w:rPr>
        <w:t>stałym nadzorem Państwowej Inspekcji Sanitarnej. W jednym ze szpitali stwierdzono brak przydatności wody ze względu na</w:t>
      </w:r>
      <w:r w:rsidR="00E31B5B">
        <w:rPr>
          <w:rFonts w:ascii="Lato" w:hAnsi="Lato" w:cstheme="minorHAnsi"/>
          <w:sz w:val="22"/>
          <w:lang w:eastAsia="ar-SA"/>
        </w:rPr>
        <w:t> </w:t>
      </w:r>
      <w:r w:rsidRPr="00B82CD7">
        <w:rPr>
          <w:rFonts w:ascii="Lato" w:hAnsi="Lato" w:cstheme="minorHAnsi"/>
          <w:sz w:val="22"/>
          <w:lang w:eastAsia="ar-SA"/>
        </w:rPr>
        <w:t>przekroczone parametry mikrobiologiczne. Woda pochodziła z ujęcia własnego, które stanowiło podstawowe źródło zaopatrzenia szpitala w wodę. Szpital zobowiązano do</w:t>
      </w:r>
      <w:r w:rsidR="00E31B5B">
        <w:rPr>
          <w:rFonts w:ascii="Lato" w:hAnsi="Lato" w:cstheme="minorHAnsi"/>
          <w:sz w:val="22"/>
          <w:lang w:eastAsia="ar-SA"/>
        </w:rPr>
        <w:t> </w:t>
      </w:r>
      <w:r w:rsidRPr="00B82CD7">
        <w:rPr>
          <w:rFonts w:ascii="Lato" w:hAnsi="Lato" w:cstheme="minorHAnsi"/>
          <w:sz w:val="22"/>
          <w:lang w:eastAsia="ar-SA"/>
        </w:rPr>
        <w:t>przeprowadzenia działań naprawczych,</w:t>
      </w:r>
      <w:r w:rsidRPr="00B82CD7">
        <w:rPr>
          <w:rFonts w:ascii="Lato" w:hAnsi="Lato" w:cstheme="minorHAnsi"/>
          <w:bCs/>
          <w:sz w:val="22"/>
          <w:lang w:eastAsia="ar-SA"/>
        </w:rPr>
        <w:t xml:space="preserve"> w tym czasie placówka korzystała z rezerwowego źródła zaopatrzenia, tj. wodociągu sieciowego.</w:t>
      </w:r>
    </w:p>
    <w:p w14:paraId="199B23E8" w14:textId="77777777" w:rsidR="00E67A74" w:rsidRPr="00B82CD7" w:rsidRDefault="00E67A74" w:rsidP="00E67A74">
      <w:pPr>
        <w:spacing w:line="360" w:lineRule="auto"/>
        <w:jc w:val="both"/>
        <w:rPr>
          <w:rFonts w:ascii="Lato" w:hAnsi="Lato" w:cstheme="minorHAnsi"/>
          <w:sz w:val="22"/>
          <w:lang w:eastAsia="ar-SA"/>
        </w:rPr>
      </w:pPr>
      <w:r>
        <w:rPr>
          <w:rFonts w:ascii="Lato" w:hAnsi="Lato" w:cstheme="minorHAnsi"/>
          <w:sz w:val="22"/>
          <w:lang w:eastAsia="ar-SA"/>
        </w:rPr>
        <w:t>Wszystkie</w:t>
      </w:r>
      <w:r w:rsidRPr="00B82CD7">
        <w:rPr>
          <w:rFonts w:ascii="Lato" w:hAnsi="Lato" w:cstheme="minorHAnsi"/>
          <w:sz w:val="22"/>
          <w:lang w:eastAsia="ar-SA"/>
        </w:rPr>
        <w:t xml:space="preserve"> szpitale stosowały działania prewencyjne w celu ochrony wewnętrznych sieci instalacji ciepłej wody przed ich zanieczyszczeniem bakteriami </w:t>
      </w:r>
      <w:r w:rsidRPr="00B82CD7">
        <w:rPr>
          <w:rFonts w:ascii="Lato" w:hAnsi="Lato" w:cstheme="minorHAnsi"/>
          <w:bCs/>
          <w:sz w:val="22"/>
          <w:lang w:eastAsia="ar-SA"/>
        </w:rPr>
        <w:t>Legionella</w:t>
      </w:r>
      <w:r w:rsidRPr="00B82CD7">
        <w:rPr>
          <w:rFonts w:ascii="Lato" w:hAnsi="Lato" w:cstheme="minorHAnsi"/>
          <w:sz w:val="22"/>
          <w:lang w:eastAsia="ar-SA"/>
        </w:rPr>
        <w:t xml:space="preserve"> sp., była to najczęściej termiczna metoda dezynfekcji polegająca na przegrzewaniu i płukaniu instalacji wewnętrznych wodą o wysokiej temperaturze. W przypadku konieczności prowadzenia działań naprawczych, wspomagająco stosowano dezynfekcję związkami chloru lub jonami srebra. </w:t>
      </w:r>
      <w:r w:rsidRPr="00B82CD7">
        <w:rPr>
          <w:rFonts w:ascii="Lato" w:hAnsi="Lato" w:cstheme="minorHAnsi"/>
          <w:sz w:val="22"/>
        </w:rPr>
        <w:t>W 2025 roku zbadano jakość ciepłej wody i oceniono zanieczyszczenie wewnętrznych sieci instalacji wodnych bakteriami Legionella sp. w 44 placówkach szpitalnych. Do badań pobrano łącznie 355 próbek wody w ramach kontroli urzędowej oraz 333 próbki wody w ramach kontroli wewnętrznej</w:t>
      </w:r>
      <w:r>
        <w:rPr>
          <w:rFonts w:ascii="Lato" w:hAnsi="Lato" w:cstheme="minorHAnsi"/>
          <w:sz w:val="22"/>
        </w:rPr>
        <w:t xml:space="preserve"> prowadzonej przez szpitale.</w:t>
      </w:r>
    </w:p>
    <w:p w14:paraId="6FBD4B9A" w14:textId="77777777" w:rsidR="00E67A74" w:rsidRPr="00B82CD7" w:rsidRDefault="00E67A74" w:rsidP="00E67A74">
      <w:pPr>
        <w:spacing w:line="360" w:lineRule="auto"/>
        <w:jc w:val="both"/>
        <w:rPr>
          <w:rFonts w:ascii="Lato" w:hAnsi="Lato" w:cstheme="minorHAnsi"/>
          <w:bCs/>
          <w:sz w:val="22"/>
          <w:lang w:eastAsia="ar-SA"/>
        </w:rPr>
      </w:pPr>
      <w:r w:rsidRPr="00B82CD7">
        <w:rPr>
          <w:rFonts w:ascii="Lato" w:hAnsi="Lato" w:cstheme="minorHAnsi"/>
          <w:sz w:val="22"/>
          <w:lang w:eastAsia="ar-SA"/>
        </w:rPr>
        <w:t>W związku z nieprawidłowościami, w</w:t>
      </w:r>
      <w:r w:rsidRPr="00B82CD7">
        <w:rPr>
          <w:rFonts w:ascii="Lato" w:hAnsi="Lato" w:cstheme="minorHAnsi"/>
          <w:bCs/>
          <w:sz w:val="22"/>
          <w:lang w:eastAsia="ar-SA"/>
        </w:rPr>
        <w:t>ydano 20 decyzji administracyjnych, które obligowały podmiot</w:t>
      </w:r>
      <w:r>
        <w:rPr>
          <w:rFonts w:ascii="Lato" w:hAnsi="Lato" w:cstheme="minorHAnsi"/>
          <w:bCs/>
          <w:sz w:val="22"/>
          <w:lang w:eastAsia="ar-SA"/>
        </w:rPr>
        <w:t>y</w:t>
      </w:r>
      <w:r w:rsidRPr="00B82CD7">
        <w:rPr>
          <w:rFonts w:ascii="Lato" w:hAnsi="Lato" w:cstheme="minorHAnsi"/>
          <w:bCs/>
          <w:sz w:val="22"/>
          <w:lang w:eastAsia="ar-SA"/>
        </w:rPr>
        <w:t xml:space="preserve"> do podjęcia działań naprawczych zmierzających do redukcji bakterii. We wszystkich przypadkach, poprzez podjęte działania zapewniono prawidłową jakość wody, a tym samym bezpieczeństwo zdrowotne osób korzystających z ciepłej wody w szpitalach.</w:t>
      </w:r>
    </w:p>
    <w:p w14:paraId="6CF6EFD2" w14:textId="77777777" w:rsidR="0090516C" w:rsidRPr="003A4CF9" w:rsidRDefault="0090516C" w:rsidP="00986DE0">
      <w:pPr>
        <w:spacing w:line="276" w:lineRule="auto"/>
        <w:rPr>
          <w:rFonts w:ascii="Lato" w:hAnsi="Lato"/>
          <w:i/>
          <w:iCs/>
        </w:rPr>
      </w:pPr>
    </w:p>
    <w:p w14:paraId="4181251C" w14:textId="5A19161C" w:rsidR="00986DE0" w:rsidRPr="00885F34" w:rsidRDefault="00BA2854">
      <w:pPr>
        <w:pStyle w:val="Akapitzlist"/>
        <w:numPr>
          <w:ilvl w:val="1"/>
          <w:numId w:val="17"/>
        </w:numPr>
        <w:spacing w:line="360" w:lineRule="auto"/>
        <w:ind w:left="568" w:right="284" w:hanging="284"/>
        <w:outlineLvl w:val="0"/>
        <w:rPr>
          <w:rStyle w:val="Nagwek3Znak"/>
          <w:rFonts w:eastAsia="Times New Roman" w:cs="Times New Roman"/>
          <w:color w:val="auto"/>
          <w:sz w:val="24"/>
          <w:szCs w:val="24"/>
        </w:rPr>
      </w:pPr>
      <w:bookmarkStart w:id="97" w:name="_Toc225859055"/>
      <w:r>
        <w:rPr>
          <w:rStyle w:val="Nagwek3Znak"/>
          <w:color w:val="auto"/>
          <w:szCs w:val="22"/>
        </w:rPr>
        <w:t>Bloki żywieniowe</w:t>
      </w:r>
      <w:bookmarkEnd w:id="97"/>
      <w:r>
        <w:rPr>
          <w:rStyle w:val="Nagwek3Znak"/>
          <w:color w:val="auto"/>
          <w:szCs w:val="22"/>
        </w:rPr>
        <w:t xml:space="preserve"> </w:t>
      </w:r>
    </w:p>
    <w:p w14:paraId="0FB960B1" w14:textId="77777777" w:rsidR="00885F34" w:rsidRPr="00885F34" w:rsidRDefault="00885F34" w:rsidP="00885F34">
      <w:pPr>
        <w:spacing w:line="360" w:lineRule="auto"/>
        <w:ind w:left="284" w:right="284"/>
        <w:outlineLvl w:val="0"/>
        <w:rPr>
          <w:rFonts w:ascii="Lato" w:hAnsi="Lato"/>
        </w:rPr>
      </w:pPr>
    </w:p>
    <w:p w14:paraId="6BCCC870" w14:textId="77777777" w:rsidR="00FD31AE" w:rsidRPr="00FD31AE" w:rsidRDefault="00FD31AE" w:rsidP="00FD31AE">
      <w:pPr>
        <w:spacing w:line="360" w:lineRule="auto"/>
        <w:rPr>
          <w:rFonts w:ascii="Lato" w:hAnsi="Lato" w:cs="Calibri"/>
          <w:sz w:val="22"/>
          <w:szCs w:val="22"/>
        </w:rPr>
      </w:pPr>
      <w:r w:rsidRPr="00FD31AE">
        <w:rPr>
          <w:rFonts w:ascii="Lato" w:hAnsi="Lato" w:cs="Calibri"/>
          <w:bCs/>
          <w:sz w:val="22"/>
          <w:szCs w:val="22"/>
        </w:rPr>
        <w:t xml:space="preserve">W ramach działalności szpitali </w:t>
      </w:r>
      <w:r w:rsidRPr="00FD31AE">
        <w:rPr>
          <w:rFonts w:ascii="Lato" w:hAnsi="Lato" w:cs="Calibri"/>
          <w:sz w:val="22"/>
          <w:szCs w:val="22"/>
        </w:rPr>
        <w:t xml:space="preserve">w województwie zachodniopomorskim </w:t>
      </w:r>
      <w:r w:rsidRPr="00FD31AE">
        <w:rPr>
          <w:rFonts w:ascii="Lato" w:hAnsi="Lato" w:cs="Calibri"/>
          <w:bCs/>
          <w:sz w:val="22"/>
          <w:szCs w:val="22"/>
        </w:rPr>
        <w:t>funkcjonują</w:t>
      </w:r>
      <w:r w:rsidRPr="00FD31AE">
        <w:rPr>
          <w:rFonts w:ascii="Lato" w:hAnsi="Lato" w:cs="Calibri"/>
          <w:sz w:val="22"/>
          <w:szCs w:val="22"/>
        </w:rPr>
        <w:t xml:space="preserve"> 44 bloki żywienia, w tym 25 w systemie cateringowym.</w:t>
      </w:r>
    </w:p>
    <w:p w14:paraId="2A326A99" w14:textId="10271DED" w:rsidR="00FD31AE" w:rsidRPr="00FD31AE" w:rsidRDefault="00FD31AE" w:rsidP="00FD31AE">
      <w:pPr>
        <w:spacing w:line="360" w:lineRule="auto"/>
        <w:rPr>
          <w:rFonts w:ascii="Lato" w:hAnsi="Lato"/>
          <w:sz w:val="22"/>
          <w:szCs w:val="22"/>
        </w:rPr>
      </w:pPr>
      <w:r w:rsidRPr="00FD31AE">
        <w:rPr>
          <w:rFonts w:ascii="Lato" w:hAnsi="Lato"/>
          <w:sz w:val="22"/>
          <w:szCs w:val="22"/>
        </w:rPr>
        <w:lastRenderedPageBreak/>
        <w:t>Posiłki w podmiotach leczniczych dla hospitalizowanych pacjentów przygotowane były w</w:t>
      </w:r>
      <w:r w:rsidR="00E31B5B">
        <w:rPr>
          <w:rFonts w:ascii="Lato" w:hAnsi="Lato"/>
          <w:sz w:val="22"/>
          <w:szCs w:val="22"/>
        </w:rPr>
        <w:t> </w:t>
      </w:r>
      <w:r w:rsidRPr="00FD31AE">
        <w:rPr>
          <w:rFonts w:ascii="Lato" w:hAnsi="Lato"/>
          <w:sz w:val="22"/>
          <w:szCs w:val="22"/>
        </w:rPr>
        <w:t>kuchniach własnych przez personel szpitala lub firm świadczących usługi żywieniowe, bądź w</w:t>
      </w:r>
      <w:r w:rsidR="00E31B5B">
        <w:rPr>
          <w:rFonts w:ascii="Lato" w:hAnsi="Lato"/>
          <w:sz w:val="22"/>
          <w:szCs w:val="22"/>
        </w:rPr>
        <w:t> </w:t>
      </w:r>
      <w:r w:rsidRPr="00FD31AE">
        <w:rPr>
          <w:rFonts w:ascii="Lato" w:hAnsi="Lato"/>
          <w:sz w:val="22"/>
          <w:szCs w:val="22"/>
        </w:rPr>
        <w:t xml:space="preserve">systemie cateringowym, który polegał na przygotowywaniu posiłków w zakładzie macierzystym firmy i ich dowożeniu do budynku szpitala, gdzie w wyodrębnionej strefie posiłki były ekspediowane na oddziały szpitalne. </w:t>
      </w:r>
    </w:p>
    <w:p w14:paraId="6B303770" w14:textId="77777777" w:rsidR="00FD31AE" w:rsidRPr="00FD31AE" w:rsidRDefault="00FD31AE" w:rsidP="00FD31AE">
      <w:pPr>
        <w:spacing w:line="360" w:lineRule="auto"/>
        <w:rPr>
          <w:rFonts w:ascii="Lato" w:hAnsi="Lato"/>
          <w:sz w:val="22"/>
          <w:szCs w:val="22"/>
        </w:rPr>
      </w:pPr>
      <w:r w:rsidRPr="00FD31AE">
        <w:rPr>
          <w:rFonts w:ascii="Lato" w:hAnsi="Lato"/>
          <w:sz w:val="22"/>
          <w:szCs w:val="22"/>
        </w:rPr>
        <w:t xml:space="preserve">Rozdział posiłków dla pacjentów prowadzony był w kuchenkach oddziałowych lub bezpośrednio przed ich podaniem, ewentualnie pacjenci spożywali posiłki w jadalniach. </w:t>
      </w:r>
    </w:p>
    <w:p w14:paraId="33CBA4F2" w14:textId="77777777" w:rsidR="00FD31AE" w:rsidRPr="00FD31AE" w:rsidRDefault="00FD31AE" w:rsidP="00FD31AE">
      <w:pPr>
        <w:spacing w:line="360" w:lineRule="auto"/>
        <w:rPr>
          <w:rFonts w:ascii="Lato" w:hAnsi="Lato"/>
          <w:sz w:val="22"/>
          <w:szCs w:val="22"/>
        </w:rPr>
      </w:pPr>
      <w:r w:rsidRPr="00FD31AE">
        <w:rPr>
          <w:rFonts w:ascii="Lato" w:hAnsi="Lato"/>
          <w:sz w:val="22"/>
          <w:szCs w:val="22"/>
        </w:rPr>
        <w:t xml:space="preserve">Wózki do transportu posiłków utrzymane były w dobrym stanie technicznym, skonstruowane w sposób zabezpieczający przewożone środki spożywcze przed zanieczyszczeniem. Termosy do transportu posiłków najczęściej wykonane były ze stali nierdzewnej, utrzymane w dobrym stanie technicznym, zapewniały utrzymanie właściwej temperatury potraw.  </w:t>
      </w:r>
    </w:p>
    <w:p w14:paraId="2683A910" w14:textId="62F3D1F8" w:rsidR="00FD31AE" w:rsidRPr="00FD31AE" w:rsidRDefault="00FD31AE" w:rsidP="00FD31AE">
      <w:pPr>
        <w:spacing w:line="360" w:lineRule="auto"/>
        <w:rPr>
          <w:rFonts w:ascii="Lato" w:hAnsi="Lato"/>
          <w:sz w:val="22"/>
          <w:szCs w:val="22"/>
        </w:rPr>
      </w:pPr>
      <w:r w:rsidRPr="00FD31AE">
        <w:rPr>
          <w:rFonts w:ascii="Lato" w:hAnsi="Lato"/>
          <w:sz w:val="22"/>
          <w:szCs w:val="22"/>
        </w:rPr>
        <w:t>Żywienie w szpitalach w zdecydowanej większości przypadków spełnia wymagania jakościowe i sanitarne. W pionach żywienia podmiotów działalności leczniczej przeprowadzono 61 kontroli i dokonano oceny 35 jadłospisów dekadowych. W przypadku 4 jadłospisów wykazano nieprawidłowości stwierdzając m. in. zbyt małą podaż mleka i przetworów mlecznych, w tym napojów fermentowanych, roślin strączkowych suchych, ryb lub przetworów rybnych, zbyt długą przerwę nocną, zwiększoną ilość potraw smażonych, nadmierną podaż soli. W jednym przypadku stwierdzono również niewłaściwą realizację zaplanowanego jadłospisu, w innym zaburzony procentowy rozkład energii w poszczególnych posiłkach.</w:t>
      </w:r>
    </w:p>
    <w:p w14:paraId="23F999CA" w14:textId="77777777" w:rsidR="00FD31AE" w:rsidRPr="00FD31AE" w:rsidRDefault="00FD31AE" w:rsidP="00FD31AE">
      <w:pPr>
        <w:spacing w:line="360" w:lineRule="auto"/>
        <w:rPr>
          <w:rFonts w:ascii="Lato" w:hAnsi="Lato"/>
          <w:sz w:val="22"/>
          <w:szCs w:val="22"/>
        </w:rPr>
      </w:pPr>
      <w:r w:rsidRPr="00FD31AE">
        <w:rPr>
          <w:rFonts w:ascii="Lato" w:hAnsi="Lato"/>
          <w:sz w:val="22"/>
          <w:szCs w:val="22"/>
        </w:rPr>
        <w:t>Do badań pobrano 15 próbek posiłków w podmiotach działalności leczniczej. W jednym przypadku wyniki badań wykazały ogólny deficyt zapotrzebowania energetycznego oraz przekroczenie zapotrzebowania energetycznego pochodzącego z białka.</w:t>
      </w:r>
    </w:p>
    <w:p w14:paraId="398D9F18" w14:textId="77777777" w:rsidR="00FD31AE" w:rsidRPr="00FD31AE" w:rsidRDefault="00FD31AE" w:rsidP="00FD31AE">
      <w:pPr>
        <w:spacing w:line="360" w:lineRule="auto"/>
        <w:rPr>
          <w:rFonts w:ascii="Lato" w:hAnsi="Lato"/>
          <w:sz w:val="22"/>
          <w:szCs w:val="22"/>
        </w:rPr>
      </w:pPr>
      <w:r w:rsidRPr="00FD31AE">
        <w:rPr>
          <w:rFonts w:ascii="Lato" w:hAnsi="Lato"/>
          <w:sz w:val="22"/>
          <w:szCs w:val="22"/>
        </w:rPr>
        <w:t xml:space="preserve">Część szpitali woj. zachodniopomorskiego przystąpiła do programu pilotażowego w zakresie edukacji żywieniowej oraz poprawy jakości żywienia w szpitalach – „Dobry posiłek w szpitalu”, w związku z realizowanym programem jakość posiłków uległa poprawie. </w:t>
      </w:r>
    </w:p>
    <w:p w14:paraId="1B241C2B" w14:textId="77777777" w:rsidR="0090516C" w:rsidRPr="003A4CF9" w:rsidRDefault="0090516C" w:rsidP="00986DE0">
      <w:pPr>
        <w:spacing w:line="276" w:lineRule="auto"/>
        <w:rPr>
          <w:rFonts w:ascii="Lato" w:hAnsi="Lato"/>
          <w:i/>
          <w:iCs/>
        </w:rPr>
      </w:pPr>
    </w:p>
    <w:p w14:paraId="5BF6D427" w14:textId="4330E2D2" w:rsidR="00986DE0" w:rsidRPr="00885F34" w:rsidRDefault="00BA2854">
      <w:pPr>
        <w:pStyle w:val="Akapitzlist"/>
        <w:numPr>
          <w:ilvl w:val="1"/>
          <w:numId w:val="17"/>
        </w:numPr>
        <w:spacing w:line="360" w:lineRule="auto"/>
        <w:ind w:left="568" w:right="284" w:hanging="284"/>
        <w:outlineLvl w:val="0"/>
        <w:rPr>
          <w:rStyle w:val="Nagwek3Znak"/>
          <w:rFonts w:eastAsia="Times New Roman" w:cs="Times New Roman"/>
          <w:color w:val="auto"/>
          <w:sz w:val="24"/>
          <w:szCs w:val="24"/>
        </w:rPr>
      </w:pPr>
      <w:bookmarkStart w:id="98" w:name="_Toc225859056"/>
      <w:r>
        <w:rPr>
          <w:rStyle w:val="Nagwek3Znak"/>
          <w:color w:val="auto"/>
          <w:szCs w:val="22"/>
        </w:rPr>
        <w:t>Dezynfekcja</w:t>
      </w:r>
      <w:bookmarkEnd w:id="98"/>
    </w:p>
    <w:p w14:paraId="1F18C22F" w14:textId="77777777" w:rsidR="00885F34" w:rsidRPr="00885F34" w:rsidRDefault="00885F34" w:rsidP="00885F34">
      <w:pPr>
        <w:spacing w:line="360" w:lineRule="auto"/>
        <w:ind w:left="284" w:right="284"/>
        <w:outlineLvl w:val="0"/>
        <w:rPr>
          <w:rFonts w:ascii="Lato" w:hAnsi="Lato"/>
        </w:rPr>
      </w:pPr>
    </w:p>
    <w:p w14:paraId="2735D195" w14:textId="23A0064D" w:rsidR="00986DE0" w:rsidRPr="00C55726" w:rsidRDefault="00986DE0" w:rsidP="00EA310A">
      <w:pPr>
        <w:spacing w:line="360" w:lineRule="auto"/>
        <w:rPr>
          <w:rFonts w:ascii="Lato" w:hAnsi="Lato"/>
          <w:sz w:val="22"/>
          <w:szCs w:val="22"/>
        </w:rPr>
      </w:pPr>
      <w:r w:rsidRPr="00C55726">
        <w:rPr>
          <w:rFonts w:ascii="Lato" w:hAnsi="Lato"/>
          <w:sz w:val="22"/>
          <w:szCs w:val="22"/>
        </w:rPr>
        <w:t>Prowadzone w 2025 r. kontrole wykazały, że podobnie jak w latach ubiegłych, w szpitalach do</w:t>
      </w:r>
      <w:r w:rsidR="00050E2B">
        <w:rPr>
          <w:rFonts w:ascii="Lato" w:hAnsi="Lato"/>
          <w:sz w:val="22"/>
          <w:szCs w:val="22"/>
        </w:rPr>
        <w:t> </w:t>
      </w:r>
      <w:r w:rsidRPr="00C55726">
        <w:rPr>
          <w:rFonts w:ascii="Lato" w:hAnsi="Lato"/>
          <w:sz w:val="22"/>
          <w:szCs w:val="22"/>
        </w:rPr>
        <w:t xml:space="preserve">dezynfekcji stosowano preparaty, które posiadały wpis do rejestru prowadzonego przez Urząd Rejestracji Produktów Leczniczych, Wyrobów Medycznych i Produktów Biobójczych. </w:t>
      </w:r>
      <w:r w:rsidRPr="00C55726">
        <w:rPr>
          <w:rFonts w:ascii="Lato" w:eastAsia="Calibri" w:hAnsi="Lato" w:cs="Calibri"/>
          <w:color w:val="000000"/>
          <w:sz w:val="22"/>
          <w:szCs w:val="22"/>
        </w:rPr>
        <w:t xml:space="preserve">Dezynfekcja powierzchni odbywała się zgodnie z opracowanymi procedurami, a dobór preparatów uzależniony był od ich </w:t>
      </w:r>
      <w:r w:rsidR="008F08FC">
        <w:rPr>
          <w:rFonts w:ascii="Lato" w:eastAsia="Calibri" w:hAnsi="Lato" w:cs="Calibri"/>
          <w:color w:val="000000"/>
          <w:sz w:val="22"/>
          <w:szCs w:val="22"/>
        </w:rPr>
        <w:t>przeznaczeni</w:t>
      </w:r>
      <w:r w:rsidRPr="00C55726">
        <w:rPr>
          <w:rFonts w:ascii="Lato" w:eastAsia="Calibri" w:hAnsi="Lato" w:cs="Calibri"/>
          <w:color w:val="000000"/>
          <w:sz w:val="22"/>
          <w:szCs w:val="22"/>
        </w:rPr>
        <w:t>a. Zabiegi dezynfekcyjne stosowane były we</w:t>
      </w:r>
      <w:r w:rsidR="00DB3C4E">
        <w:rPr>
          <w:rFonts w:ascii="Lato" w:eastAsia="Calibri" w:hAnsi="Lato" w:cs="Calibri"/>
          <w:color w:val="000000"/>
          <w:sz w:val="22"/>
          <w:szCs w:val="22"/>
        </w:rPr>
        <w:t> </w:t>
      </w:r>
      <w:r w:rsidRPr="00C55726">
        <w:rPr>
          <w:rFonts w:ascii="Lato" w:eastAsia="Calibri" w:hAnsi="Lato" w:cs="Calibri"/>
          <w:color w:val="000000"/>
          <w:sz w:val="22"/>
          <w:szCs w:val="22"/>
        </w:rPr>
        <w:t>wszystkich obszarach mających kontakt z materiałem organicznym.</w:t>
      </w:r>
    </w:p>
    <w:p w14:paraId="56B60CCE" w14:textId="77777777" w:rsidR="00986DE0" w:rsidRPr="00C55726" w:rsidRDefault="00986DE0" w:rsidP="00EA310A">
      <w:pPr>
        <w:pStyle w:val="Standard"/>
        <w:tabs>
          <w:tab w:val="left" w:pos="851"/>
        </w:tabs>
        <w:spacing w:line="360" w:lineRule="auto"/>
        <w:rPr>
          <w:rFonts w:ascii="Lato" w:hAnsi="Lato" w:cs="Calibri"/>
          <w:color w:val="000000"/>
          <w:sz w:val="22"/>
          <w:szCs w:val="22"/>
        </w:rPr>
      </w:pPr>
      <w:r w:rsidRPr="00C55726">
        <w:rPr>
          <w:rFonts w:ascii="Lato" w:eastAsia="Calibri" w:hAnsi="Lato" w:cs="Calibri"/>
          <w:color w:val="000000"/>
          <w:sz w:val="22"/>
          <w:szCs w:val="22"/>
        </w:rPr>
        <w:lastRenderedPageBreak/>
        <w:t>Mycie i dezynfekcja narzędzi wielokrotnego użytku odbywała się w gabinetach zabiegowych, w tym endoskopowych, centralnych sterylizatorniach oraz na blokach operacyjnych. Środki dezynfekcyjne stosowane w placówkach przygotowywane były przez osoby przeszkolone.</w:t>
      </w:r>
    </w:p>
    <w:p w14:paraId="69C4A441" w14:textId="271A9DC4" w:rsidR="00986DE0" w:rsidRPr="00C55726" w:rsidRDefault="00986DE0" w:rsidP="00EA310A">
      <w:pPr>
        <w:pStyle w:val="Standard"/>
        <w:tabs>
          <w:tab w:val="left" w:pos="851"/>
        </w:tabs>
        <w:spacing w:line="360" w:lineRule="auto"/>
        <w:rPr>
          <w:rFonts w:ascii="Lato" w:hAnsi="Lato" w:cs="Calibri"/>
          <w:color w:val="000000"/>
          <w:sz w:val="22"/>
          <w:szCs w:val="22"/>
        </w:rPr>
      </w:pPr>
      <w:r w:rsidRPr="00C55726">
        <w:rPr>
          <w:rFonts w:ascii="Lato" w:eastAsia="Calibri" w:hAnsi="Lato" w:cs="Calibri"/>
          <w:color w:val="000000"/>
          <w:sz w:val="22"/>
          <w:szCs w:val="22"/>
        </w:rPr>
        <w:t>Proces mycia i dezynfekcji endoskopów był w większości szpitali zautomatyzowany, co</w:t>
      </w:r>
      <w:r w:rsidR="00DB3C4E">
        <w:rPr>
          <w:rFonts w:ascii="Lato" w:eastAsia="Calibri" w:hAnsi="Lato" w:cs="Calibri"/>
          <w:color w:val="000000"/>
          <w:sz w:val="22"/>
          <w:szCs w:val="22"/>
        </w:rPr>
        <w:t> </w:t>
      </w:r>
      <w:r w:rsidRPr="00C55726">
        <w:rPr>
          <w:rFonts w:ascii="Lato" w:eastAsia="Calibri" w:hAnsi="Lato" w:cs="Calibri"/>
          <w:color w:val="000000"/>
          <w:sz w:val="22"/>
          <w:szCs w:val="22"/>
        </w:rPr>
        <w:t>przyczynia się do zwiększenia bezpieczeństwa pacjentów i personelu. Postępowanie w zakresie dekontaminacji akcesoriów endoskopowych było prawidłowe. Do badań i zabiegów endoskopowych używane były endoskopy ze szczelną optyką, umożliwiającą ich mycie i dezynfekcję w pełnym zanurzeniu. W niektórych obszarach, takich jak oddziały anestezjologii i intensywnej terapii, praktykuje się stosowanie dedykowanego sprzętu endoskopowego jednorazowego użytku (bronchofiberoskopy).</w:t>
      </w:r>
    </w:p>
    <w:p w14:paraId="280F53B3" w14:textId="5EEFEF56" w:rsidR="00B327E0" w:rsidRDefault="00986DE0" w:rsidP="00EA310A">
      <w:pPr>
        <w:tabs>
          <w:tab w:val="left" w:pos="851"/>
        </w:tabs>
        <w:spacing w:line="360" w:lineRule="auto"/>
        <w:rPr>
          <w:rFonts w:ascii="Lato" w:eastAsia="Calibri" w:hAnsi="Lato" w:cstheme="minorHAnsi"/>
          <w:sz w:val="22"/>
          <w:szCs w:val="22"/>
        </w:rPr>
      </w:pPr>
      <w:r w:rsidRPr="00C55726">
        <w:rPr>
          <w:rFonts w:ascii="Lato" w:eastAsia="Calibri" w:hAnsi="Lato" w:cs="Calibri"/>
          <w:color w:val="000000"/>
          <w:sz w:val="22"/>
          <w:szCs w:val="22"/>
        </w:rPr>
        <w:t xml:space="preserve">W celu ochrony materacy przed zanieczyszczeniem, w większości szpitali używane są pokrowce z nieprzemakalnego, zmywalnego, odpornego na środki dezynfekcyjne materiału, typu </w:t>
      </w:r>
      <w:proofErr w:type="spellStart"/>
      <w:r w:rsidRPr="00C55726">
        <w:rPr>
          <w:rFonts w:ascii="Lato" w:eastAsia="Calibri" w:hAnsi="Lato" w:cs="Calibri"/>
          <w:color w:val="000000"/>
          <w:sz w:val="22"/>
          <w:szCs w:val="22"/>
        </w:rPr>
        <w:t>ecolastic</w:t>
      </w:r>
      <w:proofErr w:type="spellEnd"/>
      <w:r w:rsidRPr="00C55726">
        <w:rPr>
          <w:rFonts w:ascii="Lato" w:eastAsia="Calibri" w:hAnsi="Lato" w:cs="Calibri"/>
          <w:color w:val="000000"/>
          <w:sz w:val="22"/>
          <w:szCs w:val="22"/>
        </w:rPr>
        <w:t xml:space="preserve"> lub pokrowce pozwalające na pranie ich w temperaturze 90</w:t>
      </w:r>
      <w:r w:rsidRPr="00C55726">
        <w:rPr>
          <w:rFonts w:ascii="Lato" w:eastAsia="Calibri" w:hAnsi="Lato" w:cs="Calibri"/>
          <w:color w:val="000000"/>
          <w:sz w:val="22"/>
          <w:szCs w:val="22"/>
          <w:vertAlign w:val="superscript"/>
        </w:rPr>
        <w:t>o</w:t>
      </w:r>
      <w:r w:rsidRPr="00C55726">
        <w:rPr>
          <w:rFonts w:ascii="Lato" w:eastAsia="Calibri" w:hAnsi="Lato" w:cs="Calibri"/>
          <w:color w:val="000000"/>
          <w:sz w:val="22"/>
          <w:szCs w:val="22"/>
        </w:rPr>
        <w:t>C, a w pozostałych przypadkach stosowane były jednorazowe podkłady foliowe. Zaopatrzenie w środki czystościowe, dezynfekcyjne oraz osłony foliowe do transportu dla potrzeb poszczególnych szpitali było</w:t>
      </w:r>
      <w:r w:rsidRPr="00C55726">
        <w:rPr>
          <w:rFonts w:ascii="Lato" w:eastAsia="Calibri" w:hAnsi="Lato" w:cstheme="minorHAnsi"/>
          <w:color w:val="7030A0"/>
          <w:sz w:val="22"/>
          <w:szCs w:val="22"/>
        </w:rPr>
        <w:t xml:space="preserve"> </w:t>
      </w:r>
      <w:r w:rsidRPr="00C55726">
        <w:rPr>
          <w:rFonts w:ascii="Lato" w:eastAsia="Calibri" w:hAnsi="Lato" w:cstheme="minorHAnsi"/>
          <w:sz w:val="22"/>
          <w:szCs w:val="22"/>
        </w:rPr>
        <w:t>wystarczające.</w:t>
      </w:r>
      <w:bookmarkStart w:id="99" w:name="_Hlk162336298"/>
    </w:p>
    <w:p w14:paraId="1B41D3F5" w14:textId="77777777" w:rsidR="00885F34" w:rsidRDefault="00885F34" w:rsidP="00EA310A">
      <w:pPr>
        <w:tabs>
          <w:tab w:val="left" w:pos="851"/>
        </w:tabs>
        <w:spacing w:line="360" w:lineRule="auto"/>
        <w:rPr>
          <w:rFonts w:ascii="Lato" w:eastAsia="Calibri" w:hAnsi="Lato" w:cstheme="minorHAnsi"/>
          <w:sz w:val="22"/>
          <w:szCs w:val="22"/>
        </w:rPr>
      </w:pPr>
    </w:p>
    <w:p w14:paraId="16D18F1F" w14:textId="77777777" w:rsidR="00885F34" w:rsidRPr="00780ECC" w:rsidRDefault="00885F34" w:rsidP="00EA310A">
      <w:pPr>
        <w:tabs>
          <w:tab w:val="left" w:pos="851"/>
        </w:tabs>
        <w:spacing w:line="360" w:lineRule="auto"/>
        <w:rPr>
          <w:rFonts w:ascii="Lato" w:eastAsia="Calibri" w:hAnsi="Lato" w:cstheme="minorHAnsi"/>
          <w:sz w:val="22"/>
          <w:szCs w:val="22"/>
        </w:rPr>
      </w:pPr>
    </w:p>
    <w:p w14:paraId="38D1A748" w14:textId="0444E924" w:rsidR="00986DE0" w:rsidRPr="00885F34" w:rsidRDefault="00986DE0">
      <w:pPr>
        <w:pStyle w:val="Akapitzlist"/>
        <w:numPr>
          <w:ilvl w:val="1"/>
          <w:numId w:val="17"/>
        </w:numPr>
        <w:suppressAutoHyphens/>
        <w:autoSpaceDN w:val="0"/>
        <w:spacing w:line="360" w:lineRule="auto"/>
        <w:ind w:left="568" w:right="284" w:hanging="284"/>
        <w:jc w:val="both"/>
        <w:textAlignment w:val="baseline"/>
        <w:outlineLvl w:val="0"/>
        <w:rPr>
          <w:rStyle w:val="Nagwek3Znak"/>
          <w:rFonts w:eastAsia="Times New Roman" w:cs="Times New Roman"/>
          <w:color w:val="000000"/>
          <w:sz w:val="24"/>
          <w:szCs w:val="24"/>
        </w:rPr>
      </w:pPr>
      <w:bookmarkStart w:id="100" w:name="_Toc192678726"/>
      <w:bookmarkStart w:id="101" w:name="_Toc225235868"/>
      <w:bookmarkStart w:id="102" w:name="_Toc225859057"/>
      <w:r w:rsidRPr="008A5441">
        <w:rPr>
          <w:rStyle w:val="Nagwek3Znak"/>
          <w:color w:val="auto"/>
          <w:szCs w:val="22"/>
        </w:rPr>
        <w:t>S</w:t>
      </w:r>
      <w:bookmarkEnd w:id="100"/>
      <w:bookmarkEnd w:id="101"/>
      <w:r w:rsidR="00BA2854">
        <w:rPr>
          <w:rStyle w:val="Nagwek3Znak"/>
          <w:color w:val="auto"/>
          <w:szCs w:val="22"/>
        </w:rPr>
        <w:t>terylizacja</w:t>
      </w:r>
      <w:bookmarkEnd w:id="102"/>
    </w:p>
    <w:p w14:paraId="026AEDDB" w14:textId="77777777" w:rsidR="00885F34" w:rsidRPr="00885F34" w:rsidRDefault="00885F34" w:rsidP="00885F34">
      <w:pPr>
        <w:suppressAutoHyphens/>
        <w:autoSpaceDN w:val="0"/>
        <w:spacing w:line="360" w:lineRule="auto"/>
        <w:ind w:left="284" w:right="284"/>
        <w:jc w:val="both"/>
        <w:textAlignment w:val="baseline"/>
        <w:outlineLvl w:val="0"/>
        <w:rPr>
          <w:rFonts w:ascii="Lato" w:hAnsi="Lato"/>
          <w:color w:val="000000"/>
        </w:rPr>
      </w:pPr>
    </w:p>
    <w:p w14:paraId="5E0B4D45" w14:textId="77777777" w:rsidR="00986DE0" w:rsidRPr="00C55726" w:rsidRDefault="00986DE0" w:rsidP="00EA310A">
      <w:pPr>
        <w:spacing w:line="360" w:lineRule="auto"/>
        <w:rPr>
          <w:rFonts w:ascii="Lato" w:eastAsia="Calibri" w:hAnsi="Lato" w:cstheme="minorHAnsi"/>
          <w:color w:val="77206D" w:themeColor="accent5" w:themeShade="BF"/>
          <w:sz w:val="22"/>
          <w:szCs w:val="22"/>
        </w:rPr>
      </w:pPr>
      <w:r w:rsidRPr="00C55726">
        <w:rPr>
          <w:rFonts w:ascii="Lato" w:eastAsia="Calibri" w:hAnsi="Lato" w:cstheme="minorHAnsi"/>
          <w:sz w:val="22"/>
          <w:szCs w:val="22"/>
        </w:rPr>
        <w:t xml:space="preserve">W </w:t>
      </w:r>
      <w:r w:rsidRPr="00C55726">
        <w:rPr>
          <w:rFonts w:ascii="Lato" w:eastAsia="Calibri" w:hAnsi="Lato" w:cs="Calibri"/>
          <w:color w:val="000000"/>
          <w:sz w:val="22"/>
          <w:szCs w:val="22"/>
        </w:rPr>
        <w:t xml:space="preserve">woj. zachodniopomorskim w 2025 r. metody sterylizacji stosowane w praktyce szpitalnej nie uległy zmianie i były prowadzane w oparciu o metody termiczne oraz metody niskotemperaturowe. Podstawową metodą sterylizacji w podmiotach działalności leczniczej woj. zachodniopomorskiego od wielu lat jest sterylizacja parowa –sterylizatory parowe (autoklawy) </w:t>
      </w:r>
      <w:r w:rsidRPr="00C55726">
        <w:rPr>
          <w:rFonts w:ascii="Lato" w:eastAsia="Calibri" w:hAnsi="Lato" w:cs="Calibri"/>
          <w:sz w:val="22"/>
          <w:szCs w:val="22"/>
        </w:rPr>
        <w:t xml:space="preserve">stanowiły </w:t>
      </w:r>
      <w:r w:rsidRPr="00C55726">
        <w:rPr>
          <w:rFonts w:ascii="Lato" w:eastAsia="Calibri" w:hAnsi="Lato" w:cstheme="minorHAnsi"/>
          <w:sz w:val="22"/>
          <w:szCs w:val="22"/>
        </w:rPr>
        <w:t>72% urządzeń.</w:t>
      </w:r>
    </w:p>
    <w:p w14:paraId="488336CE" w14:textId="1F3C79F0" w:rsidR="00780ECC" w:rsidRDefault="00986DE0" w:rsidP="00885F34">
      <w:pPr>
        <w:spacing w:line="360" w:lineRule="auto"/>
        <w:rPr>
          <w:rFonts w:ascii="Lato" w:eastAsia="Calibri" w:hAnsi="Lato" w:cstheme="minorHAnsi"/>
          <w:sz w:val="22"/>
          <w:szCs w:val="22"/>
        </w:rPr>
      </w:pPr>
      <w:r w:rsidRPr="00C55726">
        <w:rPr>
          <w:rFonts w:ascii="Lato" w:eastAsia="Calibri" w:hAnsi="Lato" w:cstheme="minorHAnsi"/>
          <w:sz w:val="22"/>
          <w:szCs w:val="22"/>
        </w:rPr>
        <w:t>Liczba</w:t>
      </w:r>
      <w:r w:rsidRPr="00C55726">
        <w:rPr>
          <w:rFonts w:ascii="Lato" w:eastAsia="Calibri" w:hAnsi="Lato" w:cstheme="minorHAnsi"/>
          <w:color w:val="77206D" w:themeColor="accent5" w:themeShade="BF"/>
          <w:sz w:val="22"/>
          <w:szCs w:val="22"/>
        </w:rPr>
        <w:t xml:space="preserve"> </w:t>
      </w:r>
      <w:r w:rsidRPr="00C55726">
        <w:rPr>
          <w:rFonts w:ascii="Lato" w:eastAsia="Calibri" w:hAnsi="Lato" w:cs="Calibri"/>
          <w:color w:val="000000"/>
          <w:sz w:val="22"/>
          <w:szCs w:val="22"/>
        </w:rPr>
        <w:t xml:space="preserve">urządzeń sterylizacyjnych </w:t>
      </w:r>
      <w:r w:rsidRPr="00C55726">
        <w:rPr>
          <w:rFonts w:ascii="Lato" w:eastAsia="Calibri" w:hAnsi="Lato" w:cs="Calibri"/>
          <w:color w:val="000000"/>
          <w:sz w:val="22"/>
          <w:szCs w:val="22"/>
          <w:shd w:val="clear" w:color="auto" w:fill="FFFFFF" w:themeFill="background1"/>
        </w:rPr>
        <w:t xml:space="preserve">w szpitalach woj. zachodniopomorskiego </w:t>
      </w:r>
      <w:r w:rsidRPr="00C55726">
        <w:rPr>
          <w:rFonts w:ascii="Lato" w:eastAsia="Calibri" w:hAnsi="Lato" w:cs="Calibri"/>
          <w:color w:val="000000"/>
          <w:sz w:val="22"/>
          <w:szCs w:val="22"/>
        </w:rPr>
        <w:t xml:space="preserve">w 2025 r. zwiększyła się w stosunku do roku poprzedzającego o 8 urządzeń. Monitorowanie urządzeń sterylizacyjnych testami biologicznymi w szpitalach przedstawia tabela </w:t>
      </w:r>
      <w:r w:rsidR="00075DC1">
        <w:rPr>
          <w:rFonts w:ascii="Lato" w:eastAsia="Calibri" w:hAnsi="Lato" w:cstheme="minorHAnsi"/>
          <w:sz w:val="22"/>
          <w:szCs w:val="22"/>
        </w:rPr>
        <w:t>18</w:t>
      </w:r>
      <w:r w:rsidRPr="00C55726">
        <w:rPr>
          <w:rFonts w:ascii="Lato" w:eastAsia="Calibri" w:hAnsi="Lato" w:cstheme="minorHAnsi"/>
          <w:sz w:val="22"/>
          <w:szCs w:val="22"/>
        </w:rPr>
        <w:t>.</w:t>
      </w:r>
    </w:p>
    <w:p w14:paraId="369B6A19" w14:textId="77777777" w:rsidR="00F45A42" w:rsidRDefault="00F45A42" w:rsidP="00F45A42">
      <w:pPr>
        <w:spacing w:line="360" w:lineRule="auto"/>
        <w:rPr>
          <w:rFonts w:ascii="Lato" w:eastAsia="Calibri" w:hAnsi="Lato" w:cstheme="minorHAnsi"/>
          <w:sz w:val="22"/>
          <w:szCs w:val="22"/>
        </w:rPr>
      </w:pPr>
      <w:r w:rsidRPr="00C55726">
        <w:rPr>
          <w:rFonts w:ascii="Lato" w:eastAsia="Calibri" w:hAnsi="Lato" w:cstheme="minorHAnsi"/>
          <w:sz w:val="22"/>
          <w:szCs w:val="22"/>
        </w:rPr>
        <w:t>W analizowanym okresie 33 szpitale w województwie posiadały urządzenia sterylizacyjne, przy czym kilka placówek korzystało z więcej niż jednej metody sterylizacji. Część szpitali świadczyło usługi w zakresie sterylizacji dla innych szpitali, przychodni i indywidualnych praktyk lekarskich. Placówki, które nie wykonywały sterylizacji we własnym zakresie miały zawarte umowy z innymi podmiotami lub używały wyłącznie sprzętu jednorazowego użytku.</w:t>
      </w:r>
    </w:p>
    <w:p w14:paraId="43FD818C" w14:textId="77777777" w:rsidR="00F45A42" w:rsidRDefault="00F45A42" w:rsidP="00885F34">
      <w:pPr>
        <w:spacing w:line="360" w:lineRule="auto"/>
        <w:rPr>
          <w:rFonts w:ascii="Lato" w:eastAsia="Calibri" w:hAnsi="Lato" w:cstheme="minorHAnsi"/>
          <w:sz w:val="22"/>
          <w:szCs w:val="22"/>
        </w:rPr>
      </w:pPr>
    </w:p>
    <w:p w14:paraId="78A3ACCF" w14:textId="77777777" w:rsidR="00F45A42" w:rsidRPr="00885F34" w:rsidRDefault="00F45A42" w:rsidP="00885F34">
      <w:pPr>
        <w:spacing w:line="360" w:lineRule="auto"/>
        <w:rPr>
          <w:rFonts w:ascii="Lato" w:eastAsia="Calibri" w:hAnsi="Lato" w:cstheme="minorHAnsi"/>
          <w:sz w:val="22"/>
          <w:szCs w:val="22"/>
        </w:rPr>
      </w:pPr>
    </w:p>
    <w:p w14:paraId="08F5529B" w14:textId="7BB3263A" w:rsidR="00986DE0" w:rsidRPr="00CE5372" w:rsidRDefault="00CE5372" w:rsidP="00CE5372">
      <w:pPr>
        <w:pStyle w:val="Legenda"/>
        <w:rPr>
          <w:rFonts w:ascii="Lato" w:hAnsi="Lato"/>
          <w:b w:val="0"/>
          <w:bCs w:val="0"/>
          <w:i/>
          <w:iCs/>
          <w:sz w:val="18"/>
          <w:szCs w:val="18"/>
        </w:rPr>
      </w:pPr>
      <w:bookmarkStart w:id="103" w:name="_Toc225859374"/>
      <w:r w:rsidRPr="00CE5372">
        <w:rPr>
          <w:rFonts w:ascii="Lato" w:hAnsi="Lato"/>
          <w:b w:val="0"/>
          <w:bCs w:val="0"/>
          <w:sz w:val="18"/>
          <w:szCs w:val="18"/>
        </w:rPr>
        <w:lastRenderedPageBreak/>
        <w:t xml:space="preserve">Tabela </w:t>
      </w:r>
      <w:r w:rsidRPr="00CE5372">
        <w:rPr>
          <w:rFonts w:ascii="Lato" w:hAnsi="Lato"/>
          <w:b w:val="0"/>
          <w:bCs w:val="0"/>
          <w:sz w:val="18"/>
          <w:szCs w:val="18"/>
        </w:rPr>
        <w:fldChar w:fldCharType="begin"/>
      </w:r>
      <w:r w:rsidRPr="00CE5372">
        <w:rPr>
          <w:rFonts w:ascii="Lato" w:hAnsi="Lato"/>
          <w:b w:val="0"/>
          <w:bCs w:val="0"/>
          <w:sz w:val="18"/>
          <w:szCs w:val="18"/>
        </w:rPr>
        <w:instrText xml:space="preserve"> SEQ Tabela \* ARABIC </w:instrText>
      </w:r>
      <w:r w:rsidRPr="00CE5372">
        <w:rPr>
          <w:rFonts w:ascii="Lato" w:hAnsi="Lato"/>
          <w:b w:val="0"/>
          <w:bCs w:val="0"/>
          <w:sz w:val="18"/>
          <w:szCs w:val="18"/>
        </w:rPr>
        <w:fldChar w:fldCharType="separate"/>
      </w:r>
      <w:r w:rsidR="002A3179">
        <w:rPr>
          <w:rFonts w:ascii="Lato" w:hAnsi="Lato"/>
          <w:b w:val="0"/>
          <w:bCs w:val="0"/>
          <w:noProof/>
          <w:sz w:val="18"/>
          <w:szCs w:val="18"/>
        </w:rPr>
        <w:t>18</w:t>
      </w:r>
      <w:r w:rsidRPr="00CE5372">
        <w:rPr>
          <w:rFonts w:ascii="Lato" w:hAnsi="Lato"/>
          <w:b w:val="0"/>
          <w:bCs w:val="0"/>
          <w:sz w:val="18"/>
          <w:szCs w:val="18"/>
        </w:rPr>
        <w:fldChar w:fldCharType="end"/>
      </w:r>
      <w:r w:rsidRPr="00CE5372">
        <w:rPr>
          <w:rFonts w:ascii="Lato" w:hAnsi="Lato"/>
          <w:b w:val="0"/>
          <w:bCs w:val="0"/>
          <w:sz w:val="18"/>
          <w:szCs w:val="18"/>
        </w:rPr>
        <w:t>. Monitoring procesów sterylizacji w 2025 r. w szpitalach woj. zachodniopomorskiego.</w:t>
      </w:r>
      <w:bookmarkEnd w:id="1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Caption w:val="Monitoring procesów sterylizacji w 2025 roku w szpitalach województwa zachodniopomorskiego"/>
        <w:tblDescription w:val="Tabela przedstawia ilościowy wykaz sterylizatorów z uwzględnieniem rodzaju sterylizacji (tj. sterylizacja parowa, na ciepło suche, na tlenek etylenu, parowo-formaldehydowy, plazmowe), ilości wykonanych i zakwestionowanych badań testem biologicznym. W 2025 roku przeprowadzono 36281 badań, z czego 2 badania zostały zakwestionowane."/>
      </w:tblPr>
      <w:tblGrid>
        <w:gridCol w:w="846"/>
        <w:gridCol w:w="1947"/>
        <w:gridCol w:w="2090"/>
        <w:gridCol w:w="2089"/>
        <w:gridCol w:w="2090"/>
      </w:tblGrid>
      <w:tr w:rsidR="00986DE0" w:rsidRPr="00264344" w14:paraId="55E97B42" w14:textId="77777777" w:rsidTr="00130F95">
        <w:trPr>
          <w:trHeight w:val="773"/>
          <w:jc w:val="center"/>
        </w:trPr>
        <w:tc>
          <w:tcPr>
            <w:tcW w:w="846" w:type="dxa"/>
            <w:shd w:val="clear" w:color="auto" w:fill="D9D9D9" w:themeFill="background1" w:themeFillShade="D9"/>
            <w:vAlign w:val="center"/>
          </w:tcPr>
          <w:p w14:paraId="466ECA11"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Rok</w:t>
            </w:r>
          </w:p>
        </w:tc>
        <w:tc>
          <w:tcPr>
            <w:tcW w:w="1947" w:type="dxa"/>
            <w:shd w:val="clear" w:color="auto" w:fill="D9D9D9" w:themeFill="background1" w:themeFillShade="D9"/>
            <w:vAlign w:val="center"/>
          </w:tcPr>
          <w:p w14:paraId="234ACC23"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Sterylizatory</w:t>
            </w:r>
          </w:p>
        </w:tc>
        <w:tc>
          <w:tcPr>
            <w:tcW w:w="2090" w:type="dxa"/>
            <w:shd w:val="clear" w:color="auto" w:fill="D9D9D9" w:themeFill="background1" w:themeFillShade="D9"/>
            <w:vAlign w:val="center"/>
          </w:tcPr>
          <w:p w14:paraId="07862C04"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Liczba sterylizatorów</w:t>
            </w:r>
          </w:p>
        </w:tc>
        <w:tc>
          <w:tcPr>
            <w:tcW w:w="2089" w:type="dxa"/>
            <w:shd w:val="clear" w:color="auto" w:fill="D9D9D9" w:themeFill="background1" w:themeFillShade="D9"/>
            <w:vAlign w:val="center"/>
          </w:tcPr>
          <w:p w14:paraId="41534C00"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Liczba wykonanych badań testem biologicznym</w:t>
            </w:r>
          </w:p>
        </w:tc>
        <w:tc>
          <w:tcPr>
            <w:tcW w:w="2090" w:type="dxa"/>
            <w:shd w:val="clear" w:color="auto" w:fill="D9D9D9" w:themeFill="background1" w:themeFillShade="D9"/>
            <w:vAlign w:val="center"/>
          </w:tcPr>
          <w:p w14:paraId="33977ED5" w14:textId="77777777" w:rsidR="00986DE0" w:rsidRPr="007264B0" w:rsidRDefault="00986DE0" w:rsidP="003C7140">
            <w:pPr>
              <w:spacing w:after="120" w:line="360" w:lineRule="auto"/>
              <w:jc w:val="center"/>
              <w:rPr>
                <w:rFonts w:ascii="Lato" w:eastAsia="Calibri" w:hAnsi="Lato" w:cstheme="minorHAnsi"/>
                <w:sz w:val="20"/>
                <w:szCs w:val="20"/>
                <w:highlight w:val="yellow"/>
              </w:rPr>
            </w:pPr>
            <w:r w:rsidRPr="007264B0">
              <w:rPr>
                <w:rFonts w:ascii="Lato" w:eastAsia="Calibri" w:hAnsi="Lato" w:cstheme="minorHAnsi"/>
                <w:sz w:val="20"/>
                <w:szCs w:val="20"/>
              </w:rPr>
              <w:t>Liczba badań zakwestionowanych</w:t>
            </w:r>
          </w:p>
        </w:tc>
      </w:tr>
      <w:tr w:rsidR="00986DE0" w:rsidRPr="00264344" w14:paraId="4AD9A9DB" w14:textId="77777777" w:rsidTr="003C7140">
        <w:trPr>
          <w:trHeight w:val="630"/>
          <w:jc w:val="center"/>
        </w:trPr>
        <w:tc>
          <w:tcPr>
            <w:tcW w:w="846" w:type="dxa"/>
            <w:vMerge w:val="restart"/>
            <w:vAlign w:val="center"/>
          </w:tcPr>
          <w:p w14:paraId="792A708F"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2025</w:t>
            </w:r>
          </w:p>
        </w:tc>
        <w:tc>
          <w:tcPr>
            <w:tcW w:w="1947" w:type="dxa"/>
            <w:vAlign w:val="center"/>
          </w:tcPr>
          <w:p w14:paraId="6C2D1921"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parowe (autoklawy)</w:t>
            </w:r>
          </w:p>
        </w:tc>
        <w:tc>
          <w:tcPr>
            <w:tcW w:w="2090" w:type="dxa"/>
            <w:vAlign w:val="center"/>
          </w:tcPr>
          <w:p w14:paraId="1929F882"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80</w:t>
            </w:r>
          </w:p>
        </w:tc>
        <w:tc>
          <w:tcPr>
            <w:tcW w:w="2089" w:type="dxa"/>
            <w:vAlign w:val="center"/>
          </w:tcPr>
          <w:p w14:paraId="7A2F4DE4"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30608</w:t>
            </w:r>
          </w:p>
        </w:tc>
        <w:tc>
          <w:tcPr>
            <w:tcW w:w="2090" w:type="dxa"/>
            <w:vAlign w:val="center"/>
          </w:tcPr>
          <w:p w14:paraId="03CC2CA7"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2</w:t>
            </w:r>
          </w:p>
        </w:tc>
      </w:tr>
      <w:tr w:rsidR="00986DE0" w:rsidRPr="00264344" w14:paraId="2301C888" w14:textId="77777777" w:rsidTr="003C7140">
        <w:trPr>
          <w:trHeight w:val="567"/>
          <w:jc w:val="center"/>
        </w:trPr>
        <w:tc>
          <w:tcPr>
            <w:tcW w:w="846" w:type="dxa"/>
            <w:vMerge/>
            <w:vAlign w:val="center"/>
          </w:tcPr>
          <w:p w14:paraId="1B561053" w14:textId="77777777" w:rsidR="00986DE0" w:rsidRPr="007264B0" w:rsidRDefault="00986DE0" w:rsidP="003C7140">
            <w:pPr>
              <w:spacing w:after="120" w:line="360" w:lineRule="auto"/>
              <w:jc w:val="center"/>
              <w:rPr>
                <w:rFonts w:ascii="Lato" w:eastAsia="Calibri" w:hAnsi="Lato" w:cstheme="minorHAnsi"/>
                <w:sz w:val="20"/>
                <w:szCs w:val="20"/>
              </w:rPr>
            </w:pPr>
          </w:p>
        </w:tc>
        <w:tc>
          <w:tcPr>
            <w:tcW w:w="1947" w:type="dxa"/>
            <w:vAlign w:val="center"/>
          </w:tcPr>
          <w:p w14:paraId="4FBD0ADB"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na ciepło suche</w:t>
            </w:r>
          </w:p>
        </w:tc>
        <w:tc>
          <w:tcPr>
            <w:tcW w:w="2090" w:type="dxa"/>
            <w:vAlign w:val="center"/>
          </w:tcPr>
          <w:p w14:paraId="22565112"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11</w:t>
            </w:r>
          </w:p>
        </w:tc>
        <w:tc>
          <w:tcPr>
            <w:tcW w:w="2089" w:type="dxa"/>
            <w:vAlign w:val="center"/>
          </w:tcPr>
          <w:p w14:paraId="6470ED63"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59</w:t>
            </w:r>
          </w:p>
        </w:tc>
        <w:tc>
          <w:tcPr>
            <w:tcW w:w="2090" w:type="dxa"/>
            <w:vAlign w:val="center"/>
          </w:tcPr>
          <w:p w14:paraId="5B4FE49A"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0</w:t>
            </w:r>
          </w:p>
        </w:tc>
      </w:tr>
      <w:tr w:rsidR="00986DE0" w:rsidRPr="00264344" w14:paraId="232AD2C7" w14:textId="77777777" w:rsidTr="003C7140">
        <w:trPr>
          <w:trHeight w:val="630"/>
          <w:jc w:val="center"/>
        </w:trPr>
        <w:tc>
          <w:tcPr>
            <w:tcW w:w="846" w:type="dxa"/>
            <w:vMerge/>
            <w:vAlign w:val="center"/>
          </w:tcPr>
          <w:p w14:paraId="1676C20E" w14:textId="77777777" w:rsidR="00986DE0" w:rsidRPr="007264B0" w:rsidRDefault="00986DE0" w:rsidP="003C7140">
            <w:pPr>
              <w:spacing w:after="120" w:line="360" w:lineRule="auto"/>
              <w:jc w:val="center"/>
              <w:rPr>
                <w:rFonts w:ascii="Lato" w:eastAsia="Calibri" w:hAnsi="Lato" w:cstheme="minorHAnsi"/>
                <w:sz w:val="20"/>
                <w:szCs w:val="20"/>
              </w:rPr>
            </w:pPr>
          </w:p>
        </w:tc>
        <w:tc>
          <w:tcPr>
            <w:tcW w:w="1947" w:type="dxa"/>
            <w:vAlign w:val="center"/>
          </w:tcPr>
          <w:p w14:paraId="64FF52D9"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na tlenek etylenu</w:t>
            </w:r>
          </w:p>
        </w:tc>
        <w:tc>
          <w:tcPr>
            <w:tcW w:w="2090" w:type="dxa"/>
            <w:vAlign w:val="center"/>
          </w:tcPr>
          <w:p w14:paraId="321A3EC7"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8</w:t>
            </w:r>
          </w:p>
        </w:tc>
        <w:tc>
          <w:tcPr>
            <w:tcW w:w="2089" w:type="dxa"/>
            <w:vAlign w:val="center"/>
          </w:tcPr>
          <w:p w14:paraId="33E71A02"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1116</w:t>
            </w:r>
          </w:p>
        </w:tc>
        <w:tc>
          <w:tcPr>
            <w:tcW w:w="2090" w:type="dxa"/>
            <w:vAlign w:val="center"/>
          </w:tcPr>
          <w:p w14:paraId="43DD7DAB"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0</w:t>
            </w:r>
          </w:p>
        </w:tc>
      </w:tr>
      <w:tr w:rsidR="00986DE0" w:rsidRPr="00264344" w14:paraId="0BB6F0E9" w14:textId="77777777" w:rsidTr="003C7140">
        <w:trPr>
          <w:trHeight w:val="414"/>
          <w:jc w:val="center"/>
        </w:trPr>
        <w:tc>
          <w:tcPr>
            <w:tcW w:w="846" w:type="dxa"/>
            <w:vMerge/>
            <w:vAlign w:val="center"/>
          </w:tcPr>
          <w:p w14:paraId="3CE4E4F9" w14:textId="77777777" w:rsidR="00986DE0" w:rsidRPr="007264B0" w:rsidRDefault="00986DE0" w:rsidP="003C7140">
            <w:pPr>
              <w:spacing w:after="120" w:line="360" w:lineRule="auto"/>
              <w:jc w:val="center"/>
              <w:rPr>
                <w:rFonts w:ascii="Lato" w:eastAsia="Calibri" w:hAnsi="Lato" w:cstheme="minorHAnsi"/>
                <w:sz w:val="20"/>
                <w:szCs w:val="20"/>
              </w:rPr>
            </w:pPr>
          </w:p>
        </w:tc>
        <w:tc>
          <w:tcPr>
            <w:tcW w:w="1947" w:type="dxa"/>
            <w:vAlign w:val="center"/>
          </w:tcPr>
          <w:p w14:paraId="343105A4"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parowo-formaldehydowy</w:t>
            </w:r>
          </w:p>
        </w:tc>
        <w:tc>
          <w:tcPr>
            <w:tcW w:w="2090" w:type="dxa"/>
            <w:vAlign w:val="center"/>
          </w:tcPr>
          <w:p w14:paraId="57B22E9B"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3</w:t>
            </w:r>
          </w:p>
        </w:tc>
        <w:tc>
          <w:tcPr>
            <w:tcW w:w="2089" w:type="dxa"/>
            <w:vAlign w:val="center"/>
          </w:tcPr>
          <w:p w14:paraId="69B2DBD4"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310</w:t>
            </w:r>
          </w:p>
        </w:tc>
        <w:tc>
          <w:tcPr>
            <w:tcW w:w="2090" w:type="dxa"/>
            <w:vAlign w:val="center"/>
          </w:tcPr>
          <w:p w14:paraId="0DA846F6"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0</w:t>
            </w:r>
          </w:p>
        </w:tc>
      </w:tr>
      <w:tr w:rsidR="00986DE0" w:rsidRPr="00264344" w14:paraId="18E5CE9D" w14:textId="77777777" w:rsidTr="003C7140">
        <w:trPr>
          <w:trHeight w:val="630"/>
          <w:jc w:val="center"/>
        </w:trPr>
        <w:tc>
          <w:tcPr>
            <w:tcW w:w="846" w:type="dxa"/>
            <w:vMerge/>
            <w:vAlign w:val="center"/>
          </w:tcPr>
          <w:p w14:paraId="0444CE33" w14:textId="77777777" w:rsidR="00986DE0" w:rsidRPr="007264B0" w:rsidRDefault="00986DE0" w:rsidP="003C7140">
            <w:pPr>
              <w:spacing w:after="120" w:line="360" w:lineRule="auto"/>
              <w:jc w:val="center"/>
              <w:rPr>
                <w:rFonts w:ascii="Lato" w:eastAsia="Calibri" w:hAnsi="Lato" w:cstheme="minorHAnsi"/>
                <w:sz w:val="20"/>
                <w:szCs w:val="20"/>
              </w:rPr>
            </w:pPr>
          </w:p>
        </w:tc>
        <w:tc>
          <w:tcPr>
            <w:tcW w:w="1947" w:type="dxa"/>
            <w:vAlign w:val="center"/>
          </w:tcPr>
          <w:p w14:paraId="5EA72CCD"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plazmowe</w:t>
            </w:r>
          </w:p>
        </w:tc>
        <w:tc>
          <w:tcPr>
            <w:tcW w:w="2090" w:type="dxa"/>
            <w:vAlign w:val="center"/>
          </w:tcPr>
          <w:p w14:paraId="4E6EB01B"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9</w:t>
            </w:r>
          </w:p>
        </w:tc>
        <w:tc>
          <w:tcPr>
            <w:tcW w:w="2089" w:type="dxa"/>
            <w:vAlign w:val="center"/>
          </w:tcPr>
          <w:p w14:paraId="0766CA6A"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4188</w:t>
            </w:r>
          </w:p>
        </w:tc>
        <w:tc>
          <w:tcPr>
            <w:tcW w:w="2090" w:type="dxa"/>
            <w:vAlign w:val="center"/>
          </w:tcPr>
          <w:p w14:paraId="0D6FE661" w14:textId="77777777" w:rsidR="00986DE0" w:rsidRPr="007264B0" w:rsidRDefault="00986DE0" w:rsidP="003C7140">
            <w:pPr>
              <w:spacing w:after="120" w:line="360" w:lineRule="auto"/>
              <w:jc w:val="center"/>
              <w:rPr>
                <w:rFonts w:ascii="Lato" w:eastAsia="Calibri" w:hAnsi="Lato" w:cstheme="minorHAnsi"/>
                <w:sz w:val="20"/>
                <w:szCs w:val="20"/>
              </w:rPr>
            </w:pPr>
            <w:r w:rsidRPr="007264B0">
              <w:rPr>
                <w:rFonts w:ascii="Lato" w:eastAsia="Calibri" w:hAnsi="Lato" w:cstheme="minorHAnsi"/>
                <w:sz w:val="20"/>
                <w:szCs w:val="20"/>
              </w:rPr>
              <w:t>0</w:t>
            </w:r>
          </w:p>
        </w:tc>
      </w:tr>
      <w:tr w:rsidR="00986DE0" w:rsidRPr="00264344" w14:paraId="74428C25" w14:textId="77777777" w:rsidTr="003C7140">
        <w:trPr>
          <w:trHeight w:val="630"/>
          <w:jc w:val="center"/>
        </w:trPr>
        <w:tc>
          <w:tcPr>
            <w:tcW w:w="846" w:type="dxa"/>
            <w:vMerge/>
            <w:vAlign w:val="center"/>
          </w:tcPr>
          <w:p w14:paraId="4334196D" w14:textId="77777777" w:rsidR="00986DE0" w:rsidRPr="007264B0" w:rsidRDefault="00986DE0" w:rsidP="003C7140">
            <w:pPr>
              <w:spacing w:after="120" w:line="360" w:lineRule="auto"/>
              <w:jc w:val="center"/>
              <w:rPr>
                <w:rFonts w:ascii="Lato" w:eastAsia="Calibri" w:hAnsi="Lato" w:cstheme="minorHAnsi"/>
                <w:sz w:val="20"/>
                <w:szCs w:val="20"/>
              </w:rPr>
            </w:pPr>
          </w:p>
        </w:tc>
        <w:tc>
          <w:tcPr>
            <w:tcW w:w="1947" w:type="dxa"/>
            <w:vAlign w:val="center"/>
          </w:tcPr>
          <w:p w14:paraId="40C053DF" w14:textId="77777777" w:rsidR="00986DE0" w:rsidRPr="007264B0" w:rsidRDefault="00986DE0" w:rsidP="003C7140">
            <w:pPr>
              <w:spacing w:after="120" w:line="360" w:lineRule="auto"/>
              <w:jc w:val="center"/>
              <w:rPr>
                <w:rFonts w:ascii="Lato" w:eastAsia="Calibri" w:hAnsi="Lato" w:cstheme="minorHAnsi"/>
                <w:b/>
                <w:bCs/>
                <w:sz w:val="20"/>
                <w:szCs w:val="20"/>
              </w:rPr>
            </w:pPr>
            <w:r w:rsidRPr="007264B0">
              <w:rPr>
                <w:rFonts w:ascii="Lato" w:eastAsia="Calibri" w:hAnsi="Lato" w:cstheme="minorHAnsi"/>
                <w:b/>
                <w:bCs/>
                <w:sz w:val="20"/>
                <w:szCs w:val="20"/>
              </w:rPr>
              <w:t>Razem</w:t>
            </w:r>
          </w:p>
        </w:tc>
        <w:tc>
          <w:tcPr>
            <w:tcW w:w="2090" w:type="dxa"/>
            <w:vAlign w:val="center"/>
          </w:tcPr>
          <w:p w14:paraId="2D5E73B8" w14:textId="77777777" w:rsidR="00986DE0" w:rsidRPr="007264B0" w:rsidRDefault="00986DE0" w:rsidP="003C7140">
            <w:pPr>
              <w:spacing w:after="120" w:line="360" w:lineRule="auto"/>
              <w:jc w:val="center"/>
              <w:rPr>
                <w:rFonts w:ascii="Lato" w:eastAsia="Calibri" w:hAnsi="Lato" w:cstheme="minorHAnsi"/>
                <w:b/>
                <w:bCs/>
                <w:sz w:val="20"/>
                <w:szCs w:val="20"/>
              </w:rPr>
            </w:pPr>
            <w:r w:rsidRPr="007264B0">
              <w:rPr>
                <w:rFonts w:ascii="Lato" w:eastAsia="Calibri" w:hAnsi="Lato" w:cstheme="minorHAnsi"/>
                <w:b/>
                <w:bCs/>
                <w:sz w:val="20"/>
                <w:szCs w:val="20"/>
              </w:rPr>
              <w:t>111</w:t>
            </w:r>
          </w:p>
        </w:tc>
        <w:tc>
          <w:tcPr>
            <w:tcW w:w="2089" w:type="dxa"/>
            <w:vAlign w:val="center"/>
          </w:tcPr>
          <w:p w14:paraId="1B8A2E4A" w14:textId="77777777" w:rsidR="00986DE0" w:rsidRPr="007264B0" w:rsidRDefault="00986DE0" w:rsidP="003C7140">
            <w:pPr>
              <w:spacing w:after="120" w:line="360" w:lineRule="auto"/>
              <w:jc w:val="center"/>
              <w:rPr>
                <w:rFonts w:ascii="Lato" w:eastAsia="Calibri" w:hAnsi="Lato" w:cstheme="minorHAnsi"/>
                <w:b/>
                <w:bCs/>
                <w:sz w:val="20"/>
                <w:szCs w:val="20"/>
              </w:rPr>
            </w:pPr>
            <w:r w:rsidRPr="007264B0">
              <w:rPr>
                <w:rFonts w:ascii="Lato" w:eastAsia="Calibri" w:hAnsi="Lato" w:cstheme="minorHAnsi"/>
                <w:b/>
                <w:bCs/>
                <w:sz w:val="20"/>
                <w:szCs w:val="20"/>
              </w:rPr>
              <w:t>36281</w:t>
            </w:r>
          </w:p>
        </w:tc>
        <w:tc>
          <w:tcPr>
            <w:tcW w:w="2090" w:type="dxa"/>
            <w:vAlign w:val="center"/>
          </w:tcPr>
          <w:p w14:paraId="1F1E9B8F" w14:textId="77777777" w:rsidR="00986DE0" w:rsidRPr="007264B0" w:rsidRDefault="00986DE0" w:rsidP="003C7140">
            <w:pPr>
              <w:spacing w:after="120" w:line="360" w:lineRule="auto"/>
              <w:jc w:val="center"/>
              <w:rPr>
                <w:rFonts w:ascii="Lato" w:eastAsia="Calibri" w:hAnsi="Lato" w:cstheme="minorHAnsi"/>
                <w:b/>
                <w:bCs/>
                <w:sz w:val="20"/>
                <w:szCs w:val="20"/>
              </w:rPr>
            </w:pPr>
            <w:r w:rsidRPr="007264B0">
              <w:rPr>
                <w:rFonts w:ascii="Lato" w:eastAsia="Calibri" w:hAnsi="Lato" w:cstheme="minorHAnsi"/>
                <w:b/>
                <w:bCs/>
                <w:sz w:val="20"/>
                <w:szCs w:val="20"/>
              </w:rPr>
              <w:t>2</w:t>
            </w:r>
          </w:p>
        </w:tc>
      </w:tr>
      <w:bookmarkEnd w:id="99"/>
    </w:tbl>
    <w:p w14:paraId="7045BE2D" w14:textId="77777777" w:rsidR="004049DB" w:rsidRPr="00C55726" w:rsidRDefault="004049DB" w:rsidP="00EA310A">
      <w:pPr>
        <w:spacing w:line="360" w:lineRule="auto"/>
        <w:rPr>
          <w:rFonts w:ascii="Lato" w:eastAsia="Calibri" w:hAnsi="Lato" w:cstheme="minorHAnsi"/>
          <w:sz w:val="22"/>
          <w:szCs w:val="22"/>
        </w:rPr>
      </w:pPr>
    </w:p>
    <w:p w14:paraId="0F175701" w14:textId="0E3245E9" w:rsidR="00986DE0" w:rsidRPr="003863D1" w:rsidRDefault="00986DE0">
      <w:pPr>
        <w:pStyle w:val="Akapitzlist"/>
        <w:numPr>
          <w:ilvl w:val="1"/>
          <w:numId w:val="17"/>
        </w:numPr>
        <w:spacing w:line="360" w:lineRule="auto"/>
        <w:ind w:left="568" w:right="284" w:hanging="284"/>
        <w:jc w:val="both"/>
        <w:outlineLvl w:val="0"/>
        <w:rPr>
          <w:rFonts w:ascii="Lato" w:hAnsi="Lato" w:cstheme="minorHAnsi"/>
        </w:rPr>
      </w:pPr>
      <w:bookmarkStart w:id="104" w:name="_Toc225235869"/>
      <w:bookmarkStart w:id="105" w:name="_Toc225859058"/>
      <w:r w:rsidRPr="003863D1">
        <w:rPr>
          <w:rStyle w:val="Nagwek3Znak"/>
          <w:color w:val="auto"/>
          <w:szCs w:val="22"/>
        </w:rPr>
        <w:t>Utrzymanie bieżącej czystości i porządku</w:t>
      </w:r>
      <w:bookmarkEnd w:id="104"/>
      <w:bookmarkEnd w:id="105"/>
    </w:p>
    <w:p w14:paraId="0D7180C2" w14:textId="6A694A3E" w:rsidR="00986DE0" w:rsidRPr="00C55726" w:rsidRDefault="00986DE0" w:rsidP="00EA310A">
      <w:pPr>
        <w:tabs>
          <w:tab w:val="left" w:pos="851"/>
        </w:tabs>
        <w:spacing w:line="360" w:lineRule="auto"/>
        <w:rPr>
          <w:rFonts w:ascii="Lato" w:hAnsi="Lato" w:cstheme="minorHAnsi"/>
          <w:color w:val="7030A0"/>
          <w:sz w:val="22"/>
          <w:szCs w:val="22"/>
        </w:rPr>
      </w:pPr>
      <w:r w:rsidRPr="00C55726">
        <w:rPr>
          <w:rFonts w:ascii="Lato" w:hAnsi="Lato" w:cstheme="minorHAnsi"/>
          <w:sz w:val="22"/>
          <w:szCs w:val="22"/>
        </w:rPr>
        <w:t>Organizacja utrzymania czystości w szpitalach oparta była na planach higieny szpitalnej określających obszar, techniki oraz częstotliwość sprzątania, w tym procedury mycia i dezynfekcji sprzętu, a także pomieszczeń szpitalnych. Za czynności te odpowiadały zewnętrzne firmy sprzątające w 18% szpitali. W 82% podmiotów usługi sprzątania wykonywał personel</w:t>
      </w:r>
      <w:r w:rsidR="004049DB">
        <w:rPr>
          <w:rFonts w:ascii="Lato" w:hAnsi="Lato" w:cstheme="minorHAnsi"/>
          <w:sz w:val="22"/>
          <w:szCs w:val="22"/>
        </w:rPr>
        <w:t xml:space="preserve"> szpitala</w:t>
      </w:r>
      <w:r w:rsidRPr="00C55726">
        <w:rPr>
          <w:rFonts w:ascii="Lato" w:hAnsi="Lato" w:cstheme="minorHAnsi"/>
          <w:sz w:val="22"/>
          <w:szCs w:val="22"/>
        </w:rPr>
        <w:t>.</w:t>
      </w:r>
    </w:p>
    <w:p w14:paraId="56653937" w14:textId="0E32543C" w:rsidR="00986DE0" w:rsidRDefault="00986DE0" w:rsidP="00EA310A">
      <w:pPr>
        <w:tabs>
          <w:tab w:val="left" w:pos="851"/>
        </w:tabs>
        <w:spacing w:line="360" w:lineRule="auto"/>
        <w:rPr>
          <w:rFonts w:ascii="Lato" w:hAnsi="Lato" w:cstheme="minorHAnsi"/>
          <w:sz w:val="22"/>
          <w:szCs w:val="22"/>
        </w:rPr>
      </w:pPr>
      <w:r w:rsidRPr="00C55726">
        <w:rPr>
          <w:rFonts w:ascii="Lato" w:hAnsi="Lato" w:cstheme="minorHAnsi"/>
          <w:sz w:val="22"/>
          <w:szCs w:val="22"/>
        </w:rPr>
        <w:t>W szpitalach stosowano zasadę rozdziału sprzętu do poszczególnych stref czystości. Sprzęt do</w:t>
      </w:r>
      <w:r w:rsidR="00DB3C4E">
        <w:rPr>
          <w:rFonts w:ascii="Lato" w:hAnsi="Lato" w:cstheme="minorHAnsi"/>
          <w:sz w:val="22"/>
          <w:szCs w:val="22"/>
        </w:rPr>
        <w:t> </w:t>
      </w:r>
      <w:r w:rsidRPr="00C55726">
        <w:rPr>
          <w:rFonts w:ascii="Lato" w:hAnsi="Lato" w:cstheme="minorHAnsi"/>
          <w:sz w:val="22"/>
          <w:szCs w:val="22"/>
        </w:rPr>
        <w:t>sprzątania przechowywany był w wydzielonych pomieszczeniach lub w brudownikach na</w:t>
      </w:r>
      <w:r w:rsidR="00DB3C4E">
        <w:rPr>
          <w:rFonts w:ascii="Lato" w:hAnsi="Lato" w:cstheme="minorHAnsi"/>
          <w:sz w:val="22"/>
          <w:szCs w:val="22"/>
        </w:rPr>
        <w:t> </w:t>
      </w:r>
      <w:r w:rsidRPr="00C55726">
        <w:rPr>
          <w:rFonts w:ascii="Lato" w:hAnsi="Lato" w:cstheme="minorHAnsi"/>
          <w:sz w:val="22"/>
          <w:szCs w:val="22"/>
        </w:rPr>
        <w:t>oddziałach. Osoby odpowiadające bezpośrednio za</w:t>
      </w:r>
      <w:r w:rsidR="00050E2B">
        <w:rPr>
          <w:rFonts w:ascii="Lato" w:hAnsi="Lato" w:cstheme="minorHAnsi"/>
          <w:sz w:val="22"/>
          <w:szCs w:val="22"/>
        </w:rPr>
        <w:t> </w:t>
      </w:r>
      <w:r w:rsidRPr="00C55726">
        <w:rPr>
          <w:rFonts w:ascii="Lato" w:hAnsi="Lato" w:cstheme="minorHAnsi"/>
          <w:sz w:val="22"/>
          <w:szCs w:val="22"/>
        </w:rPr>
        <w:t>sprzątanie współpracowały z</w:t>
      </w:r>
      <w:r w:rsidR="00DB3C4E">
        <w:rPr>
          <w:rFonts w:ascii="Lato" w:hAnsi="Lato" w:cstheme="minorHAnsi"/>
          <w:sz w:val="22"/>
          <w:szCs w:val="22"/>
        </w:rPr>
        <w:t> </w:t>
      </w:r>
      <w:r w:rsidRPr="00C55726">
        <w:rPr>
          <w:rFonts w:ascii="Lato" w:hAnsi="Lato" w:cstheme="minorHAnsi"/>
          <w:sz w:val="22"/>
          <w:szCs w:val="22"/>
        </w:rPr>
        <w:t>pielęgniarkami oddziałowymi oraz epidemiologicznymi w zakresie przestrzegania procedur dekontaminacji.</w:t>
      </w:r>
    </w:p>
    <w:p w14:paraId="1E8B7EE8" w14:textId="77777777" w:rsidR="00885F34" w:rsidRPr="00C55726" w:rsidRDefault="00885F34" w:rsidP="00EA310A">
      <w:pPr>
        <w:tabs>
          <w:tab w:val="left" w:pos="851"/>
        </w:tabs>
        <w:spacing w:line="360" w:lineRule="auto"/>
        <w:rPr>
          <w:rFonts w:ascii="Lato" w:hAnsi="Lato" w:cstheme="minorHAnsi"/>
          <w:sz w:val="22"/>
          <w:szCs w:val="22"/>
        </w:rPr>
      </w:pPr>
    </w:p>
    <w:p w14:paraId="0450C94D" w14:textId="764FD4A0" w:rsidR="00986DE0" w:rsidRPr="00885F34" w:rsidRDefault="00986DE0">
      <w:pPr>
        <w:pStyle w:val="Akapitzlist"/>
        <w:numPr>
          <w:ilvl w:val="1"/>
          <w:numId w:val="17"/>
        </w:numPr>
        <w:spacing w:line="360" w:lineRule="auto"/>
        <w:ind w:left="568" w:right="284" w:hanging="284"/>
        <w:jc w:val="both"/>
        <w:outlineLvl w:val="0"/>
        <w:rPr>
          <w:rStyle w:val="Nagwek3Znak"/>
          <w:rFonts w:eastAsia="Times New Roman" w:cs="Times New Roman"/>
          <w:color w:val="auto"/>
          <w:sz w:val="24"/>
          <w:szCs w:val="24"/>
        </w:rPr>
      </w:pPr>
      <w:bookmarkStart w:id="106" w:name="_Toc225235870"/>
      <w:bookmarkStart w:id="107" w:name="_Toc225859059"/>
      <w:r w:rsidRPr="003863D1">
        <w:rPr>
          <w:rStyle w:val="Nagwek3Znak"/>
          <w:color w:val="auto"/>
          <w:szCs w:val="22"/>
        </w:rPr>
        <w:t>Postępowanie z bielizną szpitalną</w:t>
      </w:r>
      <w:bookmarkEnd w:id="106"/>
      <w:bookmarkEnd w:id="107"/>
    </w:p>
    <w:p w14:paraId="196A5475" w14:textId="77777777" w:rsidR="00885F34" w:rsidRPr="00885F34" w:rsidRDefault="00885F34" w:rsidP="00885F34">
      <w:pPr>
        <w:spacing w:line="360" w:lineRule="auto"/>
        <w:ind w:left="284" w:right="284"/>
        <w:jc w:val="both"/>
        <w:outlineLvl w:val="0"/>
        <w:rPr>
          <w:rFonts w:ascii="Lato" w:hAnsi="Lato"/>
        </w:rPr>
      </w:pPr>
    </w:p>
    <w:p w14:paraId="5A571323" w14:textId="3E9DB74A" w:rsidR="00FF7C10" w:rsidRPr="00FF7C10" w:rsidRDefault="00FF7C10" w:rsidP="00FF7C10">
      <w:pPr>
        <w:suppressAutoHyphens/>
        <w:spacing w:line="360" w:lineRule="auto"/>
        <w:jc w:val="both"/>
        <w:rPr>
          <w:rFonts w:ascii="Lato" w:hAnsi="Lato" w:cstheme="minorHAnsi"/>
          <w:bCs/>
          <w:sz w:val="22"/>
          <w:szCs w:val="22"/>
          <w:lang w:eastAsia="ar-SA"/>
        </w:rPr>
      </w:pPr>
      <w:bookmarkStart w:id="108" w:name="_Hlk132196410"/>
      <w:r w:rsidRPr="00FF7C10">
        <w:rPr>
          <w:rFonts w:ascii="Lato" w:hAnsi="Lato" w:cstheme="minorHAnsi"/>
          <w:bCs/>
          <w:sz w:val="22"/>
          <w:szCs w:val="22"/>
          <w:lang w:eastAsia="ar-SA"/>
        </w:rPr>
        <w:t>Jednym z kluczowych czynników mających wpływ na ograniczenie szerzenia się zakażeń w</w:t>
      </w:r>
      <w:r w:rsidR="00050E2B">
        <w:rPr>
          <w:rFonts w:ascii="Lato" w:hAnsi="Lato" w:cstheme="minorHAnsi"/>
          <w:bCs/>
          <w:sz w:val="22"/>
          <w:szCs w:val="22"/>
          <w:lang w:eastAsia="ar-SA"/>
        </w:rPr>
        <w:t> </w:t>
      </w:r>
      <w:r w:rsidRPr="00FF7C10">
        <w:rPr>
          <w:rFonts w:ascii="Lato" w:hAnsi="Lato" w:cstheme="minorHAnsi"/>
          <w:bCs/>
          <w:sz w:val="22"/>
          <w:szCs w:val="22"/>
          <w:lang w:eastAsia="ar-SA"/>
        </w:rPr>
        <w:t>szpitalach jest właściwe  postępowanie z bielizną szpitalną. Dzięki specjalistycznym procesom prania oraz zachowaniu reżimu sanitarnego podczas transportu i magazynowania bielizny możliwe jest eliminowanie patogenów, mogących stanowić zagrożenie dla pacjentów i</w:t>
      </w:r>
      <w:r w:rsidR="00050E2B">
        <w:rPr>
          <w:rFonts w:ascii="Lato" w:hAnsi="Lato" w:cstheme="minorHAnsi"/>
          <w:bCs/>
          <w:sz w:val="22"/>
          <w:szCs w:val="22"/>
          <w:lang w:eastAsia="ar-SA"/>
        </w:rPr>
        <w:t> </w:t>
      </w:r>
      <w:r w:rsidRPr="00FF7C10">
        <w:rPr>
          <w:rFonts w:ascii="Lato" w:hAnsi="Lato" w:cstheme="minorHAnsi"/>
          <w:bCs/>
          <w:sz w:val="22"/>
          <w:szCs w:val="22"/>
          <w:lang w:eastAsia="ar-SA"/>
        </w:rPr>
        <w:t>personelu. Prawidłowość postępowania z bielizną czystą i brudną skontrolowano we</w:t>
      </w:r>
      <w:r w:rsidR="00050E2B">
        <w:rPr>
          <w:rFonts w:ascii="Lato" w:hAnsi="Lato" w:cstheme="minorHAnsi"/>
          <w:bCs/>
          <w:sz w:val="22"/>
          <w:szCs w:val="22"/>
          <w:lang w:eastAsia="ar-SA"/>
        </w:rPr>
        <w:t> </w:t>
      </w:r>
      <w:r w:rsidRPr="00FF7C10">
        <w:rPr>
          <w:rFonts w:ascii="Lato" w:hAnsi="Lato" w:cstheme="minorHAnsi"/>
          <w:bCs/>
          <w:sz w:val="22"/>
          <w:szCs w:val="22"/>
          <w:lang w:eastAsia="ar-SA"/>
        </w:rPr>
        <w:t xml:space="preserve">wszystkich obiektach, w których świadczone były stacjonarne i całodobowe świadczenia </w:t>
      </w:r>
      <w:r w:rsidRPr="00FF7C10">
        <w:rPr>
          <w:rFonts w:ascii="Lato" w:hAnsi="Lato" w:cstheme="minorHAnsi"/>
          <w:bCs/>
          <w:sz w:val="22"/>
          <w:szCs w:val="22"/>
          <w:lang w:eastAsia="ar-SA"/>
        </w:rPr>
        <w:lastRenderedPageBreak/>
        <w:t xml:space="preserve">szpitalne. Stwierdzono, że bielizna szpitalna prana była w pralniach zapewniających barierę higieniczną, tj. oddzielne postępowanie z bielizną czystą i brudną. W części szpitali stosowano bieliznę jednorazowego użytku, którą po użyciu traktowano jako odpad medyczny. </w:t>
      </w:r>
    </w:p>
    <w:p w14:paraId="59860CAA" w14:textId="438D5DEF" w:rsidR="00FF7C10" w:rsidRPr="00FF7C10" w:rsidRDefault="00FF7C10" w:rsidP="00FF7C10">
      <w:pPr>
        <w:snapToGrid w:val="0"/>
        <w:spacing w:line="360" w:lineRule="auto"/>
        <w:jc w:val="both"/>
        <w:rPr>
          <w:rFonts w:ascii="Lato" w:hAnsi="Lato" w:cstheme="minorHAnsi"/>
          <w:bCs/>
          <w:sz w:val="22"/>
          <w:szCs w:val="22"/>
          <w:lang w:eastAsia="ar-SA"/>
        </w:rPr>
      </w:pPr>
      <w:r w:rsidRPr="00FF7C10">
        <w:rPr>
          <w:rFonts w:ascii="Lato" w:hAnsi="Lato" w:cstheme="minorHAnsi"/>
          <w:bCs/>
          <w:sz w:val="22"/>
          <w:szCs w:val="22"/>
          <w:lang w:eastAsia="ar-SA"/>
        </w:rPr>
        <w:t xml:space="preserve">Wszystkie skontrolowane szpitale posiadały wyodrębnione miejsca do przechowywania bielizny czystej oraz gromadzenia bielizny brudnej. Dodatkowo, na oddziałach zapewniono podręczne magazyny bielizny czystej. </w:t>
      </w:r>
    </w:p>
    <w:p w14:paraId="06A0C5A1" w14:textId="08EF9F39" w:rsidR="00FF7C10" w:rsidRPr="00FF7C10" w:rsidRDefault="00FF7C10" w:rsidP="00FF7C10">
      <w:pPr>
        <w:suppressAutoHyphens/>
        <w:spacing w:line="360" w:lineRule="auto"/>
        <w:jc w:val="both"/>
        <w:rPr>
          <w:rFonts w:ascii="Lato" w:hAnsi="Lato" w:cstheme="minorHAnsi"/>
          <w:bCs/>
          <w:sz w:val="22"/>
          <w:szCs w:val="22"/>
          <w:lang w:eastAsia="ar-SA"/>
        </w:rPr>
      </w:pPr>
      <w:r w:rsidRPr="00FF7C10">
        <w:rPr>
          <w:rFonts w:ascii="Lato" w:hAnsi="Lato" w:cstheme="minorHAnsi"/>
          <w:bCs/>
          <w:sz w:val="22"/>
          <w:szCs w:val="22"/>
          <w:lang w:eastAsia="ar-SA"/>
        </w:rPr>
        <w:t>Transport bielizny do szpitali odbywał się specjalistycznym</w:t>
      </w:r>
      <w:r w:rsidR="004049DB">
        <w:rPr>
          <w:rFonts w:ascii="Lato" w:hAnsi="Lato" w:cstheme="minorHAnsi"/>
          <w:bCs/>
          <w:sz w:val="22"/>
          <w:szCs w:val="22"/>
          <w:lang w:eastAsia="ar-SA"/>
        </w:rPr>
        <w:t>i</w:t>
      </w:r>
      <w:r w:rsidRPr="00FF7C10">
        <w:rPr>
          <w:rFonts w:ascii="Lato" w:hAnsi="Lato" w:cstheme="minorHAnsi"/>
          <w:bCs/>
          <w:sz w:val="22"/>
          <w:szCs w:val="22"/>
          <w:lang w:eastAsia="ar-SA"/>
        </w:rPr>
        <w:t xml:space="preserve"> środk</w:t>
      </w:r>
      <w:r w:rsidR="004049DB">
        <w:rPr>
          <w:rFonts w:ascii="Lato" w:hAnsi="Lato" w:cstheme="minorHAnsi"/>
          <w:bCs/>
          <w:sz w:val="22"/>
          <w:szCs w:val="22"/>
          <w:lang w:eastAsia="ar-SA"/>
        </w:rPr>
        <w:t>ami</w:t>
      </w:r>
      <w:r w:rsidRPr="00FF7C10">
        <w:rPr>
          <w:rFonts w:ascii="Lato" w:hAnsi="Lato" w:cstheme="minorHAnsi"/>
          <w:bCs/>
          <w:sz w:val="22"/>
          <w:szCs w:val="22"/>
          <w:lang w:eastAsia="ar-SA"/>
        </w:rPr>
        <w:t xml:space="preserve"> spełniającym</w:t>
      </w:r>
      <w:r w:rsidR="004049DB">
        <w:rPr>
          <w:rFonts w:ascii="Lato" w:hAnsi="Lato" w:cstheme="minorHAnsi"/>
          <w:bCs/>
          <w:sz w:val="22"/>
          <w:szCs w:val="22"/>
          <w:lang w:eastAsia="ar-SA"/>
        </w:rPr>
        <w:t>i</w:t>
      </w:r>
      <w:r w:rsidRPr="00FF7C10">
        <w:rPr>
          <w:rFonts w:ascii="Lato" w:hAnsi="Lato" w:cstheme="minorHAnsi"/>
          <w:bCs/>
          <w:sz w:val="22"/>
          <w:szCs w:val="22"/>
          <w:lang w:eastAsia="ar-SA"/>
        </w:rPr>
        <w:t xml:space="preserve"> wymagania sanitarno-higieniczne. Na czas transportu bieliznę czystą zabezpieczano przed wtórnym zanieczyszczeniem. Bieliznę operacyjną oraz bieliznę noworodkową wielokrotnego użytku poddawano procesom sterylizacji. </w:t>
      </w:r>
    </w:p>
    <w:p w14:paraId="02D90AA2" w14:textId="20948BD0" w:rsidR="002E6C80" w:rsidRDefault="00FF7C10" w:rsidP="00B327E0">
      <w:pPr>
        <w:snapToGrid w:val="0"/>
        <w:spacing w:line="360" w:lineRule="auto"/>
        <w:jc w:val="both"/>
        <w:rPr>
          <w:rFonts w:ascii="Lato" w:hAnsi="Lato" w:cstheme="minorHAnsi"/>
          <w:sz w:val="22"/>
          <w:szCs w:val="22"/>
        </w:rPr>
      </w:pPr>
      <w:r w:rsidRPr="00FF7C10">
        <w:rPr>
          <w:rFonts w:ascii="Lato" w:hAnsi="Lato" w:cstheme="minorHAnsi"/>
          <w:sz w:val="22"/>
          <w:szCs w:val="22"/>
        </w:rPr>
        <w:t>Stan sanitarno–techniczny pomieszczeń do magazynowania bielizny oraz sposób postępowania w większości skontrolowanych szpitali nie budził zastrzeżeń. Nieprawidłowości stwierdzono jedynie w 3 z nich. Dotyczyły one niewłaściwego stanu sanitarno-technicznego powierzchni ścian, sufitu i wyposażenia w pomieszczeniach pralni oraz magazynach bielizny. Szpitale został</w:t>
      </w:r>
      <w:r w:rsidR="00C00C7F">
        <w:rPr>
          <w:rFonts w:ascii="Lato" w:hAnsi="Lato" w:cstheme="minorHAnsi"/>
          <w:sz w:val="22"/>
          <w:szCs w:val="22"/>
        </w:rPr>
        <w:t>y</w:t>
      </w:r>
      <w:r w:rsidRPr="00FF7C10">
        <w:rPr>
          <w:rFonts w:ascii="Lato" w:hAnsi="Lato" w:cstheme="minorHAnsi"/>
          <w:sz w:val="22"/>
          <w:szCs w:val="22"/>
        </w:rPr>
        <w:t xml:space="preserve"> zobowiązane do usunięcia nieprawidłowości</w:t>
      </w:r>
      <w:r w:rsidR="00076DEF">
        <w:rPr>
          <w:rFonts w:ascii="Lato" w:hAnsi="Lato" w:cstheme="minorHAnsi"/>
          <w:sz w:val="22"/>
          <w:szCs w:val="22"/>
        </w:rPr>
        <w:t>.</w:t>
      </w:r>
      <w:r w:rsidRPr="00FF7C10">
        <w:rPr>
          <w:rFonts w:ascii="Lato" w:hAnsi="Lato" w:cstheme="minorHAnsi"/>
          <w:sz w:val="22"/>
          <w:szCs w:val="22"/>
        </w:rPr>
        <w:t xml:space="preserve"> </w:t>
      </w:r>
    </w:p>
    <w:p w14:paraId="49CD8C44" w14:textId="77777777" w:rsidR="00885F34" w:rsidRDefault="00885F34" w:rsidP="00B327E0">
      <w:pPr>
        <w:snapToGrid w:val="0"/>
        <w:spacing w:line="360" w:lineRule="auto"/>
        <w:jc w:val="both"/>
        <w:rPr>
          <w:rFonts w:ascii="Lato" w:hAnsi="Lato" w:cstheme="minorHAnsi"/>
          <w:sz w:val="22"/>
          <w:szCs w:val="22"/>
        </w:rPr>
      </w:pPr>
    </w:p>
    <w:p w14:paraId="13F585E0" w14:textId="77777777" w:rsidR="00885F34" w:rsidRPr="002E6C80" w:rsidRDefault="00885F34" w:rsidP="00B327E0">
      <w:pPr>
        <w:snapToGrid w:val="0"/>
        <w:spacing w:line="360" w:lineRule="auto"/>
        <w:jc w:val="both"/>
        <w:rPr>
          <w:rFonts w:ascii="Lato" w:hAnsi="Lato" w:cstheme="minorHAnsi"/>
          <w:sz w:val="22"/>
          <w:szCs w:val="22"/>
        </w:rPr>
      </w:pPr>
    </w:p>
    <w:p w14:paraId="0C3CF6E6" w14:textId="083E1E35" w:rsidR="00986DE0" w:rsidRDefault="00986DE0">
      <w:pPr>
        <w:pStyle w:val="Akapitzlist"/>
        <w:numPr>
          <w:ilvl w:val="1"/>
          <w:numId w:val="17"/>
        </w:numPr>
        <w:spacing w:line="360" w:lineRule="auto"/>
        <w:ind w:left="568" w:right="284" w:hanging="284"/>
        <w:outlineLvl w:val="0"/>
        <w:rPr>
          <w:rStyle w:val="Nagwek3Znak"/>
          <w:color w:val="auto"/>
          <w:szCs w:val="22"/>
        </w:rPr>
      </w:pPr>
      <w:bookmarkStart w:id="109" w:name="_Toc225235871"/>
      <w:bookmarkStart w:id="110" w:name="_Toc225859060"/>
      <w:bookmarkEnd w:id="108"/>
      <w:r w:rsidRPr="003863D1">
        <w:rPr>
          <w:rStyle w:val="Nagwek3Znak"/>
          <w:color w:val="auto"/>
          <w:szCs w:val="22"/>
        </w:rPr>
        <w:t>Prosektoria i postępowanie ze zwłokami</w:t>
      </w:r>
      <w:bookmarkEnd w:id="109"/>
      <w:bookmarkEnd w:id="110"/>
    </w:p>
    <w:p w14:paraId="3E0EDC72" w14:textId="77777777" w:rsidR="00885F34" w:rsidRPr="00885F34" w:rsidRDefault="00885F34" w:rsidP="00885F34">
      <w:pPr>
        <w:spacing w:line="360" w:lineRule="auto"/>
        <w:ind w:right="284"/>
        <w:outlineLvl w:val="0"/>
        <w:rPr>
          <w:rStyle w:val="Nagwek3Znak"/>
          <w:color w:val="auto"/>
          <w:szCs w:val="22"/>
        </w:rPr>
      </w:pPr>
    </w:p>
    <w:p w14:paraId="3A2724FC" w14:textId="5E1E66B9" w:rsidR="004168D4" w:rsidRPr="004168D4" w:rsidRDefault="004168D4" w:rsidP="004168D4">
      <w:pPr>
        <w:tabs>
          <w:tab w:val="left" w:pos="567"/>
        </w:tabs>
        <w:snapToGrid w:val="0"/>
        <w:spacing w:line="360" w:lineRule="auto"/>
        <w:jc w:val="both"/>
        <w:rPr>
          <w:rFonts w:ascii="Lato" w:hAnsi="Lato" w:cstheme="minorHAnsi"/>
          <w:sz w:val="22"/>
          <w:szCs w:val="22"/>
          <w:highlight w:val="yellow"/>
        </w:rPr>
      </w:pPr>
      <w:r w:rsidRPr="004168D4">
        <w:rPr>
          <w:rFonts w:ascii="Lato" w:hAnsi="Lato" w:cstheme="minorHAnsi"/>
          <w:sz w:val="22"/>
          <w:szCs w:val="22"/>
        </w:rPr>
        <w:t>Stan sanitarno-techniczny pomieszczeń prosektorium, chłodni oraz sal sekcyjnych wraz z</w:t>
      </w:r>
      <w:r w:rsidR="00050E2B">
        <w:rPr>
          <w:rFonts w:ascii="Lato" w:hAnsi="Lato" w:cstheme="minorHAnsi"/>
          <w:sz w:val="22"/>
          <w:szCs w:val="22"/>
        </w:rPr>
        <w:t> </w:t>
      </w:r>
      <w:r w:rsidRPr="004168D4">
        <w:rPr>
          <w:rFonts w:ascii="Lato" w:hAnsi="Lato" w:cstheme="minorHAnsi"/>
          <w:sz w:val="22"/>
          <w:szCs w:val="22"/>
        </w:rPr>
        <w:t>procedurą postępowania ze zwłokami został skontrolowany we wszystkich obiektach szpitalnych. W większości z nich wydzielono pomieszczenie pro-</w:t>
      </w:r>
      <w:proofErr w:type="spellStart"/>
      <w:r w:rsidRPr="004168D4">
        <w:rPr>
          <w:rFonts w:ascii="Lato" w:hAnsi="Lato" w:cstheme="minorHAnsi"/>
          <w:sz w:val="22"/>
          <w:szCs w:val="22"/>
        </w:rPr>
        <w:t>morte</w:t>
      </w:r>
      <w:proofErr w:type="spellEnd"/>
      <w:r w:rsidRPr="004168D4">
        <w:rPr>
          <w:rFonts w:ascii="Lato" w:hAnsi="Lato" w:cstheme="minorHAnsi"/>
          <w:sz w:val="22"/>
          <w:szCs w:val="22"/>
        </w:rPr>
        <w:t>. Transport ciała do</w:t>
      </w:r>
      <w:r w:rsidR="00050E2B">
        <w:rPr>
          <w:rFonts w:ascii="Lato" w:hAnsi="Lato" w:cstheme="minorHAnsi"/>
          <w:sz w:val="22"/>
          <w:szCs w:val="22"/>
        </w:rPr>
        <w:t> </w:t>
      </w:r>
      <w:r w:rsidRPr="004168D4">
        <w:rPr>
          <w:rFonts w:ascii="Lato" w:hAnsi="Lato" w:cstheme="minorHAnsi"/>
          <w:sz w:val="22"/>
          <w:szCs w:val="22"/>
        </w:rPr>
        <w:t>chłodni odbywał się przeznaczonymi do tego celu środkami – tzw. zamkniętymi kapsułami. W</w:t>
      </w:r>
      <w:r w:rsidR="00050E2B">
        <w:rPr>
          <w:rFonts w:ascii="Lato" w:hAnsi="Lato" w:cstheme="minorHAnsi"/>
          <w:sz w:val="22"/>
          <w:szCs w:val="22"/>
        </w:rPr>
        <w:t> </w:t>
      </w:r>
      <w:r w:rsidRPr="004168D4">
        <w:rPr>
          <w:rFonts w:ascii="Lato" w:hAnsi="Lato" w:cstheme="minorHAnsi"/>
          <w:sz w:val="22"/>
          <w:szCs w:val="22"/>
        </w:rPr>
        <w:t>szpitalach nieposiadających własnych chłodni ciała osób zmarłych przekazywane były do</w:t>
      </w:r>
      <w:r w:rsidR="00050E2B">
        <w:rPr>
          <w:rFonts w:ascii="Lato" w:hAnsi="Lato" w:cstheme="minorHAnsi"/>
          <w:sz w:val="22"/>
          <w:szCs w:val="22"/>
        </w:rPr>
        <w:t> </w:t>
      </w:r>
      <w:r w:rsidRPr="004168D4">
        <w:rPr>
          <w:rFonts w:ascii="Lato" w:hAnsi="Lato" w:cstheme="minorHAnsi"/>
          <w:sz w:val="22"/>
          <w:szCs w:val="22"/>
        </w:rPr>
        <w:t>chłodni innych szpitali lub chłodni znajdujących się na terenie cmentarzy komunalnych albo zakładów pogrzebowych. Na terenie województwa funkcjonowało 85 chłodni.</w:t>
      </w:r>
    </w:p>
    <w:p w14:paraId="0AC2A088" w14:textId="77777777" w:rsidR="004168D4" w:rsidRPr="004168D4" w:rsidRDefault="004168D4" w:rsidP="004168D4">
      <w:pPr>
        <w:snapToGrid w:val="0"/>
        <w:spacing w:line="360" w:lineRule="auto"/>
        <w:jc w:val="both"/>
        <w:rPr>
          <w:rFonts w:ascii="Lato" w:hAnsi="Lato" w:cstheme="minorHAnsi"/>
          <w:sz w:val="22"/>
          <w:szCs w:val="22"/>
          <w:highlight w:val="yellow"/>
        </w:rPr>
      </w:pPr>
      <w:r w:rsidRPr="004168D4">
        <w:rPr>
          <w:rFonts w:ascii="Lato" w:hAnsi="Lato" w:cstheme="minorHAnsi"/>
          <w:sz w:val="22"/>
          <w:szCs w:val="22"/>
        </w:rPr>
        <w:t xml:space="preserve">Stan sanitarno – techniczny większości skontrolowanych chłodni, prosektoriów i sal sekcyjnych nie budził zastrzeżeń. Nieprawidłowości stwierdzono jedynie w 3 szpitalach. Dotyczyły one niewłaściwego stanu sanitarno-technicznego. Szpitale zostały zobowiązane do usunięcia nieprawidłowości, a nałożone obowiązki są w trakcie realizacji. </w:t>
      </w:r>
    </w:p>
    <w:p w14:paraId="679531BC" w14:textId="77777777" w:rsidR="004168D4" w:rsidRPr="004168D4" w:rsidRDefault="004168D4" w:rsidP="004168D4">
      <w:pPr>
        <w:snapToGrid w:val="0"/>
        <w:spacing w:line="360" w:lineRule="auto"/>
        <w:rPr>
          <w:rFonts w:ascii="Lato" w:hAnsi="Lato" w:cstheme="minorHAnsi"/>
          <w:sz w:val="22"/>
          <w:szCs w:val="22"/>
        </w:rPr>
      </w:pPr>
      <w:r w:rsidRPr="004168D4">
        <w:rPr>
          <w:rFonts w:ascii="Lato" w:hAnsi="Lato" w:cstheme="minorHAnsi"/>
          <w:sz w:val="22"/>
          <w:szCs w:val="22"/>
        </w:rPr>
        <w:t xml:space="preserve">W Szpitalu Wojewódzkim w Koszalinie przy ul. Chałubińskiego 7 poprawie uległ stan </w:t>
      </w:r>
    </w:p>
    <w:p w14:paraId="61A1D934" w14:textId="318AB804" w:rsidR="004168D4" w:rsidRPr="004168D4" w:rsidRDefault="004168D4" w:rsidP="004168D4">
      <w:pPr>
        <w:snapToGrid w:val="0"/>
        <w:spacing w:line="360" w:lineRule="auto"/>
        <w:jc w:val="both"/>
        <w:rPr>
          <w:rFonts w:ascii="Lato" w:hAnsi="Lato" w:cstheme="minorHAnsi"/>
          <w:sz w:val="22"/>
          <w:szCs w:val="22"/>
        </w:rPr>
      </w:pPr>
      <w:r w:rsidRPr="004168D4">
        <w:rPr>
          <w:rFonts w:ascii="Lato" w:hAnsi="Lato" w:cstheme="minorHAnsi"/>
          <w:sz w:val="22"/>
          <w:szCs w:val="22"/>
        </w:rPr>
        <w:t>sanitarno-techniczny pomieszczeń Zakładu Patomorfologii i Medycyny Sądowej oraz chłodni.</w:t>
      </w:r>
    </w:p>
    <w:p w14:paraId="6BFA9D54" w14:textId="77777777" w:rsidR="0090516C" w:rsidRDefault="0090516C" w:rsidP="00986DE0">
      <w:pPr>
        <w:spacing w:line="276" w:lineRule="auto"/>
        <w:rPr>
          <w:rFonts w:ascii="Lato" w:hAnsi="Lato"/>
        </w:rPr>
      </w:pPr>
    </w:p>
    <w:p w14:paraId="6170AAF7" w14:textId="77777777" w:rsidR="00F45A42" w:rsidRPr="00F45A42" w:rsidRDefault="00F45A42" w:rsidP="00986DE0">
      <w:pPr>
        <w:spacing w:line="276" w:lineRule="auto"/>
        <w:rPr>
          <w:rFonts w:ascii="Lato" w:hAnsi="Lato"/>
        </w:rPr>
      </w:pPr>
    </w:p>
    <w:p w14:paraId="246C79CD" w14:textId="3BC35A66" w:rsidR="00986DE0" w:rsidRDefault="00986DE0">
      <w:pPr>
        <w:pStyle w:val="Nagwek2"/>
        <w:numPr>
          <w:ilvl w:val="0"/>
          <w:numId w:val="17"/>
        </w:numPr>
        <w:spacing w:before="0" w:after="0" w:line="360" w:lineRule="auto"/>
        <w:ind w:left="568" w:right="284" w:hanging="284"/>
        <w:rPr>
          <w:b/>
          <w:bCs/>
        </w:rPr>
      </w:pPr>
      <w:bookmarkStart w:id="111" w:name="_Toc225235872"/>
      <w:bookmarkStart w:id="112" w:name="_Toc225859061"/>
      <w:r w:rsidRPr="001D3C3C">
        <w:rPr>
          <w:b/>
          <w:bCs/>
        </w:rPr>
        <w:lastRenderedPageBreak/>
        <w:t>Przychodnie, ośrodki zdrowia, poradnie i ambulatoria</w:t>
      </w:r>
      <w:bookmarkEnd w:id="111"/>
      <w:bookmarkEnd w:id="112"/>
    </w:p>
    <w:p w14:paraId="524BE085" w14:textId="77777777" w:rsidR="00483713" w:rsidRPr="00483713" w:rsidRDefault="00483713" w:rsidP="00483713"/>
    <w:p w14:paraId="708982D0" w14:textId="77777777" w:rsidR="00986DE0" w:rsidRPr="00C55726" w:rsidRDefault="00986DE0" w:rsidP="00EA310A">
      <w:pPr>
        <w:pStyle w:val="Standard"/>
        <w:tabs>
          <w:tab w:val="left" w:pos="851"/>
        </w:tabs>
        <w:spacing w:line="360" w:lineRule="auto"/>
        <w:rPr>
          <w:sz w:val="22"/>
          <w:szCs w:val="22"/>
        </w:rPr>
      </w:pPr>
      <w:r w:rsidRPr="00C55726">
        <w:rPr>
          <w:rFonts w:ascii="Lato" w:hAnsi="Lato" w:cstheme="minorHAnsi"/>
          <w:sz w:val="22"/>
          <w:szCs w:val="22"/>
        </w:rPr>
        <w:t xml:space="preserve">Wśród </w:t>
      </w:r>
      <w:r w:rsidRPr="00C55726">
        <w:rPr>
          <w:rFonts w:ascii="Lato" w:hAnsi="Lato" w:cs="Calibri"/>
          <w:sz w:val="22"/>
          <w:szCs w:val="22"/>
        </w:rPr>
        <w:t xml:space="preserve">podmiotów działalności leczniczej świadczących usługi medyczne w systemie ambulatoryjnym najliczniejszą grupę stanowią przychodnie, ośrodki, poradnie i </w:t>
      </w:r>
      <w:r w:rsidRPr="00C55726">
        <w:rPr>
          <w:rFonts w:ascii="Lato" w:hAnsi="Lato" w:cs="Calibri"/>
          <w:spacing w:val="-2"/>
          <w:sz w:val="22"/>
          <w:szCs w:val="22"/>
        </w:rPr>
        <w:t>ambulatoria. W ewidencji Państwowej Inspekcji Sanitarnej na terenie woj. zachodniopomorskiego</w:t>
      </w:r>
      <w:r w:rsidRPr="00C55726">
        <w:rPr>
          <w:rFonts w:ascii="Lato" w:hAnsi="Lato" w:cs="Calibri"/>
          <w:sz w:val="22"/>
          <w:szCs w:val="22"/>
        </w:rPr>
        <w:t xml:space="preserve"> znajdowało się 1048 placówek tego rodzaju. Stan sanitarny skontrolowano w 631 obiektach.</w:t>
      </w:r>
    </w:p>
    <w:p w14:paraId="666C617E" w14:textId="77777777" w:rsidR="00986DE0" w:rsidRPr="00C55726" w:rsidRDefault="00986DE0" w:rsidP="00EA310A">
      <w:pPr>
        <w:tabs>
          <w:tab w:val="left" w:pos="851"/>
        </w:tabs>
        <w:spacing w:line="360" w:lineRule="auto"/>
        <w:rPr>
          <w:rFonts w:ascii="Lato" w:hAnsi="Lato" w:cstheme="minorHAnsi"/>
          <w:sz w:val="22"/>
          <w:szCs w:val="22"/>
        </w:rPr>
      </w:pPr>
      <w:r w:rsidRPr="00C55726">
        <w:rPr>
          <w:rFonts w:ascii="Lato" w:hAnsi="Lato" w:cs="Calibri"/>
          <w:sz w:val="22"/>
          <w:szCs w:val="22"/>
        </w:rPr>
        <w:t xml:space="preserve">Działalność kontrolna organów Państwowej Inspekcji Sanitarnej obejmowała bieżący stan sanitarno-techniczny, funkcjonalność oraz wyposażenie w odniesieniu do prowadzonego zakresu usług, zwłaszcza zabiegowych. Ponadto oceniane było przestrzeganie procedur p/epidemicznych związanych z realizacją świadczeń zdrowotnych, w tym dotyczących </w:t>
      </w:r>
      <w:r w:rsidRPr="00C55726">
        <w:rPr>
          <w:rFonts w:ascii="Lato" w:hAnsi="Lato" w:cstheme="minorHAnsi"/>
          <w:sz w:val="22"/>
          <w:szCs w:val="22"/>
        </w:rPr>
        <w:t>dekontaminacji.</w:t>
      </w:r>
    </w:p>
    <w:p w14:paraId="66E50965" w14:textId="77777777" w:rsidR="00986DE0" w:rsidRPr="00C55726" w:rsidRDefault="00986DE0" w:rsidP="00EA310A">
      <w:pPr>
        <w:pStyle w:val="Standard"/>
        <w:tabs>
          <w:tab w:val="left" w:pos="851"/>
        </w:tabs>
        <w:spacing w:line="360" w:lineRule="auto"/>
        <w:rPr>
          <w:rFonts w:ascii="Lato" w:hAnsi="Lato" w:cs="Calibri"/>
          <w:sz w:val="22"/>
          <w:szCs w:val="22"/>
        </w:rPr>
      </w:pPr>
      <w:r w:rsidRPr="00C55726">
        <w:rPr>
          <w:rFonts w:ascii="Lato" w:hAnsi="Lato" w:cs="Calibri"/>
          <w:sz w:val="22"/>
          <w:szCs w:val="22"/>
        </w:rPr>
        <w:t>Wszystkie podmioty działalności medycznej miały zawarte umowy z firmami zajmującymi się odbiorem i utylizacją odpadów medycznych.</w:t>
      </w:r>
    </w:p>
    <w:p w14:paraId="7BA653BC" w14:textId="31C24D3E" w:rsidR="00986DE0" w:rsidRDefault="00986DE0" w:rsidP="00EA310A">
      <w:pPr>
        <w:pStyle w:val="Standard"/>
        <w:tabs>
          <w:tab w:val="left" w:pos="851"/>
        </w:tabs>
        <w:spacing w:line="360" w:lineRule="auto"/>
        <w:rPr>
          <w:rFonts w:ascii="Lato" w:hAnsi="Lato" w:cs="Calibri"/>
          <w:sz w:val="22"/>
          <w:szCs w:val="22"/>
        </w:rPr>
      </w:pPr>
      <w:r w:rsidRPr="00C55726">
        <w:rPr>
          <w:rFonts w:ascii="Lato" w:hAnsi="Lato" w:cs="Calibri"/>
          <w:sz w:val="22"/>
          <w:szCs w:val="22"/>
        </w:rPr>
        <w:t>Stan sanitarny większości obiektów był zadawalający, przy czym na poprawę stanu techniczno-sanitarnego z reguły wydawane były decyzje administracyjne, natomiast bieżące nieprawidłowości związane z przestrzeganiem procedur przeciwepidemicznych oraz prowadzeniem wymaganej dokumentacji egzekwowano poprzez zalecenia pokontrolne</w:t>
      </w:r>
      <w:r>
        <w:rPr>
          <w:rFonts w:ascii="Lato" w:hAnsi="Lato" w:cs="Calibri"/>
          <w:sz w:val="22"/>
          <w:szCs w:val="22"/>
        </w:rPr>
        <w:t xml:space="preserve"> i monitorowanie ich realizacji. Podczas kontroli prowadzone były również działania informacyjno-edukacyjne</w:t>
      </w:r>
      <w:r w:rsidR="00076DEF">
        <w:rPr>
          <w:rFonts w:ascii="Lato" w:hAnsi="Lato" w:cs="Calibri"/>
          <w:sz w:val="22"/>
          <w:szCs w:val="22"/>
        </w:rPr>
        <w:t>,</w:t>
      </w:r>
      <w:r>
        <w:rPr>
          <w:rFonts w:ascii="Lato" w:hAnsi="Lato" w:cs="Calibri"/>
          <w:sz w:val="22"/>
          <w:szCs w:val="22"/>
        </w:rPr>
        <w:t xml:space="preserve"> m.in. z zakresu zapobiegania zakażeniom, realizacji kontroli wewnętrznych w podmiotach, czy też prawidłowej organizacji szczepień ochronnych, w tym prawidłowych zasad przechowywania preparatów szczepionkowych.</w:t>
      </w:r>
    </w:p>
    <w:p w14:paraId="6EDD9A63" w14:textId="77777777" w:rsidR="00885F34" w:rsidRPr="00BF26ED" w:rsidRDefault="00885F34" w:rsidP="00EA310A">
      <w:pPr>
        <w:pStyle w:val="Standard"/>
        <w:tabs>
          <w:tab w:val="left" w:pos="851"/>
        </w:tabs>
        <w:spacing w:line="360" w:lineRule="auto"/>
        <w:rPr>
          <w:rFonts w:ascii="Lato" w:hAnsi="Lato" w:cs="Calibri"/>
          <w:sz w:val="22"/>
          <w:szCs w:val="22"/>
        </w:rPr>
      </w:pPr>
    </w:p>
    <w:p w14:paraId="36E750A7" w14:textId="06518CA8" w:rsidR="00986DE0" w:rsidRDefault="00986DE0">
      <w:pPr>
        <w:pStyle w:val="Nagwek2"/>
        <w:numPr>
          <w:ilvl w:val="0"/>
          <w:numId w:val="17"/>
        </w:numPr>
        <w:spacing w:before="0" w:after="0" w:line="360" w:lineRule="auto"/>
        <w:ind w:left="568" w:right="284" w:hanging="284"/>
        <w:rPr>
          <w:b/>
          <w:bCs/>
        </w:rPr>
      </w:pPr>
      <w:bookmarkStart w:id="113" w:name="_Toc225235873"/>
      <w:bookmarkStart w:id="114" w:name="_Toc225859062"/>
      <w:r w:rsidRPr="00735FF4">
        <w:rPr>
          <w:b/>
          <w:bCs/>
        </w:rPr>
        <w:t>Działalność lecznicza wykonywana przez praktykę zawodową</w:t>
      </w:r>
      <w:bookmarkEnd w:id="113"/>
      <w:bookmarkEnd w:id="114"/>
    </w:p>
    <w:p w14:paraId="149E83B7" w14:textId="77777777" w:rsidR="00483713" w:rsidRPr="00483713" w:rsidRDefault="00483713" w:rsidP="00483713"/>
    <w:p w14:paraId="38672555" w14:textId="77777777" w:rsidR="00746397" w:rsidRDefault="00986DE0" w:rsidP="00746397">
      <w:pPr>
        <w:tabs>
          <w:tab w:val="left" w:pos="851"/>
        </w:tabs>
        <w:spacing w:line="360" w:lineRule="auto"/>
        <w:rPr>
          <w:rFonts w:ascii="Lato" w:hAnsi="Lato" w:cstheme="minorHAnsi"/>
          <w:strike/>
          <w:color w:val="EE0000"/>
          <w:sz w:val="22"/>
          <w:szCs w:val="22"/>
        </w:rPr>
      </w:pPr>
      <w:r w:rsidRPr="00C55726">
        <w:rPr>
          <w:rFonts w:ascii="Lato" w:hAnsi="Lato" w:cstheme="minorHAnsi"/>
          <w:sz w:val="22"/>
          <w:szCs w:val="22"/>
        </w:rPr>
        <w:t xml:space="preserve">W </w:t>
      </w:r>
      <w:r w:rsidRPr="00C55726">
        <w:rPr>
          <w:rFonts w:ascii="Lato" w:hAnsi="Lato" w:cs="Calibri"/>
          <w:color w:val="000000"/>
          <w:sz w:val="22"/>
          <w:szCs w:val="22"/>
        </w:rPr>
        <w:t xml:space="preserve">2025 r. pod nadzorem Państwowej Inspekcji Sanitarnej w woj. zachodniopomorskim było 2438 podmiotów prowadzących działalność leczniczą wykonywaną przez praktykę zawodową, tj. indywidualnych, indywidualnych specjalistycznych, grupowych praktyk lekarskich i dentystycznych oraz praktyk pielęgniarskich i innych, w których udzielane były świadczenia medyczne w systemie ambulatoryjnym. Skontrolowano 593 obiekty, wśród których w co dziesiątym obiekcie oceniono negatywnie </w:t>
      </w:r>
      <w:r w:rsidRPr="00C55726">
        <w:rPr>
          <w:rFonts w:ascii="Lato" w:hAnsi="Lato" w:cs="Calibri"/>
          <w:sz w:val="22"/>
          <w:szCs w:val="22"/>
        </w:rPr>
        <w:t xml:space="preserve">stan higieniczno-sanitarny lub techniczny </w:t>
      </w:r>
      <w:r w:rsidR="00746397">
        <w:rPr>
          <w:rFonts w:ascii="Lato" w:hAnsi="Lato" w:cstheme="minorHAnsi"/>
          <w:sz w:val="22"/>
          <w:szCs w:val="22"/>
        </w:rPr>
        <w:t>.</w:t>
      </w:r>
    </w:p>
    <w:p w14:paraId="19B883DD" w14:textId="12934FC0" w:rsidR="00986DE0" w:rsidRPr="00746397" w:rsidRDefault="00986DE0" w:rsidP="00746397">
      <w:pPr>
        <w:tabs>
          <w:tab w:val="left" w:pos="851"/>
        </w:tabs>
        <w:spacing w:line="360" w:lineRule="auto"/>
        <w:rPr>
          <w:rFonts w:ascii="Lato" w:hAnsi="Lato" w:cstheme="minorHAnsi"/>
          <w:strike/>
          <w:color w:val="EE0000"/>
          <w:sz w:val="22"/>
          <w:szCs w:val="22"/>
        </w:rPr>
      </w:pPr>
      <w:r w:rsidRPr="00C55726">
        <w:rPr>
          <w:rFonts w:ascii="Lato" w:hAnsi="Lato" w:cstheme="minorHAnsi"/>
          <w:sz w:val="22"/>
          <w:szCs w:val="22"/>
        </w:rPr>
        <w:t>Oceniając stan sanitarny w praktykach zawodowych brano pod uwagę poza warunkami sanitarno-technicznymi pomieszczeń, również stopień wdrożenia i realizowania procedur przeciwepidemicznych.</w:t>
      </w:r>
    </w:p>
    <w:p w14:paraId="071F9615" w14:textId="22791F1B" w:rsidR="00746397" w:rsidRDefault="00986DE0" w:rsidP="00EA310A">
      <w:pPr>
        <w:spacing w:line="360" w:lineRule="auto"/>
        <w:rPr>
          <w:rFonts w:ascii="Lato" w:hAnsi="Lato" w:cs="Calibri"/>
          <w:color w:val="000000"/>
          <w:sz w:val="22"/>
          <w:szCs w:val="22"/>
        </w:rPr>
      </w:pPr>
      <w:r w:rsidRPr="00C55726">
        <w:rPr>
          <w:rFonts w:ascii="Lato" w:hAnsi="Lato" w:cstheme="minorHAnsi"/>
          <w:sz w:val="22"/>
          <w:szCs w:val="22"/>
        </w:rPr>
        <w:t>W</w:t>
      </w:r>
      <w:r w:rsidRPr="00C55726">
        <w:rPr>
          <w:rFonts w:ascii="Lato" w:hAnsi="Lato" w:cstheme="minorHAnsi"/>
          <w:color w:val="7030A0"/>
          <w:sz w:val="22"/>
          <w:szCs w:val="22"/>
        </w:rPr>
        <w:t xml:space="preserve"> </w:t>
      </w:r>
      <w:r w:rsidRPr="00C55726">
        <w:rPr>
          <w:rFonts w:ascii="Lato" w:hAnsi="Lato" w:cs="Calibri"/>
          <w:color w:val="000000"/>
          <w:sz w:val="22"/>
          <w:szCs w:val="22"/>
        </w:rPr>
        <w:t xml:space="preserve">czasie czynności kontrolnych stwierdzano, że narzędzia medyczne wielokrotnego użytku poddawane były w większości dezynfekcji, myciu, pakietowaniu i sterylizacji we własnym zakresie lub proces sterylizacji odbywał się w innych placówkach na podstawie zawartych </w:t>
      </w:r>
      <w:r w:rsidRPr="00C55726">
        <w:rPr>
          <w:rFonts w:ascii="Lato" w:hAnsi="Lato" w:cs="Calibri"/>
          <w:color w:val="000000"/>
          <w:sz w:val="22"/>
          <w:szCs w:val="22"/>
        </w:rPr>
        <w:lastRenderedPageBreak/>
        <w:t>umów. W części praktyk stosowany był wyłącznie sprzęt</w:t>
      </w:r>
      <w:r>
        <w:rPr>
          <w:rFonts w:ascii="Lato" w:hAnsi="Lato" w:cs="Calibri"/>
          <w:color w:val="000000"/>
        </w:rPr>
        <w:t xml:space="preserve"> </w:t>
      </w:r>
      <w:r w:rsidRPr="00C55726">
        <w:rPr>
          <w:rFonts w:ascii="Lato" w:hAnsi="Lato" w:cs="Calibri"/>
          <w:color w:val="000000"/>
          <w:sz w:val="22"/>
          <w:szCs w:val="22"/>
        </w:rPr>
        <w:t>jednorazowego użytku. Nadal doskonalenia wymaga obszar związany z postępowaniem z odpadami w odniesieniu do</w:t>
      </w:r>
      <w:r w:rsidR="00DB3C4E">
        <w:rPr>
          <w:rFonts w:ascii="Lato" w:hAnsi="Lato" w:cs="Calibri"/>
          <w:color w:val="000000"/>
          <w:sz w:val="22"/>
          <w:szCs w:val="22"/>
        </w:rPr>
        <w:t> </w:t>
      </w:r>
      <w:r w:rsidRPr="00C55726">
        <w:rPr>
          <w:rFonts w:ascii="Lato" w:hAnsi="Lato" w:cs="Calibri"/>
          <w:color w:val="000000"/>
          <w:sz w:val="22"/>
          <w:szCs w:val="22"/>
        </w:rPr>
        <w:t>odpadów medycznych ostrych oraz aktualizacja procedur przeciwepidemicznych, zwłaszcza w zakresie monitorowania procesu sterylizacji, w tym częstotliwości kontroli biologicznej procesu w oparciu o aktualne wytyczne</w:t>
      </w:r>
      <w:r w:rsidR="00746397">
        <w:rPr>
          <w:rFonts w:ascii="Lato" w:hAnsi="Lato" w:cs="Calibri"/>
          <w:color w:val="000000"/>
          <w:sz w:val="22"/>
          <w:szCs w:val="22"/>
        </w:rPr>
        <w:t>.</w:t>
      </w:r>
    </w:p>
    <w:p w14:paraId="3174BD9A" w14:textId="77777777" w:rsidR="00885F34" w:rsidRPr="00C55726" w:rsidRDefault="00885F34" w:rsidP="00EA310A">
      <w:pPr>
        <w:spacing w:line="360" w:lineRule="auto"/>
        <w:rPr>
          <w:rFonts w:ascii="Lato" w:hAnsi="Lato" w:cstheme="minorHAnsi"/>
          <w:color w:val="7030A0"/>
          <w:sz w:val="22"/>
          <w:szCs w:val="22"/>
        </w:rPr>
      </w:pPr>
    </w:p>
    <w:p w14:paraId="700BCB44" w14:textId="4E97B2A1" w:rsidR="00986DE0" w:rsidRDefault="00986DE0">
      <w:pPr>
        <w:pStyle w:val="Nagwek2"/>
        <w:numPr>
          <w:ilvl w:val="0"/>
          <w:numId w:val="17"/>
        </w:numPr>
        <w:spacing w:before="0" w:after="0" w:line="360" w:lineRule="auto"/>
        <w:ind w:left="568" w:right="284" w:hanging="284"/>
        <w:rPr>
          <w:b/>
          <w:bCs/>
        </w:rPr>
      </w:pPr>
      <w:bookmarkStart w:id="115" w:name="_Toc225859063"/>
      <w:r w:rsidRPr="009476ED">
        <w:rPr>
          <w:b/>
          <w:bCs/>
        </w:rPr>
        <w:t>Postępowanie z odpadami medycznymi</w:t>
      </w:r>
      <w:bookmarkEnd w:id="115"/>
    </w:p>
    <w:p w14:paraId="64B26255" w14:textId="77777777" w:rsidR="00483713" w:rsidRPr="00483713" w:rsidRDefault="00483713" w:rsidP="00483713"/>
    <w:p w14:paraId="1E3A1F10" w14:textId="78826BB2" w:rsidR="00C66301" w:rsidRPr="00C66301" w:rsidRDefault="00C66301" w:rsidP="00DB3C4E">
      <w:pPr>
        <w:spacing w:line="360" w:lineRule="auto"/>
        <w:rPr>
          <w:rFonts w:ascii="Lato" w:hAnsi="Lato" w:cstheme="minorHAnsi"/>
          <w:sz w:val="22"/>
          <w:szCs w:val="22"/>
        </w:rPr>
      </w:pPr>
      <w:r w:rsidRPr="00C66301">
        <w:rPr>
          <w:rFonts w:ascii="Lato" w:hAnsi="Lato" w:cstheme="minorHAnsi"/>
          <w:sz w:val="22"/>
          <w:szCs w:val="22"/>
        </w:rPr>
        <w:t>Nadzór nad postępowaniem z odpadami medycznymi stanowi ważne zagadnienie z punktu widzenia epidemiologicznego, będące istotnym elementem w profilaktyce zakażeń. W zakresie prowadzenia gospodarki odpadami medycznymi skontrolowano 829 podmiotów leczniczych. Nieprawidłowości stwierdzono w 25 podmiotach (3 % skontrolowanych obiektów) i dotyczyły one braku lub niepełnego oznakowania pojemników i</w:t>
      </w:r>
      <w:r w:rsidR="00050E2B">
        <w:rPr>
          <w:rFonts w:ascii="Lato" w:hAnsi="Lato" w:cstheme="minorHAnsi"/>
          <w:sz w:val="22"/>
          <w:szCs w:val="22"/>
        </w:rPr>
        <w:t> </w:t>
      </w:r>
      <w:r w:rsidRPr="00C66301">
        <w:rPr>
          <w:rFonts w:ascii="Lato" w:hAnsi="Lato" w:cstheme="minorHAnsi"/>
          <w:sz w:val="22"/>
          <w:szCs w:val="22"/>
        </w:rPr>
        <w:t xml:space="preserve">worków na odpady medyczne, nieprawidłowej segregacji, niewłaściwego czasu gromadzenia odpadów, przetrzymywania odpadów medycznych w niewłaściwej temperaturze, braku dokumentów potwierdzających przekazanie odpadów medycznych do utylizacji. W związku ze stwierdzonymi nieprawidłowościami podjęto działania zobowiązujące podmioty do ich usunięcia. Podczas kontroli podmiotów leczniczych pracownicy Państwowej Inspekcji Sanitarnej prowadzili szereg działań edukacyjnych nt. prawidłowego postępowania z odpadami medycznymi. </w:t>
      </w:r>
    </w:p>
    <w:p w14:paraId="36C66D39" w14:textId="77777777" w:rsidR="00C66301" w:rsidRPr="00C66301" w:rsidRDefault="00C66301" w:rsidP="00DB3C4E">
      <w:pPr>
        <w:spacing w:line="360" w:lineRule="auto"/>
        <w:rPr>
          <w:rFonts w:ascii="Lato" w:hAnsi="Lato" w:cstheme="minorHAnsi"/>
          <w:sz w:val="22"/>
          <w:szCs w:val="22"/>
        </w:rPr>
      </w:pPr>
      <w:r w:rsidRPr="00C66301">
        <w:rPr>
          <w:rFonts w:ascii="Lato" w:hAnsi="Lato" w:cstheme="minorHAnsi"/>
          <w:sz w:val="22"/>
          <w:szCs w:val="22"/>
        </w:rPr>
        <w:t>W ramach kontroli dot. gospodarki odpadami medycznymi skontrolowano wszystkie szpitale.  Podmioty te prowadziły ewidencję ilościowo-jakościową wytwarzanych odpadów medycznych, posiadały zawarte umowy z firmami specjalistycznymi na ich odbiór i transport oraz dysponowały dokumentami potwierdzającymi ich unieszkodliwienie. Gospodarkę odpadami medycznymi regulowały opracowane i wdrożone procedury postępowania w tym zakresie.</w:t>
      </w:r>
    </w:p>
    <w:p w14:paraId="7558F753" w14:textId="77777777" w:rsidR="00C66301" w:rsidRPr="00C66301" w:rsidRDefault="00C66301" w:rsidP="00DB3C4E">
      <w:pPr>
        <w:spacing w:line="360" w:lineRule="auto"/>
        <w:rPr>
          <w:rFonts w:ascii="Lato" w:hAnsi="Lato" w:cstheme="minorHAnsi"/>
          <w:sz w:val="22"/>
          <w:szCs w:val="22"/>
        </w:rPr>
      </w:pPr>
      <w:r w:rsidRPr="00C66301">
        <w:rPr>
          <w:rFonts w:ascii="Lato" w:hAnsi="Lato" w:cstheme="minorHAnsi"/>
          <w:sz w:val="22"/>
          <w:szCs w:val="22"/>
        </w:rPr>
        <w:t>Na terenie 2 szpitali znajdowały się specjalistyczne spalarnie przystosowane do termicznego unieszkodliwiania odpadów medycznych (SP SK nr 1 PUM, ul. Unii Lubelskiej 1 w Szczecinie oraz SP ZZOZ Specjalistyczny Szpital „</w:t>
      </w:r>
      <w:proofErr w:type="spellStart"/>
      <w:r w:rsidRPr="00C66301">
        <w:rPr>
          <w:rFonts w:ascii="Lato" w:hAnsi="Lato" w:cstheme="minorHAnsi"/>
          <w:sz w:val="22"/>
          <w:szCs w:val="22"/>
        </w:rPr>
        <w:t>Medicam</w:t>
      </w:r>
      <w:proofErr w:type="spellEnd"/>
      <w:r w:rsidRPr="00C66301">
        <w:rPr>
          <w:rFonts w:ascii="Lato" w:hAnsi="Lato" w:cstheme="minorHAnsi"/>
          <w:sz w:val="22"/>
          <w:szCs w:val="22"/>
        </w:rPr>
        <w:t>”  przy ul. Niechorskiej 27 w Gryficach).</w:t>
      </w:r>
    </w:p>
    <w:p w14:paraId="71152043" w14:textId="77777777" w:rsidR="00C66301" w:rsidRPr="00C66301" w:rsidRDefault="00C66301" w:rsidP="00DB3C4E">
      <w:pPr>
        <w:spacing w:line="360" w:lineRule="auto"/>
        <w:rPr>
          <w:rFonts w:ascii="Lato" w:hAnsi="Lato" w:cstheme="minorHAnsi"/>
          <w:b/>
          <w:bCs/>
          <w:sz w:val="22"/>
          <w:szCs w:val="22"/>
        </w:rPr>
      </w:pPr>
      <w:r w:rsidRPr="00C66301">
        <w:rPr>
          <w:rFonts w:ascii="Lato" w:hAnsi="Lato" w:cstheme="minorHAnsi"/>
          <w:sz w:val="22"/>
          <w:szCs w:val="22"/>
        </w:rPr>
        <w:t xml:space="preserve">Pozostałe szpitale w zakresie unieszkodliwiania zakaźnych odpadów medycznych współpracowały ze specjalistycznymi firmami posiadającymi odpowiednie pozwolenia w tym zakresie. </w:t>
      </w:r>
    </w:p>
    <w:p w14:paraId="5283A6F2" w14:textId="3E6A8F3D" w:rsidR="00C66301" w:rsidRPr="00C66301" w:rsidRDefault="00C66301" w:rsidP="00DB3C4E">
      <w:pPr>
        <w:spacing w:line="360" w:lineRule="auto"/>
        <w:rPr>
          <w:rFonts w:ascii="Lato" w:hAnsi="Lato" w:cstheme="minorHAnsi"/>
          <w:sz w:val="22"/>
          <w:szCs w:val="22"/>
        </w:rPr>
      </w:pPr>
      <w:r w:rsidRPr="00C66301">
        <w:rPr>
          <w:rFonts w:ascii="Lato" w:hAnsi="Lato" w:cstheme="minorHAnsi"/>
          <w:sz w:val="22"/>
          <w:szCs w:val="22"/>
        </w:rPr>
        <w:t xml:space="preserve">Odpady medyczne o właściwościach niebezpiecznych do czasu odbioru przez firmy specjalistyczne magazynowane były w specjalnie przeznaczonych i wyposażonych do tego celu miejscach. </w:t>
      </w:r>
    </w:p>
    <w:p w14:paraId="1FA86E74" w14:textId="08988E29" w:rsidR="00C66301" w:rsidRPr="00C66301" w:rsidRDefault="00C66301" w:rsidP="00DB3C4E">
      <w:pPr>
        <w:spacing w:line="360" w:lineRule="auto"/>
        <w:rPr>
          <w:rFonts w:ascii="Lato" w:hAnsi="Lato" w:cstheme="minorHAnsi"/>
          <w:sz w:val="22"/>
          <w:szCs w:val="22"/>
        </w:rPr>
      </w:pPr>
      <w:r w:rsidRPr="00C66301">
        <w:rPr>
          <w:rFonts w:ascii="Lato" w:hAnsi="Lato" w:cstheme="minorHAnsi"/>
          <w:sz w:val="22"/>
          <w:szCs w:val="22"/>
        </w:rPr>
        <w:lastRenderedPageBreak/>
        <w:t>Transport odpadów medycznych na terenie szpitala odbywał się wydzielonymi i</w:t>
      </w:r>
      <w:r w:rsidR="00050E2B">
        <w:rPr>
          <w:rFonts w:ascii="Lato" w:hAnsi="Lato" w:cstheme="minorHAnsi"/>
          <w:sz w:val="22"/>
          <w:szCs w:val="22"/>
        </w:rPr>
        <w:t> </w:t>
      </w:r>
      <w:r w:rsidRPr="00C66301">
        <w:rPr>
          <w:rFonts w:ascii="Lato" w:hAnsi="Lato" w:cstheme="minorHAnsi"/>
          <w:sz w:val="22"/>
          <w:szCs w:val="22"/>
        </w:rPr>
        <w:t>przeznaczonymi do tego celu środkami transportu, dla których zapewniony był proces dekontaminacji w wyznaczony</w:t>
      </w:r>
      <w:r w:rsidR="00746397">
        <w:rPr>
          <w:rFonts w:ascii="Lato" w:hAnsi="Lato" w:cstheme="minorHAnsi"/>
          <w:sz w:val="22"/>
          <w:szCs w:val="22"/>
        </w:rPr>
        <w:t>ch</w:t>
      </w:r>
      <w:r w:rsidRPr="00C66301">
        <w:rPr>
          <w:rFonts w:ascii="Lato" w:hAnsi="Lato" w:cstheme="minorHAnsi"/>
          <w:sz w:val="22"/>
          <w:szCs w:val="22"/>
        </w:rPr>
        <w:t xml:space="preserve"> do tego miejsc</w:t>
      </w:r>
      <w:r w:rsidR="00746397">
        <w:rPr>
          <w:rFonts w:ascii="Lato" w:hAnsi="Lato" w:cstheme="minorHAnsi"/>
          <w:sz w:val="22"/>
          <w:szCs w:val="22"/>
        </w:rPr>
        <w:t>ach</w:t>
      </w:r>
      <w:r w:rsidRPr="00C66301">
        <w:rPr>
          <w:rFonts w:ascii="Lato" w:hAnsi="Lato" w:cstheme="minorHAnsi"/>
          <w:sz w:val="22"/>
          <w:szCs w:val="22"/>
        </w:rPr>
        <w:t xml:space="preserve">. </w:t>
      </w:r>
    </w:p>
    <w:p w14:paraId="1BA21822" w14:textId="0D189E73" w:rsidR="00C66301" w:rsidRPr="00C66301" w:rsidRDefault="00C66301" w:rsidP="00DB3C4E">
      <w:pPr>
        <w:spacing w:line="360" w:lineRule="auto"/>
        <w:rPr>
          <w:rFonts w:cstheme="minorHAnsi"/>
          <w:sz w:val="22"/>
          <w:szCs w:val="22"/>
        </w:rPr>
      </w:pPr>
      <w:r w:rsidRPr="00C66301">
        <w:rPr>
          <w:rFonts w:ascii="Lato" w:hAnsi="Lato" w:cstheme="minorHAnsi"/>
          <w:sz w:val="22"/>
          <w:szCs w:val="22"/>
        </w:rPr>
        <w:t>Nieprawidłowości w zakresie gospodarki odpadami medycznymi stwierdzono tylko w 2 szpitalach i dot. one zbyt długiego czasu przechowywania odpadów oraz niewłaściwego sposobu ich gromadzenia. Jednostki zobowiązane zostały do usunięcia nieprawidłowości, a</w:t>
      </w:r>
      <w:r w:rsidR="00DB3C4E">
        <w:rPr>
          <w:rFonts w:ascii="Lato" w:hAnsi="Lato" w:cstheme="minorHAnsi"/>
          <w:sz w:val="22"/>
          <w:szCs w:val="22"/>
        </w:rPr>
        <w:t> </w:t>
      </w:r>
      <w:r w:rsidRPr="00C66301">
        <w:rPr>
          <w:rFonts w:ascii="Lato" w:hAnsi="Lato" w:cstheme="minorHAnsi"/>
          <w:sz w:val="22"/>
          <w:szCs w:val="22"/>
        </w:rPr>
        <w:t xml:space="preserve">wydane zalecenie i obowiązki w większość zostały wykonane. </w:t>
      </w:r>
    </w:p>
    <w:p w14:paraId="24BE3F5D" w14:textId="77777777" w:rsidR="00483713" w:rsidRDefault="00483713" w:rsidP="00DB3C4E">
      <w:pPr>
        <w:spacing w:after="160" w:line="278" w:lineRule="auto"/>
        <w:rPr>
          <w:rFonts w:ascii="Lato" w:eastAsiaTheme="majorEastAsia" w:hAnsi="Lato" w:cstheme="majorBidi"/>
          <w:color w:val="153D63" w:themeColor="text2" w:themeTint="E6"/>
          <w:sz w:val="32"/>
          <w:szCs w:val="40"/>
        </w:rPr>
      </w:pPr>
      <w:r>
        <w:rPr>
          <w:color w:val="153D63" w:themeColor="text2" w:themeTint="E6"/>
        </w:rPr>
        <w:br w:type="page"/>
      </w:r>
    </w:p>
    <w:p w14:paraId="0CEB87E8" w14:textId="2A734F84" w:rsidR="00D41677" w:rsidRPr="00AF2B78" w:rsidRDefault="00D41677">
      <w:pPr>
        <w:pStyle w:val="Nagwek1"/>
        <w:numPr>
          <w:ilvl w:val="0"/>
          <w:numId w:val="16"/>
        </w:numPr>
        <w:rPr>
          <w:color w:val="153D63" w:themeColor="text2" w:themeTint="E6"/>
        </w:rPr>
      </w:pPr>
      <w:bookmarkStart w:id="116" w:name="_Toc225859064"/>
      <w:r w:rsidRPr="00AF2B78">
        <w:rPr>
          <w:color w:val="153D63" w:themeColor="text2" w:themeTint="E6"/>
        </w:rPr>
        <w:lastRenderedPageBreak/>
        <w:t>Higiena żywności, żywienia i przedmiotów użytku</w:t>
      </w:r>
      <w:bookmarkEnd w:id="116"/>
    </w:p>
    <w:p w14:paraId="45CFD37D" w14:textId="77777777" w:rsidR="00D41677" w:rsidRPr="00885F34" w:rsidRDefault="00D41677" w:rsidP="00D41677">
      <w:pPr>
        <w:spacing w:line="276" w:lineRule="auto"/>
        <w:rPr>
          <w:rFonts w:ascii="Lato" w:hAnsi="Lato"/>
          <w:b/>
          <w:bCs/>
          <w:sz w:val="22"/>
          <w:szCs w:val="22"/>
        </w:rPr>
      </w:pPr>
    </w:p>
    <w:p w14:paraId="50F1313C" w14:textId="34551C0E" w:rsidR="00D41677" w:rsidRPr="00D73DF2" w:rsidRDefault="00D41677">
      <w:pPr>
        <w:pStyle w:val="Nagwek2"/>
        <w:numPr>
          <w:ilvl w:val="0"/>
          <w:numId w:val="24"/>
        </w:numPr>
        <w:rPr>
          <w:b/>
          <w:bCs/>
        </w:rPr>
      </w:pPr>
      <w:bookmarkStart w:id="117" w:name="_Toc225859065"/>
      <w:r w:rsidRPr="00D73DF2">
        <w:rPr>
          <w:b/>
          <w:bCs/>
        </w:rPr>
        <w:t>Zakłady produkcji i obrotu żywnością</w:t>
      </w:r>
      <w:bookmarkEnd w:id="117"/>
      <w:r w:rsidRPr="00D73DF2">
        <w:rPr>
          <w:b/>
          <w:bCs/>
        </w:rPr>
        <w:t xml:space="preserve"> </w:t>
      </w:r>
    </w:p>
    <w:p w14:paraId="4FFAA7EF" w14:textId="77777777" w:rsidR="00D41677" w:rsidRPr="00885F34" w:rsidRDefault="00D41677" w:rsidP="00885F34">
      <w:pPr>
        <w:spacing w:line="276" w:lineRule="auto"/>
        <w:rPr>
          <w:rFonts w:ascii="Lato" w:hAnsi="Lato"/>
          <w:b/>
          <w:bCs/>
          <w:sz w:val="22"/>
          <w:szCs w:val="22"/>
        </w:rPr>
      </w:pPr>
    </w:p>
    <w:p w14:paraId="794787EB" w14:textId="7F532314" w:rsidR="007C5390" w:rsidRPr="00885F34" w:rsidRDefault="00D41677" w:rsidP="00885F34">
      <w:pPr>
        <w:spacing w:line="360" w:lineRule="auto"/>
        <w:rPr>
          <w:rFonts w:ascii="Lato" w:eastAsia="Aptos" w:hAnsi="Lato" w:cs="Calibri"/>
          <w:bCs/>
          <w:sz w:val="22"/>
          <w:szCs w:val="22"/>
        </w:rPr>
      </w:pPr>
      <w:r w:rsidRPr="00A022F6">
        <w:rPr>
          <w:rFonts w:ascii="Lato" w:eastAsia="Aptos" w:hAnsi="Lato" w:cs="Calibri"/>
          <w:sz w:val="22"/>
          <w:szCs w:val="22"/>
        </w:rPr>
        <w:t xml:space="preserve">W ewidencji Państwowej Inspekcji Sanitarnej </w:t>
      </w:r>
      <w:r w:rsidRPr="00A022F6">
        <w:rPr>
          <w:rFonts w:ascii="Lato" w:hAnsi="Lato" w:cs="Calibri"/>
          <w:sz w:val="22"/>
          <w:szCs w:val="22"/>
        </w:rPr>
        <w:t xml:space="preserve">w roku 2025 </w:t>
      </w:r>
      <w:r w:rsidRPr="00A022F6">
        <w:rPr>
          <w:rFonts w:ascii="Lato" w:eastAsia="Aptos" w:hAnsi="Lato" w:cs="Calibri"/>
          <w:sz w:val="22"/>
          <w:szCs w:val="22"/>
        </w:rPr>
        <w:t xml:space="preserve">na terenie województwa zachodniopomorskiego </w:t>
      </w:r>
      <w:r w:rsidRPr="00A022F6">
        <w:rPr>
          <w:rFonts w:ascii="Lato" w:hAnsi="Lato" w:cs="Calibri"/>
          <w:sz w:val="22"/>
          <w:szCs w:val="22"/>
        </w:rPr>
        <w:t>znajdowały się 31262 zakłady żywności i żywienia</w:t>
      </w:r>
      <w:r w:rsidRPr="00A022F6">
        <w:rPr>
          <w:rFonts w:ascii="Lato" w:hAnsi="Lato"/>
          <w:sz w:val="22"/>
          <w:szCs w:val="22"/>
        </w:rPr>
        <w:t>, tj. o 835 więcej niż w roku 2024. Liczba zakładów produkcji żywności zwiększyła się o 171, zakładów obrotu żywnością o 263, liczba zakładów żywienia zbiorowego wzrosła o 194. (</w:t>
      </w:r>
      <w:r w:rsidR="00216B3F">
        <w:rPr>
          <w:rFonts w:ascii="Lato" w:hAnsi="Lato"/>
          <w:sz w:val="22"/>
          <w:szCs w:val="22"/>
        </w:rPr>
        <w:t>wyk</w:t>
      </w:r>
      <w:r w:rsidR="006062A3">
        <w:rPr>
          <w:rFonts w:ascii="Lato" w:hAnsi="Lato"/>
          <w:sz w:val="22"/>
          <w:szCs w:val="22"/>
        </w:rPr>
        <w:t>res</w:t>
      </w:r>
      <w:r w:rsidR="00216B3F">
        <w:rPr>
          <w:rFonts w:ascii="Lato" w:hAnsi="Lato"/>
          <w:sz w:val="22"/>
          <w:szCs w:val="22"/>
        </w:rPr>
        <w:t xml:space="preserve"> 6</w:t>
      </w:r>
      <w:r w:rsidRPr="00A022F6">
        <w:rPr>
          <w:rFonts w:ascii="Lato" w:hAnsi="Lato"/>
          <w:sz w:val="22"/>
          <w:szCs w:val="22"/>
        </w:rPr>
        <w:t>)</w:t>
      </w:r>
      <w:r w:rsidR="006062A3">
        <w:rPr>
          <w:rFonts w:ascii="Lato" w:hAnsi="Lato"/>
          <w:sz w:val="22"/>
          <w:szCs w:val="22"/>
        </w:rPr>
        <w:t>.</w:t>
      </w:r>
      <w:r w:rsidRPr="00A022F6">
        <w:rPr>
          <w:rFonts w:ascii="Lato" w:eastAsia="Aptos" w:hAnsi="Lato" w:cs="Calibri"/>
          <w:bCs/>
          <w:sz w:val="22"/>
          <w:szCs w:val="22"/>
        </w:rPr>
        <w:t xml:space="preserve"> W 2025 roku zatwierdzonych zostało 1526 obiektów.</w:t>
      </w:r>
    </w:p>
    <w:p w14:paraId="13FFB8AD" w14:textId="34C3E7B0" w:rsidR="007C5390" w:rsidRDefault="007C5390" w:rsidP="00885F34">
      <w:pPr>
        <w:pStyle w:val="Legenda"/>
        <w:rPr>
          <w:rFonts w:ascii="Lato" w:hAnsi="Lato"/>
          <w:b w:val="0"/>
          <w:bCs w:val="0"/>
          <w:sz w:val="18"/>
          <w:szCs w:val="18"/>
        </w:rPr>
      </w:pPr>
      <w:bookmarkStart w:id="118" w:name="_Toc225859348"/>
      <w:bookmarkStart w:id="119" w:name="_Toc225922351"/>
      <w:r w:rsidRPr="007C5390">
        <w:rPr>
          <w:rFonts w:ascii="Lato" w:hAnsi="Lato"/>
          <w:b w:val="0"/>
          <w:bCs w:val="0"/>
          <w:sz w:val="18"/>
          <w:szCs w:val="18"/>
        </w:rPr>
        <w:t xml:space="preserve">Wykres  </w:t>
      </w:r>
      <w:r w:rsidRPr="007C5390">
        <w:rPr>
          <w:rFonts w:ascii="Lato" w:hAnsi="Lato"/>
          <w:b w:val="0"/>
          <w:bCs w:val="0"/>
          <w:sz w:val="18"/>
          <w:szCs w:val="18"/>
        </w:rPr>
        <w:fldChar w:fldCharType="begin"/>
      </w:r>
      <w:r w:rsidRPr="007C5390">
        <w:rPr>
          <w:rFonts w:ascii="Lato" w:hAnsi="Lato"/>
          <w:b w:val="0"/>
          <w:bCs w:val="0"/>
          <w:sz w:val="18"/>
          <w:szCs w:val="18"/>
        </w:rPr>
        <w:instrText xml:space="preserve"> SEQ Wykres_ \* ARABIC </w:instrText>
      </w:r>
      <w:r w:rsidRPr="007C5390">
        <w:rPr>
          <w:rFonts w:ascii="Lato" w:hAnsi="Lato"/>
          <w:b w:val="0"/>
          <w:bCs w:val="0"/>
          <w:sz w:val="18"/>
          <w:szCs w:val="18"/>
        </w:rPr>
        <w:fldChar w:fldCharType="separate"/>
      </w:r>
      <w:r w:rsidR="002A3179">
        <w:rPr>
          <w:rFonts w:ascii="Lato" w:hAnsi="Lato"/>
          <w:b w:val="0"/>
          <w:bCs w:val="0"/>
          <w:noProof/>
          <w:sz w:val="18"/>
          <w:szCs w:val="18"/>
        </w:rPr>
        <w:t>6</w:t>
      </w:r>
      <w:r w:rsidRPr="007C5390">
        <w:rPr>
          <w:rFonts w:ascii="Lato" w:hAnsi="Lato"/>
          <w:b w:val="0"/>
          <w:bCs w:val="0"/>
          <w:sz w:val="18"/>
          <w:szCs w:val="18"/>
        </w:rPr>
        <w:fldChar w:fldCharType="end"/>
      </w:r>
      <w:r w:rsidRPr="007C5390">
        <w:rPr>
          <w:rFonts w:ascii="Lato" w:hAnsi="Lato"/>
          <w:b w:val="0"/>
          <w:bCs w:val="0"/>
          <w:sz w:val="18"/>
          <w:szCs w:val="18"/>
        </w:rPr>
        <w:t>. Zakłady żywności i żywienia ujęte w rejestrach Państwowej Inspekcji Sanitarnej w województwie zachodniopomorskim.</w:t>
      </w:r>
      <w:bookmarkEnd w:id="118"/>
      <w:bookmarkEnd w:id="119"/>
    </w:p>
    <w:p w14:paraId="18CA6288" w14:textId="77777777" w:rsidR="00885F34" w:rsidRPr="00885F34" w:rsidRDefault="00885F34" w:rsidP="00885F34"/>
    <w:p w14:paraId="1E2893B5" w14:textId="77777777" w:rsidR="00D41677" w:rsidRPr="001C7834" w:rsidRDefault="00D41677" w:rsidP="00D41677">
      <w:pPr>
        <w:spacing w:line="276" w:lineRule="auto"/>
        <w:rPr>
          <w:rFonts w:ascii="Calibri" w:hAnsi="Calibri" w:cs="Calibri"/>
          <w:color w:val="000000" w:themeColor="text1"/>
        </w:rPr>
      </w:pPr>
      <w:r w:rsidRPr="001C7834">
        <w:rPr>
          <w:rFonts w:ascii="Calibri" w:hAnsi="Calibri" w:cs="Calibri"/>
          <w:noProof/>
          <w:color w:val="000000" w:themeColor="text1"/>
        </w:rPr>
        <w:drawing>
          <wp:inline distT="0" distB="0" distL="0" distR="0" wp14:anchorId="5A2BAC3B" wp14:editId="19513765">
            <wp:extent cx="5104738" cy="2462887"/>
            <wp:effectExtent l="0" t="0" r="1270" b="0"/>
            <wp:docPr id="626744695" name="Obraz 2" descr="Wykres  6. Zakłady żywności i żywienia ujęte w rejestrach Państwowej Inspekcji Sanitarnej w województwie zachodniopomor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44695" name="Obraz 2" descr="Wykres  6. Zakłady żywności i żywienia ujęte w rejestrach Państwowej Inspekcji Sanitarnej w województwie zachodniopomorski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4023" cy="2467367"/>
                    </a:xfrm>
                    <a:prstGeom prst="rect">
                      <a:avLst/>
                    </a:prstGeom>
                    <a:noFill/>
                    <a:ln>
                      <a:noFill/>
                    </a:ln>
                  </pic:spPr>
                </pic:pic>
              </a:graphicData>
            </a:graphic>
          </wp:inline>
        </w:drawing>
      </w:r>
    </w:p>
    <w:p w14:paraId="34AB93CB" w14:textId="77777777" w:rsidR="00D41677" w:rsidRPr="001C7834" w:rsidRDefault="00D41677" w:rsidP="00D41677">
      <w:pPr>
        <w:pStyle w:val="Styl6"/>
        <w:keepNext w:val="0"/>
        <w:numPr>
          <w:ilvl w:val="0"/>
          <w:numId w:val="0"/>
        </w:numPr>
        <w:spacing w:line="276" w:lineRule="auto"/>
        <w:jc w:val="left"/>
        <w:rPr>
          <w:rFonts w:ascii="Lato" w:hAnsi="Lato" w:cs="Calibri"/>
          <w:b w:val="0"/>
          <w:bCs w:val="0"/>
          <w:color w:val="0D0D0D" w:themeColor="text1" w:themeTint="F2"/>
          <w:sz w:val="22"/>
          <w:szCs w:val="22"/>
        </w:rPr>
      </w:pPr>
    </w:p>
    <w:p w14:paraId="355192F6" w14:textId="3F085DAA" w:rsidR="00D41677" w:rsidRPr="00B94E96" w:rsidRDefault="00D41677" w:rsidP="00A022F6">
      <w:pPr>
        <w:spacing w:line="360" w:lineRule="auto"/>
        <w:rPr>
          <w:rFonts w:ascii="Lato" w:hAnsi="Lato"/>
          <w:sz w:val="22"/>
          <w:szCs w:val="22"/>
        </w:rPr>
      </w:pPr>
      <w:r w:rsidRPr="00B94E96">
        <w:rPr>
          <w:rFonts w:ascii="Lato" w:eastAsia="Aptos" w:hAnsi="Lato" w:cs="Calibri"/>
          <w:bCs/>
          <w:sz w:val="22"/>
          <w:szCs w:val="22"/>
        </w:rPr>
        <w:t>W 2025 skontrolowano 8148 zakładów</w:t>
      </w:r>
      <w:r w:rsidR="00A51377">
        <w:rPr>
          <w:rFonts w:ascii="Lato" w:eastAsia="Aptos" w:hAnsi="Lato" w:cs="Calibri"/>
          <w:bCs/>
          <w:sz w:val="22"/>
          <w:szCs w:val="22"/>
        </w:rPr>
        <w:t xml:space="preserve"> (</w:t>
      </w:r>
      <w:r w:rsidR="00A51377" w:rsidRPr="00B94E96">
        <w:rPr>
          <w:rFonts w:ascii="Lato" w:hAnsi="Lato"/>
          <w:sz w:val="22"/>
          <w:szCs w:val="22"/>
        </w:rPr>
        <w:t>26 %</w:t>
      </w:r>
      <w:r w:rsidR="00A51377">
        <w:rPr>
          <w:rFonts w:ascii="Lato" w:hAnsi="Lato"/>
          <w:sz w:val="22"/>
          <w:szCs w:val="22"/>
        </w:rPr>
        <w:t>)</w:t>
      </w:r>
      <w:r w:rsidRPr="00B94E96">
        <w:rPr>
          <w:rFonts w:ascii="Lato" w:eastAsia="Aptos" w:hAnsi="Lato" w:cs="Calibri"/>
          <w:bCs/>
          <w:sz w:val="22"/>
          <w:szCs w:val="22"/>
        </w:rPr>
        <w:t xml:space="preserve">, w których przeprowadzono </w:t>
      </w:r>
      <w:r w:rsidRPr="00B94E96">
        <w:rPr>
          <w:rFonts w:ascii="Lato" w:eastAsia="Calibri" w:hAnsi="Lato" w:cs="Calibri"/>
          <w:sz w:val="22"/>
          <w:szCs w:val="22"/>
        </w:rPr>
        <w:t>13232 kontrole, w</w:t>
      </w:r>
      <w:r w:rsidR="00DB3C4E">
        <w:rPr>
          <w:rFonts w:ascii="Lato" w:eastAsia="Calibri" w:hAnsi="Lato" w:cs="Calibri"/>
          <w:sz w:val="22"/>
          <w:szCs w:val="22"/>
        </w:rPr>
        <w:t> </w:t>
      </w:r>
      <w:r w:rsidRPr="00B94E96">
        <w:rPr>
          <w:rFonts w:ascii="Lato" w:eastAsia="Calibri" w:hAnsi="Lato" w:cs="Calibri"/>
          <w:sz w:val="22"/>
          <w:szCs w:val="22"/>
        </w:rPr>
        <w:t>tym 2067 kontroli interwencyjnych. Kontrole realizowano w ramach planu kontroli zakładów oraz w</w:t>
      </w:r>
      <w:r w:rsidR="00050E2B">
        <w:rPr>
          <w:rFonts w:ascii="Lato" w:eastAsia="Calibri" w:hAnsi="Lato" w:cs="Calibri"/>
          <w:sz w:val="22"/>
          <w:szCs w:val="22"/>
        </w:rPr>
        <w:t> </w:t>
      </w:r>
      <w:r w:rsidRPr="00B94E96">
        <w:rPr>
          <w:rFonts w:ascii="Lato" w:eastAsia="Calibri" w:hAnsi="Lato" w:cs="Calibri"/>
          <w:sz w:val="22"/>
          <w:szCs w:val="22"/>
        </w:rPr>
        <w:t>związku z powiadomieniami systemu RASFF, zgłoszeniami klientów, kontrolą graniczną towarów importowanych i eksportowanych oraz poborem próbek do badań laboratoryjnych.</w:t>
      </w:r>
    </w:p>
    <w:p w14:paraId="157FB465" w14:textId="77777777" w:rsidR="00D41677" w:rsidRPr="00B94E96" w:rsidRDefault="00D41677" w:rsidP="00A022F6">
      <w:pPr>
        <w:spacing w:line="360" w:lineRule="auto"/>
        <w:rPr>
          <w:rFonts w:ascii="Lato" w:eastAsia="Calibri" w:hAnsi="Lato" w:cs="Calibri"/>
          <w:sz w:val="22"/>
          <w:szCs w:val="22"/>
        </w:rPr>
      </w:pPr>
      <w:r w:rsidRPr="00B94E96">
        <w:rPr>
          <w:rFonts w:ascii="Lato" w:eastAsia="Calibri" w:hAnsi="Lato" w:cs="Calibri"/>
          <w:sz w:val="22"/>
          <w:szCs w:val="22"/>
        </w:rPr>
        <w:t>Podczas kontroli w ok. 46% obiektów stwierdzono nieprawidłowości, które najczęściej dotyczyły:</w:t>
      </w:r>
    </w:p>
    <w:p w14:paraId="5F38560A" w14:textId="77777777" w:rsidR="00D41677" w:rsidRPr="00B94E96" w:rsidRDefault="00D41677">
      <w:pPr>
        <w:pStyle w:val="Akapitzlist"/>
        <w:numPr>
          <w:ilvl w:val="0"/>
          <w:numId w:val="46"/>
        </w:numPr>
        <w:spacing w:line="360" w:lineRule="auto"/>
        <w:rPr>
          <w:rFonts w:ascii="Lato" w:eastAsia="Calibri" w:hAnsi="Lato" w:cs="Calibri"/>
          <w:sz w:val="22"/>
          <w:szCs w:val="22"/>
        </w:rPr>
      </w:pPr>
      <w:r w:rsidRPr="00B94E96">
        <w:rPr>
          <w:rFonts w:ascii="Lato" w:eastAsia="Calibri" w:hAnsi="Lato" w:cs="Calibri"/>
          <w:sz w:val="22"/>
          <w:szCs w:val="22"/>
        </w:rPr>
        <w:t xml:space="preserve">uchybień technicznych pomieszczeń zakładów i ich wyposażenia, </w:t>
      </w:r>
    </w:p>
    <w:p w14:paraId="0F49A530" w14:textId="77777777" w:rsidR="00D41677" w:rsidRPr="00B94E96" w:rsidRDefault="00D41677">
      <w:pPr>
        <w:pStyle w:val="Akapitzlist"/>
        <w:numPr>
          <w:ilvl w:val="0"/>
          <w:numId w:val="46"/>
        </w:numPr>
        <w:spacing w:line="360" w:lineRule="auto"/>
        <w:rPr>
          <w:rFonts w:ascii="Lato" w:eastAsia="Aptos" w:hAnsi="Lato" w:cs="Calibri"/>
          <w:sz w:val="22"/>
          <w:szCs w:val="22"/>
        </w:rPr>
      </w:pPr>
      <w:r w:rsidRPr="00B94E96">
        <w:rPr>
          <w:rFonts w:ascii="Lato" w:eastAsia="Calibri" w:hAnsi="Lato" w:cs="Calibri"/>
          <w:sz w:val="22"/>
          <w:szCs w:val="22"/>
        </w:rPr>
        <w:t>brudnych pomieszczeń zakładów, powierzchni roboczych, urządzeń chłodniczych i sprzętu produkcyjnego,</w:t>
      </w:r>
      <w:r w:rsidRPr="00B94E96">
        <w:rPr>
          <w:rFonts w:ascii="Lato" w:eastAsia="Aptos" w:hAnsi="Lato" w:cs="Calibri"/>
          <w:sz w:val="22"/>
          <w:szCs w:val="22"/>
        </w:rPr>
        <w:t xml:space="preserve"> </w:t>
      </w:r>
    </w:p>
    <w:p w14:paraId="1752D6F7" w14:textId="77777777" w:rsidR="00D41677" w:rsidRPr="00B94E96" w:rsidRDefault="00D41677">
      <w:pPr>
        <w:pStyle w:val="Akapitzlist"/>
        <w:numPr>
          <w:ilvl w:val="0"/>
          <w:numId w:val="46"/>
        </w:numPr>
        <w:spacing w:line="360" w:lineRule="auto"/>
        <w:rPr>
          <w:rFonts w:ascii="Lato" w:eastAsia="Aptos" w:hAnsi="Lato" w:cs="Calibri"/>
          <w:sz w:val="22"/>
          <w:szCs w:val="22"/>
        </w:rPr>
      </w:pPr>
      <w:r w:rsidRPr="00B94E96">
        <w:rPr>
          <w:rFonts w:ascii="Lato" w:eastAsia="Aptos" w:hAnsi="Lato" w:cs="Calibri"/>
          <w:sz w:val="22"/>
          <w:szCs w:val="22"/>
        </w:rPr>
        <w:t>niewłaściwego zabezpieczenia zakładów przed dostępem szkodników,</w:t>
      </w:r>
    </w:p>
    <w:p w14:paraId="600D81DE" w14:textId="77777777" w:rsidR="00D41677" w:rsidRPr="00B94E96" w:rsidRDefault="00D41677">
      <w:pPr>
        <w:pStyle w:val="Akapitzlist"/>
        <w:numPr>
          <w:ilvl w:val="0"/>
          <w:numId w:val="46"/>
        </w:numPr>
        <w:spacing w:line="360" w:lineRule="auto"/>
        <w:rPr>
          <w:rFonts w:ascii="Lato" w:eastAsia="Calibri" w:hAnsi="Lato" w:cs="Calibri"/>
          <w:sz w:val="22"/>
          <w:szCs w:val="22"/>
        </w:rPr>
      </w:pPr>
      <w:r w:rsidRPr="00B94E96">
        <w:rPr>
          <w:rFonts w:ascii="Lato" w:eastAsia="Calibri" w:hAnsi="Lato" w:cs="Calibri"/>
          <w:sz w:val="22"/>
          <w:szCs w:val="22"/>
        </w:rPr>
        <w:t>braku warunków do mycia rąk, żywności oraz sprzętu produkcyjnego,</w:t>
      </w:r>
    </w:p>
    <w:p w14:paraId="013C0E13" w14:textId="77777777" w:rsidR="00D41677" w:rsidRPr="00B94E96" w:rsidRDefault="00D41677">
      <w:pPr>
        <w:pStyle w:val="Akapitzlist"/>
        <w:numPr>
          <w:ilvl w:val="0"/>
          <w:numId w:val="46"/>
        </w:numPr>
        <w:spacing w:line="360" w:lineRule="auto"/>
        <w:rPr>
          <w:rFonts w:ascii="Lato" w:eastAsia="Calibri" w:hAnsi="Lato" w:cs="Calibri"/>
          <w:sz w:val="22"/>
          <w:szCs w:val="22"/>
        </w:rPr>
      </w:pPr>
      <w:r w:rsidRPr="00B94E96">
        <w:rPr>
          <w:rFonts w:ascii="Lato" w:eastAsia="Calibri" w:hAnsi="Lato" w:cs="Calibri"/>
          <w:sz w:val="22"/>
          <w:szCs w:val="22"/>
        </w:rPr>
        <w:t>braku zachowania warunków chłodniczych przechowywanych środków spożywczych,</w:t>
      </w:r>
    </w:p>
    <w:p w14:paraId="77F49C02" w14:textId="77777777" w:rsidR="00D41677" w:rsidRPr="00B94E96" w:rsidRDefault="00D41677">
      <w:pPr>
        <w:pStyle w:val="Akapitzlist"/>
        <w:numPr>
          <w:ilvl w:val="0"/>
          <w:numId w:val="46"/>
        </w:numPr>
        <w:spacing w:line="360" w:lineRule="auto"/>
        <w:rPr>
          <w:rFonts w:ascii="Lato" w:eastAsia="Calibri" w:hAnsi="Lato" w:cs="Calibri"/>
          <w:sz w:val="22"/>
          <w:szCs w:val="22"/>
        </w:rPr>
      </w:pPr>
      <w:r w:rsidRPr="00B94E96">
        <w:rPr>
          <w:rFonts w:ascii="Lato" w:eastAsia="Calibri" w:hAnsi="Lato" w:cs="Calibri"/>
          <w:sz w:val="22"/>
          <w:szCs w:val="22"/>
        </w:rPr>
        <w:t xml:space="preserve">braku badań lekarskich do celów sanitarno-epidemiologicznych, </w:t>
      </w:r>
    </w:p>
    <w:p w14:paraId="7E11DFE7" w14:textId="77777777" w:rsidR="00D41677" w:rsidRPr="00B94E96" w:rsidRDefault="00D41677">
      <w:pPr>
        <w:pStyle w:val="Akapitzlist"/>
        <w:numPr>
          <w:ilvl w:val="0"/>
          <w:numId w:val="46"/>
        </w:numPr>
        <w:spacing w:line="360" w:lineRule="auto"/>
        <w:rPr>
          <w:rFonts w:ascii="Lato" w:eastAsia="Calibri" w:hAnsi="Lato" w:cs="Calibri"/>
          <w:sz w:val="22"/>
          <w:szCs w:val="22"/>
          <w:u w:val="single"/>
        </w:rPr>
      </w:pPr>
      <w:r w:rsidRPr="00B94E96">
        <w:rPr>
          <w:rFonts w:ascii="Lato" w:eastAsia="Calibri" w:hAnsi="Lato" w:cs="Calibri"/>
          <w:sz w:val="22"/>
          <w:szCs w:val="22"/>
        </w:rPr>
        <w:lastRenderedPageBreak/>
        <w:t>braku opracowanych i/lub wdrożonych w zakładzie stałych procedur opartych na zasadach systemu HACCP, w tym uwzględniających kryteria mikrobiologiczne.</w:t>
      </w:r>
    </w:p>
    <w:p w14:paraId="0EC78AF2" w14:textId="32D8CB12" w:rsidR="00D41677" w:rsidRPr="00B94E96" w:rsidRDefault="00D41677" w:rsidP="00A022F6">
      <w:pPr>
        <w:tabs>
          <w:tab w:val="left" w:pos="851"/>
        </w:tabs>
        <w:spacing w:line="360" w:lineRule="auto"/>
        <w:rPr>
          <w:rFonts w:ascii="Lato" w:eastAsia="Calibri" w:hAnsi="Lato" w:cs="Calibri"/>
          <w:sz w:val="22"/>
          <w:szCs w:val="22"/>
        </w:rPr>
      </w:pPr>
      <w:r w:rsidRPr="00B94E96">
        <w:rPr>
          <w:rFonts w:ascii="Lato" w:eastAsia="Aptos" w:hAnsi="Lato" w:cs="Calibri"/>
          <w:bCs/>
          <w:sz w:val="22"/>
          <w:szCs w:val="22"/>
        </w:rPr>
        <w:t>Osoby odpowiedzialne zostały zobowiązane do usunięcia nieprawidłowości, w związku z czym wydano 1815 decyzji, w tym 28</w:t>
      </w:r>
      <w:r w:rsidRPr="00B94E96">
        <w:rPr>
          <w:rFonts w:ascii="Lato" w:eastAsia="Aptos" w:hAnsi="Lato" w:cs="Calibri"/>
          <w:sz w:val="22"/>
          <w:szCs w:val="22"/>
        </w:rPr>
        <w:t xml:space="preserve"> decyzji unieruchomienia zakładu </w:t>
      </w:r>
      <w:r w:rsidRPr="00B94E96">
        <w:rPr>
          <w:rFonts w:ascii="Lato" w:eastAsia="Calibri" w:hAnsi="Lato" w:cstheme="minorHAnsi"/>
          <w:sz w:val="22"/>
          <w:szCs w:val="22"/>
        </w:rPr>
        <w:t xml:space="preserve">do czasu </w:t>
      </w:r>
      <w:r w:rsidR="00A51377">
        <w:rPr>
          <w:rFonts w:ascii="Lato" w:eastAsia="Calibri" w:hAnsi="Lato" w:cstheme="minorHAnsi"/>
          <w:sz w:val="22"/>
          <w:szCs w:val="22"/>
        </w:rPr>
        <w:t>doprowadzenia do</w:t>
      </w:r>
      <w:r w:rsidR="00DB3C4E">
        <w:rPr>
          <w:rFonts w:ascii="Lato" w:eastAsia="Calibri" w:hAnsi="Lato" w:cstheme="minorHAnsi"/>
          <w:sz w:val="22"/>
          <w:szCs w:val="22"/>
        </w:rPr>
        <w:t> </w:t>
      </w:r>
      <w:r w:rsidR="00A51377">
        <w:rPr>
          <w:rFonts w:ascii="Lato" w:eastAsia="Calibri" w:hAnsi="Lato" w:cstheme="minorHAnsi"/>
          <w:sz w:val="22"/>
          <w:szCs w:val="22"/>
        </w:rPr>
        <w:t>stanu zgodnego z wymaganiami (</w:t>
      </w:r>
      <w:r w:rsidRPr="00B94E96">
        <w:rPr>
          <w:rFonts w:ascii="Lato" w:eastAsia="Calibri" w:hAnsi="Lato" w:cstheme="minorHAnsi"/>
          <w:sz w:val="22"/>
          <w:szCs w:val="22"/>
        </w:rPr>
        <w:t xml:space="preserve">przeprowadzenia </w:t>
      </w:r>
      <w:r w:rsidRPr="00B94E96">
        <w:rPr>
          <w:rFonts w:ascii="Lato" w:hAnsi="Lato" w:cstheme="minorHAnsi"/>
          <w:sz w:val="22"/>
          <w:szCs w:val="22"/>
        </w:rPr>
        <w:t xml:space="preserve">skutecznych zabiegów </w:t>
      </w:r>
      <w:r w:rsidRPr="00B94E96">
        <w:rPr>
          <w:rFonts w:ascii="Lato" w:eastAsia="Calibri" w:hAnsi="Lato" w:cstheme="minorHAnsi"/>
          <w:sz w:val="22"/>
          <w:szCs w:val="22"/>
        </w:rPr>
        <w:t>dezynsekcji oraz mycia i dezynfekcji</w:t>
      </w:r>
      <w:r w:rsidRPr="00B94E96">
        <w:rPr>
          <w:rFonts w:ascii="Lato" w:hAnsi="Lato" w:cstheme="minorHAnsi"/>
          <w:sz w:val="22"/>
          <w:szCs w:val="22"/>
        </w:rPr>
        <w:t>, doprowadzenia do właściwego stanu sanitarno – higienicznego pomieszczeń zakładu, sprzętu technologicznego oraz wyposażenia</w:t>
      </w:r>
      <w:r w:rsidR="00A51377">
        <w:rPr>
          <w:rFonts w:ascii="Lato" w:hAnsi="Lato" w:cstheme="minorHAnsi"/>
          <w:sz w:val="22"/>
          <w:szCs w:val="22"/>
        </w:rPr>
        <w:t>)</w:t>
      </w:r>
      <w:r w:rsidRPr="00B94E96">
        <w:rPr>
          <w:rFonts w:ascii="Lato" w:eastAsia="Calibri" w:hAnsi="Lato" w:cs="Calibri"/>
          <w:sz w:val="22"/>
          <w:szCs w:val="22"/>
        </w:rPr>
        <w:t xml:space="preserve">, </w:t>
      </w:r>
      <w:r w:rsidRPr="00B94E96">
        <w:rPr>
          <w:rFonts w:ascii="Lato" w:eastAsia="Aptos" w:hAnsi="Lato" w:cs="Calibri"/>
          <w:sz w:val="22"/>
          <w:szCs w:val="22"/>
        </w:rPr>
        <w:t>a także 58 decyzji zakazujących wprowadzenia do obrotu kwestionowanych bądź przeterminowanych produktów</w:t>
      </w:r>
      <w:r w:rsidRPr="00B94E96">
        <w:rPr>
          <w:rFonts w:ascii="Lato" w:eastAsia="Calibri" w:hAnsi="Lato" w:cs="Calibri"/>
          <w:sz w:val="22"/>
          <w:szCs w:val="22"/>
        </w:rPr>
        <w:t>.</w:t>
      </w:r>
    </w:p>
    <w:p w14:paraId="182A1A4B" w14:textId="77777777" w:rsidR="00D41677" w:rsidRPr="00B94E96" w:rsidRDefault="00D41677" w:rsidP="00A022F6">
      <w:pPr>
        <w:tabs>
          <w:tab w:val="left" w:pos="851"/>
        </w:tabs>
        <w:spacing w:line="360" w:lineRule="auto"/>
        <w:rPr>
          <w:rFonts w:ascii="Lato" w:eastAsia="Calibri" w:hAnsi="Lato" w:cs="Calibri"/>
          <w:sz w:val="22"/>
          <w:szCs w:val="22"/>
        </w:rPr>
      </w:pPr>
    </w:p>
    <w:p w14:paraId="223F6173" w14:textId="6366654C" w:rsidR="00D41677" w:rsidRPr="00B94E96" w:rsidRDefault="00D41677" w:rsidP="00A022F6">
      <w:pPr>
        <w:spacing w:line="360" w:lineRule="auto"/>
        <w:rPr>
          <w:rFonts w:ascii="Lato" w:hAnsi="Lato" w:cs="Calibri"/>
          <w:sz w:val="22"/>
          <w:szCs w:val="22"/>
        </w:rPr>
      </w:pPr>
      <w:r w:rsidRPr="00B94E96">
        <w:rPr>
          <w:rFonts w:ascii="Lato" w:hAnsi="Lato" w:cs="Calibri"/>
          <w:sz w:val="22"/>
          <w:szCs w:val="22"/>
        </w:rPr>
        <w:t>W 2025 roku w ramach urzędowej kontroli i monitoringu zbadano ogółem 4604 próbek środków spożywczych</w:t>
      </w:r>
      <w:r w:rsidR="00A51377">
        <w:rPr>
          <w:rFonts w:ascii="Lato" w:hAnsi="Lato" w:cs="Calibri"/>
          <w:sz w:val="22"/>
          <w:szCs w:val="22"/>
        </w:rPr>
        <w:t xml:space="preserve"> i</w:t>
      </w:r>
      <w:r w:rsidRPr="00B94E96">
        <w:rPr>
          <w:rFonts w:ascii="Lato" w:hAnsi="Lato" w:cs="Calibri"/>
          <w:sz w:val="22"/>
          <w:szCs w:val="22"/>
        </w:rPr>
        <w:t xml:space="preserve"> próbek sanitarnych, z których zakwestionowano 355 (8%).</w:t>
      </w:r>
    </w:p>
    <w:p w14:paraId="77D59CFC" w14:textId="77777777" w:rsidR="00D41677" w:rsidRPr="00B94E96" w:rsidRDefault="00D41677" w:rsidP="00A022F6">
      <w:pPr>
        <w:spacing w:line="360" w:lineRule="auto"/>
        <w:contextualSpacing/>
        <w:rPr>
          <w:rFonts w:ascii="Lato" w:hAnsi="Lato" w:cs="Calibri"/>
          <w:sz w:val="22"/>
          <w:szCs w:val="22"/>
        </w:rPr>
      </w:pPr>
      <w:r w:rsidRPr="00B94E96">
        <w:rPr>
          <w:rFonts w:ascii="Lato" w:hAnsi="Lato" w:cs="Calibri"/>
          <w:sz w:val="22"/>
          <w:szCs w:val="22"/>
        </w:rPr>
        <w:t xml:space="preserve">Najczęstsze przyczyny kwestionowania próbek w 2025 roku: </w:t>
      </w:r>
    </w:p>
    <w:p w14:paraId="31BE0989" w14:textId="27452CB6" w:rsidR="00D41677" w:rsidRPr="00A022F6" w:rsidRDefault="00D41677">
      <w:pPr>
        <w:pStyle w:val="Akapitzlist"/>
        <w:numPr>
          <w:ilvl w:val="0"/>
          <w:numId w:val="45"/>
        </w:numPr>
        <w:spacing w:line="360" w:lineRule="auto"/>
        <w:rPr>
          <w:rFonts w:ascii="Lato" w:hAnsi="Lato" w:cs="Calibri"/>
          <w:sz w:val="22"/>
          <w:szCs w:val="22"/>
        </w:rPr>
      </w:pPr>
      <w:r w:rsidRPr="00A022F6">
        <w:rPr>
          <w:rFonts w:ascii="Lato" w:hAnsi="Lato" w:cs="Calibri"/>
          <w:sz w:val="22"/>
          <w:szCs w:val="22"/>
        </w:rPr>
        <w:t xml:space="preserve">przekroczona dopuszczalna liczba bakterii z rodziny </w:t>
      </w:r>
      <w:proofErr w:type="spellStart"/>
      <w:r w:rsidRPr="00A022F6">
        <w:rPr>
          <w:rFonts w:ascii="Lato" w:hAnsi="Lato" w:cs="Calibri"/>
          <w:sz w:val="22"/>
          <w:szCs w:val="22"/>
        </w:rPr>
        <w:t>Enterobacteriaceae</w:t>
      </w:r>
      <w:proofErr w:type="spellEnd"/>
      <w:r w:rsidRPr="00A022F6">
        <w:rPr>
          <w:rFonts w:ascii="Lato" w:hAnsi="Lato" w:cs="Calibri"/>
          <w:sz w:val="22"/>
          <w:szCs w:val="22"/>
        </w:rPr>
        <w:t xml:space="preserve"> w</w:t>
      </w:r>
      <w:r w:rsidR="00050E2B">
        <w:rPr>
          <w:rFonts w:ascii="Lato" w:hAnsi="Lato" w:cs="Calibri"/>
          <w:sz w:val="22"/>
          <w:szCs w:val="22"/>
        </w:rPr>
        <w:t> </w:t>
      </w:r>
      <w:r w:rsidRPr="00A022F6">
        <w:rPr>
          <w:rFonts w:ascii="Lato" w:hAnsi="Lato" w:cs="Calibri"/>
          <w:sz w:val="22"/>
          <w:szCs w:val="22"/>
        </w:rPr>
        <w:t>przetworach mlecznych (lody),</w:t>
      </w:r>
    </w:p>
    <w:p w14:paraId="7C3CA393" w14:textId="64F198D1" w:rsidR="00D41677" w:rsidRPr="00BA30E7" w:rsidRDefault="00D41677">
      <w:pPr>
        <w:pStyle w:val="Akapitzlist"/>
        <w:numPr>
          <w:ilvl w:val="0"/>
          <w:numId w:val="45"/>
        </w:numPr>
        <w:spacing w:line="360" w:lineRule="auto"/>
        <w:rPr>
          <w:rFonts w:ascii="Lato" w:hAnsi="Lato" w:cs="Calibri"/>
          <w:sz w:val="22"/>
          <w:szCs w:val="22"/>
        </w:rPr>
      </w:pPr>
      <w:r w:rsidRPr="00A022F6">
        <w:rPr>
          <w:rFonts w:ascii="Lato" w:hAnsi="Lato" w:cs="Calibri"/>
          <w:sz w:val="22"/>
          <w:szCs w:val="22"/>
        </w:rPr>
        <w:t xml:space="preserve">obecność bakterii Salmonella </w:t>
      </w:r>
      <w:proofErr w:type="spellStart"/>
      <w:r w:rsidRPr="00A022F6">
        <w:rPr>
          <w:rFonts w:ascii="Lato" w:hAnsi="Lato" w:cs="Calibri"/>
          <w:sz w:val="22"/>
          <w:szCs w:val="22"/>
        </w:rPr>
        <w:t>spp</w:t>
      </w:r>
      <w:proofErr w:type="spellEnd"/>
      <w:r w:rsidRPr="00A022F6">
        <w:rPr>
          <w:rFonts w:ascii="Lato" w:hAnsi="Lato" w:cs="Calibri"/>
          <w:sz w:val="22"/>
          <w:szCs w:val="22"/>
        </w:rPr>
        <w:t>.  w mięsie, podrobach i przetworach mięsnych, w</w:t>
      </w:r>
      <w:r w:rsidR="00050E2B">
        <w:rPr>
          <w:rFonts w:ascii="Lato" w:hAnsi="Lato" w:cs="Calibri"/>
          <w:sz w:val="22"/>
          <w:szCs w:val="22"/>
        </w:rPr>
        <w:t> </w:t>
      </w:r>
      <w:r w:rsidRPr="00A022F6">
        <w:rPr>
          <w:rFonts w:ascii="Lato" w:hAnsi="Lato" w:cs="Calibri"/>
          <w:sz w:val="22"/>
          <w:szCs w:val="22"/>
        </w:rPr>
        <w:t xml:space="preserve">drobiu, </w:t>
      </w:r>
      <w:r w:rsidRPr="00BA30E7">
        <w:rPr>
          <w:rFonts w:ascii="Lato" w:hAnsi="Lato" w:cs="Calibri"/>
          <w:sz w:val="22"/>
          <w:szCs w:val="22"/>
        </w:rPr>
        <w:t>podrobach i produktach drobiarskich, w rybach,</w:t>
      </w:r>
    </w:p>
    <w:p w14:paraId="3D5C3218" w14:textId="6848DBDF" w:rsidR="00D41677" w:rsidRPr="00A022F6" w:rsidRDefault="00D41677">
      <w:pPr>
        <w:pStyle w:val="Akapitzlist"/>
        <w:numPr>
          <w:ilvl w:val="0"/>
          <w:numId w:val="45"/>
        </w:numPr>
        <w:spacing w:line="360" w:lineRule="auto"/>
        <w:rPr>
          <w:rFonts w:ascii="Lato" w:hAnsi="Lato" w:cs="Calibri"/>
          <w:sz w:val="22"/>
          <w:szCs w:val="22"/>
        </w:rPr>
      </w:pPr>
      <w:r w:rsidRPr="00A022F6">
        <w:rPr>
          <w:rFonts w:ascii="Lato" w:hAnsi="Lato" w:cs="Calibri"/>
          <w:sz w:val="22"/>
          <w:szCs w:val="22"/>
        </w:rPr>
        <w:t xml:space="preserve">ponadnormatywna zawartość </w:t>
      </w:r>
      <w:proofErr w:type="spellStart"/>
      <w:r w:rsidRPr="00A022F6">
        <w:rPr>
          <w:rFonts w:ascii="Lato" w:hAnsi="Lato" w:cs="Calibri"/>
          <w:sz w:val="22"/>
          <w:szCs w:val="22"/>
        </w:rPr>
        <w:t>mykotoksyn</w:t>
      </w:r>
      <w:proofErr w:type="spellEnd"/>
      <w:r w:rsidRPr="00A022F6">
        <w:rPr>
          <w:rFonts w:ascii="Lato" w:hAnsi="Lato" w:cs="Calibri"/>
          <w:sz w:val="22"/>
          <w:szCs w:val="22"/>
        </w:rPr>
        <w:t xml:space="preserve"> w mąkach oraz owocach suszonych, </w:t>
      </w:r>
    </w:p>
    <w:p w14:paraId="14FA8795" w14:textId="6C1EDF86" w:rsidR="00D41677" w:rsidRPr="00A022F6" w:rsidRDefault="00D41677">
      <w:pPr>
        <w:pStyle w:val="Akapitzlist"/>
        <w:numPr>
          <w:ilvl w:val="0"/>
          <w:numId w:val="45"/>
        </w:numPr>
        <w:spacing w:line="360" w:lineRule="auto"/>
        <w:rPr>
          <w:rFonts w:ascii="Lato" w:hAnsi="Lato" w:cs="Calibri"/>
          <w:sz w:val="22"/>
          <w:szCs w:val="22"/>
        </w:rPr>
      </w:pPr>
      <w:r w:rsidRPr="00A022F6">
        <w:rPr>
          <w:rFonts w:ascii="Lato" w:hAnsi="Lato" w:cs="Calibri"/>
          <w:sz w:val="22"/>
          <w:szCs w:val="22"/>
        </w:rPr>
        <w:t>ponadnormatywna zawartość pestycydów w owocach, warzywach i ryżu brązowym,</w:t>
      </w:r>
    </w:p>
    <w:p w14:paraId="6A300FD4" w14:textId="6DE8B7FC" w:rsidR="00D41677" w:rsidRPr="00A022F6" w:rsidRDefault="00D41677">
      <w:pPr>
        <w:pStyle w:val="Akapitzlist"/>
        <w:numPr>
          <w:ilvl w:val="0"/>
          <w:numId w:val="45"/>
        </w:numPr>
        <w:spacing w:line="360" w:lineRule="auto"/>
        <w:rPr>
          <w:rFonts w:ascii="Lato" w:hAnsi="Lato" w:cs="Calibri"/>
          <w:sz w:val="22"/>
          <w:szCs w:val="22"/>
        </w:rPr>
      </w:pPr>
      <w:r w:rsidRPr="00A022F6">
        <w:rPr>
          <w:rFonts w:ascii="Lato" w:hAnsi="Lato" w:cs="Calibri"/>
          <w:sz w:val="22"/>
          <w:szCs w:val="22"/>
        </w:rPr>
        <w:t>zawyżona zawartość witamin w suplementach diety,</w:t>
      </w:r>
    </w:p>
    <w:p w14:paraId="50DC3AC4" w14:textId="24CA5244" w:rsidR="00D41677" w:rsidRPr="00A022F6" w:rsidRDefault="00D41677">
      <w:pPr>
        <w:pStyle w:val="Akapitzlist"/>
        <w:numPr>
          <w:ilvl w:val="0"/>
          <w:numId w:val="45"/>
        </w:numPr>
        <w:spacing w:line="360" w:lineRule="auto"/>
        <w:rPr>
          <w:rFonts w:ascii="Lato" w:hAnsi="Lato" w:cs="Calibri"/>
          <w:sz w:val="22"/>
          <w:szCs w:val="22"/>
        </w:rPr>
      </w:pPr>
      <w:r w:rsidRPr="00A022F6">
        <w:rPr>
          <w:rFonts w:ascii="Lato" w:hAnsi="Lato" w:cs="Calibri"/>
          <w:sz w:val="22"/>
          <w:szCs w:val="22"/>
        </w:rPr>
        <w:t>obecność w zmiotkach żywych szkodników i ich pozostałości.</w:t>
      </w:r>
    </w:p>
    <w:p w14:paraId="2BC7499F" w14:textId="77777777" w:rsidR="00D41677" w:rsidRPr="00B94E96" w:rsidRDefault="00D41677" w:rsidP="00D41677">
      <w:pPr>
        <w:spacing w:line="360" w:lineRule="auto"/>
        <w:rPr>
          <w:rFonts w:ascii="Lato" w:hAnsi="Lato" w:cs="Calibri"/>
          <w:sz w:val="22"/>
          <w:szCs w:val="22"/>
        </w:rPr>
      </w:pPr>
    </w:p>
    <w:p w14:paraId="17601921" w14:textId="02567FAB" w:rsidR="00D41677" w:rsidRPr="00B94E96" w:rsidRDefault="00D41677" w:rsidP="00D41677">
      <w:pPr>
        <w:spacing w:line="360" w:lineRule="auto"/>
        <w:rPr>
          <w:rFonts w:ascii="Lato" w:hAnsi="Lato" w:cs="Calibri"/>
          <w:sz w:val="22"/>
          <w:szCs w:val="22"/>
        </w:rPr>
      </w:pPr>
      <w:r w:rsidRPr="00B94E96">
        <w:rPr>
          <w:rFonts w:ascii="Lato" w:hAnsi="Lato" w:cs="Calibri"/>
          <w:sz w:val="22"/>
          <w:szCs w:val="22"/>
        </w:rPr>
        <w:t>Każdorazowo po otrzymaniu kwestionowanych wyników badań bezzwłocznie podejmowano działania nadzorowe. Przedsiębiorcy działający na terenie naszego województwa, którzy wprowadzili na rynek produkty o niewłaściwej jakości zdrowotnej byli zobowiązani do</w:t>
      </w:r>
      <w:r w:rsidR="00DB3C4E">
        <w:rPr>
          <w:rFonts w:ascii="Lato" w:hAnsi="Lato" w:cs="Calibri"/>
          <w:sz w:val="22"/>
          <w:szCs w:val="22"/>
        </w:rPr>
        <w:t> </w:t>
      </w:r>
      <w:r w:rsidRPr="00B94E96">
        <w:rPr>
          <w:rFonts w:ascii="Lato" w:hAnsi="Lato" w:cs="Calibri"/>
          <w:sz w:val="22"/>
          <w:szCs w:val="22"/>
        </w:rPr>
        <w:t>wyeliminowania zaistniałych nieprawidłowości – kwestionowane produkty wycofywano z</w:t>
      </w:r>
      <w:r w:rsidR="00050E2B">
        <w:rPr>
          <w:rFonts w:ascii="Lato" w:hAnsi="Lato" w:cs="Calibri"/>
          <w:sz w:val="22"/>
          <w:szCs w:val="22"/>
        </w:rPr>
        <w:t> </w:t>
      </w:r>
      <w:r w:rsidRPr="00B94E96">
        <w:rPr>
          <w:rFonts w:ascii="Lato" w:hAnsi="Lato" w:cs="Calibri"/>
          <w:sz w:val="22"/>
          <w:szCs w:val="22"/>
        </w:rPr>
        <w:t>produkcji i obrotu handlowego, przeprowadzano zabiegi mycia i dezynfekcji, bądź dezynsekcji. W przypadku kwestionowania środków spożywczych pochodzących od</w:t>
      </w:r>
      <w:r w:rsidR="00DB3C4E">
        <w:rPr>
          <w:rFonts w:ascii="Lato" w:hAnsi="Lato" w:cs="Calibri"/>
          <w:sz w:val="22"/>
          <w:szCs w:val="22"/>
        </w:rPr>
        <w:t> </w:t>
      </w:r>
      <w:r w:rsidRPr="00B94E96">
        <w:rPr>
          <w:rFonts w:ascii="Lato" w:hAnsi="Lato" w:cs="Calibri"/>
          <w:sz w:val="22"/>
          <w:szCs w:val="22"/>
        </w:rPr>
        <w:t>producentów spoza województwa zachodniopomorskiego, informacje o stwierdzonych nieprawidłowościach przekazywano do właściwych terenowo organów Państwowej Inspekcji Sanitarnej lub Inspekcji Weterynaryjnej, pełniących nadzór nad producentem kwestionowanych środków spożywczych.</w:t>
      </w:r>
    </w:p>
    <w:p w14:paraId="5CB0BB96" w14:textId="77777777" w:rsidR="00D41677" w:rsidRPr="00B94E96" w:rsidRDefault="00D41677" w:rsidP="00D41677">
      <w:pPr>
        <w:spacing w:line="360" w:lineRule="auto"/>
        <w:rPr>
          <w:rFonts w:ascii="Lato" w:hAnsi="Lato"/>
          <w:b/>
          <w:bCs/>
          <w:sz w:val="22"/>
          <w:szCs w:val="22"/>
        </w:rPr>
      </w:pPr>
    </w:p>
    <w:p w14:paraId="031956F7" w14:textId="77777777" w:rsidR="00D41677" w:rsidRPr="00B94E96" w:rsidRDefault="00D41677" w:rsidP="00D41677">
      <w:pPr>
        <w:spacing w:line="360" w:lineRule="auto"/>
        <w:rPr>
          <w:rFonts w:ascii="Lato" w:hAnsi="Lato"/>
          <w:b/>
          <w:bCs/>
          <w:sz w:val="22"/>
          <w:szCs w:val="22"/>
        </w:rPr>
      </w:pPr>
      <w:r w:rsidRPr="00B94E96">
        <w:rPr>
          <w:rFonts w:ascii="Lato" w:hAnsi="Lato"/>
          <w:sz w:val="22"/>
          <w:szCs w:val="22"/>
        </w:rPr>
        <w:t>Nadzór nad bezpieczeństwem żywności obejmował również produkcję pierwotną, dostawy bezpośrednie oraz rolniczy handel detaliczny.</w:t>
      </w:r>
    </w:p>
    <w:p w14:paraId="7E2A03AA" w14:textId="77777777" w:rsidR="00D41677" w:rsidRPr="00B94E96" w:rsidRDefault="00D41677" w:rsidP="00D41677">
      <w:pPr>
        <w:spacing w:line="360" w:lineRule="auto"/>
        <w:rPr>
          <w:rFonts w:ascii="Lato" w:eastAsia="Calibri" w:hAnsi="Lato" w:cs="Calibri"/>
          <w:bCs/>
          <w:sz w:val="22"/>
          <w:szCs w:val="22"/>
        </w:rPr>
      </w:pPr>
      <w:r w:rsidRPr="00B94E96">
        <w:rPr>
          <w:rFonts w:ascii="Lato" w:eastAsia="Calibri" w:hAnsi="Lato" w:cs="Calibri"/>
          <w:bCs/>
          <w:sz w:val="22"/>
          <w:szCs w:val="22"/>
        </w:rPr>
        <w:lastRenderedPageBreak/>
        <w:t xml:space="preserve">W roku 2025 rejestr Państwowej Inspekcji Sanitarnej obejmował 5786 producentów produkcji pierwotnej, w tym prowadzących działalność w ramach rolniczego handlu detalicznego oraz dostaw bezpośrednich. </w:t>
      </w:r>
    </w:p>
    <w:p w14:paraId="2CDB8AF8" w14:textId="34E30058" w:rsidR="00D41677" w:rsidRPr="00B94E96" w:rsidRDefault="00D41677" w:rsidP="00D41677">
      <w:pPr>
        <w:spacing w:line="360" w:lineRule="auto"/>
        <w:rPr>
          <w:rFonts w:ascii="Lato" w:hAnsi="Lato" w:cs="Calibri"/>
          <w:sz w:val="22"/>
          <w:szCs w:val="22"/>
        </w:rPr>
      </w:pPr>
      <w:r w:rsidRPr="00B94E96">
        <w:rPr>
          <w:rFonts w:ascii="Lato" w:eastAsia="Calibri" w:hAnsi="Lato" w:cs="Calibri"/>
          <w:bCs/>
          <w:sz w:val="22"/>
          <w:szCs w:val="22"/>
        </w:rPr>
        <w:t>W gospodarstwach rolnych w 2025 roku przeprowadzono 353 kontrole sanitarne. W</w:t>
      </w:r>
      <w:r w:rsidR="00050E2B">
        <w:rPr>
          <w:rFonts w:ascii="Lato" w:eastAsia="Calibri" w:hAnsi="Lato" w:cs="Calibri"/>
          <w:bCs/>
          <w:sz w:val="22"/>
          <w:szCs w:val="22"/>
        </w:rPr>
        <w:t> </w:t>
      </w:r>
      <w:r w:rsidRPr="00B94E96">
        <w:rPr>
          <w:rFonts w:ascii="Lato" w:eastAsia="Calibri" w:hAnsi="Lato" w:cs="Calibri"/>
          <w:bCs/>
          <w:sz w:val="22"/>
          <w:szCs w:val="22"/>
        </w:rPr>
        <w:t xml:space="preserve">zdecydowanej większości gospodarstw nie stwierdzono nieprawidłowości, w 1 przypadku stwierdzono brak </w:t>
      </w:r>
      <w:r w:rsidRPr="00B94E96">
        <w:rPr>
          <w:rFonts w:ascii="Lato" w:hAnsi="Lato" w:cs="Calibri"/>
          <w:sz w:val="22"/>
          <w:szCs w:val="22"/>
        </w:rPr>
        <w:t>bada</w:t>
      </w:r>
      <w:r w:rsidR="00BA7006">
        <w:rPr>
          <w:rFonts w:ascii="Lato" w:hAnsi="Lato" w:cs="Calibri"/>
          <w:sz w:val="22"/>
          <w:szCs w:val="22"/>
        </w:rPr>
        <w:t>ń</w:t>
      </w:r>
      <w:r w:rsidRPr="00B94E96">
        <w:rPr>
          <w:rFonts w:ascii="Lato" w:hAnsi="Lato" w:cs="Calibri"/>
          <w:sz w:val="22"/>
          <w:szCs w:val="22"/>
        </w:rPr>
        <w:t xml:space="preserve"> wody używanej do podlewania roślin</w:t>
      </w:r>
      <w:r w:rsidR="00AB310C">
        <w:rPr>
          <w:rFonts w:ascii="Lato" w:hAnsi="Lato" w:cs="Calibri"/>
          <w:sz w:val="22"/>
          <w:szCs w:val="22"/>
        </w:rPr>
        <w:t xml:space="preserve"> uprawnych</w:t>
      </w:r>
      <w:r w:rsidRPr="00B94E96">
        <w:rPr>
          <w:rFonts w:ascii="Lato" w:hAnsi="Lato" w:cs="Calibri"/>
          <w:sz w:val="22"/>
          <w:szCs w:val="22"/>
        </w:rPr>
        <w:t xml:space="preserve">. </w:t>
      </w:r>
    </w:p>
    <w:p w14:paraId="7D6F2062" w14:textId="77777777" w:rsidR="00D41677" w:rsidRPr="00B94E96" w:rsidRDefault="00D41677" w:rsidP="00D41677">
      <w:pPr>
        <w:spacing w:line="360" w:lineRule="auto"/>
        <w:rPr>
          <w:rFonts w:ascii="Lato" w:hAnsi="Lato" w:cs="Calibri"/>
          <w:sz w:val="22"/>
          <w:szCs w:val="22"/>
        </w:rPr>
      </w:pPr>
    </w:p>
    <w:p w14:paraId="2B3A5D11" w14:textId="1E90D695" w:rsidR="00D41677" w:rsidRPr="00B94E96" w:rsidRDefault="00D41677" w:rsidP="00D41677">
      <w:pPr>
        <w:spacing w:line="360" w:lineRule="auto"/>
        <w:contextualSpacing/>
        <w:rPr>
          <w:rFonts w:ascii="Lato" w:eastAsia="Calibri" w:hAnsi="Lato" w:cs="Calibri"/>
          <w:bCs/>
          <w:sz w:val="22"/>
          <w:szCs w:val="22"/>
        </w:rPr>
      </w:pPr>
      <w:r w:rsidRPr="00B94E96">
        <w:rPr>
          <w:rFonts w:ascii="Lato" w:eastAsia="Calibri" w:hAnsi="Lato" w:cs="Calibri"/>
          <w:bCs/>
          <w:sz w:val="22"/>
          <w:szCs w:val="22"/>
        </w:rPr>
        <w:t xml:space="preserve">W </w:t>
      </w:r>
      <w:r w:rsidRPr="00B94E96">
        <w:rPr>
          <w:rFonts w:ascii="Lato" w:eastAsia="Calibri" w:hAnsi="Lato" w:cs="Calibri"/>
          <w:bCs/>
          <w:iCs/>
          <w:sz w:val="22"/>
          <w:szCs w:val="22"/>
        </w:rPr>
        <w:t>zakresie produkcji pierwotnej przeprowadzono</w:t>
      </w:r>
      <w:r w:rsidRPr="00B94E96">
        <w:rPr>
          <w:rFonts w:ascii="Lato" w:eastAsia="Calibri" w:hAnsi="Lato" w:cs="Calibri"/>
          <w:bCs/>
          <w:sz w:val="22"/>
          <w:szCs w:val="22"/>
        </w:rPr>
        <w:t xml:space="preserve"> wspólnie z Państwową Inspekcją Ochrony Roślin i Nasiennictwa 43 kontrole i z Inspekcją Ochrony Środowiska 8 kontroli.  </w:t>
      </w:r>
      <w:r w:rsidRPr="00B94E96">
        <w:rPr>
          <w:rFonts w:ascii="Lato" w:eastAsia="Calibri" w:hAnsi="Lato" w:cs="Calibri"/>
          <w:bCs/>
          <w:iCs/>
          <w:sz w:val="22"/>
          <w:szCs w:val="22"/>
        </w:rPr>
        <w:t>Do wspólnych kontroli na rok 2025 wytypowano rolników uprawiających na dużym areale przede wszystkim warzywa liściaste, warzywa korzeniowe, pomidory, ogórki, kalafiory, paprykę, ziemniaki, a</w:t>
      </w:r>
      <w:r w:rsidR="00050E2B">
        <w:rPr>
          <w:rFonts w:ascii="Lato" w:eastAsia="Calibri" w:hAnsi="Lato" w:cs="Calibri"/>
          <w:bCs/>
          <w:iCs/>
          <w:sz w:val="22"/>
          <w:szCs w:val="22"/>
        </w:rPr>
        <w:t> </w:t>
      </w:r>
      <w:r w:rsidRPr="00B94E96">
        <w:rPr>
          <w:rFonts w:ascii="Lato" w:eastAsia="Calibri" w:hAnsi="Lato" w:cs="Calibri"/>
          <w:bCs/>
          <w:iCs/>
          <w:sz w:val="22"/>
          <w:szCs w:val="22"/>
        </w:rPr>
        <w:t xml:space="preserve">także owoce miękkie (truskawki, maliny, porzeczki, borówki), jabłka oraz ziarna zbóż. </w:t>
      </w:r>
    </w:p>
    <w:p w14:paraId="79112C9D" w14:textId="6124D66F" w:rsidR="00D41677" w:rsidRPr="00B94E96" w:rsidRDefault="00D41677" w:rsidP="00D41677">
      <w:pPr>
        <w:spacing w:line="360" w:lineRule="auto"/>
        <w:contextualSpacing/>
        <w:rPr>
          <w:rFonts w:ascii="Lato" w:hAnsi="Lato" w:cs="Calibri"/>
          <w:sz w:val="22"/>
          <w:szCs w:val="22"/>
        </w:rPr>
      </w:pPr>
      <w:r w:rsidRPr="00B94E96">
        <w:rPr>
          <w:rFonts w:ascii="Lato" w:eastAsia="Calibri" w:hAnsi="Lato" w:cs="Calibri"/>
          <w:bCs/>
          <w:sz w:val="22"/>
          <w:szCs w:val="22"/>
        </w:rPr>
        <w:t xml:space="preserve">Podczas czynności kontrolnych w gospodarstwach rolnych pobrano </w:t>
      </w:r>
      <w:r w:rsidRPr="00B94E96">
        <w:rPr>
          <w:rFonts w:ascii="Lato" w:hAnsi="Lato" w:cs="Calibri"/>
          <w:sz w:val="22"/>
          <w:szCs w:val="22"/>
        </w:rPr>
        <w:t>do badań laboratoryjnych w kierunku oznaczania pozostałości pestycydów, zawartości metali szkodliwych dla zdrowia, azotanów</w:t>
      </w:r>
      <w:r w:rsidR="00786204">
        <w:rPr>
          <w:rFonts w:ascii="Lato" w:hAnsi="Lato" w:cs="Calibri"/>
          <w:sz w:val="22"/>
          <w:szCs w:val="22"/>
        </w:rPr>
        <w:t xml:space="preserve"> i</w:t>
      </w:r>
      <w:r w:rsidRPr="00B94E96">
        <w:rPr>
          <w:rFonts w:ascii="Lato" w:hAnsi="Lato" w:cs="Calibri"/>
          <w:sz w:val="22"/>
          <w:szCs w:val="22"/>
        </w:rPr>
        <w:t xml:space="preserve"> zanieczyszczeń mikrobiologicznych 95 próbek warzyw i owoców. </w:t>
      </w:r>
      <w:r w:rsidRPr="00B94E96">
        <w:rPr>
          <w:rFonts w:ascii="Lato" w:eastAsia="Calibri" w:hAnsi="Lato" w:cs="Calibri"/>
          <w:bCs/>
          <w:sz w:val="22"/>
          <w:szCs w:val="22"/>
        </w:rPr>
        <w:t>Zakwestionowano 1 próbkę żywności, borówkę amerykańską, w której stwierdzono</w:t>
      </w:r>
      <w:r w:rsidRPr="00B94E96">
        <w:rPr>
          <w:rFonts w:ascii="Lato" w:hAnsi="Lato" w:cs="Calibri"/>
          <w:bCs/>
          <w:sz w:val="22"/>
          <w:szCs w:val="22"/>
        </w:rPr>
        <w:t xml:space="preserve"> przekroczenie najwyższego</w:t>
      </w:r>
      <w:r w:rsidRPr="00B94E96">
        <w:rPr>
          <w:rFonts w:ascii="Lato" w:hAnsi="Lato" w:cs="Calibri"/>
          <w:sz w:val="22"/>
          <w:szCs w:val="22"/>
        </w:rPr>
        <w:t xml:space="preserve"> dopuszczalnego poziomu pestycydów. </w:t>
      </w:r>
      <w:r w:rsidR="00786204">
        <w:rPr>
          <w:rFonts w:ascii="Lato" w:hAnsi="Lato" w:cs="Calibri"/>
          <w:sz w:val="22"/>
          <w:szCs w:val="22"/>
        </w:rPr>
        <w:t>B</w:t>
      </w:r>
      <w:r w:rsidRPr="00B94E96">
        <w:rPr>
          <w:rFonts w:ascii="Lato" w:hAnsi="Lato" w:cs="Calibri"/>
          <w:sz w:val="22"/>
          <w:szCs w:val="22"/>
        </w:rPr>
        <w:t xml:space="preserve">orówka ta nie została wprowadzona do obrotu handlowego. </w:t>
      </w:r>
    </w:p>
    <w:p w14:paraId="22E98244" w14:textId="77777777" w:rsidR="00D41677" w:rsidRPr="00B94E96" w:rsidRDefault="00D41677" w:rsidP="00D41677">
      <w:pPr>
        <w:spacing w:line="360" w:lineRule="auto"/>
        <w:contextualSpacing/>
        <w:rPr>
          <w:rFonts w:ascii="Lato" w:hAnsi="Lato" w:cs="Calibri"/>
          <w:sz w:val="22"/>
          <w:szCs w:val="22"/>
        </w:rPr>
      </w:pPr>
    </w:p>
    <w:p w14:paraId="73372EA9" w14:textId="77777777" w:rsidR="00D41677" w:rsidRPr="00B94E96" w:rsidRDefault="00D41677" w:rsidP="00D41677">
      <w:pPr>
        <w:spacing w:line="360" w:lineRule="auto"/>
        <w:rPr>
          <w:rFonts w:ascii="Lato" w:hAnsi="Lato"/>
          <w:sz w:val="22"/>
          <w:szCs w:val="22"/>
        </w:rPr>
      </w:pPr>
      <w:r w:rsidRPr="00B94E96">
        <w:rPr>
          <w:rFonts w:ascii="Lato" w:hAnsi="Lato"/>
          <w:sz w:val="22"/>
          <w:szCs w:val="22"/>
        </w:rPr>
        <w:t>Na terenie województwa zachodniopomorskiego w okresie letnim prowadzony jest wzmożony nadzór nad zakładami żywienia zbiorowego, w szczególności w pasie nadmorskim.</w:t>
      </w:r>
    </w:p>
    <w:p w14:paraId="2705FFEF" w14:textId="43EAE278" w:rsidR="00D41677" w:rsidRPr="00B94E96" w:rsidRDefault="00D41677" w:rsidP="00D41677">
      <w:pPr>
        <w:spacing w:line="360" w:lineRule="auto"/>
        <w:rPr>
          <w:rFonts w:ascii="Lato" w:eastAsia="Calibri" w:hAnsi="Lato" w:cs="Calibri"/>
          <w:sz w:val="22"/>
          <w:szCs w:val="22"/>
        </w:rPr>
      </w:pPr>
      <w:r w:rsidRPr="00B94E96">
        <w:rPr>
          <w:rFonts w:ascii="Lato" w:eastAsia="Calibri" w:hAnsi="Lato" w:cs="Calibri"/>
          <w:sz w:val="22"/>
          <w:szCs w:val="22"/>
        </w:rPr>
        <w:t>Nadzór ten realizowany jest w obiektach działających całorocznie, które w sezonie letnim w</w:t>
      </w:r>
      <w:r w:rsidR="00050E2B">
        <w:rPr>
          <w:rFonts w:ascii="Lato" w:eastAsia="Calibri" w:hAnsi="Lato" w:cs="Calibri"/>
          <w:sz w:val="22"/>
          <w:szCs w:val="22"/>
        </w:rPr>
        <w:t> </w:t>
      </w:r>
      <w:r w:rsidRPr="00B94E96">
        <w:rPr>
          <w:rFonts w:ascii="Lato" w:eastAsia="Calibri" w:hAnsi="Lato" w:cs="Calibri"/>
          <w:sz w:val="22"/>
          <w:szCs w:val="22"/>
        </w:rPr>
        <w:t xml:space="preserve">odpowiedzi na podwyższony popyt zwiększają swoją produkcję, jak również w obiektach typowo sezonowych, jak np. stoiska z lodami, punkty małej gastronomii. </w:t>
      </w:r>
    </w:p>
    <w:p w14:paraId="2C383517" w14:textId="77777777" w:rsidR="00D41677" w:rsidRPr="00B94E96" w:rsidRDefault="00D41677" w:rsidP="00D41677">
      <w:pPr>
        <w:spacing w:line="360" w:lineRule="auto"/>
        <w:rPr>
          <w:rFonts w:ascii="Lato" w:eastAsia="Aptos" w:hAnsi="Lato" w:cs="Calibri"/>
          <w:sz w:val="22"/>
          <w:szCs w:val="22"/>
          <w:highlight w:val="yellow"/>
        </w:rPr>
      </w:pPr>
      <w:r w:rsidRPr="00B94E96">
        <w:rPr>
          <w:rFonts w:ascii="Lato" w:eastAsia="Aptos" w:hAnsi="Lato" w:cs="Calibri"/>
          <w:sz w:val="22"/>
          <w:szCs w:val="22"/>
        </w:rPr>
        <w:t>Według ewidencji Państwowej Inspekcji Sanitarnej w województwie zachodniopomorskim znajdowało się 8820 ww. obiektów. W zakładach tych przeprowadzono ogółem 1583 kontrole.</w:t>
      </w:r>
    </w:p>
    <w:p w14:paraId="03596EDA" w14:textId="1DBC1EBB" w:rsidR="00D41677" w:rsidRPr="00B94E96" w:rsidRDefault="00146F44" w:rsidP="00D41677">
      <w:pPr>
        <w:spacing w:line="360" w:lineRule="auto"/>
        <w:rPr>
          <w:rFonts w:ascii="Lato" w:hAnsi="Lato" w:cs="Calibri"/>
          <w:sz w:val="22"/>
          <w:szCs w:val="22"/>
        </w:rPr>
      </w:pPr>
      <w:r w:rsidRPr="00146F44">
        <w:rPr>
          <w:rFonts w:ascii="Lato" w:hAnsi="Lato" w:cs="Calibri"/>
          <w:sz w:val="22"/>
          <w:szCs w:val="22"/>
        </w:rPr>
        <w:t xml:space="preserve">Najczęściej stwierdzanymi nieprawidłowościami były </w:t>
      </w:r>
      <w:r w:rsidR="00D41677" w:rsidRPr="00B94E96">
        <w:rPr>
          <w:rFonts w:ascii="Lato" w:hAnsi="Lato" w:cs="Calibri"/>
          <w:sz w:val="22"/>
          <w:szCs w:val="22"/>
        </w:rPr>
        <w:t>uchybienia stanu higienicznego i</w:t>
      </w:r>
      <w:r w:rsidR="00DB3C4E">
        <w:rPr>
          <w:rFonts w:ascii="Lato" w:hAnsi="Lato" w:cs="Calibri"/>
          <w:sz w:val="22"/>
          <w:szCs w:val="22"/>
        </w:rPr>
        <w:t> </w:t>
      </w:r>
      <w:r w:rsidR="00D41677" w:rsidRPr="00B94E96">
        <w:rPr>
          <w:rFonts w:ascii="Lato" w:hAnsi="Lato" w:cs="Calibri"/>
          <w:sz w:val="22"/>
          <w:szCs w:val="22"/>
        </w:rPr>
        <w:t>technicznego pomieszczeń pionu żywienia oraz sprzętu wykorzystywanego do produkcji i</w:t>
      </w:r>
      <w:r w:rsidR="00DB3C4E">
        <w:rPr>
          <w:rFonts w:ascii="Lato" w:hAnsi="Lato" w:cs="Calibri"/>
          <w:sz w:val="22"/>
          <w:szCs w:val="22"/>
        </w:rPr>
        <w:t> </w:t>
      </w:r>
      <w:r w:rsidR="00D41677" w:rsidRPr="00B94E96">
        <w:rPr>
          <w:rFonts w:ascii="Lato" w:hAnsi="Lato" w:cs="Calibri"/>
          <w:sz w:val="22"/>
          <w:szCs w:val="22"/>
        </w:rPr>
        <w:t>sprzedaży żywności, a także brak właściwego zabezpieczenia zakładu przed szkodnikami.</w:t>
      </w:r>
    </w:p>
    <w:p w14:paraId="18FE5D37" w14:textId="5C914A4D" w:rsidR="00D41677" w:rsidRPr="00B94E96" w:rsidRDefault="00D41677" w:rsidP="00D41677">
      <w:pPr>
        <w:spacing w:line="360" w:lineRule="auto"/>
        <w:rPr>
          <w:rFonts w:ascii="Lato" w:hAnsi="Lato" w:cs="Calibri"/>
          <w:sz w:val="22"/>
          <w:szCs w:val="22"/>
        </w:rPr>
      </w:pPr>
      <w:r w:rsidRPr="00B94E96">
        <w:rPr>
          <w:rFonts w:ascii="Lato" w:hAnsi="Lato" w:cs="Calibri"/>
          <w:sz w:val="22"/>
          <w:szCs w:val="22"/>
        </w:rPr>
        <w:t xml:space="preserve">Ponadto </w:t>
      </w:r>
      <w:r w:rsidR="00146F44" w:rsidRPr="00B94E96">
        <w:rPr>
          <w:rFonts w:ascii="Lato" w:hAnsi="Lato" w:cs="Calibri"/>
          <w:sz w:val="22"/>
          <w:szCs w:val="22"/>
        </w:rPr>
        <w:t xml:space="preserve">w sezonie letnim </w:t>
      </w:r>
      <w:r w:rsidRPr="00B94E96">
        <w:rPr>
          <w:rFonts w:ascii="Lato" w:hAnsi="Lato" w:cs="Calibri"/>
          <w:sz w:val="22"/>
          <w:szCs w:val="22"/>
        </w:rPr>
        <w:t>do Państwowej Inspekcji Sanitarnej wpłynęło 158 zgłoszeń interwencyjnych, z czego 57 potwierdzono</w:t>
      </w:r>
      <w:r w:rsidR="00146F44">
        <w:rPr>
          <w:rFonts w:ascii="Lato" w:hAnsi="Lato" w:cs="Calibri"/>
          <w:sz w:val="22"/>
          <w:szCs w:val="22"/>
        </w:rPr>
        <w:t xml:space="preserve"> podczas czynności kontrolnych</w:t>
      </w:r>
      <w:r w:rsidRPr="00B94E96">
        <w:rPr>
          <w:rFonts w:ascii="Lato" w:hAnsi="Lato" w:cs="Calibri"/>
          <w:sz w:val="22"/>
          <w:szCs w:val="22"/>
        </w:rPr>
        <w:t>. Zarzuty podnoszone przez zgłaszających dotyczyły przede wszystkim:</w:t>
      </w:r>
    </w:p>
    <w:p w14:paraId="714ACD69" w14:textId="4BC06701" w:rsidR="00D41677" w:rsidRPr="00B94E96" w:rsidRDefault="00D41677">
      <w:pPr>
        <w:pStyle w:val="Akapitzlist"/>
        <w:numPr>
          <w:ilvl w:val="0"/>
          <w:numId w:val="44"/>
        </w:numPr>
        <w:spacing w:line="360" w:lineRule="auto"/>
        <w:rPr>
          <w:rFonts w:ascii="Lato" w:hAnsi="Lato" w:cs="Calibri"/>
          <w:sz w:val="22"/>
          <w:szCs w:val="22"/>
        </w:rPr>
      </w:pPr>
      <w:r w:rsidRPr="00B94E96">
        <w:rPr>
          <w:rFonts w:ascii="Lato" w:hAnsi="Lato" w:cs="Calibri"/>
          <w:sz w:val="22"/>
          <w:szCs w:val="22"/>
        </w:rPr>
        <w:t>nieprzestrzegania higieny podczas prowadzonej działalności,</w:t>
      </w:r>
    </w:p>
    <w:p w14:paraId="5DB72B74" w14:textId="3A8DAB36" w:rsidR="00D41677" w:rsidRPr="00B94E96" w:rsidRDefault="00D41677">
      <w:pPr>
        <w:pStyle w:val="Akapitzlist"/>
        <w:numPr>
          <w:ilvl w:val="0"/>
          <w:numId w:val="44"/>
        </w:numPr>
        <w:spacing w:line="360" w:lineRule="auto"/>
        <w:rPr>
          <w:rFonts w:ascii="Lato" w:hAnsi="Lato" w:cs="Calibri"/>
          <w:sz w:val="22"/>
          <w:szCs w:val="22"/>
        </w:rPr>
      </w:pPr>
      <w:r w:rsidRPr="00B94E96">
        <w:rPr>
          <w:rFonts w:ascii="Lato" w:hAnsi="Lato" w:cs="Calibri"/>
          <w:sz w:val="22"/>
          <w:szCs w:val="22"/>
        </w:rPr>
        <w:t>wystąpienia dolegliwości żołądkowo- jelitowych po spożyciu żywności,</w:t>
      </w:r>
    </w:p>
    <w:p w14:paraId="570AFA26" w14:textId="32E60B15" w:rsidR="00D41677" w:rsidRPr="00B94E96" w:rsidRDefault="00D41677">
      <w:pPr>
        <w:pStyle w:val="Akapitzlist"/>
        <w:numPr>
          <w:ilvl w:val="0"/>
          <w:numId w:val="44"/>
        </w:numPr>
        <w:spacing w:line="360" w:lineRule="auto"/>
        <w:rPr>
          <w:rFonts w:ascii="Lato" w:hAnsi="Lato" w:cs="Calibri"/>
          <w:sz w:val="22"/>
          <w:szCs w:val="22"/>
        </w:rPr>
      </w:pPr>
      <w:r w:rsidRPr="00B94E96">
        <w:rPr>
          <w:rFonts w:ascii="Lato" w:hAnsi="Lato" w:cs="Calibri"/>
          <w:sz w:val="22"/>
          <w:szCs w:val="22"/>
        </w:rPr>
        <w:t>niewłaściwej jakości środków spożywczych,</w:t>
      </w:r>
    </w:p>
    <w:p w14:paraId="5B2B6B0E" w14:textId="5007C477" w:rsidR="00D41677" w:rsidRPr="00B94E96" w:rsidRDefault="00D41677">
      <w:pPr>
        <w:pStyle w:val="Akapitzlist"/>
        <w:numPr>
          <w:ilvl w:val="0"/>
          <w:numId w:val="44"/>
        </w:numPr>
        <w:spacing w:line="360" w:lineRule="auto"/>
        <w:rPr>
          <w:rFonts w:ascii="Lato" w:hAnsi="Lato" w:cs="Calibri"/>
          <w:sz w:val="22"/>
          <w:szCs w:val="22"/>
        </w:rPr>
      </w:pPr>
      <w:r w:rsidRPr="00B94E96">
        <w:rPr>
          <w:rFonts w:ascii="Lato" w:hAnsi="Lato" w:cs="Calibri"/>
          <w:sz w:val="22"/>
          <w:szCs w:val="22"/>
        </w:rPr>
        <w:lastRenderedPageBreak/>
        <w:t>obecności szkodników w zakładzie i/lub w żywności,</w:t>
      </w:r>
    </w:p>
    <w:p w14:paraId="215AEEDB" w14:textId="282AB05F" w:rsidR="00D41677" w:rsidRDefault="00D41677">
      <w:pPr>
        <w:pStyle w:val="Akapitzlist"/>
        <w:numPr>
          <w:ilvl w:val="0"/>
          <w:numId w:val="44"/>
        </w:numPr>
        <w:spacing w:line="360" w:lineRule="auto"/>
        <w:rPr>
          <w:rFonts w:ascii="Lato" w:hAnsi="Lato" w:cs="Calibri"/>
          <w:sz w:val="22"/>
          <w:szCs w:val="22"/>
        </w:rPr>
      </w:pPr>
      <w:r w:rsidRPr="00B94E96">
        <w:rPr>
          <w:rFonts w:ascii="Lato" w:hAnsi="Lato" w:cs="Calibri"/>
          <w:sz w:val="22"/>
          <w:szCs w:val="22"/>
        </w:rPr>
        <w:t>braku orzeczeń lekarskich do celów sanitarno-epidemiologicznych pracowników.</w:t>
      </w:r>
    </w:p>
    <w:p w14:paraId="550DB31D" w14:textId="77777777" w:rsidR="00B66B49" w:rsidRPr="00B66B49" w:rsidRDefault="00B66B49" w:rsidP="00B66B49">
      <w:pPr>
        <w:spacing w:line="360" w:lineRule="auto"/>
        <w:ind w:left="360"/>
        <w:rPr>
          <w:rFonts w:ascii="Lato" w:hAnsi="Lato" w:cs="Calibri"/>
          <w:sz w:val="22"/>
          <w:szCs w:val="22"/>
        </w:rPr>
      </w:pPr>
    </w:p>
    <w:p w14:paraId="388A0C1E" w14:textId="688CC0A6" w:rsidR="00D41677" w:rsidRPr="00D73DF2" w:rsidRDefault="00D41677">
      <w:pPr>
        <w:pStyle w:val="Nagwek2"/>
        <w:numPr>
          <w:ilvl w:val="0"/>
          <w:numId w:val="24"/>
        </w:numPr>
        <w:spacing w:before="0" w:after="0"/>
        <w:rPr>
          <w:b/>
          <w:bCs/>
        </w:rPr>
      </w:pPr>
      <w:bookmarkStart w:id="120" w:name="_Toc225859066"/>
      <w:r w:rsidRPr="00D73DF2">
        <w:rPr>
          <w:b/>
          <w:bCs/>
        </w:rPr>
        <w:t>Zakłady produkcji i wprowadzania do obrotu materiałów i wyrobów przeznaczonych do kontaktu z żywnością</w:t>
      </w:r>
      <w:bookmarkEnd w:id="120"/>
    </w:p>
    <w:p w14:paraId="55998197" w14:textId="77777777" w:rsidR="00BA7929" w:rsidRPr="00BA7929" w:rsidRDefault="00BA7929" w:rsidP="00BA7929"/>
    <w:p w14:paraId="22FFBC75" w14:textId="77777777" w:rsidR="00D41677" w:rsidRPr="00B94E96" w:rsidRDefault="00D41677" w:rsidP="00D41677">
      <w:pPr>
        <w:spacing w:line="360" w:lineRule="auto"/>
        <w:rPr>
          <w:rFonts w:ascii="Lato" w:hAnsi="Lato" w:cs="Calibri"/>
          <w:sz w:val="22"/>
          <w:szCs w:val="22"/>
        </w:rPr>
      </w:pPr>
      <w:r w:rsidRPr="00B94E96">
        <w:rPr>
          <w:rFonts w:ascii="Lato" w:hAnsi="Lato" w:cs="Calibri"/>
          <w:sz w:val="22"/>
          <w:szCs w:val="22"/>
        </w:rPr>
        <w:t>Na terenie województwa zachodniopomorskiego w 2025 r. znajdowało się:</w:t>
      </w:r>
    </w:p>
    <w:p w14:paraId="733E064D" w14:textId="63036931" w:rsidR="00A022F6" w:rsidRDefault="00D41677">
      <w:pPr>
        <w:pStyle w:val="Akapitzlist"/>
        <w:numPr>
          <w:ilvl w:val="0"/>
          <w:numId w:val="43"/>
        </w:numPr>
        <w:spacing w:line="360" w:lineRule="auto"/>
        <w:rPr>
          <w:rFonts w:ascii="Lato" w:hAnsi="Lato" w:cs="Calibri"/>
          <w:sz w:val="22"/>
          <w:szCs w:val="22"/>
        </w:rPr>
      </w:pPr>
      <w:r w:rsidRPr="00A022F6">
        <w:rPr>
          <w:rFonts w:ascii="Lato" w:hAnsi="Lato" w:cs="Calibri"/>
          <w:sz w:val="22"/>
          <w:szCs w:val="22"/>
        </w:rPr>
        <w:t>45 wytwórni materiałów i wyrobów przeznaczonych do kontaktu z żywnością zajmujących się m.in. produkcją opakowań z tworzyw sztucznych, papierowych, kartonowych, puszek PET, wyrobów ze stali nierdzewnej przeznaczonych do kontaktu z</w:t>
      </w:r>
      <w:r w:rsidR="00050E2B">
        <w:rPr>
          <w:rFonts w:ascii="Lato" w:hAnsi="Lato" w:cs="Calibri"/>
          <w:sz w:val="22"/>
          <w:szCs w:val="22"/>
        </w:rPr>
        <w:t> </w:t>
      </w:r>
      <w:r w:rsidRPr="00A022F6">
        <w:rPr>
          <w:rFonts w:ascii="Lato" w:hAnsi="Lato" w:cs="Calibri"/>
          <w:sz w:val="22"/>
          <w:szCs w:val="22"/>
        </w:rPr>
        <w:t>żywnością.</w:t>
      </w:r>
    </w:p>
    <w:p w14:paraId="01609903" w14:textId="2B8A49CD" w:rsidR="00D41677" w:rsidRPr="00A022F6" w:rsidRDefault="00D41677">
      <w:pPr>
        <w:pStyle w:val="Akapitzlist"/>
        <w:numPr>
          <w:ilvl w:val="0"/>
          <w:numId w:val="43"/>
        </w:numPr>
        <w:spacing w:line="360" w:lineRule="auto"/>
        <w:rPr>
          <w:rFonts w:ascii="Lato" w:hAnsi="Lato" w:cs="Calibri"/>
          <w:sz w:val="22"/>
          <w:szCs w:val="22"/>
        </w:rPr>
      </w:pPr>
      <w:r w:rsidRPr="00A022F6">
        <w:rPr>
          <w:rFonts w:ascii="Lato" w:hAnsi="Lato" w:cs="Calibri"/>
          <w:sz w:val="22"/>
          <w:szCs w:val="22"/>
        </w:rPr>
        <w:t>536 miejsc obrotu materiałami i wyrobami przeznaczonymi do kontaktu z żywnością.</w:t>
      </w:r>
    </w:p>
    <w:p w14:paraId="71DAB02C" w14:textId="4CDC55EC" w:rsidR="00D41677" w:rsidRPr="00B94E96" w:rsidRDefault="00D41677" w:rsidP="00D41677">
      <w:pPr>
        <w:spacing w:line="360" w:lineRule="auto"/>
        <w:rPr>
          <w:rFonts w:ascii="Lato" w:hAnsi="Lato" w:cs="Calibri"/>
          <w:sz w:val="22"/>
          <w:szCs w:val="22"/>
        </w:rPr>
      </w:pPr>
      <w:r w:rsidRPr="00B94E96">
        <w:rPr>
          <w:rFonts w:ascii="Lato" w:hAnsi="Lato" w:cs="Calibri"/>
          <w:sz w:val="22"/>
          <w:szCs w:val="22"/>
        </w:rPr>
        <w:t>W 2025 r. skontrolowano 155 takich zakładów. Zdecydowana większość kontroli nie wykazała nieprawidłowości.</w:t>
      </w:r>
    </w:p>
    <w:p w14:paraId="6636BB7C" w14:textId="121E129A" w:rsidR="00B66B49" w:rsidRDefault="00D41677" w:rsidP="00D41677">
      <w:pPr>
        <w:spacing w:line="360" w:lineRule="auto"/>
        <w:contextualSpacing/>
        <w:rPr>
          <w:rFonts w:ascii="Lato" w:hAnsi="Lato" w:cs="Calibri"/>
          <w:sz w:val="22"/>
          <w:szCs w:val="22"/>
        </w:rPr>
      </w:pPr>
      <w:r w:rsidRPr="00B94E96">
        <w:rPr>
          <w:rFonts w:ascii="Lato" w:hAnsi="Lato" w:cs="Calibri"/>
          <w:sz w:val="22"/>
          <w:szCs w:val="22"/>
        </w:rPr>
        <w:t>W 2025 roku przebadano łącznie 57 próbek materiałów i wyrobów do kontaktu z żywnością, zarówno produ</w:t>
      </w:r>
      <w:r w:rsidR="00146F44">
        <w:rPr>
          <w:rFonts w:ascii="Lato" w:hAnsi="Lato" w:cs="Calibri"/>
          <w:sz w:val="22"/>
          <w:szCs w:val="22"/>
        </w:rPr>
        <w:t>centów</w:t>
      </w:r>
      <w:r w:rsidRPr="00B94E96">
        <w:rPr>
          <w:rFonts w:ascii="Lato" w:hAnsi="Lato" w:cs="Calibri"/>
          <w:sz w:val="22"/>
          <w:szCs w:val="22"/>
        </w:rPr>
        <w:t xml:space="preserve"> krajow</w:t>
      </w:r>
      <w:r w:rsidR="00146F44">
        <w:rPr>
          <w:rFonts w:ascii="Lato" w:hAnsi="Lato" w:cs="Calibri"/>
          <w:sz w:val="22"/>
          <w:szCs w:val="22"/>
        </w:rPr>
        <w:t>ych jak</w:t>
      </w:r>
      <w:r w:rsidRPr="00B94E96">
        <w:rPr>
          <w:rFonts w:ascii="Lato" w:hAnsi="Lato" w:cs="Calibri"/>
          <w:sz w:val="22"/>
          <w:szCs w:val="22"/>
        </w:rPr>
        <w:t xml:space="preserve"> i z importu. Nie zakwestionowano żadnej próbki.</w:t>
      </w:r>
    </w:p>
    <w:p w14:paraId="72DCB15B" w14:textId="77777777" w:rsidR="00050E2B" w:rsidRPr="00BA7929" w:rsidRDefault="00050E2B" w:rsidP="00D41677">
      <w:pPr>
        <w:spacing w:line="360" w:lineRule="auto"/>
        <w:contextualSpacing/>
        <w:rPr>
          <w:rFonts w:ascii="Lato" w:hAnsi="Lato" w:cs="Calibri"/>
          <w:sz w:val="22"/>
          <w:szCs w:val="22"/>
        </w:rPr>
      </w:pPr>
    </w:p>
    <w:p w14:paraId="62EA3AC5" w14:textId="01906AAC" w:rsidR="00D41677" w:rsidRPr="00D73DF2" w:rsidRDefault="00D41677">
      <w:pPr>
        <w:pStyle w:val="Nagwek2"/>
        <w:numPr>
          <w:ilvl w:val="0"/>
          <w:numId w:val="24"/>
        </w:numPr>
        <w:spacing w:before="0" w:after="0"/>
        <w:rPr>
          <w:b/>
          <w:bCs/>
        </w:rPr>
      </w:pPr>
      <w:bookmarkStart w:id="121" w:name="_Toc225859067"/>
      <w:r w:rsidRPr="00D73DF2">
        <w:rPr>
          <w:b/>
          <w:bCs/>
        </w:rPr>
        <w:t>Suplementy diety, żywność dla określonych grup odbiorców i żywność wzbogacana</w:t>
      </w:r>
      <w:bookmarkEnd w:id="121"/>
    </w:p>
    <w:p w14:paraId="75A846A0" w14:textId="77777777" w:rsidR="00BA7929" w:rsidRPr="00BA7929" w:rsidRDefault="00BA7929" w:rsidP="00BA7929"/>
    <w:p w14:paraId="4EDD7A06" w14:textId="248761AC" w:rsidR="00D41677" w:rsidRPr="00B94E96" w:rsidRDefault="00D41677" w:rsidP="00D41677">
      <w:pPr>
        <w:spacing w:line="360" w:lineRule="auto"/>
        <w:rPr>
          <w:rFonts w:ascii="Lato" w:hAnsi="Lato" w:cs="Calibri"/>
          <w:sz w:val="22"/>
          <w:szCs w:val="22"/>
        </w:rPr>
      </w:pPr>
      <w:r w:rsidRPr="00B94E96">
        <w:rPr>
          <w:rFonts w:ascii="Lato" w:hAnsi="Lato" w:cs="Calibri"/>
          <w:sz w:val="22"/>
          <w:szCs w:val="22"/>
        </w:rPr>
        <w:t>W ramach nadzoru nad tzw. żywnością prozdrowotną prowadzony był nadzór nad warunkami produkcji, magazynowania i sprzedaży oraz znakowania, prezentacji i reklamy suplementów diety, żywności dla określonych grup (żywność dla niemowląt i małych dzieci, żywność specjalnego przeznaczenia medycznego, środki spożywcze zastępujące całodzienną dietę, do</w:t>
      </w:r>
      <w:r w:rsidR="00DB3C4E">
        <w:rPr>
          <w:rFonts w:ascii="Lato" w:hAnsi="Lato" w:cs="Calibri"/>
          <w:sz w:val="22"/>
          <w:szCs w:val="22"/>
        </w:rPr>
        <w:t> </w:t>
      </w:r>
      <w:r w:rsidRPr="00B94E96">
        <w:rPr>
          <w:rFonts w:ascii="Lato" w:hAnsi="Lato" w:cs="Calibri"/>
          <w:sz w:val="22"/>
          <w:szCs w:val="22"/>
        </w:rPr>
        <w:t>kontroli masy ciała) i żywności wzbogacanej, a także nad ich sprzedażą „na odległość”.</w:t>
      </w:r>
    </w:p>
    <w:p w14:paraId="219F0595" w14:textId="77777777" w:rsidR="00D41677" w:rsidRPr="00B94E96" w:rsidRDefault="00D41677" w:rsidP="00D41677">
      <w:pPr>
        <w:spacing w:line="360" w:lineRule="auto"/>
        <w:rPr>
          <w:rFonts w:ascii="Lato" w:hAnsi="Lato" w:cs="Calibri"/>
          <w:sz w:val="22"/>
          <w:szCs w:val="22"/>
        </w:rPr>
      </w:pPr>
      <w:r w:rsidRPr="00B94E96">
        <w:rPr>
          <w:rFonts w:ascii="Lato" w:eastAsia="Aptos" w:hAnsi="Lato" w:cs="Calibri"/>
          <w:sz w:val="22"/>
          <w:szCs w:val="22"/>
        </w:rPr>
        <w:t xml:space="preserve">W ewidencji Państwowej Inspekcji Sanitarnej w województwie zachodniopomorskim </w:t>
      </w:r>
      <w:r w:rsidRPr="00B94E96">
        <w:rPr>
          <w:rFonts w:ascii="Lato" w:hAnsi="Lato" w:cs="Calibri"/>
          <w:sz w:val="22"/>
          <w:szCs w:val="22"/>
        </w:rPr>
        <w:t xml:space="preserve">w roku 2025 było 9 zakładów produkcji suplementów diety, 6 z nich zostało skontrolowanych. </w:t>
      </w:r>
    </w:p>
    <w:p w14:paraId="6CA5F0F4" w14:textId="77777777" w:rsidR="00D41677" w:rsidRPr="00B94E96" w:rsidRDefault="00D41677" w:rsidP="00D41677">
      <w:pPr>
        <w:tabs>
          <w:tab w:val="left" w:pos="567"/>
        </w:tabs>
        <w:spacing w:line="360" w:lineRule="auto"/>
        <w:jc w:val="both"/>
        <w:rPr>
          <w:rFonts w:ascii="Lato" w:hAnsi="Lato" w:cs="Calibri"/>
          <w:sz w:val="22"/>
          <w:szCs w:val="22"/>
          <w:highlight w:val="yellow"/>
        </w:rPr>
      </w:pPr>
      <w:r w:rsidRPr="00B94E96">
        <w:rPr>
          <w:rFonts w:ascii="Lato" w:hAnsi="Lato" w:cs="Calibri"/>
          <w:sz w:val="22"/>
          <w:szCs w:val="22"/>
        </w:rPr>
        <w:t xml:space="preserve">W 2025 r. w ramach nadzoru nad żywnością prozdrowotną przeprowadzono ogółem 475 kontroli, z czego 82 dotyczyło sprzedaży „na odległość”. </w:t>
      </w:r>
    </w:p>
    <w:p w14:paraId="3519B9F3" w14:textId="77777777" w:rsidR="00D41677" w:rsidRPr="00830FE5" w:rsidRDefault="00D41677" w:rsidP="00830FE5">
      <w:pPr>
        <w:spacing w:line="360" w:lineRule="auto"/>
        <w:rPr>
          <w:rFonts w:ascii="Lato" w:hAnsi="Lato"/>
          <w:sz w:val="22"/>
          <w:szCs w:val="22"/>
        </w:rPr>
      </w:pPr>
      <w:bookmarkStart w:id="122" w:name="_Toc225499352"/>
      <w:r w:rsidRPr="00830FE5">
        <w:rPr>
          <w:rFonts w:ascii="Lato" w:hAnsi="Lato"/>
          <w:sz w:val="22"/>
          <w:szCs w:val="22"/>
        </w:rPr>
        <w:t>Podczas kontroli dokonano oceny znakowania 276 produktów, włączając w to również oferty sprzedaży internetowej. Najczęściej stwierdzanymi nieprawidłowościami były:</w:t>
      </w:r>
      <w:bookmarkEnd w:id="122"/>
    </w:p>
    <w:p w14:paraId="36FF7C1D" w14:textId="77F392B0" w:rsidR="00D41677" w:rsidRPr="0070151D" w:rsidRDefault="00D41677">
      <w:pPr>
        <w:pStyle w:val="Akapitzlist"/>
        <w:numPr>
          <w:ilvl w:val="0"/>
          <w:numId w:val="42"/>
        </w:numPr>
        <w:spacing w:line="360" w:lineRule="auto"/>
        <w:rPr>
          <w:rFonts w:ascii="Lato" w:hAnsi="Lato"/>
          <w:sz w:val="22"/>
          <w:szCs w:val="22"/>
        </w:rPr>
      </w:pPr>
      <w:bookmarkStart w:id="123" w:name="_Toc225499353"/>
      <w:r w:rsidRPr="0070151D">
        <w:rPr>
          <w:rFonts w:ascii="Lato" w:hAnsi="Lato"/>
          <w:sz w:val="22"/>
          <w:szCs w:val="22"/>
        </w:rPr>
        <w:t>stosowanie niedozwolonych oświadczeń żywieniowych i zdrowotnych,</w:t>
      </w:r>
      <w:bookmarkEnd w:id="123"/>
    </w:p>
    <w:p w14:paraId="02494067" w14:textId="7F7FC38D" w:rsidR="00D41677" w:rsidRPr="0070151D" w:rsidRDefault="00D41677">
      <w:pPr>
        <w:pStyle w:val="Akapitzlist"/>
        <w:numPr>
          <w:ilvl w:val="0"/>
          <w:numId w:val="42"/>
        </w:numPr>
        <w:spacing w:line="360" w:lineRule="auto"/>
        <w:rPr>
          <w:rFonts w:ascii="Lato" w:hAnsi="Lato"/>
          <w:sz w:val="22"/>
          <w:szCs w:val="22"/>
        </w:rPr>
      </w:pPr>
      <w:bookmarkStart w:id="124" w:name="_Toc225499354"/>
      <w:r w:rsidRPr="0070151D">
        <w:rPr>
          <w:rFonts w:ascii="Lato" w:hAnsi="Lato"/>
          <w:sz w:val="22"/>
          <w:szCs w:val="22"/>
        </w:rPr>
        <w:t>przypisywanie suplementom diety właściwości leczniczych,</w:t>
      </w:r>
      <w:bookmarkEnd w:id="124"/>
    </w:p>
    <w:p w14:paraId="4F38570E" w14:textId="712C47CE" w:rsidR="00D41677" w:rsidRPr="0070151D" w:rsidRDefault="00D41677">
      <w:pPr>
        <w:pStyle w:val="Akapitzlist"/>
        <w:numPr>
          <w:ilvl w:val="0"/>
          <w:numId w:val="42"/>
        </w:numPr>
        <w:spacing w:line="360" w:lineRule="auto"/>
        <w:rPr>
          <w:rFonts w:ascii="Lato" w:hAnsi="Lato"/>
          <w:sz w:val="22"/>
          <w:szCs w:val="22"/>
        </w:rPr>
      </w:pPr>
      <w:bookmarkStart w:id="125" w:name="_Toc225499355"/>
      <w:r w:rsidRPr="0070151D">
        <w:rPr>
          <w:rFonts w:ascii="Lato" w:hAnsi="Lato"/>
          <w:sz w:val="22"/>
          <w:szCs w:val="22"/>
        </w:rPr>
        <w:t>zamieszczania informacji wprowadzających konsumenta w błąd,</w:t>
      </w:r>
      <w:bookmarkEnd w:id="125"/>
    </w:p>
    <w:p w14:paraId="3F70914D" w14:textId="7F0858D3" w:rsidR="00D41677" w:rsidRPr="0070151D" w:rsidRDefault="00D41677">
      <w:pPr>
        <w:pStyle w:val="Akapitzlist"/>
        <w:numPr>
          <w:ilvl w:val="0"/>
          <w:numId w:val="42"/>
        </w:numPr>
        <w:spacing w:line="360" w:lineRule="auto"/>
        <w:rPr>
          <w:rFonts w:ascii="Lato" w:hAnsi="Lato"/>
          <w:sz w:val="22"/>
          <w:szCs w:val="22"/>
        </w:rPr>
      </w:pPr>
      <w:bookmarkStart w:id="126" w:name="_Toc225499356"/>
      <w:r w:rsidRPr="0070151D">
        <w:rPr>
          <w:rFonts w:ascii="Lato" w:hAnsi="Lato"/>
          <w:sz w:val="22"/>
          <w:szCs w:val="22"/>
        </w:rPr>
        <w:t>wprowadzanie do obrotu produktów zawierających w swoim składzie substancje niedozwolone,</w:t>
      </w:r>
      <w:bookmarkEnd w:id="126"/>
    </w:p>
    <w:p w14:paraId="5C82FFF4" w14:textId="2AA3A721" w:rsidR="00D41677" w:rsidRPr="0070151D" w:rsidRDefault="00D41677">
      <w:pPr>
        <w:pStyle w:val="Akapitzlist"/>
        <w:numPr>
          <w:ilvl w:val="0"/>
          <w:numId w:val="42"/>
        </w:numPr>
        <w:spacing w:line="360" w:lineRule="auto"/>
        <w:rPr>
          <w:rFonts w:ascii="Lato" w:hAnsi="Lato"/>
          <w:sz w:val="22"/>
          <w:szCs w:val="22"/>
        </w:rPr>
      </w:pPr>
      <w:bookmarkStart w:id="127" w:name="_Toc225499357"/>
      <w:r w:rsidRPr="0070151D">
        <w:rPr>
          <w:rFonts w:ascii="Lato" w:hAnsi="Lato"/>
          <w:sz w:val="22"/>
          <w:szCs w:val="22"/>
        </w:rPr>
        <w:t>niewłaściwe znakowanie.</w:t>
      </w:r>
      <w:bookmarkEnd w:id="127"/>
    </w:p>
    <w:p w14:paraId="28A20A56" w14:textId="2E65C8E7" w:rsidR="00D41677" w:rsidRPr="0070151D" w:rsidRDefault="00B409AF" w:rsidP="0070151D">
      <w:pPr>
        <w:spacing w:line="360" w:lineRule="auto"/>
        <w:rPr>
          <w:rFonts w:ascii="Lato" w:hAnsi="Lato"/>
          <w:sz w:val="22"/>
          <w:szCs w:val="22"/>
        </w:rPr>
      </w:pPr>
      <w:bookmarkStart w:id="128" w:name="_Toc225499358"/>
      <w:r w:rsidRPr="00B409AF">
        <w:rPr>
          <w:rFonts w:ascii="Lato" w:hAnsi="Lato"/>
          <w:sz w:val="22"/>
          <w:szCs w:val="22"/>
        </w:rPr>
        <w:lastRenderedPageBreak/>
        <w:t xml:space="preserve">W związku </w:t>
      </w:r>
      <w:r>
        <w:rPr>
          <w:rFonts w:ascii="Lato" w:hAnsi="Lato"/>
          <w:sz w:val="22"/>
          <w:szCs w:val="22"/>
        </w:rPr>
        <w:t>ze stwierdzonymi nieprawidłowościami</w:t>
      </w:r>
      <w:r w:rsidRPr="00B409AF">
        <w:rPr>
          <w:rFonts w:ascii="Lato" w:hAnsi="Lato"/>
          <w:sz w:val="22"/>
          <w:szCs w:val="22"/>
        </w:rPr>
        <w:t xml:space="preserve"> wobec przedsiębiorców prowadzone były postępowania nadzorowe, mające na celu zaprzestanie naruszenia prawa</w:t>
      </w:r>
      <w:r>
        <w:rPr>
          <w:rFonts w:ascii="Lato" w:hAnsi="Lato"/>
          <w:sz w:val="22"/>
          <w:szCs w:val="22"/>
        </w:rPr>
        <w:t xml:space="preserve"> i zapewnienie bezpieczeństwa konsumentów</w:t>
      </w:r>
      <w:r w:rsidR="00D41677" w:rsidRPr="0070151D">
        <w:rPr>
          <w:rFonts w:ascii="Lato" w:hAnsi="Lato"/>
          <w:sz w:val="22"/>
          <w:szCs w:val="22"/>
        </w:rPr>
        <w:t>. W stosownych przypadkach informacje były przekazywanie do</w:t>
      </w:r>
      <w:r w:rsidR="00DB3C4E">
        <w:rPr>
          <w:rFonts w:ascii="Lato" w:hAnsi="Lato"/>
          <w:sz w:val="22"/>
          <w:szCs w:val="22"/>
        </w:rPr>
        <w:t> </w:t>
      </w:r>
      <w:r w:rsidR="00D41677" w:rsidRPr="0070151D">
        <w:rPr>
          <w:rFonts w:ascii="Lato" w:hAnsi="Lato"/>
          <w:sz w:val="22"/>
          <w:szCs w:val="22"/>
        </w:rPr>
        <w:t>właściwych terenowo ze względu na siedzibę producenta/importera, państwowych powiatowych inspektorów sanitarnych.</w:t>
      </w:r>
      <w:bookmarkEnd w:id="128"/>
    </w:p>
    <w:p w14:paraId="6B733EC9" w14:textId="4F14C4A2" w:rsidR="00D41677" w:rsidRPr="0070151D" w:rsidRDefault="00D41677" w:rsidP="0070151D">
      <w:pPr>
        <w:spacing w:line="360" w:lineRule="auto"/>
        <w:rPr>
          <w:rFonts w:ascii="Lato" w:hAnsi="Lato"/>
          <w:sz w:val="22"/>
          <w:szCs w:val="22"/>
        </w:rPr>
      </w:pPr>
      <w:r w:rsidRPr="0070151D">
        <w:rPr>
          <w:rFonts w:ascii="Lato" w:hAnsi="Lato"/>
          <w:sz w:val="22"/>
          <w:szCs w:val="22"/>
        </w:rPr>
        <w:t xml:space="preserve">W ramach prowadzonego nadzoru nad sprzedażą żywności prozdrowotnej w 2025 r. </w:t>
      </w:r>
      <w:r w:rsidRPr="0070151D">
        <w:rPr>
          <w:rFonts w:ascii="Lato" w:eastAsia="SimSun" w:hAnsi="Lato"/>
          <w:kern w:val="3"/>
          <w:sz w:val="22"/>
          <w:szCs w:val="22"/>
          <w:lang w:bidi="hi-IN"/>
        </w:rPr>
        <w:t>wydano 2</w:t>
      </w:r>
      <w:r w:rsidR="00DB3C4E">
        <w:rPr>
          <w:rFonts w:ascii="Lato" w:eastAsia="SimSun" w:hAnsi="Lato"/>
          <w:kern w:val="3"/>
          <w:sz w:val="22"/>
          <w:szCs w:val="22"/>
          <w:lang w:bidi="hi-IN"/>
        </w:rPr>
        <w:t> </w:t>
      </w:r>
      <w:r w:rsidRPr="0070151D">
        <w:rPr>
          <w:rFonts w:ascii="Lato" w:eastAsia="SimSun" w:hAnsi="Lato"/>
          <w:kern w:val="3"/>
          <w:sz w:val="22"/>
          <w:szCs w:val="22"/>
          <w:lang w:bidi="hi-IN"/>
        </w:rPr>
        <w:t xml:space="preserve">decyzje administracyjne z rygorem natychmiastowej wykonalności zakazujące wprowadzania do obrotu na terytorium Rzeczypospolitej Polskiej produktów zawierających w swoim składzie nieautoryzowaną nową żywność oraz melatoninę o zawartości przekraczającej dzienną dawkę do spożycia. </w:t>
      </w:r>
    </w:p>
    <w:p w14:paraId="3F3C920A" w14:textId="77777777" w:rsidR="00D41677" w:rsidRPr="0070151D" w:rsidRDefault="00D41677" w:rsidP="0070151D">
      <w:pPr>
        <w:spacing w:line="360" w:lineRule="auto"/>
        <w:rPr>
          <w:rFonts w:ascii="Lato" w:hAnsi="Lato"/>
          <w:sz w:val="22"/>
          <w:szCs w:val="22"/>
        </w:rPr>
      </w:pPr>
      <w:r w:rsidRPr="0070151D">
        <w:rPr>
          <w:rFonts w:ascii="Lato" w:hAnsi="Lato"/>
          <w:sz w:val="22"/>
          <w:szCs w:val="22"/>
        </w:rPr>
        <w:t xml:space="preserve">Do badań laboratoryjnych w ramach urzędowej kontroli żywności i monitoringu pobrano 294 próbki suplementów diety, żywności dla określonych grup i środków spożywczych wzbogacanych. </w:t>
      </w:r>
      <w:bookmarkStart w:id="129" w:name="_Hlk192671207"/>
      <w:r w:rsidRPr="0070151D">
        <w:rPr>
          <w:rFonts w:ascii="Lato" w:hAnsi="Lato"/>
          <w:sz w:val="22"/>
          <w:szCs w:val="22"/>
        </w:rPr>
        <w:t>Zakwestionowano jakość zdrowotną czterech produktów, w których badania wykazały przekroczenie zalecanej dziennej dawki do spożycia witaminy A i D</w:t>
      </w:r>
      <w:bookmarkEnd w:id="129"/>
      <w:r w:rsidRPr="0070151D">
        <w:rPr>
          <w:rFonts w:ascii="Lato" w:hAnsi="Lato"/>
          <w:sz w:val="22"/>
          <w:szCs w:val="22"/>
        </w:rPr>
        <w:t>.</w:t>
      </w:r>
    </w:p>
    <w:p w14:paraId="11BB6E90" w14:textId="77777777" w:rsidR="00D41677" w:rsidRPr="0070151D" w:rsidRDefault="00D41677" w:rsidP="0070151D">
      <w:pPr>
        <w:spacing w:line="360" w:lineRule="auto"/>
        <w:rPr>
          <w:rFonts w:ascii="Lato" w:hAnsi="Lato"/>
          <w:sz w:val="22"/>
          <w:szCs w:val="22"/>
        </w:rPr>
      </w:pPr>
      <w:r w:rsidRPr="0070151D">
        <w:rPr>
          <w:rFonts w:ascii="Lato" w:hAnsi="Lato"/>
          <w:sz w:val="22"/>
          <w:szCs w:val="22"/>
        </w:rPr>
        <w:t xml:space="preserve">Podobnie, jak w latach ubiegłych, w roku 2025 do organów Państwowej Inspekcji Sanitarnej zgłaszano liczne interwencje, dotyczące sprzedaży produktów oznakowanych jako suplementy diety, zawierających substancje, których spożycie może zaszkodzić zdrowiu, bądź zawierających informacje wprowadzające konsumentów w błąd poprzez przypisywanie działania lub właściwości, których nie posiadają. W każdym przypadku prowadzono postępowania nadzorowe. W toku prowadzonych kontroli stwierdzano m.in. nieprawidłowości związane ze znakowaniem produktu i informacjami zawartymi w treści ofert internetowych. </w:t>
      </w:r>
    </w:p>
    <w:p w14:paraId="5E8D577D" w14:textId="77777777" w:rsidR="00D41677" w:rsidRPr="00B94E96" w:rsidRDefault="00D41677" w:rsidP="00D41677">
      <w:pPr>
        <w:spacing w:line="360" w:lineRule="auto"/>
        <w:rPr>
          <w:rFonts w:ascii="Lato" w:hAnsi="Lato"/>
          <w:sz w:val="22"/>
          <w:szCs w:val="22"/>
        </w:rPr>
      </w:pPr>
      <w:bookmarkStart w:id="130" w:name="_Hlk126067519"/>
    </w:p>
    <w:p w14:paraId="6F6233B1" w14:textId="4B2FF518" w:rsidR="00D41677" w:rsidRPr="00D73DF2" w:rsidRDefault="00D41677">
      <w:pPr>
        <w:pStyle w:val="Nagwek2"/>
        <w:numPr>
          <w:ilvl w:val="0"/>
          <w:numId w:val="24"/>
        </w:numPr>
        <w:spacing w:before="0" w:after="0"/>
        <w:rPr>
          <w:b/>
          <w:bCs/>
        </w:rPr>
      </w:pPr>
      <w:bookmarkStart w:id="131" w:name="_Toc225859068"/>
      <w:bookmarkEnd w:id="130"/>
      <w:r w:rsidRPr="00D73DF2">
        <w:rPr>
          <w:b/>
          <w:bCs/>
        </w:rPr>
        <w:t>System Wczesnego Ostrzegania o Niebezpiecznej Żywności i Paszach – RASFF</w:t>
      </w:r>
      <w:bookmarkEnd w:id="131"/>
    </w:p>
    <w:p w14:paraId="5AA411A2" w14:textId="77777777" w:rsidR="00BA7929" w:rsidRPr="00BA7929" w:rsidRDefault="00BA7929" w:rsidP="00BA7929"/>
    <w:p w14:paraId="256612FA" w14:textId="77777777" w:rsidR="00D41677" w:rsidRPr="00B94E96" w:rsidRDefault="00D41677" w:rsidP="00D41677">
      <w:pPr>
        <w:spacing w:line="360" w:lineRule="auto"/>
        <w:rPr>
          <w:rFonts w:ascii="Lato" w:hAnsi="Lato" w:cs="Calibri"/>
          <w:sz w:val="22"/>
          <w:szCs w:val="22"/>
        </w:rPr>
      </w:pPr>
      <w:r w:rsidRPr="00B94E96">
        <w:rPr>
          <w:rFonts w:ascii="Lato" w:hAnsi="Lato" w:cs="Calibri"/>
          <w:sz w:val="22"/>
          <w:szCs w:val="22"/>
        </w:rPr>
        <w:t>W 2025 roku w ramach funkcjonowania Systemu Wczesnego Ostrzegania o Niebezpiecznej Żywności i Paszach (RASFF), podjęte zostały działania w związku z 225 powiadomieniami o niebezpiecznych produktach żywnościowych.</w:t>
      </w:r>
    </w:p>
    <w:p w14:paraId="57F2B618" w14:textId="77777777" w:rsidR="00D41677" w:rsidRPr="00B94E96" w:rsidRDefault="00D41677" w:rsidP="00D41677">
      <w:pPr>
        <w:spacing w:line="360" w:lineRule="auto"/>
        <w:rPr>
          <w:rFonts w:ascii="Lato" w:hAnsi="Lato" w:cs="Calibri"/>
          <w:sz w:val="22"/>
          <w:szCs w:val="22"/>
        </w:rPr>
      </w:pPr>
      <w:r w:rsidRPr="00B94E96">
        <w:rPr>
          <w:rFonts w:ascii="Lato" w:hAnsi="Lato" w:cs="Calibri"/>
          <w:sz w:val="22"/>
          <w:szCs w:val="22"/>
        </w:rPr>
        <w:t xml:space="preserve">Najczęściej stwierdzanymi przyczynami zgłoszeń były: </w:t>
      </w:r>
      <w:r w:rsidRPr="00B94E96">
        <w:rPr>
          <w:rFonts w:ascii="Lato" w:hAnsi="Lato"/>
          <w:sz w:val="22"/>
          <w:szCs w:val="22"/>
        </w:rPr>
        <w:t xml:space="preserve">ponadnormatywna zawartość pozostałości pestycydów w owocach i warzywach, obecność drobnoustrojów chorobotwórczych w produktach pochodzenia zwierzęcego, </w:t>
      </w:r>
      <w:r w:rsidRPr="00B94E96">
        <w:rPr>
          <w:rFonts w:ascii="Lato" w:hAnsi="Lato" w:cs="Calibri"/>
          <w:sz w:val="22"/>
          <w:szCs w:val="22"/>
        </w:rPr>
        <w:t>nieautoryzowana nowa żywność w suplementach diety, obecność niezadeklarowanych w składzie substancji alergennych,</w:t>
      </w:r>
    </w:p>
    <w:p w14:paraId="1540962E" w14:textId="77777777" w:rsidR="00D41677" w:rsidRPr="00B94E96" w:rsidRDefault="00D41677" w:rsidP="00D41677">
      <w:pPr>
        <w:spacing w:line="360" w:lineRule="auto"/>
        <w:rPr>
          <w:rFonts w:ascii="Lato" w:hAnsi="Lato" w:cs="Calibri"/>
          <w:sz w:val="22"/>
          <w:szCs w:val="22"/>
        </w:rPr>
      </w:pPr>
      <w:r w:rsidRPr="00B94E96">
        <w:rPr>
          <w:rFonts w:ascii="Lato" w:hAnsi="Lato" w:cs="Calibri"/>
          <w:sz w:val="22"/>
          <w:szCs w:val="22"/>
        </w:rPr>
        <w:t>Produkty te były niezwłocznie wycofywane z obrotu handlowego, aby nie stwarzały zagrożenia dla konsumentów. W porównaniu do roku 2024 zwiększyła się znacznie ilość powiadomień zgłaszanych w ramach systemu RASFF.  </w:t>
      </w:r>
    </w:p>
    <w:p w14:paraId="69CE25EB" w14:textId="77777777" w:rsidR="00D41677" w:rsidRPr="00B94E96" w:rsidRDefault="00D41677" w:rsidP="00BA7929">
      <w:pPr>
        <w:pStyle w:val="Nagwek2"/>
      </w:pPr>
    </w:p>
    <w:p w14:paraId="2491A5F4" w14:textId="312ECEC2" w:rsidR="00D41677" w:rsidRPr="00B66B49" w:rsidRDefault="00D41677">
      <w:pPr>
        <w:pStyle w:val="Nagwek2"/>
        <w:numPr>
          <w:ilvl w:val="0"/>
          <w:numId w:val="24"/>
        </w:numPr>
        <w:spacing w:before="0" w:after="0"/>
        <w:rPr>
          <w:b/>
          <w:bCs/>
        </w:rPr>
      </w:pPr>
      <w:bookmarkStart w:id="132" w:name="_Toc225859069"/>
      <w:r w:rsidRPr="00B66B49">
        <w:rPr>
          <w:b/>
          <w:bCs/>
        </w:rPr>
        <w:t>Obrót grzybami i przetwórstwo grzybów oraz zatrucia grzybami</w:t>
      </w:r>
      <w:bookmarkEnd w:id="132"/>
    </w:p>
    <w:p w14:paraId="10C85850" w14:textId="77777777" w:rsidR="00BA7929" w:rsidRPr="00BA7929" w:rsidRDefault="00BA7929" w:rsidP="00BA7929"/>
    <w:p w14:paraId="0298459B" w14:textId="77777777" w:rsidR="00D41677" w:rsidRPr="00FE7AAE" w:rsidRDefault="00D41677" w:rsidP="00FE7AAE">
      <w:pPr>
        <w:spacing w:line="360" w:lineRule="auto"/>
        <w:rPr>
          <w:rFonts w:ascii="Lato" w:hAnsi="Lato"/>
          <w:sz w:val="22"/>
          <w:szCs w:val="22"/>
        </w:rPr>
      </w:pPr>
      <w:r w:rsidRPr="00FE7AAE">
        <w:rPr>
          <w:rFonts w:ascii="Lato" w:hAnsi="Lato"/>
          <w:sz w:val="22"/>
          <w:szCs w:val="22"/>
        </w:rPr>
        <w:t>Przed rozpoczęciem sezonu grzybowego w 2025 r., wzorem lat ubiegłych, państwowi powiatowi inspektorzy sanitarni województwa zachodniopomorskiego wystosowali do jednostek samorządowych pisma wraz ze wskazówkami jakie warunki muszą być spełnione podczas wprowadzania do obrotu handlowego grzybów leśnych.</w:t>
      </w:r>
    </w:p>
    <w:p w14:paraId="26B2F51F" w14:textId="15E2DA3A" w:rsidR="00D41677" w:rsidRPr="00FE7AAE" w:rsidRDefault="00D41677" w:rsidP="00FE7AAE">
      <w:pPr>
        <w:spacing w:line="360" w:lineRule="auto"/>
        <w:rPr>
          <w:rFonts w:ascii="Lato" w:hAnsi="Lato" w:cs="Calibri"/>
          <w:sz w:val="22"/>
          <w:szCs w:val="22"/>
        </w:rPr>
      </w:pPr>
      <w:r w:rsidRPr="00FE7AAE">
        <w:rPr>
          <w:rFonts w:ascii="Lato" w:hAnsi="Lato"/>
          <w:sz w:val="22"/>
          <w:szCs w:val="22"/>
        </w:rPr>
        <w:t xml:space="preserve">W zakresie działalności edukacyjno-szkoleniowej dla konsumentów na stronach internetowych, portalach społecznościowych oraz tablicach ogłoszeniowych stacji sanitarno-epidemiologicznych woj. zachodniopomorskiego umieszczono informacje </w:t>
      </w:r>
      <w:r w:rsidRPr="00FE7AAE">
        <w:rPr>
          <w:rFonts w:ascii="Lato" w:hAnsi="Lato" w:cs="Calibri"/>
          <w:sz w:val="22"/>
          <w:szCs w:val="22"/>
        </w:rPr>
        <w:t xml:space="preserve">dot. regulacji prawnych, możliwości uzyskania porady w zakresie identyfikacji grzybów oraz uzyskania atestu na grzyby świeże, </w:t>
      </w:r>
      <w:r w:rsidRPr="00FE7AAE">
        <w:rPr>
          <w:rFonts w:ascii="Lato" w:hAnsi="Lato"/>
          <w:sz w:val="22"/>
          <w:szCs w:val="22"/>
        </w:rPr>
        <w:t>zasad bezpiecznego</w:t>
      </w:r>
      <w:r w:rsidRPr="00FE7AAE">
        <w:rPr>
          <w:rFonts w:ascii="Lato" w:hAnsi="Lato"/>
          <w:i/>
          <w:iCs/>
          <w:sz w:val="22"/>
          <w:szCs w:val="22"/>
        </w:rPr>
        <w:t xml:space="preserve"> </w:t>
      </w:r>
      <w:r w:rsidRPr="00FE7AAE">
        <w:rPr>
          <w:rFonts w:ascii="Lato" w:hAnsi="Lato"/>
          <w:sz w:val="22"/>
          <w:szCs w:val="22"/>
        </w:rPr>
        <w:t>grzybobrania oraz zasad pierwszej pomocy przy zatruciu grzybami.</w:t>
      </w:r>
      <w:r w:rsidRPr="00FE7AAE">
        <w:rPr>
          <w:rFonts w:ascii="Lato" w:hAnsi="Lato"/>
          <w:i/>
          <w:iCs/>
          <w:sz w:val="22"/>
          <w:szCs w:val="22"/>
        </w:rPr>
        <w:t xml:space="preserve"> </w:t>
      </w:r>
      <w:r w:rsidRPr="00FE7AAE">
        <w:rPr>
          <w:rFonts w:ascii="Lato" w:hAnsi="Lato" w:cs="Calibri"/>
          <w:sz w:val="22"/>
          <w:szCs w:val="22"/>
        </w:rPr>
        <w:t>Organizowano prelekcje, wystawy, konkursy, jak również uczestniczono w</w:t>
      </w:r>
      <w:r w:rsidR="00050E2B">
        <w:rPr>
          <w:rFonts w:ascii="Lato" w:hAnsi="Lato" w:cs="Calibri"/>
          <w:sz w:val="22"/>
          <w:szCs w:val="22"/>
        </w:rPr>
        <w:t> </w:t>
      </w:r>
      <w:r w:rsidRPr="00FE7AAE">
        <w:rPr>
          <w:rFonts w:ascii="Lato" w:hAnsi="Lato" w:cs="Calibri"/>
          <w:sz w:val="22"/>
          <w:szCs w:val="22"/>
        </w:rPr>
        <w:t xml:space="preserve">grzybobraniach ze zorganizowanymi grupami, podczas których rozdawano ulotki, udzielano porad i informacji na temat podstawowych zasad bezpieczeństwa, w tym zasadach wprowadzania do obrotu handlowego grzybów świeżych i suszonych. </w:t>
      </w:r>
    </w:p>
    <w:p w14:paraId="3A726761" w14:textId="72D35C3B" w:rsidR="00D41677" w:rsidRPr="00FE7AAE" w:rsidRDefault="00D41677" w:rsidP="00FE7AAE">
      <w:pPr>
        <w:spacing w:line="360" w:lineRule="auto"/>
        <w:rPr>
          <w:rFonts w:ascii="Lato" w:hAnsi="Lato" w:cs="Calibri"/>
          <w:sz w:val="22"/>
          <w:szCs w:val="22"/>
        </w:rPr>
      </w:pPr>
      <w:r w:rsidRPr="00FE7AAE">
        <w:rPr>
          <w:rFonts w:ascii="Lato" w:hAnsi="Lato" w:cs="Calibri"/>
          <w:sz w:val="22"/>
          <w:szCs w:val="22"/>
        </w:rPr>
        <w:t>W trakcie sezonu grzybowego pracownicy stacji sanitarno-epidemiologicznych posiadający uprawnienia grzyboznawców (10 osób) i klasyfikatorów grzybów (57 osób), prowadzili konsultacje w zakresie gatunkowej oceny przydatności do spożycia zebranych świeżych grzybów leśnych. W roku 2025 wydano 129 atestów, w tym 113 na grzyby świeże i 16 na</w:t>
      </w:r>
      <w:r w:rsidR="00050E2B">
        <w:rPr>
          <w:rFonts w:ascii="Lato" w:hAnsi="Lato" w:cs="Calibri"/>
          <w:sz w:val="22"/>
          <w:szCs w:val="22"/>
        </w:rPr>
        <w:t> </w:t>
      </w:r>
      <w:r w:rsidRPr="00FE7AAE">
        <w:rPr>
          <w:rFonts w:ascii="Lato" w:hAnsi="Lato" w:cs="Calibri"/>
          <w:sz w:val="22"/>
          <w:szCs w:val="22"/>
        </w:rPr>
        <w:t>grzyby suszone.</w:t>
      </w:r>
    </w:p>
    <w:p w14:paraId="51F4B8CC" w14:textId="77777777" w:rsidR="00D41677" w:rsidRPr="00B94E96" w:rsidRDefault="00D41677" w:rsidP="00D41677">
      <w:pPr>
        <w:spacing w:line="360" w:lineRule="auto"/>
        <w:rPr>
          <w:rFonts w:ascii="Lato" w:hAnsi="Lato"/>
          <w:sz w:val="22"/>
          <w:szCs w:val="22"/>
        </w:rPr>
      </w:pPr>
      <w:r w:rsidRPr="00B94E96">
        <w:rPr>
          <w:rFonts w:ascii="Lato" w:hAnsi="Lato" w:cstheme="minorHAnsi"/>
          <w:sz w:val="22"/>
          <w:szCs w:val="22"/>
        </w:rPr>
        <w:t xml:space="preserve">W okresie sezonu grzybowego prowadzono wzmożone czynności nadzorowe w miejscach skupu i obrotu grzybami dzikorosnącymi lub ich przetworami. Przeprowadzono 82 kontrole sanitarne. Nie stwierdzono nieprawidłowości w zakresie sprzedaży, pochodzenia i oznakowania grzybów, z wyjątkiem czterech stoisk na targowiskach, gdzie stwierdzono wprowadzanie do obrotu handlowego grzybów świeżych bez atestu.  W takich przypadkach grzyby były niezwłocznie wycofane z obrotu. </w:t>
      </w:r>
    </w:p>
    <w:p w14:paraId="34624BAB" w14:textId="77777777" w:rsidR="00D41677" w:rsidRPr="00B94E96" w:rsidRDefault="00D41677" w:rsidP="00D41677">
      <w:pPr>
        <w:spacing w:line="360" w:lineRule="auto"/>
        <w:rPr>
          <w:rFonts w:ascii="Lato" w:hAnsi="Lato" w:cstheme="minorHAnsi"/>
          <w:sz w:val="22"/>
          <w:szCs w:val="22"/>
        </w:rPr>
      </w:pPr>
      <w:r w:rsidRPr="00B94E96">
        <w:rPr>
          <w:rFonts w:ascii="Lato" w:hAnsi="Lato" w:cstheme="minorHAnsi"/>
          <w:sz w:val="22"/>
          <w:szCs w:val="22"/>
        </w:rPr>
        <w:t>W 2025 roku do badań laboratoryjnych w ramach urzędowej kontroli żywności i monitoringu pobrano ogółem</w:t>
      </w:r>
      <w:r w:rsidRPr="00B94E96">
        <w:rPr>
          <w:rFonts w:ascii="Lato" w:hAnsi="Lato" w:cstheme="minorHAnsi"/>
          <w:b/>
          <w:bCs/>
          <w:sz w:val="22"/>
          <w:szCs w:val="22"/>
        </w:rPr>
        <w:t xml:space="preserve"> </w:t>
      </w:r>
      <w:r w:rsidRPr="00B94E96">
        <w:rPr>
          <w:rFonts w:ascii="Lato" w:hAnsi="Lato" w:cstheme="minorHAnsi"/>
          <w:sz w:val="22"/>
          <w:szCs w:val="22"/>
        </w:rPr>
        <w:t>17 próbek grzybów świeżych, suszonych i przetworów grzybowych. Wszystkie próbki odpowiadały wymaganiom w zakresie zbadanych parametrów.</w:t>
      </w:r>
    </w:p>
    <w:p w14:paraId="39FDA5A1" w14:textId="77777777" w:rsidR="00D41677" w:rsidRPr="00B94E96" w:rsidRDefault="00D41677" w:rsidP="00D41677">
      <w:pPr>
        <w:spacing w:line="360" w:lineRule="auto"/>
        <w:rPr>
          <w:rFonts w:ascii="Lato" w:hAnsi="Lato" w:cstheme="minorHAnsi"/>
          <w:sz w:val="22"/>
          <w:szCs w:val="22"/>
        </w:rPr>
      </w:pPr>
      <w:r w:rsidRPr="00B94E96">
        <w:rPr>
          <w:rFonts w:ascii="Lato" w:hAnsi="Lato" w:cstheme="minorHAnsi"/>
          <w:sz w:val="22"/>
          <w:szCs w:val="22"/>
        </w:rPr>
        <w:t xml:space="preserve">W województwie zachodniopomorskim w roku 2025 nie odnotowano przypadków zatruć grzybami lub przetworami grzybowymi. </w:t>
      </w:r>
    </w:p>
    <w:p w14:paraId="042BB501" w14:textId="1BCB98F8" w:rsidR="00050E2B" w:rsidRDefault="00050E2B">
      <w:pPr>
        <w:spacing w:after="160" w:line="278" w:lineRule="auto"/>
      </w:pPr>
      <w:r>
        <w:br w:type="page"/>
      </w:r>
    </w:p>
    <w:p w14:paraId="5FAB2542" w14:textId="0F2323B3" w:rsidR="0070701E" w:rsidRPr="00BA2854" w:rsidRDefault="0070701E">
      <w:pPr>
        <w:pStyle w:val="Nagwek1"/>
        <w:numPr>
          <w:ilvl w:val="0"/>
          <w:numId w:val="16"/>
        </w:numPr>
        <w:rPr>
          <w:color w:val="153D63" w:themeColor="text2" w:themeTint="E6"/>
        </w:rPr>
      </w:pPr>
      <w:bookmarkStart w:id="133" w:name="_Toc225859070"/>
      <w:r w:rsidRPr="00BA2854">
        <w:rPr>
          <w:color w:val="153D63" w:themeColor="text2" w:themeTint="E6"/>
        </w:rPr>
        <w:lastRenderedPageBreak/>
        <w:t>Jakość wody przeznaczonej do spożycia oraz ciepłej wody</w:t>
      </w:r>
      <w:bookmarkEnd w:id="133"/>
      <w:r w:rsidRPr="00BA2854">
        <w:rPr>
          <w:color w:val="153D63" w:themeColor="text2" w:themeTint="E6"/>
        </w:rPr>
        <w:t xml:space="preserve"> </w:t>
      </w:r>
    </w:p>
    <w:p w14:paraId="5E3D48A8" w14:textId="77777777" w:rsidR="0070701E" w:rsidRDefault="0070701E" w:rsidP="0070701E">
      <w:pPr>
        <w:spacing w:line="360" w:lineRule="auto"/>
        <w:jc w:val="both"/>
        <w:rPr>
          <w:rFonts w:ascii="Lato" w:hAnsi="Lato" w:cstheme="minorHAnsi"/>
          <w:b/>
          <w:color w:val="000000" w:themeColor="text1"/>
        </w:rPr>
      </w:pPr>
    </w:p>
    <w:p w14:paraId="6B597C77" w14:textId="5EAAF9A8" w:rsidR="0070701E" w:rsidRPr="0070701E" w:rsidRDefault="0070701E" w:rsidP="0070701E">
      <w:pPr>
        <w:spacing w:line="360" w:lineRule="auto"/>
        <w:jc w:val="both"/>
        <w:rPr>
          <w:rFonts w:ascii="Lato" w:hAnsi="Lato" w:cstheme="minorHAnsi"/>
          <w:color w:val="000000" w:themeColor="text1"/>
          <w:sz w:val="22"/>
          <w:szCs w:val="22"/>
        </w:rPr>
      </w:pPr>
      <w:r w:rsidRPr="0070701E">
        <w:rPr>
          <w:rStyle w:val="markedcontent"/>
          <w:rFonts w:ascii="Lato" w:hAnsi="Lato" w:cstheme="minorHAnsi"/>
          <w:color w:val="000000" w:themeColor="text1"/>
          <w:sz w:val="22"/>
          <w:szCs w:val="22"/>
        </w:rPr>
        <w:t>O</w:t>
      </w:r>
      <w:r w:rsidRPr="0070701E">
        <w:rPr>
          <w:rFonts w:ascii="Lato" w:hAnsi="Lato" w:cstheme="minorHAnsi"/>
          <w:color w:val="000000" w:themeColor="text1"/>
          <w:sz w:val="22"/>
          <w:szCs w:val="22"/>
        </w:rPr>
        <w:t>cena jakości wody</w:t>
      </w:r>
      <w:r w:rsidRPr="0070701E">
        <w:rPr>
          <w:rFonts w:ascii="Lato" w:hAnsi="Lato"/>
          <w:sz w:val="22"/>
          <w:szCs w:val="22"/>
        </w:rPr>
        <w:t xml:space="preserve"> </w:t>
      </w:r>
      <w:r w:rsidRPr="0070701E">
        <w:rPr>
          <w:rFonts w:ascii="Lato" w:hAnsi="Lato" w:cstheme="minorHAnsi"/>
          <w:color w:val="000000" w:themeColor="text1"/>
          <w:sz w:val="22"/>
          <w:szCs w:val="22"/>
        </w:rPr>
        <w:t>przeznaczonej do spożycia przeprowadzona została w oparciu o wyniki badań</w:t>
      </w:r>
      <w:r w:rsidR="005E084E">
        <w:rPr>
          <w:rFonts w:ascii="Lato" w:hAnsi="Lato" w:cstheme="minorHAnsi"/>
          <w:color w:val="000000" w:themeColor="text1"/>
          <w:sz w:val="22"/>
          <w:szCs w:val="22"/>
        </w:rPr>
        <w:t xml:space="preserve"> </w:t>
      </w:r>
      <w:r w:rsidRPr="0070701E">
        <w:rPr>
          <w:rFonts w:ascii="Lato" w:hAnsi="Lato" w:cstheme="minorHAnsi"/>
          <w:color w:val="000000" w:themeColor="text1"/>
          <w:sz w:val="22"/>
          <w:szCs w:val="22"/>
        </w:rPr>
        <w:t xml:space="preserve">wykonywanych przez laboratoria o udokumentowanym systemie jakości, zatwierdzonych przez właściwych państwowych inspektorów sanitarnych. Woda do badań pobierana była przez osoby posiadające odpowiednie kwalifikacje i uprawnienia zarówno przez przedsiębiorstwa wodociągowe (kontrola wewnętrzna), jak i Państwową Inspekcję Sanitarną (kontrola urzędowa). </w:t>
      </w:r>
    </w:p>
    <w:p w14:paraId="67022DF7" w14:textId="3F961DF4" w:rsidR="0070701E" w:rsidRPr="0070701E" w:rsidRDefault="0070701E">
      <w:pPr>
        <w:pStyle w:val="Nagwek2"/>
        <w:numPr>
          <w:ilvl w:val="0"/>
          <w:numId w:val="19"/>
        </w:numPr>
        <w:rPr>
          <w:b/>
          <w:bCs/>
        </w:rPr>
      </w:pPr>
      <w:bookmarkStart w:id="134" w:name="_Toc225859071"/>
      <w:r w:rsidRPr="0070701E">
        <w:rPr>
          <w:b/>
          <w:bCs/>
        </w:rPr>
        <w:t>Jakość wody do spożycia</w:t>
      </w:r>
      <w:bookmarkEnd w:id="134"/>
    </w:p>
    <w:p w14:paraId="59AA4D46" w14:textId="52217965" w:rsidR="0070701E" w:rsidRDefault="0070701E">
      <w:pPr>
        <w:pStyle w:val="Nagwek3"/>
        <w:numPr>
          <w:ilvl w:val="1"/>
          <w:numId w:val="19"/>
        </w:numPr>
        <w:rPr>
          <w:color w:val="auto"/>
        </w:rPr>
      </w:pPr>
      <w:bookmarkStart w:id="135" w:name="_Toc225859072"/>
      <w:r w:rsidRPr="0070701E">
        <w:rPr>
          <w:color w:val="auto"/>
        </w:rPr>
        <w:t>Infrastruktura zaopatrzenia ludności w wodę</w:t>
      </w:r>
      <w:bookmarkEnd w:id="135"/>
    </w:p>
    <w:p w14:paraId="0F3E3A84" w14:textId="77777777" w:rsidR="00560DE7" w:rsidRPr="006E791B" w:rsidRDefault="00560DE7" w:rsidP="00560DE7">
      <w:pPr>
        <w:rPr>
          <w:rFonts w:ascii="Lato" w:hAnsi="Lato"/>
          <w:sz w:val="22"/>
          <w:szCs w:val="22"/>
        </w:rPr>
      </w:pPr>
    </w:p>
    <w:p w14:paraId="7D088460" w14:textId="08A89AC6" w:rsidR="0070701E" w:rsidRPr="0070701E" w:rsidRDefault="0070701E" w:rsidP="0070701E">
      <w:pPr>
        <w:spacing w:line="360" w:lineRule="auto"/>
        <w:jc w:val="both"/>
        <w:rPr>
          <w:rFonts w:ascii="Lato" w:hAnsi="Lato" w:cstheme="minorHAnsi"/>
          <w:color w:val="000000" w:themeColor="text1"/>
          <w:sz w:val="22"/>
          <w:szCs w:val="22"/>
        </w:rPr>
      </w:pPr>
      <w:r w:rsidRPr="0070701E">
        <w:rPr>
          <w:rFonts w:ascii="Lato" w:hAnsi="Lato" w:cstheme="minorHAnsi"/>
          <w:color w:val="000000" w:themeColor="text1"/>
          <w:sz w:val="22"/>
          <w:szCs w:val="22"/>
        </w:rPr>
        <w:t>Na terenie woj. zachodniopomorskiego w 2025 roku znajdowało się 849 obiektów i urządzeń wodociągowych, służących do zbiorowego zaopatrzenia ludności w wodę oraz 159 obiektów wykorzystujących wodę z indywidualnych ujęć do działalności gospodarczej lub w budynkach użyteczności publicznej, budynkach zamieszkania zbiorowego albo w podmiotach działających na rynku spożywczym. Zbiorowe zaopatrzenie w wodę, na terenie woj. zachodniopomorskiego, z podziałem na  ilość produkowanej wody, przedstawia tabela 1</w:t>
      </w:r>
      <w:r w:rsidR="00C7590E">
        <w:rPr>
          <w:rFonts w:ascii="Lato" w:hAnsi="Lato" w:cstheme="minorHAnsi"/>
          <w:color w:val="000000" w:themeColor="text1"/>
          <w:sz w:val="22"/>
          <w:szCs w:val="22"/>
        </w:rPr>
        <w:t>9</w:t>
      </w:r>
      <w:r w:rsidRPr="0070701E">
        <w:rPr>
          <w:rFonts w:ascii="Lato" w:hAnsi="Lato" w:cstheme="minorHAnsi"/>
          <w:color w:val="000000" w:themeColor="text1"/>
          <w:sz w:val="22"/>
          <w:szCs w:val="22"/>
        </w:rPr>
        <w:t>.</w:t>
      </w:r>
    </w:p>
    <w:p w14:paraId="5DC83D08" w14:textId="124D662C" w:rsidR="0070701E" w:rsidRDefault="0070701E">
      <w:pPr>
        <w:pStyle w:val="Nagwek3"/>
        <w:numPr>
          <w:ilvl w:val="1"/>
          <w:numId w:val="19"/>
        </w:numPr>
        <w:rPr>
          <w:color w:val="auto"/>
        </w:rPr>
      </w:pPr>
      <w:bookmarkStart w:id="136" w:name="_Toc225859073"/>
      <w:r w:rsidRPr="004108D0">
        <w:rPr>
          <w:color w:val="auto"/>
        </w:rPr>
        <w:t>Nadzór nad jakością wody do spożycia</w:t>
      </w:r>
      <w:bookmarkEnd w:id="136"/>
    </w:p>
    <w:p w14:paraId="79044DAB" w14:textId="77777777" w:rsidR="00560DE7" w:rsidRPr="00560DE7" w:rsidRDefault="00560DE7" w:rsidP="00560DE7"/>
    <w:p w14:paraId="0337E4EE" w14:textId="2528FC29" w:rsidR="0070701E" w:rsidRPr="004108D0" w:rsidRDefault="0070701E" w:rsidP="00DB3C4E">
      <w:pPr>
        <w:spacing w:line="360" w:lineRule="auto"/>
        <w:rPr>
          <w:rFonts w:ascii="Lato" w:hAnsi="Lato" w:cstheme="minorHAnsi"/>
          <w:color w:val="000000" w:themeColor="text1"/>
          <w:sz w:val="22"/>
          <w:szCs w:val="22"/>
        </w:rPr>
      </w:pPr>
      <w:r w:rsidRPr="004108D0">
        <w:rPr>
          <w:rFonts w:ascii="Lato" w:hAnsi="Lato" w:cstheme="minorHAnsi"/>
          <w:color w:val="000000" w:themeColor="text1"/>
          <w:sz w:val="22"/>
          <w:szCs w:val="22"/>
        </w:rPr>
        <w:t>Badania jakości wody z ujęć, wodociągów, urządzeń i sieci wodociągowych realizowane były w</w:t>
      </w:r>
      <w:r w:rsidR="00FE3EEE">
        <w:rPr>
          <w:rFonts w:ascii="Lato" w:hAnsi="Lato" w:cstheme="minorHAnsi"/>
          <w:color w:val="000000" w:themeColor="text1"/>
          <w:sz w:val="22"/>
          <w:szCs w:val="22"/>
        </w:rPr>
        <w:t> </w:t>
      </w:r>
      <w:r w:rsidRPr="004108D0">
        <w:rPr>
          <w:rFonts w:ascii="Lato" w:hAnsi="Lato" w:cstheme="minorHAnsi"/>
          <w:color w:val="000000" w:themeColor="text1"/>
          <w:sz w:val="22"/>
          <w:szCs w:val="22"/>
        </w:rPr>
        <w:t xml:space="preserve">oparciu o rozporządzenie </w:t>
      </w:r>
      <w:r w:rsidRPr="004108D0">
        <w:rPr>
          <w:rStyle w:val="markedcontent"/>
          <w:rFonts w:ascii="Lato" w:hAnsi="Lato" w:cstheme="minorHAnsi"/>
          <w:color w:val="000000" w:themeColor="text1"/>
          <w:sz w:val="22"/>
          <w:szCs w:val="22"/>
        </w:rPr>
        <w:t xml:space="preserve">Ministra Zdrowia z dnia 7 grudnia 2017 r. </w:t>
      </w:r>
      <w:r w:rsidRPr="004108D0">
        <w:rPr>
          <w:rStyle w:val="markedcontent"/>
          <w:rFonts w:ascii="Lato" w:hAnsi="Lato" w:cstheme="minorHAnsi"/>
          <w:i/>
          <w:iCs/>
          <w:color w:val="000000" w:themeColor="text1"/>
          <w:sz w:val="22"/>
          <w:szCs w:val="22"/>
        </w:rPr>
        <w:t xml:space="preserve">w sprawie jakości wody przeznaczonej do spożycia przez ludzi, </w:t>
      </w:r>
      <w:r w:rsidRPr="004108D0">
        <w:rPr>
          <w:rStyle w:val="markedcontent"/>
          <w:rFonts w:ascii="Lato" w:hAnsi="Lato" w:cstheme="minorHAnsi"/>
          <w:color w:val="000000" w:themeColor="text1"/>
          <w:sz w:val="22"/>
          <w:szCs w:val="22"/>
        </w:rPr>
        <w:t xml:space="preserve">dot. </w:t>
      </w:r>
      <w:r w:rsidRPr="004108D0">
        <w:rPr>
          <w:rFonts w:ascii="Lato" w:hAnsi="Lato"/>
          <w:sz w:val="22"/>
          <w:szCs w:val="22"/>
        </w:rPr>
        <w:t>zarówno zakresu</w:t>
      </w:r>
      <w:r w:rsidRPr="004108D0">
        <w:rPr>
          <w:rFonts w:ascii="Lato" w:hAnsi="Lato" w:cstheme="minorHAnsi"/>
          <w:color w:val="000000" w:themeColor="text1"/>
          <w:sz w:val="22"/>
          <w:szCs w:val="22"/>
        </w:rPr>
        <w:t xml:space="preserve"> badań jak i częstotliwości pobierania próbek. Próbki wody pobierane były zgodnie z wcześniej ustalonym harmonogramem, głównie z punktów zlokalizowanych na sieci wodociągowej (u odbiorców) oraz w stacjach uzdatniania wody. Wyjątek stanowiły badania jakości wody z obiektów wykorzystujących wodę z</w:t>
      </w:r>
      <w:r w:rsidR="00DB3C4E">
        <w:rPr>
          <w:rFonts w:ascii="Lato" w:hAnsi="Lato" w:cstheme="minorHAnsi"/>
          <w:color w:val="000000" w:themeColor="text1"/>
          <w:sz w:val="22"/>
          <w:szCs w:val="22"/>
        </w:rPr>
        <w:t> </w:t>
      </w:r>
      <w:r w:rsidRPr="004108D0">
        <w:rPr>
          <w:rFonts w:ascii="Lato" w:hAnsi="Lato" w:cstheme="minorHAnsi"/>
          <w:color w:val="000000" w:themeColor="text1"/>
          <w:sz w:val="22"/>
          <w:szCs w:val="22"/>
        </w:rPr>
        <w:t>indywidualnych ujęć, gdzie zakres badań oraz częstotliwość pobierania próbek wody były ustalane każdorazowo z właściwym państwowym powiatowym lub państwowym granicznym inspektorem sanitarnym.</w:t>
      </w:r>
    </w:p>
    <w:p w14:paraId="12561EAF" w14:textId="6A96A3DA" w:rsidR="0070701E" w:rsidRDefault="0070701E" w:rsidP="00DB3C4E">
      <w:pPr>
        <w:pStyle w:val="Stylnastroninternet"/>
        <w:spacing w:line="360" w:lineRule="auto"/>
        <w:ind w:firstLine="0"/>
        <w:rPr>
          <w:rFonts w:ascii="Lato" w:hAnsi="Lato" w:cstheme="minorHAnsi"/>
          <w:color w:val="000000" w:themeColor="text1"/>
          <w:sz w:val="22"/>
        </w:rPr>
      </w:pPr>
      <w:r w:rsidRPr="004108D0">
        <w:rPr>
          <w:rFonts w:ascii="Lato" w:hAnsi="Lato" w:cstheme="minorHAnsi"/>
          <w:color w:val="000000" w:themeColor="text1"/>
          <w:sz w:val="22"/>
        </w:rPr>
        <w:t>W 2025 roku organy Państwowej Inspekcji Sanitarnej na terenie woj. zachodniopomorskiego pobrały 1</w:t>
      </w:r>
      <w:r w:rsidR="004A046E">
        <w:rPr>
          <w:rFonts w:ascii="Lato" w:hAnsi="Lato" w:cstheme="minorHAnsi"/>
          <w:color w:val="000000" w:themeColor="text1"/>
          <w:sz w:val="22"/>
        </w:rPr>
        <w:t> </w:t>
      </w:r>
      <w:r w:rsidRPr="004108D0">
        <w:rPr>
          <w:rFonts w:ascii="Lato" w:hAnsi="Lato" w:cstheme="minorHAnsi"/>
          <w:color w:val="000000" w:themeColor="text1"/>
          <w:sz w:val="22"/>
        </w:rPr>
        <w:t xml:space="preserve">831 próbek wody do badań, z </w:t>
      </w:r>
      <w:r w:rsidR="005E084E">
        <w:rPr>
          <w:rFonts w:ascii="Lato" w:hAnsi="Lato" w:cstheme="minorHAnsi"/>
          <w:color w:val="000000" w:themeColor="text1"/>
          <w:sz w:val="22"/>
        </w:rPr>
        <w:t>których</w:t>
      </w:r>
      <w:r w:rsidRPr="004108D0">
        <w:rPr>
          <w:rFonts w:ascii="Lato" w:hAnsi="Lato" w:cstheme="minorHAnsi"/>
          <w:color w:val="000000" w:themeColor="text1"/>
          <w:sz w:val="22"/>
        </w:rPr>
        <w:t xml:space="preserve"> 374</w:t>
      </w:r>
      <w:r w:rsidR="005E084E">
        <w:rPr>
          <w:rFonts w:ascii="Lato" w:hAnsi="Lato" w:cstheme="minorHAnsi"/>
          <w:color w:val="000000" w:themeColor="text1"/>
          <w:sz w:val="22"/>
        </w:rPr>
        <w:t xml:space="preserve"> zakwestionowano ze względu na</w:t>
      </w:r>
      <w:r w:rsidR="00DB3C4E">
        <w:rPr>
          <w:rFonts w:ascii="Lato" w:hAnsi="Lato" w:cstheme="minorHAnsi"/>
          <w:color w:val="000000" w:themeColor="text1"/>
          <w:sz w:val="22"/>
        </w:rPr>
        <w:t> </w:t>
      </w:r>
      <w:r w:rsidRPr="004108D0">
        <w:rPr>
          <w:rFonts w:ascii="Lato" w:hAnsi="Lato" w:cstheme="minorHAnsi"/>
          <w:color w:val="000000" w:themeColor="text1"/>
          <w:sz w:val="22"/>
        </w:rPr>
        <w:t>przekroczenia parametrów jakościowych. Przedsiębiorstwa wodociągow</w:t>
      </w:r>
      <w:r w:rsidR="004A046E">
        <w:rPr>
          <w:rFonts w:ascii="Lato" w:hAnsi="Lato" w:cstheme="minorHAnsi"/>
          <w:color w:val="000000" w:themeColor="text1"/>
          <w:sz w:val="22"/>
        </w:rPr>
        <w:t>e</w:t>
      </w:r>
      <w:r w:rsidRPr="004108D0">
        <w:rPr>
          <w:rFonts w:ascii="Lato" w:hAnsi="Lato" w:cstheme="minorHAnsi"/>
          <w:color w:val="000000" w:themeColor="text1"/>
          <w:sz w:val="22"/>
        </w:rPr>
        <w:t xml:space="preserve"> oraz podmioty wykorzystujące wodę pochodzącą z indywidualnych ujęć, pobrały 4 241 próbek wody do badań</w:t>
      </w:r>
      <w:r w:rsidR="004A046E">
        <w:rPr>
          <w:rFonts w:ascii="Lato" w:hAnsi="Lato" w:cstheme="minorHAnsi"/>
          <w:color w:val="000000" w:themeColor="text1"/>
          <w:sz w:val="22"/>
        </w:rPr>
        <w:t xml:space="preserve"> w ramach tzw. kontroli wewnętrznej</w:t>
      </w:r>
      <w:r w:rsidRPr="004108D0">
        <w:rPr>
          <w:rFonts w:ascii="Lato" w:hAnsi="Lato" w:cstheme="minorHAnsi"/>
          <w:color w:val="000000" w:themeColor="text1"/>
          <w:sz w:val="22"/>
        </w:rPr>
        <w:t xml:space="preserve">, z </w:t>
      </w:r>
      <w:r w:rsidR="004A046E">
        <w:rPr>
          <w:rFonts w:ascii="Lato" w:hAnsi="Lato" w:cstheme="minorHAnsi"/>
          <w:color w:val="000000" w:themeColor="text1"/>
          <w:sz w:val="22"/>
        </w:rPr>
        <w:t xml:space="preserve">których zakwestionowano </w:t>
      </w:r>
      <w:r w:rsidRPr="004108D0">
        <w:rPr>
          <w:rFonts w:ascii="Lato" w:hAnsi="Lato" w:cstheme="minorHAnsi"/>
          <w:color w:val="000000" w:themeColor="text1"/>
          <w:sz w:val="22"/>
        </w:rPr>
        <w:t xml:space="preserve">602 </w:t>
      </w:r>
      <w:r w:rsidR="004A046E">
        <w:rPr>
          <w:rFonts w:ascii="Lato" w:hAnsi="Lato" w:cstheme="minorHAnsi"/>
          <w:color w:val="000000" w:themeColor="text1"/>
          <w:sz w:val="22"/>
        </w:rPr>
        <w:t>z uwagi na</w:t>
      </w:r>
      <w:r w:rsidR="00DB3C4E">
        <w:rPr>
          <w:rFonts w:ascii="Lato" w:hAnsi="Lato" w:cstheme="minorHAnsi"/>
          <w:color w:val="000000" w:themeColor="text1"/>
          <w:sz w:val="22"/>
        </w:rPr>
        <w:t> </w:t>
      </w:r>
      <w:r w:rsidRPr="004108D0">
        <w:rPr>
          <w:rFonts w:ascii="Lato" w:hAnsi="Lato" w:cstheme="minorHAnsi"/>
          <w:color w:val="000000" w:themeColor="text1"/>
          <w:sz w:val="22"/>
        </w:rPr>
        <w:t xml:space="preserve">przekroczenia </w:t>
      </w:r>
      <w:r w:rsidR="00C02285">
        <w:rPr>
          <w:rFonts w:ascii="Lato" w:hAnsi="Lato" w:cstheme="minorHAnsi"/>
          <w:color w:val="000000" w:themeColor="text1"/>
          <w:sz w:val="22"/>
        </w:rPr>
        <w:t>normatywów jakościowych</w:t>
      </w:r>
      <w:r w:rsidRPr="004108D0">
        <w:rPr>
          <w:rFonts w:ascii="Lato" w:hAnsi="Lato" w:cstheme="minorHAnsi"/>
          <w:color w:val="000000" w:themeColor="text1"/>
          <w:sz w:val="22"/>
        </w:rPr>
        <w:t>.</w:t>
      </w:r>
    </w:p>
    <w:p w14:paraId="2392FD7A" w14:textId="77777777" w:rsidR="000C003D" w:rsidRPr="004108D0" w:rsidRDefault="000C003D" w:rsidP="00DB3C4E">
      <w:pPr>
        <w:pStyle w:val="Stylnastroninternet"/>
        <w:spacing w:line="360" w:lineRule="auto"/>
        <w:ind w:firstLine="0"/>
        <w:rPr>
          <w:rFonts w:ascii="Lato" w:hAnsi="Lato" w:cstheme="minorHAnsi"/>
          <w:color w:val="000000" w:themeColor="text1"/>
          <w:sz w:val="22"/>
        </w:rPr>
      </w:pPr>
    </w:p>
    <w:p w14:paraId="05D9F2E6" w14:textId="0F1D567B" w:rsidR="000C003D" w:rsidRPr="0070701E" w:rsidRDefault="000C003D" w:rsidP="000C003D">
      <w:pPr>
        <w:pStyle w:val="Legenda"/>
        <w:rPr>
          <w:rFonts w:ascii="Lato" w:hAnsi="Lato" w:cstheme="minorHAnsi"/>
          <w:b w:val="0"/>
          <w:bCs w:val="0"/>
          <w:color w:val="000000" w:themeColor="text1"/>
          <w:sz w:val="18"/>
          <w:szCs w:val="18"/>
        </w:rPr>
      </w:pPr>
      <w:bookmarkStart w:id="137" w:name="_Toc225859375"/>
      <w:r w:rsidRPr="0070701E">
        <w:rPr>
          <w:rFonts w:ascii="Lato" w:hAnsi="Lato"/>
          <w:b w:val="0"/>
          <w:bCs w:val="0"/>
          <w:sz w:val="18"/>
          <w:szCs w:val="18"/>
        </w:rPr>
        <w:lastRenderedPageBreak/>
        <w:t xml:space="preserve">Tabela </w:t>
      </w:r>
      <w:r w:rsidRPr="0070701E">
        <w:rPr>
          <w:rFonts w:ascii="Lato" w:hAnsi="Lato"/>
          <w:b w:val="0"/>
          <w:bCs w:val="0"/>
          <w:sz w:val="18"/>
          <w:szCs w:val="18"/>
        </w:rPr>
        <w:fldChar w:fldCharType="begin"/>
      </w:r>
      <w:r w:rsidRPr="0070701E">
        <w:rPr>
          <w:rFonts w:ascii="Lato" w:hAnsi="Lato"/>
          <w:b w:val="0"/>
          <w:bCs w:val="0"/>
          <w:sz w:val="18"/>
          <w:szCs w:val="18"/>
        </w:rPr>
        <w:instrText xml:space="preserve"> SEQ Tabela \* ARABIC </w:instrText>
      </w:r>
      <w:r w:rsidRPr="0070701E">
        <w:rPr>
          <w:rFonts w:ascii="Lato" w:hAnsi="Lato"/>
          <w:b w:val="0"/>
          <w:bCs w:val="0"/>
          <w:sz w:val="18"/>
          <w:szCs w:val="18"/>
        </w:rPr>
        <w:fldChar w:fldCharType="separate"/>
      </w:r>
      <w:r w:rsidR="002A3179">
        <w:rPr>
          <w:rFonts w:ascii="Lato" w:hAnsi="Lato"/>
          <w:b w:val="0"/>
          <w:bCs w:val="0"/>
          <w:noProof/>
          <w:sz w:val="18"/>
          <w:szCs w:val="18"/>
        </w:rPr>
        <w:t>19</w:t>
      </w:r>
      <w:r w:rsidRPr="0070701E">
        <w:rPr>
          <w:rFonts w:ascii="Lato" w:hAnsi="Lato"/>
          <w:b w:val="0"/>
          <w:bCs w:val="0"/>
          <w:sz w:val="18"/>
          <w:szCs w:val="18"/>
        </w:rPr>
        <w:fldChar w:fldCharType="end"/>
      </w:r>
      <w:r w:rsidRPr="0070701E">
        <w:rPr>
          <w:rFonts w:ascii="Lato" w:hAnsi="Lato"/>
          <w:b w:val="0"/>
          <w:bCs w:val="0"/>
          <w:sz w:val="18"/>
          <w:szCs w:val="18"/>
        </w:rPr>
        <w:t>. Zestawienie liczbowe obiektów i urządzeń zaopatrujących ludność w wodę do spożycia na terenie woj. zachodniopomorskiego w 2025 r. - wodociągi w ewidencji organów Państwowej Inspekcji Sanitarnej.</w:t>
      </w:r>
      <w:bookmarkEnd w:id="137"/>
    </w:p>
    <w:tbl>
      <w:tblPr>
        <w:tblW w:w="9557" w:type="dxa"/>
        <w:tblLayout w:type="fixed"/>
        <w:tblCellMar>
          <w:left w:w="70" w:type="dxa"/>
          <w:right w:w="70" w:type="dxa"/>
        </w:tblCellMar>
        <w:tblLook w:val="04A0" w:firstRow="1" w:lastRow="0" w:firstColumn="1" w:lastColumn="0" w:noHBand="0" w:noVBand="1"/>
      </w:tblPr>
      <w:tblGrid>
        <w:gridCol w:w="1249"/>
        <w:gridCol w:w="1394"/>
        <w:gridCol w:w="613"/>
        <w:gridCol w:w="708"/>
        <w:gridCol w:w="851"/>
        <w:gridCol w:w="850"/>
        <w:gridCol w:w="993"/>
        <w:gridCol w:w="2126"/>
        <w:gridCol w:w="773"/>
      </w:tblGrid>
      <w:tr w:rsidR="000C003D" w:rsidRPr="002F181A" w14:paraId="2F10B418" w14:textId="77777777" w:rsidTr="007F3DAB">
        <w:trPr>
          <w:trHeight w:val="414"/>
        </w:trPr>
        <w:tc>
          <w:tcPr>
            <w:tcW w:w="124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48030D" w14:textId="77777777" w:rsidR="000C003D" w:rsidRPr="002F181A" w:rsidRDefault="000C003D" w:rsidP="007F3DAB">
            <w:pPr>
              <w:spacing w:line="240" w:lineRule="exact"/>
              <w:jc w:val="center"/>
              <w:rPr>
                <w:rFonts w:ascii="Lato" w:hAnsi="Lato" w:cs="Calibri"/>
                <w:b/>
                <w:bCs/>
                <w:sz w:val="20"/>
                <w:szCs w:val="20"/>
              </w:rPr>
            </w:pPr>
            <w:r w:rsidRPr="002F181A">
              <w:rPr>
                <w:rFonts w:ascii="Lato" w:hAnsi="Lato" w:cs="Calibri"/>
                <w:b/>
                <w:bCs/>
                <w:sz w:val="20"/>
                <w:szCs w:val="20"/>
              </w:rPr>
              <w:t>Powiat</w:t>
            </w:r>
          </w:p>
        </w:tc>
        <w:tc>
          <w:tcPr>
            <w:tcW w:w="13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A9C49F" w14:textId="77777777" w:rsidR="000C003D" w:rsidRPr="002F181A" w:rsidRDefault="000C003D" w:rsidP="007F3DAB">
            <w:pPr>
              <w:spacing w:line="240" w:lineRule="exact"/>
              <w:jc w:val="center"/>
              <w:rPr>
                <w:rFonts w:ascii="Lato" w:hAnsi="Lato" w:cs="Calibri"/>
                <w:b/>
                <w:bCs/>
                <w:sz w:val="20"/>
                <w:szCs w:val="20"/>
              </w:rPr>
            </w:pPr>
            <w:r w:rsidRPr="002F181A">
              <w:rPr>
                <w:rFonts w:ascii="Lato" w:hAnsi="Lato" w:cs="Calibri"/>
                <w:b/>
                <w:bCs/>
                <w:sz w:val="20"/>
                <w:szCs w:val="20"/>
              </w:rPr>
              <w:t xml:space="preserve">Urządzenia do produkcji wody </w:t>
            </w:r>
          </w:p>
        </w:tc>
        <w:tc>
          <w:tcPr>
            <w:tcW w:w="6914" w:type="dxa"/>
            <w:gridSpan w:val="7"/>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9E8B266" w14:textId="77777777" w:rsidR="000C003D" w:rsidRPr="002F181A" w:rsidRDefault="000C003D" w:rsidP="007F3DAB">
            <w:pPr>
              <w:spacing w:line="240" w:lineRule="exact"/>
              <w:jc w:val="center"/>
              <w:rPr>
                <w:rFonts w:ascii="Lato" w:hAnsi="Lato" w:cs="Calibri"/>
                <w:b/>
                <w:bCs/>
                <w:sz w:val="20"/>
                <w:szCs w:val="20"/>
              </w:rPr>
            </w:pPr>
            <w:r w:rsidRPr="002F181A">
              <w:rPr>
                <w:rFonts w:ascii="Lato" w:hAnsi="Lato" w:cs="Calibri"/>
                <w:b/>
                <w:bCs/>
                <w:sz w:val="20"/>
                <w:szCs w:val="20"/>
              </w:rPr>
              <w:t>Produkcja wody  (m</w:t>
            </w:r>
            <w:r w:rsidRPr="002F181A">
              <w:rPr>
                <w:rFonts w:ascii="Lato" w:hAnsi="Lato" w:cs="Calibri"/>
                <w:b/>
                <w:bCs/>
                <w:sz w:val="20"/>
                <w:szCs w:val="20"/>
                <w:vertAlign w:val="superscript"/>
              </w:rPr>
              <w:t>3</w:t>
            </w:r>
            <w:r w:rsidRPr="002F181A">
              <w:rPr>
                <w:rFonts w:ascii="Lato" w:hAnsi="Lato" w:cs="Calibri"/>
                <w:b/>
                <w:bCs/>
                <w:sz w:val="20"/>
                <w:szCs w:val="20"/>
              </w:rPr>
              <w:t>/d)</w:t>
            </w:r>
          </w:p>
        </w:tc>
      </w:tr>
      <w:tr w:rsidR="000C003D" w:rsidRPr="002F181A" w14:paraId="43B03EC1" w14:textId="77777777" w:rsidTr="007F3DAB">
        <w:trPr>
          <w:trHeight w:val="414"/>
        </w:trPr>
        <w:tc>
          <w:tcPr>
            <w:tcW w:w="124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D9C9AC" w14:textId="77777777" w:rsidR="000C003D" w:rsidRPr="002F181A" w:rsidRDefault="000C003D" w:rsidP="007F3DAB">
            <w:pPr>
              <w:spacing w:line="240" w:lineRule="exact"/>
              <w:rPr>
                <w:rFonts w:ascii="Lato" w:hAnsi="Lato" w:cs="Calibri"/>
                <w:b/>
                <w:bCs/>
                <w:sz w:val="20"/>
                <w:szCs w:val="20"/>
              </w:rPr>
            </w:pPr>
          </w:p>
        </w:tc>
        <w:tc>
          <w:tcPr>
            <w:tcW w:w="13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1A93DD" w14:textId="77777777" w:rsidR="000C003D" w:rsidRPr="002F181A" w:rsidRDefault="000C003D" w:rsidP="007F3DAB">
            <w:pPr>
              <w:spacing w:line="240" w:lineRule="exact"/>
              <w:rPr>
                <w:rFonts w:ascii="Lato" w:hAnsi="Lato" w:cs="Calibri"/>
                <w:b/>
                <w:bCs/>
                <w:sz w:val="20"/>
                <w:szCs w:val="20"/>
              </w:rPr>
            </w:pPr>
          </w:p>
        </w:tc>
        <w:tc>
          <w:tcPr>
            <w:tcW w:w="613" w:type="dxa"/>
            <w:tcBorders>
              <w:top w:val="nil"/>
              <w:left w:val="nil"/>
              <w:bottom w:val="single" w:sz="4" w:space="0" w:color="auto"/>
              <w:right w:val="single" w:sz="4" w:space="0" w:color="auto"/>
            </w:tcBorders>
            <w:shd w:val="clear" w:color="auto" w:fill="D9D9D9" w:themeFill="background1" w:themeFillShade="D9"/>
            <w:vAlign w:val="center"/>
            <w:hideMark/>
          </w:tcPr>
          <w:p w14:paraId="3AA770F5" w14:textId="77777777" w:rsidR="000C003D" w:rsidRPr="002F181A" w:rsidRDefault="000C003D" w:rsidP="007F3DAB">
            <w:pPr>
              <w:spacing w:line="240" w:lineRule="exact"/>
              <w:jc w:val="center"/>
              <w:rPr>
                <w:rFonts w:ascii="Lato" w:hAnsi="Lato" w:cs="Calibri"/>
                <w:b/>
                <w:bCs/>
                <w:sz w:val="20"/>
                <w:szCs w:val="20"/>
              </w:rPr>
            </w:pPr>
            <w:r w:rsidRPr="002F181A">
              <w:rPr>
                <w:rFonts w:ascii="Lato" w:hAnsi="Lato" w:cs="Calibri"/>
                <w:b/>
                <w:bCs/>
                <w:sz w:val="20"/>
                <w:szCs w:val="20"/>
              </w:rPr>
              <w:t>≤100</w:t>
            </w:r>
          </w:p>
        </w:tc>
        <w:tc>
          <w:tcPr>
            <w:tcW w:w="708" w:type="dxa"/>
            <w:tcBorders>
              <w:top w:val="nil"/>
              <w:left w:val="nil"/>
              <w:bottom w:val="single" w:sz="4" w:space="0" w:color="auto"/>
              <w:right w:val="single" w:sz="4" w:space="0" w:color="auto"/>
            </w:tcBorders>
            <w:shd w:val="clear" w:color="auto" w:fill="D9D9D9" w:themeFill="background1" w:themeFillShade="D9"/>
            <w:vAlign w:val="center"/>
            <w:hideMark/>
          </w:tcPr>
          <w:p w14:paraId="44A54198" w14:textId="77777777" w:rsidR="000C003D" w:rsidRPr="002F181A" w:rsidRDefault="000C003D" w:rsidP="007F3DAB">
            <w:pPr>
              <w:spacing w:line="240" w:lineRule="exact"/>
              <w:jc w:val="center"/>
              <w:rPr>
                <w:rFonts w:ascii="Lato" w:hAnsi="Lato" w:cs="Calibri"/>
                <w:b/>
                <w:bCs/>
                <w:sz w:val="20"/>
                <w:szCs w:val="20"/>
              </w:rPr>
            </w:pPr>
            <w:r w:rsidRPr="002F181A">
              <w:rPr>
                <w:rFonts w:ascii="Lato" w:hAnsi="Lato" w:cs="Calibri"/>
                <w:b/>
                <w:bCs/>
                <w:sz w:val="20"/>
                <w:szCs w:val="20"/>
              </w:rPr>
              <w:t>101-1000</w:t>
            </w:r>
          </w:p>
        </w:tc>
        <w:tc>
          <w:tcPr>
            <w:tcW w:w="851" w:type="dxa"/>
            <w:tcBorders>
              <w:top w:val="nil"/>
              <w:left w:val="nil"/>
              <w:bottom w:val="single" w:sz="4" w:space="0" w:color="auto"/>
              <w:right w:val="single" w:sz="4" w:space="0" w:color="auto"/>
            </w:tcBorders>
            <w:shd w:val="clear" w:color="auto" w:fill="D9D9D9" w:themeFill="background1" w:themeFillShade="D9"/>
            <w:vAlign w:val="center"/>
            <w:hideMark/>
          </w:tcPr>
          <w:p w14:paraId="12D22EDA" w14:textId="77777777" w:rsidR="000C003D" w:rsidRPr="002F181A" w:rsidRDefault="000C003D" w:rsidP="007F3DAB">
            <w:pPr>
              <w:spacing w:line="240" w:lineRule="exact"/>
              <w:jc w:val="center"/>
              <w:rPr>
                <w:rFonts w:ascii="Lato" w:hAnsi="Lato" w:cs="Calibri"/>
                <w:b/>
                <w:bCs/>
                <w:sz w:val="20"/>
                <w:szCs w:val="20"/>
              </w:rPr>
            </w:pPr>
            <w:r w:rsidRPr="002F181A">
              <w:rPr>
                <w:rFonts w:ascii="Lato" w:hAnsi="Lato" w:cs="Calibri"/>
                <w:b/>
                <w:bCs/>
                <w:sz w:val="20"/>
                <w:szCs w:val="20"/>
              </w:rPr>
              <w:t>1001-10000</w:t>
            </w:r>
          </w:p>
        </w:tc>
        <w:tc>
          <w:tcPr>
            <w:tcW w:w="850" w:type="dxa"/>
            <w:tcBorders>
              <w:top w:val="nil"/>
              <w:left w:val="nil"/>
              <w:bottom w:val="single" w:sz="4" w:space="0" w:color="auto"/>
              <w:right w:val="single" w:sz="4" w:space="0" w:color="auto"/>
            </w:tcBorders>
            <w:shd w:val="clear" w:color="auto" w:fill="D9D9D9" w:themeFill="background1" w:themeFillShade="D9"/>
            <w:vAlign w:val="center"/>
            <w:hideMark/>
          </w:tcPr>
          <w:p w14:paraId="245C1160" w14:textId="77777777" w:rsidR="000C003D" w:rsidRPr="002F181A" w:rsidRDefault="000C003D" w:rsidP="007F3DAB">
            <w:pPr>
              <w:spacing w:line="240" w:lineRule="exact"/>
              <w:jc w:val="center"/>
              <w:rPr>
                <w:rFonts w:ascii="Lato" w:hAnsi="Lato" w:cs="Calibri"/>
                <w:b/>
                <w:bCs/>
                <w:sz w:val="20"/>
                <w:szCs w:val="20"/>
              </w:rPr>
            </w:pPr>
            <w:r w:rsidRPr="002F181A">
              <w:rPr>
                <w:rFonts w:ascii="Lato" w:hAnsi="Lato" w:cs="Calibri"/>
                <w:b/>
                <w:bCs/>
                <w:sz w:val="20"/>
                <w:szCs w:val="20"/>
              </w:rPr>
              <w:t>10001-100000</w:t>
            </w:r>
          </w:p>
        </w:tc>
        <w:tc>
          <w:tcPr>
            <w:tcW w:w="993" w:type="dxa"/>
            <w:tcBorders>
              <w:top w:val="nil"/>
              <w:left w:val="nil"/>
              <w:bottom w:val="single" w:sz="4" w:space="0" w:color="auto"/>
              <w:right w:val="single" w:sz="4" w:space="0" w:color="auto"/>
            </w:tcBorders>
            <w:shd w:val="clear" w:color="auto" w:fill="D9D9D9" w:themeFill="background1" w:themeFillShade="D9"/>
            <w:vAlign w:val="center"/>
            <w:hideMark/>
          </w:tcPr>
          <w:p w14:paraId="7B1361D8" w14:textId="77777777" w:rsidR="000C003D" w:rsidRPr="002F181A" w:rsidRDefault="000C003D" w:rsidP="007F3DAB">
            <w:pPr>
              <w:spacing w:line="240" w:lineRule="exact"/>
              <w:jc w:val="center"/>
              <w:rPr>
                <w:rFonts w:ascii="Lato" w:hAnsi="Lato" w:cs="Calibri"/>
                <w:b/>
                <w:bCs/>
                <w:sz w:val="20"/>
                <w:szCs w:val="20"/>
              </w:rPr>
            </w:pPr>
            <w:r w:rsidRPr="002F181A">
              <w:rPr>
                <w:rFonts w:ascii="Lato" w:hAnsi="Lato" w:cs="Calibri"/>
                <w:b/>
                <w:bCs/>
                <w:sz w:val="20"/>
                <w:szCs w:val="20"/>
              </w:rPr>
              <w:t>&gt;100000</w:t>
            </w:r>
          </w:p>
        </w:tc>
        <w:tc>
          <w:tcPr>
            <w:tcW w:w="2126" w:type="dxa"/>
            <w:tcBorders>
              <w:top w:val="nil"/>
              <w:left w:val="nil"/>
              <w:bottom w:val="single" w:sz="4" w:space="0" w:color="auto"/>
              <w:right w:val="single" w:sz="4" w:space="0" w:color="auto"/>
            </w:tcBorders>
            <w:shd w:val="clear" w:color="auto" w:fill="D9D9D9" w:themeFill="background1" w:themeFillShade="D9"/>
            <w:vAlign w:val="center"/>
            <w:hideMark/>
          </w:tcPr>
          <w:p w14:paraId="319D90BC" w14:textId="77777777" w:rsidR="000C003D" w:rsidRPr="002F181A" w:rsidRDefault="000C003D" w:rsidP="007F3DAB">
            <w:pPr>
              <w:spacing w:line="240" w:lineRule="exact"/>
              <w:jc w:val="center"/>
              <w:rPr>
                <w:rFonts w:ascii="Lato" w:hAnsi="Lato" w:cs="Calibri"/>
                <w:b/>
                <w:bCs/>
                <w:sz w:val="20"/>
                <w:szCs w:val="20"/>
              </w:rPr>
            </w:pPr>
            <w:r w:rsidRPr="002F181A">
              <w:rPr>
                <w:rFonts w:ascii="Lato" w:hAnsi="Lato" w:cs="Calibri"/>
                <w:b/>
                <w:bCs/>
                <w:sz w:val="20"/>
                <w:szCs w:val="20"/>
              </w:rPr>
              <w:t>Urządzenia innych obiektów/podmiotów</w:t>
            </w:r>
          </w:p>
        </w:tc>
        <w:tc>
          <w:tcPr>
            <w:tcW w:w="773" w:type="dxa"/>
            <w:tcBorders>
              <w:top w:val="nil"/>
              <w:left w:val="nil"/>
              <w:bottom w:val="single" w:sz="4" w:space="0" w:color="auto"/>
              <w:right w:val="single" w:sz="4" w:space="0" w:color="auto"/>
            </w:tcBorders>
            <w:shd w:val="clear" w:color="auto" w:fill="D9D9D9" w:themeFill="background1" w:themeFillShade="D9"/>
            <w:vAlign w:val="center"/>
            <w:hideMark/>
          </w:tcPr>
          <w:p w14:paraId="04C63A1E" w14:textId="77777777" w:rsidR="000C003D" w:rsidRPr="002F181A" w:rsidRDefault="000C003D" w:rsidP="007F3DAB">
            <w:pPr>
              <w:spacing w:line="240" w:lineRule="exact"/>
              <w:jc w:val="center"/>
              <w:rPr>
                <w:rFonts w:ascii="Lato" w:hAnsi="Lato" w:cs="Calibri"/>
                <w:b/>
                <w:bCs/>
                <w:sz w:val="20"/>
                <w:szCs w:val="20"/>
              </w:rPr>
            </w:pPr>
            <w:r w:rsidRPr="002F181A">
              <w:rPr>
                <w:rFonts w:ascii="Lato" w:hAnsi="Lato" w:cs="Calibri"/>
                <w:b/>
                <w:bCs/>
                <w:sz w:val="20"/>
                <w:szCs w:val="20"/>
              </w:rPr>
              <w:t>SUMA</w:t>
            </w:r>
          </w:p>
        </w:tc>
      </w:tr>
      <w:tr w:rsidR="000C003D" w:rsidRPr="002F181A" w14:paraId="1C11CCA5" w14:textId="77777777" w:rsidTr="007F3DAB">
        <w:trPr>
          <w:trHeight w:val="414"/>
        </w:trPr>
        <w:tc>
          <w:tcPr>
            <w:tcW w:w="1249" w:type="dxa"/>
            <w:tcBorders>
              <w:top w:val="nil"/>
              <w:left w:val="single" w:sz="8" w:space="0" w:color="auto"/>
              <w:bottom w:val="single" w:sz="8" w:space="0" w:color="auto"/>
              <w:right w:val="nil"/>
            </w:tcBorders>
            <w:vAlign w:val="center"/>
            <w:hideMark/>
          </w:tcPr>
          <w:p w14:paraId="5B64523F" w14:textId="77777777" w:rsidR="000C003D" w:rsidRPr="002F181A" w:rsidRDefault="000C003D" w:rsidP="007F3DAB">
            <w:pPr>
              <w:spacing w:line="240" w:lineRule="exact"/>
              <w:jc w:val="center"/>
              <w:rPr>
                <w:rFonts w:ascii="Lato" w:hAnsi="Lato" w:cs="Calibri"/>
                <w:sz w:val="20"/>
                <w:szCs w:val="20"/>
              </w:rPr>
            </w:pPr>
            <w:r w:rsidRPr="002F181A">
              <w:rPr>
                <w:rFonts w:ascii="Lato" w:hAnsi="Lato" w:cs="Calibri"/>
                <w:sz w:val="20"/>
                <w:szCs w:val="20"/>
              </w:rPr>
              <w:t>Białogard</w:t>
            </w:r>
          </w:p>
        </w:tc>
        <w:tc>
          <w:tcPr>
            <w:tcW w:w="1394" w:type="dxa"/>
            <w:tcBorders>
              <w:top w:val="nil"/>
              <w:left w:val="single" w:sz="8" w:space="0" w:color="auto"/>
              <w:bottom w:val="single" w:sz="8" w:space="0" w:color="auto"/>
              <w:right w:val="single" w:sz="8" w:space="0" w:color="auto"/>
            </w:tcBorders>
            <w:vAlign w:val="center"/>
            <w:hideMark/>
          </w:tcPr>
          <w:p w14:paraId="32B41673"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14</w:t>
            </w:r>
          </w:p>
        </w:tc>
        <w:tc>
          <w:tcPr>
            <w:tcW w:w="613" w:type="dxa"/>
            <w:tcBorders>
              <w:top w:val="nil"/>
              <w:left w:val="nil"/>
              <w:bottom w:val="single" w:sz="8" w:space="0" w:color="auto"/>
              <w:right w:val="single" w:sz="8" w:space="0" w:color="auto"/>
            </w:tcBorders>
            <w:vAlign w:val="center"/>
            <w:hideMark/>
          </w:tcPr>
          <w:p w14:paraId="41CE1245"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8</w:t>
            </w:r>
          </w:p>
        </w:tc>
        <w:tc>
          <w:tcPr>
            <w:tcW w:w="708" w:type="dxa"/>
            <w:tcBorders>
              <w:top w:val="nil"/>
              <w:left w:val="nil"/>
              <w:bottom w:val="single" w:sz="8" w:space="0" w:color="auto"/>
              <w:right w:val="single" w:sz="8" w:space="0" w:color="auto"/>
            </w:tcBorders>
            <w:vAlign w:val="center"/>
            <w:hideMark/>
          </w:tcPr>
          <w:p w14:paraId="199FA867"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5</w:t>
            </w:r>
          </w:p>
        </w:tc>
        <w:tc>
          <w:tcPr>
            <w:tcW w:w="851" w:type="dxa"/>
            <w:tcBorders>
              <w:top w:val="nil"/>
              <w:left w:val="nil"/>
              <w:bottom w:val="single" w:sz="8" w:space="0" w:color="auto"/>
              <w:right w:val="single" w:sz="8" w:space="0" w:color="auto"/>
            </w:tcBorders>
            <w:vAlign w:val="center"/>
            <w:hideMark/>
          </w:tcPr>
          <w:p w14:paraId="1D0C27E6"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w:t>
            </w:r>
          </w:p>
        </w:tc>
        <w:tc>
          <w:tcPr>
            <w:tcW w:w="850" w:type="dxa"/>
            <w:tcBorders>
              <w:top w:val="nil"/>
              <w:left w:val="nil"/>
              <w:bottom w:val="single" w:sz="8" w:space="0" w:color="auto"/>
              <w:right w:val="single" w:sz="8" w:space="0" w:color="auto"/>
            </w:tcBorders>
            <w:vAlign w:val="center"/>
            <w:hideMark/>
          </w:tcPr>
          <w:p w14:paraId="76636A09"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993" w:type="dxa"/>
            <w:tcBorders>
              <w:top w:val="nil"/>
              <w:left w:val="nil"/>
              <w:bottom w:val="single" w:sz="8" w:space="0" w:color="auto"/>
              <w:right w:val="single" w:sz="8" w:space="0" w:color="auto"/>
            </w:tcBorders>
            <w:vAlign w:val="center"/>
            <w:hideMark/>
          </w:tcPr>
          <w:p w14:paraId="5EE7C00C"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2126" w:type="dxa"/>
            <w:tcBorders>
              <w:top w:val="nil"/>
              <w:left w:val="nil"/>
              <w:bottom w:val="single" w:sz="8" w:space="0" w:color="auto"/>
              <w:right w:val="nil"/>
            </w:tcBorders>
            <w:vAlign w:val="center"/>
            <w:hideMark/>
          </w:tcPr>
          <w:p w14:paraId="7BBF7209"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3</w:t>
            </w:r>
          </w:p>
        </w:tc>
        <w:tc>
          <w:tcPr>
            <w:tcW w:w="773" w:type="dxa"/>
            <w:tcBorders>
              <w:top w:val="nil"/>
              <w:left w:val="single" w:sz="8" w:space="0" w:color="auto"/>
              <w:bottom w:val="single" w:sz="8" w:space="0" w:color="auto"/>
              <w:right w:val="single" w:sz="8" w:space="0" w:color="auto"/>
            </w:tcBorders>
            <w:noWrap/>
            <w:vAlign w:val="center"/>
            <w:hideMark/>
          </w:tcPr>
          <w:p w14:paraId="7A86AFC3" w14:textId="77777777" w:rsidR="000C003D" w:rsidRPr="002F181A" w:rsidRDefault="000C003D" w:rsidP="007F3DAB">
            <w:pPr>
              <w:spacing w:line="240" w:lineRule="exact"/>
              <w:jc w:val="center"/>
              <w:rPr>
                <w:rFonts w:ascii="Lato" w:hAnsi="Lato" w:cs="Arial"/>
                <w:sz w:val="20"/>
                <w:szCs w:val="20"/>
              </w:rPr>
            </w:pPr>
            <w:r w:rsidRPr="002F181A">
              <w:rPr>
                <w:rFonts w:ascii="Lato" w:hAnsi="Lato"/>
                <w:sz w:val="20"/>
                <w:szCs w:val="20"/>
              </w:rPr>
              <w:t>17</w:t>
            </w:r>
          </w:p>
        </w:tc>
      </w:tr>
      <w:tr w:rsidR="000C003D" w:rsidRPr="002F181A" w14:paraId="425D323D" w14:textId="77777777" w:rsidTr="007F3DAB">
        <w:trPr>
          <w:trHeight w:val="414"/>
        </w:trPr>
        <w:tc>
          <w:tcPr>
            <w:tcW w:w="1249" w:type="dxa"/>
            <w:tcBorders>
              <w:top w:val="nil"/>
              <w:left w:val="single" w:sz="8" w:space="0" w:color="auto"/>
              <w:bottom w:val="single" w:sz="8" w:space="0" w:color="auto"/>
              <w:right w:val="nil"/>
            </w:tcBorders>
            <w:vAlign w:val="center"/>
            <w:hideMark/>
          </w:tcPr>
          <w:p w14:paraId="71E492B5" w14:textId="77777777" w:rsidR="000C003D" w:rsidRPr="002F181A" w:rsidRDefault="000C003D" w:rsidP="007F3DAB">
            <w:pPr>
              <w:spacing w:line="240" w:lineRule="exact"/>
              <w:jc w:val="center"/>
              <w:rPr>
                <w:rFonts w:ascii="Lato" w:hAnsi="Lato" w:cs="Calibri"/>
                <w:sz w:val="20"/>
                <w:szCs w:val="20"/>
              </w:rPr>
            </w:pPr>
            <w:r w:rsidRPr="002F181A">
              <w:rPr>
                <w:rFonts w:ascii="Lato" w:hAnsi="Lato" w:cs="Calibri"/>
                <w:sz w:val="20"/>
                <w:szCs w:val="20"/>
              </w:rPr>
              <w:t>Choszczno</w:t>
            </w:r>
          </w:p>
        </w:tc>
        <w:tc>
          <w:tcPr>
            <w:tcW w:w="1394" w:type="dxa"/>
            <w:tcBorders>
              <w:top w:val="nil"/>
              <w:left w:val="single" w:sz="8" w:space="0" w:color="auto"/>
              <w:bottom w:val="single" w:sz="8" w:space="0" w:color="auto"/>
              <w:right w:val="single" w:sz="8" w:space="0" w:color="auto"/>
            </w:tcBorders>
            <w:vAlign w:val="center"/>
            <w:hideMark/>
          </w:tcPr>
          <w:p w14:paraId="68DD0F81"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62</w:t>
            </w:r>
          </w:p>
        </w:tc>
        <w:tc>
          <w:tcPr>
            <w:tcW w:w="613" w:type="dxa"/>
            <w:tcBorders>
              <w:top w:val="nil"/>
              <w:left w:val="nil"/>
              <w:bottom w:val="single" w:sz="8" w:space="0" w:color="auto"/>
              <w:right w:val="single" w:sz="8" w:space="0" w:color="auto"/>
            </w:tcBorders>
            <w:vAlign w:val="center"/>
            <w:hideMark/>
          </w:tcPr>
          <w:p w14:paraId="03A8BB7B"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53</w:t>
            </w:r>
          </w:p>
        </w:tc>
        <w:tc>
          <w:tcPr>
            <w:tcW w:w="708" w:type="dxa"/>
            <w:tcBorders>
              <w:top w:val="nil"/>
              <w:left w:val="nil"/>
              <w:bottom w:val="single" w:sz="8" w:space="0" w:color="auto"/>
              <w:right w:val="single" w:sz="8" w:space="0" w:color="auto"/>
            </w:tcBorders>
            <w:vAlign w:val="center"/>
            <w:hideMark/>
          </w:tcPr>
          <w:p w14:paraId="7B2D1B92"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8</w:t>
            </w:r>
          </w:p>
        </w:tc>
        <w:tc>
          <w:tcPr>
            <w:tcW w:w="851" w:type="dxa"/>
            <w:tcBorders>
              <w:top w:val="nil"/>
              <w:left w:val="nil"/>
              <w:bottom w:val="single" w:sz="8" w:space="0" w:color="auto"/>
              <w:right w:val="single" w:sz="8" w:space="0" w:color="auto"/>
            </w:tcBorders>
            <w:vAlign w:val="center"/>
            <w:hideMark/>
          </w:tcPr>
          <w:p w14:paraId="0C87B198"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w:t>
            </w:r>
          </w:p>
        </w:tc>
        <w:tc>
          <w:tcPr>
            <w:tcW w:w="850" w:type="dxa"/>
            <w:tcBorders>
              <w:top w:val="nil"/>
              <w:left w:val="nil"/>
              <w:bottom w:val="single" w:sz="8" w:space="0" w:color="auto"/>
              <w:right w:val="single" w:sz="8" w:space="0" w:color="auto"/>
            </w:tcBorders>
            <w:vAlign w:val="center"/>
            <w:hideMark/>
          </w:tcPr>
          <w:p w14:paraId="4CB4C9F1"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993" w:type="dxa"/>
            <w:tcBorders>
              <w:top w:val="nil"/>
              <w:left w:val="nil"/>
              <w:bottom w:val="single" w:sz="8" w:space="0" w:color="auto"/>
              <w:right w:val="single" w:sz="8" w:space="0" w:color="auto"/>
            </w:tcBorders>
            <w:vAlign w:val="center"/>
            <w:hideMark/>
          </w:tcPr>
          <w:p w14:paraId="4EB40575"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2126" w:type="dxa"/>
            <w:tcBorders>
              <w:top w:val="nil"/>
              <w:left w:val="nil"/>
              <w:bottom w:val="single" w:sz="8" w:space="0" w:color="auto"/>
              <w:right w:val="nil"/>
            </w:tcBorders>
            <w:vAlign w:val="center"/>
            <w:hideMark/>
          </w:tcPr>
          <w:p w14:paraId="6B422A59"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3</w:t>
            </w:r>
          </w:p>
        </w:tc>
        <w:tc>
          <w:tcPr>
            <w:tcW w:w="773" w:type="dxa"/>
            <w:tcBorders>
              <w:top w:val="nil"/>
              <w:left w:val="single" w:sz="8" w:space="0" w:color="auto"/>
              <w:bottom w:val="single" w:sz="8" w:space="0" w:color="auto"/>
              <w:right w:val="single" w:sz="8" w:space="0" w:color="auto"/>
            </w:tcBorders>
            <w:noWrap/>
            <w:vAlign w:val="center"/>
            <w:hideMark/>
          </w:tcPr>
          <w:p w14:paraId="645F9828" w14:textId="77777777" w:rsidR="000C003D" w:rsidRPr="002F181A" w:rsidRDefault="000C003D" w:rsidP="007F3DAB">
            <w:pPr>
              <w:spacing w:line="240" w:lineRule="exact"/>
              <w:jc w:val="center"/>
              <w:rPr>
                <w:rFonts w:ascii="Lato" w:hAnsi="Lato" w:cs="Arial"/>
                <w:sz w:val="20"/>
                <w:szCs w:val="20"/>
              </w:rPr>
            </w:pPr>
            <w:r w:rsidRPr="002F181A">
              <w:rPr>
                <w:rFonts w:ascii="Lato" w:hAnsi="Lato"/>
                <w:sz w:val="20"/>
                <w:szCs w:val="20"/>
              </w:rPr>
              <w:t>65</w:t>
            </w:r>
          </w:p>
        </w:tc>
      </w:tr>
      <w:tr w:rsidR="000C003D" w:rsidRPr="002F181A" w14:paraId="436D3573" w14:textId="77777777" w:rsidTr="007F3DAB">
        <w:trPr>
          <w:trHeight w:val="414"/>
        </w:trPr>
        <w:tc>
          <w:tcPr>
            <w:tcW w:w="1249" w:type="dxa"/>
            <w:tcBorders>
              <w:top w:val="nil"/>
              <w:left w:val="single" w:sz="8" w:space="0" w:color="auto"/>
              <w:bottom w:val="single" w:sz="8" w:space="0" w:color="auto"/>
              <w:right w:val="nil"/>
            </w:tcBorders>
            <w:vAlign w:val="center"/>
            <w:hideMark/>
          </w:tcPr>
          <w:p w14:paraId="0C5D23BB" w14:textId="77777777" w:rsidR="000C003D" w:rsidRPr="002F181A" w:rsidRDefault="000C003D" w:rsidP="007F3DAB">
            <w:pPr>
              <w:spacing w:line="240" w:lineRule="exact"/>
              <w:jc w:val="center"/>
              <w:rPr>
                <w:rFonts w:ascii="Lato" w:hAnsi="Lato" w:cs="Calibri"/>
                <w:sz w:val="20"/>
                <w:szCs w:val="20"/>
              </w:rPr>
            </w:pPr>
            <w:r w:rsidRPr="002F181A">
              <w:rPr>
                <w:rFonts w:ascii="Lato" w:hAnsi="Lato" w:cs="Calibri"/>
                <w:sz w:val="20"/>
                <w:szCs w:val="20"/>
              </w:rPr>
              <w:t>Drawsko Pomorskie</w:t>
            </w:r>
          </w:p>
        </w:tc>
        <w:tc>
          <w:tcPr>
            <w:tcW w:w="1394" w:type="dxa"/>
            <w:tcBorders>
              <w:top w:val="nil"/>
              <w:left w:val="single" w:sz="8" w:space="0" w:color="auto"/>
              <w:bottom w:val="single" w:sz="8" w:space="0" w:color="auto"/>
              <w:right w:val="single" w:sz="8" w:space="0" w:color="auto"/>
            </w:tcBorders>
            <w:vAlign w:val="center"/>
            <w:hideMark/>
          </w:tcPr>
          <w:p w14:paraId="6C30810B"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52</w:t>
            </w:r>
          </w:p>
        </w:tc>
        <w:tc>
          <w:tcPr>
            <w:tcW w:w="613" w:type="dxa"/>
            <w:tcBorders>
              <w:top w:val="nil"/>
              <w:left w:val="nil"/>
              <w:bottom w:val="single" w:sz="8" w:space="0" w:color="auto"/>
              <w:right w:val="single" w:sz="8" w:space="0" w:color="auto"/>
            </w:tcBorders>
            <w:vAlign w:val="center"/>
            <w:hideMark/>
          </w:tcPr>
          <w:p w14:paraId="1BD3611C"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43</w:t>
            </w:r>
          </w:p>
        </w:tc>
        <w:tc>
          <w:tcPr>
            <w:tcW w:w="708" w:type="dxa"/>
            <w:tcBorders>
              <w:top w:val="nil"/>
              <w:left w:val="nil"/>
              <w:bottom w:val="single" w:sz="8" w:space="0" w:color="auto"/>
              <w:right w:val="single" w:sz="8" w:space="0" w:color="auto"/>
            </w:tcBorders>
            <w:vAlign w:val="center"/>
            <w:hideMark/>
          </w:tcPr>
          <w:p w14:paraId="1741280C"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7</w:t>
            </w:r>
          </w:p>
        </w:tc>
        <w:tc>
          <w:tcPr>
            <w:tcW w:w="851" w:type="dxa"/>
            <w:tcBorders>
              <w:top w:val="nil"/>
              <w:left w:val="nil"/>
              <w:bottom w:val="single" w:sz="8" w:space="0" w:color="auto"/>
              <w:right w:val="single" w:sz="8" w:space="0" w:color="auto"/>
            </w:tcBorders>
            <w:vAlign w:val="center"/>
            <w:hideMark/>
          </w:tcPr>
          <w:p w14:paraId="39AA02AA"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2</w:t>
            </w:r>
          </w:p>
        </w:tc>
        <w:tc>
          <w:tcPr>
            <w:tcW w:w="850" w:type="dxa"/>
            <w:tcBorders>
              <w:top w:val="nil"/>
              <w:left w:val="nil"/>
              <w:bottom w:val="single" w:sz="8" w:space="0" w:color="auto"/>
              <w:right w:val="single" w:sz="8" w:space="0" w:color="auto"/>
            </w:tcBorders>
            <w:vAlign w:val="center"/>
            <w:hideMark/>
          </w:tcPr>
          <w:p w14:paraId="4A351756"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993" w:type="dxa"/>
            <w:tcBorders>
              <w:top w:val="nil"/>
              <w:left w:val="nil"/>
              <w:bottom w:val="single" w:sz="8" w:space="0" w:color="auto"/>
              <w:right w:val="single" w:sz="8" w:space="0" w:color="auto"/>
            </w:tcBorders>
            <w:vAlign w:val="center"/>
            <w:hideMark/>
          </w:tcPr>
          <w:p w14:paraId="71CD2770"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2126" w:type="dxa"/>
            <w:tcBorders>
              <w:top w:val="nil"/>
              <w:left w:val="nil"/>
              <w:bottom w:val="single" w:sz="8" w:space="0" w:color="auto"/>
              <w:right w:val="nil"/>
            </w:tcBorders>
            <w:vAlign w:val="center"/>
            <w:hideMark/>
          </w:tcPr>
          <w:p w14:paraId="666EF4C9"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15</w:t>
            </w:r>
          </w:p>
        </w:tc>
        <w:tc>
          <w:tcPr>
            <w:tcW w:w="773" w:type="dxa"/>
            <w:tcBorders>
              <w:top w:val="nil"/>
              <w:left w:val="single" w:sz="8" w:space="0" w:color="auto"/>
              <w:bottom w:val="single" w:sz="8" w:space="0" w:color="auto"/>
              <w:right w:val="single" w:sz="8" w:space="0" w:color="auto"/>
            </w:tcBorders>
            <w:noWrap/>
            <w:vAlign w:val="center"/>
            <w:hideMark/>
          </w:tcPr>
          <w:p w14:paraId="49B1C206" w14:textId="77777777" w:rsidR="000C003D" w:rsidRPr="002F181A" w:rsidRDefault="000C003D" w:rsidP="007F3DAB">
            <w:pPr>
              <w:spacing w:line="240" w:lineRule="exact"/>
              <w:jc w:val="center"/>
              <w:rPr>
                <w:rFonts w:ascii="Lato" w:hAnsi="Lato" w:cs="Arial"/>
                <w:sz w:val="20"/>
                <w:szCs w:val="20"/>
              </w:rPr>
            </w:pPr>
            <w:r w:rsidRPr="002F181A">
              <w:rPr>
                <w:rFonts w:ascii="Lato" w:hAnsi="Lato"/>
                <w:sz w:val="20"/>
                <w:szCs w:val="20"/>
              </w:rPr>
              <w:t>67</w:t>
            </w:r>
          </w:p>
        </w:tc>
      </w:tr>
      <w:tr w:rsidR="000C003D" w:rsidRPr="002F181A" w14:paraId="613EA096" w14:textId="77777777" w:rsidTr="007F3DAB">
        <w:trPr>
          <w:trHeight w:val="414"/>
        </w:trPr>
        <w:tc>
          <w:tcPr>
            <w:tcW w:w="1249" w:type="dxa"/>
            <w:tcBorders>
              <w:top w:val="nil"/>
              <w:left w:val="single" w:sz="8" w:space="0" w:color="auto"/>
              <w:bottom w:val="single" w:sz="8" w:space="0" w:color="auto"/>
              <w:right w:val="nil"/>
            </w:tcBorders>
            <w:vAlign w:val="center"/>
            <w:hideMark/>
          </w:tcPr>
          <w:p w14:paraId="4FA84B60" w14:textId="77777777" w:rsidR="000C003D" w:rsidRPr="002F181A" w:rsidRDefault="000C003D" w:rsidP="007F3DAB">
            <w:pPr>
              <w:spacing w:line="240" w:lineRule="exact"/>
              <w:jc w:val="center"/>
              <w:rPr>
                <w:rFonts w:ascii="Lato" w:hAnsi="Lato" w:cs="Calibri"/>
                <w:sz w:val="20"/>
                <w:szCs w:val="20"/>
              </w:rPr>
            </w:pPr>
            <w:r w:rsidRPr="002F181A">
              <w:rPr>
                <w:rFonts w:ascii="Lato" w:hAnsi="Lato" w:cs="Calibri"/>
                <w:sz w:val="20"/>
                <w:szCs w:val="20"/>
              </w:rPr>
              <w:t>Goleniów</w:t>
            </w:r>
          </w:p>
        </w:tc>
        <w:tc>
          <w:tcPr>
            <w:tcW w:w="1394" w:type="dxa"/>
            <w:tcBorders>
              <w:top w:val="nil"/>
              <w:left w:val="single" w:sz="8" w:space="0" w:color="auto"/>
              <w:bottom w:val="single" w:sz="8" w:space="0" w:color="auto"/>
              <w:right w:val="single" w:sz="8" w:space="0" w:color="auto"/>
            </w:tcBorders>
            <w:vAlign w:val="center"/>
            <w:hideMark/>
          </w:tcPr>
          <w:p w14:paraId="06609079"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51</w:t>
            </w:r>
          </w:p>
        </w:tc>
        <w:tc>
          <w:tcPr>
            <w:tcW w:w="613" w:type="dxa"/>
            <w:tcBorders>
              <w:top w:val="nil"/>
              <w:left w:val="nil"/>
              <w:bottom w:val="single" w:sz="8" w:space="0" w:color="auto"/>
              <w:right w:val="single" w:sz="8" w:space="0" w:color="auto"/>
            </w:tcBorders>
            <w:vAlign w:val="center"/>
            <w:hideMark/>
          </w:tcPr>
          <w:p w14:paraId="41932954"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34</w:t>
            </w:r>
          </w:p>
        </w:tc>
        <w:tc>
          <w:tcPr>
            <w:tcW w:w="708" w:type="dxa"/>
            <w:tcBorders>
              <w:top w:val="nil"/>
              <w:left w:val="nil"/>
              <w:bottom w:val="single" w:sz="8" w:space="0" w:color="auto"/>
              <w:right w:val="single" w:sz="8" w:space="0" w:color="auto"/>
            </w:tcBorders>
            <w:vAlign w:val="center"/>
            <w:hideMark/>
          </w:tcPr>
          <w:p w14:paraId="45A55E45"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15</w:t>
            </w:r>
          </w:p>
        </w:tc>
        <w:tc>
          <w:tcPr>
            <w:tcW w:w="851" w:type="dxa"/>
            <w:tcBorders>
              <w:top w:val="nil"/>
              <w:left w:val="nil"/>
              <w:bottom w:val="single" w:sz="8" w:space="0" w:color="auto"/>
              <w:right w:val="single" w:sz="8" w:space="0" w:color="auto"/>
            </w:tcBorders>
            <w:vAlign w:val="center"/>
            <w:hideMark/>
          </w:tcPr>
          <w:p w14:paraId="741E6656"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2</w:t>
            </w:r>
          </w:p>
        </w:tc>
        <w:tc>
          <w:tcPr>
            <w:tcW w:w="850" w:type="dxa"/>
            <w:tcBorders>
              <w:top w:val="nil"/>
              <w:left w:val="nil"/>
              <w:bottom w:val="single" w:sz="8" w:space="0" w:color="auto"/>
              <w:right w:val="single" w:sz="8" w:space="0" w:color="auto"/>
            </w:tcBorders>
            <w:vAlign w:val="center"/>
            <w:hideMark/>
          </w:tcPr>
          <w:p w14:paraId="4D48F950"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993" w:type="dxa"/>
            <w:tcBorders>
              <w:top w:val="nil"/>
              <w:left w:val="nil"/>
              <w:bottom w:val="single" w:sz="8" w:space="0" w:color="auto"/>
              <w:right w:val="single" w:sz="8" w:space="0" w:color="auto"/>
            </w:tcBorders>
            <w:vAlign w:val="center"/>
            <w:hideMark/>
          </w:tcPr>
          <w:p w14:paraId="03914683"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2126" w:type="dxa"/>
            <w:tcBorders>
              <w:top w:val="nil"/>
              <w:left w:val="nil"/>
              <w:bottom w:val="single" w:sz="8" w:space="0" w:color="auto"/>
              <w:right w:val="nil"/>
            </w:tcBorders>
            <w:vAlign w:val="center"/>
            <w:hideMark/>
          </w:tcPr>
          <w:p w14:paraId="774AB7E6"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4</w:t>
            </w:r>
          </w:p>
        </w:tc>
        <w:tc>
          <w:tcPr>
            <w:tcW w:w="773" w:type="dxa"/>
            <w:tcBorders>
              <w:top w:val="nil"/>
              <w:left w:val="single" w:sz="8" w:space="0" w:color="auto"/>
              <w:bottom w:val="single" w:sz="8" w:space="0" w:color="auto"/>
              <w:right w:val="single" w:sz="8" w:space="0" w:color="auto"/>
            </w:tcBorders>
            <w:noWrap/>
            <w:vAlign w:val="center"/>
            <w:hideMark/>
          </w:tcPr>
          <w:p w14:paraId="087DE81F" w14:textId="77777777" w:rsidR="000C003D" w:rsidRPr="002F181A" w:rsidRDefault="000C003D" w:rsidP="007F3DAB">
            <w:pPr>
              <w:spacing w:line="240" w:lineRule="exact"/>
              <w:jc w:val="center"/>
              <w:rPr>
                <w:rFonts w:ascii="Lato" w:hAnsi="Lato" w:cs="Arial"/>
                <w:sz w:val="20"/>
                <w:szCs w:val="20"/>
              </w:rPr>
            </w:pPr>
            <w:r w:rsidRPr="002F181A">
              <w:rPr>
                <w:rFonts w:ascii="Lato" w:hAnsi="Lato"/>
                <w:sz w:val="20"/>
                <w:szCs w:val="20"/>
              </w:rPr>
              <w:t>55</w:t>
            </w:r>
          </w:p>
        </w:tc>
      </w:tr>
      <w:tr w:rsidR="000C003D" w:rsidRPr="002F181A" w14:paraId="371E3040" w14:textId="77777777" w:rsidTr="007F3DAB">
        <w:trPr>
          <w:trHeight w:val="414"/>
        </w:trPr>
        <w:tc>
          <w:tcPr>
            <w:tcW w:w="1249" w:type="dxa"/>
            <w:tcBorders>
              <w:top w:val="nil"/>
              <w:left w:val="single" w:sz="8" w:space="0" w:color="auto"/>
              <w:bottom w:val="single" w:sz="8" w:space="0" w:color="auto"/>
              <w:right w:val="nil"/>
            </w:tcBorders>
            <w:vAlign w:val="center"/>
            <w:hideMark/>
          </w:tcPr>
          <w:p w14:paraId="3AA38497" w14:textId="77777777" w:rsidR="000C003D" w:rsidRPr="002F181A" w:rsidRDefault="000C003D" w:rsidP="007F3DAB">
            <w:pPr>
              <w:spacing w:line="240" w:lineRule="exact"/>
              <w:jc w:val="center"/>
              <w:rPr>
                <w:rFonts w:ascii="Lato" w:hAnsi="Lato" w:cs="Calibri"/>
                <w:sz w:val="20"/>
                <w:szCs w:val="20"/>
              </w:rPr>
            </w:pPr>
            <w:r w:rsidRPr="002F181A">
              <w:rPr>
                <w:rFonts w:ascii="Lato" w:hAnsi="Lato" w:cs="Calibri"/>
                <w:sz w:val="20"/>
                <w:szCs w:val="20"/>
              </w:rPr>
              <w:t>Gryfice</w:t>
            </w:r>
          </w:p>
        </w:tc>
        <w:tc>
          <w:tcPr>
            <w:tcW w:w="1394" w:type="dxa"/>
            <w:tcBorders>
              <w:top w:val="nil"/>
              <w:left w:val="single" w:sz="8" w:space="0" w:color="auto"/>
              <w:bottom w:val="single" w:sz="8" w:space="0" w:color="auto"/>
              <w:right w:val="single" w:sz="8" w:space="0" w:color="auto"/>
            </w:tcBorders>
            <w:vAlign w:val="center"/>
            <w:hideMark/>
          </w:tcPr>
          <w:p w14:paraId="2E22767D"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58</w:t>
            </w:r>
          </w:p>
        </w:tc>
        <w:tc>
          <w:tcPr>
            <w:tcW w:w="613" w:type="dxa"/>
            <w:tcBorders>
              <w:top w:val="nil"/>
              <w:left w:val="nil"/>
              <w:bottom w:val="single" w:sz="8" w:space="0" w:color="auto"/>
              <w:right w:val="single" w:sz="8" w:space="0" w:color="auto"/>
            </w:tcBorders>
            <w:vAlign w:val="center"/>
            <w:hideMark/>
          </w:tcPr>
          <w:p w14:paraId="7B2866E2"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44</w:t>
            </w:r>
          </w:p>
        </w:tc>
        <w:tc>
          <w:tcPr>
            <w:tcW w:w="708" w:type="dxa"/>
            <w:tcBorders>
              <w:top w:val="nil"/>
              <w:left w:val="nil"/>
              <w:bottom w:val="single" w:sz="8" w:space="0" w:color="auto"/>
              <w:right w:val="single" w:sz="8" w:space="0" w:color="auto"/>
            </w:tcBorders>
            <w:vAlign w:val="center"/>
            <w:hideMark/>
          </w:tcPr>
          <w:p w14:paraId="57FFE542"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11</w:t>
            </w:r>
          </w:p>
        </w:tc>
        <w:tc>
          <w:tcPr>
            <w:tcW w:w="851" w:type="dxa"/>
            <w:tcBorders>
              <w:top w:val="nil"/>
              <w:left w:val="nil"/>
              <w:bottom w:val="single" w:sz="8" w:space="0" w:color="auto"/>
              <w:right w:val="single" w:sz="8" w:space="0" w:color="auto"/>
            </w:tcBorders>
            <w:vAlign w:val="center"/>
            <w:hideMark/>
          </w:tcPr>
          <w:p w14:paraId="0F0B0A3E"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3</w:t>
            </w:r>
          </w:p>
        </w:tc>
        <w:tc>
          <w:tcPr>
            <w:tcW w:w="850" w:type="dxa"/>
            <w:tcBorders>
              <w:top w:val="nil"/>
              <w:left w:val="nil"/>
              <w:bottom w:val="single" w:sz="8" w:space="0" w:color="auto"/>
              <w:right w:val="single" w:sz="8" w:space="0" w:color="auto"/>
            </w:tcBorders>
            <w:vAlign w:val="center"/>
            <w:hideMark/>
          </w:tcPr>
          <w:p w14:paraId="3594AA44"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993" w:type="dxa"/>
            <w:tcBorders>
              <w:top w:val="nil"/>
              <w:left w:val="nil"/>
              <w:bottom w:val="single" w:sz="8" w:space="0" w:color="auto"/>
              <w:right w:val="single" w:sz="8" w:space="0" w:color="auto"/>
            </w:tcBorders>
            <w:vAlign w:val="center"/>
            <w:hideMark/>
          </w:tcPr>
          <w:p w14:paraId="2354BFF5"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2126" w:type="dxa"/>
            <w:tcBorders>
              <w:top w:val="nil"/>
              <w:left w:val="nil"/>
              <w:bottom w:val="single" w:sz="8" w:space="0" w:color="auto"/>
              <w:right w:val="nil"/>
            </w:tcBorders>
            <w:vAlign w:val="center"/>
            <w:hideMark/>
          </w:tcPr>
          <w:p w14:paraId="0554D7E6"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3</w:t>
            </w:r>
          </w:p>
        </w:tc>
        <w:tc>
          <w:tcPr>
            <w:tcW w:w="773" w:type="dxa"/>
            <w:tcBorders>
              <w:top w:val="nil"/>
              <w:left w:val="single" w:sz="8" w:space="0" w:color="auto"/>
              <w:bottom w:val="single" w:sz="8" w:space="0" w:color="auto"/>
              <w:right w:val="single" w:sz="8" w:space="0" w:color="auto"/>
            </w:tcBorders>
            <w:noWrap/>
            <w:vAlign w:val="center"/>
            <w:hideMark/>
          </w:tcPr>
          <w:p w14:paraId="22EB4762" w14:textId="77777777" w:rsidR="000C003D" w:rsidRPr="002F181A" w:rsidRDefault="000C003D" w:rsidP="007F3DAB">
            <w:pPr>
              <w:spacing w:line="240" w:lineRule="exact"/>
              <w:jc w:val="center"/>
              <w:rPr>
                <w:rFonts w:ascii="Lato" w:hAnsi="Lato" w:cs="Arial"/>
                <w:sz w:val="20"/>
                <w:szCs w:val="20"/>
              </w:rPr>
            </w:pPr>
            <w:r w:rsidRPr="002F181A">
              <w:rPr>
                <w:rFonts w:ascii="Lato" w:hAnsi="Lato"/>
                <w:sz w:val="20"/>
                <w:szCs w:val="20"/>
              </w:rPr>
              <w:t>61</w:t>
            </w:r>
          </w:p>
        </w:tc>
      </w:tr>
      <w:tr w:rsidR="000C003D" w:rsidRPr="002F181A" w14:paraId="36724238" w14:textId="77777777" w:rsidTr="007F3DAB">
        <w:trPr>
          <w:trHeight w:val="414"/>
        </w:trPr>
        <w:tc>
          <w:tcPr>
            <w:tcW w:w="1249" w:type="dxa"/>
            <w:tcBorders>
              <w:top w:val="nil"/>
              <w:left w:val="single" w:sz="8" w:space="0" w:color="auto"/>
              <w:bottom w:val="single" w:sz="8" w:space="0" w:color="auto"/>
              <w:right w:val="nil"/>
            </w:tcBorders>
            <w:vAlign w:val="center"/>
            <w:hideMark/>
          </w:tcPr>
          <w:p w14:paraId="1C2DE331" w14:textId="77777777" w:rsidR="000C003D" w:rsidRPr="002F181A" w:rsidRDefault="000C003D" w:rsidP="007F3DAB">
            <w:pPr>
              <w:spacing w:line="240" w:lineRule="exact"/>
              <w:jc w:val="center"/>
              <w:rPr>
                <w:rFonts w:ascii="Lato" w:hAnsi="Lato" w:cs="Calibri"/>
                <w:sz w:val="20"/>
                <w:szCs w:val="20"/>
              </w:rPr>
            </w:pPr>
            <w:r w:rsidRPr="002F181A">
              <w:rPr>
                <w:rFonts w:ascii="Lato" w:hAnsi="Lato" w:cs="Calibri"/>
                <w:sz w:val="20"/>
                <w:szCs w:val="20"/>
              </w:rPr>
              <w:t>Gryfino</w:t>
            </w:r>
          </w:p>
        </w:tc>
        <w:tc>
          <w:tcPr>
            <w:tcW w:w="1394" w:type="dxa"/>
            <w:tcBorders>
              <w:top w:val="nil"/>
              <w:left w:val="single" w:sz="8" w:space="0" w:color="auto"/>
              <w:bottom w:val="single" w:sz="8" w:space="0" w:color="auto"/>
              <w:right w:val="single" w:sz="8" w:space="0" w:color="auto"/>
            </w:tcBorders>
            <w:vAlign w:val="center"/>
            <w:hideMark/>
          </w:tcPr>
          <w:p w14:paraId="27717D68"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87</w:t>
            </w:r>
          </w:p>
        </w:tc>
        <w:tc>
          <w:tcPr>
            <w:tcW w:w="613" w:type="dxa"/>
            <w:tcBorders>
              <w:top w:val="nil"/>
              <w:left w:val="nil"/>
              <w:bottom w:val="single" w:sz="8" w:space="0" w:color="auto"/>
              <w:right w:val="single" w:sz="8" w:space="0" w:color="auto"/>
            </w:tcBorders>
            <w:vAlign w:val="center"/>
            <w:hideMark/>
          </w:tcPr>
          <w:p w14:paraId="47E4D7DF"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60</w:t>
            </w:r>
          </w:p>
        </w:tc>
        <w:tc>
          <w:tcPr>
            <w:tcW w:w="708" w:type="dxa"/>
            <w:tcBorders>
              <w:top w:val="nil"/>
              <w:left w:val="nil"/>
              <w:bottom w:val="single" w:sz="8" w:space="0" w:color="auto"/>
              <w:right w:val="single" w:sz="8" w:space="0" w:color="auto"/>
            </w:tcBorders>
            <w:vAlign w:val="center"/>
            <w:hideMark/>
          </w:tcPr>
          <w:p w14:paraId="313A5EBA"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26</w:t>
            </w:r>
          </w:p>
        </w:tc>
        <w:tc>
          <w:tcPr>
            <w:tcW w:w="851" w:type="dxa"/>
            <w:tcBorders>
              <w:top w:val="nil"/>
              <w:left w:val="nil"/>
              <w:bottom w:val="single" w:sz="8" w:space="0" w:color="auto"/>
              <w:right w:val="single" w:sz="8" w:space="0" w:color="auto"/>
            </w:tcBorders>
            <w:vAlign w:val="center"/>
            <w:hideMark/>
          </w:tcPr>
          <w:p w14:paraId="2750E1CF"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w:t>
            </w:r>
          </w:p>
        </w:tc>
        <w:tc>
          <w:tcPr>
            <w:tcW w:w="850" w:type="dxa"/>
            <w:tcBorders>
              <w:top w:val="nil"/>
              <w:left w:val="nil"/>
              <w:bottom w:val="single" w:sz="8" w:space="0" w:color="auto"/>
              <w:right w:val="single" w:sz="8" w:space="0" w:color="auto"/>
            </w:tcBorders>
            <w:vAlign w:val="center"/>
            <w:hideMark/>
          </w:tcPr>
          <w:p w14:paraId="64F38CAD"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993" w:type="dxa"/>
            <w:tcBorders>
              <w:top w:val="nil"/>
              <w:left w:val="nil"/>
              <w:bottom w:val="single" w:sz="8" w:space="0" w:color="auto"/>
              <w:right w:val="single" w:sz="8" w:space="0" w:color="auto"/>
            </w:tcBorders>
            <w:vAlign w:val="center"/>
            <w:hideMark/>
          </w:tcPr>
          <w:p w14:paraId="6E68B7D0"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2126" w:type="dxa"/>
            <w:tcBorders>
              <w:top w:val="nil"/>
              <w:left w:val="nil"/>
              <w:bottom w:val="single" w:sz="8" w:space="0" w:color="auto"/>
              <w:right w:val="nil"/>
            </w:tcBorders>
            <w:vAlign w:val="center"/>
            <w:hideMark/>
          </w:tcPr>
          <w:p w14:paraId="4260A724"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5</w:t>
            </w:r>
          </w:p>
        </w:tc>
        <w:tc>
          <w:tcPr>
            <w:tcW w:w="773" w:type="dxa"/>
            <w:tcBorders>
              <w:top w:val="nil"/>
              <w:left w:val="single" w:sz="8" w:space="0" w:color="auto"/>
              <w:bottom w:val="single" w:sz="8" w:space="0" w:color="auto"/>
              <w:right w:val="single" w:sz="8" w:space="0" w:color="auto"/>
            </w:tcBorders>
            <w:noWrap/>
            <w:vAlign w:val="center"/>
            <w:hideMark/>
          </w:tcPr>
          <w:p w14:paraId="10F8DE3B" w14:textId="77777777" w:rsidR="000C003D" w:rsidRPr="002F181A" w:rsidRDefault="000C003D" w:rsidP="007F3DAB">
            <w:pPr>
              <w:spacing w:line="240" w:lineRule="exact"/>
              <w:jc w:val="center"/>
              <w:rPr>
                <w:rFonts w:ascii="Lato" w:hAnsi="Lato" w:cs="Arial"/>
                <w:sz w:val="20"/>
                <w:szCs w:val="20"/>
              </w:rPr>
            </w:pPr>
            <w:r w:rsidRPr="002F181A">
              <w:rPr>
                <w:rFonts w:ascii="Lato" w:hAnsi="Lato"/>
                <w:sz w:val="20"/>
                <w:szCs w:val="20"/>
              </w:rPr>
              <w:t>92</w:t>
            </w:r>
          </w:p>
        </w:tc>
      </w:tr>
      <w:tr w:rsidR="000C003D" w:rsidRPr="002F181A" w14:paraId="09A895FB" w14:textId="77777777" w:rsidTr="007F3DAB">
        <w:trPr>
          <w:trHeight w:val="414"/>
        </w:trPr>
        <w:tc>
          <w:tcPr>
            <w:tcW w:w="1249" w:type="dxa"/>
            <w:tcBorders>
              <w:top w:val="nil"/>
              <w:left w:val="single" w:sz="8" w:space="0" w:color="auto"/>
              <w:bottom w:val="single" w:sz="8" w:space="0" w:color="auto"/>
              <w:right w:val="nil"/>
            </w:tcBorders>
            <w:vAlign w:val="center"/>
            <w:hideMark/>
          </w:tcPr>
          <w:p w14:paraId="58632E71" w14:textId="77777777" w:rsidR="000C003D" w:rsidRPr="002F181A" w:rsidRDefault="000C003D" w:rsidP="007F3DAB">
            <w:pPr>
              <w:spacing w:line="240" w:lineRule="exact"/>
              <w:jc w:val="center"/>
              <w:rPr>
                <w:rFonts w:ascii="Lato" w:hAnsi="Lato" w:cs="Calibri"/>
                <w:sz w:val="20"/>
                <w:szCs w:val="20"/>
              </w:rPr>
            </w:pPr>
            <w:r w:rsidRPr="002F181A">
              <w:rPr>
                <w:rFonts w:ascii="Lato" w:hAnsi="Lato" w:cs="Calibri"/>
                <w:sz w:val="20"/>
                <w:szCs w:val="20"/>
              </w:rPr>
              <w:t>Kamień Pomorski</w:t>
            </w:r>
          </w:p>
        </w:tc>
        <w:tc>
          <w:tcPr>
            <w:tcW w:w="1394" w:type="dxa"/>
            <w:tcBorders>
              <w:top w:val="nil"/>
              <w:left w:val="single" w:sz="8" w:space="0" w:color="auto"/>
              <w:bottom w:val="single" w:sz="8" w:space="0" w:color="auto"/>
              <w:right w:val="single" w:sz="8" w:space="0" w:color="auto"/>
            </w:tcBorders>
            <w:vAlign w:val="center"/>
            <w:hideMark/>
          </w:tcPr>
          <w:p w14:paraId="6FF9858E"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46</w:t>
            </w:r>
          </w:p>
        </w:tc>
        <w:tc>
          <w:tcPr>
            <w:tcW w:w="613" w:type="dxa"/>
            <w:tcBorders>
              <w:top w:val="nil"/>
              <w:left w:val="nil"/>
              <w:bottom w:val="single" w:sz="8" w:space="0" w:color="auto"/>
              <w:right w:val="single" w:sz="8" w:space="0" w:color="auto"/>
            </w:tcBorders>
            <w:vAlign w:val="center"/>
            <w:hideMark/>
          </w:tcPr>
          <w:p w14:paraId="528596FD"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32</w:t>
            </w:r>
          </w:p>
        </w:tc>
        <w:tc>
          <w:tcPr>
            <w:tcW w:w="708" w:type="dxa"/>
            <w:tcBorders>
              <w:top w:val="nil"/>
              <w:left w:val="nil"/>
              <w:bottom w:val="single" w:sz="8" w:space="0" w:color="auto"/>
              <w:right w:val="single" w:sz="8" w:space="0" w:color="auto"/>
            </w:tcBorders>
            <w:vAlign w:val="center"/>
            <w:hideMark/>
          </w:tcPr>
          <w:p w14:paraId="69FE523B"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11</w:t>
            </w:r>
          </w:p>
        </w:tc>
        <w:tc>
          <w:tcPr>
            <w:tcW w:w="851" w:type="dxa"/>
            <w:tcBorders>
              <w:top w:val="nil"/>
              <w:left w:val="nil"/>
              <w:bottom w:val="single" w:sz="8" w:space="0" w:color="auto"/>
              <w:right w:val="single" w:sz="8" w:space="0" w:color="auto"/>
            </w:tcBorders>
            <w:vAlign w:val="center"/>
            <w:hideMark/>
          </w:tcPr>
          <w:p w14:paraId="5CA597F8"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3</w:t>
            </w:r>
          </w:p>
        </w:tc>
        <w:tc>
          <w:tcPr>
            <w:tcW w:w="850" w:type="dxa"/>
            <w:tcBorders>
              <w:top w:val="nil"/>
              <w:left w:val="nil"/>
              <w:bottom w:val="single" w:sz="8" w:space="0" w:color="auto"/>
              <w:right w:val="single" w:sz="8" w:space="0" w:color="auto"/>
            </w:tcBorders>
            <w:vAlign w:val="center"/>
            <w:hideMark/>
          </w:tcPr>
          <w:p w14:paraId="57C3EC92"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993" w:type="dxa"/>
            <w:tcBorders>
              <w:top w:val="nil"/>
              <w:left w:val="nil"/>
              <w:bottom w:val="single" w:sz="8" w:space="0" w:color="auto"/>
              <w:right w:val="single" w:sz="8" w:space="0" w:color="auto"/>
            </w:tcBorders>
            <w:vAlign w:val="center"/>
            <w:hideMark/>
          </w:tcPr>
          <w:p w14:paraId="125770F6"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2126" w:type="dxa"/>
            <w:tcBorders>
              <w:top w:val="nil"/>
              <w:left w:val="nil"/>
              <w:bottom w:val="single" w:sz="8" w:space="0" w:color="auto"/>
              <w:right w:val="nil"/>
            </w:tcBorders>
            <w:vAlign w:val="center"/>
            <w:hideMark/>
          </w:tcPr>
          <w:p w14:paraId="3F9551A1"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9</w:t>
            </w:r>
          </w:p>
        </w:tc>
        <w:tc>
          <w:tcPr>
            <w:tcW w:w="773" w:type="dxa"/>
            <w:tcBorders>
              <w:top w:val="nil"/>
              <w:left w:val="single" w:sz="8" w:space="0" w:color="auto"/>
              <w:bottom w:val="single" w:sz="8" w:space="0" w:color="auto"/>
              <w:right w:val="single" w:sz="8" w:space="0" w:color="auto"/>
            </w:tcBorders>
            <w:noWrap/>
            <w:vAlign w:val="center"/>
            <w:hideMark/>
          </w:tcPr>
          <w:p w14:paraId="5E69532C" w14:textId="77777777" w:rsidR="000C003D" w:rsidRPr="002F181A" w:rsidRDefault="000C003D" w:rsidP="007F3DAB">
            <w:pPr>
              <w:spacing w:line="240" w:lineRule="exact"/>
              <w:jc w:val="center"/>
              <w:rPr>
                <w:rFonts w:ascii="Lato" w:hAnsi="Lato" w:cs="Arial"/>
                <w:sz w:val="20"/>
                <w:szCs w:val="20"/>
              </w:rPr>
            </w:pPr>
            <w:r w:rsidRPr="002F181A">
              <w:rPr>
                <w:rFonts w:ascii="Lato" w:hAnsi="Lato"/>
                <w:sz w:val="20"/>
                <w:szCs w:val="20"/>
              </w:rPr>
              <w:t>55</w:t>
            </w:r>
          </w:p>
        </w:tc>
      </w:tr>
      <w:tr w:rsidR="000C003D" w:rsidRPr="002F181A" w14:paraId="1C830C26" w14:textId="77777777" w:rsidTr="007F3DAB">
        <w:trPr>
          <w:trHeight w:val="414"/>
        </w:trPr>
        <w:tc>
          <w:tcPr>
            <w:tcW w:w="1249" w:type="dxa"/>
            <w:tcBorders>
              <w:top w:val="nil"/>
              <w:left w:val="single" w:sz="8" w:space="0" w:color="auto"/>
              <w:bottom w:val="single" w:sz="8" w:space="0" w:color="auto"/>
              <w:right w:val="nil"/>
            </w:tcBorders>
            <w:vAlign w:val="center"/>
            <w:hideMark/>
          </w:tcPr>
          <w:p w14:paraId="238E6D3E" w14:textId="77777777" w:rsidR="000C003D" w:rsidRPr="002F181A" w:rsidRDefault="000C003D" w:rsidP="007F3DAB">
            <w:pPr>
              <w:spacing w:line="240" w:lineRule="exact"/>
              <w:jc w:val="center"/>
              <w:rPr>
                <w:rFonts w:ascii="Lato" w:hAnsi="Lato" w:cs="Calibri"/>
                <w:sz w:val="20"/>
                <w:szCs w:val="20"/>
              </w:rPr>
            </w:pPr>
            <w:r w:rsidRPr="002F181A">
              <w:rPr>
                <w:rFonts w:ascii="Lato" w:hAnsi="Lato" w:cs="Calibri"/>
                <w:sz w:val="20"/>
                <w:szCs w:val="20"/>
              </w:rPr>
              <w:t>Kołobrzeg</w:t>
            </w:r>
          </w:p>
        </w:tc>
        <w:tc>
          <w:tcPr>
            <w:tcW w:w="1394" w:type="dxa"/>
            <w:tcBorders>
              <w:top w:val="nil"/>
              <w:left w:val="single" w:sz="8" w:space="0" w:color="auto"/>
              <w:bottom w:val="single" w:sz="8" w:space="0" w:color="auto"/>
              <w:right w:val="single" w:sz="8" w:space="0" w:color="auto"/>
            </w:tcBorders>
            <w:vAlign w:val="center"/>
            <w:hideMark/>
          </w:tcPr>
          <w:p w14:paraId="2A0199B3"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6</w:t>
            </w:r>
          </w:p>
        </w:tc>
        <w:tc>
          <w:tcPr>
            <w:tcW w:w="613" w:type="dxa"/>
            <w:tcBorders>
              <w:top w:val="nil"/>
              <w:left w:val="nil"/>
              <w:bottom w:val="single" w:sz="8" w:space="0" w:color="auto"/>
              <w:right w:val="single" w:sz="8" w:space="0" w:color="auto"/>
            </w:tcBorders>
            <w:vAlign w:val="center"/>
            <w:hideMark/>
          </w:tcPr>
          <w:p w14:paraId="1A722805"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708" w:type="dxa"/>
            <w:tcBorders>
              <w:top w:val="nil"/>
              <w:left w:val="nil"/>
              <w:bottom w:val="single" w:sz="8" w:space="0" w:color="auto"/>
              <w:right w:val="single" w:sz="8" w:space="0" w:color="auto"/>
            </w:tcBorders>
            <w:vAlign w:val="center"/>
            <w:hideMark/>
          </w:tcPr>
          <w:p w14:paraId="2875FFF1"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4</w:t>
            </w:r>
          </w:p>
        </w:tc>
        <w:tc>
          <w:tcPr>
            <w:tcW w:w="851" w:type="dxa"/>
            <w:tcBorders>
              <w:top w:val="nil"/>
              <w:left w:val="nil"/>
              <w:bottom w:val="single" w:sz="8" w:space="0" w:color="auto"/>
              <w:right w:val="single" w:sz="8" w:space="0" w:color="auto"/>
            </w:tcBorders>
            <w:vAlign w:val="center"/>
            <w:hideMark/>
          </w:tcPr>
          <w:p w14:paraId="51E875E6"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w:t>
            </w:r>
          </w:p>
        </w:tc>
        <w:tc>
          <w:tcPr>
            <w:tcW w:w="850" w:type="dxa"/>
            <w:tcBorders>
              <w:top w:val="nil"/>
              <w:left w:val="nil"/>
              <w:bottom w:val="single" w:sz="8" w:space="0" w:color="auto"/>
              <w:right w:val="single" w:sz="8" w:space="0" w:color="auto"/>
            </w:tcBorders>
            <w:vAlign w:val="center"/>
            <w:hideMark/>
          </w:tcPr>
          <w:p w14:paraId="5DFFDEFB"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w:t>
            </w:r>
          </w:p>
        </w:tc>
        <w:tc>
          <w:tcPr>
            <w:tcW w:w="993" w:type="dxa"/>
            <w:tcBorders>
              <w:top w:val="nil"/>
              <w:left w:val="nil"/>
              <w:bottom w:val="single" w:sz="8" w:space="0" w:color="auto"/>
              <w:right w:val="single" w:sz="8" w:space="0" w:color="auto"/>
            </w:tcBorders>
            <w:vAlign w:val="center"/>
            <w:hideMark/>
          </w:tcPr>
          <w:p w14:paraId="3C1A28A3"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2126" w:type="dxa"/>
            <w:tcBorders>
              <w:top w:val="nil"/>
              <w:left w:val="nil"/>
              <w:bottom w:val="single" w:sz="8" w:space="0" w:color="auto"/>
              <w:right w:val="nil"/>
            </w:tcBorders>
            <w:vAlign w:val="center"/>
            <w:hideMark/>
          </w:tcPr>
          <w:p w14:paraId="5295CCCE"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8</w:t>
            </w:r>
          </w:p>
        </w:tc>
        <w:tc>
          <w:tcPr>
            <w:tcW w:w="773" w:type="dxa"/>
            <w:tcBorders>
              <w:top w:val="nil"/>
              <w:left w:val="single" w:sz="8" w:space="0" w:color="auto"/>
              <w:bottom w:val="single" w:sz="8" w:space="0" w:color="auto"/>
              <w:right w:val="single" w:sz="8" w:space="0" w:color="auto"/>
            </w:tcBorders>
            <w:noWrap/>
            <w:vAlign w:val="center"/>
            <w:hideMark/>
          </w:tcPr>
          <w:p w14:paraId="57DEE1A3" w14:textId="77777777" w:rsidR="000C003D" w:rsidRPr="002F181A" w:rsidRDefault="000C003D" w:rsidP="007F3DAB">
            <w:pPr>
              <w:spacing w:line="240" w:lineRule="exact"/>
              <w:jc w:val="center"/>
              <w:rPr>
                <w:rFonts w:ascii="Lato" w:hAnsi="Lato" w:cs="Arial"/>
                <w:sz w:val="20"/>
                <w:szCs w:val="20"/>
              </w:rPr>
            </w:pPr>
            <w:r w:rsidRPr="002F181A">
              <w:rPr>
                <w:rFonts w:ascii="Lato" w:hAnsi="Lato"/>
                <w:sz w:val="20"/>
                <w:szCs w:val="20"/>
              </w:rPr>
              <w:t>14</w:t>
            </w:r>
          </w:p>
        </w:tc>
      </w:tr>
      <w:tr w:rsidR="000C003D" w:rsidRPr="002F181A" w14:paraId="5F32CB3E" w14:textId="77777777" w:rsidTr="007F3DAB">
        <w:trPr>
          <w:trHeight w:val="414"/>
        </w:trPr>
        <w:tc>
          <w:tcPr>
            <w:tcW w:w="1249" w:type="dxa"/>
            <w:tcBorders>
              <w:top w:val="nil"/>
              <w:left w:val="single" w:sz="8" w:space="0" w:color="auto"/>
              <w:bottom w:val="single" w:sz="8" w:space="0" w:color="auto"/>
              <w:right w:val="nil"/>
            </w:tcBorders>
            <w:vAlign w:val="center"/>
            <w:hideMark/>
          </w:tcPr>
          <w:p w14:paraId="6A75D0CA" w14:textId="77777777" w:rsidR="000C003D" w:rsidRPr="002F181A" w:rsidRDefault="000C003D" w:rsidP="007F3DAB">
            <w:pPr>
              <w:spacing w:line="240" w:lineRule="exact"/>
              <w:jc w:val="center"/>
              <w:rPr>
                <w:rFonts w:ascii="Lato" w:hAnsi="Lato" w:cs="Calibri"/>
                <w:sz w:val="20"/>
                <w:szCs w:val="20"/>
              </w:rPr>
            </w:pPr>
            <w:r w:rsidRPr="002F181A">
              <w:rPr>
                <w:rFonts w:ascii="Lato" w:hAnsi="Lato" w:cs="Calibri"/>
                <w:sz w:val="20"/>
                <w:szCs w:val="20"/>
              </w:rPr>
              <w:t>Koszalin</w:t>
            </w:r>
          </w:p>
        </w:tc>
        <w:tc>
          <w:tcPr>
            <w:tcW w:w="1394" w:type="dxa"/>
            <w:tcBorders>
              <w:top w:val="nil"/>
              <w:left w:val="single" w:sz="8" w:space="0" w:color="auto"/>
              <w:bottom w:val="single" w:sz="8" w:space="0" w:color="auto"/>
              <w:right w:val="single" w:sz="8" w:space="0" w:color="auto"/>
            </w:tcBorders>
            <w:vAlign w:val="center"/>
            <w:hideMark/>
          </w:tcPr>
          <w:p w14:paraId="44D7BE0F"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88</w:t>
            </w:r>
          </w:p>
        </w:tc>
        <w:tc>
          <w:tcPr>
            <w:tcW w:w="613" w:type="dxa"/>
            <w:tcBorders>
              <w:top w:val="nil"/>
              <w:left w:val="nil"/>
              <w:bottom w:val="single" w:sz="8" w:space="0" w:color="auto"/>
              <w:right w:val="single" w:sz="8" w:space="0" w:color="auto"/>
            </w:tcBorders>
            <w:vAlign w:val="center"/>
            <w:hideMark/>
          </w:tcPr>
          <w:p w14:paraId="23A315C6"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72</w:t>
            </w:r>
          </w:p>
        </w:tc>
        <w:tc>
          <w:tcPr>
            <w:tcW w:w="708" w:type="dxa"/>
            <w:tcBorders>
              <w:top w:val="nil"/>
              <w:left w:val="nil"/>
              <w:bottom w:val="single" w:sz="8" w:space="0" w:color="auto"/>
              <w:right w:val="single" w:sz="8" w:space="0" w:color="auto"/>
            </w:tcBorders>
            <w:vAlign w:val="center"/>
            <w:hideMark/>
          </w:tcPr>
          <w:p w14:paraId="42871BFB"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13</w:t>
            </w:r>
          </w:p>
        </w:tc>
        <w:tc>
          <w:tcPr>
            <w:tcW w:w="851" w:type="dxa"/>
            <w:tcBorders>
              <w:top w:val="nil"/>
              <w:left w:val="nil"/>
              <w:bottom w:val="single" w:sz="8" w:space="0" w:color="auto"/>
              <w:right w:val="single" w:sz="8" w:space="0" w:color="auto"/>
            </w:tcBorders>
            <w:vAlign w:val="center"/>
            <w:hideMark/>
          </w:tcPr>
          <w:p w14:paraId="544937DC"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2</w:t>
            </w:r>
          </w:p>
        </w:tc>
        <w:tc>
          <w:tcPr>
            <w:tcW w:w="850" w:type="dxa"/>
            <w:tcBorders>
              <w:top w:val="nil"/>
              <w:left w:val="nil"/>
              <w:bottom w:val="single" w:sz="8" w:space="0" w:color="auto"/>
              <w:right w:val="single" w:sz="8" w:space="0" w:color="auto"/>
            </w:tcBorders>
            <w:vAlign w:val="center"/>
            <w:hideMark/>
          </w:tcPr>
          <w:p w14:paraId="17F0DE4C"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w:t>
            </w:r>
          </w:p>
        </w:tc>
        <w:tc>
          <w:tcPr>
            <w:tcW w:w="993" w:type="dxa"/>
            <w:tcBorders>
              <w:top w:val="nil"/>
              <w:left w:val="nil"/>
              <w:bottom w:val="single" w:sz="8" w:space="0" w:color="auto"/>
              <w:right w:val="single" w:sz="8" w:space="0" w:color="auto"/>
            </w:tcBorders>
            <w:vAlign w:val="center"/>
            <w:hideMark/>
          </w:tcPr>
          <w:p w14:paraId="0E8CC841"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2126" w:type="dxa"/>
            <w:tcBorders>
              <w:top w:val="nil"/>
              <w:left w:val="nil"/>
              <w:bottom w:val="single" w:sz="8" w:space="0" w:color="auto"/>
              <w:right w:val="nil"/>
            </w:tcBorders>
            <w:vAlign w:val="center"/>
            <w:hideMark/>
          </w:tcPr>
          <w:p w14:paraId="49EB1365"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16</w:t>
            </w:r>
          </w:p>
        </w:tc>
        <w:tc>
          <w:tcPr>
            <w:tcW w:w="773" w:type="dxa"/>
            <w:tcBorders>
              <w:top w:val="nil"/>
              <w:left w:val="single" w:sz="8" w:space="0" w:color="auto"/>
              <w:bottom w:val="single" w:sz="8" w:space="0" w:color="auto"/>
              <w:right w:val="single" w:sz="8" w:space="0" w:color="auto"/>
            </w:tcBorders>
            <w:noWrap/>
            <w:vAlign w:val="center"/>
            <w:hideMark/>
          </w:tcPr>
          <w:p w14:paraId="5A53E2DB" w14:textId="77777777" w:rsidR="000C003D" w:rsidRPr="002F181A" w:rsidRDefault="000C003D" w:rsidP="007F3DAB">
            <w:pPr>
              <w:spacing w:line="240" w:lineRule="exact"/>
              <w:jc w:val="center"/>
              <w:rPr>
                <w:rFonts w:ascii="Lato" w:hAnsi="Lato" w:cs="Arial"/>
                <w:sz w:val="20"/>
                <w:szCs w:val="20"/>
              </w:rPr>
            </w:pPr>
            <w:r w:rsidRPr="002F181A">
              <w:rPr>
                <w:rFonts w:ascii="Lato" w:hAnsi="Lato"/>
                <w:sz w:val="20"/>
                <w:szCs w:val="20"/>
              </w:rPr>
              <w:t>104</w:t>
            </w:r>
          </w:p>
        </w:tc>
      </w:tr>
      <w:tr w:rsidR="000C003D" w:rsidRPr="002F181A" w14:paraId="2034B276" w14:textId="77777777" w:rsidTr="007F3DAB">
        <w:trPr>
          <w:trHeight w:val="414"/>
        </w:trPr>
        <w:tc>
          <w:tcPr>
            <w:tcW w:w="1249" w:type="dxa"/>
            <w:tcBorders>
              <w:top w:val="single" w:sz="4" w:space="0" w:color="auto"/>
              <w:left w:val="single" w:sz="8" w:space="0" w:color="auto"/>
              <w:bottom w:val="single" w:sz="8" w:space="0" w:color="auto"/>
              <w:right w:val="nil"/>
            </w:tcBorders>
            <w:vAlign w:val="center"/>
            <w:hideMark/>
          </w:tcPr>
          <w:p w14:paraId="3AABE1A4" w14:textId="77777777" w:rsidR="000C003D" w:rsidRPr="002F181A" w:rsidRDefault="000C003D" w:rsidP="007F3DAB">
            <w:pPr>
              <w:spacing w:line="240" w:lineRule="exact"/>
              <w:jc w:val="center"/>
              <w:rPr>
                <w:rFonts w:ascii="Lato" w:hAnsi="Lato" w:cs="Calibri"/>
                <w:sz w:val="20"/>
                <w:szCs w:val="20"/>
              </w:rPr>
            </w:pPr>
            <w:r w:rsidRPr="002F181A">
              <w:rPr>
                <w:rFonts w:ascii="Lato" w:hAnsi="Lato" w:cs="Calibri"/>
                <w:sz w:val="20"/>
                <w:szCs w:val="20"/>
              </w:rPr>
              <w:t>Myślibórz</w:t>
            </w:r>
          </w:p>
        </w:tc>
        <w:tc>
          <w:tcPr>
            <w:tcW w:w="1394" w:type="dxa"/>
            <w:tcBorders>
              <w:top w:val="single" w:sz="4" w:space="0" w:color="auto"/>
              <w:left w:val="single" w:sz="8" w:space="0" w:color="auto"/>
              <w:bottom w:val="single" w:sz="8" w:space="0" w:color="auto"/>
              <w:right w:val="single" w:sz="8" w:space="0" w:color="auto"/>
            </w:tcBorders>
            <w:vAlign w:val="center"/>
            <w:hideMark/>
          </w:tcPr>
          <w:p w14:paraId="6EFC1B6E"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36</w:t>
            </w:r>
          </w:p>
        </w:tc>
        <w:tc>
          <w:tcPr>
            <w:tcW w:w="613" w:type="dxa"/>
            <w:tcBorders>
              <w:top w:val="single" w:sz="4" w:space="0" w:color="auto"/>
              <w:left w:val="nil"/>
              <w:bottom w:val="single" w:sz="8" w:space="0" w:color="auto"/>
              <w:right w:val="single" w:sz="8" w:space="0" w:color="auto"/>
            </w:tcBorders>
            <w:vAlign w:val="center"/>
            <w:hideMark/>
          </w:tcPr>
          <w:p w14:paraId="58B53668"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27</w:t>
            </w:r>
          </w:p>
        </w:tc>
        <w:tc>
          <w:tcPr>
            <w:tcW w:w="708" w:type="dxa"/>
            <w:tcBorders>
              <w:top w:val="single" w:sz="4" w:space="0" w:color="auto"/>
              <w:left w:val="nil"/>
              <w:bottom w:val="single" w:sz="8" w:space="0" w:color="auto"/>
              <w:right w:val="single" w:sz="8" w:space="0" w:color="auto"/>
            </w:tcBorders>
            <w:vAlign w:val="center"/>
            <w:hideMark/>
          </w:tcPr>
          <w:p w14:paraId="3AF51FE7"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6</w:t>
            </w:r>
          </w:p>
        </w:tc>
        <w:tc>
          <w:tcPr>
            <w:tcW w:w="851" w:type="dxa"/>
            <w:tcBorders>
              <w:top w:val="single" w:sz="4" w:space="0" w:color="auto"/>
              <w:left w:val="nil"/>
              <w:bottom w:val="single" w:sz="8" w:space="0" w:color="auto"/>
              <w:right w:val="single" w:sz="8" w:space="0" w:color="auto"/>
            </w:tcBorders>
            <w:vAlign w:val="center"/>
            <w:hideMark/>
          </w:tcPr>
          <w:p w14:paraId="68D5BEE0"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3</w:t>
            </w:r>
          </w:p>
        </w:tc>
        <w:tc>
          <w:tcPr>
            <w:tcW w:w="850" w:type="dxa"/>
            <w:tcBorders>
              <w:top w:val="single" w:sz="4" w:space="0" w:color="auto"/>
              <w:left w:val="nil"/>
              <w:bottom w:val="single" w:sz="8" w:space="0" w:color="auto"/>
              <w:right w:val="single" w:sz="8" w:space="0" w:color="auto"/>
            </w:tcBorders>
            <w:vAlign w:val="center"/>
            <w:hideMark/>
          </w:tcPr>
          <w:p w14:paraId="6B088F08"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993" w:type="dxa"/>
            <w:tcBorders>
              <w:top w:val="single" w:sz="4" w:space="0" w:color="auto"/>
              <w:left w:val="nil"/>
              <w:bottom w:val="single" w:sz="8" w:space="0" w:color="auto"/>
              <w:right w:val="single" w:sz="8" w:space="0" w:color="auto"/>
            </w:tcBorders>
            <w:vAlign w:val="center"/>
            <w:hideMark/>
          </w:tcPr>
          <w:p w14:paraId="4264292E"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2126" w:type="dxa"/>
            <w:tcBorders>
              <w:top w:val="single" w:sz="4" w:space="0" w:color="auto"/>
              <w:left w:val="nil"/>
              <w:bottom w:val="single" w:sz="8" w:space="0" w:color="auto"/>
              <w:right w:val="nil"/>
            </w:tcBorders>
            <w:vAlign w:val="center"/>
            <w:hideMark/>
          </w:tcPr>
          <w:p w14:paraId="178CAC8B"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6</w:t>
            </w:r>
          </w:p>
        </w:tc>
        <w:tc>
          <w:tcPr>
            <w:tcW w:w="773" w:type="dxa"/>
            <w:tcBorders>
              <w:top w:val="single" w:sz="4" w:space="0" w:color="auto"/>
              <w:left w:val="single" w:sz="8" w:space="0" w:color="auto"/>
              <w:bottom w:val="single" w:sz="8" w:space="0" w:color="auto"/>
              <w:right w:val="single" w:sz="8" w:space="0" w:color="auto"/>
            </w:tcBorders>
            <w:noWrap/>
            <w:vAlign w:val="center"/>
            <w:hideMark/>
          </w:tcPr>
          <w:p w14:paraId="0AC41A61" w14:textId="77777777" w:rsidR="000C003D" w:rsidRPr="002F181A" w:rsidRDefault="000C003D" w:rsidP="007F3DAB">
            <w:pPr>
              <w:spacing w:line="240" w:lineRule="exact"/>
              <w:jc w:val="center"/>
              <w:rPr>
                <w:rFonts w:ascii="Lato" w:hAnsi="Lato" w:cs="Arial"/>
                <w:sz w:val="20"/>
                <w:szCs w:val="20"/>
              </w:rPr>
            </w:pPr>
            <w:r w:rsidRPr="002F181A">
              <w:rPr>
                <w:rFonts w:ascii="Lato" w:hAnsi="Lato"/>
                <w:sz w:val="20"/>
                <w:szCs w:val="20"/>
              </w:rPr>
              <w:t>42</w:t>
            </w:r>
          </w:p>
        </w:tc>
      </w:tr>
      <w:tr w:rsidR="000C003D" w:rsidRPr="002F181A" w14:paraId="3FEF8B83" w14:textId="77777777" w:rsidTr="007F3DAB">
        <w:trPr>
          <w:trHeight w:val="414"/>
        </w:trPr>
        <w:tc>
          <w:tcPr>
            <w:tcW w:w="1249" w:type="dxa"/>
            <w:tcBorders>
              <w:top w:val="nil"/>
              <w:left w:val="single" w:sz="8" w:space="0" w:color="auto"/>
              <w:bottom w:val="single" w:sz="8" w:space="0" w:color="auto"/>
              <w:right w:val="nil"/>
            </w:tcBorders>
            <w:vAlign w:val="center"/>
            <w:hideMark/>
          </w:tcPr>
          <w:p w14:paraId="20AF2DB0" w14:textId="77777777" w:rsidR="000C003D" w:rsidRPr="002F181A" w:rsidRDefault="000C003D" w:rsidP="007F3DAB">
            <w:pPr>
              <w:spacing w:line="240" w:lineRule="exact"/>
              <w:jc w:val="center"/>
              <w:rPr>
                <w:rFonts w:ascii="Lato" w:hAnsi="Lato" w:cs="Calibri"/>
                <w:sz w:val="20"/>
                <w:szCs w:val="20"/>
              </w:rPr>
            </w:pPr>
            <w:r w:rsidRPr="002F181A">
              <w:rPr>
                <w:rFonts w:ascii="Lato" w:hAnsi="Lato" w:cs="Calibri"/>
                <w:sz w:val="20"/>
                <w:szCs w:val="20"/>
              </w:rPr>
              <w:t>Police</w:t>
            </w:r>
          </w:p>
        </w:tc>
        <w:tc>
          <w:tcPr>
            <w:tcW w:w="1394" w:type="dxa"/>
            <w:tcBorders>
              <w:top w:val="nil"/>
              <w:left w:val="single" w:sz="8" w:space="0" w:color="auto"/>
              <w:bottom w:val="single" w:sz="8" w:space="0" w:color="auto"/>
              <w:right w:val="single" w:sz="8" w:space="0" w:color="auto"/>
            </w:tcBorders>
            <w:vAlign w:val="center"/>
            <w:hideMark/>
          </w:tcPr>
          <w:p w14:paraId="7B788416"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20</w:t>
            </w:r>
          </w:p>
        </w:tc>
        <w:tc>
          <w:tcPr>
            <w:tcW w:w="613" w:type="dxa"/>
            <w:tcBorders>
              <w:top w:val="nil"/>
              <w:left w:val="nil"/>
              <w:bottom w:val="single" w:sz="8" w:space="0" w:color="auto"/>
              <w:right w:val="single" w:sz="8" w:space="0" w:color="auto"/>
            </w:tcBorders>
            <w:vAlign w:val="center"/>
            <w:hideMark/>
          </w:tcPr>
          <w:p w14:paraId="59704750"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2</w:t>
            </w:r>
          </w:p>
        </w:tc>
        <w:tc>
          <w:tcPr>
            <w:tcW w:w="708" w:type="dxa"/>
            <w:tcBorders>
              <w:top w:val="nil"/>
              <w:left w:val="nil"/>
              <w:bottom w:val="single" w:sz="8" w:space="0" w:color="auto"/>
              <w:right w:val="single" w:sz="8" w:space="0" w:color="auto"/>
            </w:tcBorders>
            <w:vAlign w:val="center"/>
            <w:hideMark/>
          </w:tcPr>
          <w:p w14:paraId="436CA3B3"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14</w:t>
            </w:r>
          </w:p>
        </w:tc>
        <w:tc>
          <w:tcPr>
            <w:tcW w:w="851" w:type="dxa"/>
            <w:tcBorders>
              <w:top w:val="nil"/>
              <w:left w:val="nil"/>
              <w:bottom w:val="single" w:sz="8" w:space="0" w:color="auto"/>
              <w:right w:val="single" w:sz="8" w:space="0" w:color="auto"/>
            </w:tcBorders>
            <w:vAlign w:val="center"/>
            <w:hideMark/>
          </w:tcPr>
          <w:p w14:paraId="39D0E97D"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4</w:t>
            </w:r>
          </w:p>
        </w:tc>
        <w:tc>
          <w:tcPr>
            <w:tcW w:w="850" w:type="dxa"/>
            <w:tcBorders>
              <w:top w:val="nil"/>
              <w:left w:val="nil"/>
              <w:bottom w:val="single" w:sz="8" w:space="0" w:color="auto"/>
              <w:right w:val="single" w:sz="8" w:space="0" w:color="auto"/>
            </w:tcBorders>
            <w:vAlign w:val="center"/>
            <w:hideMark/>
          </w:tcPr>
          <w:p w14:paraId="1E9A23A0"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993" w:type="dxa"/>
            <w:tcBorders>
              <w:top w:val="nil"/>
              <w:left w:val="nil"/>
              <w:bottom w:val="single" w:sz="8" w:space="0" w:color="auto"/>
              <w:right w:val="single" w:sz="8" w:space="0" w:color="auto"/>
            </w:tcBorders>
            <w:vAlign w:val="center"/>
            <w:hideMark/>
          </w:tcPr>
          <w:p w14:paraId="1A5561FB"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2126" w:type="dxa"/>
            <w:tcBorders>
              <w:top w:val="nil"/>
              <w:left w:val="nil"/>
              <w:bottom w:val="single" w:sz="8" w:space="0" w:color="auto"/>
              <w:right w:val="nil"/>
            </w:tcBorders>
            <w:vAlign w:val="center"/>
            <w:hideMark/>
          </w:tcPr>
          <w:p w14:paraId="589C9E24"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3</w:t>
            </w:r>
          </w:p>
        </w:tc>
        <w:tc>
          <w:tcPr>
            <w:tcW w:w="773" w:type="dxa"/>
            <w:tcBorders>
              <w:top w:val="nil"/>
              <w:left w:val="single" w:sz="8" w:space="0" w:color="auto"/>
              <w:bottom w:val="single" w:sz="8" w:space="0" w:color="auto"/>
              <w:right w:val="single" w:sz="8" w:space="0" w:color="auto"/>
            </w:tcBorders>
            <w:noWrap/>
            <w:vAlign w:val="center"/>
            <w:hideMark/>
          </w:tcPr>
          <w:p w14:paraId="0B6BC19E" w14:textId="77777777" w:rsidR="000C003D" w:rsidRPr="002F181A" w:rsidRDefault="000C003D" w:rsidP="007F3DAB">
            <w:pPr>
              <w:spacing w:line="240" w:lineRule="exact"/>
              <w:jc w:val="center"/>
              <w:rPr>
                <w:rFonts w:ascii="Lato" w:hAnsi="Lato" w:cs="Arial"/>
                <w:sz w:val="20"/>
                <w:szCs w:val="20"/>
              </w:rPr>
            </w:pPr>
            <w:r w:rsidRPr="002F181A">
              <w:rPr>
                <w:rFonts w:ascii="Lato" w:hAnsi="Lato"/>
                <w:sz w:val="20"/>
                <w:szCs w:val="20"/>
              </w:rPr>
              <w:t>23</w:t>
            </w:r>
          </w:p>
        </w:tc>
      </w:tr>
      <w:tr w:rsidR="000C003D" w:rsidRPr="002F181A" w14:paraId="25DAD2D5" w14:textId="77777777" w:rsidTr="007F3DAB">
        <w:trPr>
          <w:trHeight w:val="414"/>
        </w:trPr>
        <w:tc>
          <w:tcPr>
            <w:tcW w:w="1249" w:type="dxa"/>
            <w:tcBorders>
              <w:top w:val="single" w:sz="4" w:space="0" w:color="auto"/>
              <w:left w:val="single" w:sz="8" w:space="0" w:color="auto"/>
              <w:bottom w:val="single" w:sz="8" w:space="0" w:color="auto"/>
              <w:right w:val="nil"/>
            </w:tcBorders>
            <w:vAlign w:val="center"/>
            <w:hideMark/>
          </w:tcPr>
          <w:p w14:paraId="63C7F482" w14:textId="77777777" w:rsidR="000C003D" w:rsidRPr="002F181A" w:rsidRDefault="000C003D" w:rsidP="007F3DAB">
            <w:pPr>
              <w:spacing w:line="240" w:lineRule="exact"/>
              <w:jc w:val="center"/>
              <w:rPr>
                <w:rFonts w:ascii="Lato" w:hAnsi="Lato" w:cs="Calibri"/>
                <w:sz w:val="20"/>
                <w:szCs w:val="20"/>
              </w:rPr>
            </w:pPr>
            <w:r w:rsidRPr="002F181A">
              <w:rPr>
                <w:rFonts w:ascii="Lato" w:hAnsi="Lato" w:cs="Calibri"/>
                <w:sz w:val="20"/>
                <w:szCs w:val="20"/>
              </w:rPr>
              <w:t>Pyrzyce</w:t>
            </w:r>
          </w:p>
        </w:tc>
        <w:tc>
          <w:tcPr>
            <w:tcW w:w="1394" w:type="dxa"/>
            <w:tcBorders>
              <w:top w:val="single" w:sz="4" w:space="0" w:color="auto"/>
              <w:left w:val="single" w:sz="8" w:space="0" w:color="auto"/>
              <w:bottom w:val="single" w:sz="8" w:space="0" w:color="auto"/>
              <w:right w:val="single" w:sz="8" w:space="0" w:color="auto"/>
            </w:tcBorders>
            <w:vAlign w:val="center"/>
            <w:hideMark/>
          </w:tcPr>
          <w:p w14:paraId="08FC09DA"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37</w:t>
            </w:r>
          </w:p>
        </w:tc>
        <w:tc>
          <w:tcPr>
            <w:tcW w:w="613" w:type="dxa"/>
            <w:tcBorders>
              <w:top w:val="single" w:sz="4" w:space="0" w:color="auto"/>
              <w:left w:val="nil"/>
              <w:bottom w:val="single" w:sz="8" w:space="0" w:color="auto"/>
              <w:right w:val="single" w:sz="8" w:space="0" w:color="auto"/>
            </w:tcBorders>
            <w:vAlign w:val="center"/>
            <w:hideMark/>
          </w:tcPr>
          <w:p w14:paraId="4812B5E1"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23</w:t>
            </w:r>
          </w:p>
        </w:tc>
        <w:tc>
          <w:tcPr>
            <w:tcW w:w="708" w:type="dxa"/>
            <w:tcBorders>
              <w:top w:val="single" w:sz="4" w:space="0" w:color="auto"/>
              <w:left w:val="nil"/>
              <w:bottom w:val="single" w:sz="8" w:space="0" w:color="auto"/>
              <w:right w:val="single" w:sz="8" w:space="0" w:color="auto"/>
            </w:tcBorders>
            <w:vAlign w:val="center"/>
            <w:hideMark/>
          </w:tcPr>
          <w:p w14:paraId="10D84FBC"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13</w:t>
            </w:r>
          </w:p>
        </w:tc>
        <w:tc>
          <w:tcPr>
            <w:tcW w:w="851" w:type="dxa"/>
            <w:tcBorders>
              <w:top w:val="single" w:sz="4" w:space="0" w:color="auto"/>
              <w:left w:val="nil"/>
              <w:bottom w:val="single" w:sz="8" w:space="0" w:color="auto"/>
              <w:right w:val="single" w:sz="8" w:space="0" w:color="auto"/>
            </w:tcBorders>
            <w:vAlign w:val="center"/>
            <w:hideMark/>
          </w:tcPr>
          <w:p w14:paraId="55778E5A"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w:t>
            </w:r>
          </w:p>
        </w:tc>
        <w:tc>
          <w:tcPr>
            <w:tcW w:w="850" w:type="dxa"/>
            <w:tcBorders>
              <w:top w:val="single" w:sz="4" w:space="0" w:color="auto"/>
              <w:left w:val="nil"/>
              <w:bottom w:val="single" w:sz="8" w:space="0" w:color="auto"/>
              <w:right w:val="single" w:sz="8" w:space="0" w:color="auto"/>
            </w:tcBorders>
            <w:vAlign w:val="center"/>
            <w:hideMark/>
          </w:tcPr>
          <w:p w14:paraId="669CEF3B"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993" w:type="dxa"/>
            <w:tcBorders>
              <w:top w:val="single" w:sz="4" w:space="0" w:color="auto"/>
              <w:left w:val="nil"/>
              <w:bottom w:val="single" w:sz="8" w:space="0" w:color="auto"/>
              <w:right w:val="single" w:sz="8" w:space="0" w:color="auto"/>
            </w:tcBorders>
            <w:vAlign w:val="center"/>
            <w:hideMark/>
          </w:tcPr>
          <w:p w14:paraId="2D9290C9"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2126" w:type="dxa"/>
            <w:tcBorders>
              <w:top w:val="single" w:sz="4" w:space="0" w:color="auto"/>
              <w:left w:val="nil"/>
              <w:bottom w:val="single" w:sz="8" w:space="0" w:color="auto"/>
              <w:right w:val="nil"/>
            </w:tcBorders>
            <w:vAlign w:val="center"/>
            <w:hideMark/>
          </w:tcPr>
          <w:p w14:paraId="6AC94D80"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3</w:t>
            </w:r>
          </w:p>
        </w:tc>
        <w:tc>
          <w:tcPr>
            <w:tcW w:w="773" w:type="dxa"/>
            <w:tcBorders>
              <w:top w:val="single" w:sz="4" w:space="0" w:color="auto"/>
              <w:left w:val="single" w:sz="8" w:space="0" w:color="auto"/>
              <w:bottom w:val="single" w:sz="8" w:space="0" w:color="auto"/>
              <w:right w:val="single" w:sz="8" w:space="0" w:color="auto"/>
            </w:tcBorders>
            <w:noWrap/>
            <w:vAlign w:val="center"/>
            <w:hideMark/>
          </w:tcPr>
          <w:p w14:paraId="47AF2993" w14:textId="77777777" w:rsidR="000C003D" w:rsidRPr="002F181A" w:rsidRDefault="000C003D" w:rsidP="007F3DAB">
            <w:pPr>
              <w:spacing w:line="240" w:lineRule="exact"/>
              <w:jc w:val="center"/>
              <w:rPr>
                <w:rFonts w:ascii="Lato" w:hAnsi="Lato" w:cs="Arial"/>
                <w:sz w:val="20"/>
                <w:szCs w:val="20"/>
              </w:rPr>
            </w:pPr>
            <w:r w:rsidRPr="002F181A">
              <w:rPr>
                <w:rFonts w:ascii="Lato" w:hAnsi="Lato"/>
                <w:sz w:val="20"/>
                <w:szCs w:val="20"/>
              </w:rPr>
              <w:t>40</w:t>
            </w:r>
          </w:p>
        </w:tc>
      </w:tr>
      <w:tr w:rsidR="000C003D" w:rsidRPr="002F181A" w14:paraId="16742035" w14:textId="77777777" w:rsidTr="007F3DAB">
        <w:trPr>
          <w:trHeight w:val="414"/>
        </w:trPr>
        <w:tc>
          <w:tcPr>
            <w:tcW w:w="1249" w:type="dxa"/>
            <w:tcBorders>
              <w:top w:val="nil"/>
              <w:left w:val="single" w:sz="8" w:space="0" w:color="auto"/>
              <w:bottom w:val="single" w:sz="8" w:space="0" w:color="auto"/>
              <w:right w:val="nil"/>
            </w:tcBorders>
            <w:vAlign w:val="center"/>
            <w:hideMark/>
          </w:tcPr>
          <w:p w14:paraId="56D6F478" w14:textId="77777777" w:rsidR="000C003D" w:rsidRPr="002F181A" w:rsidRDefault="000C003D" w:rsidP="007F3DAB">
            <w:pPr>
              <w:spacing w:line="240" w:lineRule="exact"/>
              <w:jc w:val="center"/>
              <w:rPr>
                <w:rFonts w:ascii="Lato" w:hAnsi="Lato" w:cs="Calibri"/>
                <w:sz w:val="20"/>
                <w:szCs w:val="20"/>
              </w:rPr>
            </w:pPr>
            <w:r w:rsidRPr="002F181A">
              <w:rPr>
                <w:rFonts w:ascii="Lato" w:hAnsi="Lato" w:cs="Calibri"/>
                <w:sz w:val="20"/>
                <w:szCs w:val="20"/>
              </w:rPr>
              <w:t>Sławno</w:t>
            </w:r>
          </w:p>
        </w:tc>
        <w:tc>
          <w:tcPr>
            <w:tcW w:w="1394" w:type="dxa"/>
            <w:tcBorders>
              <w:top w:val="nil"/>
              <w:left w:val="single" w:sz="8" w:space="0" w:color="auto"/>
              <w:bottom w:val="single" w:sz="8" w:space="0" w:color="auto"/>
              <w:right w:val="single" w:sz="8" w:space="0" w:color="auto"/>
            </w:tcBorders>
            <w:vAlign w:val="center"/>
            <w:hideMark/>
          </w:tcPr>
          <w:p w14:paraId="0F6D7730"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43</w:t>
            </w:r>
          </w:p>
        </w:tc>
        <w:tc>
          <w:tcPr>
            <w:tcW w:w="613" w:type="dxa"/>
            <w:tcBorders>
              <w:top w:val="nil"/>
              <w:left w:val="nil"/>
              <w:bottom w:val="single" w:sz="8" w:space="0" w:color="auto"/>
              <w:right w:val="single" w:sz="8" w:space="0" w:color="auto"/>
            </w:tcBorders>
            <w:vAlign w:val="center"/>
            <w:hideMark/>
          </w:tcPr>
          <w:p w14:paraId="75822CDF"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26</w:t>
            </w:r>
          </w:p>
        </w:tc>
        <w:tc>
          <w:tcPr>
            <w:tcW w:w="708" w:type="dxa"/>
            <w:tcBorders>
              <w:top w:val="nil"/>
              <w:left w:val="nil"/>
              <w:bottom w:val="single" w:sz="8" w:space="0" w:color="auto"/>
              <w:right w:val="single" w:sz="8" w:space="0" w:color="auto"/>
            </w:tcBorders>
            <w:vAlign w:val="center"/>
            <w:hideMark/>
          </w:tcPr>
          <w:p w14:paraId="1E006F4F"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15</w:t>
            </w:r>
          </w:p>
        </w:tc>
        <w:tc>
          <w:tcPr>
            <w:tcW w:w="851" w:type="dxa"/>
            <w:tcBorders>
              <w:top w:val="nil"/>
              <w:left w:val="nil"/>
              <w:bottom w:val="single" w:sz="8" w:space="0" w:color="auto"/>
              <w:right w:val="single" w:sz="8" w:space="0" w:color="auto"/>
            </w:tcBorders>
            <w:vAlign w:val="center"/>
            <w:hideMark/>
          </w:tcPr>
          <w:p w14:paraId="11BAECC3"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2</w:t>
            </w:r>
          </w:p>
        </w:tc>
        <w:tc>
          <w:tcPr>
            <w:tcW w:w="850" w:type="dxa"/>
            <w:tcBorders>
              <w:top w:val="nil"/>
              <w:left w:val="nil"/>
              <w:bottom w:val="single" w:sz="8" w:space="0" w:color="auto"/>
              <w:right w:val="single" w:sz="8" w:space="0" w:color="auto"/>
            </w:tcBorders>
            <w:vAlign w:val="center"/>
            <w:hideMark/>
          </w:tcPr>
          <w:p w14:paraId="4B19BE1F"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993" w:type="dxa"/>
            <w:tcBorders>
              <w:top w:val="nil"/>
              <w:left w:val="nil"/>
              <w:bottom w:val="single" w:sz="8" w:space="0" w:color="auto"/>
              <w:right w:val="single" w:sz="8" w:space="0" w:color="auto"/>
            </w:tcBorders>
            <w:vAlign w:val="center"/>
            <w:hideMark/>
          </w:tcPr>
          <w:p w14:paraId="359F7777"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2126" w:type="dxa"/>
            <w:tcBorders>
              <w:top w:val="nil"/>
              <w:left w:val="nil"/>
              <w:bottom w:val="single" w:sz="8" w:space="0" w:color="auto"/>
              <w:right w:val="nil"/>
            </w:tcBorders>
            <w:vAlign w:val="center"/>
            <w:hideMark/>
          </w:tcPr>
          <w:p w14:paraId="41B6DFA8"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11</w:t>
            </w:r>
          </w:p>
        </w:tc>
        <w:tc>
          <w:tcPr>
            <w:tcW w:w="773" w:type="dxa"/>
            <w:tcBorders>
              <w:top w:val="nil"/>
              <w:left w:val="single" w:sz="8" w:space="0" w:color="auto"/>
              <w:bottom w:val="single" w:sz="8" w:space="0" w:color="auto"/>
              <w:right w:val="single" w:sz="8" w:space="0" w:color="auto"/>
            </w:tcBorders>
            <w:noWrap/>
            <w:vAlign w:val="center"/>
            <w:hideMark/>
          </w:tcPr>
          <w:p w14:paraId="1FAEF831" w14:textId="77777777" w:rsidR="000C003D" w:rsidRPr="002F181A" w:rsidRDefault="000C003D" w:rsidP="007F3DAB">
            <w:pPr>
              <w:spacing w:line="240" w:lineRule="exact"/>
              <w:jc w:val="center"/>
              <w:rPr>
                <w:rFonts w:ascii="Lato" w:hAnsi="Lato" w:cs="Arial"/>
                <w:sz w:val="20"/>
                <w:szCs w:val="20"/>
              </w:rPr>
            </w:pPr>
            <w:r w:rsidRPr="002F181A">
              <w:rPr>
                <w:rFonts w:ascii="Lato" w:hAnsi="Lato"/>
                <w:sz w:val="20"/>
                <w:szCs w:val="20"/>
              </w:rPr>
              <w:t>54</w:t>
            </w:r>
          </w:p>
        </w:tc>
      </w:tr>
      <w:tr w:rsidR="000C003D" w:rsidRPr="002F181A" w14:paraId="2DAFC348" w14:textId="77777777" w:rsidTr="007F3DAB">
        <w:trPr>
          <w:trHeight w:val="414"/>
        </w:trPr>
        <w:tc>
          <w:tcPr>
            <w:tcW w:w="1249" w:type="dxa"/>
            <w:tcBorders>
              <w:top w:val="nil"/>
              <w:left w:val="single" w:sz="8" w:space="0" w:color="auto"/>
              <w:bottom w:val="single" w:sz="8" w:space="0" w:color="auto"/>
              <w:right w:val="nil"/>
            </w:tcBorders>
            <w:vAlign w:val="center"/>
            <w:hideMark/>
          </w:tcPr>
          <w:p w14:paraId="000451C5" w14:textId="77777777" w:rsidR="000C003D" w:rsidRPr="002F181A" w:rsidRDefault="000C003D" w:rsidP="007F3DAB">
            <w:pPr>
              <w:spacing w:line="240" w:lineRule="exact"/>
              <w:jc w:val="center"/>
              <w:rPr>
                <w:rFonts w:ascii="Lato" w:hAnsi="Lato" w:cs="Calibri"/>
                <w:sz w:val="20"/>
                <w:szCs w:val="20"/>
              </w:rPr>
            </w:pPr>
            <w:r w:rsidRPr="002F181A">
              <w:rPr>
                <w:rFonts w:ascii="Lato" w:hAnsi="Lato" w:cs="Calibri"/>
                <w:sz w:val="20"/>
                <w:szCs w:val="20"/>
              </w:rPr>
              <w:t>Stargard</w:t>
            </w:r>
          </w:p>
        </w:tc>
        <w:tc>
          <w:tcPr>
            <w:tcW w:w="1394" w:type="dxa"/>
            <w:tcBorders>
              <w:top w:val="nil"/>
              <w:left w:val="single" w:sz="8" w:space="0" w:color="auto"/>
              <w:bottom w:val="single" w:sz="8" w:space="0" w:color="auto"/>
              <w:right w:val="single" w:sz="8" w:space="0" w:color="auto"/>
            </w:tcBorders>
            <w:vAlign w:val="center"/>
            <w:hideMark/>
          </w:tcPr>
          <w:p w14:paraId="40C1B51A"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65</w:t>
            </w:r>
          </w:p>
        </w:tc>
        <w:tc>
          <w:tcPr>
            <w:tcW w:w="613" w:type="dxa"/>
            <w:tcBorders>
              <w:top w:val="nil"/>
              <w:left w:val="nil"/>
              <w:bottom w:val="single" w:sz="8" w:space="0" w:color="auto"/>
              <w:right w:val="single" w:sz="8" w:space="0" w:color="auto"/>
            </w:tcBorders>
            <w:vAlign w:val="center"/>
            <w:hideMark/>
          </w:tcPr>
          <w:p w14:paraId="624D8BAC"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37</w:t>
            </w:r>
          </w:p>
        </w:tc>
        <w:tc>
          <w:tcPr>
            <w:tcW w:w="708" w:type="dxa"/>
            <w:tcBorders>
              <w:top w:val="nil"/>
              <w:left w:val="nil"/>
              <w:bottom w:val="single" w:sz="8" w:space="0" w:color="auto"/>
              <w:right w:val="single" w:sz="8" w:space="0" w:color="auto"/>
            </w:tcBorders>
            <w:vAlign w:val="center"/>
            <w:hideMark/>
          </w:tcPr>
          <w:p w14:paraId="53F43C65"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26</w:t>
            </w:r>
          </w:p>
        </w:tc>
        <w:tc>
          <w:tcPr>
            <w:tcW w:w="851" w:type="dxa"/>
            <w:tcBorders>
              <w:top w:val="nil"/>
              <w:left w:val="nil"/>
              <w:bottom w:val="single" w:sz="8" w:space="0" w:color="auto"/>
              <w:right w:val="single" w:sz="8" w:space="0" w:color="auto"/>
            </w:tcBorders>
            <w:vAlign w:val="center"/>
            <w:hideMark/>
          </w:tcPr>
          <w:p w14:paraId="5BBDD2A5"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2</w:t>
            </w:r>
          </w:p>
        </w:tc>
        <w:tc>
          <w:tcPr>
            <w:tcW w:w="850" w:type="dxa"/>
            <w:tcBorders>
              <w:top w:val="nil"/>
              <w:left w:val="nil"/>
              <w:bottom w:val="single" w:sz="8" w:space="0" w:color="auto"/>
              <w:right w:val="single" w:sz="8" w:space="0" w:color="auto"/>
            </w:tcBorders>
            <w:vAlign w:val="center"/>
            <w:hideMark/>
          </w:tcPr>
          <w:p w14:paraId="1C46E99F"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993" w:type="dxa"/>
            <w:tcBorders>
              <w:top w:val="nil"/>
              <w:left w:val="nil"/>
              <w:bottom w:val="single" w:sz="8" w:space="0" w:color="auto"/>
              <w:right w:val="single" w:sz="8" w:space="0" w:color="auto"/>
            </w:tcBorders>
            <w:vAlign w:val="center"/>
            <w:hideMark/>
          </w:tcPr>
          <w:p w14:paraId="677D3EE4"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2126" w:type="dxa"/>
            <w:tcBorders>
              <w:top w:val="nil"/>
              <w:left w:val="nil"/>
              <w:bottom w:val="single" w:sz="8" w:space="0" w:color="auto"/>
              <w:right w:val="nil"/>
            </w:tcBorders>
            <w:vAlign w:val="center"/>
            <w:hideMark/>
          </w:tcPr>
          <w:p w14:paraId="4AE2B1A1"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7</w:t>
            </w:r>
          </w:p>
        </w:tc>
        <w:tc>
          <w:tcPr>
            <w:tcW w:w="773" w:type="dxa"/>
            <w:tcBorders>
              <w:top w:val="nil"/>
              <w:left w:val="single" w:sz="8" w:space="0" w:color="auto"/>
              <w:bottom w:val="single" w:sz="8" w:space="0" w:color="auto"/>
              <w:right w:val="single" w:sz="8" w:space="0" w:color="auto"/>
            </w:tcBorders>
            <w:noWrap/>
            <w:vAlign w:val="center"/>
            <w:hideMark/>
          </w:tcPr>
          <w:p w14:paraId="75C5508A" w14:textId="77777777" w:rsidR="000C003D" w:rsidRPr="002F181A" w:rsidRDefault="000C003D" w:rsidP="007F3DAB">
            <w:pPr>
              <w:spacing w:line="240" w:lineRule="exact"/>
              <w:jc w:val="center"/>
              <w:rPr>
                <w:rFonts w:ascii="Lato" w:hAnsi="Lato" w:cs="Arial"/>
                <w:sz w:val="20"/>
                <w:szCs w:val="20"/>
              </w:rPr>
            </w:pPr>
            <w:r w:rsidRPr="002F181A">
              <w:rPr>
                <w:rFonts w:ascii="Lato" w:hAnsi="Lato"/>
                <w:sz w:val="20"/>
                <w:szCs w:val="20"/>
              </w:rPr>
              <w:t>72</w:t>
            </w:r>
          </w:p>
        </w:tc>
      </w:tr>
      <w:tr w:rsidR="000C003D" w:rsidRPr="002F181A" w14:paraId="278CBCFE" w14:textId="77777777" w:rsidTr="007F3DAB">
        <w:trPr>
          <w:trHeight w:val="414"/>
        </w:trPr>
        <w:tc>
          <w:tcPr>
            <w:tcW w:w="1249" w:type="dxa"/>
            <w:tcBorders>
              <w:top w:val="nil"/>
              <w:left w:val="single" w:sz="8" w:space="0" w:color="auto"/>
              <w:bottom w:val="single" w:sz="8" w:space="0" w:color="auto"/>
              <w:right w:val="nil"/>
            </w:tcBorders>
            <w:vAlign w:val="center"/>
            <w:hideMark/>
          </w:tcPr>
          <w:p w14:paraId="4AE37274" w14:textId="77777777" w:rsidR="000C003D" w:rsidRPr="002F181A" w:rsidRDefault="000C003D" w:rsidP="007F3DAB">
            <w:pPr>
              <w:spacing w:line="240" w:lineRule="exact"/>
              <w:jc w:val="center"/>
              <w:rPr>
                <w:rFonts w:ascii="Lato" w:hAnsi="Lato" w:cs="Calibri"/>
                <w:sz w:val="20"/>
                <w:szCs w:val="20"/>
              </w:rPr>
            </w:pPr>
            <w:r w:rsidRPr="002F181A">
              <w:rPr>
                <w:rFonts w:ascii="Lato" w:hAnsi="Lato" w:cs="Calibri"/>
                <w:sz w:val="20"/>
                <w:szCs w:val="20"/>
              </w:rPr>
              <w:t>Szczecinek</w:t>
            </w:r>
          </w:p>
        </w:tc>
        <w:tc>
          <w:tcPr>
            <w:tcW w:w="1394" w:type="dxa"/>
            <w:tcBorders>
              <w:top w:val="nil"/>
              <w:left w:val="single" w:sz="8" w:space="0" w:color="auto"/>
              <w:bottom w:val="single" w:sz="8" w:space="0" w:color="auto"/>
              <w:right w:val="single" w:sz="8" w:space="0" w:color="auto"/>
            </w:tcBorders>
            <w:vAlign w:val="center"/>
            <w:hideMark/>
          </w:tcPr>
          <w:p w14:paraId="12AAA90E"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25</w:t>
            </w:r>
          </w:p>
        </w:tc>
        <w:tc>
          <w:tcPr>
            <w:tcW w:w="613" w:type="dxa"/>
            <w:tcBorders>
              <w:top w:val="nil"/>
              <w:left w:val="nil"/>
              <w:bottom w:val="single" w:sz="8" w:space="0" w:color="auto"/>
              <w:right w:val="single" w:sz="8" w:space="0" w:color="auto"/>
            </w:tcBorders>
            <w:vAlign w:val="center"/>
            <w:hideMark/>
          </w:tcPr>
          <w:p w14:paraId="38243A8E"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12</w:t>
            </w:r>
          </w:p>
        </w:tc>
        <w:tc>
          <w:tcPr>
            <w:tcW w:w="708" w:type="dxa"/>
            <w:tcBorders>
              <w:top w:val="nil"/>
              <w:left w:val="nil"/>
              <w:bottom w:val="single" w:sz="8" w:space="0" w:color="auto"/>
              <w:right w:val="single" w:sz="8" w:space="0" w:color="auto"/>
            </w:tcBorders>
            <w:vAlign w:val="center"/>
            <w:hideMark/>
          </w:tcPr>
          <w:p w14:paraId="60E72377"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12</w:t>
            </w:r>
          </w:p>
        </w:tc>
        <w:tc>
          <w:tcPr>
            <w:tcW w:w="851" w:type="dxa"/>
            <w:tcBorders>
              <w:top w:val="nil"/>
              <w:left w:val="nil"/>
              <w:bottom w:val="single" w:sz="8" w:space="0" w:color="auto"/>
              <w:right w:val="single" w:sz="8" w:space="0" w:color="auto"/>
            </w:tcBorders>
            <w:vAlign w:val="center"/>
            <w:hideMark/>
          </w:tcPr>
          <w:p w14:paraId="1E4869D1"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w:t>
            </w:r>
          </w:p>
        </w:tc>
        <w:tc>
          <w:tcPr>
            <w:tcW w:w="850" w:type="dxa"/>
            <w:tcBorders>
              <w:top w:val="nil"/>
              <w:left w:val="nil"/>
              <w:bottom w:val="single" w:sz="8" w:space="0" w:color="auto"/>
              <w:right w:val="single" w:sz="8" w:space="0" w:color="auto"/>
            </w:tcBorders>
            <w:vAlign w:val="center"/>
            <w:hideMark/>
          </w:tcPr>
          <w:p w14:paraId="5B104BBE"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993" w:type="dxa"/>
            <w:tcBorders>
              <w:top w:val="nil"/>
              <w:left w:val="nil"/>
              <w:bottom w:val="single" w:sz="8" w:space="0" w:color="auto"/>
              <w:right w:val="single" w:sz="8" w:space="0" w:color="auto"/>
            </w:tcBorders>
            <w:vAlign w:val="center"/>
            <w:hideMark/>
          </w:tcPr>
          <w:p w14:paraId="1B36A98B"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2126" w:type="dxa"/>
            <w:tcBorders>
              <w:top w:val="nil"/>
              <w:left w:val="nil"/>
              <w:bottom w:val="single" w:sz="8" w:space="0" w:color="auto"/>
              <w:right w:val="nil"/>
            </w:tcBorders>
            <w:vAlign w:val="center"/>
            <w:hideMark/>
          </w:tcPr>
          <w:p w14:paraId="1B12F418"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10</w:t>
            </w:r>
          </w:p>
        </w:tc>
        <w:tc>
          <w:tcPr>
            <w:tcW w:w="773" w:type="dxa"/>
            <w:tcBorders>
              <w:top w:val="nil"/>
              <w:left w:val="single" w:sz="8" w:space="0" w:color="auto"/>
              <w:bottom w:val="single" w:sz="8" w:space="0" w:color="auto"/>
              <w:right w:val="single" w:sz="8" w:space="0" w:color="auto"/>
            </w:tcBorders>
            <w:noWrap/>
            <w:vAlign w:val="center"/>
            <w:hideMark/>
          </w:tcPr>
          <w:p w14:paraId="412AF1D8" w14:textId="77777777" w:rsidR="000C003D" w:rsidRPr="002F181A" w:rsidRDefault="000C003D" w:rsidP="007F3DAB">
            <w:pPr>
              <w:spacing w:line="240" w:lineRule="exact"/>
              <w:jc w:val="center"/>
              <w:rPr>
                <w:rFonts w:ascii="Lato" w:hAnsi="Lato" w:cs="Arial"/>
                <w:sz w:val="20"/>
                <w:szCs w:val="20"/>
              </w:rPr>
            </w:pPr>
            <w:r w:rsidRPr="002F181A">
              <w:rPr>
                <w:rFonts w:ascii="Lato" w:hAnsi="Lato"/>
                <w:sz w:val="20"/>
                <w:szCs w:val="20"/>
              </w:rPr>
              <w:t>34</w:t>
            </w:r>
          </w:p>
        </w:tc>
      </w:tr>
      <w:tr w:rsidR="000C003D" w:rsidRPr="002F181A" w14:paraId="570669C5" w14:textId="77777777" w:rsidTr="007F3DAB">
        <w:trPr>
          <w:trHeight w:val="414"/>
        </w:trPr>
        <w:tc>
          <w:tcPr>
            <w:tcW w:w="1249" w:type="dxa"/>
            <w:tcBorders>
              <w:top w:val="nil"/>
              <w:left w:val="single" w:sz="8" w:space="0" w:color="auto"/>
              <w:bottom w:val="single" w:sz="8" w:space="0" w:color="auto"/>
              <w:right w:val="nil"/>
            </w:tcBorders>
            <w:vAlign w:val="center"/>
            <w:hideMark/>
          </w:tcPr>
          <w:p w14:paraId="5D3B27BA" w14:textId="77777777" w:rsidR="000C003D" w:rsidRPr="002F181A" w:rsidRDefault="000C003D" w:rsidP="007F3DAB">
            <w:pPr>
              <w:spacing w:line="240" w:lineRule="exact"/>
              <w:jc w:val="center"/>
              <w:rPr>
                <w:rFonts w:ascii="Lato" w:hAnsi="Lato" w:cs="Calibri"/>
                <w:sz w:val="20"/>
                <w:szCs w:val="20"/>
              </w:rPr>
            </w:pPr>
            <w:r w:rsidRPr="002F181A">
              <w:rPr>
                <w:rFonts w:ascii="Lato" w:hAnsi="Lato" w:cs="Calibri"/>
                <w:sz w:val="20"/>
                <w:szCs w:val="20"/>
              </w:rPr>
              <w:t>Świdwin</w:t>
            </w:r>
          </w:p>
        </w:tc>
        <w:tc>
          <w:tcPr>
            <w:tcW w:w="1394" w:type="dxa"/>
            <w:tcBorders>
              <w:top w:val="nil"/>
              <w:left w:val="single" w:sz="8" w:space="0" w:color="auto"/>
              <w:bottom w:val="single" w:sz="8" w:space="0" w:color="auto"/>
              <w:right w:val="single" w:sz="8" w:space="0" w:color="auto"/>
            </w:tcBorders>
            <w:vAlign w:val="center"/>
            <w:hideMark/>
          </w:tcPr>
          <w:p w14:paraId="416FE10A"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53</w:t>
            </w:r>
          </w:p>
        </w:tc>
        <w:tc>
          <w:tcPr>
            <w:tcW w:w="613" w:type="dxa"/>
            <w:tcBorders>
              <w:top w:val="nil"/>
              <w:left w:val="nil"/>
              <w:bottom w:val="single" w:sz="8" w:space="0" w:color="auto"/>
              <w:right w:val="single" w:sz="8" w:space="0" w:color="auto"/>
            </w:tcBorders>
            <w:vAlign w:val="center"/>
            <w:hideMark/>
          </w:tcPr>
          <w:p w14:paraId="7C1907A2"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42</w:t>
            </w:r>
          </w:p>
        </w:tc>
        <w:tc>
          <w:tcPr>
            <w:tcW w:w="708" w:type="dxa"/>
            <w:tcBorders>
              <w:top w:val="nil"/>
              <w:left w:val="nil"/>
              <w:bottom w:val="single" w:sz="8" w:space="0" w:color="auto"/>
              <w:right w:val="single" w:sz="8" w:space="0" w:color="auto"/>
            </w:tcBorders>
            <w:vAlign w:val="center"/>
            <w:hideMark/>
          </w:tcPr>
          <w:p w14:paraId="6746CB3C"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10</w:t>
            </w:r>
          </w:p>
        </w:tc>
        <w:tc>
          <w:tcPr>
            <w:tcW w:w="851" w:type="dxa"/>
            <w:tcBorders>
              <w:top w:val="nil"/>
              <w:left w:val="nil"/>
              <w:bottom w:val="single" w:sz="8" w:space="0" w:color="auto"/>
              <w:right w:val="single" w:sz="8" w:space="0" w:color="auto"/>
            </w:tcBorders>
            <w:vAlign w:val="center"/>
            <w:hideMark/>
          </w:tcPr>
          <w:p w14:paraId="21EFA087"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w:t>
            </w:r>
          </w:p>
        </w:tc>
        <w:tc>
          <w:tcPr>
            <w:tcW w:w="850" w:type="dxa"/>
            <w:tcBorders>
              <w:top w:val="nil"/>
              <w:left w:val="nil"/>
              <w:bottom w:val="single" w:sz="8" w:space="0" w:color="auto"/>
              <w:right w:val="single" w:sz="8" w:space="0" w:color="auto"/>
            </w:tcBorders>
            <w:vAlign w:val="center"/>
            <w:hideMark/>
          </w:tcPr>
          <w:p w14:paraId="00EE2BD2"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993" w:type="dxa"/>
            <w:tcBorders>
              <w:top w:val="nil"/>
              <w:left w:val="nil"/>
              <w:bottom w:val="single" w:sz="8" w:space="0" w:color="auto"/>
              <w:right w:val="single" w:sz="8" w:space="0" w:color="auto"/>
            </w:tcBorders>
            <w:vAlign w:val="center"/>
            <w:hideMark/>
          </w:tcPr>
          <w:p w14:paraId="4C13C36C"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2126" w:type="dxa"/>
            <w:tcBorders>
              <w:top w:val="nil"/>
              <w:left w:val="nil"/>
              <w:bottom w:val="single" w:sz="8" w:space="0" w:color="auto"/>
              <w:right w:val="nil"/>
            </w:tcBorders>
            <w:vAlign w:val="center"/>
            <w:hideMark/>
          </w:tcPr>
          <w:p w14:paraId="2D3CDF8D"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30</w:t>
            </w:r>
          </w:p>
        </w:tc>
        <w:tc>
          <w:tcPr>
            <w:tcW w:w="773" w:type="dxa"/>
            <w:tcBorders>
              <w:top w:val="nil"/>
              <w:left w:val="single" w:sz="8" w:space="0" w:color="auto"/>
              <w:bottom w:val="single" w:sz="8" w:space="0" w:color="auto"/>
              <w:right w:val="single" w:sz="8" w:space="0" w:color="auto"/>
            </w:tcBorders>
            <w:noWrap/>
            <w:vAlign w:val="center"/>
            <w:hideMark/>
          </w:tcPr>
          <w:p w14:paraId="1358F6F2" w14:textId="77777777" w:rsidR="000C003D" w:rsidRPr="002F181A" w:rsidRDefault="000C003D" w:rsidP="007F3DAB">
            <w:pPr>
              <w:spacing w:line="240" w:lineRule="exact"/>
              <w:jc w:val="center"/>
              <w:rPr>
                <w:rFonts w:ascii="Lato" w:hAnsi="Lato" w:cs="Arial"/>
                <w:sz w:val="20"/>
                <w:szCs w:val="20"/>
              </w:rPr>
            </w:pPr>
            <w:r w:rsidRPr="002F181A">
              <w:rPr>
                <w:rFonts w:ascii="Lato" w:hAnsi="Lato"/>
                <w:sz w:val="20"/>
                <w:szCs w:val="20"/>
              </w:rPr>
              <w:t>83</w:t>
            </w:r>
          </w:p>
        </w:tc>
      </w:tr>
      <w:tr w:rsidR="000C003D" w:rsidRPr="002F181A" w14:paraId="5BBCFCC5" w14:textId="77777777" w:rsidTr="007F3DAB">
        <w:trPr>
          <w:trHeight w:val="414"/>
        </w:trPr>
        <w:tc>
          <w:tcPr>
            <w:tcW w:w="1249" w:type="dxa"/>
            <w:tcBorders>
              <w:top w:val="nil"/>
              <w:left w:val="single" w:sz="8" w:space="0" w:color="auto"/>
              <w:bottom w:val="single" w:sz="8" w:space="0" w:color="auto"/>
              <w:right w:val="nil"/>
            </w:tcBorders>
            <w:vAlign w:val="center"/>
            <w:hideMark/>
          </w:tcPr>
          <w:p w14:paraId="2C148BD3" w14:textId="77777777" w:rsidR="000C003D" w:rsidRPr="002F181A" w:rsidRDefault="000C003D" w:rsidP="007F3DAB">
            <w:pPr>
              <w:spacing w:line="240" w:lineRule="exact"/>
              <w:jc w:val="center"/>
              <w:rPr>
                <w:rFonts w:ascii="Lato" w:hAnsi="Lato" w:cs="Calibri"/>
                <w:sz w:val="20"/>
                <w:szCs w:val="20"/>
              </w:rPr>
            </w:pPr>
            <w:r w:rsidRPr="002F181A">
              <w:rPr>
                <w:rFonts w:ascii="Lato" w:hAnsi="Lato" w:cs="Calibri"/>
                <w:sz w:val="20"/>
                <w:szCs w:val="20"/>
              </w:rPr>
              <w:t>Wałcz</w:t>
            </w:r>
          </w:p>
        </w:tc>
        <w:tc>
          <w:tcPr>
            <w:tcW w:w="1394" w:type="dxa"/>
            <w:tcBorders>
              <w:top w:val="nil"/>
              <w:left w:val="single" w:sz="8" w:space="0" w:color="auto"/>
              <w:bottom w:val="single" w:sz="8" w:space="0" w:color="auto"/>
              <w:right w:val="single" w:sz="8" w:space="0" w:color="auto"/>
            </w:tcBorders>
            <w:vAlign w:val="center"/>
            <w:hideMark/>
          </w:tcPr>
          <w:p w14:paraId="2B44EEA7"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50</w:t>
            </w:r>
          </w:p>
        </w:tc>
        <w:tc>
          <w:tcPr>
            <w:tcW w:w="613" w:type="dxa"/>
            <w:tcBorders>
              <w:top w:val="nil"/>
              <w:left w:val="nil"/>
              <w:bottom w:val="single" w:sz="8" w:space="0" w:color="auto"/>
              <w:right w:val="single" w:sz="8" w:space="0" w:color="auto"/>
            </w:tcBorders>
            <w:vAlign w:val="center"/>
            <w:hideMark/>
          </w:tcPr>
          <w:p w14:paraId="0E843DB6"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40</w:t>
            </w:r>
          </w:p>
        </w:tc>
        <w:tc>
          <w:tcPr>
            <w:tcW w:w="708" w:type="dxa"/>
            <w:tcBorders>
              <w:top w:val="nil"/>
              <w:left w:val="nil"/>
              <w:bottom w:val="single" w:sz="8" w:space="0" w:color="auto"/>
              <w:right w:val="single" w:sz="8" w:space="0" w:color="auto"/>
            </w:tcBorders>
            <w:vAlign w:val="center"/>
            <w:hideMark/>
          </w:tcPr>
          <w:p w14:paraId="024015B6"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9</w:t>
            </w:r>
          </w:p>
        </w:tc>
        <w:tc>
          <w:tcPr>
            <w:tcW w:w="851" w:type="dxa"/>
            <w:tcBorders>
              <w:top w:val="nil"/>
              <w:left w:val="nil"/>
              <w:bottom w:val="single" w:sz="8" w:space="0" w:color="auto"/>
              <w:right w:val="single" w:sz="8" w:space="0" w:color="auto"/>
            </w:tcBorders>
            <w:vAlign w:val="center"/>
            <w:hideMark/>
          </w:tcPr>
          <w:p w14:paraId="6F8D8922"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w:t>
            </w:r>
          </w:p>
        </w:tc>
        <w:tc>
          <w:tcPr>
            <w:tcW w:w="850" w:type="dxa"/>
            <w:tcBorders>
              <w:top w:val="nil"/>
              <w:left w:val="nil"/>
              <w:bottom w:val="single" w:sz="8" w:space="0" w:color="auto"/>
              <w:right w:val="single" w:sz="8" w:space="0" w:color="auto"/>
            </w:tcBorders>
            <w:vAlign w:val="center"/>
            <w:hideMark/>
          </w:tcPr>
          <w:p w14:paraId="23D2C907"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993" w:type="dxa"/>
            <w:tcBorders>
              <w:top w:val="nil"/>
              <w:left w:val="nil"/>
              <w:bottom w:val="single" w:sz="8" w:space="0" w:color="auto"/>
              <w:right w:val="single" w:sz="8" w:space="0" w:color="auto"/>
            </w:tcBorders>
            <w:vAlign w:val="center"/>
            <w:hideMark/>
          </w:tcPr>
          <w:p w14:paraId="6876DCB2"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2126" w:type="dxa"/>
            <w:tcBorders>
              <w:top w:val="nil"/>
              <w:left w:val="nil"/>
              <w:bottom w:val="single" w:sz="8" w:space="0" w:color="auto"/>
              <w:right w:val="nil"/>
            </w:tcBorders>
            <w:vAlign w:val="center"/>
            <w:hideMark/>
          </w:tcPr>
          <w:p w14:paraId="32FD799F"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5</w:t>
            </w:r>
          </w:p>
        </w:tc>
        <w:tc>
          <w:tcPr>
            <w:tcW w:w="773" w:type="dxa"/>
            <w:tcBorders>
              <w:top w:val="nil"/>
              <w:left w:val="single" w:sz="8" w:space="0" w:color="auto"/>
              <w:bottom w:val="single" w:sz="8" w:space="0" w:color="auto"/>
              <w:right w:val="single" w:sz="8" w:space="0" w:color="auto"/>
            </w:tcBorders>
            <w:noWrap/>
            <w:vAlign w:val="center"/>
            <w:hideMark/>
          </w:tcPr>
          <w:p w14:paraId="412FA440" w14:textId="77777777" w:rsidR="000C003D" w:rsidRPr="002F181A" w:rsidRDefault="000C003D" w:rsidP="007F3DAB">
            <w:pPr>
              <w:spacing w:line="240" w:lineRule="exact"/>
              <w:jc w:val="center"/>
              <w:rPr>
                <w:rFonts w:ascii="Lato" w:hAnsi="Lato" w:cs="Arial"/>
                <w:sz w:val="20"/>
                <w:szCs w:val="20"/>
              </w:rPr>
            </w:pPr>
            <w:r w:rsidRPr="002F181A">
              <w:rPr>
                <w:rFonts w:ascii="Lato" w:hAnsi="Lato"/>
                <w:sz w:val="20"/>
                <w:szCs w:val="20"/>
              </w:rPr>
              <w:t>55</w:t>
            </w:r>
          </w:p>
        </w:tc>
      </w:tr>
      <w:tr w:rsidR="000C003D" w:rsidRPr="002F181A" w14:paraId="7688B82C" w14:textId="77777777" w:rsidTr="007F3DAB">
        <w:trPr>
          <w:trHeight w:val="414"/>
        </w:trPr>
        <w:tc>
          <w:tcPr>
            <w:tcW w:w="1249" w:type="dxa"/>
            <w:tcBorders>
              <w:top w:val="nil"/>
              <w:left w:val="single" w:sz="8" w:space="0" w:color="auto"/>
              <w:bottom w:val="single" w:sz="8" w:space="0" w:color="auto"/>
              <w:right w:val="nil"/>
            </w:tcBorders>
            <w:vAlign w:val="center"/>
            <w:hideMark/>
          </w:tcPr>
          <w:p w14:paraId="7C3A0361" w14:textId="77777777" w:rsidR="000C003D" w:rsidRPr="002F181A" w:rsidRDefault="000C003D" w:rsidP="007F3DAB">
            <w:pPr>
              <w:spacing w:line="240" w:lineRule="exact"/>
              <w:jc w:val="center"/>
              <w:rPr>
                <w:rFonts w:ascii="Lato" w:hAnsi="Lato" w:cs="Calibri"/>
                <w:sz w:val="20"/>
                <w:szCs w:val="20"/>
              </w:rPr>
            </w:pPr>
            <w:r w:rsidRPr="002F181A">
              <w:rPr>
                <w:rFonts w:ascii="Lato" w:hAnsi="Lato" w:cs="Calibri"/>
                <w:sz w:val="20"/>
                <w:szCs w:val="20"/>
              </w:rPr>
              <w:t>Łobez</w:t>
            </w:r>
          </w:p>
        </w:tc>
        <w:tc>
          <w:tcPr>
            <w:tcW w:w="1394" w:type="dxa"/>
            <w:tcBorders>
              <w:top w:val="nil"/>
              <w:left w:val="single" w:sz="8" w:space="0" w:color="auto"/>
              <w:bottom w:val="single" w:sz="8" w:space="0" w:color="auto"/>
              <w:right w:val="single" w:sz="8" w:space="0" w:color="auto"/>
            </w:tcBorders>
            <w:vAlign w:val="center"/>
            <w:hideMark/>
          </w:tcPr>
          <w:p w14:paraId="58A09D11"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51</w:t>
            </w:r>
          </w:p>
        </w:tc>
        <w:tc>
          <w:tcPr>
            <w:tcW w:w="613" w:type="dxa"/>
            <w:tcBorders>
              <w:top w:val="nil"/>
              <w:left w:val="nil"/>
              <w:bottom w:val="single" w:sz="8" w:space="0" w:color="auto"/>
              <w:right w:val="single" w:sz="8" w:space="0" w:color="auto"/>
            </w:tcBorders>
            <w:vAlign w:val="center"/>
            <w:hideMark/>
          </w:tcPr>
          <w:p w14:paraId="24B686B2"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44</w:t>
            </w:r>
          </w:p>
        </w:tc>
        <w:tc>
          <w:tcPr>
            <w:tcW w:w="708" w:type="dxa"/>
            <w:tcBorders>
              <w:top w:val="nil"/>
              <w:left w:val="nil"/>
              <w:bottom w:val="single" w:sz="8" w:space="0" w:color="auto"/>
              <w:right w:val="single" w:sz="8" w:space="0" w:color="auto"/>
            </w:tcBorders>
            <w:vAlign w:val="center"/>
            <w:hideMark/>
          </w:tcPr>
          <w:p w14:paraId="095A1543"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6</w:t>
            </w:r>
          </w:p>
        </w:tc>
        <w:tc>
          <w:tcPr>
            <w:tcW w:w="851" w:type="dxa"/>
            <w:tcBorders>
              <w:top w:val="nil"/>
              <w:left w:val="nil"/>
              <w:bottom w:val="single" w:sz="8" w:space="0" w:color="auto"/>
              <w:right w:val="single" w:sz="8" w:space="0" w:color="auto"/>
            </w:tcBorders>
            <w:vAlign w:val="center"/>
            <w:hideMark/>
          </w:tcPr>
          <w:p w14:paraId="5FEE6076"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w:t>
            </w:r>
          </w:p>
        </w:tc>
        <w:tc>
          <w:tcPr>
            <w:tcW w:w="850" w:type="dxa"/>
            <w:tcBorders>
              <w:top w:val="nil"/>
              <w:left w:val="nil"/>
              <w:bottom w:val="single" w:sz="8" w:space="0" w:color="auto"/>
              <w:right w:val="single" w:sz="8" w:space="0" w:color="auto"/>
            </w:tcBorders>
            <w:vAlign w:val="center"/>
            <w:hideMark/>
          </w:tcPr>
          <w:p w14:paraId="56F786C0"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993" w:type="dxa"/>
            <w:tcBorders>
              <w:top w:val="nil"/>
              <w:left w:val="nil"/>
              <w:bottom w:val="single" w:sz="8" w:space="0" w:color="auto"/>
              <w:right w:val="single" w:sz="8" w:space="0" w:color="auto"/>
            </w:tcBorders>
            <w:vAlign w:val="center"/>
            <w:hideMark/>
          </w:tcPr>
          <w:p w14:paraId="70F96590"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2126" w:type="dxa"/>
            <w:tcBorders>
              <w:top w:val="nil"/>
              <w:left w:val="nil"/>
              <w:bottom w:val="single" w:sz="8" w:space="0" w:color="auto"/>
              <w:right w:val="nil"/>
            </w:tcBorders>
            <w:vAlign w:val="center"/>
            <w:hideMark/>
          </w:tcPr>
          <w:p w14:paraId="2ABA4225"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4</w:t>
            </w:r>
          </w:p>
        </w:tc>
        <w:tc>
          <w:tcPr>
            <w:tcW w:w="773" w:type="dxa"/>
            <w:tcBorders>
              <w:top w:val="nil"/>
              <w:left w:val="single" w:sz="8" w:space="0" w:color="auto"/>
              <w:bottom w:val="single" w:sz="8" w:space="0" w:color="auto"/>
              <w:right w:val="single" w:sz="8" w:space="0" w:color="auto"/>
            </w:tcBorders>
            <w:noWrap/>
            <w:vAlign w:val="center"/>
            <w:hideMark/>
          </w:tcPr>
          <w:p w14:paraId="46885098" w14:textId="77777777" w:rsidR="000C003D" w:rsidRPr="002F181A" w:rsidRDefault="000C003D" w:rsidP="007F3DAB">
            <w:pPr>
              <w:spacing w:line="240" w:lineRule="exact"/>
              <w:jc w:val="center"/>
              <w:rPr>
                <w:rFonts w:ascii="Lato" w:hAnsi="Lato" w:cs="Arial"/>
                <w:sz w:val="20"/>
                <w:szCs w:val="20"/>
              </w:rPr>
            </w:pPr>
            <w:r w:rsidRPr="002F181A">
              <w:rPr>
                <w:rFonts w:ascii="Lato" w:hAnsi="Lato"/>
                <w:sz w:val="20"/>
                <w:szCs w:val="20"/>
              </w:rPr>
              <w:t>55</w:t>
            </w:r>
          </w:p>
        </w:tc>
      </w:tr>
      <w:tr w:rsidR="000C003D" w:rsidRPr="002F181A" w14:paraId="7906CBBC" w14:textId="77777777" w:rsidTr="007F3DAB">
        <w:trPr>
          <w:trHeight w:val="414"/>
        </w:trPr>
        <w:tc>
          <w:tcPr>
            <w:tcW w:w="1249" w:type="dxa"/>
            <w:tcBorders>
              <w:top w:val="nil"/>
              <w:left w:val="single" w:sz="8" w:space="0" w:color="auto"/>
              <w:bottom w:val="single" w:sz="8" w:space="0" w:color="auto"/>
              <w:right w:val="nil"/>
            </w:tcBorders>
            <w:vAlign w:val="center"/>
            <w:hideMark/>
          </w:tcPr>
          <w:p w14:paraId="760E71D5" w14:textId="77777777" w:rsidR="000C003D" w:rsidRPr="002F181A" w:rsidRDefault="000C003D" w:rsidP="007F3DAB">
            <w:pPr>
              <w:spacing w:line="240" w:lineRule="exact"/>
              <w:jc w:val="center"/>
              <w:rPr>
                <w:rFonts w:ascii="Lato" w:hAnsi="Lato" w:cs="Calibri"/>
                <w:sz w:val="20"/>
                <w:szCs w:val="20"/>
              </w:rPr>
            </w:pPr>
            <w:r w:rsidRPr="002F181A">
              <w:rPr>
                <w:rFonts w:ascii="Lato" w:hAnsi="Lato" w:cs="Calibri"/>
                <w:sz w:val="20"/>
                <w:szCs w:val="20"/>
              </w:rPr>
              <w:t>Szczecin</w:t>
            </w:r>
          </w:p>
        </w:tc>
        <w:tc>
          <w:tcPr>
            <w:tcW w:w="1394" w:type="dxa"/>
            <w:tcBorders>
              <w:top w:val="nil"/>
              <w:left w:val="single" w:sz="8" w:space="0" w:color="auto"/>
              <w:bottom w:val="single" w:sz="8" w:space="0" w:color="auto"/>
              <w:right w:val="single" w:sz="8" w:space="0" w:color="auto"/>
            </w:tcBorders>
            <w:vAlign w:val="center"/>
            <w:hideMark/>
          </w:tcPr>
          <w:p w14:paraId="2331F057"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3</w:t>
            </w:r>
          </w:p>
        </w:tc>
        <w:tc>
          <w:tcPr>
            <w:tcW w:w="613" w:type="dxa"/>
            <w:tcBorders>
              <w:top w:val="nil"/>
              <w:left w:val="nil"/>
              <w:bottom w:val="single" w:sz="8" w:space="0" w:color="auto"/>
              <w:right w:val="single" w:sz="8" w:space="0" w:color="auto"/>
            </w:tcBorders>
            <w:vAlign w:val="center"/>
            <w:hideMark/>
          </w:tcPr>
          <w:p w14:paraId="4DDE0C1A"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w:t>
            </w:r>
          </w:p>
        </w:tc>
        <w:tc>
          <w:tcPr>
            <w:tcW w:w="708" w:type="dxa"/>
            <w:tcBorders>
              <w:top w:val="nil"/>
              <w:left w:val="nil"/>
              <w:bottom w:val="single" w:sz="8" w:space="0" w:color="auto"/>
              <w:right w:val="single" w:sz="8" w:space="0" w:color="auto"/>
            </w:tcBorders>
            <w:vAlign w:val="center"/>
            <w:hideMark/>
          </w:tcPr>
          <w:p w14:paraId="5A831AC2"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w:t>
            </w:r>
          </w:p>
        </w:tc>
        <w:tc>
          <w:tcPr>
            <w:tcW w:w="851" w:type="dxa"/>
            <w:tcBorders>
              <w:top w:val="nil"/>
              <w:left w:val="nil"/>
              <w:bottom w:val="single" w:sz="8" w:space="0" w:color="auto"/>
              <w:right w:val="single" w:sz="8" w:space="0" w:color="auto"/>
            </w:tcBorders>
            <w:vAlign w:val="center"/>
            <w:hideMark/>
          </w:tcPr>
          <w:p w14:paraId="72A67218"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850" w:type="dxa"/>
            <w:tcBorders>
              <w:top w:val="nil"/>
              <w:left w:val="nil"/>
              <w:bottom w:val="single" w:sz="8" w:space="0" w:color="auto"/>
              <w:right w:val="single" w:sz="8" w:space="0" w:color="auto"/>
            </w:tcBorders>
            <w:vAlign w:val="center"/>
            <w:hideMark/>
          </w:tcPr>
          <w:p w14:paraId="7673F8F4"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w:t>
            </w:r>
          </w:p>
        </w:tc>
        <w:tc>
          <w:tcPr>
            <w:tcW w:w="993" w:type="dxa"/>
            <w:tcBorders>
              <w:top w:val="nil"/>
              <w:left w:val="nil"/>
              <w:bottom w:val="single" w:sz="8" w:space="0" w:color="auto"/>
              <w:right w:val="single" w:sz="8" w:space="0" w:color="auto"/>
            </w:tcBorders>
            <w:vAlign w:val="center"/>
            <w:hideMark/>
          </w:tcPr>
          <w:p w14:paraId="5A229AC1"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2126" w:type="dxa"/>
            <w:tcBorders>
              <w:top w:val="nil"/>
              <w:left w:val="nil"/>
              <w:bottom w:val="single" w:sz="8" w:space="0" w:color="auto"/>
              <w:right w:val="nil"/>
            </w:tcBorders>
            <w:vAlign w:val="center"/>
            <w:hideMark/>
          </w:tcPr>
          <w:p w14:paraId="7C97D087"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14</w:t>
            </w:r>
          </w:p>
        </w:tc>
        <w:tc>
          <w:tcPr>
            <w:tcW w:w="773" w:type="dxa"/>
            <w:tcBorders>
              <w:top w:val="nil"/>
              <w:left w:val="single" w:sz="8" w:space="0" w:color="auto"/>
              <w:bottom w:val="single" w:sz="8" w:space="0" w:color="auto"/>
              <w:right w:val="single" w:sz="8" w:space="0" w:color="auto"/>
            </w:tcBorders>
            <w:noWrap/>
            <w:vAlign w:val="center"/>
            <w:hideMark/>
          </w:tcPr>
          <w:p w14:paraId="6727B2E4" w14:textId="77777777" w:rsidR="000C003D" w:rsidRPr="002F181A" w:rsidRDefault="000C003D" w:rsidP="007F3DAB">
            <w:pPr>
              <w:spacing w:line="240" w:lineRule="exact"/>
              <w:jc w:val="center"/>
              <w:rPr>
                <w:rFonts w:ascii="Lato" w:hAnsi="Lato" w:cs="Arial"/>
                <w:sz w:val="20"/>
                <w:szCs w:val="20"/>
              </w:rPr>
            </w:pPr>
            <w:r w:rsidRPr="002F181A">
              <w:rPr>
                <w:rFonts w:ascii="Lato" w:hAnsi="Lato"/>
                <w:sz w:val="20"/>
                <w:szCs w:val="20"/>
              </w:rPr>
              <w:t>17</w:t>
            </w:r>
          </w:p>
        </w:tc>
      </w:tr>
      <w:tr w:rsidR="000C003D" w:rsidRPr="002F181A" w14:paraId="6541F1F4" w14:textId="77777777" w:rsidTr="007F3DAB">
        <w:trPr>
          <w:trHeight w:val="414"/>
        </w:trPr>
        <w:tc>
          <w:tcPr>
            <w:tcW w:w="1249" w:type="dxa"/>
            <w:tcBorders>
              <w:top w:val="nil"/>
              <w:left w:val="single" w:sz="8" w:space="0" w:color="auto"/>
              <w:bottom w:val="single" w:sz="8" w:space="0" w:color="auto"/>
              <w:right w:val="nil"/>
            </w:tcBorders>
            <w:vAlign w:val="center"/>
            <w:hideMark/>
          </w:tcPr>
          <w:p w14:paraId="14C2F59E" w14:textId="77777777" w:rsidR="000C003D" w:rsidRPr="002F181A" w:rsidRDefault="000C003D" w:rsidP="007F3DAB">
            <w:pPr>
              <w:spacing w:line="240" w:lineRule="exact"/>
              <w:jc w:val="center"/>
              <w:rPr>
                <w:rFonts w:ascii="Lato" w:hAnsi="Lato" w:cs="Calibri"/>
                <w:sz w:val="20"/>
                <w:szCs w:val="20"/>
              </w:rPr>
            </w:pPr>
            <w:r w:rsidRPr="002F181A">
              <w:rPr>
                <w:rFonts w:ascii="Lato" w:hAnsi="Lato" w:cs="Calibri"/>
                <w:sz w:val="20"/>
                <w:szCs w:val="20"/>
              </w:rPr>
              <w:t>Świnoujście</w:t>
            </w:r>
          </w:p>
        </w:tc>
        <w:tc>
          <w:tcPr>
            <w:tcW w:w="1394" w:type="dxa"/>
            <w:tcBorders>
              <w:top w:val="nil"/>
              <w:left w:val="single" w:sz="8" w:space="0" w:color="auto"/>
              <w:bottom w:val="single" w:sz="8" w:space="0" w:color="auto"/>
              <w:right w:val="single" w:sz="8" w:space="0" w:color="auto"/>
            </w:tcBorders>
            <w:vAlign w:val="center"/>
            <w:hideMark/>
          </w:tcPr>
          <w:p w14:paraId="16556DDE"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2</w:t>
            </w:r>
          </w:p>
        </w:tc>
        <w:tc>
          <w:tcPr>
            <w:tcW w:w="613" w:type="dxa"/>
            <w:tcBorders>
              <w:top w:val="nil"/>
              <w:left w:val="nil"/>
              <w:bottom w:val="single" w:sz="8" w:space="0" w:color="auto"/>
              <w:right w:val="single" w:sz="8" w:space="0" w:color="auto"/>
            </w:tcBorders>
            <w:vAlign w:val="center"/>
            <w:hideMark/>
          </w:tcPr>
          <w:p w14:paraId="66648B5A"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708" w:type="dxa"/>
            <w:tcBorders>
              <w:top w:val="nil"/>
              <w:left w:val="nil"/>
              <w:bottom w:val="single" w:sz="8" w:space="0" w:color="auto"/>
              <w:right w:val="single" w:sz="8" w:space="0" w:color="auto"/>
            </w:tcBorders>
            <w:vAlign w:val="center"/>
            <w:hideMark/>
          </w:tcPr>
          <w:p w14:paraId="3A42F441"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851" w:type="dxa"/>
            <w:tcBorders>
              <w:top w:val="nil"/>
              <w:left w:val="nil"/>
              <w:bottom w:val="single" w:sz="8" w:space="0" w:color="auto"/>
              <w:right w:val="single" w:sz="8" w:space="0" w:color="auto"/>
            </w:tcBorders>
            <w:vAlign w:val="center"/>
            <w:hideMark/>
          </w:tcPr>
          <w:p w14:paraId="35A1456B"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2</w:t>
            </w:r>
          </w:p>
        </w:tc>
        <w:tc>
          <w:tcPr>
            <w:tcW w:w="850" w:type="dxa"/>
            <w:tcBorders>
              <w:top w:val="nil"/>
              <w:left w:val="nil"/>
              <w:bottom w:val="single" w:sz="8" w:space="0" w:color="auto"/>
              <w:right w:val="single" w:sz="8" w:space="0" w:color="auto"/>
            </w:tcBorders>
            <w:vAlign w:val="center"/>
            <w:hideMark/>
          </w:tcPr>
          <w:p w14:paraId="06F0F19E"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993" w:type="dxa"/>
            <w:tcBorders>
              <w:top w:val="nil"/>
              <w:left w:val="nil"/>
              <w:bottom w:val="single" w:sz="8" w:space="0" w:color="auto"/>
              <w:right w:val="single" w:sz="8" w:space="0" w:color="auto"/>
            </w:tcBorders>
            <w:vAlign w:val="center"/>
            <w:hideMark/>
          </w:tcPr>
          <w:p w14:paraId="6471E269"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2126" w:type="dxa"/>
            <w:tcBorders>
              <w:top w:val="nil"/>
              <w:left w:val="nil"/>
              <w:bottom w:val="single" w:sz="8" w:space="0" w:color="auto"/>
              <w:right w:val="nil"/>
            </w:tcBorders>
            <w:vAlign w:val="center"/>
            <w:hideMark/>
          </w:tcPr>
          <w:p w14:paraId="0007AFD7" w14:textId="77777777" w:rsidR="000C003D" w:rsidRPr="002F181A" w:rsidRDefault="000C003D" w:rsidP="007F3DAB">
            <w:pPr>
              <w:spacing w:line="240" w:lineRule="exact"/>
              <w:jc w:val="center"/>
              <w:rPr>
                <w:rFonts w:ascii="Lato" w:hAnsi="Lato" w:cs="Calibri"/>
                <w:sz w:val="20"/>
                <w:szCs w:val="20"/>
              </w:rPr>
            </w:pPr>
            <w:r w:rsidRPr="002F181A">
              <w:rPr>
                <w:rFonts w:ascii="Lato" w:hAnsi="Lato"/>
                <w:sz w:val="20"/>
                <w:szCs w:val="20"/>
              </w:rPr>
              <w:t>0</w:t>
            </w:r>
          </w:p>
        </w:tc>
        <w:tc>
          <w:tcPr>
            <w:tcW w:w="773" w:type="dxa"/>
            <w:tcBorders>
              <w:top w:val="nil"/>
              <w:left w:val="single" w:sz="8" w:space="0" w:color="auto"/>
              <w:bottom w:val="single" w:sz="8" w:space="0" w:color="auto"/>
              <w:right w:val="single" w:sz="8" w:space="0" w:color="auto"/>
            </w:tcBorders>
            <w:noWrap/>
            <w:vAlign w:val="center"/>
            <w:hideMark/>
          </w:tcPr>
          <w:p w14:paraId="41F1687A" w14:textId="77777777" w:rsidR="000C003D" w:rsidRPr="002F181A" w:rsidRDefault="000C003D" w:rsidP="007F3DAB">
            <w:pPr>
              <w:spacing w:line="240" w:lineRule="exact"/>
              <w:jc w:val="center"/>
              <w:rPr>
                <w:rFonts w:ascii="Lato" w:hAnsi="Lato" w:cs="Arial"/>
                <w:sz w:val="20"/>
                <w:szCs w:val="20"/>
              </w:rPr>
            </w:pPr>
            <w:r w:rsidRPr="002F181A">
              <w:rPr>
                <w:rFonts w:ascii="Lato" w:hAnsi="Lato"/>
                <w:sz w:val="20"/>
                <w:szCs w:val="20"/>
              </w:rPr>
              <w:t>2</w:t>
            </w:r>
          </w:p>
        </w:tc>
      </w:tr>
      <w:tr w:rsidR="000C003D" w:rsidRPr="002F181A" w14:paraId="00CF0ABA" w14:textId="77777777" w:rsidTr="007F3DAB">
        <w:trPr>
          <w:trHeight w:val="414"/>
        </w:trPr>
        <w:tc>
          <w:tcPr>
            <w:tcW w:w="1249" w:type="dxa"/>
            <w:tcBorders>
              <w:top w:val="nil"/>
              <w:left w:val="single" w:sz="8" w:space="0" w:color="auto"/>
              <w:bottom w:val="single" w:sz="4" w:space="0" w:color="auto"/>
              <w:right w:val="single" w:sz="8" w:space="0" w:color="auto"/>
            </w:tcBorders>
            <w:vAlign w:val="center"/>
            <w:hideMark/>
          </w:tcPr>
          <w:p w14:paraId="2DEBF8C1" w14:textId="77777777" w:rsidR="000C003D" w:rsidRPr="002F181A" w:rsidRDefault="000C003D" w:rsidP="007F3DAB">
            <w:pPr>
              <w:spacing w:line="240" w:lineRule="exact"/>
              <w:jc w:val="center"/>
              <w:rPr>
                <w:rFonts w:ascii="Lato" w:hAnsi="Lato" w:cs="Calibri"/>
                <w:b/>
                <w:bCs/>
                <w:sz w:val="20"/>
                <w:szCs w:val="20"/>
              </w:rPr>
            </w:pPr>
            <w:r w:rsidRPr="002F181A">
              <w:rPr>
                <w:rFonts w:ascii="Lato" w:hAnsi="Lato" w:cs="Calibri"/>
                <w:b/>
                <w:bCs/>
                <w:sz w:val="20"/>
                <w:szCs w:val="20"/>
              </w:rPr>
              <w:t>RAZEM</w:t>
            </w:r>
          </w:p>
        </w:tc>
        <w:tc>
          <w:tcPr>
            <w:tcW w:w="1394" w:type="dxa"/>
            <w:tcBorders>
              <w:top w:val="nil"/>
              <w:left w:val="nil"/>
              <w:bottom w:val="single" w:sz="4" w:space="0" w:color="auto"/>
              <w:right w:val="nil"/>
            </w:tcBorders>
            <w:vAlign w:val="center"/>
            <w:hideMark/>
          </w:tcPr>
          <w:p w14:paraId="50B2D928" w14:textId="77777777" w:rsidR="000C003D" w:rsidRPr="002F181A" w:rsidRDefault="000C003D" w:rsidP="007F3DAB">
            <w:pPr>
              <w:spacing w:line="240" w:lineRule="exact"/>
              <w:jc w:val="center"/>
              <w:rPr>
                <w:rFonts w:ascii="Lato" w:hAnsi="Lato" w:cs="Calibri"/>
                <w:b/>
                <w:bCs/>
                <w:sz w:val="20"/>
                <w:szCs w:val="20"/>
              </w:rPr>
            </w:pPr>
            <w:r w:rsidRPr="002F181A">
              <w:rPr>
                <w:rFonts w:ascii="Lato" w:hAnsi="Lato"/>
                <w:b/>
                <w:bCs/>
                <w:sz w:val="20"/>
                <w:szCs w:val="20"/>
              </w:rPr>
              <w:t>849</w:t>
            </w:r>
          </w:p>
        </w:tc>
        <w:tc>
          <w:tcPr>
            <w:tcW w:w="613" w:type="dxa"/>
            <w:tcBorders>
              <w:top w:val="nil"/>
              <w:left w:val="single" w:sz="8" w:space="0" w:color="auto"/>
              <w:bottom w:val="single" w:sz="4" w:space="0" w:color="auto"/>
              <w:right w:val="nil"/>
            </w:tcBorders>
            <w:vAlign w:val="center"/>
            <w:hideMark/>
          </w:tcPr>
          <w:p w14:paraId="7841B396" w14:textId="77777777" w:rsidR="000C003D" w:rsidRPr="002F181A" w:rsidRDefault="000C003D" w:rsidP="007F3DAB">
            <w:pPr>
              <w:spacing w:line="240" w:lineRule="exact"/>
              <w:jc w:val="center"/>
              <w:rPr>
                <w:rFonts w:ascii="Lato" w:hAnsi="Lato" w:cs="Calibri"/>
                <w:b/>
                <w:bCs/>
                <w:sz w:val="20"/>
                <w:szCs w:val="20"/>
              </w:rPr>
            </w:pPr>
            <w:r w:rsidRPr="002F181A">
              <w:rPr>
                <w:rFonts w:ascii="Lato" w:hAnsi="Lato"/>
                <w:b/>
                <w:bCs/>
                <w:sz w:val="20"/>
                <w:szCs w:val="20"/>
              </w:rPr>
              <w:t>600</w:t>
            </w:r>
          </w:p>
        </w:tc>
        <w:tc>
          <w:tcPr>
            <w:tcW w:w="708" w:type="dxa"/>
            <w:tcBorders>
              <w:top w:val="nil"/>
              <w:left w:val="single" w:sz="8" w:space="0" w:color="auto"/>
              <w:bottom w:val="single" w:sz="4" w:space="0" w:color="auto"/>
              <w:right w:val="single" w:sz="8" w:space="0" w:color="auto"/>
            </w:tcBorders>
            <w:vAlign w:val="center"/>
            <w:hideMark/>
          </w:tcPr>
          <w:p w14:paraId="0B937C74" w14:textId="77777777" w:rsidR="000C003D" w:rsidRPr="002F181A" w:rsidRDefault="000C003D" w:rsidP="007F3DAB">
            <w:pPr>
              <w:spacing w:line="240" w:lineRule="exact"/>
              <w:jc w:val="center"/>
              <w:rPr>
                <w:rFonts w:ascii="Lato" w:hAnsi="Lato" w:cs="Calibri"/>
                <w:b/>
                <w:bCs/>
                <w:sz w:val="20"/>
                <w:szCs w:val="20"/>
              </w:rPr>
            </w:pPr>
            <w:r w:rsidRPr="002F181A">
              <w:rPr>
                <w:rFonts w:ascii="Lato" w:hAnsi="Lato"/>
                <w:b/>
                <w:bCs/>
                <w:sz w:val="20"/>
                <w:szCs w:val="20"/>
              </w:rPr>
              <w:t>212</w:t>
            </w:r>
          </w:p>
        </w:tc>
        <w:tc>
          <w:tcPr>
            <w:tcW w:w="851" w:type="dxa"/>
            <w:tcBorders>
              <w:top w:val="nil"/>
              <w:left w:val="nil"/>
              <w:bottom w:val="single" w:sz="4" w:space="0" w:color="auto"/>
              <w:right w:val="nil"/>
            </w:tcBorders>
            <w:vAlign w:val="center"/>
            <w:hideMark/>
          </w:tcPr>
          <w:p w14:paraId="341A2477" w14:textId="77777777" w:rsidR="000C003D" w:rsidRPr="002F181A" w:rsidRDefault="000C003D" w:rsidP="007F3DAB">
            <w:pPr>
              <w:spacing w:line="240" w:lineRule="exact"/>
              <w:jc w:val="center"/>
              <w:rPr>
                <w:rFonts w:ascii="Lato" w:hAnsi="Lato" w:cs="Calibri"/>
                <w:b/>
                <w:bCs/>
                <w:sz w:val="20"/>
                <w:szCs w:val="20"/>
              </w:rPr>
            </w:pPr>
            <w:r w:rsidRPr="002F181A">
              <w:rPr>
                <w:rFonts w:ascii="Lato" w:hAnsi="Lato"/>
                <w:b/>
                <w:bCs/>
                <w:sz w:val="20"/>
                <w:szCs w:val="20"/>
              </w:rPr>
              <w:t>34</w:t>
            </w:r>
          </w:p>
        </w:tc>
        <w:tc>
          <w:tcPr>
            <w:tcW w:w="850" w:type="dxa"/>
            <w:tcBorders>
              <w:top w:val="nil"/>
              <w:left w:val="single" w:sz="8" w:space="0" w:color="auto"/>
              <w:bottom w:val="single" w:sz="4" w:space="0" w:color="auto"/>
              <w:right w:val="nil"/>
            </w:tcBorders>
            <w:vAlign w:val="center"/>
            <w:hideMark/>
          </w:tcPr>
          <w:p w14:paraId="69F5B727" w14:textId="77777777" w:rsidR="000C003D" w:rsidRPr="002F181A" w:rsidRDefault="000C003D" w:rsidP="007F3DAB">
            <w:pPr>
              <w:spacing w:line="240" w:lineRule="exact"/>
              <w:jc w:val="center"/>
              <w:rPr>
                <w:rFonts w:ascii="Lato" w:hAnsi="Lato" w:cs="Calibri"/>
                <w:b/>
                <w:bCs/>
                <w:sz w:val="20"/>
                <w:szCs w:val="20"/>
              </w:rPr>
            </w:pPr>
            <w:r w:rsidRPr="002F181A">
              <w:rPr>
                <w:rFonts w:ascii="Lato" w:hAnsi="Lato"/>
                <w:b/>
                <w:bCs/>
                <w:sz w:val="20"/>
                <w:szCs w:val="20"/>
              </w:rPr>
              <w:t>3</w:t>
            </w:r>
          </w:p>
        </w:tc>
        <w:tc>
          <w:tcPr>
            <w:tcW w:w="993" w:type="dxa"/>
            <w:tcBorders>
              <w:top w:val="nil"/>
              <w:left w:val="single" w:sz="8" w:space="0" w:color="auto"/>
              <w:bottom w:val="single" w:sz="4" w:space="0" w:color="auto"/>
              <w:right w:val="nil"/>
            </w:tcBorders>
            <w:vAlign w:val="center"/>
            <w:hideMark/>
          </w:tcPr>
          <w:p w14:paraId="12804FC7" w14:textId="77777777" w:rsidR="000C003D" w:rsidRPr="002F181A" w:rsidRDefault="000C003D" w:rsidP="007F3DAB">
            <w:pPr>
              <w:spacing w:line="240" w:lineRule="exact"/>
              <w:jc w:val="center"/>
              <w:rPr>
                <w:rFonts w:ascii="Lato" w:hAnsi="Lato" w:cs="Calibri"/>
                <w:b/>
                <w:bCs/>
                <w:sz w:val="20"/>
                <w:szCs w:val="20"/>
              </w:rPr>
            </w:pPr>
            <w:r w:rsidRPr="002F181A">
              <w:rPr>
                <w:rFonts w:ascii="Lato" w:hAnsi="Lato"/>
                <w:b/>
                <w:bCs/>
                <w:sz w:val="20"/>
                <w:szCs w:val="20"/>
              </w:rPr>
              <w:t>0</w:t>
            </w:r>
          </w:p>
        </w:tc>
        <w:tc>
          <w:tcPr>
            <w:tcW w:w="2126" w:type="dxa"/>
            <w:tcBorders>
              <w:top w:val="nil"/>
              <w:left w:val="single" w:sz="8" w:space="0" w:color="auto"/>
              <w:bottom w:val="single" w:sz="4" w:space="0" w:color="auto"/>
              <w:right w:val="single" w:sz="8" w:space="0" w:color="auto"/>
            </w:tcBorders>
            <w:vAlign w:val="center"/>
            <w:hideMark/>
          </w:tcPr>
          <w:p w14:paraId="5F813B64" w14:textId="77777777" w:rsidR="000C003D" w:rsidRPr="002F181A" w:rsidRDefault="000C003D" w:rsidP="007F3DAB">
            <w:pPr>
              <w:spacing w:line="240" w:lineRule="exact"/>
              <w:jc w:val="center"/>
              <w:rPr>
                <w:rFonts w:ascii="Lato" w:hAnsi="Lato" w:cs="Calibri"/>
                <w:b/>
                <w:bCs/>
                <w:sz w:val="20"/>
                <w:szCs w:val="20"/>
              </w:rPr>
            </w:pPr>
            <w:r w:rsidRPr="002F181A">
              <w:rPr>
                <w:rFonts w:ascii="Lato" w:hAnsi="Lato"/>
                <w:b/>
                <w:bCs/>
                <w:sz w:val="20"/>
                <w:szCs w:val="20"/>
              </w:rPr>
              <w:t>159</w:t>
            </w:r>
          </w:p>
        </w:tc>
        <w:tc>
          <w:tcPr>
            <w:tcW w:w="773" w:type="dxa"/>
            <w:tcBorders>
              <w:top w:val="nil"/>
              <w:left w:val="nil"/>
              <w:bottom w:val="single" w:sz="4" w:space="0" w:color="auto"/>
              <w:right w:val="single" w:sz="8" w:space="0" w:color="auto"/>
            </w:tcBorders>
            <w:noWrap/>
            <w:vAlign w:val="center"/>
            <w:hideMark/>
          </w:tcPr>
          <w:p w14:paraId="7BD04AB5" w14:textId="77777777" w:rsidR="000C003D" w:rsidRPr="002F181A" w:rsidRDefault="000C003D" w:rsidP="007F3DAB">
            <w:pPr>
              <w:spacing w:line="240" w:lineRule="exact"/>
              <w:jc w:val="center"/>
              <w:rPr>
                <w:rFonts w:ascii="Lato" w:hAnsi="Lato" w:cs="Arial"/>
                <w:b/>
                <w:bCs/>
                <w:sz w:val="20"/>
                <w:szCs w:val="20"/>
              </w:rPr>
            </w:pPr>
            <w:r w:rsidRPr="002F181A">
              <w:rPr>
                <w:rFonts w:ascii="Lato" w:hAnsi="Lato"/>
                <w:b/>
                <w:bCs/>
                <w:sz w:val="20"/>
                <w:szCs w:val="20"/>
              </w:rPr>
              <w:t>1</w:t>
            </w:r>
            <w:r>
              <w:rPr>
                <w:rFonts w:ascii="Lato" w:hAnsi="Lato"/>
                <w:b/>
                <w:bCs/>
                <w:sz w:val="20"/>
                <w:szCs w:val="20"/>
              </w:rPr>
              <w:t xml:space="preserve"> </w:t>
            </w:r>
            <w:r w:rsidRPr="002F181A">
              <w:rPr>
                <w:rFonts w:ascii="Lato" w:hAnsi="Lato"/>
                <w:b/>
                <w:bCs/>
                <w:sz w:val="20"/>
                <w:szCs w:val="20"/>
              </w:rPr>
              <w:t>008</w:t>
            </w:r>
          </w:p>
        </w:tc>
      </w:tr>
    </w:tbl>
    <w:p w14:paraId="21DB368C" w14:textId="77777777" w:rsidR="000C003D" w:rsidRPr="002F181A" w:rsidRDefault="000C003D" w:rsidP="000C003D">
      <w:pPr>
        <w:spacing w:line="276" w:lineRule="auto"/>
        <w:jc w:val="both"/>
        <w:rPr>
          <w:rFonts w:ascii="Lato" w:hAnsi="Lato" w:cstheme="minorHAnsi"/>
          <w:bCs/>
          <w:iCs/>
          <w:color w:val="00B0F0"/>
        </w:rPr>
      </w:pPr>
    </w:p>
    <w:p w14:paraId="0C8CA10F" w14:textId="77777777" w:rsidR="004108D0" w:rsidRDefault="004108D0" w:rsidP="00DB3C4E">
      <w:pPr>
        <w:spacing w:line="276" w:lineRule="auto"/>
        <w:rPr>
          <w:rFonts w:ascii="Lato" w:hAnsi="Lato" w:cstheme="minorHAnsi"/>
          <w:color w:val="000000" w:themeColor="text1"/>
          <w:sz w:val="22"/>
          <w:szCs w:val="22"/>
        </w:rPr>
      </w:pPr>
    </w:p>
    <w:p w14:paraId="1BBFBB6B" w14:textId="1E21AA3D" w:rsidR="0070701E" w:rsidRPr="000C003D" w:rsidRDefault="0070701E" w:rsidP="00DB3C4E">
      <w:pPr>
        <w:spacing w:line="360" w:lineRule="auto"/>
        <w:rPr>
          <w:rFonts w:ascii="Lato" w:hAnsi="Lato" w:cstheme="minorHAnsi"/>
          <w:bCs/>
          <w:color w:val="000000" w:themeColor="text1"/>
          <w:sz w:val="22"/>
          <w:szCs w:val="22"/>
          <w:u w:val="single"/>
        </w:rPr>
      </w:pPr>
      <w:r w:rsidRPr="000C003D">
        <w:rPr>
          <w:rFonts w:ascii="Lato" w:hAnsi="Lato" w:cstheme="minorHAnsi"/>
          <w:bCs/>
          <w:color w:val="000000" w:themeColor="text1"/>
          <w:sz w:val="22"/>
          <w:szCs w:val="22"/>
          <w:u w:val="single"/>
        </w:rPr>
        <w:t>Przekroczenia parametrów mikrobiologicznych lub fizykochemicznych, skutkujące tymczasowym brakiem przydatności wody do spożycia.</w:t>
      </w:r>
    </w:p>
    <w:p w14:paraId="13C36A3D" w14:textId="4ACA440D" w:rsidR="0070701E" w:rsidRDefault="0070701E" w:rsidP="00DB3C4E">
      <w:pPr>
        <w:spacing w:line="360" w:lineRule="auto"/>
        <w:rPr>
          <w:rFonts w:ascii="Lato" w:hAnsi="Lato" w:cstheme="minorHAnsi"/>
          <w:color w:val="000000" w:themeColor="text1"/>
          <w:sz w:val="22"/>
          <w:szCs w:val="22"/>
        </w:rPr>
      </w:pPr>
      <w:r w:rsidRPr="004108D0">
        <w:rPr>
          <w:rFonts w:ascii="Lato" w:hAnsi="Lato" w:cstheme="minorHAnsi"/>
          <w:color w:val="000000" w:themeColor="text1"/>
          <w:sz w:val="22"/>
          <w:szCs w:val="22"/>
        </w:rPr>
        <w:t xml:space="preserve">Ocena wyników badań </w:t>
      </w:r>
      <w:r w:rsidRPr="004108D0">
        <w:rPr>
          <w:rFonts w:ascii="Lato" w:hAnsi="Lato" w:cstheme="minorHAnsi"/>
          <w:sz w:val="22"/>
          <w:szCs w:val="22"/>
        </w:rPr>
        <w:t xml:space="preserve">wskazujących na niewłaściwą jakość wody w 70 </w:t>
      </w:r>
      <w:r w:rsidRPr="004108D0">
        <w:rPr>
          <w:rFonts w:ascii="Lato" w:hAnsi="Lato" w:cstheme="minorHAnsi"/>
          <w:color w:val="000000" w:themeColor="text1"/>
          <w:sz w:val="22"/>
          <w:szCs w:val="22"/>
        </w:rPr>
        <w:t>przypadkach skutkowała tymczasowym brakiem przydatności wody do spożycia (jest to liczba prawie dwukrotnie, mniejsza niż w roku 2024). Najwięcej przypadków tymczasowego braku przydatności wody do spożycia, podobnie jak w latach ubiegłych, stwierdzano w wodociągach o</w:t>
      </w:r>
      <w:r w:rsidR="00DB3C4E">
        <w:rPr>
          <w:rFonts w:ascii="Lato" w:hAnsi="Lato" w:cstheme="minorHAnsi"/>
          <w:color w:val="000000" w:themeColor="text1"/>
          <w:sz w:val="22"/>
          <w:szCs w:val="22"/>
        </w:rPr>
        <w:t> </w:t>
      </w:r>
      <w:r w:rsidRPr="004108D0">
        <w:rPr>
          <w:rFonts w:ascii="Lato" w:hAnsi="Lato" w:cstheme="minorHAnsi"/>
          <w:color w:val="000000" w:themeColor="text1"/>
          <w:sz w:val="22"/>
          <w:szCs w:val="22"/>
        </w:rPr>
        <w:t>najniższej dobowej produkcji wody, tj. poniżej 100 m</w:t>
      </w:r>
      <w:r w:rsidRPr="004108D0">
        <w:rPr>
          <w:rFonts w:ascii="Lato" w:hAnsi="Lato" w:cstheme="minorHAnsi"/>
          <w:color w:val="000000" w:themeColor="text1"/>
          <w:sz w:val="22"/>
          <w:szCs w:val="22"/>
          <w:vertAlign w:val="superscript"/>
        </w:rPr>
        <w:t>3</w:t>
      </w:r>
      <w:r w:rsidRPr="004108D0">
        <w:rPr>
          <w:rFonts w:ascii="Lato" w:hAnsi="Lato" w:cstheme="minorHAnsi"/>
          <w:color w:val="000000" w:themeColor="text1"/>
          <w:sz w:val="22"/>
          <w:szCs w:val="22"/>
        </w:rPr>
        <w:t xml:space="preserve">/d. </w:t>
      </w:r>
      <w:r w:rsidR="002B7836" w:rsidRPr="002B7836">
        <w:rPr>
          <w:rFonts w:ascii="Lato" w:hAnsi="Lato" w:cstheme="minorHAnsi"/>
          <w:color w:val="000000" w:themeColor="text1"/>
          <w:sz w:val="22"/>
          <w:szCs w:val="22"/>
        </w:rPr>
        <w:t xml:space="preserve">Stwierdzone zanieczyszczenia w 69 </w:t>
      </w:r>
      <w:r w:rsidR="002B7836" w:rsidRPr="002B7836">
        <w:rPr>
          <w:rFonts w:ascii="Lato" w:hAnsi="Lato" w:cstheme="minorHAnsi"/>
          <w:color w:val="000000" w:themeColor="text1"/>
          <w:sz w:val="22"/>
          <w:szCs w:val="22"/>
        </w:rPr>
        <w:lastRenderedPageBreak/>
        <w:t xml:space="preserve">przypadkach </w:t>
      </w:r>
      <w:r w:rsidR="002B7836">
        <w:rPr>
          <w:rFonts w:ascii="Lato" w:hAnsi="Lato" w:cstheme="minorHAnsi"/>
          <w:color w:val="000000" w:themeColor="text1"/>
          <w:sz w:val="22"/>
          <w:szCs w:val="22"/>
        </w:rPr>
        <w:t>dotyczyły</w:t>
      </w:r>
      <w:r w:rsidR="002B7836" w:rsidRPr="002B7836">
        <w:rPr>
          <w:rFonts w:ascii="Lato" w:hAnsi="Lato" w:cstheme="minorHAnsi"/>
          <w:color w:val="000000" w:themeColor="text1"/>
          <w:sz w:val="22"/>
          <w:szCs w:val="22"/>
        </w:rPr>
        <w:t xml:space="preserve"> przekroczeń parametrów mikrobiologicznych, w 1 przypadku  - parametru chemicznego. </w:t>
      </w:r>
      <w:r w:rsidRPr="004108D0">
        <w:rPr>
          <w:rFonts w:ascii="Lato" w:hAnsi="Lato" w:cstheme="minorHAnsi"/>
          <w:color w:val="000000" w:themeColor="text1"/>
          <w:sz w:val="22"/>
          <w:szCs w:val="22"/>
        </w:rPr>
        <w:t>Przedsiębiorstwa wodociągowe zostały zobowiązane do</w:t>
      </w:r>
      <w:r w:rsidR="00DB3C4E">
        <w:rPr>
          <w:rFonts w:ascii="Lato" w:hAnsi="Lato" w:cstheme="minorHAnsi"/>
          <w:color w:val="000000" w:themeColor="text1"/>
          <w:sz w:val="22"/>
          <w:szCs w:val="22"/>
        </w:rPr>
        <w:t> </w:t>
      </w:r>
      <w:r w:rsidRPr="004108D0">
        <w:rPr>
          <w:rFonts w:ascii="Lato" w:hAnsi="Lato" w:cstheme="minorHAnsi"/>
          <w:color w:val="000000" w:themeColor="text1"/>
          <w:sz w:val="22"/>
          <w:szCs w:val="22"/>
        </w:rPr>
        <w:t>niezwłocznego podjęcia działań naprawczych. Organy Państwowej Inspekcji Sanitarnej nadzorowały ten proces. Należy wskazać, że w 2025 roku</w:t>
      </w:r>
      <w:r w:rsidR="002B7836">
        <w:rPr>
          <w:rFonts w:ascii="Lato" w:hAnsi="Lato" w:cstheme="minorHAnsi"/>
          <w:color w:val="000000" w:themeColor="text1"/>
          <w:sz w:val="22"/>
          <w:szCs w:val="22"/>
        </w:rPr>
        <w:t xml:space="preserve">, tak </w:t>
      </w:r>
      <w:r w:rsidRPr="004108D0">
        <w:rPr>
          <w:rFonts w:ascii="Lato" w:hAnsi="Lato" w:cstheme="minorHAnsi"/>
          <w:color w:val="000000" w:themeColor="text1"/>
          <w:sz w:val="22"/>
          <w:szCs w:val="22"/>
        </w:rPr>
        <w:t>jak w latach ubiegłych, obowiązywał tymczasowy brak przydatności wody do spożycia</w:t>
      </w:r>
      <w:r w:rsidR="002B7836">
        <w:rPr>
          <w:rFonts w:ascii="Lato" w:hAnsi="Lato" w:cstheme="minorHAnsi"/>
          <w:color w:val="000000" w:themeColor="text1"/>
          <w:sz w:val="22"/>
          <w:szCs w:val="22"/>
        </w:rPr>
        <w:t xml:space="preserve"> z</w:t>
      </w:r>
      <w:r w:rsidRPr="004108D0">
        <w:rPr>
          <w:rFonts w:ascii="Lato" w:hAnsi="Lato" w:cstheme="minorHAnsi"/>
          <w:color w:val="000000" w:themeColor="text1"/>
          <w:sz w:val="22"/>
          <w:szCs w:val="22"/>
        </w:rPr>
        <w:t xml:space="preserve"> wodociągu Karcino. </w:t>
      </w:r>
    </w:p>
    <w:p w14:paraId="29F68301" w14:textId="77777777" w:rsidR="00F45A42" w:rsidRPr="004108D0" w:rsidRDefault="00F45A42" w:rsidP="00DB3C4E">
      <w:pPr>
        <w:spacing w:line="360" w:lineRule="auto"/>
        <w:rPr>
          <w:rFonts w:ascii="Lato" w:hAnsi="Lato" w:cstheme="minorHAnsi"/>
          <w:color w:val="000000" w:themeColor="text1"/>
          <w:sz w:val="22"/>
          <w:szCs w:val="22"/>
        </w:rPr>
      </w:pPr>
    </w:p>
    <w:p w14:paraId="138E4746" w14:textId="3264B437" w:rsidR="0070701E" w:rsidRPr="004108D0" w:rsidRDefault="004108D0" w:rsidP="004108D0">
      <w:pPr>
        <w:pStyle w:val="Legenda"/>
        <w:rPr>
          <w:rFonts w:ascii="Lato" w:hAnsi="Lato" w:cstheme="minorHAnsi"/>
          <w:b w:val="0"/>
          <w:bCs w:val="0"/>
          <w:color w:val="000000" w:themeColor="text1"/>
          <w:sz w:val="18"/>
          <w:szCs w:val="18"/>
        </w:rPr>
      </w:pPr>
      <w:bookmarkStart w:id="138" w:name="_Toc225859376"/>
      <w:r w:rsidRPr="004108D0">
        <w:rPr>
          <w:rFonts w:ascii="Lato" w:hAnsi="Lato"/>
          <w:b w:val="0"/>
          <w:bCs w:val="0"/>
          <w:sz w:val="18"/>
          <w:szCs w:val="18"/>
        </w:rPr>
        <w:t xml:space="preserve">Tabela </w:t>
      </w:r>
      <w:r w:rsidRPr="004108D0">
        <w:rPr>
          <w:rFonts w:ascii="Lato" w:hAnsi="Lato"/>
          <w:b w:val="0"/>
          <w:bCs w:val="0"/>
          <w:sz w:val="18"/>
          <w:szCs w:val="18"/>
        </w:rPr>
        <w:fldChar w:fldCharType="begin"/>
      </w:r>
      <w:r w:rsidRPr="004108D0">
        <w:rPr>
          <w:rFonts w:ascii="Lato" w:hAnsi="Lato"/>
          <w:b w:val="0"/>
          <w:bCs w:val="0"/>
          <w:sz w:val="18"/>
          <w:szCs w:val="18"/>
        </w:rPr>
        <w:instrText xml:space="preserve"> SEQ Tabela \* ARABIC </w:instrText>
      </w:r>
      <w:r w:rsidRPr="004108D0">
        <w:rPr>
          <w:rFonts w:ascii="Lato" w:hAnsi="Lato"/>
          <w:b w:val="0"/>
          <w:bCs w:val="0"/>
          <w:sz w:val="18"/>
          <w:szCs w:val="18"/>
        </w:rPr>
        <w:fldChar w:fldCharType="separate"/>
      </w:r>
      <w:r w:rsidR="002A3179">
        <w:rPr>
          <w:rFonts w:ascii="Lato" w:hAnsi="Lato"/>
          <w:b w:val="0"/>
          <w:bCs w:val="0"/>
          <w:noProof/>
          <w:sz w:val="18"/>
          <w:szCs w:val="18"/>
        </w:rPr>
        <w:t>20</w:t>
      </w:r>
      <w:r w:rsidRPr="004108D0">
        <w:rPr>
          <w:rFonts w:ascii="Lato" w:hAnsi="Lato"/>
          <w:b w:val="0"/>
          <w:bCs w:val="0"/>
          <w:sz w:val="18"/>
          <w:szCs w:val="18"/>
        </w:rPr>
        <w:fldChar w:fldCharType="end"/>
      </w:r>
      <w:r w:rsidRPr="004108D0">
        <w:rPr>
          <w:rFonts w:ascii="Lato" w:hAnsi="Lato"/>
          <w:b w:val="0"/>
          <w:bCs w:val="0"/>
          <w:sz w:val="18"/>
          <w:szCs w:val="18"/>
        </w:rPr>
        <w:t>. Tymczasowy brak przydatności wody do spożycia przez ludzi, w woj. zachodniopomorskim w 2025 roku z</w:t>
      </w:r>
      <w:r w:rsidR="00FE3EEE">
        <w:rPr>
          <w:rFonts w:ascii="Lato" w:hAnsi="Lato"/>
          <w:b w:val="0"/>
          <w:bCs w:val="0"/>
          <w:sz w:val="18"/>
          <w:szCs w:val="18"/>
        </w:rPr>
        <w:t> </w:t>
      </w:r>
      <w:r w:rsidRPr="004108D0">
        <w:rPr>
          <w:rFonts w:ascii="Lato" w:hAnsi="Lato"/>
          <w:b w:val="0"/>
          <w:bCs w:val="0"/>
          <w:sz w:val="18"/>
          <w:szCs w:val="18"/>
        </w:rPr>
        <w:t>uwzględnieniem produkcji dobowej wodociągów.</w:t>
      </w:r>
      <w:bookmarkEnd w:id="138"/>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2"/>
        <w:gridCol w:w="1842"/>
        <w:gridCol w:w="1134"/>
        <w:gridCol w:w="1560"/>
        <w:gridCol w:w="1417"/>
        <w:gridCol w:w="1134"/>
      </w:tblGrid>
      <w:tr w:rsidR="0070701E" w:rsidRPr="002F181A" w14:paraId="46BFCFA1" w14:textId="77777777" w:rsidTr="005E084E">
        <w:trPr>
          <w:trHeight w:val="414"/>
        </w:trPr>
        <w:tc>
          <w:tcPr>
            <w:tcW w:w="2122" w:type="dxa"/>
            <w:vMerge w:val="restart"/>
            <w:shd w:val="clear" w:color="auto" w:fill="D9D9D9" w:themeFill="background1" w:themeFillShade="D9"/>
            <w:vAlign w:val="center"/>
          </w:tcPr>
          <w:p w14:paraId="5450F922" w14:textId="77777777" w:rsidR="0070701E" w:rsidRPr="002F181A" w:rsidRDefault="0070701E" w:rsidP="00DD56CA">
            <w:pPr>
              <w:spacing w:line="240" w:lineRule="exact"/>
              <w:jc w:val="center"/>
              <w:rPr>
                <w:rFonts w:ascii="Lato" w:hAnsi="Lato" w:cs="Calibri"/>
                <w:b/>
                <w:bCs/>
                <w:color w:val="000000"/>
                <w:sz w:val="20"/>
                <w:szCs w:val="20"/>
              </w:rPr>
            </w:pPr>
            <w:r w:rsidRPr="002F181A">
              <w:rPr>
                <w:rFonts w:ascii="Lato" w:hAnsi="Lato" w:cs="Calibri"/>
                <w:b/>
                <w:bCs/>
                <w:color w:val="000000"/>
                <w:sz w:val="20"/>
                <w:szCs w:val="20"/>
              </w:rPr>
              <w:t>Powiat</w:t>
            </w:r>
          </w:p>
        </w:tc>
        <w:tc>
          <w:tcPr>
            <w:tcW w:w="1842" w:type="dxa"/>
            <w:vMerge w:val="restart"/>
            <w:shd w:val="clear" w:color="auto" w:fill="D9D9D9" w:themeFill="background1" w:themeFillShade="D9"/>
            <w:vAlign w:val="center"/>
          </w:tcPr>
          <w:p w14:paraId="417269BD" w14:textId="77777777" w:rsidR="0070701E" w:rsidRPr="002F181A" w:rsidRDefault="0070701E" w:rsidP="00DD56CA">
            <w:pPr>
              <w:spacing w:line="240" w:lineRule="exact"/>
              <w:jc w:val="center"/>
              <w:rPr>
                <w:rFonts w:ascii="Lato" w:hAnsi="Lato" w:cs="Calibri"/>
                <w:b/>
                <w:bCs/>
                <w:color w:val="000000"/>
                <w:sz w:val="20"/>
                <w:szCs w:val="20"/>
              </w:rPr>
            </w:pPr>
            <w:r w:rsidRPr="002F181A">
              <w:rPr>
                <w:rFonts w:ascii="Lato" w:hAnsi="Lato" w:cs="Calibri"/>
                <w:b/>
                <w:bCs/>
                <w:color w:val="000000"/>
                <w:sz w:val="20"/>
                <w:szCs w:val="20"/>
              </w:rPr>
              <w:t>Liczba braków przydatności</w:t>
            </w:r>
          </w:p>
        </w:tc>
        <w:tc>
          <w:tcPr>
            <w:tcW w:w="5245" w:type="dxa"/>
            <w:gridSpan w:val="4"/>
            <w:shd w:val="clear" w:color="auto" w:fill="D9D9D9" w:themeFill="background1" w:themeFillShade="D9"/>
            <w:vAlign w:val="center"/>
          </w:tcPr>
          <w:p w14:paraId="5D4F5013" w14:textId="77777777" w:rsidR="0070701E" w:rsidRPr="002F181A" w:rsidRDefault="0070701E" w:rsidP="00DD56CA">
            <w:pPr>
              <w:spacing w:line="240" w:lineRule="exact"/>
              <w:jc w:val="center"/>
              <w:rPr>
                <w:rFonts w:ascii="Lato" w:hAnsi="Lato" w:cstheme="minorHAnsi"/>
                <w:b/>
                <w:bCs/>
                <w:sz w:val="20"/>
                <w:szCs w:val="20"/>
              </w:rPr>
            </w:pPr>
            <w:r w:rsidRPr="002F181A">
              <w:rPr>
                <w:rFonts w:ascii="Lato" w:hAnsi="Lato" w:cs="Calibri"/>
                <w:b/>
                <w:bCs/>
                <w:sz w:val="20"/>
                <w:szCs w:val="20"/>
              </w:rPr>
              <w:t>Liczba wodociągów wg produkcji wody  (m</w:t>
            </w:r>
            <w:r w:rsidRPr="002F181A">
              <w:rPr>
                <w:rFonts w:ascii="Lato" w:hAnsi="Lato" w:cs="Calibri"/>
                <w:b/>
                <w:bCs/>
                <w:sz w:val="20"/>
                <w:szCs w:val="20"/>
                <w:vertAlign w:val="superscript"/>
              </w:rPr>
              <w:t>3</w:t>
            </w:r>
            <w:r w:rsidRPr="002F181A">
              <w:rPr>
                <w:rFonts w:ascii="Lato" w:hAnsi="Lato" w:cs="Calibri"/>
                <w:b/>
                <w:bCs/>
                <w:sz w:val="20"/>
                <w:szCs w:val="20"/>
              </w:rPr>
              <w:t>/d)</w:t>
            </w:r>
          </w:p>
        </w:tc>
      </w:tr>
      <w:tr w:rsidR="0070701E" w:rsidRPr="002F181A" w14:paraId="104BF7D8" w14:textId="77777777" w:rsidTr="005E084E">
        <w:trPr>
          <w:trHeight w:val="414"/>
        </w:trPr>
        <w:tc>
          <w:tcPr>
            <w:tcW w:w="2122" w:type="dxa"/>
            <w:vMerge/>
            <w:shd w:val="clear" w:color="auto" w:fill="D9D9D9" w:themeFill="background1" w:themeFillShade="D9"/>
            <w:vAlign w:val="center"/>
            <w:hideMark/>
          </w:tcPr>
          <w:p w14:paraId="478D2E73" w14:textId="77777777" w:rsidR="0070701E" w:rsidRPr="002F181A" w:rsidRDefault="0070701E" w:rsidP="00DD56CA">
            <w:pPr>
              <w:spacing w:line="240" w:lineRule="exact"/>
              <w:jc w:val="center"/>
              <w:rPr>
                <w:rFonts w:ascii="Lato" w:hAnsi="Lato" w:cs="Calibri"/>
                <w:b/>
                <w:bCs/>
                <w:color w:val="000000"/>
                <w:sz w:val="20"/>
                <w:szCs w:val="20"/>
              </w:rPr>
            </w:pPr>
          </w:p>
        </w:tc>
        <w:tc>
          <w:tcPr>
            <w:tcW w:w="1842" w:type="dxa"/>
            <w:vMerge/>
            <w:shd w:val="clear" w:color="auto" w:fill="D9D9D9" w:themeFill="background1" w:themeFillShade="D9"/>
            <w:vAlign w:val="center"/>
            <w:hideMark/>
          </w:tcPr>
          <w:p w14:paraId="0E3BDF40" w14:textId="77777777" w:rsidR="0070701E" w:rsidRPr="002F181A" w:rsidRDefault="0070701E" w:rsidP="00DD56CA">
            <w:pPr>
              <w:spacing w:line="240" w:lineRule="exact"/>
              <w:jc w:val="center"/>
              <w:rPr>
                <w:rFonts w:ascii="Lato" w:hAnsi="Lato" w:cs="Calibri"/>
                <w:b/>
                <w:bCs/>
                <w:color w:val="000000"/>
                <w:sz w:val="20"/>
                <w:szCs w:val="20"/>
              </w:rPr>
            </w:pPr>
          </w:p>
        </w:tc>
        <w:tc>
          <w:tcPr>
            <w:tcW w:w="1134" w:type="dxa"/>
            <w:shd w:val="clear" w:color="auto" w:fill="D9D9D9" w:themeFill="background1" w:themeFillShade="D9"/>
            <w:vAlign w:val="center"/>
            <w:hideMark/>
          </w:tcPr>
          <w:p w14:paraId="29F05C30" w14:textId="77777777" w:rsidR="0070701E" w:rsidRPr="002F181A" w:rsidRDefault="0070701E" w:rsidP="00DD56CA">
            <w:pPr>
              <w:spacing w:line="240" w:lineRule="exact"/>
              <w:jc w:val="center"/>
              <w:rPr>
                <w:rFonts w:ascii="Lato" w:hAnsi="Lato" w:cs="Calibri"/>
                <w:b/>
                <w:bCs/>
                <w:color w:val="000000"/>
                <w:sz w:val="20"/>
                <w:szCs w:val="20"/>
              </w:rPr>
            </w:pPr>
            <w:r w:rsidRPr="002F181A">
              <w:rPr>
                <w:rFonts w:ascii="Lato" w:hAnsi="Lato" w:cs="Calibri"/>
                <w:b/>
                <w:bCs/>
                <w:sz w:val="20"/>
                <w:szCs w:val="20"/>
              </w:rPr>
              <w:t>≤100</w:t>
            </w:r>
          </w:p>
        </w:tc>
        <w:tc>
          <w:tcPr>
            <w:tcW w:w="1560" w:type="dxa"/>
            <w:shd w:val="clear" w:color="auto" w:fill="D9D9D9" w:themeFill="background1" w:themeFillShade="D9"/>
            <w:vAlign w:val="center"/>
          </w:tcPr>
          <w:p w14:paraId="050D7149" w14:textId="77777777" w:rsidR="0070701E" w:rsidRPr="002F181A" w:rsidRDefault="0070701E" w:rsidP="00DD56CA">
            <w:pPr>
              <w:spacing w:line="240" w:lineRule="exact"/>
              <w:jc w:val="center"/>
              <w:rPr>
                <w:rFonts w:ascii="Lato" w:hAnsi="Lato" w:cstheme="minorHAnsi"/>
                <w:b/>
                <w:bCs/>
                <w:color w:val="000000"/>
                <w:sz w:val="20"/>
                <w:szCs w:val="20"/>
              </w:rPr>
            </w:pPr>
            <w:r w:rsidRPr="002F181A">
              <w:rPr>
                <w:rFonts w:ascii="Lato" w:hAnsi="Lato" w:cstheme="minorHAnsi"/>
                <w:b/>
                <w:bCs/>
                <w:sz w:val="20"/>
                <w:szCs w:val="20"/>
              </w:rPr>
              <w:t xml:space="preserve">100-1 000 </w:t>
            </w:r>
          </w:p>
        </w:tc>
        <w:tc>
          <w:tcPr>
            <w:tcW w:w="1417" w:type="dxa"/>
            <w:shd w:val="clear" w:color="auto" w:fill="D9D9D9" w:themeFill="background1" w:themeFillShade="D9"/>
            <w:vAlign w:val="center"/>
          </w:tcPr>
          <w:p w14:paraId="6FBFBACF" w14:textId="77777777" w:rsidR="0070701E" w:rsidRPr="002F181A" w:rsidRDefault="0070701E" w:rsidP="00DD56CA">
            <w:pPr>
              <w:spacing w:line="240" w:lineRule="exact"/>
              <w:jc w:val="center"/>
              <w:rPr>
                <w:rFonts w:ascii="Lato" w:hAnsi="Lato" w:cstheme="minorHAnsi"/>
                <w:b/>
                <w:bCs/>
                <w:color w:val="000000"/>
                <w:sz w:val="20"/>
                <w:szCs w:val="20"/>
              </w:rPr>
            </w:pPr>
            <w:r w:rsidRPr="002F181A">
              <w:rPr>
                <w:rFonts w:ascii="Lato" w:hAnsi="Lato" w:cstheme="minorHAnsi"/>
                <w:b/>
                <w:bCs/>
                <w:sz w:val="20"/>
                <w:szCs w:val="20"/>
              </w:rPr>
              <w:t>1</w:t>
            </w:r>
            <w:r>
              <w:rPr>
                <w:rFonts w:ascii="Lato" w:hAnsi="Lato" w:cstheme="minorHAnsi"/>
                <w:b/>
                <w:bCs/>
                <w:sz w:val="20"/>
                <w:szCs w:val="20"/>
              </w:rPr>
              <w:t xml:space="preserve"> </w:t>
            </w:r>
            <w:r w:rsidRPr="002F181A">
              <w:rPr>
                <w:rFonts w:ascii="Lato" w:hAnsi="Lato" w:cstheme="minorHAnsi"/>
                <w:b/>
                <w:bCs/>
                <w:sz w:val="20"/>
                <w:szCs w:val="20"/>
              </w:rPr>
              <w:t xml:space="preserve">000-10 000 </w:t>
            </w:r>
          </w:p>
        </w:tc>
        <w:tc>
          <w:tcPr>
            <w:tcW w:w="1134" w:type="dxa"/>
            <w:shd w:val="clear" w:color="auto" w:fill="D9D9D9" w:themeFill="background1" w:themeFillShade="D9"/>
            <w:vAlign w:val="center"/>
          </w:tcPr>
          <w:p w14:paraId="296E875E" w14:textId="77777777" w:rsidR="0070701E" w:rsidRPr="002F181A" w:rsidRDefault="0070701E" w:rsidP="00DD56CA">
            <w:pPr>
              <w:spacing w:line="240" w:lineRule="exact"/>
              <w:jc w:val="center"/>
              <w:rPr>
                <w:rFonts w:ascii="Lato" w:hAnsi="Lato" w:cstheme="minorHAnsi"/>
                <w:b/>
                <w:bCs/>
                <w:color w:val="000000"/>
                <w:sz w:val="20"/>
                <w:szCs w:val="20"/>
              </w:rPr>
            </w:pPr>
            <w:r w:rsidRPr="002F181A">
              <w:rPr>
                <w:rFonts w:ascii="Lato" w:hAnsi="Lato" w:cstheme="minorHAnsi"/>
                <w:b/>
                <w:bCs/>
                <w:sz w:val="20"/>
                <w:szCs w:val="20"/>
              </w:rPr>
              <w:t xml:space="preserve">10 000-100 000 </w:t>
            </w:r>
          </w:p>
        </w:tc>
      </w:tr>
      <w:tr w:rsidR="0070701E" w:rsidRPr="002F181A" w14:paraId="558D8606" w14:textId="77777777" w:rsidTr="00DD56CA">
        <w:trPr>
          <w:trHeight w:val="414"/>
        </w:trPr>
        <w:tc>
          <w:tcPr>
            <w:tcW w:w="2122" w:type="dxa"/>
            <w:vAlign w:val="center"/>
            <w:hideMark/>
          </w:tcPr>
          <w:p w14:paraId="4D6FD303" w14:textId="77777777" w:rsidR="0070701E" w:rsidRPr="002F181A" w:rsidRDefault="0070701E" w:rsidP="00DD56CA">
            <w:pPr>
              <w:spacing w:line="240" w:lineRule="exact"/>
              <w:rPr>
                <w:rFonts w:ascii="Lato" w:hAnsi="Lato" w:cs="Calibri"/>
                <w:color w:val="000000"/>
                <w:sz w:val="20"/>
                <w:szCs w:val="20"/>
              </w:rPr>
            </w:pPr>
            <w:r w:rsidRPr="002F181A">
              <w:rPr>
                <w:rFonts w:ascii="Lato" w:hAnsi="Lato" w:cs="Calibri"/>
                <w:color w:val="000000"/>
                <w:sz w:val="20"/>
                <w:szCs w:val="20"/>
              </w:rPr>
              <w:t>Białogard</w:t>
            </w:r>
          </w:p>
        </w:tc>
        <w:tc>
          <w:tcPr>
            <w:tcW w:w="1842" w:type="dxa"/>
            <w:vAlign w:val="center"/>
            <w:hideMark/>
          </w:tcPr>
          <w:p w14:paraId="55FF071C"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134" w:type="dxa"/>
            <w:vAlign w:val="center"/>
            <w:hideMark/>
          </w:tcPr>
          <w:p w14:paraId="33C0A207"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560" w:type="dxa"/>
            <w:vAlign w:val="center"/>
            <w:hideMark/>
          </w:tcPr>
          <w:p w14:paraId="0014ACC1"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417" w:type="dxa"/>
            <w:vAlign w:val="center"/>
            <w:hideMark/>
          </w:tcPr>
          <w:p w14:paraId="34342328"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134" w:type="dxa"/>
            <w:vAlign w:val="center"/>
            <w:hideMark/>
          </w:tcPr>
          <w:p w14:paraId="4F359477"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r>
      <w:tr w:rsidR="0070701E" w:rsidRPr="002F181A" w14:paraId="1E8B116E" w14:textId="77777777" w:rsidTr="00DD56CA">
        <w:trPr>
          <w:trHeight w:val="414"/>
        </w:trPr>
        <w:tc>
          <w:tcPr>
            <w:tcW w:w="2122" w:type="dxa"/>
            <w:vAlign w:val="center"/>
            <w:hideMark/>
          </w:tcPr>
          <w:p w14:paraId="315B8A7E" w14:textId="77777777" w:rsidR="0070701E" w:rsidRPr="002F181A" w:rsidRDefault="0070701E" w:rsidP="00DD56CA">
            <w:pPr>
              <w:spacing w:line="240" w:lineRule="exact"/>
              <w:rPr>
                <w:rFonts w:ascii="Lato" w:hAnsi="Lato" w:cs="Calibri"/>
                <w:color w:val="000000"/>
                <w:sz w:val="20"/>
                <w:szCs w:val="20"/>
              </w:rPr>
            </w:pPr>
            <w:r w:rsidRPr="002F181A">
              <w:rPr>
                <w:rFonts w:ascii="Lato" w:hAnsi="Lato" w:cs="Calibri"/>
                <w:color w:val="000000"/>
                <w:sz w:val="20"/>
                <w:szCs w:val="20"/>
              </w:rPr>
              <w:t>Choszczno</w:t>
            </w:r>
          </w:p>
        </w:tc>
        <w:tc>
          <w:tcPr>
            <w:tcW w:w="1842" w:type="dxa"/>
            <w:vAlign w:val="center"/>
            <w:hideMark/>
          </w:tcPr>
          <w:p w14:paraId="1FDCD659"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9</w:t>
            </w:r>
          </w:p>
        </w:tc>
        <w:tc>
          <w:tcPr>
            <w:tcW w:w="1134" w:type="dxa"/>
            <w:vAlign w:val="center"/>
            <w:hideMark/>
          </w:tcPr>
          <w:p w14:paraId="7617CE40"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9</w:t>
            </w:r>
          </w:p>
        </w:tc>
        <w:tc>
          <w:tcPr>
            <w:tcW w:w="1560" w:type="dxa"/>
            <w:vAlign w:val="center"/>
            <w:hideMark/>
          </w:tcPr>
          <w:p w14:paraId="0A5056C1"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417" w:type="dxa"/>
            <w:vAlign w:val="center"/>
            <w:hideMark/>
          </w:tcPr>
          <w:p w14:paraId="471CD400"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134" w:type="dxa"/>
            <w:vAlign w:val="center"/>
            <w:hideMark/>
          </w:tcPr>
          <w:p w14:paraId="37FDCC15"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r>
      <w:tr w:rsidR="0070701E" w:rsidRPr="002F181A" w14:paraId="729EF28D" w14:textId="77777777" w:rsidTr="00DD56CA">
        <w:trPr>
          <w:trHeight w:val="414"/>
        </w:trPr>
        <w:tc>
          <w:tcPr>
            <w:tcW w:w="2122" w:type="dxa"/>
            <w:vAlign w:val="center"/>
            <w:hideMark/>
          </w:tcPr>
          <w:p w14:paraId="58286D98" w14:textId="77777777" w:rsidR="0070701E" w:rsidRPr="002F181A" w:rsidRDefault="0070701E" w:rsidP="00DD56CA">
            <w:pPr>
              <w:spacing w:line="240" w:lineRule="exact"/>
              <w:rPr>
                <w:rFonts w:ascii="Lato" w:hAnsi="Lato" w:cs="Calibri"/>
                <w:color w:val="000000"/>
                <w:sz w:val="20"/>
                <w:szCs w:val="20"/>
              </w:rPr>
            </w:pPr>
            <w:r w:rsidRPr="002F181A">
              <w:rPr>
                <w:rFonts w:ascii="Lato" w:hAnsi="Lato" w:cs="Calibri"/>
                <w:color w:val="000000"/>
                <w:sz w:val="20"/>
                <w:szCs w:val="20"/>
              </w:rPr>
              <w:t>Drawsko Pomorskie</w:t>
            </w:r>
          </w:p>
        </w:tc>
        <w:tc>
          <w:tcPr>
            <w:tcW w:w="1842" w:type="dxa"/>
            <w:vAlign w:val="center"/>
            <w:hideMark/>
          </w:tcPr>
          <w:p w14:paraId="220148BF"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9</w:t>
            </w:r>
          </w:p>
        </w:tc>
        <w:tc>
          <w:tcPr>
            <w:tcW w:w="1134" w:type="dxa"/>
            <w:vAlign w:val="center"/>
            <w:hideMark/>
          </w:tcPr>
          <w:p w14:paraId="265089C6"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9</w:t>
            </w:r>
          </w:p>
        </w:tc>
        <w:tc>
          <w:tcPr>
            <w:tcW w:w="1560" w:type="dxa"/>
            <w:vAlign w:val="center"/>
            <w:hideMark/>
          </w:tcPr>
          <w:p w14:paraId="7AC24838"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417" w:type="dxa"/>
            <w:vAlign w:val="center"/>
            <w:hideMark/>
          </w:tcPr>
          <w:p w14:paraId="0A597DA4"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134" w:type="dxa"/>
            <w:vAlign w:val="center"/>
            <w:hideMark/>
          </w:tcPr>
          <w:p w14:paraId="2635A245"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r>
      <w:tr w:rsidR="0070701E" w:rsidRPr="002F181A" w14:paraId="7091318C" w14:textId="77777777" w:rsidTr="00DD56CA">
        <w:trPr>
          <w:trHeight w:val="414"/>
        </w:trPr>
        <w:tc>
          <w:tcPr>
            <w:tcW w:w="2122" w:type="dxa"/>
            <w:vAlign w:val="center"/>
            <w:hideMark/>
          </w:tcPr>
          <w:p w14:paraId="56CC01FC" w14:textId="77777777" w:rsidR="0070701E" w:rsidRPr="002F181A" w:rsidRDefault="0070701E" w:rsidP="00DD56CA">
            <w:pPr>
              <w:spacing w:line="240" w:lineRule="exact"/>
              <w:rPr>
                <w:rFonts w:ascii="Lato" w:hAnsi="Lato" w:cs="Calibri"/>
                <w:color w:val="000000"/>
                <w:sz w:val="20"/>
                <w:szCs w:val="20"/>
              </w:rPr>
            </w:pPr>
            <w:r w:rsidRPr="002F181A">
              <w:rPr>
                <w:rFonts w:ascii="Lato" w:hAnsi="Lato" w:cs="Calibri"/>
                <w:color w:val="000000"/>
                <w:sz w:val="20"/>
                <w:szCs w:val="20"/>
              </w:rPr>
              <w:t>Goleniów</w:t>
            </w:r>
          </w:p>
        </w:tc>
        <w:tc>
          <w:tcPr>
            <w:tcW w:w="1842" w:type="dxa"/>
            <w:vAlign w:val="center"/>
            <w:hideMark/>
          </w:tcPr>
          <w:p w14:paraId="6B74F6A3"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134" w:type="dxa"/>
            <w:vAlign w:val="center"/>
            <w:hideMark/>
          </w:tcPr>
          <w:p w14:paraId="0126C01B"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560" w:type="dxa"/>
            <w:vAlign w:val="center"/>
            <w:hideMark/>
          </w:tcPr>
          <w:p w14:paraId="46A48D12"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417" w:type="dxa"/>
            <w:vAlign w:val="center"/>
            <w:hideMark/>
          </w:tcPr>
          <w:p w14:paraId="31C4CD66"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134" w:type="dxa"/>
            <w:vAlign w:val="center"/>
            <w:hideMark/>
          </w:tcPr>
          <w:p w14:paraId="66088989"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r>
      <w:tr w:rsidR="0070701E" w:rsidRPr="002F181A" w14:paraId="67FC64BC" w14:textId="77777777" w:rsidTr="00DD56CA">
        <w:trPr>
          <w:trHeight w:val="414"/>
        </w:trPr>
        <w:tc>
          <w:tcPr>
            <w:tcW w:w="2122" w:type="dxa"/>
            <w:vAlign w:val="center"/>
            <w:hideMark/>
          </w:tcPr>
          <w:p w14:paraId="0D26AD77" w14:textId="77777777" w:rsidR="0070701E" w:rsidRPr="002F181A" w:rsidRDefault="0070701E" w:rsidP="00DD56CA">
            <w:pPr>
              <w:spacing w:line="240" w:lineRule="exact"/>
              <w:rPr>
                <w:rFonts w:ascii="Lato" w:hAnsi="Lato" w:cs="Calibri"/>
                <w:color w:val="000000"/>
                <w:sz w:val="20"/>
                <w:szCs w:val="20"/>
              </w:rPr>
            </w:pPr>
            <w:r w:rsidRPr="002F181A">
              <w:rPr>
                <w:rFonts w:ascii="Lato" w:hAnsi="Lato" w:cs="Calibri"/>
                <w:color w:val="000000"/>
                <w:sz w:val="20"/>
                <w:szCs w:val="20"/>
              </w:rPr>
              <w:t>Gryfice</w:t>
            </w:r>
          </w:p>
        </w:tc>
        <w:tc>
          <w:tcPr>
            <w:tcW w:w="1842" w:type="dxa"/>
            <w:vAlign w:val="center"/>
            <w:hideMark/>
          </w:tcPr>
          <w:p w14:paraId="1FD96D66"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2</w:t>
            </w:r>
          </w:p>
        </w:tc>
        <w:tc>
          <w:tcPr>
            <w:tcW w:w="1134" w:type="dxa"/>
            <w:vAlign w:val="center"/>
            <w:hideMark/>
          </w:tcPr>
          <w:p w14:paraId="73469A40"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1</w:t>
            </w:r>
          </w:p>
        </w:tc>
        <w:tc>
          <w:tcPr>
            <w:tcW w:w="1560" w:type="dxa"/>
            <w:vAlign w:val="center"/>
            <w:hideMark/>
          </w:tcPr>
          <w:p w14:paraId="76986BED"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1</w:t>
            </w:r>
          </w:p>
        </w:tc>
        <w:tc>
          <w:tcPr>
            <w:tcW w:w="1417" w:type="dxa"/>
            <w:vAlign w:val="center"/>
            <w:hideMark/>
          </w:tcPr>
          <w:p w14:paraId="50716BD7"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134" w:type="dxa"/>
            <w:vAlign w:val="center"/>
            <w:hideMark/>
          </w:tcPr>
          <w:p w14:paraId="2A4303FA"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r>
      <w:tr w:rsidR="0070701E" w:rsidRPr="002F181A" w14:paraId="3BBE7D45" w14:textId="77777777" w:rsidTr="00DD56CA">
        <w:trPr>
          <w:trHeight w:val="414"/>
        </w:trPr>
        <w:tc>
          <w:tcPr>
            <w:tcW w:w="2122" w:type="dxa"/>
            <w:vAlign w:val="center"/>
            <w:hideMark/>
          </w:tcPr>
          <w:p w14:paraId="58B1751C" w14:textId="77777777" w:rsidR="0070701E" w:rsidRPr="002F181A" w:rsidRDefault="0070701E" w:rsidP="00DD56CA">
            <w:pPr>
              <w:spacing w:line="240" w:lineRule="exact"/>
              <w:rPr>
                <w:rFonts w:ascii="Lato" w:hAnsi="Lato" w:cs="Calibri"/>
                <w:color w:val="000000"/>
                <w:sz w:val="20"/>
                <w:szCs w:val="20"/>
              </w:rPr>
            </w:pPr>
            <w:r w:rsidRPr="002F181A">
              <w:rPr>
                <w:rFonts w:ascii="Lato" w:hAnsi="Lato" w:cs="Calibri"/>
                <w:color w:val="000000"/>
                <w:sz w:val="20"/>
                <w:szCs w:val="20"/>
              </w:rPr>
              <w:t>Gryfino</w:t>
            </w:r>
          </w:p>
        </w:tc>
        <w:tc>
          <w:tcPr>
            <w:tcW w:w="1842" w:type="dxa"/>
            <w:vAlign w:val="center"/>
            <w:hideMark/>
          </w:tcPr>
          <w:p w14:paraId="2AE693D5"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2</w:t>
            </w:r>
          </w:p>
        </w:tc>
        <w:tc>
          <w:tcPr>
            <w:tcW w:w="1134" w:type="dxa"/>
            <w:vAlign w:val="center"/>
            <w:hideMark/>
          </w:tcPr>
          <w:p w14:paraId="6AC211FE"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1</w:t>
            </w:r>
          </w:p>
        </w:tc>
        <w:tc>
          <w:tcPr>
            <w:tcW w:w="1560" w:type="dxa"/>
            <w:vAlign w:val="center"/>
            <w:hideMark/>
          </w:tcPr>
          <w:p w14:paraId="32391F48"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1</w:t>
            </w:r>
          </w:p>
        </w:tc>
        <w:tc>
          <w:tcPr>
            <w:tcW w:w="1417" w:type="dxa"/>
            <w:vAlign w:val="center"/>
            <w:hideMark/>
          </w:tcPr>
          <w:p w14:paraId="5471D71C"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134" w:type="dxa"/>
            <w:vAlign w:val="center"/>
            <w:hideMark/>
          </w:tcPr>
          <w:p w14:paraId="2E5631BA"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r>
      <w:tr w:rsidR="0070701E" w:rsidRPr="002F181A" w14:paraId="3A599C4B" w14:textId="77777777" w:rsidTr="00DD56CA">
        <w:trPr>
          <w:trHeight w:val="414"/>
        </w:trPr>
        <w:tc>
          <w:tcPr>
            <w:tcW w:w="2122" w:type="dxa"/>
            <w:vAlign w:val="center"/>
            <w:hideMark/>
          </w:tcPr>
          <w:p w14:paraId="15D88B99" w14:textId="77777777" w:rsidR="0070701E" w:rsidRPr="002F181A" w:rsidRDefault="0070701E" w:rsidP="00DD56CA">
            <w:pPr>
              <w:spacing w:line="240" w:lineRule="exact"/>
              <w:rPr>
                <w:rFonts w:ascii="Lato" w:hAnsi="Lato" w:cs="Calibri"/>
                <w:color w:val="000000"/>
                <w:sz w:val="20"/>
                <w:szCs w:val="20"/>
              </w:rPr>
            </w:pPr>
            <w:r w:rsidRPr="002F181A">
              <w:rPr>
                <w:rFonts w:ascii="Lato" w:hAnsi="Lato" w:cs="Calibri"/>
                <w:color w:val="000000"/>
                <w:sz w:val="20"/>
                <w:szCs w:val="20"/>
              </w:rPr>
              <w:t>Kamień Pomorski</w:t>
            </w:r>
          </w:p>
        </w:tc>
        <w:tc>
          <w:tcPr>
            <w:tcW w:w="1842" w:type="dxa"/>
            <w:vAlign w:val="center"/>
            <w:hideMark/>
          </w:tcPr>
          <w:p w14:paraId="2F7023A8"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3</w:t>
            </w:r>
          </w:p>
        </w:tc>
        <w:tc>
          <w:tcPr>
            <w:tcW w:w="1134" w:type="dxa"/>
            <w:vAlign w:val="center"/>
            <w:hideMark/>
          </w:tcPr>
          <w:p w14:paraId="7C14AAE9"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3</w:t>
            </w:r>
          </w:p>
        </w:tc>
        <w:tc>
          <w:tcPr>
            <w:tcW w:w="1560" w:type="dxa"/>
            <w:vAlign w:val="center"/>
            <w:hideMark/>
          </w:tcPr>
          <w:p w14:paraId="3FEDA667"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417" w:type="dxa"/>
            <w:vAlign w:val="center"/>
            <w:hideMark/>
          </w:tcPr>
          <w:p w14:paraId="1B159DB4"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134" w:type="dxa"/>
            <w:vAlign w:val="center"/>
            <w:hideMark/>
          </w:tcPr>
          <w:p w14:paraId="274FC587"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r>
      <w:tr w:rsidR="0070701E" w:rsidRPr="002F181A" w14:paraId="68A510C9" w14:textId="77777777" w:rsidTr="00DD56CA">
        <w:trPr>
          <w:trHeight w:val="414"/>
        </w:trPr>
        <w:tc>
          <w:tcPr>
            <w:tcW w:w="2122" w:type="dxa"/>
            <w:vAlign w:val="center"/>
            <w:hideMark/>
          </w:tcPr>
          <w:p w14:paraId="1ACDB154" w14:textId="77777777" w:rsidR="0070701E" w:rsidRPr="002F181A" w:rsidRDefault="0070701E" w:rsidP="00DD56CA">
            <w:pPr>
              <w:spacing w:line="240" w:lineRule="exact"/>
              <w:rPr>
                <w:rFonts w:ascii="Lato" w:hAnsi="Lato" w:cs="Calibri"/>
                <w:color w:val="000000"/>
                <w:sz w:val="20"/>
                <w:szCs w:val="20"/>
              </w:rPr>
            </w:pPr>
            <w:r w:rsidRPr="002F181A">
              <w:rPr>
                <w:rFonts w:ascii="Lato" w:hAnsi="Lato" w:cs="Calibri"/>
                <w:color w:val="000000"/>
                <w:sz w:val="20"/>
                <w:szCs w:val="20"/>
              </w:rPr>
              <w:t>Kołobrzeg</w:t>
            </w:r>
          </w:p>
        </w:tc>
        <w:tc>
          <w:tcPr>
            <w:tcW w:w="1842" w:type="dxa"/>
            <w:vAlign w:val="center"/>
            <w:hideMark/>
          </w:tcPr>
          <w:p w14:paraId="6018B350"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1</w:t>
            </w:r>
          </w:p>
        </w:tc>
        <w:tc>
          <w:tcPr>
            <w:tcW w:w="1134" w:type="dxa"/>
            <w:vAlign w:val="center"/>
            <w:hideMark/>
          </w:tcPr>
          <w:p w14:paraId="2EA3EF10"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1</w:t>
            </w:r>
          </w:p>
        </w:tc>
        <w:tc>
          <w:tcPr>
            <w:tcW w:w="1560" w:type="dxa"/>
            <w:vAlign w:val="center"/>
            <w:hideMark/>
          </w:tcPr>
          <w:p w14:paraId="6216FAF9"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c>
          <w:tcPr>
            <w:tcW w:w="1417" w:type="dxa"/>
            <w:vAlign w:val="center"/>
            <w:hideMark/>
          </w:tcPr>
          <w:p w14:paraId="26A70B35"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c>
          <w:tcPr>
            <w:tcW w:w="1134" w:type="dxa"/>
            <w:vAlign w:val="center"/>
            <w:hideMark/>
          </w:tcPr>
          <w:p w14:paraId="7165C78B"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r>
      <w:tr w:rsidR="0070701E" w:rsidRPr="002F181A" w14:paraId="0F977844" w14:textId="77777777" w:rsidTr="00DD56CA">
        <w:trPr>
          <w:trHeight w:val="414"/>
        </w:trPr>
        <w:tc>
          <w:tcPr>
            <w:tcW w:w="2122" w:type="dxa"/>
            <w:vAlign w:val="center"/>
            <w:hideMark/>
          </w:tcPr>
          <w:p w14:paraId="1F81E170" w14:textId="77777777" w:rsidR="0070701E" w:rsidRPr="002F181A" w:rsidRDefault="0070701E" w:rsidP="00DD56CA">
            <w:pPr>
              <w:spacing w:line="240" w:lineRule="exact"/>
              <w:rPr>
                <w:rFonts w:ascii="Lato" w:hAnsi="Lato" w:cs="Calibri"/>
                <w:color w:val="000000"/>
                <w:sz w:val="20"/>
                <w:szCs w:val="20"/>
              </w:rPr>
            </w:pPr>
            <w:r w:rsidRPr="002F181A">
              <w:rPr>
                <w:rFonts w:ascii="Lato" w:hAnsi="Lato" w:cs="Calibri"/>
                <w:color w:val="000000"/>
                <w:sz w:val="20"/>
                <w:szCs w:val="20"/>
              </w:rPr>
              <w:t>Koszalin</w:t>
            </w:r>
          </w:p>
        </w:tc>
        <w:tc>
          <w:tcPr>
            <w:tcW w:w="1842" w:type="dxa"/>
            <w:vAlign w:val="center"/>
            <w:hideMark/>
          </w:tcPr>
          <w:p w14:paraId="54B2472D"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8</w:t>
            </w:r>
          </w:p>
        </w:tc>
        <w:tc>
          <w:tcPr>
            <w:tcW w:w="1134" w:type="dxa"/>
            <w:vAlign w:val="center"/>
            <w:hideMark/>
          </w:tcPr>
          <w:p w14:paraId="566159BF"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6</w:t>
            </w:r>
          </w:p>
        </w:tc>
        <w:tc>
          <w:tcPr>
            <w:tcW w:w="1560" w:type="dxa"/>
            <w:vAlign w:val="center"/>
            <w:hideMark/>
          </w:tcPr>
          <w:p w14:paraId="6FBCCA67"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1</w:t>
            </w:r>
          </w:p>
        </w:tc>
        <w:tc>
          <w:tcPr>
            <w:tcW w:w="1417" w:type="dxa"/>
            <w:vAlign w:val="center"/>
            <w:hideMark/>
          </w:tcPr>
          <w:p w14:paraId="38ADBF57"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c>
          <w:tcPr>
            <w:tcW w:w="1134" w:type="dxa"/>
            <w:vAlign w:val="center"/>
            <w:hideMark/>
          </w:tcPr>
          <w:p w14:paraId="7C923210"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1</w:t>
            </w:r>
          </w:p>
        </w:tc>
      </w:tr>
      <w:tr w:rsidR="0070701E" w:rsidRPr="002F181A" w14:paraId="13DCE9A0" w14:textId="77777777" w:rsidTr="00DD56CA">
        <w:trPr>
          <w:trHeight w:val="414"/>
        </w:trPr>
        <w:tc>
          <w:tcPr>
            <w:tcW w:w="2122" w:type="dxa"/>
            <w:vAlign w:val="center"/>
            <w:hideMark/>
          </w:tcPr>
          <w:p w14:paraId="40ED8445" w14:textId="77777777" w:rsidR="0070701E" w:rsidRPr="002F181A" w:rsidRDefault="0070701E" w:rsidP="00DD56CA">
            <w:pPr>
              <w:spacing w:line="240" w:lineRule="exact"/>
              <w:rPr>
                <w:rFonts w:ascii="Lato" w:hAnsi="Lato" w:cs="Calibri"/>
                <w:color w:val="000000"/>
                <w:sz w:val="20"/>
                <w:szCs w:val="20"/>
              </w:rPr>
            </w:pPr>
            <w:r w:rsidRPr="002F181A">
              <w:rPr>
                <w:rFonts w:ascii="Lato" w:hAnsi="Lato" w:cs="Calibri"/>
                <w:color w:val="000000"/>
                <w:sz w:val="20"/>
                <w:szCs w:val="20"/>
              </w:rPr>
              <w:t>Myślibórz</w:t>
            </w:r>
          </w:p>
        </w:tc>
        <w:tc>
          <w:tcPr>
            <w:tcW w:w="1842" w:type="dxa"/>
            <w:vAlign w:val="center"/>
            <w:hideMark/>
          </w:tcPr>
          <w:p w14:paraId="72F8346A"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1</w:t>
            </w:r>
          </w:p>
        </w:tc>
        <w:tc>
          <w:tcPr>
            <w:tcW w:w="1134" w:type="dxa"/>
            <w:vAlign w:val="center"/>
            <w:hideMark/>
          </w:tcPr>
          <w:p w14:paraId="36FFAF2F"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c>
          <w:tcPr>
            <w:tcW w:w="1560" w:type="dxa"/>
            <w:vAlign w:val="center"/>
            <w:hideMark/>
          </w:tcPr>
          <w:p w14:paraId="09F06E7A"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1</w:t>
            </w:r>
          </w:p>
        </w:tc>
        <w:tc>
          <w:tcPr>
            <w:tcW w:w="1417" w:type="dxa"/>
            <w:vAlign w:val="center"/>
            <w:hideMark/>
          </w:tcPr>
          <w:p w14:paraId="67CAEDF9"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c>
          <w:tcPr>
            <w:tcW w:w="1134" w:type="dxa"/>
            <w:vAlign w:val="center"/>
            <w:hideMark/>
          </w:tcPr>
          <w:p w14:paraId="6F185760"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r>
      <w:tr w:rsidR="0070701E" w:rsidRPr="002F181A" w14:paraId="5937998D" w14:textId="77777777" w:rsidTr="00DD56CA">
        <w:trPr>
          <w:trHeight w:val="414"/>
        </w:trPr>
        <w:tc>
          <w:tcPr>
            <w:tcW w:w="2122" w:type="dxa"/>
            <w:vAlign w:val="center"/>
            <w:hideMark/>
          </w:tcPr>
          <w:p w14:paraId="1CFB5A65" w14:textId="77777777" w:rsidR="0070701E" w:rsidRPr="002F181A" w:rsidRDefault="0070701E" w:rsidP="00DD56CA">
            <w:pPr>
              <w:spacing w:line="240" w:lineRule="exact"/>
              <w:rPr>
                <w:rFonts w:ascii="Lato" w:hAnsi="Lato" w:cs="Calibri"/>
                <w:color w:val="000000"/>
                <w:sz w:val="20"/>
                <w:szCs w:val="20"/>
              </w:rPr>
            </w:pPr>
            <w:r w:rsidRPr="002F181A">
              <w:rPr>
                <w:rFonts w:ascii="Lato" w:hAnsi="Lato" w:cs="Calibri"/>
                <w:color w:val="000000"/>
                <w:sz w:val="20"/>
                <w:szCs w:val="20"/>
              </w:rPr>
              <w:t>Police</w:t>
            </w:r>
          </w:p>
        </w:tc>
        <w:tc>
          <w:tcPr>
            <w:tcW w:w="1842" w:type="dxa"/>
            <w:vAlign w:val="center"/>
            <w:hideMark/>
          </w:tcPr>
          <w:p w14:paraId="71C7A22A"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c>
          <w:tcPr>
            <w:tcW w:w="1134" w:type="dxa"/>
            <w:vAlign w:val="center"/>
            <w:hideMark/>
          </w:tcPr>
          <w:p w14:paraId="12A51E6C"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c>
          <w:tcPr>
            <w:tcW w:w="1560" w:type="dxa"/>
            <w:vAlign w:val="center"/>
            <w:hideMark/>
          </w:tcPr>
          <w:p w14:paraId="638CBDC5"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c>
          <w:tcPr>
            <w:tcW w:w="1417" w:type="dxa"/>
            <w:vAlign w:val="center"/>
            <w:hideMark/>
          </w:tcPr>
          <w:p w14:paraId="295912AC"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c>
          <w:tcPr>
            <w:tcW w:w="1134" w:type="dxa"/>
            <w:vAlign w:val="center"/>
            <w:hideMark/>
          </w:tcPr>
          <w:p w14:paraId="592E1DBC"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r>
      <w:tr w:rsidR="0070701E" w:rsidRPr="002F181A" w14:paraId="3EAD9C97" w14:textId="77777777" w:rsidTr="00DD56CA">
        <w:trPr>
          <w:trHeight w:val="414"/>
        </w:trPr>
        <w:tc>
          <w:tcPr>
            <w:tcW w:w="2122" w:type="dxa"/>
            <w:vAlign w:val="center"/>
            <w:hideMark/>
          </w:tcPr>
          <w:p w14:paraId="450A9169" w14:textId="77777777" w:rsidR="0070701E" w:rsidRPr="002F181A" w:rsidRDefault="0070701E" w:rsidP="00DD56CA">
            <w:pPr>
              <w:spacing w:line="240" w:lineRule="exact"/>
              <w:rPr>
                <w:rFonts w:ascii="Lato" w:hAnsi="Lato" w:cs="Calibri"/>
                <w:color w:val="000000"/>
                <w:sz w:val="20"/>
                <w:szCs w:val="20"/>
              </w:rPr>
            </w:pPr>
            <w:r w:rsidRPr="002F181A">
              <w:rPr>
                <w:rFonts w:ascii="Lato" w:hAnsi="Lato" w:cs="Calibri"/>
                <w:color w:val="000000"/>
                <w:sz w:val="20"/>
                <w:szCs w:val="20"/>
              </w:rPr>
              <w:t>Pyrzyce</w:t>
            </w:r>
          </w:p>
        </w:tc>
        <w:tc>
          <w:tcPr>
            <w:tcW w:w="1842" w:type="dxa"/>
            <w:vAlign w:val="center"/>
            <w:hideMark/>
          </w:tcPr>
          <w:p w14:paraId="41794528"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1</w:t>
            </w:r>
          </w:p>
        </w:tc>
        <w:tc>
          <w:tcPr>
            <w:tcW w:w="1134" w:type="dxa"/>
            <w:vAlign w:val="center"/>
            <w:hideMark/>
          </w:tcPr>
          <w:p w14:paraId="645EEB77"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1</w:t>
            </w:r>
          </w:p>
        </w:tc>
        <w:tc>
          <w:tcPr>
            <w:tcW w:w="1560" w:type="dxa"/>
            <w:vAlign w:val="center"/>
            <w:hideMark/>
          </w:tcPr>
          <w:p w14:paraId="287C2F90"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c>
          <w:tcPr>
            <w:tcW w:w="1417" w:type="dxa"/>
            <w:vAlign w:val="center"/>
            <w:hideMark/>
          </w:tcPr>
          <w:p w14:paraId="3F398067"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c>
          <w:tcPr>
            <w:tcW w:w="1134" w:type="dxa"/>
            <w:vAlign w:val="center"/>
            <w:hideMark/>
          </w:tcPr>
          <w:p w14:paraId="1BFFC823"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r>
      <w:tr w:rsidR="0070701E" w:rsidRPr="002F181A" w14:paraId="5281D9BA" w14:textId="77777777" w:rsidTr="00DD56CA">
        <w:trPr>
          <w:trHeight w:val="414"/>
        </w:trPr>
        <w:tc>
          <w:tcPr>
            <w:tcW w:w="2122" w:type="dxa"/>
            <w:vAlign w:val="center"/>
            <w:hideMark/>
          </w:tcPr>
          <w:p w14:paraId="255D1756" w14:textId="77777777" w:rsidR="0070701E" w:rsidRPr="002F181A" w:rsidRDefault="0070701E" w:rsidP="00DD56CA">
            <w:pPr>
              <w:spacing w:line="240" w:lineRule="exact"/>
              <w:rPr>
                <w:rFonts w:ascii="Lato" w:hAnsi="Lato" w:cs="Calibri"/>
                <w:color w:val="000000"/>
                <w:sz w:val="20"/>
                <w:szCs w:val="20"/>
              </w:rPr>
            </w:pPr>
            <w:r w:rsidRPr="002F181A">
              <w:rPr>
                <w:rFonts w:ascii="Lato" w:hAnsi="Lato" w:cs="Calibri"/>
                <w:color w:val="000000"/>
                <w:sz w:val="20"/>
                <w:szCs w:val="20"/>
              </w:rPr>
              <w:t>Sławno</w:t>
            </w:r>
          </w:p>
        </w:tc>
        <w:tc>
          <w:tcPr>
            <w:tcW w:w="1842" w:type="dxa"/>
            <w:vAlign w:val="center"/>
            <w:hideMark/>
          </w:tcPr>
          <w:p w14:paraId="7F5506D8"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7</w:t>
            </w:r>
          </w:p>
        </w:tc>
        <w:tc>
          <w:tcPr>
            <w:tcW w:w="1134" w:type="dxa"/>
            <w:vAlign w:val="center"/>
            <w:hideMark/>
          </w:tcPr>
          <w:p w14:paraId="7BF48D0B"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5</w:t>
            </w:r>
          </w:p>
        </w:tc>
        <w:tc>
          <w:tcPr>
            <w:tcW w:w="1560" w:type="dxa"/>
            <w:vAlign w:val="center"/>
            <w:hideMark/>
          </w:tcPr>
          <w:p w14:paraId="6FD3D382"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2</w:t>
            </w:r>
          </w:p>
        </w:tc>
        <w:tc>
          <w:tcPr>
            <w:tcW w:w="1417" w:type="dxa"/>
            <w:vAlign w:val="center"/>
            <w:hideMark/>
          </w:tcPr>
          <w:p w14:paraId="2C660D73"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c>
          <w:tcPr>
            <w:tcW w:w="1134" w:type="dxa"/>
            <w:vAlign w:val="center"/>
            <w:hideMark/>
          </w:tcPr>
          <w:p w14:paraId="621ECBEB"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r>
      <w:tr w:rsidR="0070701E" w:rsidRPr="002F181A" w14:paraId="2B9DB512" w14:textId="77777777" w:rsidTr="00DD56CA">
        <w:trPr>
          <w:trHeight w:val="414"/>
        </w:trPr>
        <w:tc>
          <w:tcPr>
            <w:tcW w:w="2122" w:type="dxa"/>
            <w:vAlign w:val="center"/>
            <w:hideMark/>
          </w:tcPr>
          <w:p w14:paraId="5A8A88DD" w14:textId="77777777" w:rsidR="0070701E" w:rsidRPr="002F181A" w:rsidRDefault="0070701E" w:rsidP="00DD56CA">
            <w:pPr>
              <w:spacing w:line="240" w:lineRule="exact"/>
              <w:rPr>
                <w:rFonts w:ascii="Lato" w:hAnsi="Lato" w:cs="Calibri"/>
                <w:color w:val="000000"/>
                <w:sz w:val="20"/>
                <w:szCs w:val="20"/>
              </w:rPr>
            </w:pPr>
            <w:r w:rsidRPr="002F181A">
              <w:rPr>
                <w:rFonts w:ascii="Lato" w:hAnsi="Lato" w:cs="Calibri"/>
                <w:color w:val="000000"/>
                <w:sz w:val="20"/>
                <w:szCs w:val="20"/>
              </w:rPr>
              <w:t>Stargard</w:t>
            </w:r>
          </w:p>
        </w:tc>
        <w:tc>
          <w:tcPr>
            <w:tcW w:w="1842" w:type="dxa"/>
            <w:vAlign w:val="center"/>
            <w:hideMark/>
          </w:tcPr>
          <w:p w14:paraId="0FB16D64"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1</w:t>
            </w:r>
          </w:p>
        </w:tc>
        <w:tc>
          <w:tcPr>
            <w:tcW w:w="1134" w:type="dxa"/>
            <w:vAlign w:val="center"/>
            <w:hideMark/>
          </w:tcPr>
          <w:p w14:paraId="24BE4668"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1</w:t>
            </w:r>
          </w:p>
        </w:tc>
        <w:tc>
          <w:tcPr>
            <w:tcW w:w="1560" w:type="dxa"/>
            <w:vAlign w:val="center"/>
            <w:hideMark/>
          </w:tcPr>
          <w:p w14:paraId="329FDCA6"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c>
          <w:tcPr>
            <w:tcW w:w="1417" w:type="dxa"/>
            <w:vAlign w:val="center"/>
            <w:hideMark/>
          </w:tcPr>
          <w:p w14:paraId="39E0901E"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c>
          <w:tcPr>
            <w:tcW w:w="1134" w:type="dxa"/>
            <w:vAlign w:val="center"/>
            <w:hideMark/>
          </w:tcPr>
          <w:p w14:paraId="77059122"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r>
      <w:tr w:rsidR="0070701E" w:rsidRPr="002F181A" w14:paraId="1FC0A955" w14:textId="77777777" w:rsidTr="00DD56CA">
        <w:trPr>
          <w:trHeight w:val="414"/>
        </w:trPr>
        <w:tc>
          <w:tcPr>
            <w:tcW w:w="2122" w:type="dxa"/>
            <w:vAlign w:val="center"/>
            <w:hideMark/>
          </w:tcPr>
          <w:p w14:paraId="5C3846C8" w14:textId="77777777" w:rsidR="0070701E" w:rsidRPr="002F181A" w:rsidRDefault="0070701E" w:rsidP="00DD56CA">
            <w:pPr>
              <w:spacing w:line="240" w:lineRule="exact"/>
              <w:rPr>
                <w:rFonts w:ascii="Lato" w:hAnsi="Lato" w:cs="Calibri"/>
                <w:color w:val="000000"/>
                <w:sz w:val="20"/>
                <w:szCs w:val="20"/>
              </w:rPr>
            </w:pPr>
            <w:r w:rsidRPr="002F181A">
              <w:rPr>
                <w:rFonts w:ascii="Lato" w:hAnsi="Lato" w:cs="Calibri"/>
                <w:color w:val="000000"/>
                <w:sz w:val="20"/>
                <w:szCs w:val="20"/>
              </w:rPr>
              <w:t>Szczecinek</w:t>
            </w:r>
          </w:p>
        </w:tc>
        <w:tc>
          <w:tcPr>
            <w:tcW w:w="1842" w:type="dxa"/>
            <w:vAlign w:val="center"/>
            <w:hideMark/>
          </w:tcPr>
          <w:p w14:paraId="76005F4A"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c>
          <w:tcPr>
            <w:tcW w:w="1134" w:type="dxa"/>
            <w:vAlign w:val="center"/>
            <w:hideMark/>
          </w:tcPr>
          <w:p w14:paraId="075484A9"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c>
          <w:tcPr>
            <w:tcW w:w="1560" w:type="dxa"/>
            <w:vAlign w:val="center"/>
            <w:hideMark/>
          </w:tcPr>
          <w:p w14:paraId="5071F4BA"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c>
          <w:tcPr>
            <w:tcW w:w="1417" w:type="dxa"/>
            <w:vAlign w:val="center"/>
            <w:hideMark/>
          </w:tcPr>
          <w:p w14:paraId="3EC6594A"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c>
          <w:tcPr>
            <w:tcW w:w="1134" w:type="dxa"/>
            <w:vAlign w:val="center"/>
            <w:hideMark/>
          </w:tcPr>
          <w:p w14:paraId="5A5C3DEE" w14:textId="77777777" w:rsidR="0070701E" w:rsidRPr="002F181A" w:rsidRDefault="0070701E" w:rsidP="00DD56CA">
            <w:pPr>
              <w:spacing w:line="240" w:lineRule="exact"/>
              <w:jc w:val="center"/>
              <w:rPr>
                <w:rFonts w:ascii="Lato" w:hAnsi="Lato" w:cs="Calibri"/>
                <w:color w:val="000000" w:themeColor="text1"/>
                <w:sz w:val="20"/>
                <w:szCs w:val="20"/>
              </w:rPr>
            </w:pPr>
            <w:r w:rsidRPr="002F181A">
              <w:rPr>
                <w:rFonts w:ascii="Lato" w:hAnsi="Lato" w:cs="Calibri"/>
                <w:color w:val="000000" w:themeColor="text1"/>
                <w:sz w:val="20"/>
                <w:szCs w:val="20"/>
              </w:rPr>
              <w:t>0</w:t>
            </w:r>
          </w:p>
        </w:tc>
      </w:tr>
      <w:tr w:rsidR="0070701E" w:rsidRPr="002F181A" w14:paraId="5EC6AB00" w14:textId="77777777" w:rsidTr="00DD56CA">
        <w:trPr>
          <w:trHeight w:val="414"/>
        </w:trPr>
        <w:tc>
          <w:tcPr>
            <w:tcW w:w="2122" w:type="dxa"/>
            <w:vAlign w:val="center"/>
            <w:hideMark/>
          </w:tcPr>
          <w:p w14:paraId="3D2CDB80" w14:textId="77777777" w:rsidR="0070701E" w:rsidRPr="002F181A" w:rsidRDefault="0070701E" w:rsidP="00DD56CA">
            <w:pPr>
              <w:spacing w:line="240" w:lineRule="exact"/>
              <w:rPr>
                <w:rFonts w:ascii="Lato" w:hAnsi="Lato" w:cs="Calibri"/>
                <w:color w:val="000000"/>
                <w:sz w:val="20"/>
                <w:szCs w:val="20"/>
              </w:rPr>
            </w:pPr>
            <w:r w:rsidRPr="002F181A">
              <w:rPr>
                <w:rFonts w:ascii="Lato" w:hAnsi="Lato" w:cs="Calibri"/>
                <w:color w:val="000000"/>
                <w:sz w:val="20"/>
                <w:szCs w:val="20"/>
              </w:rPr>
              <w:t>Świdwin</w:t>
            </w:r>
          </w:p>
        </w:tc>
        <w:tc>
          <w:tcPr>
            <w:tcW w:w="1842" w:type="dxa"/>
            <w:vAlign w:val="center"/>
            <w:hideMark/>
          </w:tcPr>
          <w:p w14:paraId="7CED8B1F"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7</w:t>
            </w:r>
          </w:p>
        </w:tc>
        <w:tc>
          <w:tcPr>
            <w:tcW w:w="1134" w:type="dxa"/>
            <w:vAlign w:val="center"/>
            <w:hideMark/>
          </w:tcPr>
          <w:p w14:paraId="3FFF2B5C"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7</w:t>
            </w:r>
          </w:p>
        </w:tc>
        <w:tc>
          <w:tcPr>
            <w:tcW w:w="1560" w:type="dxa"/>
            <w:vAlign w:val="center"/>
            <w:hideMark/>
          </w:tcPr>
          <w:p w14:paraId="3B2F2F14"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417" w:type="dxa"/>
            <w:vAlign w:val="center"/>
            <w:hideMark/>
          </w:tcPr>
          <w:p w14:paraId="1C2DF71F"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134" w:type="dxa"/>
            <w:vAlign w:val="center"/>
            <w:hideMark/>
          </w:tcPr>
          <w:p w14:paraId="2A6E2679"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r>
      <w:tr w:rsidR="0070701E" w:rsidRPr="002F181A" w14:paraId="46CB0C2E" w14:textId="77777777" w:rsidTr="00DD56CA">
        <w:trPr>
          <w:trHeight w:val="414"/>
        </w:trPr>
        <w:tc>
          <w:tcPr>
            <w:tcW w:w="2122" w:type="dxa"/>
            <w:vAlign w:val="center"/>
            <w:hideMark/>
          </w:tcPr>
          <w:p w14:paraId="069AFDF0" w14:textId="77777777" w:rsidR="0070701E" w:rsidRPr="002F181A" w:rsidRDefault="0070701E" w:rsidP="00DD56CA">
            <w:pPr>
              <w:spacing w:line="240" w:lineRule="exact"/>
              <w:rPr>
                <w:rFonts w:ascii="Lato" w:hAnsi="Lato" w:cs="Calibri"/>
                <w:color w:val="000000"/>
                <w:sz w:val="20"/>
                <w:szCs w:val="20"/>
              </w:rPr>
            </w:pPr>
            <w:r w:rsidRPr="002F181A">
              <w:rPr>
                <w:rFonts w:ascii="Lato" w:hAnsi="Lato" w:cs="Calibri"/>
                <w:color w:val="000000"/>
                <w:sz w:val="20"/>
                <w:szCs w:val="20"/>
              </w:rPr>
              <w:t>Wałcz</w:t>
            </w:r>
          </w:p>
        </w:tc>
        <w:tc>
          <w:tcPr>
            <w:tcW w:w="1842" w:type="dxa"/>
            <w:vAlign w:val="center"/>
            <w:hideMark/>
          </w:tcPr>
          <w:p w14:paraId="030C98FD"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14</w:t>
            </w:r>
          </w:p>
        </w:tc>
        <w:tc>
          <w:tcPr>
            <w:tcW w:w="1134" w:type="dxa"/>
            <w:vAlign w:val="center"/>
            <w:hideMark/>
          </w:tcPr>
          <w:p w14:paraId="1555C940"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11</w:t>
            </w:r>
          </w:p>
        </w:tc>
        <w:tc>
          <w:tcPr>
            <w:tcW w:w="1560" w:type="dxa"/>
            <w:vAlign w:val="center"/>
            <w:hideMark/>
          </w:tcPr>
          <w:p w14:paraId="17165D98"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2</w:t>
            </w:r>
          </w:p>
        </w:tc>
        <w:tc>
          <w:tcPr>
            <w:tcW w:w="1417" w:type="dxa"/>
            <w:vAlign w:val="center"/>
            <w:hideMark/>
          </w:tcPr>
          <w:p w14:paraId="50114352"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1</w:t>
            </w:r>
          </w:p>
        </w:tc>
        <w:tc>
          <w:tcPr>
            <w:tcW w:w="1134" w:type="dxa"/>
            <w:vAlign w:val="center"/>
            <w:hideMark/>
          </w:tcPr>
          <w:p w14:paraId="415075FC"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r>
      <w:tr w:rsidR="0070701E" w:rsidRPr="002F181A" w14:paraId="0D6796E3" w14:textId="77777777" w:rsidTr="00DD56CA">
        <w:trPr>
          <w:trHeight w:val="414"/>
        </w:trPr>
        <w:tc>
          <w:tcPr>
            <w:tcW w:w="2122" w:type="dxa"/>
            <w:vAlign w:val="center"/>
            <w:hideMark/>
          </w:tcPr>
          <w:p w14:paraId="769F0D0F" w14:textId="77777777" w:rsidR="0070701E" w:rsidRPr="002F181A" w:rsidRDefault="0070701E" w:rsidP="00DD56CA">
            <w:pPr>
              <w:spacing w:line="240" w:lineRule="exact"/>
              <w:rPr>
                <w:rFonts w:ascii="Lato" w:hAnsi="Lato" w:cs="Calibri"/>
                <w:color w:val="000000"/>
                <w:sz w:val="20"/>
                <w:szCs w:val="20"/>
              </w:rPr>
            </w:pPr>
            <w:r w:rsidRPr="002F181A">
              <w:rPr>
                <w:rFonts w:ascii="Lato" w:hAnsi="Lato" w:cs="Calibri"/>
                <w:color w:val="000000"/>
                <w:sz w:val="20"/>
                <w:szCs w:val="20"/>
              </w:rPr>
              <w:t>Łobez</w:t>
            </w:r>
          </w:p>
        </w:tc>
        <w:tc>
          <w:tcPr>
            <w:tcW w:w="1842" w:type="dxa"/>
            <w:vAlign w:val="center"/>
            <w:hideMark/>
          </w:tcPr>
          <w:p w14:paraId="4EC4FC2C"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1</w:t>
            </w:r>
          </w:p>
        </w:tc>
        <w:tc>
          <w:tcPr>
            <w:tcW w:w="1134" w:type="dxa"/>
            <w:vAlign w:val="center"/>
            <w:hideMark/>
          </w:tcPr>
          <w:p w14:paraId="760B0A69"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1</w:t>
            </w:r>
          </w:p>
        </w:tc>
        <w:tc>
          <w:tcPr>
            <w:tcW w:w="1560" w:type="dxa"/>
            <w:vAlign w:val="center"/>
            <w:hideMark/>
          </w:tcPr>
          <w:p w14:paraId="209B439A"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417" w:type="dxa"/>
            <w:vAlign w:val="center"/>
            <w:hideMark/>
          </w:tcPr>
          <w:p w14:paraId="7F7D1C52"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134" w:type="dxa"/>
            <w:vAlign w:val="center"/>
            <w:hideMark/>
          </w:tcPr>
          <w:p w14:paraId="7DB46A86"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r>
      <w:tr w:rsidR="0070701E" w:rsidRPr="002F181A" w14:paraId="09140C1A" w14:textId="77777777" w:rsidTr="00DD56CA">
        <w:trPr>
          <w:trHeight w:val="414"/>
        </w:trPr>
        <w:tc>
          <w:tcPr>
            <w:tcW w:w="2122" w:type="dxa"/>
            <w:vAlign w:val="center"/>
            <w:hideMark/>
          </w:tcPr>
          <w:p w14:paraId="5A142DD9" w14:textId="77777777" w:rsidR="0070701E" w:rsidRPr="002F181A" w:rsidRDefault="0070701E" w:rsidP="00DD56CA">
            <w:pPr>
              <w:spacing w:line="240" w:lineRule="exact"/>
              <w:rPr>
                <w:rFonts w:ascii="Lato" w:hAnsi="Lato" w:cs="Calibri"/>
                <w:color w:val="000000"/>
                <w:sz w:val="20"/>
                <w:szCs w:val="20"/>
              </w:rPr>
            </w:pPr>
            <w:r w:rsidRPr="002F181A">
              <w:rPr>
                <w:rFonts w:ascii="Lato" w:hAnsi="Lato" w:cs="Calibri"/>
                <w:color w:val="000000"/>
                <w:sz w:val="20"/>
                <w:szCs w:val="20"/>
              </w:rPr>
              <w:t>Świnoujście</w:t>
            </w:r>
          </w:p>
        </w:tc>
        <w:tc>
          <w:tcPr>
            <w:tcW w:w="1842" w:type="dxa"/>
            <w:vAlign w:val="center"/>
            <w:hideMark/>
          </w:tcPr>
          <w:p w14:paraId="532FBE30"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1</w:t>
            </w:r>
          </w:p>
        </w:tc>
        <w:tc>
          <w:tcPr>
            <w:tcW w:w="1134" w:type="dxa"/>
            <w:vAlign w:val="center"/>
            <w:hideMark/>
          </w:tcPr>
          <w:p w14:paraId="69A027E7"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560" w:type="dxa"/>
            <w:vAlign w:val="center"/>
            <w:hideMark/>
          </w:tcPr>
          <w:p w14:paraId="4027BB69"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417" w:type="dxa"/>
            <w:vAlign w:val="center"/>
            <w:hideMark/>
          </w:tcPr>
          <w:p w14:paraId="4F4D7399"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1</w:t>
            </w:r>
          </w:p>
        </w:tc>
        <w:tc>
          <w:tcPr>
            <w:tcW w:w="1134" w:type="dxa"/>
            <w:vAlign w:val="center"/>
            <w:hideMark/>
          </w:tcPr>
          <w:p w14:paraId="6958A738"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r>
      <w:tr w:rsidR="0070701E" w:rsidRPr="002F181A" w14:paraId="6CD6FF51" w14:textId="77777777" w:rsidTr="00DD56CA">
        <w:trPr>
          <w:trHeight w:val="414"/>
        </w:trPr>
        <w:tc>
          <w:tcPr>
            <w:tcW w:w="2122" w:type="dxa"/>
            <w:vAlign w:val="center"/>
            <w:hideMark/>
          </w:tcPr>
          <w:p w14:paraId="6121057A" w14:textId="77777777" w:rsidR="0070701E" w:rsidRPr="002F181A" w:rsidRDefault="0070701E" w:rsidP="00DD56CA">
            <w:pPr>
              <w:spacing w:line="240" w:lineRule="exact"/>
              <w:rPr>
                <w:rFonts w:ascii="Lato" w:hAnsi="Lato" w:cs="Calibri"/>
                <w:color w:val="000000"/>
                <w:sz w:val="20"/>
                <w:szCs w:val="20"/>
              </w:rPr>
            </w:pPr>
            <w:r w:rsidRPr="002F181A">
              <w:rPr>
                <w:rFonts w:ascii="Lato" w:hAnsi="Lato" w:cs="Calibri"/>
                <w:color w:val="000000"/>
                <w:sz w:val="20"/>
                <w:szCs w:val="20"/>
              </w:rPr>
              <w:t>Szczecin</w:t>
            </w:r>
          </w:p>
        </w:tc>
        <w:tc>
          <w:tcPr>
            <w:tcW w:w="1842" w:type="dxa"/>
            <w:vAlign w:val="center"/>
            <w:hideMark/>
          </w:tcPr>
          <w:p w14:paraId="4ADC16D3"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3</w:t>
            </w:r>
          </w:p>
        </w:tc>
        <w:tc>
          <w:tcPr>
            <w:tcW w:w="1134" w:type="dxa"/>
            <w:vAlign w:val="center"/>
            <w:hideMark/>
          </w:tcPr>
          <w:p w14:paraId="78648001"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3</w:t>
            </w:r>
          </w:p>
        </w:tc>
        <w:tc>
          <w:tcPr>
            <w:tcW w:w="1560" w:type="dxa"/>
            <w:vAlign w:val="center"/>
            <w:hideMark/>
          </w:tcPr>
          <w:p w14:paraId="428FA105"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417" w:type="dxa"/>
            <w:vAlign w:val="center"/>
            <w:hideMark/>
          </w:tcPr>
          <w:p w14:paraId="1B2123FF"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c>
          <w:tcPr>
            <w:tcW w:w="1134" w:type="dxa"/>
            <w:vAlign w:val="center"/>
            <w:hideMark/>
          </w:tcPr>
          <w:p w14:paraId="616EA5AE" w14:textId="77777777" w:rsidR="0070701E" w:rsidRPr="002F181A" w:rsidRDefault="0070701E" w:rsidP="00DD56CA">
            <w:pPr>
              <w:spacing w:line="240" w:lineRule="exact"/>
              <w:jc w:val="center"/>
              <w:rPr>
                <w:rFonts w:ascii="Lato" w:hAnsi="Lato" w:cs="Calibri"/>
                <w:color w:val="000000"/>
                <w:sz w:val="20"/>
                <w:szCs w:val="20"/>
              </w:rPr>
            </w:pPr>
            <w:r w:rsidRPr="002F181A">
              <w:rPr>
                <w:rFonts w:ascii="Lato" w:hAnsi="Lato" w:cs="Calibri"/>
                <w:color w:val="000000"/>
                <w:sz w:val="20"/>
                <w:szCs w:val="20"/>
              </w:rPr>
              <w:t>0</w:t>
            </w:r>
          </w:p>
        </w:tc>
      </w:tr>
      <w:tr w:rsidR="0070701E" w:rsidRPr="002F181A" w14:paraId="7192D724" w14:textId="77777777" w:rsidTr="00DD56CA">
        <w:trPr>
          <w:trHeight w:val="414"/>
        </w:trPr>
        <w:tc>
          <w:tcPr>
            <w:tcW w:w="2122" w:type="dxa"/>
            <w:vAlign w:val="center"/>
            <w:hideMark/>
          </w:tcPr>
          <w:p w14:paraId="0F0DB0FA" w14:textId="77777777" w:rsidR="0070701E" w:rsidRPr="002F181A" w:rsidRDefault="0070701E" w:rsidP="00DD56CA">
            <w:pPr>
              <w:spacing w:line="240" w:lineRule="exact"/>
              <w:jc w:val="center"/>
              <w:rPr>
                <w:rFonts w:ascii="Lato" w:hAnsi="Lato" w:cs="Calibri"/>
                <w:b/>
                <w:bCs/>
                <w:color w:val="000000"/>
                <w:sz w:val="20"/>
                <w:szCs w:val="20"/>
              </w:rPr>
            </w:pPr>
            <w:r w:rsidRPr="002F181A">
              <w:rPr>
                <w:rFonts w:ascii="Lato" w:hAnsi="Lato" w:cs="Calibri"/>
                <w:b/>
                <w:bCs/>
                <w:color w:val="000000"/>
                <w:sz w:val="20"/>
                <w:szCs w:val="20"/>
              </w:rPr>
              <w:t>SUMA</w:t>
            </w:r>
          </w:p>
        </w:tc>
        <w:tc>
          <w:tcPr>
            <w:tcW w:w="1842" w:type="dxa"/>
            <w:vAlign w:val="center"/>
            <w:hideMark/>
          </w:tcPr>
          <w:p w14:paraId="1B4B25B0" w14:textId="77777777" w:rsidR="0070701E" w:rsidRPr="002F181A" w:rsidRDefault="0070701E" w:rsidP="00DD56CA">
            <w:pPr>
              <w:spacing w:line="240" w:lineRule="exact"/>
              <w:jc w:val="center"/>
              <w:rPr>
                <w:rFonts w:ascii="Lato" w:hAnsi="Lato" w:cs="Calibri"/>
                <w:b/>
                <w:bCs/>
                <w:color w:val="000000"/>
                <w:sz w:val="20"/>
                <w:szCs w:val="20"/>
              </w:rPr>
            </w:pPr>
            <w:r w:rsidRPr="002F181A">
              <w:rPr>
                <w:rFonts w:ascii="Lato" w:hAnsi="Lato" w:cs="Calibri"/>
                <w:b/>
                <w:bCs/>
                <w:color w:val="000000"/>
                <w:sz w:val="20"/>
                <w:szCs w:val="20"/>
              </w:rPr>
              <w:t>70</w:t>
            </w:r>
          </w:p>
        </w:tc>
        <w:tc>
          <w:tcPr>
            <w:tcW w:w="1134" w:type="dxa"/>
            <w:vAlign w:val="center"/>
            <w:hideMark/>
          </w:tcPr>
          <w:p w14:paraId="2CF193A0" w14:textId="77777777" w:rsidR="0070701E" w:rsidRPr="002F181A" w:rsidRDefault="0070701E" w:rsidP="00DD56CA">
            <w:pPr>
              <w:spacing w:line="240" w:lineRule="exact"/>
              <w:jc w:val="center"/>
              <w:rPr>
                <w:rFonts w:ascii="Lato" w:hAnsi="Lato" w:cs="Calibri"/>
                <w:b/>
                <w:bCs/>
                <w:color w:val="000000"/>
                <w:sz w:val="20"/>
                <w:szCs w:val="20"/>
              </w:rPr>
            </w:pPr>
            <w:r w:rsidRPr="002F181A">
              <w:rPr>
                <w:rFonts w:ascii="Lato" w:hAnsi="Lato" w:cs="Calibri"/>
                <w:b/>
                <w:bCs/>
                <w:color w:val="000000"/>
                <w:sz w:val="20"/>
                <w:szCs w:val="20"/>
              </w:rPr>
              <w:t>59</w:t>
            </w:r>
          </w:p>
        </w:tc>
        <w:tc>
          <w:tcPr>
            <w:tcW w:w="1560" w:type="dxa"/>
            <w:vAlign w:val="center"/>
            <w:hideMark/>
          </w:tcPr>
          <w:p w14:paraId="4AB92DED" w14:textId="77777777" w:rsidR="0070701E" w:rsidRPr="002F181A" w:rsidRDefault="0070701E" w:rsidP="00DD56CA">
            <w:pPr>
              <w:spacing w:line="240" w:lineRule="exact"/>
              <w:jc w:val="center"/>
              <w:rPr>
                <w:rFonts w:ascii="Lato" w:hAnsi="Lato" w:cs="Calibri"/>
                <w:b/>
                <w:bCs/>
                <w:color w:val="000000"/>
                <w:sz w:val="20"/>
                <w:szCs w:val="20"/>
              </w:rPr>
            </w:pPr>
            <w:r w:rsidRPr="002F181A">
              <w:rPr>
                <w:rFonts w:ascii="Lato" w:hAnsi="Lato" w:cs="Calibri"/>
                <w:b/>
                <w:bCs/>
                <w:color w:val="000000"/>
                <w:sz w:val="20"/>
                <w:szCs w:val="20"/>
              </w:rPr>
              <w:t>8</w:t>
            </w:r>
          </w:p>
        </w:tc>
        <w:tc>
          <w:tcPr>
            <w:tcW w:w="1417" w:type="dxa"/>
            <w:vAlign w:val="center"/>
            <w:hideMark/>
          </w:tcPr>
          <w:p w14:paraId="3D23BDE8" w14:textId="77777777" w:rsidR="0070701E" w:rsidRPr="002F181A" w:rsidRDefault="0070701E" w:rsidP="00DD56CA">
            <w:pPr>
              <w:spacing w:line="240" w:lineRule="exact"/>
              <w:jc w:val="center"/>
              <w:rPr>
                <w:rFonts w:ascii="Lato" w:hAnsi="Lato" w:cs="Calibri"/>
                <w:b/>
                <w:bCs/>
                <w:color w:val="000000"/>
                <w:sz w:val="20"/>
                <w:szCs w:val="20"/>
              </w:rPr>
            </w:pPr>
            <w:r w:rsidRPr="002F181A">
              <w:rPr>
                <w:rFonts w:ascii="Lato" w:hAnsi="Lato" w:cs="Calibri"/>
                <w:b/>
                <w:bCs/>
                <w:color w:val="000000"/>
                <w:sz w:val="20"/>
                <w:szCs w:val="20"/>
              </w:rPr>
              <w:t>2</w:t>
            </w:r>
          </w:p>
        </w:tc>
        <w:tc>
          <w:tcPr>
            <w:tcW w:w="1134" w:type="dxa"/>
            <w:vAlign w:val="center"/>
            <w:hideMark/>
          </w:tcPr>
          <w:p w14:paraId="1F393AD6" w14:textId="77777777" w:rsidR="0070701E" w:rsidRPr="002F181A" w:rsidRDefault="0070701E" w:rsidP="00DD56CA">
            <w:pPr>
              <w:spacing w:line="240" w:lineRule="exact"/>
              <w:jc w:val="center"/>
              <w:rPr>
                <w:rFonts w:ascii="Lato" w:hAnsi="Lato" w:cs="Calibri"/>
                <w:b/>
                <w:bCs/>
                <w:color w:val="000000"/>
                <w:sz w:val="20"/>
                <w:szCs w:val="20"/>
              </w:rPr>
            </w:pPr>
            <w:r w:rsidRPr="002F181A">
              <w:rPr>
                <w:rFonts w:ascii="Lato" w:hAnsi="Lato" w:cs="Calibri"/>
                <w:b/>
                <w:bCs/>
                <w:color w:val="000000"/>
                <w:sz w:val="20"/>
                <w:szCs w:val="20"/>
              </w:rPr>
              <w:t>1</w:t>
            </w:r>
          </w:p>
        </w:tc>
      </w:tr>
    </w:tbl>
    <w:p w14:paraId="29547126" w14:textId="77777777" w:rsidR="0070701E" w:rsidRPr="000C003D" w:rsidRDefault="0070701E" w:rsidP="0070701E">
      <w:pPr>
        <w:spacing w:line="240" w:lineRule="exact"/>
        <w:jc w:val="both"/>
        <w:rPr>
          <w:rFonts w:ascii="Lato" w:hAnsi="Lato" w:cstheme="minorHAnsi"/>
          <w:color w:val="000000" w:themeColor="text1"/>
          <w:sz w:val="22"/>
          <w:szCs w:val="22"/>
        </w:rPr>
      </w:pPr>
    </w:p>
    <w:p w14:paraId="460DBF5D" w14:textId="77777777" w:rsidR="0070701E" w:rsidRPr="000C003D" w:rsidRDefault="0070701E" w:rsidP="004108D0">
      <w:pPr>
        <w:spacing w:line="360" w:lineRule="auto"/>
        <w:jc w:val="both"/>
        <w:rPr>
          <w:rFonts w:ascii="Lato" w:hAnsi="Lato" w:cstheme="minorHAnsi"/>
          <w:color w:val="000000" w:themeColor="text1"/>
          <w:sz w:val="22"/>
          <w:szCs w:val="22"/>
        </w:rPr>
      </w:pPr>
    </w:p>
    <w:p w14:paraId="18731DF1" w14:textId="76F946F0" w:rsidR="0070701E" w:rsidRPr="000C003D" w:rsidRDefault="0070701E" w:rsidP="0070701E">
      <w:pPr>
        <w:spacing w:line="240" w:lineRule="exact"/>
        <w:jc w:val="both"/>
        <w:rPr>
          <w:rFonts w:ascii="Lato" w:hAnsi="Lato" w:cstheme="minorHAnsi"/>
          <w:color w:val="000000" w:themeColor="text1"/>
          <w:sz w:val="22"/>
          <w:szCs w:val="22"/>
        </w:rPr>
      </w:pPr>
    </w:p>
    <w:p w14:paraId="7DC77B17" w14:textId="77777777" w:rsidR="004108D0" w:rsidRPr="000C003D" w:rsidRDefault="004108D0" w:rsidP="0070701E">
      <w:pPr>
        <w:spacing w:line="240" w:lineRule="exact"/>
        <w:jc w:val="both"/>
        <w:rPr>
          <w:rFonts w:ascii="Lato" w:hAnsi="Lato" w:cstheme="minorHAnsi"/>
          <w:color w:val="000000" w:themeColor="text1"/>
          <w:sz w:val="22"/>
          <w:szCs w:val="22"/>
        </w:rPr>
      </w:pPr>
    </w:p>
    <w:p w14:paraId="6E48AFD0" w14:textId="3E665A4D" w:rsidR="004108D0" w:rsidRPr="004108D0" w:rsidRDefault="004108D0" w:rsidP="004108D0">
      <w:pPr>
        <w:pStyle w:val="Legenda"/>
        <w:rPr>
          <w:rFonts w:ascii="Lato" w:hAnsi="Lato" w:cstheme="minorHAnsi"/>
          <w:b w:val="0"/>
          <w:bCs w:val="0"/>
          <w:color w:val="000000" w:themeColor="text1"/>
          <w:sz w:val="18"/>
          <w:szCs w:val="18"/>
        </w:rPr>
      </w:pPr>
      <w:bookmarkStart w:id="139" w:name="_Toc225859377"/>
      <w:r w:rsidRPr="004108D0">
        <w:rPr>
          <w:rFonts w:ascii="Lato" w:hAnsi="Lato"/>
          <w:b w:val="0"/>
          <w:bCs w:val="0"/>
          <w:sz w:val="18"/>
          <w:szCs w:val="18"/>
        </w:rPr>
        <w:lastRenderedPageBreak/>
        <w:t xml:space="preserve">Tabela </w:t>
      </w:r>
      <w:r w:rsidRPr="004108D0">
        <w:rPr>
          <w:rFonts w:ascii="Lato" w:hAnsi="Lato"/>
          <w:b w:val="0"/>
          <w:bCs w:val="0"/>
          <w:sz w:val="18"/>
          <w:szCs w:val="18"/>
        </w:rPr>
        <w:fldChar w:fldCharType="begin"/>
      </w:r>
      <w:r w:rsidRPr="004108D0">
        <w:rPr>
          <w:rFonts w:ascii="Lato" w:hAnsi="Lato"/>
          <w:b w:val="0"/>
          <w:bCs w:val="0"/>
          <w:sz w:val="18"/>
          <w:szCs w:val="18"/>
        </w:rPr>
        <w:instrText xml:space="preserve"> SEQ Tabela \* ARABIC </w:instrText>
      </w:r>
      <w:r w:rsidRPr="004108D0">
        <w:rPr>
          <w:rFonts w:ascii="Lato" w:hAnsi="Lato"/>
          <w:b w:val="0"/>
          <w:bCs w:val="0"/>
          <w:sz w:val="18"/>
          <w:szCs w:val="18"/>
        </w:rPr>
        <w:fldChar w:fldCharType="separate"/>
      </w:r>
      <w:r w:rsidR="002A3179">
        <w:rPr>
          <w:rFonts w:ascii="Lato" w:hAnsi="Lato"/>
          <w:b w:val="0"/>
          <w:bCs w:val="0"/>
          <w:noProof/>
          <w:sz w:val="18"/>
          <w:szCs w:val="18"/>
        </w:rPr>
        <w:t>21</w:t>
      </w:r>
      <w:r w:rsidRPr="004108D0">
        <w:rPr>
          <w:rFonts w:ascii="Lato" w:hAnsi="Lato"/>
          <w:b w:val="0"/>
          <w:bCs w:val="0"/>
          <w:sz w:val="18"/>
          <w:szCs w:val="18"/>
        </w:rPr>
        <w:fldChar w:fldCharType="end"/>
      </w:r>
      <w:r w:rsidRPr="004108D0">
        <w:rPr>
          <w:rFonts w:ascii="Lato" w:hAnsi="Lato"/>
          <w:b w:val="0"/>
          <w:bCs w:val="0"/>
          <w:sz w:val="18"/>
          <w:szCs w:val="18"/>
        </w:rPr>
        <w:t>. Tymczasowy brak przydatności wody do spożycia przez ludzi, decyzje w woj. zachodniopomorskim w</w:t>
      </w:r>
      <w:r w:rsidR="00DB3C4E">
        <w:rPr>
          <w:rFonts w:ascii="Lato" w:hAnsi="Lato"/>
          <w:b w:val="0"/>
          <w:bCs w:val="0"/>
          <w:sz w:val="18"/>
          <w:szCs w:val="18"/>
        </w:rPr>
        <w:t> </w:t>
      </w:r>
      <w:r w:rsidRPr="004108D0">
        <w:rPr>
          <w:rFonts w:ascii="Lato" w:hAnsi="Lato"/>
          <w:b w:val="0"/>
          <w:bCs w:val="0"/>
          <w:sz w:val="18"/>
          <w:szCs w:val="18"/>
        </w:rPr>
        <w:t>2025 roku z uwzględnieniem przekroczonego parametru.</w:t>
      </w:r>
      <w:bookmarkEnd w:id="139"/>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513"/>
        <w:gridCol w:w="2384"/>
      </w:tblGrid>
      <w:tr w:rsidR="0070701E" w:rsidRPr="002F181A" w14:paraId="0CBCB2FD" w14:textId="77777777" w:rsidTr="00130F95">
        <w:trPr>
          <w:trHeight w:val="779"/>
        </w:trPr>
        <w:tc>
          <w:tcPr>
            <w:tcW w:w="6513" w:type="dxa"/>
            <w:shd w:val="clear" w:color="auto" w:fill="D9D9D9" w:themeFill="background1" w:themeFillShade="D9"/>
            <w:vAlign w:val="center"/>
            <w:hideMark/>
          </w:tcPr>
          <w:p w14:paraId="13506126" w14:textId="77777777" w:rsidR="0070701E" w:rsidRPr="002F181A" w:rsidRDefault="0070701E" w:rsidP="00DD56CA">
            <w:pPr>
              <w:spacing w:line="240" w:lineRule="exact"/>
              <w:jc w:val="center"/>
              <w:rPr>
                <w:rFonts w:ascii="Lato" w:hAnsi="Lato" w:cstheme="minorHAnsi"/>
                <w:b/>
                <w:color w:val="000000" w:themeColor="text1"/>
                <w:sz w:val="20"/>
                <w:szCs w:val="20"/>
              </w:rPr>
            </w:pPr>
            <w:r w:rsidRPr="002F181A">
              <w:rPr>
                <w:rFonts w:ascii="Lato" w:hAnsi="Lato" w:cstheme="minorHAnsi"/>
                <w:b/>
                <w:bCs/>
                <w:color w:val="000000" w:themeColor="text1"/>
                <w:sz w:val="20"/>
                <w:szCs w:val="20"/>
              </w:rPr>
              <w:t>Parametr</w:t>
            </w:r>
          </w:p>
        </w:tc>
        <w:tc>
          <w:tcPr>
            <w:tcW w:w="2384" w:type="dxa"/>
            <w:shd w:val="clear" w:color="auto" w:fill="D9D9D9" w:themeFill="background1" w:themeFillShade="D9"/>
            <w:vAlign w:val="center"/>
            <w:hideMark/>
          </w:tcPr>
          <w:p w14:paraId="0DABA3EF" w14:textId="77777777" w:rsidR="0070701E" w:rsidRPr="002F181A" w:rsidRDefault="0070701E" w:rsidP="00DD56CA">
            <w:pPr>
              <w:spacing w:line="240" w:lineRule="exact"/>
              <w:jc w:val="center"/>
              <w:rPr>
                <w:rFonts w:ascii="Lato" w:hAnsi="Lato" w:cstheme="minorHAnsi"/>
                <w:b/>
                <w:bCs/>
                <w:color w:val="000000" w:themeColor="text1"/>
                <w:sz w:val="20"/>
                <w:szCs w:val="20"/>
              </w:rPr>
            </w:pPr>
            <w:r w:rsidRPr="002F181A">
              <w:rPr>
                <w:rFonts w:ascii="Lato" w:hAnsi="Lato" w:cstheme="minorHAnsi"/>
                <w:b/>
                <w:bCs/>
                <w:color w:val="000000" w:themeColor="text1"/>
                <w:sz w:val="20"/>
                <w:szCs w:val="20"/>
              </w:rPr>
              <w:t>Liczba braków przydatności</w:t>
            </w:r>
          </w:p>
        </w:tc>
      </w:tr>
      <w:tr w:rsidR="0070701E" w:rsidRPr="002F181A" w14:paraId="1691459A" w14:textId="77777777" w:rsidTr="00DD56CA">
        <w:trPr>
          <w:trHeight w:val="261"/>
        </w:trPr>
        <w:tc>
          <w:tcPr>
            <w:tcW w:w="6513" w:type="dxa"/>
            <w:hideMark/>
          </w:tcPr>
          <w:p w14:paraId="3E2B3900" w14:textId="77777777" w:rsidR="0070701E" w:rsidRPr="002F181A" w:rsidRDefault="0070701E" w:rsidP="00DD56CA">
            <w:pPr>
              <w:spacing w:line="240" w:lineRule="exact"/>
              <w:jc w:val="both"/>
              <w:rPr>
                <w:rFonts w:ascii="Lato" w:hAnsi="Lato" w:cstheme="minorHAnsi"/>
                <w:color w:val="000000" w:themeColor="text1"/>
                <w:sz w:val="20"/>
                <w:szCs w:val="20"/>
              </w:rPr>
            </w:pPr>
            <w:r w:rsidRPr="002F181A">
              <w:rPr>
                <w:rFonts w:ascii="Lato" w:hAnsi="Lato" w:cstheme="minorHAnsi"/>
                <w:bCs/>
                <w:color w:val="000000" w:themeColor="text1"/>
                <w:sz w:val="20"/>
                <w:szCs w:val="20"/>
              </w:rPr>
              <w:t xml:space="preserve">bakterie grupy coli </w:t>
            </w:r>
          </w:p>
        </w:tc>
        <w:tc>
          <w:tcPr>
            <w:tcW w:w="2384" w:type="dxa"/>
            <w:vAlign w:val="center"/>
            <w:hideMark/>
          </w:tcPr>
          <w:p w14:paraId="1B368B78" w14:textId="77777777" w:rsidR="0070701E" w:rsidRPr="002F181A" w:rsidRDefault="0070701E" w:rsidP="00DD56CA">
            <w:pPr>
              <w:spacing w:line="240" w:lineRule="exact"/>
              <w:jc w:val="center"/>
              <w:rPr>
                <w:rFonts w:ascii="Lato" w:hAnsi="Lato" w:cstheme="minorHAnsi"/>
                <w:color w:val="000000" w:themeColor="text1"/>
                <w:sz w:val="20"/>
                <w:szCs w:val="20"/>
              </w:rPr>
            </w:pPr>
            <w:r w:rsidRPr="002F181A">
              <w:rPr>
                <w:rFonts w:ascii="Lato" w:hAnsi="Lato" w:cstheme="minorHAnsi"/>
                <w:bCs/>
                <w:color w:val="000000" w:themeColor="text1"/>
                <w:sz w:val="20"/>
                <w:szCs w:val="20"/>
              </w:rPr>
              <w:t>50</w:t>
            </w:r>
          </w:p>
        </w:tc>
      </w:tr>
      <w:tr w:rsidR="0070701E" w:rsidRPr="002F181A" w14:paraId="0F7191A0" w14:textId="77777777" w:rsidTr="00DD56CA">
        <w:trPr>
          <w:trHeight w:val="261"/>
        </w:trPr>
        <w:tc>
          <w:tcPr>
            <w:tcW w:w="6513" w:type="dxa"/>
            <w:hideMark/>
          </w:tcPr>
          <w:p w14:paraId="5E27D19A" w14:textId="77777777" w:rsidR="0070701E" w:rsidRPr="002F181A" w:rsidRDefault="0070701E" w:rsidP="00DD56CA">
            <w:pPr>
              <w:spacing w:line="240" w:lineRule="exact"/>
              <w:jc w:val="both"/>
              <w:rPr>
                <w:rFonts w:ascii="Lato" w:hAnsi="Lato" w:cstheme="minorHAnsi"/>
                <w:color w:val="000000" w:themeColor="text1"/>
                <w:sz w:val="20"/>
                <w:szCs w:val="20"/>
              </w:rPr>
            </w:pPr>
            <w:r w:rsidRPr="002F181A">
              <w:rPr>
                <w:rFonts w:ascii="Lato" w:hAnsi="Lato" w:cstheme="minorHAnsi"/>
                <w:bCs/>
                <w:color w:val="000000" w:themeColor="text1"/>
                <w:sz w:val="20"/>
                <w:szCs w:val="20"/>
              </w:rPr>
              <w:t xml:space="preserve">bakterie grupy coli, </w:t>
            </w:r>
            <w:proofErr w:type="spellStart"/>
            <w:r w:rsidRPr="002F181A">
              <w:rPr>
                <w:rFonts w:ascii="Lato" w:hAnsi="Lato" w:cstheme="minorHAnsi"/>
                <w:bCs/>
                <w:color w:val="000000" w:themeColor="text1"/>
                <w:sz w:val="20"/>
                <w:szCs w:val="20"/>
              </w:rPr>
              <w:t>Enterokoki</w:t>
            </w:r>
            <w:proofErr w:type="spellEnd"/>
            <w:r w:rsidRPr="002F181A">
              <w:rPr>
                <w:rFonts w:ascii="Lato" w:hAnsi="Lato" w:cstheme="minorHAnsi"/>
                <w:bCs/>
                <w:color w:val="000000" w:themeColor="text1"/>
                <w:sz w:val="20"/>
                <w:szCs w:val="20"/>
              </w:rPr>
              <w:t xml:space="preserve"> </w:t>
            </w:r>
          </w:p>
        </w:tc>
        <w:tc>
          <w:tcPr>
            <w:tcW w:w="2384" w:type="dxa"/>
            <w:vAlign w:val="center"/>
            <w:hideMark/>
          </w:tcPr>
          <w:p w14:paraId="38A0E4AD" w14:textId="77777777" w:rsidR="0070701E" w:rsidRPr="002F181A" w:rsidRDefault="0070701E" w:rsidP="00DD56CA">
            <w:pPr>
              <w:spacing w:line="240" w:lineRule="exact"/>
              <w:jc w:val="center"/>
              <w:rPr>
                <w:rFonts w:ascii="Lato" w:hAnsi="Lato" w:cstheme="minorHAnsi"/>
                <w:color w:val="000000" w:themeColor="text1"/>
                <w:sz w:val="20"/>
                <w:szCs w:val="20"/>
              </w:rPr>
            </w:pPr>
            <w:r w:rsidRPr="002F181A">
              <w:rPr>
                <w:rFonts w:ascii="Lato" w:hAnsi="Lato" w:cstheme="minorHAnsi"/>
                <w:bCs/>
                <w:color w:val="000000" w:themeColor="text1"/>
                <w:sz w:val="20"/>
                <w:szCs w:val="20"/>
              </w:rPr>
              <w:t>4</w:t>
            </w:r>
          </w:p>
        </w:tc>
      </w:tr>
      <w:tr w:rsidR="0070701E" w:rsidRPr="002F181A" w14:paraId="143CD882" w14:textId="77777777" w:rsidTr="00DD56CA">
        <w:trPr>
          <w:trHeight w:val="261"/>
        </w:trPr>
        <w:tc>
          <w:tcPr>
            <w:tcW w:w="6513" w:type="dxa"/>
            <w:hideMark/>
          </w:tcPr>
          <w:p w14:paraId="12EC5343" w14:textId="77777777" w:rsidR="0070701E" w:rsidRPr="002F181A" w:rsidRDefault="0070701E" w:rsidP="00DD56CA">
            <w:pPr>
              <w:spacing w:line="240" w:lineRule="exact"/>
              <w:jc w:val="both"/>
              <w:rPr>
                <w:rFonts w:ascii="Lato" w:hAnsi="Lato" w:cstheme="minorHAnsi"/>
                <w:bCs/>
                <w:color w:val="000000" w:themeColor="text1"/>
                <w:sz w:val="20"/>
                <w:szCs w:val="20"/>
              </w:rPr>
            </w:pPr>
            <w:r w:rsidRPr="002F181A">
              <w:rPr>
                <w:rFonts w:ascii="Lato" w:hAnsi="Lato" w:cstheme="minorHAnsi"/>
                <w:bCs/>
                <w:color w:val="000000" w:themeColor="text1"/>
                <w:sz w:val="20"/>
                <w:szCs w:val="20"/>
              </w:rPr>
              <w:t xml:space="preserve">bakterie grupy coli, </w:t>
            </w:r>
            <w:r w:rsidRPr="002F181A">
              <w:rPr>
                <w:rFonts w:ascii="Lato" w:hAnsi="Lato" w:cstheme="minorHAnsi"/>
                <w:bCs/>
                <w:i/>
                <w:iCs/>
                <w:color w:val="000000" w:themeColor="text1"/>
                <w:sz w:val="20"/>
                <w:szCs w:val="20"/>
              </w:rPr>
              <w:t>Escherichia coli</w:t>
            </w:r>
          </w:p>
        </w:tc>
        <w:tc>
          <w:tcPr>
            <w:tcW w:w="2384" w:type="dxa"/>
            <w:vAlign w:val="center"/>
            <w:hideMark/>
          </w:tcPr>
          <w:p w14:paraId="0F42E44B" w14:textId="77777777" w:rsidR="0070701E" w:rsidRPr="002F181A" w:rsidRDefault="0070701E" w:rsidP="00DD56CA">
            <w:pPr>
              <w:spacing w:line="240" w:lineRule="exact"/>
              <w:jc w:val="center"/>
              <w:rPr>
                <w:rFonts w:ascii="Lato" w:hAnsi="Lato" w:cstheme="minorHAnsi"/>
                <w:bCs/>
                <w:color w:val="000000" w:themeColor="text1"/>
                <w:sz w:val="20"/>
                <w:szCs w:val="20"/>
              </w:rPr>
            </w:pPr>
            <w:r w:rsidRPr="002F181A">
              <w:rPr>
                <w:rFonts w:ascii="Lato" w:hAnsi="Lato" w:cstheme="minorHAnsi"/>
                <w:bCs/>
                <w:color w:val="000000" w:themeColor="text1"/>
                <w:sz w:val="20"/>
                <w:szCs w:val="20"/>
              </w:rPr>
              <w:t>5</w:t>
            </w:r>
          </w:p>
        </w:tc>
      </w:tr>
      <w:tr w:rsidR="0070701E" w:rsidRPr="002F181A" w14:paraId="6C3B50D1" w14:textId="77777777" w:rsidTr="00DD56CA">
        <w:trPr>
          <w:trHeight w:val="261"/>
        </w:trPr>
        <w:tc>
          <w:tcPr>
            <w:tcW w:w="6513" w:type="dxa"/>
            <w:hideMark/>
          </w:tcPr>
          <w:p w14:paraId="7D4A9CBC" w14:textId="77777777" w:rsidR="0070701E" w:rsidRPr="002F181A" w:rsidRDefault="0070701E" w:rsidP="00DD56CA">
            <w:pPr>
              <w:spacing w:line="240" w:lineRule="exact"/>
              <w:jc w:val="both"/>
              <w:rPr>
                <w:rFonts w:ascii="Lato" w:hAnsi="Lato" w:cstheme="minorHAnsi"/>
                <w:bCs/>
                <w:color w:val="000000" w:themeColor="text1"/>
                <w:sz w:val="20"/>
                <w:szCs w:val="20"/>
              </w:rPr>
            </w:pPr>
            <w:proofErr w:type="spellStart"/>
            <w:r w:rsidRPr="002F181A">
              <w:rPr>
                <w:rFonts w:ascii="Lato" w:hAnsi="Lato" w:cstheme="minorHAnsi"/>
                <w:bCs/>
                <w:color w:val="000000" w:themeColor="text1"/>
                <w:sz w:val="20"/>
                <w:szCs w:val="20"/>
              </w:rPr>
              <w:t>Enterokoki</w:t>
            </w:r>
            <w:proofErr w:type="spellEnd"/>
            <w:r w:rsidRPr="002F181A">
              <w:rPr>
                <w:rFonts w:ascii="Lato" w:hAnsi="Lato" w:cstheme="minorHAnsi"/>
                <w:bCs/>
                <w:color w:val="000000" w:themeColor="text1"/>
                <w:sz w:val="20"/>
                <w:szCs w:val="20"/>
              </w:rPr>
              <w:t xml:space="preserve"> </w:t>
            </w:r>
          </w:p>
        </w:tc>
        <w:tc>
          <w:tcPr>
            <w:tcW w:w="2384" w:type="dxa"/>
            <w:vAlign w:val="center"/>
            <w:hideMark/>
          </w:tcPr>
          <w:p w14:paraId="326BCA44" w14:textId="77777777" w:rsidR="0070701E" w:rsidRPr="002F181A" w:rsidRDefault="0070701E" w:rsidP="00DD56CA">
            <w:pPr>
              <w:spacing w:line="240" w:lineRule="exact"/>
              <w:jc w:val="center"/>
              <w:rPr>
                <w:rFonts w:ascii="Lato" w:hAnsi="Lato" w:cstheme="minorHAnsi"/>
                <w:bCs/>
                <w:color w:val="000000" w:themeColor="text1"/>
                <w:sz w:val="20"/>
                <w:szCs w:val="20"/>
              </w:rPr>
            </w:pPr>
            <w:r w:rsidRPr="002F181A">
              <w:rPr>
                <w:rFonts w:ascii="Lato" w:hAnsi="Lato" w:cstheme="minorHAnsi"/>
                <w:bCs/>
                <w:color w:val="000000" w:themeColor="text1"/>
                <w:sz w:val="20"/>
                <w:szCs w:val="20"/>
              </w:rPr>
              <w:t>7</w:t>
            </w:r>
          </w:p>
        </w:tc>
      </w:tr>
      <w:tr w:rsidR="0070701E" w:rsidRPr="002F181A" w14:paraId="1668074B" w14:textId="77777777" w:rsidTr="00DD56CA">
        <w:trPr>
          <w:trHeight w:val="261"/>
        </w:trPr>
        <w:tc>
          <w:tcPr>
            <w:tcW w:w="6513" w:type="dxa"/>
            <w:hideMark/>
          </w:tcPr>
          <w:p w14:paraId="3A985205" w14:textId="77777777" w:rsidR="0070701E" w:rsidRPr="002F181A" w:rsidRDefault="0070701E" w:rsidP="00DD56CA">
            <w:pPr>
              <w:spacing w:line="240" w:lineRule="exact"/>
              <w:jc w:val="both"/>
              <w:rPr>
                <w:rFonts w:ascii="Lato" w:hAnsi="Lato" w:cstheme="minorHAnsi"/>
                <w:i/>
                <w:color w:val="000000" w:themeColor="text1"/>
                <w:sz w:val="20"/>
                <w:szCs w:val="20"/>
              </w:rPr>
            </w:pPr>
            <w:r w:rsidRPr="002F181A">
              <w:rPr>
                <w:rFonts w:ascii="Lato" w:hAnsi="Lato" w:cstheme="minorHAnsi"/>
                <w:i/>
                <w:color w:val="000000" w:themeColor="text1"/>
                <w:sz w:val="20"/>
                <w:szCs w:val="20"/>
              </w:rPr>
              <w:t xml:space="preserve">Escherichia coli </w:t>
            </w:r>
          </w:p>
        </w:tc>
        <w:tc>
          <w:tcPr>
            <w:tcW w:w="2384" w:type="dxa"/>
            <w:vAlign w:val="center"/>
            <w:hideMark/>
          </w:tcPr>
          <w:p w14:paraId="008F5978" w14:textId="77777777" w:rsidR="0070701E" w:rsidRPr="002F181A" w:rsidRDefault="0070701E" w:rsidP="00DD56CA">
            <w:pPr>
              <w:spacing w:line="240" w:lineRule="exact"/>
              <w:jc w:val="center"/>
              <w:rPr>
                <w:rFonts w:ascii="Lato" w:hAnsi="Lato" w:cstheme="minorHAnsi"/>
                <w:color w:val="000000" w:themeColor="text1"/>
                <w:sz w:val="20"/>
                <w:szCs w:val="20"/>
              </w:rPr>
            </w:pPr>
            <w:r w:rsidRPr="002F181A">
              <w:rPr>
                <w:rFonts w:ascii="Lato" w:hAnsi="Lato" w:cstheme="minorHAnsi"/>
                <w:color w:val="000000" w:themeColor="text1"/>
                <w:sz w:val="20"/>
                <w:szCs w:val="20"/>
              </w:rPr>
              <w:t>1</w:t>
            </w:r>
          </w:p>
        </w:tc>
      </w:tr>
      <w:tr w:rsidR="0070701E" w:rsidRPr="002F181A" w14:paraId="4BC414D2" w14:textId="77777777" w:rsidTr="00DD56CA">
        <w:trPr>
          <w:trHeight w:val="333"/>
        </w:trPr>
        <w:tc>
          <w:tcPr>
            <w:tcW w:w="6513" w:type="dxa"/>
          </w:tcPr>
          <w:p w14:paraId="2FEC92A7" w14:textId="77777777" w:rsidR="0070701E" w:rsidRPr="002F181A" w:rsidRDefault="0070701E" w:rsidP="00DD56CA">
            <w:pPr>
              <w:spacing w:line="240" w:lineRule="exact"/>
              <w:jc w:val="both"/>
              <w:rPr>
                <w:rFonts w:ascii="Lato" w:hAnsi="Lato" w:cstheme="minorHAnsi"/>
                <w:bCs/>
                <w:color w:val="000000" w:themeColor="text1"/>
                <w:sz w:val="20"/>
                <w:szCs w:val="20"/>
              </w:rPr>
            </w:pPr>
            <w:r w:rsidRPr="002F181A">
              <w:rPr>
                <w:rFonts w:ascii="Lato" w:hAnsi="Lato" w:cstheme="minorHAnsi"/>
                <w:bCs/>
                <w:color w:val="000000" w:themeColor="text1"/>
                <w:sz w:val="20"/>
                <w:szCs w:val="20"/>
              </w:rPr>
              <w:t>bakterie grupy coli, ogólna liczba mikroorganizmów w 22±2 ºC po 72 h</w:t>
            </w:r>
          </w:p>
        </w:tc>
        <w:tc>
          <w:tcPr>
            <w:tcW w:w="2384" w:type="dxa"/>
            <w:vAlign w:val="center"/>
          </w:tcPr>
          <w:p w14:paraId="21C2DDCF" w14:textId="77777777" w:rsidR="0070701E" w:rsidRPr="002F181A" w:rsidRDefault="0070701E" w:rsidP="00DD56CA">
            <w:pPr>
              <w:spacing w:line="240" w:lineRule="exact"/>
              <w:jc w:val="center"/>
              <w:rPr>
                <w:rFonts w:ascii="Lato" w:hAnsi="Lato" w:cstheme="minorHAnsi"/>
                <w:bCs/>
                <w:color w:val="000000" w:themeColor="text1"/>
                <w:sz w:val="20"/>
                <w:szCs w:val="20"/>
              </w:rPr>
            </w:pPr>
            <w:r w:rsidRPr="002F181A">
              <w:rPr>
                <w:rFonts w:ascii="Lato" w:hAnsi="Lato" w:cstheme="minorHAnsi"/>
                <w:bCs/>
                <w:color w:val="000000" w:themeColor="text1"/>
                <w:sz w:val="20"/>
                <w:szCs w:val="20"/>
              </w:rPr>
              <w:t>2</w:t>
            </w:r>
          </w:p>
        </w:tc>
      </w:tr>
      <w:tr w:rsidR="0070701E" w:rsidRPr="002F181A" w14:paraId="7A9007D9" w14:textId="77777777" w:rsidTr="00DD56CA">
        <w:trPr>
          <w:trHeight w:val="261"/>
        </w:trPr>
        <w:tc>
          <w:tcPr>
            <w:tcW w:w="6513" w:type="dxa"/>
          </w:tcPr>
          <w:p w14:paraId="3C5F8A7A" w14:textId="77777777" w:rsidR="0070701E" w:rsidRPr="002F181A" w:rsidRDefault="0070701E" w:rsidP="00DD56CA">
            <w:pPr>
              <w:spacing w:line="240" w:lineRule="exact"/>
              <w:jc w:val="both"/>
              <w:rPr>
                <w:rFonts w:ascii="Lato" w:hAnsi="Lato" w:cstheme="minorHAnsi"/>
                <w:bCs/>
                <w:color w:val="000000" w:themeColor="text1"/>
                <w:sz w:val="20"/>
                <w:szCs w:val="20"/>
              </w:rPr>
            </w:pPr>
            <w:r w:rsidRPr="002F181A">
              <w:rPr>
                <w:rFonts w:ascii="Lato" w:hAnsi="Lato" w:cstheme="minorHAnsi"/>
                <w:bCs/>
                <w:color w:val="000000" w:themeColor="text1"/>
                <w:sz w:val="20"/>
                <w:szCs w:val="20"/>
              </w:rPr>
              <w:t>Chlor wolny</w:t>
            </w:r>
          </w:p>
        </w:tc>
        <w:tc>
          <w:tcPr>
            <w:tcW w:w="2384" w:type="dxa"/>
            <w:vAlign w:val="center"/>
          </w:tcPr>
          <w:p w14:paraId="385045BC" w14:textId="77777777" w:rsidR="0070701E" w:rsidRPr="002F181A" w:rsidRDefault="0070701E" w:rsidP="00DD56CA">
            <w:pPr>
              <w:spacing w:line="240" w:lineRule="exact"/>
              <w:jc w:val="center"/>
              <w:rPr>
                <w:rFonts w:ascii="Lato" w:hAnsi="Lato" w:cstheme="minorHAnsi"/>
                <w:bCs/>
                <w:color w:val="000000" w:themeColor="text1"/>
                <w:sz w:val="20"/>
                <w:szCs w:val="20"/>
              </w:rPr>
            </w:pPr>
            <w:r w:rsidRPr="002F181A">
              <w:rPr>
                <w:rFonts w:ascii="Lato" w:hAnsi="Lato" w:cstheme="minorHAnsi"/>
                <w:bCs/>
                <w:color w:val="000000" w:themeColor="text1"/>
                <w:sz w:val="20"/>
                <w:szCs w:val="20"/>
              </w:rPr>
              <w:t>1</w:t>
            </w:r>
          </w:p>
        </w:tc>
      </w:tr>
      <w:tr w:rsidR="0070701E" w:rsidRPr="002F181A" w14:paraId="621FDDA9" w14:textId="77777777" w:rsidTr="00DD56CA">
        <w:trPr>
          <w:trHeight w:val="261"/>
        </w:trPr>
        <w:tc>
          <w:tcPr>
            <w:tcW w:w="6513" w:type="dxa"/>
          </w:tcPr>
          <w:p w14:paraId="028A05C6" w14:textId="77777777" w:rsidR="0070701E" w:rsidRPr="002F181A" w:rsidRDefault="0070701E" w:rsidP="00DD56CA">
            <w:pPr>
              <w:spacing w:line="240" w:lineRule="exact"/>
              <w:jc w:val="center"/>
              <w:rPr>
                <w:rFonts w:ascii="Lato" w:hAnsi="Lato" w:cstheme="minorHAnsi"/>
                <w:b/>
                <w:color w:val="000000" w:themeColor="text1"/>
                <w:sz w:val="20"/>
                <w:szCs w:val="20"/>
              </w:rPr>
            </w:pPr>
            <w:r w:rsidRPr="002F181A">
              <w:rPr>
                <w:rFonts w:ascii="Lato" w:hAnsi="Lato" w:cstheme="minorHAnsi"/>
                <w:b/>
                <w:bCs/>
                <w:color w:val="000000" w:themeColor="text1"/>
                <w:sz w:val="20"/>
                <w:szCs w:val="20"/>
              </w:rPr>
              <w:t>Razem</w:t>
            </w:r>
          </w:p>
        </w:tc>
        <w:tc>
          <w:tcPr>
            <w:tcW w:w="2384" w:type="dxa"/>
            <w:vAlign w:val="center"/>
            <w:hideMark/>
          </w:tcPr>
          <w:p w14:paraId="040C2CD0" w14:textId="77777777" w:rsidR="0070701E" w:rsidRPr="002F181A" w:rsidRDefault="0070701E" w:rsidP="00DD56CA">
            <w:pPr>
              <w:spacing w:line="240" w:lineRule="exact"/>
              <w:jc w:val="center"/>
              <w:rPr>
                <w:rFonts w:ascii="Lato" w:hAnsi="Lato" w:cstheme="minorHAnsi"/>
                <w:b/>
                <w:color w:val="000000" w:themeColor="text1"/>
                <w:sz w:val="20"/>
                <w:szCs w:val="20"/>
              </w:rPr>
            </w:pPr>
            <w:r w:rsidRPr="002F181A">
              <w:rPr>
                <w:rFonts w:ascii="Lato" w:hAnsi="Lato" w:cstheme="minorHAnsi"/>
                <w:b/>
                <w:bCs/>
                <w:color w:val="000000" w:themeColor="text1"/>
                <w:sz w:val="20"/>
                <w:szCs w:val="20"/>
              </w:rPr>
              <w:t>70</w:t>
            </w:r>
          </w:p>
        </w:tc>
      </w:tr>
    </w:tbl>
    <w:p w14:paraId="7B8792C5" w14:textId="77777777" w:rsidR="0070701E" w:rsidRDefault="0070701E" w:rsidP="0070701E">
      <w:pPr>
        <w:spacing w:line="240" w:lineRule="exact"/>
        <w:jc w:val="both"/>
        <w:rPr>
          <w:rFonts w:ascii="Lato" w:hAnsi="Lato" w:cstheme="minorHAnsi"/>
          <w:sz w:val="20"/>
          <w:szCs w:val="20"/>
        </w:rPr>
      </w:pPr>
    </w:p>
    <w:p w14:paraId="3EEBC557" w14:textId="77777777" w:rsidR="004A6388" w:rsidRDefault="004A6388" w:rsidP="0070701E">
      <w:pPr>
        <w:spacing w:line="240" w:lineRule="exact"/>
        <w:jc w:val="both"/>
        <w:rPr>
          <w:rFonts w:ascii="Lato" w:hAnsi="Lato" w:cstheme="minorHAnsi"/>
          <w:sz w:val="20"/>
          <w:szCs w:val="20"/>
        </w:rPr>
      </w:pPr>
    </w:p>
    <w:p w14:paraId="49406536" w14:textId="77777777" w:rsidR="0070701E" w:rsidRPr="004A6388" w:rsidRDefault="0070701E" w:rsidP="00DB3C4E">
      <w:pPr>
        <w:spacing w:line="360" w:lineRule="auto"/>
        <w:rPr>
          <w:rFonts w:ascii="Lato" w:hAnsi="Lato" w:cstheme="minorHAnsi"/>
          <w:bCs/>
          <w:color w:val="000000" w:themeColor="text1"/>
          <w:sz w:val="22"/>
          <w:szCs w:val="22"/>
          <w:u w:val="single"/>
        </w:rPr>
      </w:pPr>
      <w:r w:rsidRPr="004A6388">
        <w:rPr>
          <w:rFonts w:ascii="Lato" w:hAnsi="Lato" w:cstheme="minorHAnsi"/>
          <w:bCs/>
          <w:color w:val="000000" w:themeColor="text1"/>
          <w:sz w:val="22"/>
          <w:szCs w:val="22"/>
          <w:u w:val="single"/>
        </w:rPr>
        <w:t>Przekroczenia parametrów mikrobiologicznych i fizykochemicznych skutkujące warunkową przydatnością wody do spożycia</w:t>
      </w:r>
    </w:p>
    <w:p w14:paraId="79943229" w14:textId="359DED88" w:rsidR="0070701E" w:rsidRPr="004108D0" w:rsidRDefault="0070701E" w:rsidP="00DB3C4E">
      <w:pPr>
        <w:spacing w:line="360" w:lineRule="auto"/>
        <w:rPr>
          <w:rFonts w:ascii="Lato" w:hAnsi="Lato" w:cs="Calibri"/>
          <w:color w:val="3F3731"/>
          <w:sz w:val="22"/>
          <w:szCs w:val="22"/>
        </w:rPr>
      </w:pPr>
      <w:r w:rsidRPr="004108D0">
        <w:rPr>
          <w:rFonts w:ascii="Lato" w:hAnsi="Lato" w:cs="Calibri"/>
          <w:sz w:val="22"/>
          <w:szCs w:val="22"/>
        </w:rPr>
        <w:t xml:space="preserve">Do uprawnień właściwych państwowych inspektorów sanitarnych należy m.in. możliwość </w:t>
      </w:r>
      <w:r w:rsidRPr="004108D0">
        <w:rPr>
          <w:rFonts w:ascii="Lato" w:hAnsi="Lato" w:cs="Calibri"/>
          <w:color w:val="000000" w:themeColor="text1"/>
          <w:sz w:val="22"/>
          <w:szCs w:val="22"/>
        </w:rPr>
        <w:t>stwierdzenia</w:t>
      </w:r>
      <w:r w:rsidRPr="004108D0">
        <w:rPr>
          <w:rFonts w:ascii="Lato" w:hAnsi="Lato" w:cs="Calibri"/>
          <w:i/>
          <w:iCs/>
          <w:color w:val="000000" w:themeColor="text1"/>
          <w:sz w:val="22"/>
          <w:szCs w:val="22"/>
        </w:rPr>
        <w:t xml:space="preserve"> </w:t>
      </w:r>
      <w:r w:rsidRPr="004108D0">
        <w:rPr>
          <w:rFonts w:ascii="Lato" w:hAnsi="Lato" w:cs="Calibri"/>
          <w:color w:val="000000" w:themeColor="text1"/>
          <w:sz w:val="22"/>
          <w:szCs w:val="22"/>
        </w:rPr>
        <w:t>warunkowej przydatności wody do spożycia na okres przeprowadzenia działań naprawczych w przypadku, gdy przekroczenie wartości dopuszczalnej dla danego parametru, nie stwarza zagrożenia dla zdrowia ludzi.</w:t>
      </w:r>
      <w:r w:rsidRPr="004108D0">
        <w:rPr>
          <w:rFonts w:ascii="Lato" w:hAnsi="Lato" w:cs="Calibri"/>
          <w:color w:val="3F3731"/>
          <w:sz w:val="22"/>
          <w:szCs w:val="22"/>
        </w:rPr>
        <w:t xml:space="preserve"> </w:t>
      </w:r>
      <w:r w:rsidRPr="004108D0">
        <w:rPr>
          <w:rFonts w:ascii="Lato" w:hAnsi="Lato" w:cstheme="minorHAnsi"/>
          <w:color w:val="000000" w:themeColor="text1"/>
          <w:sz w:val="22"/>
          <w:szCs w:val="22"/>
        </w:rPr>
        <w:t xml:space="preserve">W roku 2025 wydano 95 decyzji stwierdzających warunkową </w:t>
      </w:r>
      <w:r w:rsidRPr="004108D0">
        <w:rPr>
          <w:rFonts w:ascii="Lato" w:hAnsi="Lato" w:cstheme="minorHAnsi"/>
          <w:iCs/>
          <w:color w:val="000000" w:themeColor="text1"/>
          <w:sz w:val="22"/>
          <w:szCs w:val="22"/>
        </w:rPr>
        <w:t>przydatność wody d</w:t>
      </w:r>
      <w:r w:rsidRPr="004108D0">
        <w:rPr>
          <w:rFonts w:ascii="Lato" w:hAnsi="Lato" w:cstheme="minorHAnsi"/>
          <w:color w:val="000000" w:themeColor="text1"/>
          <w:sz w:val="22"/>
          <w:szCs w:val="22"/>
        </w:rPr>
        <w:t>o spożycia, w tym 14 decyzji  wydano z uwagi na przekroczenia parametrów mikrobiologicznych, 73 decyzje –</w:t>
      </w:r>
      <w:r w:rsidR="006848B0">
        <w:rPr>
          <w:rFonts w:ascii="Lato" w:hAnsi="Lato" w:cstheme="minorHAnsi"/>
          <w:color w:val="000000" w:themeColor="text1"/>
          <w:sz w:val="22"/>
          <w:szCs w:val="22"/>
        </w:rPr>
        <w:t xml:space="preserve"> </w:t>
      </w:r>
      <w:r w:rsidRPr="004108D0">
        <w:rPr>
          <w:rFonts w:ascii="Lato" w:hAnsi="Lato" w:cstheme="minorHAnsi"/>
          <w:color w:val="000000" w:themeColor="text1"/>
          <w:sz w:val="22"/>
          <w:szCs w:val="22"/>
        </w:rPr>
        <w:t xml:space="preserve">z uwagi na przekroczenia parametrów fizykochemicznych, 8 decyzji – zarówno </w:t>
      </w:r>
      <w:r w:rsidR="006848B0">
        <w:rPr>
          <w:rFonts w:ascii="Lato" w:hAnsi="Lato" w:cstheme="minorHAnsi"/>
          <w:color w:val="000000" w:themeColor="text1"/>
          <w:sz w:val="22"/>
          <w:szCs w:val="22"/>
        </w:rPr>
        <w:t xml:space="preserve">ze względu </w:t>
      </w:r>
      <w:r w:rsidRPr="004108D0">
        <w:rPr>
          <w:rFonts w:ascii="Lato" w:hAnsi="Lato" w:cstheme="minorHAnsi"/>
          <w:color w:val="000000" w:themeColor="text1"/>
          <w:sz w:val="22"/>
          <w:szCs w:val="22"/>
        </w:rPr>
        <w:t xml:space="preserve">na fizykochemię jak </w:t>
      </w:r>
      <w:r w:rsidR="006848B0">
        <w:rPr>
          <w:rFonts w:ascii="Lato" w:hAnsi="Lato" w:cstheme="minorHAnsi"/>
          <w:color w:val="000000" w:themeColor="text1"/>
          <w:sz w:val="22"/>
          <w:szCs w:val="22"/>
        </w:rPr>
        <w:t>i</w:t>
      </w:r>
      <w:r w:rsidRPr="004108D0">
        <w:rPr>
          <w:rFonts w:ascii="Lato" w:hAnsi="Lato" w:cstheme="minorHAnsi"/>
          <w:color w:val="000000" w:themeColor="text1"/>
          <w:sz w:val="22"/>
          <w:szCs w:val="22"/>
        </w:rPr>
        <w:t xml:space="preserve"> mikrobiologię. Należy  wskazać, że 2025 roku obowiązywało 21 decyzji dot. warunkowej przydatności wody do</w:t>
      </w:r>
      <w:r w:rsidR="00DB3C4E">
        <w:rPr>
          <w:rFonts w:ascii="Lato" w:hAnsi="Lato" w:cstheme="minorHAnsi"/>
          <w:color w:val="000000" w:themeColor="text1"/>
          <w:sz w:val="22"/>
          <w:szCs w:val="22"/>
        </w:rPr>
        <w:t> </w:t>
      </w:r>
      <w:r w:rsidRPr="004108D0">
        <w:rPr>
          <w:rFonts w:ascii="Lato" w:hAnsi="Lato" w:cstheme="minorHAnsi"/>
          <w:color w:val="000000" w:themeColor="text1"/>
          <w:sz w:val="22"/>
          <w:szCs w:val="22"/>
        </w:rPr>
        <w:t xml:space="preserve">spożycia, które wydane zostały w latach ubiegłych. </w:t>
      </w:r>
    </w:p>
    <w:p w14:paraId="455544FB" w14:textId="77777777" w:rsidR="0070701E" w:rsidRPr="002F181A" w:rsidRDefault="0070701E" w:rsidP="00DB3C4E">
      <w:pPr>
        <w:spacing w:line="240" w:lineRule="exact"/>
        <w:rPr>
          <w:rFonts w:ascii="Lato" w:hAnsi="Lato" w:cstheme="minorHAnsi"/>
          <w:b/>
          <w:color w:val="000000" w:themeColor="text1"/>
        </w:rPr>
      </w:pPr>
    </w:p>
    <w:p w14:paraId="73443536" w14:textId="31EF0298" w:rsidR="0070701E" w:rsidRDefault="0070701E">
      <w:pPr>
        <w:pStyle w:val="Nagwek3"/>
        <w:numPr>
          <w:ilvl w:val="1"/>
          <w:numId w:val="19"/>
        </w:numPr>
        <w:rPr>
          <w:color w:val="auto"/>
        </w:rPr>
      </w:pPr>
      <w:bookmarkStart w:id="140" w:name="_Toc225859074"/>
      <w:r w:rsidRPr="004108D0">
        <w:rPr>
          <w:color w:val="auto"/>
        </w:rPr>
        <w:t>Odstępstwa od wymaganej jakości wody do spożycia</w:t>
      </w:r>
      <w:bookmarkEnd w:id="140"/>
      <w:r w:rsidRPr="004108D0">
        <w:rPr>
          <w:color w:val="auto"/>
        </w:rPr>
        <w:t xml:space="preserve"> </w:t>
      </w:r>
    </w:p>
    <w:p w14:paraId="59936608" w14:textId="77777777" w:rsidR="00560DE7" w:rsidRPr="00560DE7" w:rsidRDefault="00560DE7" w:rsidP="00DB3C4E"/>
    <w:p w14:paraId="770003DD" w14:textId="22EA887B" w:rsidR="0070701E" w:rsidRPr="004108D0" w:rsidRDefault="0070701E" w:rsidP="00DB3C4E">
      <w:pPr>
        <w:spacing w:line="360" w:lineRule="auto"/>
        <w:rPr>
          <w:rFonts w:ascii="Lato" w:hAnsi="Lato" w:cstheme="minorHAnsi"/>
          <w:sz w:val="22"/>
          <w:szCs w:val="22"/>
        </w:rPr>
      </w:pPr>
      <w:r w:rsidRPr="004108D0">
        <w:rPr>
          <w:rFonts w:ascii="Lato" w:hAnsi="Lato" w:cstheme="minorHAnsi"/>
          <w:sz w:val="22"/>
          <w:szCs w:val="22"/>
        </w:rPr>
        <w:t xml:space="preserve">W przypadku, gdy woda nie spełnia wymagań w zakresie wybranych parametrów oraz nie jest możliwe przywrócenie jej jakości do stanu wymaganego przepisami w terminie 30 dni, podmioty prowadzące zbiorowe zaopatrzenie w wodę mogą wystąpić o zgodę na odstępstwo od tych wymagań. Udzielenie zgody umożliwia podmiotom produkującym wodę stopniowe doprowadzanie wody do właściwej </w:t>
      </w:r>
      <w:r w:rsidR="006E5B85">
        <w:rPr>
          <w:rFonts w:ascii="Lato" w:hAnsi="Lato" w:cstheme="minorHAnsi"/>
          <w:sz w:val="22"/>
          <w:szCs w:val="22"/>
        </w:rPr>
        <w:t xml:space="preserve">jakości </w:t>
      </w:r>
      <w:r w:rsidRPr="004108D0">
        <w:rPr>
          <w:rFonts w:ascii="Lato" w:hAnsi="Lato" w:cstheme="minorHAnsi"/>
          <w:sz w:val="22"/>
          <w:szCs w:val="22"/>
        </w:rPr>
        <w:t>pod warunkiem spełnienia dwóch przesłanek, tj.  braku potencjalnego zagrożenia dla zdrowia ludzi w związku z utrzymującym się przekroczeniem oraz niemożność realizacji zaopatrzenia w wodę o właściwej jakości za pomocą innych środków.</w:t>
      </w:r>
    </w:p>
    <w:p w14:paraId="56A11E09" w14:textId="77777777" w:rsidR="0070701E" w:rsidRPr="004108D0" w:rsidRDefault="0070701E" w:rsidP="00DB3C4E">
      <w:pPr>
        <w:spacing w:line="360" w:lineRule="auto"/>
        <w:rPr>
          <w:rFonts w:ascii="Lato" w:hAnsi="Lato" w:cstheme="minorHAnsi"/>
          <w:sz w:val="22"/>
          <w:szCs w:val="22"/>
        </w:rPr>
      </w:pPr>
      <w:r w:rsidRPr="004108D0">
        <w:rPr>
          <w:rFonts w:ascii="Lato" w:hAnsi="Lato" w:cstheme="minorHAnsi"/>
          <w:sz w:val="22"/>
          <w:szCs w:val="22"/>
        </w:rPr>
        <w:t>Decyzje  podejmowane przez właściwych państwowych powiatowych inspektorów sanitarnych każdorazowo uwzględniały zalecenia ekspertyz wydanych prze Instytut Naukowo-Badawczy dot. wpływu na zdrowie konsumentów ponadnormatywnych stężeń parametrów w wodzie przeznaczonej do spożycia.</w:t>
      </w:r>
    </w:p>
    <w:p w14:paraId="7E0A16B5" w14:textId="77777777" w:rsidR="0070701E" w:rsidRPr="004108D0" w:rsidRDefault="0070701E" w:rsidP="00DB3C4E">
      <w:pPr>
        <w:spacing w:line="360" w:lineRule="auto"/>
        <w:rPr>
          <w:rFonts w:ascii="Lato" w:hAnsi="Lato" w:cstheme="minorHAnsi"/>
          <w:sz w:val="22"/>
          <w:szCs w:val="22"/>
        </w:rPr>
      </w:pPr>
      <w:r w:rsidRPr="004108D0">
        <w:rPr>
          <w:rFonts w:ascii="Lato" w:hAnsi="Lato" w:cstheme="minorHAnsi"/>
          <w:sz w:val="22"/>
          <w:szCs w:val="22"/>
        </w:rPr>
        <w:lastRenderedPageBreak/>
        <w:t>W 2025 roku obowiązywały trzy odstępstwa od  wymaganej jakości wody do spożycia przez ludzi i dotyczyły one małych, lokalnych wodociągów, w tym:</w:t>
      </w:r>
    </w:p>
    <w:p w14:paraId="64161CFB" w14:textId="77777777" w:rsidR="0070701E" w:rsidRPr="002F181A" w:rsidRDefault="0070701E">
      <w:pPr>
        <w:pStyle w:val="Akapitzlist"/>
        <w:numPr>
          <w:ilvl w:val="0"/>
          <w:numId w:val="41"/>
        </w:numPr>
        <w:spacing w:line="360" w:lineRule="auto"/>
        <w:rPr>
          <w:rFonts w:ascii="Lato" w:eastAsia="TimesNewRomanPSMT" w:hAnsi="Lato" w:cstheme="minorHAnsi"/>
          <w:sz w:val="22"/>
          <w:szCs w:val="22"/>
        </w:rPr>
      </w:pPr>
      <w:r w:rsidRPr="002F181A">
        <w:rPr>
          <w:rFonts w:ascii="Lato" w:hAnsi="Lato" w:cstheme="minorHAnsi"/>
          <w:sz w:val="22"/>
          <w:szCs w:val="22"/>
        </w:rPr>
        <w:t xml:space="preserve">przyznane w kwietniu 2024 roku odstępstwo w zakresie metabolitów pestycydu </w:t>
      </w:r>
      <w:proofErr w:type="spellStart"/>
      <w:r w:rsidRPr="002F181A">
        <w:rPr>
          <w:rFonts w:ascii="Lato" w:hAnsi="Lato" w:cstheme="minorHAnsi"/>
          <w:sz w:val="22"/>
          <w:szCs w:val="22"/>
        </w:rPr>
        <w:t>chloridazon</w:t>
      </w:r>
      <w:proofErr w:type="spellEnd"/>
      <w:r w:rsidRPr="002F181A">
        <w:rPr>
          <w:rFonts w:ascii="Lato" w:hAnsi="Lato" w:cstheme="minorHAnsi"/>
          <w:sz w:val="22"/>
          <w:szCs w:val="22"/>
        </w:rPr>
        <w:t xml:space="preserve"> i sumy pestycydów </w:t>
      </w:r>
      <w:r>
        <w:rPr>
          <w:rFonts w:ascii="Lato" w:hAnsi="Lato" w:cstheme="minorHAnsi"/>
          <w:sz w:val="22"/>
          <w:szCs w:val="22"/>
        </w:rPr>
        <w:t xml:space="preserve">- </w:t>
      </w:r>
      <w:r w:rsidRPr="002F181A">
        <w:rPr>
          <w:rFonts w:ascii="Lato" w:hAnsi="Lato" w:cstheme="minorHAnsi"/>
          <w:sz w:val="22"/>
          <w:szCs w:val="22"/>
        </w:rPr>
        <w:t>wodociąg Żabów</w:t>
      </w:r>
      <w:r>
        <w:rPr>
          <w:rFonts w:ascii="Lato" w:hAnsi="Lato" w:cstheme="minorHAnsi"/>
          <w:sz w:val="22"/>
          <w:szCs w:val="22"/>
        </w:rPr>
        <w:t>,</w:t>
      </w:r>
      <w:r w:rsidRPr="002F181A">
        <w:rPr>
          <w:rFonts w:ascii="Lato" w:hAnsi="Lato" w:cstheme="minorHAnsi"/>
          <w:sz w:val="22"/>
          <w:szCs w:val="22"/>
        </w:rPr>
        <w:t xml:space="preserve"> pow. pyrzycki</w:t>
      </w:r>
      <w:r>
        <w:rPr>
          <w:rFonts w:ascii="Lato" w:hAnsi="Lato" w:cstheme="minorHAnsi"/>
          <w:sz w:val="22"/>
          <w:szCs w:val="22"/>
        </w:rPr>
        <w:t>,</w:t>
      </w:r>
    </w:p>
    <w:p w14:paraId="3F62B382" w14:textId="77777777" w:rsidR="0070701E" w:rsidRPr="002F181A" w:rsidRDefault="0070701E">
      <w:pPr>
        <w:pStyle w:val="Akapitzlist"/>
        <w:numPr>
          <w:ilvl w:val="0"/>
          <w:numId w:val="41"/>
        </w:numPr>
        <w:spacing w:line="360" w:lineRule="auto"/>
        <w:rPr>
          <w:rFonts w:ascii="Lato" w:eastAsia="TimesNewRomanPSMT" w:hAnsi="Lato" w:cstheme="minorHAnsi"/>
          <w:sz w:val="22"/>
          <w:szCs w:val="22"/>
        </w:rPr>
      </w:pPr>
      <w:r w:rsidRPr="002F181A">
        <w:rPr>
          <w:rFonts w:ascii="Lato" w:hAnsi="Lato" w:cstheme="minorHAnsi"/>
          <w:sz w:val="22"/>
          <w:szCs w:val="22"/>
        </w:rPr>
        <w:t xml:space="preserve">przyznane w sierpniu 2025 roku odstępstwo w zakresie azotanów </w:t>
      </w:r>
      <w:r>
        <w:rPr>
          <w:rFonts w:ascii="Lato" w:hAnsi="Lato" w:cstheme="minorHAnsi"/>
          <w:sz w:val="22"/>
          <w:szCs w:val="22"/>
        </w:rPr>
        <w:t xml:space="preserve">- </w:t>
      </w:r>
      <w:r w:rsidRPr="002F181A">
        <w:rPr>
          <w:rFonts w:ascii="Lato" w:hAnsi="Lato" w:cstheme="minorHAnsi"/>
          <w:sz w:val="22"/>
          <w:szCs w:val="22"/>
        </w:rPr>
        <w:t>wodociąg Rzyszczewo</w:t>
      </w:r>
      <w:r>
        <w:rPr>
          <w:rFonts w:ascii="Lato" w:hAnsi="Lato" w:cstheme="minorHAnsi"/>
          <w:sz w:val="22"/>
          <w:szCs w:val="22"/>
        </w:rPr>
        <w:t xml:space="preserve">, </w:t>
      </w:r>
      <w:r w:rsidRPr="002F181A">
        <w:rPr>
          <w:rFonts w:ascii="Lato" w:hAnsi="Lato" w:cstheme="minorHAnsi"/>
          <w:sz w:val="22"/>
          <w:szCs w:val="22"/>
        </w:rPr>
        <w:t>pow. sławieński</w:t>
      </w:r>
      <w:r>
        <w:rPr>
          <w:rFonts w:ascii="Lato" w:hAnsi="Lato" w:cstheme="minorHAnsi"/>
          <w:sz w:val="22"/>
          <w:szCs w:val="22"/>
        </w:rPr>
        <w:t>,</w:t>
      </w:r>
    </w:p>
    <w:p w14:paraId="709EFA87" w14:textId="789ADE63" w:rsidR="0070701E" w:rsidRPr="004D5CBE" w:rsidRDefault="0070701E">
      <w:pPr>
        <w:pStyle w:val="Akapitzlist"/>
        <w:numPr>
          <w:ilvl w:val="0"/>
          <w:numId w:val="41"/>
        </w:numPr>
        <w:spacing w:line="360" w:lineRule="auto"/>
        <w:rPr>
          <w:rFonts w:ascii="Lato" w:eastAsia="TimesNewRomanPSMT" w:hAnsi="Lato" w:cstheme="minorHAnsi"/>
          <w:sz w:val="22"/>
          <w:szCs w:val="22"/>
        </w:rPr>
      </w:pPr>
      <w:r w:rsidRPr="002F181A">
        <w:rPr>
          <w:rFonts w:ascii="Lato" w:hAnsi="Lato" w:cstheme="minorHAnsi"/>
          <w:sz w:val="22"/>
          <w:szCs w:val="22"/>
        </w:rPr>
        <w:t xml:space="preserve">przyznane w październiku 2025 roku odstępstwo w zakresie metabolitów pestycydu </w:t>
      </w:r>
      <w:proofErr w:type="spellStart"/>
      <w:r w:rsidRPr="002F181A">
        <w:rPr>
          <w:rFonts w:ascii="Lato" w:hAnsi="Lato" w:cstheme="minorHAnsi"/>
          <w:sz w:val="22"/>
          <w:szCs w:val="22"/>
        </w:rPr>
        <w:t>chloridazon</w:t>
      </w:r>
      <w:proofErr w:type="spellEnd"/>
      <w:r w:rsidRPr="002F181A">
        <w:rPr>
          <w:rFonts w:ascii="Lato" w:hAnsi="Lato" w:cstheme="minorHAnsi"/>
          <w:sz w:val="22"/>
          <w:szCs w:val="22"/>
        </w:rPr>
        <w:t xml:space="preserve"> i sumy pestycydów </w:t>
      </w:r>
      <w:r>
        <w:rPr>
          <w:rFonts w:ascii="Lato" w:hAnsi="Lato" w:cstheme="minorHAnsi"/>
          <w:sz w:val="22"/>
          <w:szCs w:val="22"/>
        </w:rPr>
        <w:t xml:space="preserve">- </w:t>
      </w:r>
      <w:r w:rsidRPr="002F181A">
        <w:rPr>
          <w:rFonts w:ascii="Lato" w:hAnsi="Lato" w:cstheme="minorHAnsi"/>
          <w:sz w:val="22"/>
          <w:szCs w:val="22"/>
        </w:rPr>
        <w:t xml:space="preserve"> wodociąg Kamionka</w:t>
      </w:r>
      <w:r w:rsidRPr="002F181A">
        <w:rPr>
          <w:rFonts w:ascii="Lato" w:eastAsia="TimesNewRomanPSMT" w:hAnsi="Lato" w:cstheme="minorHAnsi"/>
          <w:sz w:val="22"/>
          <w:szCs w:val="22"/>
        </w:rPr>
        <w:t xml:space="preserve">, </w:t>
      </w:r>
      <w:r w:rsidRPr="002F181A">
        <w:rPr>
          <w:rFonts w:ascii="Lato" w:hAnsi="Lato" w:cstheme="minorHAnsi"/>
          <w:sz w:val="22"/>
          <w:szCs w:val="22"/>
        </w:rPr>
        <w:t>pow. gryfiński.</w:t>
      </w:r>
    </w:p>
    <w:p w14:paraId="1DFE0754" w14:textId="7C2F0829" w:rsidR="0070701E" w:rsidRDefault="0070701E">
      <w:pPr>
        <w:pStyle w:val="Nagwek3"/>
        <w:numPr>
          <w:ilvl w:val="1"/>
          <w:numId w:val="19"/>
        </w:numPr>
        <w:rPr>
          <w:color w:val="auto"/>
        </w:rPr>
      </w:pPr>
      <w:bookmarkStart w:id="141" w:name="_Toc225859075"/>
      <w:r w:rsidRPr="004108D0">
        <w:rPr>
          <w:color w:val="auto"/>
        </w:rPr>
        <w:t>Substancje promieniotwórcze w wodzie przeznaczonej do spożycia</w:t>
      </w:r>
      <w:bookmarkEnd w:id="141"/>
      <w:r w:rsidRPr="004108D0">
        <w:rPr>
          <w:color w:val="auto"/>
        </w:rPr>
        <w:t xml:space="preserve"> </w:t>
      </w:r>
    </w:p>
    <w:p w14:paraId="47AFF091" w14:textId="77777777" w:rsidR="00560DE7" w:rsidRPr="00560DE7" w:rsidRDefault="00560DE7" w:rsidP="00DB3C4E"/>
    <w:p w14:paraId="1EB93746" w14:textId="735F7734" w:rsidR="0070701E" w:rsidRPr="004D5CBE" w:rsidRDefault="0070701E" w:rsidP="00DB3C4E">
      <w:pPr>
        <w:spacing w:line="360" w:lineRule="auto"/>
        <w:rPr>
          <w:rFonts w:ascii="Lato" w:hAnsi="Lato" w:cstheme="minorHAnsi"/>
          <w:color w:val="000000" w:themeColor="text1"/>
          <w:sz w:val="22"/>
          <w:szCs w:val="22"/>
        </w:rPr>
      </w:pPr>
      <w:r w:rsidRPr="004108D0">
        <w:rPr>
          <w:rFonts w:ascii="Lato" w:hAnsi="Lato" w:cstheme="minorHAnsi"/>
          <w:color w:val="000000" w:themeColor="text1"/>
          <w:sz w:val="22"/>
          <w:szCs w:val="22"/>
        </w:rPr>
        <w:t>W ramach nadzoru sanitarnego prowadzony jest monitoring substancji promieniotwórczych w</w:t>
      </w:r>
      <w:r w:rsidR="00FE3EEE">
        <w:rPr>
          <w:rFonts w:ascii="Lato" w:hAnsi="Lato" w:cstheme="minorHAnsi"/>
          <w:color w:val="000000" w:themeColor="text1"/>
          <w:sz w:val="22"/>
          <w:szCs w:val="22"/>
        </w:rPr>
        <w:t> </w:t>
      </w:r>
      <w:r w:rsidRPr="004108D0">
        <w:rPr>
          <w:rFonts w:ascii="Lato" w:hAnsi="Lato" w:cstheme="minorHAnsi"/>
          <w:color w:val="000000" w:themeColor="text1"/>
          <w:sz w:val="22"/>
          <w:szCs w:val="22"/>
        </w:rPr>
        <w:t>wodzie przeznaczonej do spożycia.  Prowadzone badania określają  ryzyko dla zdrowia ludzkiego z uwagi na występowanie tego zagrożenia. W 2025 roku na terenie woj. zachodniopomorskiego nie stwierdzono zagrożenia, w związku z narażeniem na substancje promieniotwórcze pochodzące z wody przeznaczonej do spożycia przez ludzi.</w:t>
      </w:r>
    </w:p>
    <w:p w14:paraId="428A3785" w14:textId="10562169" w:rsidR="0070701E" w:rsidRDefault="0070701E">
      <w:pPr>
        <w:pStyle w:val="Nagwek3"/>
        <w:numPr>
          <w:ilvl w:val="1"/>
          <w:numId w:val="19"/>
        </w:numPr>
        <w:rPr>
          <w:color w:val="auto"/>
        </w:rPr>
      </w:pPr>
      <w:bookmarkStart w:id="142" w:name="_Toc225859076"/>
      <w:r w:rsidRPr="004108D0">
        <w:rPr>
          <w:color w:val="auto"/>
        </w:rPr>
        <w:t>Ocena jakości wody przeznaczonej do spożycia</w:t>
      </w:r>
      <w:bookmarkEnd w:id="142"/>
    </w:p>
    <w:p w14:paraId="53D6C653" w14:textId="77777777" w:rsidR="00560DE7" w:rsidRPr="00560DE7" w:rsidRDefault="00560DE7" w:rsidP="00DB3C4E"/>
    <w:p w14:paraId="25756B16" w14:textId="5EB1B6BF" w:rsidR="0070701E" w:rsidRPr="004108D0" w:rsidRDefault="0070701E" w:rsidP="00DB3C4E">
      <w:pPr>
        <w:spacing w:line="360" w:lineRule="auto"/>
        <w:rPr>
          <w:rFonts w:ascii="Lato" w:eastAsia="MyriadPro-Regular" w:hAnsi="Lato" w:cstheme="minorHAnsi"/>
          <w:sz w:val="22"/>
          <w:szCs w:val="22"/>
        </w:rPr>
      </w:pPr>
      <w:r w:rsidRPr="004108D0">
        <w:rPr>
          <w:rFonts w:ascii="Lato" w:hAnsi="Lato" w:cstheme="minorHAnsi"/>
          <w:color w:val="000000" w:themeColor="text1"/>
          <w:sz w:val="22"/>
          <w:szCs w:val="22"/>
        </w:rPr>
        <w:t>Podobnie jak w latach ubiegłych na terenie województwa, nie stwierdzono w zbiorowym zaopatrzeniu wody przypadków chorób i zatruć związanych z jej spożyciem. W 2025 roku odnotowano ok. dwukrotnie mniej przypadków zanieczyszczenia wody. Tak jak w latach poprzednich, najmniej przypadków zanieczyszczeń odnotowano w wodociągach/ujęciach o</w:t>
      </w:r>
      <w:r w:rsidR="00DB3C4E">
        <w:rPr>
          <w:rFonts w:ascii="Lato" w:hAnsi="Lato" w:cstheme="minorHAnsi"/>
          <w:color w:val="000000" w:themeColor="text1"/>
          <w:sz w:val="22"/>
          <w:szCs w:val="22"/>
        </w:rPr>
        <w:t> </w:t>
      </w:r>
      <w:r w:rsidRPr="004108D0">
        <w:rPr>
          <w:rFonts w:ascii="Lato" w:hAnsi="Lato" w:cstheme="minorHAnsi"/>
          <w:color w:val="000000" w:themeColor="text1"/>
          <w:sz w:val="22"/>
          <w:szCs w:val="22"/>
        </w:rPr>
        <w:t>największej produkcji wody, które zaopatrują 30 % mieszkańców naszego województwa. Natomiast wodociągi o małej produkcji dobowej ≤ 100 m</w:t>
      </w:r>
      <w:r w:rsidRPr="004108D0">
        <w:rPr>
          <w:rFonts w:ascii="Lato" w:hAnsi="Lato" w:cstheme="minorHAnsi"/>
          <w:color w:val="000000" w:themeColor="text1"/>
          <w:sz w:val="22"/>
          <w:szCs w:val="22"/>
          <w:vertAlign w:val="superscript"/>
        </w:rPr>
        <w:t>3</w:t>
      </w:r>
      <w:r w:rsidRPr="004108D0">
        <w:rPr>
          <w:rFonts w:ascii="Lato" w:hAnsi="Lato" w:cstheme="minorHAnsi"/>
          <w:color w:val="000000" w:themeColor="text1"/>
          <w:sz w:val="22"/>
          <w:szCs w:val="22"/>
        </w:rPr>
        <w:t>/d, zaopatrujące ok. 10</w:t>
      </w:r>
      <w:r w:rsidR="00DB3C4E">
        <w:rPr>
          <w:rFonts w:ascii="Lato" w:hAnsi="Lato" w:cstheme="minorHAnsi"/>
          <w:color w:val="000000" w:themeColor="text1"/>
          <w:sz w:val="22"/>
          <w:szCs w:val="22"/>
        </w:rPr>
        <w:t> </w:t>
      </w:r>
      <w:r w:rsidRPr="004108D0">
        <w:rPr>
          <w:rFonts w:ascii="Lato" w:hAnsi="Lato" w:cstheme="minorHAnsi"/>
          <w:color w:val="000000" w:themeColor="text1"/>
          <w:sz w:val="22"/>
          <w:szCs w:val="22"/>
        </w:rPr>
        <w:t>% mieszkańców, częściej wykazywały niestabilne parametry jakościowe wody.</w:t>
      </w:r>
      <w:r w:rsidRPr="004108D0">
        <w:rPr>
          <w:rFonts w:ascii="Lato" w:hAnsi="Lato" w:cstheme="minorHAnsi"/>
          <w:noProof/>
          <w:color w:val="00B0F0"/>
          <w:sz w:val="22"/>
          <w:szCs w:val="22"/>
        </w:rPr>
        <mc:AlternateContent>
          <mc:Choice Requires="wps">
            <w:drawing>
              <wp:anchor distT="0" distB="0" distL="114935" distR="114935" simplePos="0" relativeHeight="251666432" behindDoc="0" locked="0" layoutInCell="1" allowOverlap="1" wp14:anchorId="560F4DF6" wp14:editId="242ECAE2">
                <wp:simplePos x="0" y="0"/>
                <wp:positionH relativeFrom="column">
                  <wp:posOffset>5320665</wp:posOffset>
                </wp:positionH>
                <wp:positionV relativeFrom="paragraph">
                  <wp:posOffset>1844040</wp:posOffset>
                </wp:positionV>
                <wp:extent cx="144145" cy="226060"/>
                <wp:effectExtent l="635" t="4445" r="7620" b="7620"/>
                <wp:wrapNone/>
                <wp:docPr id="7455508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26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602AA" w14:textId="77777777" w:rsidR="0070701E" w:rsidRDefault="0070701E" w:rsidP="0070701E">
                            <w:pPr>
                              <w:jc w:val="both"/>
                              <w:rPr>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F4DF6" id="_x0000_t202" coordsize="21600,21600" o:spt="202" path="m,l,21600r21600,l21600,xe">
                <v:stroke joinstyle="miter"/>
                <v:path gradientshapeok="t" o:connecttype="rect"/>
              </v:shapetype>
              <v:shape id="Text Box 4" o:spid="_x0000_s1026" type="#_x0000_t202" style="position:absolute;margin-left:418.95pt;margin-top:145.2pt;width:11.35pt;height:17.8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" stroked="f">
                <v:fill opacity="0"/>
                <v:textbox inset="0,0,0,0">
                  <w:txbxContent>
                    <w:p w14:paraId="010602AA" w14:textId="77777777" w:rsidR="0070701E" w:rsidRDefault="0070701E" w:rsidP="0070701E">
                      <w:pPr>
                        <w:jc w:val="both"/>
                        <w:rPr>
                          <w:b/>
                          <w:sz w:val="18"/>
                          <w:szCs w:val="18"/>
                        </w:rPr>
                      </w:pPr>
                    </w:p>
                  </w:txbxContent>
                </v:textbox>
              </v:shape>
            </w:pict>
          </mc:Fallback>
        </mc:AlternateContent>
      </w:r>
      <w:r w:rsidRPr="004108D0">
        <w:rPr>
          <w:rFonts w:ascii="Lato" w:hAnsi="Lato" w:cstheme="minorHAnsi"/>
          <w:color w:val="000000" w:themeColor="text1"/>
          <w:sz w:val="22"/>
          <w:szCs w:val="22"/>
        </w:rPr>
        <w:t xml:space="preserve"> </w:t>
      </w:r>
      <w:r w:rsidR="007216B6">
        <w:rPr>
          <w:rFonts w:ascii="Lato" w:hAnsi="Lato" w:cstheme="minorHAnsi"/>
          <w:color w:val="000000" w:themeColor="text1"/>
          <w:sz w:val="22"/>
          <w:szCs w:val="22"/>
        </w:rPr>
        <w:t>S</w:t>
      </w:r>
      <w:r w:rsidRPr="004108D0">
        <w:rPr>
          <w:rFonts w:ascii="Lato" w:hAnsi="Lato" w:cstheme="minorHAnsi"/>
          <w:color w:val="000000" w:themeColor="text1"/>
          <w:sz w:val="22"/>
          <w:szCs w:val="22"/>
        </w:rPr>
        <w:t>pośród wszystkich 1 008 obiektów wodociągowych i indywidualnych ujęć, wodę o potwierdzonej tymczasowej niestabilnej jakości dostarczały łącznie 153 wodociągi (co jest porównywalne z</w:t>
      </w:r>
      <w:r w:rsidR="00FE3EEE">
        <w:rPr>
          <w:rFonts w:ascii="Lato" w:hAnsi="Lato" w:cstheme="minorHAnsi"/>
          <w:color w:val="000000" w:themeColor="text1"/>
          <w:sz w:val="22"/>
          <w:szCs w:val="22"/>
        </w:rPr>
        <w:t> </w:t>
      </w:r>
      <w:r w:rsidRPr="004108D0">
        <w:rPr>
          <w:rFonts w:ascii="Lato" w:hAnsi="Lato" w:cstheme="minorHAnsi"/>
          <w:color w:val="000000" w:themeColor="text1"/>
          <w:sz w:val="22"/>
          <w:szCs w:val="22"/>
        </w:rPr>
        <w:t xml:space="preserve">rokiem 2024). </w:t>
      </w:r>
      <w:r w:rsidRPr="004108D0">
        <w:rPr>
          <w:rFonts w:ascii="Lato" w:hAnsi="Lato" w:cs="Calibri"/>
          <w:sz w:val="22"/>
          <w:szCs w:val="22"/>
        </w:rPr>
        <w:t xml:space="preserve">Najczęściej kwestionowane w wodzie parametry to: żelazo, mangan, jon amonowy oraz podwyższona mętność. </w:t>
      </w:r>
      <w:r w:rsidRPr="004108D0">
        <w:rPr>
          <w:rFonts w:ascii="Lato" w:eastAsia="MyriadPro-Regular" w:hAnsi="Lato" w:cs="Calibri"/>
          <w:sz w:val="22"/>
          <w:szCs w:val="22"/>
        </w:rPr>
        <w:t xml:space="preserve">Są to parametry fizykochemiczne z grupy tzw. parametrów wskaźnikowych, które nie mają bezpośredniego wpływu na zdrowie konsumenta, są jednak ważnym wskaźnikiem </w:t>
      </w:r>
      <w:r w:rsidRPr="004108D0">
        <w:rPr>
          <w:rFonts w:ascii="Lato" w:hAnsi="Lato" w:cs="Calibri"/>
          <w:sz w:val="22"/>
          <w:szCs w:val="22"/>
        </w:rPr>
        <w:t xml:space="preserve">niewłaściwie prowadzonych procesów uzdatniania wody (odżelazianie i </w:t>
      </w:r>
      <w:proofErr w:type="spellStart"/>
      <w:r w:rsidRPr="004108D0">
        <w:rPr>
          <w:rFonts w:ascii="Lato" w:hAnsi="Lato" w:cs="Calibri"/>
          <w:sz w:val="22"/>
          <w:szCs w:val="22"/>
        </w:rPr>
        <w:t>odmanganianie</w:t>
      </w:r>
      <w:proofErr w:type="spellEnd"/>
      <w:r w:rsidRPr="004108D0">
        <w:rPr>
          <w:rFonts w:ascii="Lato" w:hAnsi="Lato" w:cs="Calibri"/>
          <w:sz w:val="22"/>
          <w:szCs w:val="22"/>
        </w:rPr>
        <w:t xml:space="preserve">) lub dystrybucji wody. Natomiast </w:t>
      </w:r>
      <w:r w:rsidRPr="004108D0">
        <w:rPr>
          <w:rFonts w:ascii="Lato" w:eastAsia="MyriadPro-Regular" w:hAnsi="Lato" w:cstheme="minorHAnsi"/>
          <w:color w:val="000000" w:themeColor="text1"/>
          <w:sz w:val="22"/>
          <w:szCs w:val="22"/>
        </w:rPr>
        <w:t xml:space="preserve">najczęściej stwierdzanymi wskaźnikami zanieczyszczenia mikrobiologicznego, których obecność wymagała podjęcia natychmiastowych działań były </w:t>
      </w:r>
      <w:r w:rsidRPr="004108D0">
        <w:rPr>
          <w:rFonts w:ascii="Lato" w:eastAsia="MyriadPro-Regular" w:hAnsi="Lato" w:cstheme="minorHAnsi"/>
          <w:bCs/>
          <w:color w:val="000000" w:themeColor="text1"/>
          <w:sz w:val="22"/>
          <w:szCs w:val="22"/>
        </w:rPr>
        <w:t>bakterie grupy coli</w:t>
      </w:r>
      <w:r w:rsidRPr="004108D0">
        <w:rPr>
          <w:rFonts w:ascii="Lato" w:hAnsi="Lato" w:cstheme="minorHAnsi"/>
          <w:color w:val="000000" w:themeColor="text1"/>
          <w:sz w:val="22"/>
          <w:szCs w:val="22"/>
        </w:rPr>
        <w:t xml:space="preserve">.  </w:t>
      </w:r>
      <w:r w:rsidRPr="004108D0">
        <w:rPr>
          <w:rFonts w:ascii="Lato" w:eastAsia="MyriadPro-Regular" w:hAnsi="Lato" w:cstheme="minorHAnsi"/>
          <w:sz w:val="22"/>
          <w:szCs w:val="22"/>
        </w:rPr>
        <w:t xml:space="preserve">Pogorszenie jakości wody w zakresie mikrobiologicznym spowodowane było głównie awariami urządzeń, brakiem właściwej dezynfekcji po dokonanej konserwacji, złym stanem technicznym instalacji wewnętrznej, </w:t>
      </w:r>
      <w:r w:rsidRPr="004108D0">
        <w:rPr>
          <w:rFonts w:ascii="Lato" w:eastAsia="MyriadPro-Regular" w:hAnsi="Lato" w:cstheme="minorHAnsi"/>
          <w:sz w:val="22"/>
          <w:szCs w:val="22"/>
        </w:rPr>
        <w:lastRenderedPageBreak/>
        <w:t>małym rozbiorem wody, brakiem regularnego płukania sieci, co mogło być skutkiem wtórnego zanieczyszczenia w związku z odkładaniem się w przewodach związków żelaza i manganu.</w:t>
      </w:r>
    </w:p>
    <w:p w14:paraId="2499E690" w14:textId="77777777" w:rsidR="0070701E" w:rsidRDefault="0070701E" w:rsidP="00DB3C4E">
      <w:pPr>
        <w:spacing w:line="276" w:lineRule="auto"/>
        <w:rPr>
          <w:rFonts w:ascii="Lato" w:hAnsi="Lato" w:cstheme="minorHAnsi"/>
          <w:color w:val="000000" w:themeColor="text1"/>
        </w:rPr>
      </w:pPr>
    </w:p>
    <w:p w14:paraId="3F2EE54C" w14:textId="117F2E5E" w:rsidR="0070701E" w:rsidRPr="004D5CBE" w:rsidRDefault="002D3F3F" w:rsidP="00DB3C4E">
      <w:pPr>
        <w:spacing w:line="360" w:lineRule="auto"/>
        <w:rPr>
          <w:rFonts w:ascii="Lato" w:hAnsi="Lato" w:cstheme="minorHAnsi"/>
          <w:color w:val="000000" w:themeColor="text1"/>
          <w:sz w:val="22"/>
          <w:szCs w:val="22"/>
        </w:rPr>
      </w:pPr>
      <w:r>
        <w:rPr>
          <w:rFonts w:ascii="Lato" w:hAnsi="Lato" w:cstheme="minorHAnsi"/>
          <w:color w:val="000000" w:themeColor="text1"/>
          <w:sz w:val="22"/>
          <w:szCs w:val="22"/>
        </w:rPr>
        <w:t>Monitoring jakości wody do spożycia pozwolił na wykrycie ww. niezgodności i podjęcie działań naprawczych, co zapewniło utrzymanie j</w:t>
      </w:r>
      <w:r w:rsidR="0070701E" w:rsidRPr="004D5CBE">
        <w:rPr>
          <w:rFonts w:ascii="Lato" w:hAnsi="Lato" w:cstheme="minorHAnsi"/>
          <w:color w:val="000000" w:themeColor="text1"/>
          <w:sz w:val="22"/>
          <w:szCs w:val="22"/>
        </w:rPr>
        <w:t>ej jakości na poziomie spełniającym wymogi bezpieczeństwa zdrowotnego.</w:t>
      </w:r>
    </w:p>
    <w:p w14:paraId="051F7D4A" w14:textId="77777777" w:rsidR="0070701E" w:rsidRPr="002F181A" w:rsidRDefault="0070701E" w:rsidP="00DB3C4E">
      <w:pPr>
        <w:spacing w:line="276" w:lineRule="auto"/>
        <w:rPr>
          <w:rFonts w:ascii="Lato" w:hAnsi="Lato" w:cstheme="minorHAnsi"/>
          <w:color w:val="000000" w:themeColor="text1"/>
        </w:rPr>
      </w:pPr>
    </w:p>
    <w:p w14:paraId="241629D8" w14:textId="2EC2B0EF" w:rsidR="0070701E" w:rsidRPr="004108D0" w:rsidRDefault="0070701E">
      <w:pPr>
        <w:pStyle w:val="Akapitzlist"/>
        <w:numPr>
          <w:ilvl w:val="0"/>
          <w:numId w:val="19"/>
        </w:numPr>
        <w:autoSpaceDE w:val="0"/>
        <w:autoSpaceDN w:val="0"/>
        <w:adjustRightInd w:val="0"/>
        <w:spacing w:line="276" w:lineRule="auto"/>
        <w:rPr>
          <w:rFonts w:ascii="Lato" w:eastAsia="MyriadPro-Regular" w:hAnsi="Lato" w:cstheme="minorHAnsi"/>
          <w:b/>
          <w:bCs/>
        </w:rPr>
      </w:pPr>
      <w:bookmarkStart w:id="143" w:name="_Toc225859077"/>
      <w:r w:rsidRPr="004108D0">
        <w:rPr>
          <w:rStyle w:val="Nagwek2Znak"/>
          <w:b/>
          <w:bCs/>
        </w:rPr>
        <w:t>Jakość ciepłej wody użytkowej</w:t>
      </w:r>
      <w:bookmarkEnd w:id="143"/>
    </w:p>
    <w:p w14:paraId="01501286" w14:textId="22A7EFE2" w:rsidR="0070701E" w:rsidRPr="002F181A" w:rsidRDefault="0070701E" w:rsidP="00DB3C4E">
      <w:pPr>
        <w:autoSpaceDE w:val="0"/>
        <w:autoSpaceDN w:val="0"/>
        <w:adjustRightInd w:val="0"/>
        <w:spacing w:line="276" w:lineRule="auto"/>
        <w:rPr>
          <w:rFonts w:ascii="Lato" w:eastAsia="MyriadPro-Regular" w:hAnsi="Lato" w:cstheme="minorHAnsi"/>
        </w:rPr>
      </w:pPr>
    </w:p>
    <w:p w14:paraId="77E343FE" w14:textId="64F176B4" w:rsidR="0070701E" w:rsidRPr="004108D0" w:rsidRDefault="003F268C" w:rsidP="00DB3C4E">
      <w:pPr>
        <w:spacing w:line="360" w:lineRule="auto"/>
        <w:rPr>
          <w:rFonts w:ascii="Lato" w:eastAsia="Calibri" w:hAnsi="Lato" w:cstheme="minorHAnsi"/>
          <w:sz w:val="22"/>
          <w:szCs w:val="22"/>
        </w:rPr>
      </w:pPr>
      <w:bookmarkStart w:id="144" w:name="_Hlk131590484"/>
      <w:r>
        <w:rPr>
          <w:rFonts w:ascii="Lato" w:eastAsia="Calibri" w:hAnsi="Lato" w:cstheme="minorHAnsi"/>
          <w:sz w:val="22"/>
          <w:szCs w:val="22"/>
        </w:rPr>
        <w:t>W i</w:t>
      </w:r>
      <w:r w:rsidR="0070701E" w:rsidRPr="004108D0">
        <w:rPr>
          <w:rFonts w:ascii="Lato" w:eastAsia="Calibri" w:hAnsi="Lato" w:cstheme="minorHAnsi"/>
          <w:sz w:val="22"/>
          <w:szCs w:val="22"/>
        </w:rPr>
        <w:t>nstalacj</w:t>
      </w:r>
      <w:r>
        <w:rPr>
          <w:rFonts w:ascii="Lato" w:eastAsia="Calibri" w:hAnsi="Lato" w:cstheme="minorHAnsi"/>
          <w:sz w:val="22"/>
          <w:szCs w:val="22"/>
        </w:rPr>
        <w:t>i</w:t>
      </w:r>
      <w:r w:rsidR="0070701E" w:rsidRPr="004108D0">
        <w:rPr>
          <w:rFonts w:ascii="Lato" w:eastAsia="Calibri" w:hAnsi="Lato" w:cstheme="minorHAnsi"/>
          <w:sz w:val="22"/>
          <w:szCs w:val="22"/>
        </w:rPr>
        <w:t xml:space="preserve"> ciepłej wody użytkowej mo</w:t>
      </w:r>
      <w:r>
        <w:rPr>
          <w:rFonts w:ascii="Lato" w:eastAsia="Calibri" w:hAnsi="Lato" w:cstheme="minorHAnsi"/>
          <w:sz w:val="22"/>
          <w:szCs w:val="22"/>
        </w:rPr>
        <w:t>gą</w:t>
      </w:r>
      <w:r w:rsidR="0070701E" w:rsidRPr="004108D0">
        <w:rPr>
          <w:rFonts w:ascii="Lato" w:eastAsia="Calibri" w:hAnsi="Lato" w:cstheme="minorHAnsi"/>
          <w:sz w:val="22"/>
          <w:szCs w:val="22"/>
        </w:rPr>
        <w:t xml:space="preserve"> </w:t>
      </w:r>
      <w:r w:rsidRPr="004108D0">
        <w:rPr>
          <w:rFonts w:ascii="Lato" w:eastAsia="Calibri" w:hAnsi="Lato" w:cstheme="minorHAnsi"/>
          <w:sz w:val="22"/>
          <w:szCs w:val="22"/>
        </w:rPr>
        <w:t>występowa</w:t>
      </w:r>
      <w:r>
        <w:rPr>
          <w:rFonts w:ascii="Lato" w:eastAsia="Calibri" w:hAnsi="Lato" w:cstheme="minorHAnsi"/>
          <w:sz w:val="22"/>
          <w:szCs w:val="22"/>
        </w:rPr>
        <w:t xml:space="preserve">ć </w:t>
      </w:r>
      <w:r w:rsidR="0070701E" w:rsidRPr="004108D0">
        <w:rPr>
          <w:rFonts w:ascii="Lato" w:eastAsia="Calibri" w:hAnsi="Lato" w:cstheme="minorHAnsi"/>
          <w:sz w:val="22"/>
          <w:szCs w:val="22"/>
        </w:rPr>
        <w:t>i namnaża</w:t>
      </w:r>
      <w:r>
        <w:rPr>
          <w:rFonts w:ascii="Lato" w:eastAsia="Calibri" w:hAnsi="Lato" w:cstheme="minorHAnsi"/>
          <w:sz w:val="22"/>
          <w:szCs w:val="22"/>
        </w:rPr>
        <w:t>ć</w:t>
      </w:r>
      <w:r w:rsidR="0070701E" w:rsidRPr="004108D0">
        <w:rPr>
          <w:rFonts w:ascii="Lato" w:eastAsia="Calibri" w:hAnsi="Lato" w:cstheme="minorHAnsi"/>
          <w:sz w:val="22"/>
          <w:szCs w:val="22"/>
        </w:rPr>
        <w:t xml:space="preserve"> się bakteri</w:t>
      </w:r>
      <w:r>
        <w:rPr>
          <w:rFonts w:ascii="Lato" w:eastAsia="Calibri" w:hAnsi="Lato" w:cstheme="minorHAnsi"/>
          <w:sz w:val="22"/>
          <w:szCs w:val="22"/>
        </w:rPr>
        <w:t>e</w:t>
      </w:r>
      <w:r w:rsidR="0070701E" w:rsidRPr="004108D0">
        <w:rPr>
          <w:rFonts w:ascii="Lato" w:eastAsia="Calibri" w:hAnsi="Lato" w:cstheme="minorHAnsi"/>
          <w:sz w:val="22"/>
          <w:szCs w:val="22"/>
        </w:rPr>
        <w:t xml:space="preserve"> z rodzaju Legionella</w:t>
      </w:r>
      <w:r>
        <w:rPr>
          <w:rFonts w:ascii="Lato" w:eastAsia="Calibri" w:hAnsi="Lato" w:cstheme="minorHAnsi"/>
          <w:sz w:val="22"/>
          <w:szCs w:val="22"/>
        </w:rPr>
        <w:t>. Zjawisku temu sprzyja m.in.</w:t>
      </w:r>
      <w:r w:rsidR="0070701E" w:rsidRPr="004108D0">
        <w:rPr>
          <w:rFonts w:ascii="Lato" w:eastAsia="Calibri" w:hAnsi="Lato" w:cstheme="minorHAnsi"/>
          <w:sz w:val="22"/>
          <w:szCs w:val="22"/>
        </w:rPr>
        <w:t xml:space="preserve"> gromadzenie się osadów, kamienia, rdzy i mułu w</w:t>
      </w:r>
      <w:r w:rsidR="00FE3EEE">
        <w:rPr>
          <w:rFonts w:ascii="Lato" w:eastAsia="Calibri" w:hAnsi="Lato" w:cstheme="minorHAnsi"/>
          <w:sz w:val="22"/>
          <w:szCs w:val="22"/>
        </w:rPr>
        <w:t> </w:t>
      </w:r>
      <w:r w:rsidR="0070701E" w:rsidRPr="004108D0">
        <w:rPr>
          <w:rFonts w:ascii="Lato" w:eastAsia="Calibri" w:hAnsi="Lato" w:cstheme="minorHAnsi"/>
          <w:sz w:val="22"/>
          <w:szCs w:val="22"/>
        </w:rPr>
        <w:t xml:space="preserve">instalacjach wodociągowych. Najpowszechniejszą drogą zakażenia </w:t>
      </w:r>
      <w:r w:rsidRPr="003F268C">
        <w:rPr>
          <w:rFonts w:ascii="Lato" w:eastAsia="Calibri" w:hAnsi="Lato" w:cstheme="minorHAnsi"/>
          <w:sz w:val="22"/>
          <w:szCs w:val="22"/>
        </w:rPr>
        <w:t xml:space="preserve">Legionella sp. </w:t>
      </w:r>
      <w:r w:rsidR="0070701E" w:rsidRPr="004108D0">
        <w:rPr>
          <w:rFonts w:ascii="Lato" w:eastAsia="Calibri" w:hAnsi="Lato" w:cstheme="minorHAnsi"/>
          <w:sz w:val="22"/>
          <w:szCs w:val="22"/>
        </w:rPr>
        <w:t xml:space="preserve">jest droga inhalacyjna, czyli wdychanie aerozolu wodno-powietrznego zawierającego bakterie. </w:t>
      </w:r>
    </w:p>
    <w:p w14:paraId="64B452A5" w14:textId="7FE8FFD7" w:rsidR="0070701E" w:rsidRPr="004108D0" w:rsidRDefault="0070701E" w:rsidP="00DB3C4E">
      <w:pPr>
        <w:spacing w:line="360" w:lineRule="auto"/>
        <w:rPr>
          <w:rFonts w:ascii="Lato" w:eastAsia="Calibri" w:hAnsi="Lato" w:cstheme="minorHAnsi"/>
          <w:sz w:val="22"/>
          <w:szCs w:val="22"/>
        </w:rPr>
      </w:pPr>
      <w:r w:rsidRPr="004108D0">
        <w:rPr>
          <w:rFonts w:ascii="Lato" w:eastAsia="Calibri" w:hAnsi="Lato" w:cstheme="minorHAnsi"/>
          <w:sz w:val="22"/>
          <w:szCs w:val="22"/>
        </w:rPr>
        <w:t>Organy Państwowej Inspekcji Sanitarnej nadzorowały jakość ciepłej wody w zakresie występowania bakterii z rodzaju Legionella sp. przede wszystkim w podmiotach wykonujących działalność leczniczą w rodzaju stacjonarne i całodobowe świadczenia zdrowotne, w</w:t>
      </w:r>
      <w:r w:rsidR="00DB3C4E">
        <w:rPr>
          <w:rFonts w:ascii="Lato" w:eastAsia="Calibri" w:hAnsi="Lato" w:cstheme="minorHAnsi"/>
          <w:sz w:val="22"/>
          <w:szCs w:val="22"/>
        </w:rPr>
        <w:t> </w:t>
      </w:r>
      <w:r w:rsidRPr="004108D0">
        <w:rPr>
          <w:rFonts w:ascii="Lato" w:eastAsia="Calibri" w:hAnsi="Lato" w:cstheme="minorHAnsi"/>
          <w:sz w:val="22"/>
          <w:szCs w:val="22"/>
        </w:rPr>
        <w:t xml:space="preserve">budynkach </w:t>
      </w:r>
      <w:r w:rsidRPr="004108D0">
        <w:rPr>
          <w:rFonts w:ascii="Lato" w:eastAsia="Calibri" w:hAnsi="Lato" w:cs="Calibri"/>
          <w:sz w:val="22"/>
          <w:szCs w:val="22"/>
        </w:rPr>
        <w:t>zamieszkania</w:t>
      </w:r>
      <w:r w:rsidRPr="004108D0">
        <w:rPr>
          <w:rFonts w:ascii="Lato" w:eastAsia="Calibri" w:hAnsi="Lato" w:cstheme="minorHAnsi"/>
          <w:sz w:val="22"/>
          <w:szCs w:val="22"/>
        </w:rPr>
        <w:t xml:space="preserve"> zbiorowego oraz w budynkach użyteczności publicznej, w</w:t>
      </w:r>
      <w:r w:rsidR="00DB3C4E">
        <w:rPr>
          <w:rFonts w:ascii="Lato" w:eastAsia="Calibri" w:hAnsi="Lato" w:cstheme="minorHAnsi"/>
          <w:sz w:val="22"/>
          <w:szCs w:val="22"/>
        </w:rPr>
        <w:t> </w:t>
      </w:r>
      <w:r w:rsidRPr="004108D0">
        <w:rPr>
          <w:rFonts w:ascii="Lato" w:eastAsia="Calibri" w:hAnsi="Lato" w:cstheme="minorHAnsi"/>
          <w:sz w:val="22"/>
          <w:szCs w:val="22"/>
        </w:rPr>
        <w:t xml:space="preserve">miejscach,  w których w trakcie ich użytkowania wytwarzany jest aerozol wodnopowietrzny. </w:t>
      </w:r>
    </w:p>
    <w:p w14:paraId="74D3748E" w14:textId="77777777" w:rsidR="0070701E" w:rsidRPr="004108D0" w:rsidRDefault="0070701E" w:rsidP="00DB3C4E">
      <w:pPr>
        <w:spacing w:line="360" w:lineRule="auto"/>
        <w:rPr>
          <w:rFonts w:ascii="Lato" w:eastAsia="Calibri" w:hAnsi="Lato" w:cstheme="minorHAnsi"/>
          <w:sz w:val="22"/>
          <w:szCs w:val="22"/>
        </w:rPr>
      </w:pPr>
      <w:r w:rsidRPr="004108D0">
        <w:rPr>
          <w:rFonts w:ascii="Lato" w:eastAsia="Calibri" w:hAnsi="Lato" w:cstheme="minorHAnsi"/>
          <w:bCs/>
          <w:sz w:val="22"/>
          <w:szCs w:val="22"/>
        </w:rPr>
        <w:t xml:space="preserve">Pobranych zostało </w:t>
      </w:r>
      <w:r w:rsidRPr="004108D0">
        <w:rPr>
          <w:rFonts w:ascii="Lato" w:eastAsia="Calibri" w:hAnsi="Lato" w:cstheme="minorHAnsi"/>
          <w:bCs/>
          <w:color w:val="000000" w:themeColor="text1"/>
          <w:sz w:val="22"/>
          <w:szCs w:val="22"/>
        </w:rPr>
        <w:t>łącznie 1 781 próbek ciepłej wody. Badania 315 próbek wykazały ponadnormatywną liczbę bakterii z rodzaju Legionella sp</w:t>
      </w:r>
      <w:bookmarkEnd w:id="144"/>
      <w:r w:rsidRPr="004108D0">
        <w:rPr>
          <w:rFonts w:ascii="Lato" w:eastAsia="Calibri" w:hAnsi="Lato" w:cstheme="minorHAnsi"/>
          <w:bCs/>
          <w:color w:val="000000" w:themeColor="text1"/>
          <w:sz w:val="22"/>
          <w:szCs w:val="22"/>
        </w:rPr>
        <w:t xml:space="preserve">. </w:t>
      </w:r>
      <w:r w:rsidRPr="004108D0">
        <w:rPr>
          <w:rFonts w:ascii="Lato" w:eastAsia="Calibri" w:hAnsi="Lato" w:cstheme="minorHAnsi"/>
          <w:sz w:val="22"/>
          <w:szCs w:val="22"/>
        </w:rPr>
        <w:t xml:space="preserve">W związku z powyższym </w:t>
      </w:r>
      <w:r w:rsidRPr="004108D0">
        <w:rPr>
          <w:rFonts w:ascii="Lato" w:eastAsia="Calibri" w:hAnsi="Lato" w:cstheme="minorHAnsi"/>
          <w:bCs/>
          <w:sz w:val="22"/>
          <w:szCs w:val="22"/>
        </w:rPr>
        <w:t xml:space="preserve">państwowi powiatowi inspektorzy sanitarni </w:t>
      </w:r>
      <w:r w:rsidRPr="004108D0">
        <w:rPr>
          <w:rFonts w:ascii="Lato" w:eastAsia="Calibri" w:hAnsi="Lato" w:cstheme="minorHAnsi"/>
          <w:sz w:val="22"/>
          <w:szCs w:val="22"/>
        </w:rPr>
        <w:t>zobowiązali właścicieli do podjęcia działań naprawczych, likwidujących zanieczyszczenie.</w:t>
      </w:r>
      <w:r w:rsidRPr="004108D0">
        <w:rPr>
          <w:rFonts w:ascii="Lato" w:eastAsia="Calibri" w:hAnsi="Lato" w:cstheme="minorHAnsi"/>
          <w:bCs/>
          <w:color w:val="000000" w:themeColor="text1"/>
          <w:sz w:val="22"/>
          <w:szCs w:val="22"/>
        </w:rPr>
        <w:t xml:space="preserve"> </w:t>
      </w:r>
      <w:r w:rsidRPr="004108D0">
        <w:rPr>
          <w:rFonts w:ascii="Lato" w:eastAsia="Calibri" w:hAnsi="Lato" w:cstheme="minorHAnsi"/>
          <w:sz w:val="22"/>
          <w:szCs w:val="22"/>
        </w:rPr>
        <w:t xml:space="preserve">Działania te najczęściej obejmowały przegląd techniczny oraz prowadzenie skutecznej dezynfekcji chemicznej i termicznej wody w instalacji technologicznego obiegu ciepłej wody oraz przedstawienie wyników badań wody potwierdzających jej właściwą jakość. </w:t>
      </w:r>
    </w:p>
    <w:p w14:paraId="6F2B6C03" w14:textId="669E014B" w:rsidR="0070701E" w:rsidRPr="004108D0" w:rsidRDefault="0070701E" w:rsidP="00DB3C4E">
      <w:pPr>
        <w:spacing w:line="360" w:lineRule="auto"/>
        <w:rPr>
          <w:rFonts w:ascii="Lato" w:eastAsia="Calibri" w:hAnsi="Lato" w:cstheme="minorHAnsi"/>
          <w:sz w:val="22"/>
          <w:szCs w:val="22"/>
        </w:rPr>
      </w:pPr>
      <w:r w:rsidRPr="004108D0">
        <w:rPr>
          <w:rFonts w:ascii="Lato" w:eastAsia="Calibri" w:hAnsi="Lato" w:cstheme="minorHAnsi"/>
          <w:sz w:val="22"/>
          <w:szCs w:val="22"/>
        </w:rPr>
        <w:t>W celu ograniczenia liczby przypadków skażenia ciepłej wody użytkowej bakteriami Legionella sp. prowadzono liczne działania edukacyjno-informacyjne, m. in. w formie szkoleń/</w:t>
      </w:r>
      <w:proofErr w:type="spellStart"/>
      <w:r w:rsidRPr="004108D0">
        <w:rPr>
          <w:rFonts w:ascii="Lato" w:eastAsia="Calibri" w:hAnsi="Lato" w:cstheme="minorHAnsi"/>
          <w:sz w:val="22"/>
          <w:szCs w:val="22"/>
        </w:rPr>
        <w:t>webinarów</w:t>
      </w:r>
      <w:proofErr w:type="spellEnd"/>
      <w:r w:rsidRPr="004108D0">
        <w:rPr>
          <w:rFonts w:ascii="Lato" w:eastAsia="Calibri" w:hAnsi="Lato" w:cstheme="minorHAnsi"/>
          <w:sz w:val="22"/>
          <w:szCs w:val="22"/>
        </w:rPr>
        <w:t xml:space="preserve">, rozpowszechniania materiałów edukacyjnych, podczas bieżących kontroli, </w:t>
      </w:r>
      <w:r w:rsidR="00CF01B8">
        <w:rPr>
          <w:rFonts w:ascii="Lato" w:eastAsia="Calibri" w:hAnsi="Lato" w:cstheme="minorHAnsi"/>
          <w:sz w:val="22"/>
          <w:szCs w:val="22"/>
        </w:rPr>
        <w:t xml:space="preserve">w szczególności </w:t>
      </w:r>
      <w:r w:rsidRPr="004108D0">
        <w:rPr>
          <w:rFonts w:ascii="Lato" w:eastAsia="Calibri" w:hAnsi="Lato" w:cstheme="minorHAnsi"/>
          <w:sz w:val="22"/>
          <w:szCs w:val="22"/>
        </w:rPr>
        <w:t>przed sezonem letnim oraz przed rozpoczęciem roku szkolnego. Należy podkreślić, że w 2025 roku liczba przekroczeń uległa zmniejszeniu o 13% w porównaniu z rokiem ubiegłym.</w:t>
      </w:r>
    </w:p>
    <w:p w14:paraId="6FDB95D0" w14:textId="77777777" w:rsidR="0070701E" w:rsidRPr="00A92A07" w:rsidRDefault="0070701E" w:rsidP="00DB3C4E">
      <w:pPr>
        <w:spacing w:line="276" w:lineRule="auto"/>
        <w:rPr>
          <w:rFonts w:ascii="Lato" w:eastAsia="Calibri" w:hAnsi="Lato" w:cstheme="minorHAnsi"/>
        </w:rPr>
      </w:pPr>
    </w:p>
    <w:p w14:paraId="3C936034" w14:textId="77777777" w:rsidR="006364AB" w:rsidRDefault="006364AB" w:rsidP="00DB3C4E">
      <w:pPr>
        <w:spacing w:after="160" w:line="278" w:lineRule="auto"/>
      </w:pPr>
    </w:p>
    <w:p w14:paraId="4786110A" w14:textId="7D488B0A" w:rsidR="006364AB" w:rsidRDefault="006364AB" w:rsidP="00DB3C4E">
      <w:pPr>
        <w:spacing w:after="160" w:line="278" w:lineRule="auto"/>
        <w:rPr>
          <w:rFonts w:ascii="Lato" w:eastAsiaTheme="majorEastAsia" w:hAnsi="Lato" w:cstheme="majorBidi"/>
          <w:color w:val="4C94D8" w:themeColor="text2" w:themeTint="80"/>
          <w:sz w:val="32"/>
          <w:szCs w:val="40"/>
        </w:rPr>
      </w:pPr>
      <w:r>
        <w:br w:type="page"/>
      </w:r>
    </w:p>
    <w:p w14:paraId="48B343B0" w14:textId="58035805" w:rsidR="007149EF" w:rsidRPr="00BA2854" w:rsidRDefault="007149EF">
      <w:pPr>
        <w:pStyle w:val="Nagwek1"/>
        <w:numPr>
          <w:ilvl w:val="0"/>
          <w:numId w:val="16"/>
        </w:numPr>
        <w:rPr>
          <w:color w:val="153D63" w:themeColor="text2" w:themeTint="E6"/>
        </w:rPr>
      </w:pPr>
      <w:bookmarkStart w:id="145" w:name="_Toc225859078"/>
      <w:r w:rsidRPr="00BA2854">
        <w:rPr>
          <w:color w:val="153D63" w:themeColor="text2" w:themeTint="E6"/>
        </w:rPr>
        <w:lastRenderedPageBreak/>
        <w:t>Jakość wody w obiektach wyposażonych w niecki basenowe</w:t>
      </w:r>
      <w:bookmarkEnd w:id="145"/>
    </w:p>
    <w:p w14:paraId="20389713" w14:textId="77777777" w:rsidR="007149EF" w:rsidRPr="005B5B5D" w:rsidRDefault="007149EF" w:rsidP="007149EF">
      <w:pPr>
        <w:pStyle w:val="Stylnastroninternet"/>
        <w:ind w:firstLine="0"/>
        <w:jc w:val="both"/>
        <w:rPr>
          <w:rFonts w:ascii="Lato" w:eastAsia="MyriadPro-Regular" w:hAnsi="Lato" w:cs="Calibri"/>
          <w:color w:val="000000" w:themeColor="text1"/>
          <w:sz w:val="22"/>
        </w:rPr>
      </w:pPr>
    </w:p>
    <w:p w14:paraId="3608691A" w14:textId="15B90FBD" w:rsidR="007149EF" w:rsidRPr="006364AB" w:rsidRDefault="007149EF" w:rsidP="00DB3C4E">
      <w:pPr>
        <w:pStyle w:val="Stylnastroninternet"/>
        <w:spacing w:line="360" w:lineRule="auto"/>
        <w:ind w:firstLine="0"/>
        <w:rPr>
          <w:rFonts w:ascii="Lato" w:eastAsia="MyriadPro-Regular" w:hAnsi="Lato" w:cs="Calibri"/>
          <w:sz w:val="22"/>
        </w:rPr>
      </w:pPr>
      <w:r w:rsidRPr="006364AB">
        <w:rPr>
          <w:rFonts w:ascii="Lato" w:eastAsia="MyriadPro-Regular" w:hAnsi="Lato" w:cs="Calibri"/>
          <w:sz w:val="22"/>
        </w:rPr>
        <w:t>W 2025 roku pod nadzorem Państwowej Inspekcji Sanitarnej było 226 pływalni i blisko 230 innych obiektów wyposażonych w niecki basenowe, które zlokalizowane były głównie</w:t>
      </w:r>
      <w:r w:rsidRPr="006364AB">
        <w:rPr>
          <w:rFonts w:ascii="Lato" w:hAnsi="Lato" w:cs="Calibri"/>
          <w:sz w:val="22"/>
        </w:rPr>
        <w:t xml:space="preserve"> w</w:t>
      </w:r>
      <w:r w:rsidR="00FE3EEE">
        <w:rPr>
          <w:rFonts w:ascii="Lato" w:hAnsi="Lato" w:cs="Calibri"/>
          <w:sz w:val="22"/>
        </w:rPr>
        <w:t> </w:t>
      </w:r>
      <w:r w:rsidRPr="006364AB">
        <w:rPr>
          <w:rFonts w:ascii="Lato" w:hAnsi="Lato" w:cs="Calibri"/>
          <w:sz w:val="22"/>
        </w:rPr>
        <w:t>szkołach, halach sportowych, hotelach, ośrodkach wypoczynkowych, sanatoriach, zakładach opieki zdrowotnej, apartamentach, domkach letniskowych oraz parkach wodnych.</w:t>
      </w:r>
      <w:r w:rsidRPr="006364AB">
        <w:rPr>
          <w:rFonts w:ascii="Lato" w:eastAsia="MyriadPro-Regular" w:hAnsi="Lato" w:cs="Calibri"/>
          <w:sz w:val="22"/>
        </w:rPr>
        <w:t xml:space="preserve"> </w:t>
      </w:r>
    </w:p>
    <w:p w14:paraId="7BB4E2EF" w14:textId="65D242F5" w:rsidR="007149EF" w:rsidRPr="006364AB" w:rsidRDefault="007149EF" w:rsidP="00DB3C4E">
      <w:pPr>
        <w:pStyle w:val="Stylnastroninternet"/>
        <w:spacing w:line="360" w:lineRule="auto"/>
        <w:ind w:firstLine="0"/>
        <w:rPr>
          <w:rFonts w:ascii="Lato" w:eastAsia="MyriadPro-Regular" w:hAnsi="Lato" w:cs="Calibri"/>
          <w:sz w:val="22"/>
        </w:rPr>
      </w:pPr>
      <w:r w:rsidRPr="006364AB">
        <w:rPr>
          <w:rFonts w:ascii="Lato" w:eastAsia="MyriadPro-Regular" w:hAnsi="Lato" w:cs="Calibri"/>
          <w:color w:val="000000" w:themeColor="text1"/>
          <w:sz w:val="22"/>
        </w:rPr>
        <w:t xml:space="preserve">W ramach nadzoru bieżącego w ww. obiektach organy Państwowej Inspekcji Sanitarnej przeprowadziły 342 kontrole sanitarne związane z poborem wody do badań celem monitorowania jej jakości zdrowotnej. Nadzór nad jakością wody w </w:t>
      </w:r>
      <w:r w:rsidRPr="006364AB">
        <w:rPr>
          <w:rFonts w:ascii="Lato" w:eastAsia="MyriadPro-Regular" w:hAnsi="Lato" w:cs="Calibri"/>
          <w:sz w:val="22"/>
        </w:rPr>
        <w:t>obiektach wyposażonych w</w:t>
      </w:r>
      <w:r w:rsidR="00DB3C4E">
        <w:rPr>
          <w:rFonts w:ascii="Lato" w:eastAsia="MyriadPro-Regular" w:hAnsi="Lato" w:cs="Calibri"/>
          <w:sz w:val="22"/>
        </w:rPr>
        <w:t> </w:t>
      </w:r>
      <w:r w:rsidRPr="006364AB">
        <w:rPr>
          <w:rFonts w:ascii="Lato" w:eastAsia="MyriadPro-Regular" w:hAnsi="Lato" w:cs="Calibri"/>
          <w:sz w:val="22"/>
        </w:rPr>
        <w:t xml:space="preserve">niecki basenowe sprawowany był również w oparciu </w:t>
      </w:r>
      <w:r w:rsidRPr="006364AB">
        <w:rPr>
          <w:rFonts w:ascii="Lato" w:eastAsia="MyriadPro-Regular" w:hAnsi="Lato" w:cs="Calibri"/>
          <w:color w:val="000000" w:themeColor="text1"/>
          <w:sz w:val="22"/>
        </w:rPr>
        <w:t>o weryfikację i ocenę wyników badań wody prowadzonych w ramach kontroli wewnętrznej przez zarządców tych obiektów.</w:t>
      </w:r>
      <w:r w:rsidRPr="006364AB">
        <w:rPr>
          <w:rFonts w:ascii="Lato" w:eastAsia="MyriadPro-Regular" w:hAnsi="Lato" w:cs="Calibri"/>
          <w:sz w:val="22"/>
        </w:rPr>
        <w:t xml:space="preserve"> Badania wody realizowane b</w:t>
      </w:r>
      <w:r w:rsidRPr="006364AB">
        <w:rPr>
          <w:rFonts w:ascii="Lato" w:eastAsia="MyriadPro-Regular" w:hAnsi="Lato" w:cs="Calibri"/>
          <w:color w:val="000000" w:themeColor="text1"/>
          <w:sz w:val="22"/>
        </w:rPr>
        <w:t xml:space="preserve">yły cyklicznie </w:t>
      </w:r>
      <w:r w:rsidRPr="006364AB">
        <w:rPr>
          <w:rFonts w:ascii="Lato" w:eastAsia="MyriadPro-Regular" w:hAnsi="Lato" w:cs="Calibri"/>
          <w:sz w:val="22"/>
        </w:rPr>
        <w:t xml:space="preserve">zgodnie z ustalonym harmonogramem, w ramach kontroli wewnętrznej oraz kontroli urzędowej. </w:t>
      </w:r>
      <w:r w:rsidRPr="006364AB">
        <w:rPr>
          <w:rFonts w:ascii="Lato" w:hAnsi="Lato" w:cs="Calibri"/>
          <w:sz w:val="22"/>
        </w:rPr>
        <w:t>W harmonogr</w:t>
      </w:r>
      <w:r w:rsidRPr="006364AB">
        <w:rPr>
          <w:rFonts w:ascii="Lato" w:hAnsi="Lato" w:cs="Calibri"/>
          <w:color w:val="000000" w:themeColor="text1"/>
          <w:sz w:val="22"/>
        </w:rPr>
        <w:t xml:space="preserve">amie tym </w:t>
      </w:r>
      <w:r w:rsidRPr="006364AB">
        <w:rPr>
          <w:rFonts w:ascii="Lato" w:hAnsi="Lato" w:cs="Calibri"/>
          <w:sz w:val="22"/>
        </w:rPr>
        <w:t>ustalono zarówno częstotliwość pobierania próbek wody, jak i zakres badań. Badania obejmowały parametry mikrobiologiczne (</w:t>
      </w:r>
      <w:r w:rsidRPr="006364AB">
        <w:rPr>
          <w:rFonts w:ascii="Lato" w:hAnsi="Lato" w:cs="Calibri"/>
          <w:i/>
          <w:sz w:val="22"/>
        </w:rPr>
        <w:t xml:space="preserve">Escherichia coli, </w:t>
      </w:r>
      <w:proofErr w:type="spellStart"/>
      <w:r w:rsidRPr="006364AB">
        <w:rPr>
          <w:rFonts w:ascii="Lato" w:hAnsi="Lato" w:cs="Calibri"/>
          <w:i/>
          <w:sz w:val="22"/>
        </w:rPr>
        <w:t>Pseudomonas</w:t>
      </w:r>
      <w:proofErr w:type="spellEnd"/>
      <w:r w:rsidRPr="006364AB">
        <w:rPr>
          <w:rFonts w:ascii="Lato" w:hAnsi="Lato" w:cs="Calibri"/>
          <w:i/>
          <w:sz w:val="22"/>
        </w:rPr>
        <w:t xml:space="preserve"> </w:t>
      </w:r>
      <w:proofErr w:type="spellStart"/>
      <w:r w:rsidRPr="006364AB">
        <w:rPr>
          <w:rFonts w:ascii="Lato" w:hAnsi="Lato" w:cs="Calibri"/>
          <w:i/>
          <w:sz w:val="22"/>
        </w:rPr>
        <w:t>aeruginosa</w:t>
      </w:r>
      <w:proofErr w:type="spellEnd"/>
      <w:r w:rsidRPr="006364AB">
        <w:rPr>
          <w:rFonts w:ascii="Lato" w:hAnsi="Lato" w:cs="Calibri"/>
          <w:sz w:val="22"/>
        </w:rPr>
        <w:t>, ogólną liczbę mikroorganizmów w </w:t>
      </w:r>
      <w:r w:rsidRPr="006364AB">
        <w:rPr>
          <w:rFonts w:ascii="Lato" w:hAnsi="Lato" w:cs="Calibri"/>
          <w:bCs/>
          <w:sz w:val="22"/>
        </w:rPr>
        <w:t xml:space="preserve">36±2 </w:t>
      </w:r>
      <w:proofErr w:type="spellStart"/>
      <w:r w:rsidRPr="006364AB">
        <w:rPr>
          <w:rFonts w:ascii="Lato" w:hAnsi="Lato" w:cs="Calibri"/>
          <w:bCs/>
          <w:sz w:val="22"/>
          <w:vertAlign w:val="superscript"/>
        </w:rPr>
        <w:t>o</w:t>
      </w:r>
      <w:r w:rsidRPr="006364AB">
        <w:rPr>
          <w:rFonts w:ascii="Lato" w:hAnsi="Lato" w:cs="Calibri"/>
          <w:bCs/>
          <w:sz w:val="22"/>
        </w:rPr>
        <w:t>C</w:t>
      </w:r>
      <w:proofErr w:type="spellEnd"/>
      <w:r w:rsidRPr="006364AB">
        <w:rPr>
          <w:rFonts w:ascii="Lato" w:hAnsi="Lato" w:cs="Calibri"/>
          <w:bCs/>
          <w:sz w:val="22"/>
        </w:rPr>
        <w:t xml:space="preserve"> </w:t>
      </w:r>
      <w:r w:rsidRPr="006364AB">
        <w:rPr>
          <w:rFonts w:ascii="Lato" w:hAnsi="Lato" w:cs="Calibri"/>
          <w:sz w:val="22"/>
        </w:rPr>
        <w:t xml:space="preserve">po 48 h, </w:t>
      </w:r>
      <w:r w:rsidRPr="006364AB">
        <w:rPr>
          <w:rFonts w:ascii="Lato" w:hAnsi="Lato" w:cs="Calibri"/>
          <w:i/>
          <w:sz w:val="22"/>
        </w:rPr>
        <w:t>Legionella sp</w:t>
      </w:r>
      <w:r w:rsidRPr="006364AB">
        <w:rPr>
          <w:rFonts w:ascii="Lato" w:hAnsi="Lato" w:cs="Calibri"/>
          <w:sz w:val="22"/>
        </w:rPr>
        <w:t xml:space="preserve">., gronkowce </w:t>
      </w:r>
      <w:proofErr w:type="spellStart"/>
      <w:r w:rsidRPr="006364AB">
        <w:rPr>
          <w:rFonts w:ascii="Lato" w:hAnsi="Lato" w:cs="Calibri"/>
          <w:sz w:val="22"/>
        </w:rPr>
        <w:t>koagulazo</w:t>
      </w:r>
      <w:proofErr w:type="spellEnd"/>
      <w:r w:rsidRPr="006364AB">
        <w:rPr>
          <w:rFonts w:ascii="Lato" w:hAnsi="Lato" w:cs="Calibri"/>
          <w:sz w:val="22"/>
        </w:rPr>
        <w:t xml:space="preserve">- dodatnie) oraz parametry fizykochemiczne (mętność, </w:t>
      </w:r>
      <w:proofErr w:type="spellStart"/>
      <w:r w:rsidRPr="006364AB">
        <w:rPr>
          <w:rFonts w:ascii="Lato" w:hAnsi="Lato" w:cs="Calibri"/>
          <w:sz w:val="22"/>
        </w:rPr>
        <w:t>pH</w:t>
      </w:r>
      <w:proofErr w:type="spellEnd"/>
      <w:r w:rsidRPr="006364AB">
        <w:rPr>
          <w:rFonts w:ascii="Lato" w:hAnsi="Lato" w:cs="Calibri"/>
          <w:sz w:val="22"/>
        </w:rPr>
        <w:t xml:space="preserve">, potencjał </w:t>
      </w:r>
      <w:proofErr w:type="spellStart"/>
      <w:r w:rsidRPr="006364AB">
        <w:rPr>
          <w:rFonts w:ascii="Lato" w:hAnsi="Lato" w:cs="Calibri"/>
          <w:sz w:val="22"/>
        </w:rPr>
        <w:t>redox</w:t>
      </w:r>
      <w:proofErr w:type="spellEnd"/>
      <w:r w:rsidRPr="006364AB">
        <w:rPr>
          <w:rFonts w:ascii="Lato" w:hAnsi="Lato" w:cs="Calibri"/>
          <w:sz w:val="22"/>
        </w:rPr>
        <w:t xml:space="preserve">, chlor wolny, chlor związany, chloroform, </w:t>
      </w:r>
      <w:r w:rsidRPr="006364AB">
        <w:rPr>
          <w:rFonts w:ascii="Calibri" w:hAnsi="Calibri" w:cs="Calibri"/>
          <w:bCs/>
          <w:sz w:val="22"/>
        </w:rPr>
        <w:t>Σ</w:t>
      </w:r>
      <w:r w:rsidRPr="006364AB">
        <w:rPr>
          <w:rFonts w:ascii="Lato" w:hAnsi="Lato" w:cs="Calibri"/>
          <w:bCs/>
          <w:sz w:val="22"/>
        </w:rPr>
        <w:t xml:space="preserve"> THM </w:t>
      </w:r>
      <w:r w:rsidRPr="006364AB">
        <w:rPr>
          <w:rFonts w:ascii="Lato" w:hAnsi="Lato" w:cs="Calibri"/>
          <w:sz w:val="22"/>
        </w:rPr>
        <w:t>, azotany, utlenialność)</w:t>
      </w:r>
      <w:r w:rsidRPr="006364AB">
        <w:rPr>
          <w:rFonts w:ascii="Lato" w:eastAsia="MyriadPro-Regular" w:hAnsi="Lato" w:cs="Calibri"/>
          <w:sz w:val="22"/>
        </w:rPr>
        <w:t xml:space="preserve">. </w:t>
      </w:r>
      <w:r w:rsidRPr="006364AB">
        <w:rPr>
          <w:rFonts w:ascii="Lato" w:hAnsi="Lato" w:cs="Calibri"/>
          <w:sz w:val="22"/>
        </w:rPr>
        <w:t>Łącznie pobrano ponad 17 900 próbek, w tym 1 400 w ramach kontroli urzędowej przez Państwową Inspekcję Sanitarną.</w:t>
      </w:r>
    </w:p>
    <w:p w14:paraId="6572D884" w14:textId="5B9C021F" w:rsidR="007149EF" w:rsidRPr="006364AB" w:rsidRDefault="007149EF" w:rsidP="00DB3C4E">
      <w:pPr>
        <w:pStyle w:val="Stylnastroninternet"/>
        <w:spacing w:line="360" w:lineRule="auto"/>
        <w:ind w:firstLine="0"/>
        <w:rPr>
          <w:rFonts w:ascii="Lato" w:hAnsi="Lato" w:cs="Calibri"/>
          <w:sz w:val="22"/>
        </w:rPr>
      </w:pPr>
      <w:r w:rsidRPr="006364AB">
        <w:rPr>
          <w:rFonts w:ascii="Lato" w:hAnsi="Lato" w:cs="Calibri"/>
          <w:sz w:val="22"/>
        </w:rPr>
        <w:t xml:space="preserve">Wyniki </w:t>
      </w:r>
      <w:r w:rsidR="00500F04" w:rsidRPr="006364AB">
        <w:rPr>
          <w:rFonts w:ascii="Lato" w:hAnsi="Lato" w:cs="Calibri"/>
          <w:sz w:val="22"/>
        </w:rPr>
        <w:t xml:space="preserve">badań  </w:t>
      </w:r>
      <w:r w:rsidRPr="006364AB">
        <w:rPr>
          <w:rFonts w:ascii="Lato" w:hAnsi="Lato" w:cs="Calibri"/>
          <w:sz w:val="22"/>
        </w:rPr>
        <w:t>648</w:t>
      </w:r>
      <w:r w:rsidR="00500F04">
        <w:rPr>
          <w:rFonts w:ascii="Lato" w:hAnsi="Lato" w:cs="Calibri"/>
          <w:sz w:val="22"/>
        </w:rPr>
        <w:t xml:space="preserve"> prób</w:t>
      </w:r>
      <w:r w:rsidRPr="006364AB">
        <w:rPr>
          <w:rFonts w:ascii="Lato" w:hAnsi="Lato" w:cs="Calibri"/>
          <w:sz w:val="22"/>
        </w:rPr>
        <w:t xml:space="preserve"> wykazały, iż woda nie spełnia wymagań w zakresie normatywów higienicznych (323 </w:t>
      </w:r>
      <w:r w:rsidR="00500F04">
        <w:rPr>
          <w:rFonts w:ascii="Lato" w:hAnsi="Lato" w:cs="Calibri"/>
          <w:sz w:val="22"/>
        </w:rPr>
        <w:t xml:space="preserve">- </w:t>
      </w:r>
      <w:r w:rsidRPr="006364AB">
        <w:rPr>
          <w:rFonts w:ascii="Lato" w:hAnsi="Lato" w:cs="Calibri"/>
          <w:sz w:val="22"/>
        </w:rPr>
        <w:t xml:space="preserve">w zakresie parametrów fizykochemicznych - przekroczenia dot. najczęściej chloru związanego oraz w mniejszej skali chloroformu, </w:t>
      </w:r>
      <w:r w:rsidRPr="006364AB">
        <w:rPr>
          <w:rFonts w:ascii="Calibri" w:hAnsi="Calibri" w:cs="Calibri"/>
          <w:sz w:val="22"/>
        </w:rPr>
        <w:t>Σ</w:t>
      </w:r>
      <w:r w:rsidRPr="006364AB">
        <w:rPr>
          <w:rFonts w:ascii="Lato" w:hAnsi="Lato" w:cs="Calibri"/>
          <w:sz w:val="22"/>
        </w:rPr>
        <w:t xml:space="preserve"> THM i</w:t>
      </w:r>
      <w:r w:rsidRPr="006364AB">
        <w:rPr>
          <w:rFonts w:ascii="Lato" w:hAnsi="Lato" w:cs="Lato"/>
          <w:sz w:val="22"/>
        </w:rPr>
        <w:t> </w:t>
      </w:r>
      <w:r w:rsidRPr="006364AB">
        <w:rPr>
          <w:rFonts w:ascii="Lato" w:hAnsi="Lato" w:cs="Calibri"/>
          <w:sz w:val="22"/>
        </w:rPr>
        <w:t>m</w:t>
      </w:r>
      <w:r w:rsidRPr="006364AB">
        <w:rPr>
          <w:rFonts w:ascii="Lato" w:hAnsi="Lato" w:cs="Lato"/>
          <w:sz w:val="22"/>
        </w:rPr>
        <w:t>ę</w:t>
      </w:r>
      <w:r w:rsidRPr="006364AB">
        <w:rPr>
          <w:rFonts w:ascii="Lato" w:hAnsi="Lato" w:cs="Calibri"/>
          <w:sz w:val="22"/>
        </w:rPr>
        <w:t>tno</w:t>
      </w:r>
      <w:r w:rsidRPr="006364AB">
        <w:rPr>
          <w:rFonts w:ascii="Lato" w:hAnsi="Lato" w:cs="Lato"/>
          <w:sz w:val="22"/>
        </w:rPr>
        <w:t>ś</w:t>
      </w:r>
      <w:r w:rsidRPr="006364AB">
        <w:rPr>
          <w:rFonts w:ascii="Lato" w:hAnsi="Lato" w:cs="Calibri"/>
          <w:sz w:val="22"/>
        </w:rPr>
        <w:t xml:space="preserve">ci, 288 </w:t>
      </w:r>
      <w:r w:rsidR="00500F04">
        <w:rPr>
          <w:rFonts w:ascii="Lato" w:hAnsi="Lato" w:cs="Calibri"/>
          <w:sz w:val="22"/>
        </w:rPr>
        <w:t>-</w:t>
      </w:r>
      <w:r w:rsidRPr="006364AB">
        <w:rPr>
          <w:rFonts w:ascii="Lato" w:hAnsi="Lato" w:cs="Calibri"/>
          <w:sz w:val="22"/>
        </w:rPr>
        <w:t xml:space="preserve"> w</w:t>
      </w:r>
      <w:r w:rsidR="00FE3EEE">
        <w:rPr>
          <w:rFonts w:ascii="Lato" w:hAnsi="Lato" w:cs="Calibri"/>
          <w:sz w:val="22"/>
        </w:rPr>
        <w:t> </w:t>
      </w:r>
      <w:r w:rsidRPr="006364AB">
        <w:rPr>
          <w:rFonts w:ascii="Lato" w:hAnsi="Lato" w:cs="Calibri"/>
          <w:sz w:val="22"/>
        </w:rPr>
        <w:t xml:space="preserve">zakresie parametrów </w:t>
      </w:r>
      <w:r w:rsidRPr="006364AB">
        <w:rPr>
          <w:rFonts w:ascii="Lato" w:hAnsi="Lato" w:cs="Calibri"/>
          <w:bCs/>
          <w:sz w:val="22"/>
        </w:rPr>
        <w:t xml:space="preserve">mikrobiologicznych - ogólnej liczby mikroorganizmów, </w:t>
      </w:r>
      <w:proofErr w:type="spellStart"/>
      <w:r w:rsidRPr="006364AB">
        <w:rPr>
          <w:rFonts w:ascii="Lato" w:hAnsi="Lato" w:cs="Calibri"/>
          <w:bCs/>
          <w:i/>
          <w:iCs/>
          <w:sz w:val="22"/>
        </w:rPr>
        <w:t>Pseudomonas</w:t>
      </w:r>
      <w:proofErr w:type="spellEnd"/>
      <w:r w:rsidRPr="006364AB">
        <w:rPr>
          <w:rFonts w:ascii="Lato" w:hAnsi="Lato" w:cs="Calibri"/>
          <w:bCs/>
          <w:i/>
          <w:iCs/>
          <w:sz w:val="22"/>
        </w:rPr>
        <w:t xml:space="preserve"> </w:t>
      </w:r>
      <w:proofErr w:type="spellStart"/>
      <w:r w:rsidRPr="006364AB">
        <w:rPr>
          <w:rFonts w:ascii="Lato" w:hAnsi="Lato" w:cs="Calibri"/>
          <w:bCs/>
          <w:i/>
          <w:iCs/>
          <w:sz w:val="22"/>
        </w:rPr>
        <w:t>aeruginosa</w:t>
      </w:r>
      <w:proofErr w:type="spellEnd"/>
      <w:r w:rsidRPr="006364AB">
        <w:rPr>
          <w:rFonts w:ascii="Lato" w:hAnsi="Lato" w:cs="Calibri"/>
          <w:bCs/>
          <w:i/>
          <w:iCs/>
          <w:sz w:val="22"/>
        </w:rPr>
        <w:t>, Escherichia coli</w:t>
      </w:r>
      <w:r w:rsidRPr="006364AB">
        <w:rPr>
          <w:rFonts w:ascii="Lato" w:hAnsi="Lato" w:cs="Calibri"/>
          <w:bCs/>
          <w:sz w:val="22"/>
        </w:rPr>
        <w:t>,</w:t>
      </w:r>
      <w:r w:rsidRPr="006364AB">
        <w:rPr>
          <w:rFonts w:ascii="Lato" w:hAnsi="Lato" w:cs="Calibri"/>
          <w:sz w:val="22"/>
        </w:rPr>
        <w:t xml:space="preserve"> </w:t>
      </w:r>
      <w:r w:rsidRPr="006364AB">
        <w:rPr>
          <w:rFonts w:ascii="Lato" w:hAnsi="Lato" w:cs="Calibri"/>
          <w:bCs/>
          <w:sz w:val="22"/>
        </w:rPr>
        <w:t xml:space="preserve">bakterii </w:t>
      </w:r>
      <w:r w:rsidRPr="006364AB">
        <w:rPr>
          <w:rFonts w:ascii="Lato" w:hAnsi="Lato" w:cs="Calibri"/>
          <w:bCs/>
          <w:i/>
          <w:sz w:val="22"/>
        </w:rPr>
        <w:t>Legionella sp</w:t>
      </w:r>
      <w:r w:rsidRPr="006364AB">
        <w:rPr>
          <w:rFonts w:ascii="Lato" w:hAnsi="Lato" w:cs="Calibri"/>
          <w:bCs/>
          <w:iCs/>
          <w:sz w:val="22"/>
        </w:rPr>
        <w:t>.</w:t>
      </w:r>
      <w:r w:rsidRPr="006364AB">
        <w:rPr>
          <w:rFonts w:ascii="Lato" w:hAnsi="Lato" w:cs="Calibri"/>
          <w:bCs/>
          <w:sz w:val="22"/>
        </w:rPr>
        <w:t xml:space="preserve"> oraz 37 </w:t>
      </w:r>
      <w:r w:rsidR="00500F04">
        <w:rPr>
          <w:rFonts w:ascii="Lato" w:hAnsi="Lato" w:cs="Calibri"/>
          <w:bCs/>
          <w:sz w:val="22"/>
        </w:rPr>
        <w:t xml:space="preserve">- </w:t>
      </w:r>
      <w:r w:rsidRPr="006364AB">
        <w:rPr>
          <w:rFonts w:ascii="Lato" w:hAnsi="Lato" w:cs="Calibri"/>
          <w:sz w:val="22"/>
        </w:rPr>
        <w:t>w zakresie parametrów fizykochemicznych i mikrobiologicznym występujących jednocześnie). Dodatkowo w ok. 840 próbach zaobserwowano odchylenia od normy, których wielkość nie stwarzała zagrożenia zdrowotnego.</w:t>
      </w:r>
    </w:p>
    <w:p w14:paraId="01E93D2A" w14:textId="43EDE02A" w:rsidR="007149EF" w:rsidRPr="006364AB" w:rsidRDefault="007149EF" w:rsidP="00DB3C4E">
      <w:pPr>
        <w:pStyle w:val="Stylnastroninternet"/>
        <w:spacing w:line="360" w:lineRule="auto"/>
        <w:ind w:firstLine="0"/>
        <w:rPr>
          <w:rFonts w:ascii="Lato" w:hAnsi="Lato" w:cs="Calibri"/>
          <w:sz w:val="22"/>
        </w:rPr>
      </w:pPr>
      <w:r w:rsidRPr="006364AB">
        <w:rPr>
          <w:rFonts w:ascii="Lato" w:hAnsi="Lato" w:cs="Calibri"/>
          <w:sz w:val="22"/>
        </w:rPr>
        <w:t>W związku z niewłaściwą jakością wody wydano łącznie 141 decyzji</w:t>
      </w:r>
      <w:r w:rsidRPr="006364AB">
        <w:rPr>
          <w:rFonts w:ascii="Lato" w:eastAsia="Calibri" w:hAnsi="Lato" w:cs="Calibri"/>
          <w:sz w:val="22"/>
        </w:rPr>
        <w:t>. W</w:t>
      </w:r>
      <w:r w:rsidRPr="006364AB">
        <w:rPr>
          <w:rFonts w:ascii="Lato" w:hAnsi="Lato" w:cs="Calibri"/>
          <w:sz w:val="22"/>
        </w:rPr>
        <w:t xml:space="preserve"> przypadku stwierdzenia niewłaściwej jakości wody w nieckach basenowych, każdorazowo zobowiązywano właścicieli obiektów do przeprowadzenia działań naprawczych i</w:t>
      </w:r>
      <w:r w:rsidR="00DB3C4E">
        <w:rPr>
          <w:rFonts w:ascii="Lato" w:hAnsi="Lato" w:cs="Calibri"/>
          <w:sz w:val="22"/>
        </w:rPr>
        <w:t> </w:t>
      </w:r>
      <w:r w:rsidRPr="006364AB">
        <w:rPr>
          <w:rFonts w:ascii="Lato" w:hAnsi="Lato" w:cs="Calibri"/>
          <w:sz w:val="22"/>
        </w:rPr>
        <w:t xml:space="preserve">monitorowano ich wykonanie. </w:t>
      </w:r>
    </w:p>
    <w:p w14:paraId="6BDC1560" w14:textId="20C31FD9" w:rsidR="007149EF" w:rsidRPr="006364AB" w:rsidRDefault="007149EF" w:rsidP="00DB3C4E">
      <w:pPr>
        <w:pStyle w:val="Stylnastroninternet"/>
        <w:spacing w:line="360" w:lineRule="auto"/>
        <w:ind w:firstLine="0"/>
        <w:rPr>
          <w:rFonts w:ascii="Lato" w:eastAsia="Calibri" w:hAnsi="Lato" w:cs="Calibri"/>
          <w:sz w:val="22"/>
        </w:rPr>
      </w:pPr>
      <w:r w:rsidRPr="006364AB">
        <w:rPr>
          <w:rFonts w:ascii="Lato" w:eastAsia="Calibri" w:hAnsi="Lato" w:cs="Calibri"/>
          <w:sz w:val="22"/>
        </w:rPr>
        <w:t>Wszystkie obiekty spełniające definicję pływalni zostały poddane zbiorczej rocznej ocenie na</w:t>
      </w:r>
      <w:r w:rsidR="00FE3EEE">
        <w:rPr>
          <w:rFonts w:ascii="Lato" w:eastAsia="Calibri" w:hAnsi="Lato" w:cs="Calibri"/>
          <w:sz w:val="22"/>
        </w:rPr>
        <w:t> </w:t>
      </w:r>
      <w:r w:rsidRPr="006364AB">
        <w:rPr>
          <w:rFonts w:ascii="Lato" w:eastAsia="Calibri" w:hAnsi="Lato" w:cs="Calibri"/>
          <w:sz w:val="22"/>
        </w:rPr>
        <w:t xml:space="preserve">podstawie zebranych wyników. Zdecydowana większość spełniała wymagania jakim powinna odpowiadać woda na pływalniach. Tylko w 1 obiekcie stwierdzono brak monitoringu </w:t>
      </w:r>
      <w:r w:rsidRPr="006364AB">
        <w:rPr>
          <w:rFonts w:ascii="Lato" w:eastAsia="Calibri" w:hAnsi="Lato" w:cs="Calibri"/>
          <w:sz w:val="22"/>
        </w:rPr>
        <w:lastRenderedPageBreak/>
        <w:t>pracy urządzeń uzdatniających wodę na pływalni oraz nieterminowe realizowanie badań wody. Podmiot odpowiedzialny zobowiązany został do usunięcia nieprawidłowości.</w:t>
      </w:r>
    </w:p>
    <w:p w14:paraId="752CE8A7" w14:textId="77777777" w:rsidR="007149EF" w:rsidRPr="006364AB" w:rsidRDefault="007149EF" w:rsidP="00DB3C4E">
      <w:pPr>
        <w:pStyle w:val="Stylnastroninternet"/>
        <w:spacing w:line="360" w:lineRule="auto"/>
        <w:ind w:firstLine="0"/>
        <w:rPr>
          <w:rFonts w:ascii="Lato" w:eastAsia="Calibri" w:hAnsi="Lato" w:cs="Calibri"/>
          <w:sz w:val="22"/>
        </w:rPr>
      </w:pPr>
      <w:r w:rsidRPr="006364AB">
        <w:rPr>
          <w:rFonts w:ascii="Lato" w:eastAsia="Calibri" w:hAnsi="Lato" w:cs="Calibri"/>
          <w:sz w:val="22"/>
        </w:rPr>
        <w:t xml:space="preserve">Biorąc pod uwagę powyższe, w porównaniu z rokiem ubiegłym nastąpiła poprawa jakości wody w nieckach basenowych. </w:t>
      </w:r>
    </w:p>
    <w:p w14:paraId="56E64B46" w14:textId="77777777" w:rsidR="007149EF" w:rsidRPr="006364AB" w:rsidRDefault="007149EF" w:rsidP="00DB3C4E">
      <w:pPr>
        <w:pStyle w:val="Stylnastroninternet"/>
        <w:spacing w:line="360" w:lineRule="auto"/>
        <w:ind w:firstLine="0"/>
        <w:rPr>
          <w:rFonts w:ascii="Lato" w:eastAsia="Calibri" w:hAnsi="Lato" w:cs="Calibri"/>
          <w:sz w:val="22"/>
        </w:rPr>
      </w:pPr>
    </w:p>
    <w:p w14:paraId="3EFB45D8" w14:textId="77777777" w:rsidR="007149EF" w:rsidRDefault="007149EF" w:rsidP="00DB3C4E">
      <w:pPr>
        <w:pStyle w:val="Nagwek1"/>
      </w:pPr>
    </w:p>
    <w:p w14:paraId="1F132216" w14:textId="77777777" w:rsidR="007149EF" w:rsidRDefault="007149EF">
      <w:pPr>
        <w:spacing w:after="160" w:line="278" w:lineRule="auto"/>
        <w:rPr>
          <w:rFonts w:ascii="Lato" w:eastAsiaTheme="majorEastAsia" w:hAnsi="Lato" w:cstheme="majorBidi"/>
          <w:color w:val="4C94D8" w:themeColor="text2" w:themeTint="80"/>
          <w:sz w:val="32"/>
          <w:szCs w:val="40"/>
        </w:rPr>
      </w:pPr>
      <w:r>
        <w:br w:type="page"/>
      </w:r>
    </w:p>
    <w:p w14:paraId="511ECFD1" w14:textId="623F3F56" w:rsidR="009F0C3D" w:rsidRPr="00BA2854" w:rsidRDefault="009F0C3D">
      <w:pPr>
        <w:pStyle w:val="Nagwek1"/>
        <w:numPr>
          <w:ilvl w:val="0"/>
          <w:numId w:val="16"/>
        </w:numPr>
        <w:rPr>
          <w:color w:val="153D63" w:themeColor="text2" w:themeTint="E6"/>
        </w:rPr>
      </w:pPr>
      <w:bookmarkStart w:id="146" w:name="_Toc225859079"/>
      <w:r w:rsidRPr="00BA2854">
        <w:rPr>
          <w:color w:val="153D63" w:themeColor="text2" w:themeTint="E6"/>
        </w:rPr>
        <w:lastRenderedPageBreak/>
        <w:t>Stan sanitarny kąpielisk i miejsc okazjonalnie wykorzystywanych do kąpieli</w:t>
      </w:r>
      <w:bookmarkEnd w:id="146"/>
    </w:p>
    <w:p w14:paraId="26177326" w14:textId="77777777" w:rsidR="009F0C3D" w:rsidRPr="00241266" w:rsidRDefault="009F0C3D" w:rsidP="009F0C3D">
      <w:pPr>
        <w:spacing w:line="276" w:lineRule="auto"/>
        <w:rPr>
          <w:rFonts w:ascii="Lato" w:hAnsi="Lato" w:cs="Calibri"/>
          <w:b/>
          <w:sz w:val="22"/>
          <w:szCs w:val="22"/>
        </w:rPr>
      </w:pPr>
    </w:p>
    <w:p w14:paraId="6CA933B2" w14:textId="205A3C96" w:rsidR="009F0C3D" w:rsidRPr="002A5F45" w:rsidRDefault="009F0C3D">
      <w:pPr>
        <w:pStyle w:val="Nagwek2"/>
        <w:numPr>
          <w:ilvl w:val="0"/>
          <w:numId w:val="21"/>
        </w:numPr>
        <w:rPr>
          <w:b/>
          <w:bCs/>
        </w:rPr>
      </w:pPr>
      <w:bookmarkStart w:id="147" w:name="_Toc225859080"/>
      <w:r w:rsidRPr="002A5F45">
        <w:rPr>
          <w:b/>
          <w:bCs/>
        </w:rPr>
        <w:t>Stan sanitarny i jakość wody w kąpieliskach</w:t>
      </w:r>
      <w:bookmarkEnd w:id="147"/>
    </w:p>
    <w:p w14:paraId="234C6CA8" w14:textId="77777777" w:rsidR="009F0C3D" w:rsidRPr="00241266" w:rsidRDefault="009F0C3D" w:rsidP="002A5F45">
      <w:pPr>
        <w:spacing w:line="360" w:lineRule="auto"/>
        <w:rPr>
          <w:rFonts w:ascii="Lato" w:hAnsi="Lato" w:cs="Calibri"/>
          <w:bCs/>
          <w:sz w:val="22"/>
          <w:szCs w:val="22"/>
        </w:rPr>
      </w:pPr>
      <w:r w:rsidRPr="00241266">
        <w:rPr>
          <w:rFonts w:ascii="Lato" w:hAnsi="Lato" w:cs="Calibri"/>
          <w:bCs/>
          <w:sz w:val="22"/>
          <w:szCs w:val="22"/>
        </w:rPr>
        <w:t>Na terenie województwa zachodniopomorskiego w sezonie letnim 2025 zorganizowan</w:t>
      </w:r>
      <w:r>
        <w:rPr>
          <w:rFonts w:ascii="Lato" w:hAnsi="Lato" w:cs="Calibri"/>
          <w:bCs/>
          <w:sz w:val="22"/>
          <w:szCs w:val="22"/>
        </w:rPr>
        <w:t xml:space="preserve">ych </w:t>
      </w:r>
      <w:r w:rsidRPr="00241266">
        <w:rPr>
          <w:rFonts w:ascii="Lato" w:hAnsi="Lato" w:cs="Calibri"/>
          <w:bCs/>
          <w:sz w:val="22"/>
          <w:szCs w:val="22"/>
        </w:rPr>
        <w:t>został</w:t>
      </w:r>
      <w:r>
        <w:rPr>
          <w:rFonts w:ascii="Lato" w:hAnsi="Lato" w:cs="Calibri"/>
          <w:bCs/>
          <w:sz w:val="22"/>
          <w:szCs w:val="22"/>
        </w:rPr>
        <w:t>o</w:t>
      </w:r>
      <w:r w:rsidRPr="00241266">
        <w:rPr>
          <w:rFonts w:ascii="Lato" w:hAnsi="Lato" w:cs="Calibri"/>
          <w:bCs/>
          <w:sz w:val="22"/>
          <w:szCs w:val="22"/>
        </w:rPr>
        <w:t xml:space="preserve"> 144 kąpielisk, w tym:</w:t>
      </w:r>
    </w:p>
    <w:p w14:paraId="45F13CF3" w14:textId="77777777" w:rsidR="009F0C3D" w:rsidRPr="00241266" w:rsidRDefault="009F0C3D">
      <w:pPr>
        <w:pStyle w:val="Akapitzlist"/>
        <w:numPr>
          <w:ilvl w:val="0"/>
          <w:numId w:val="39"/>
        </w:numPr>
        <w:spacing w:line="360" w:lineRule="auto"/>
        <w:ind w:left="567" w:hanging="283"/>
        <w:contextualSpacing w:val="0"/>
        <w:rPr>
          <w:rFonts w:ascii="Lato" w:hAnsi="Lato" w:cs="Calibri"/>
          <w:bCs/>
          <w:iCs/>
          <w:sz w:val="22"/>
          <w:szCs w:val="22"/>
        </w:rPr>
      </w:pPr>
      <w:r w:rsidRPr="00241266">
        <w:rPr>
          <w:rFonts w:ascii="Lato" w:hAnsi="Lato" w:cs="Calibri"/>
          <w:bCs/>
          <w:sz w:val="22"/>
          <w:szCs w:val="22"/>
        </w:rPr>
        <w:t xml:space="preserve">104 kąpieliska morskie </w:t>
      </w:r>
      <w:r>
        <w:rPr>
          <w:rFonts w:ascii="Lato" w:hAnsi="Lato" w:cs="Calibri"/>
          <w:bCs/>
          <w:sz w:val="22"/>
          <w:szCs w:val="22"/>
        </w:rPr>
        <w:t xml:space="preserve">w powiatach: </w:t>
      </w:r>
      <w:r w:rsidRPr="00241266">
        <w:rPr>
          <w:rFonts w:ascii="Lato" w:hAnsi="Lato" w:cs="Calibri"/>
          <w:bCs/>
          <w:sz w:val="22"/>
          <w:szCs w:val="22"/>
        </w:rPr>
        <w:t>gryficki</w:t>
      </w:r>
      <w:r>
        <w:rPr>
          <w:rFonts w:ascii="Lato" w:hAnsi="Lato" w:cs="Calibri"/>
          <w:bCs/>
          <w:sz w:val="22"/>
          <w:szCs w:val="22"/>
        </w:rPr>
        <w:t>m</w:t>
      </w:r>
      <w:r>
        <w:rPr>
          <w:rFonts w:ascii="Lato" w:hAnsi="Lato" w:cs="Calibri"/>
          <w:bCs/>
          <w:iCs/>
          <w:sz w:val="22"/>
          <w:szCs w:val="22"/>
        </w:rPr>
        <w:t xml:space="preserve"> </w:t>
      </w:r>
      <w:r w:rsidRPr="00241266">
        <w:rPr>
          <w:rFonts w:ascii="Lato" w:hAnsi="Lato" w:cs="Calibri"/>
          <w:bCs/>
          <w:iCs/>
          <w:sz w:val="22"/>
          <w:szCs w:val="22"/>
        </w:rPr>
        <w:t xml:space="preserve">– </w:t>
      </w:r>
      <w:r w:rsidRPr="00241266">
        <w:rPr>
          <w:rFonts w:ascii="Lato" w:hAnsi="Lato" w:cs="Calibri"/>
          <w:bCs/>
          <w:sz w:val="22"/>
          <w:szCs w:val="22"/>
        </w:rPr>
        <w:t>25, sławieński</w:t>
      </w:r>
      <w:r>
        <w:rPr>
          <w:rFonts w:ascii="Lato" w:hAnsi="Lato" w:cs="Calibri"/>
          <w:bCs/>
          <w:sz w:val="22"/>
          <w:szCs w:val="22"/>
        </w:rPr>
        <w:t>m</w:t>
      </w:r>
      <w:r>
        <w:rPr>
          <w:rFonts w:ascii="Lato" w:hAnsi="Lato" w:cs="Calibri"/>
          <w:bCs/>
          <w:iCs/>
          <w:sz w:val="22"/>
          <w:szCs w:val="22"/>
        </w:rPr>
        <w:t xml:space="preserve"> </w:t>
      </w:r>
      <w:r w:rsidRPr="00241266">
        <w:rPr>
          <w:rFonts w:ascii="Lato" w:hAnsi="Lato" w:cs="Calibri"/>
          <w:bCs/>
          <w:iCs/>
          <w:sz w:val="22"/>
          <w:szCs w:val="22"/>
        </w:rPr>
        <w:t xml:space="preserve">– </w:t>
      </w:r>
      <w:r w:rsidRPr="00241266">
        <w:rPr>
          <w:rFonts w:ascii="Lato" w:hAnsi="Lato" w:cs="Calibri"/>
          <w:bCs/>
          <w:sz w:val="22"/>
          <w:szCs w:val="22"/>
        </w:rPr>
        <w:t>25, koszaliński</w:t>
      </w:r>
      <w:r>
        <w:rPr>
          <w:rFonts w:ascii="Lato" w:hAnsi="Lato" w:cs="Calibri"/>
          <w:bCs/>
          <w:sz w:val="22"/>
          <w:szCs w:val="22"/>
        </w:rPr>
        <w:t>m</w:t>
      </w:r>
      <w:r>
        <w:rPr>
          <w:rFonts w:ascii="Lato" w:hAnsi="Lato" w:cs="Calibri"/>
          <w:bCs/>
          <w:iCs/>
          <w:sz w:val="22"/>
          <w:szCs w:val="22"/>
        </w:rPr>
        <w:t xml:space="preserve"> </w:t>
      </w:r>
      <w:r w:rsidRPr="00241266">
        <w:rPr>
          <w:rFonts w:ascii="Lato" w:hAnsi="Lato" w:cs="Calibri"/>
          <w:bCs/>
          <w:iCs/>
          <w:sz w:val="22"/>
          <w:szCs w:val="22"/>
        </w:rPr>
        <w:t xml:space="preserve">– </w:t>
      </w:r>
      <w:r w:rsidRPr="00241266">
        <w:rPr>
          <w:rFonts w:ascii="Lato" w:hAnsi="Lato" w:cs="Calibri"/>
          <w:bCs/>
          <w:sz w:val="22"/>
          <w:szCs w:val="22"/>
        </w:rPr>
        <w:t>20, kołobrzeski</w:t>
      </w:r>
      <w:r>
        <w:rPr>
          <w:rFonts w:ascii="Lato" w:hAnsi="Lato" w:cs="Calibri"/>
          <w:bCs/>
          <w:sz w:val="22"/>
          <w:szCs w:val="22"/>
        </w:rPr>
        <w:t>m</w:t>
      </w:r>
      <w:r>
        <w:rPr>
          <w:rFonts w:ascii="Lato" w:hAnsi="Lato" w:cs="Calibri"/>
          <w:bCs/>
          <w:iCs/>
          <w:sz w:val="22"/>
          <w:szCs w:val="22"/>
        </w:rPr>
        <w:t xml:space="preserve"> </w:t>
      </w:r>
      <w:r w:rsidRPr="00241266">
        <w:rPr>
          <w:rFonts w:ascii="Lato" w:hAnsi="Lato" w:cs="Calibri"/>
          <w:bCs/>
          <w:iCs/>
          <w:sz w:val="22"/>
          <w:szCs w:val="22"/>
        </w:rPr>
        <w:t xml:space="preserve">– </w:t>
      </w:r>
      <w:r w:rsidRPr="00241266">
        <w:rPr>
          <w:rFonts w:ascii="Lato" w:hAnsi="Lato" w:cs="Calibri"/>
          <w:bCs/>
          <w:sz w:val="22"/>
          <w:szCs w:val="22"/>
        </w:rPr>
        <w:t>18, kamieński</w:t>
      </w:r>
      <w:r>
        <w:rPr>
          <w:rFonts w:ascii="Lato" w:hAnsi="Lato" w:cs="Calibri"/>
          <w:bCs/>
          <w:sz w:val="22"/>
          <w:szCs w:val="22"/>
        </w:rPr>
        <w:t>m</w:t>
      </w:r>
      <w:r>
        <w:rPr>
          <w:rFonts w:ascii="Lato" w:hAnsi="Lato" w:cs="Calibri"/>
          <w:bCs/>
          <w:iCs/>
          <w:sz w:val="22"/>
          <w:szCs w:val="22"/>
        </w:rPr>
        <w:t xml:space="preserve"> </w:t>
      </w:r>
      <w:r w:rsidRPr="00241266">
        <w:rPr>
          <w:rFonts w:ascii="Lato" w:hAnsi="Lato" w:cs="Calibri"/>
          <w:bCs/>
          <w:iCs/>
          <w:sz w:val="22"/>
          <w:szCs w:val="22"/>
        </w:rPr>
        <w:t xml:space="preserve">– </w:t>
      </w:r>
      <w:r w:rsidRPr="00241266">
        <w:rPr>
          <w:rFonts w:ascii="Lato" w:hAnsi="Lato" w:cs="Calibri"/>
          <w:bCs/>
          <w:sz w:val="22"/>
          <w:szCs w:val="22"/>
        </w:rPr>
        <w:t>10, m. Świnoujście</w:t>
      </w:r>
      <w:r>
        <w:rPr>
          <w:rFonts w:ascii="Lato" w:hAnsi="Lato" w:cs="Calibri"/>
          <w:bCs/>
          <w:iCs/>
          <w:sz w:val="22"/>
          <w:szCs w:val="22"/>
        </w:rPr>
        <w:t xml:space="preserve"> </w:t>
      </w:r>
      <w:r w:rsidRPr="00241266">
        <w:rPr>
          <w:rFonts w:ascii="Lato" w:hAnsi="Lato" w:cs="Calibri"/>
          <w:bCs/>
          <w:iCs/>
          <w:sz w:val="22"/>
          <w:szCs w:val="22"/>
        </w:rPr>
        <w:t xml:space="preserve">– </w:t>
      </w:r>
      <w:r w:rsidRPr="00241266">
        <w:rPr>
          <w:rFonts w:ascii="Lato" w:hAnsi="Lato" w:cs="Calibri"/>
          <w:bCs/>
          <w:sz w:val="22"/>
          <w:szCs w:val="22"/>
        </w:rPr>
        <w:t>4, policki</w:t>
      </w:r>
      <w:r>
        <w:rPr>
          <w:rFonts w:ascii="Lato" w:hAnsi="Lato" w:cs="Calibri"/>
          <w:bCs/>
          <w:iCs/>
          <w:sz w:val="22"/>
          <w:szCs w:val="22"/>
        </w:rPr>
        <w:t xml:space="preserve">m </w:t>
      </w:r>
      <w:r w:rsidRPr="00241266">
        <w:rPr>
          <w:rFonts w:ascii="Lato" w:hAnsi="Lato" w:cs="Calibri"/>
          <w:bCs/>
          <w:iCs/>
          <w:sz w:val="22"/>
          <w:szCs w:val="22"/>
        </w:rPr>
        <w:t xml:space="preserve">– </w:t>
      </w:r>
      <w:r w:rsidRPr="00241266">
        <w:rPr>
          <w:rFonts w:ascii="Lato" w:hAnsi="Lato" w:cs="Calibri"/>
          <w:bCs/>
          <w:sz w:val="22"/>
          <w:szCs w:val="22"/>
        </w:rPr>
        <w:t>1, goleniowski</w:t>
      </w:r>
      <w:r>
        <w:rPr>
          <w:rFonts w:ascii="Lato" w:hAnsi="Lato" w:cs="Calibri"/>
          <w:bCs/>
          <w:sz w:val="22"/>
          <w:szCs w:val="22"/>
        </w:rPr>
        <w:t>m</w:t>
      </w:r>
      <w:r>
        <w:rPr>
          <w:rFonts w:ascii="Lato" w:hAnsi="Lato" w:cs="Calibri"/>
          <w:bCs/>
          <w:iCs/>
          <w:sz w:val="22"/>
          <w:szCs w:val="22"/>
        </w:rPr>
        <w:t xml:space="preserve"> </w:t>
      </w:r>
      <w:r w:rsidRPr="00241266">
        <w:rPr>
          <w:rFonts w:ascii="Lato" w:hAnsi="Lato" w:cs="Calibri"/>
          <w:bCs/>
          <w:iCs/>
          <w:sz w:val="22"/>
          <w:szCs w:val="22"/>
        </w:rPr>
        <w:t xml:space="preserve">– </w:t>
      </w:r>
      <w:r w:rsidRPr="00241266">
        <w:rPr>
          <w:rFonts w:ascii="Lato" w:hAnsi="Lato" w:cs="Calibri"/>
          <w:bCs/>
          <w:sz w:val="22"/>
          <w:szCs w:val="22"/>
        </w:rPr>
        <w:t>1;</w:t>
      </w:r>
    </w:p>
    <w:p w14:paraId="52BC20E6" w14:textId="77777777" w:rsidR="009F0C3D" w:rsidRPr="00241266" w:rsidRDefault="009F0C3D">
      <w:pPr>
        <w:pStyle w:val="Akapitzlist"/>
        <w:numPr>
          <w:ilvl w:val="0"/>
          <w:numId w:val="39"/>
        </w:numPr>
        <w:spacing w:line="360" w:lineRule="auto"/>
        <w:ind w:left="567" w:hanging="283"/>
        <w:contextualSpacing w:val="0"/>
        <w:rPr>
          <w:rFonts w:ascii="Lato" w:hAnsi="Lato" w:cs="Calibri"/>
          <w:bCs/>
          <w:iCs/>
          <w:sz w:val="22"/>
          <w:szCs w:val="22"/>
        </w:rPr>
      </w:pPr>
      <w:r w:rsidRPr="00241266">
        <w:rPr>
          <w:rFonts w:ascii="Lato" w:hAnsi="Lato" w:cs="Calibri"/>
          <w:bCs/>
          <w:sz w:val="22"/>
          <w:szCs w:val="22"/>
        </w:rPr>
        <w:t xml:space="preserve">40 kąpielisk śródlądowych </w:t>
      </w:r>
      <w:r>
        <w:rPr>
          <w:rFonts w:ascii="Lato" w:hAnsi="Lato" w:cs="Calibri"/>
          <w:bCs/>
          <w:sz w:val="22"/>
          <w:szCs w:val="22"/>
        </w:rPr>
        <w:t xml:space="preserve">w powiatach: </w:t>
      </w:r>
      <w:r w:rsidRPr="00241266">
        <w:rPr>
          <w:rFonts w:ascii="Lato" w:hAnsi="Lato" w:cs="Calibri"/>
          <w:bCs/>
          <w:sz w:val="22"/>
          <w:szCs w:val="22"/>
        </w:rPr>
        <w:t>drawski</w:t>
      </w:r>
      <w:r>
        <w:rPr>
          <w:rFonts w:ascii="Lato" w:hAnsi="Lato" w:cs="Calibri"/>
          <w:bCs/>
          <w:sz w:val="22"/>
          <w:szCs w:val="22"/>
        </w:rPr>
        <w:t>m</w:t>
      </w:r>
      <w:r>
        <w:rPr>
          <w:rFonts w:ascii="Lato" w:hAnsi="Lato" w:cs="Calibri"/>
          <w:bCs/>
          <w:iCs/>
          <w:sz w:val="22"/>
          <w:szCs w:val="22"/>
        </w:rPr>
        <w:t xml:space="preserve"> </w:t>
      </w:r>
      <w:r w:rsidRPr="00241266">
        <w:rPr>
          <w:rFonts w:ascii="Lato" w:hAnsi="Lato" w:cs="Calibri"/>
          <w:bCs/>
          <w:iCs/>
          <w:sz w:val="22"/>
          <w:szCs w:val="22"/>
        </w:rPr>
        <w:t xml:space="preserve">– </w:t>
      </w:r>
      <w:r w:rsidRPr="00241266">
        <w:rPr>
          <w:rFonts w:ascii="Lato" w:hAnsi="Lato" w:cs="Calibri"/>
          <w:bCs/>
          <w:sz w:val="22"/>
          <w:szCs w:val="22"/>
        </w:rPr>
        <w:t>10, myśliborski</w:t>
      </w:r>
      <w:r>
        <w:rPr>
          <w:rFonts w:ascii="Lato" w:hAnsi="Lato" w:cs="Calibri"/>
          <w:bCs/>
          <w:sz w:val="22"/>
          <w:szCs w:val="22"/>
        </w:rPr>
        <w:t>m</w:t>
      </w:r>
      <w:r>
        <w:rPr>
          <w:rFonts w:ascii="Lato" w:hAnsi="Lato" w:cs="Calibri"/>
          <w:bCs/>
          <w:iCs/>
          <w:sz w:val="22"/>
          <w:szCs w:val="22"/>
        </w:rPr>
        <w:t xml:space="preserve"> </w:t>
      </w:r>
      <w:r w:rsidRPr="00241266">
        <w:rPr>
          <w:rFonts w:ascii="Lato" w:hAnsi="Lato" w:cs="Calibri"/>
          <w:bCs/>
          <w:iCs/>
          <w:sz w:val="22"/>
          <w:szCs w:val="22"/>
        </w:rPr>
        <w:t xml:space="preserve">– </w:t>
      </w:r>
      <w:r w:rsidRPr="00241266">
        <w:rPr>
          <w:rFonts w:ascii="Lato" w:hAnsi="Lato" w:cs="Calibri"/>
          <w:bCs/>
          <w:sz w:val="22"/>
          <w:szCs w:val="22"/>
        </w:rPr>
        <w:t>5, gryfiński</w:t>
      </w:r>
      <w:r>
        <w:rPr>
          <w:rFonts w:ascii="Lato" w:hAnsi="Lato" w:cs="Calibri"/>
          <w:bCs/>
          <w:sz w:val="22"/>
          <w:szCs w:val="22"/>
        </w:rPr>
        <w:t>m</w:t>
      </w:r>
      <w:r>
        <w:rPr>
          <w:rFonts w:ascii="Lato" w:hAnsi="Lato" w:cs="Calibri"/>
          <w:bCs/>
          <w:iCs/>
          <w:sz w:val="22"/>
          <w:szCs w:val="22"/>
        </w:rPr>
        <w:t xml:space="preserve"> </w:t>
      </w:r>
      <w:r w:rsidRPr="00241266">
        <w:rPr>
          <w:rFonts w:ascii="Lato" w:hAnsi="Lato" w:cs="Calibri"/>
          <w:bCs/>
          <w:iCs/>
          <w:sz w:val="22"/>
          <w:szCs w:val="22"/>
        </w:rPr>
        <w:t xml:space="preserve">– </w:t>
      </w:r>
      <w:r w:rsidRPr="00241266">
        <w:rPr>
          <w:rFonts w:ascii="Lato" w:hAnsi="Lato" w:cs="Calibri"/>
          <w:bCs/>
          <w:sz w:val="22"/>
          <w:szCs w:val="22"/>
        </w:rPr>
        <w:t>5, szczecinecki</w:t>
      </w:r>
      <w:r>
        <w:rPr>
          <w:rFonts w:ascii="Lato" w:hAnsi="Lato" w:cs="Calibri"/>
          <w:bCs/>
          <w:sz w:val="22"/>
          <w:szCs w:val="22"/>
        </w:rPr>
        <w:t>m</w:t>
      </w:r>
      <w:r>
        <w:rPr>
          <w:rFonts w:ascii="Lato" w:hAnsi="Lato" w:cs="Calibri"/>
          <w:bCs/>
          <w:iCs/>
          <w:sz w:val="22"/>
          <w:szCs w:val="22"/>
        </w:rPr>
        <w:t xml:space="preserve"> </w:t>
      </w:r>
      <w:r w:rsidRPr="00241266">
        <w:rPr>
          <w:rFonts w:ascii="Lato" w:hAnsi="Lato" w:cs="Calibri"/>
          <w:bCs/>
          <w:iCs/>
          <w:sz w:val="22"/>
          <w:szCs w:val="22"/>
        </w:rPr>
        <w:t xml:space="preserve">– </w:t>
      </w:r>
      <w:r w:rsidRPr="00241266">
        <w:rPr>
          <w:rFonts w:ascii="Lato" w:hAnsi="Lato" w:cs="Calibri"/>
          <w:bCs/>
          <w:sz w:val="22"/>
          <w:szCs w:val="22"/>
        </w:rPr>
        <w:t>5</w:t>
      </w:r>
      <w:r>
        <w:rPr>
          <w:rFonts w:ascii="Lato" w:hAnsi="Lato" w:cs="Calibri"/>
          <w:bCs/>
          <w:sz w:val="22"/>
          <w:szCs w:val="22"/>
        </w:rPr>
        <w:t xml:space="preserve">, </w:t>
      </w:r>
      <w:r w:rsidRPr="00241266">
        <w:rPr>
          <w:rFonts w:ascii="Lato" w:hAnsi="Lato" w:cs="Calibri"/>
          <w:bCs/>
          <w:sz w:val="22"/>
          <w:szCs w:val="22"/>
        </w:rPr>
        <w:t>wałecki</w:t>
      </w:r>
      <w:r>
        <w:rPr>
          <w:rFonts w:ascii="Lato" w:hAnsi="Lato" w:cs="Calibri"/>
          <w:bCs/>
          <w:sz w:val="22"/>
          <w:szCs w:val="22"/>
        </w:rPr>
        <w:t>m</w:t>
      </w:r>
      <w:r>
        <w:rPr>
          <w:rFonts w:ascii="Lato" w:hAnsi="Lato" w:cs="Calibri"/>
          <w:bCs/>
          <w:iCs/>
          <w:sz w:val="22"/>
          <w:szCs w:val="22"/>
        </w:rPr>
        <w:t xml:space="preserve"> </w:t>
      </w:r>
      <w:r w:rsidRPr="00241266">
        <w:rPr>
          <w:rFonts w:ascii="Lato" w:hAnsi="Lato" w:cs="Calibri"/>
          <w:bCs/>
          <w:iCs/>
          <w:sz w:val="22"/>
          <w:szCs w:val="22"/>
        </w:rPr>
        <w:t xml:space="preserve">– </w:t>
      </w:r>
      <w:r w:rsidRPr="00241266">
        <w:rPr>
          <w:rFonts w:ascii="Lato" w:hAnsi="Lato" w:cs="Calibri"/>
          <w:bCs/>
          <w:sz w:val="22"/>
          <w:szCs w:val="22"/>
        </w:rPr>
        <w:t>3, m. Szczecin</w:t>
      </w:r>
      <w:r>
        <w:rPr>
          <w:rFonts w:ascii="Lato" w:hAnsi="Lato" w:cs="Calibri"/>
          <w:bCs/>
          <w:iCs/>
          <w:sz w:val="22"/>
          <w:szCs w:val="22"/>
        </w:rPr>
        <w:t xml:space="preserve"> </w:t>
      </w:r>
      <w:r w:rsidRPr="00241266">
        <w:rPr>
          <w:rFonts w:ascii="Lato" w:hAnsi="Lato" w:cs="Calibri"/>
          <w:bCs/>
          <w:iCs/>
          <w:sz w:val="22"/>
          <w:szCs w:val="22"/>
        </w:rPr>
        <w:t xml:space="preserve">– </w:t>
      </w:r>
      <w:r w:rsidRPr="00241266">
        <w:rPr>
          <w:rFonts w:ascii="Lato" w:hAnsi="Lato" w:cs="Calibri"/>
          <w:bCs/>
          <w:sz w:val="22"/>
          <w:szCs w:val="22"/>
        </w:rPr>
        <w:t>3, choszczeński</w:t>
      </w:r>
      <w:r>
        <w:rPr>
          <w:rFonts w:ascii="Lato" w:hAnsi="Lato" w:cs="Calibri"/>
          <w:bCs/>
          <w:sz w:val="22"/>
          <w:szCs w:val="22"/>
        </w:rPr>
        <w:t>m</w:t>
      </w:r>
      <w:r>
        <w:rPr>
          <w:rFonts w:ascii="Lato" w:hAnsi="Lato" w:cs="Calibri"/>
          <w:bCs/>
          <w:iCs/>
          <w:sz w:val="22"/>
          <w:szCs w:val="22"/>
        </w:rPr>
        <w:t xml:space="preserve"> </w:t>
      </w:r>
      <w:r w:rsidRPr="00241266">
        <w:rPr>
          <w:rFonts w:ascii="Lato" w:hAnsi="Lato" w:cs="Calibri"/>
          <w:bCs/>
          <w:iCs/>
          <w:sz w:val="22"/>
          <w:szCs w:val="22"/>
        </w:rPr>
        <w:t xml:space="preserve">– </w:t>
      </w:r>
      <w:r w:rsidRPr="00241266">
        <w:rPr>
          <w:rFonts w:ascii="Lato" w:hAnsi="Lato" w:cs="Calibri"/>
          <w:bCs/>
          <w:sz w:val="22"/>
          <w:szCs w:val="22"/>
        </w:rPr>
        <w:t>2, goleniowski</w:t>
      </w:r>
      <w:r>
        <w:rPr>
          <w:rFonts w:ascii="Lato" w:hAnsi="Lato" w:cs="Calibri"/>
          <w:bCs/>
          <w:sz w:val="22"/>
          <w:szCs w:val="22"/>
        </w:rPr>
        <w:t>m</w:t>
      </w:r>
      <w:r>
        <w:rPr>
          <w:rFonts w:ascii="Lato" w:hAnsi="Lato" w:cs="Calibri"/>
          <w:bCs/>
          <w:iCs/>
          <w:sz w:val="22"/>
          <w:szCs w:val="22"/>
        </w:rPr>
        <w:t xml:space="preserve"> </w:t>
      </w:r>
      <w:r w:rsidRPr="00241266">
        <w:rPr>
          <w:rFonts w:ascii="Lato" w:hAnsi="Lato" w:cs="Calibri"/>
          <w:bCs/>
          <w:iCs/>
          <w:sz w:val="22"/>
          <w:szCs w:val="22"/>
        </w:rPr>
        <w:t xml:space="preserve">– </w:t>
      </w:r>
      <w:r w:rsidRPr="00241266">
        <w:rPr>
          <w:rFonts w:ascii="Lato" w:hAnsi="Lato" w:cs="Calibri"/>
          <w:bCs/>
          <w:sz w:val="22"/>
          <w:szCs w:val="22"/>
        </w:rPr>
        <w:t>1, gryficki</w:t>
      </w:r>
      <w:r>
        <w:rPr>
          <w:rFonts w:ascii="Lato" w:hAnsi="Lato" w:cs="Calibri"/>
          <w:bCs/>
          <w:sz w:val="22"/>
          <w:szCs w:val="22"/>
        </w:rPr>
        <w:t>m</w:t>
      </w:r>
      <w:r>
        <w:rPr>
          <w:rFonts w:ascii="Lato" w:hAnsi="Lato" w:cs="Calibri"/>
          <w:bCs/>
          <w:iCs/>
          <w:sz w:val="22"/>
          <w:szCs w:val="22"/>
        </w:rPr>
        <w:t xml:space="preserve"> </w:t>
      </w:r>
      <w:r w:rsidRPr="00241266">
        <w:rPr>
          <w:rFonts w:ascii="Lato" w:hAnsi="Lato" w:cs="Calibri"/>
          <w:bCs/>
          <w:iCs/>
          <w:sz w:val="22"/>
          <w:szCs w:val="22"/>
        </w:rPr>
        <w:t xml:space="preserve">– </w:t>
      </w:r>
      <w:r w:rsidRPr="00241266">
        <w:rPr>
          <w:rFonts w:ascii="Lato" w:hAnsi="Lato" w:cs="Calibri"/>
          <w:bCs/>
          <w:sz w:val="22"/>
          <w:szCs w:val="22"/>
        </w:rPr>
        <w:t>1, kamieński</w:t>
      </w:r>
      <w:r>
        <w:rPr>
          <w:rFonts w:ascii="Lato" w:hAnsi="Lato" w:cs="Calibri"/>
          <w:bCs/>
          <w:sz w:val="22"/>
          <w:szCs w:val="22"/>
        </w:rPr>
        <w:t>m</w:t>
      </w:r>
      <w:r>
        <w:rPr>
          <w:rFonts w:ascii="Lato" w:hAnsi="Lato" w:cs="Calibri"/>
          <w:bCs/>
          <w:iCs/>
          <w:sz w:val="22"/>
          <w:szCs w:val="22"/>
        </w:rPr>
        <w:t xml:space="preserve"> </w:t>
      </w:r>
      <w:r w:rsidRPr="00241266">
        <w:rPr>
          <w:rFonts w:ascii="Lato" w:hAnsi="Lato" w:cs="Calibri"/>
          <w:bCs/>
          <w:iCs/>
          <w:sz w:val="22"/>
          <w:szCs w:val="22"/>
        </w:rPr>
        <w:t xml:space="preserve">– </w:t>
      </w:r>
      <w:r w:rsidRPr="00241266">
        <w:rPr>
          <w:rFonts w:ascii="Lato" w:hAnsi="Lato" w:cs="Calibri"/>
          <w:bCs/>
          <w:sz w:val="22"/>
          <w:szCs w:val="22"/>
        </w:rPr>
        <w:t>1, stargardzki</w:t>
      </w:r>
      <w:r>
        <w:rPr>
          <w:rFonts w:ascii="Lato" w:hAnsi="Lato" w:cs="Calibri"/>
          <w:bCs/>
          <w:iCs/>
          <w:sz w:val="22"/>
          <w:szCs w:val="22"/>
        </w:rPr>
        <w:t>m</w:t>
      </w:r>
      <w:r w:rsidRPr="00241266">
        <w:rPr>
          <w:rFonts w:ascii="Lato" w:hAnsi="Lato" w:cs="Calibri"/>
          <w:bCs/>
          <w:iCs/>
          <w:sz w:val="22"/>
          <w:szCs w:val="22"/>
        </w:rPr>
        <w:t xml:space="preserve">– </w:t>
      </w:r>
      <w:r w:rsidRPr="00241266">
        <w:rPr>
          <w:rFonts w:ascii="Lato" w:hAnsi="Lato" w:cs="Calibri"/>
          <w:bCs/>
          <w:sz w:val="22"/>
          <w:szCs w:val="22"/>
        </w:rPr>
        <w:t>1, m. Koszalin</w:t>
      </w:r>
      <w:r>
        <w:rPr>
          <w:rFonts w:ascii="Lato" w:hAnsi="Lato" w:cs="Calibri"/>
          <w:bCs/>
          <w:iCs/>
          <w:sz w:val="22"/>
          <w:szCs w:val="22"/>
        </w:rPr>
        <w:t xml:space="preserve"> </w:t>
      </w:r>
      <w:r w:rsidRPr="00241266">
        <w:rPr>
          <w:rFonts w:ascii="Lato" w:hAnsi="Lato" w:cs="Calibri"/>
          <w:bCs/>
          <w:iCs/>
          <w:sz w:val="22"/>
          <w:szCs w:val="22"/>
        </w:rPr>
        <w:t xml:space="preserve">– </w:t>
      </w:r>
      <w:r w:rsidRPr="00241266">
        <w:rPr>
          <w:rFonts w:ascii="Lato" w:hAnsi="Lato" w:cs="Calibri"/>
          <w:bCs/>
          <w:sz w:val="22"/>
          <w:szCs w:val="22"/>
        </w:rPr>
        <w:t>1, sławieński</w:t>
      </w:r>
      <w:r>
        <w:rPr>
          <w:rFonts w:ascii="Lato" w:hAnsi="Lato" w:cs="Calibri"/>
          <w:bCs/>
          <w:sz w:val="22"/>
          <w:szCs w:val="22"/>
        </w:rPr>
        <w:t>m</w:t>
      </w:r>
      <w:r>
        <w:rPr>
          <w:rFonts w:ascii="Lato" w:hAnsi="Lato" w:cs="Calibri"/>
          <w:bCs/>
          <w:iCs/>
          <w:sz w:val="22"/>
          <w:szCs w:val="22"/>
        </w:rPr>
        <w:t xml:space="preserve"> </w:t>
      </w:r>
      <w:r w:rsidRPr="00241266">
        <w:rPr>
          <w:rFonts w:ascii="Lato" w:hAnsi="Lato" w:cs="Calibri"/>
          <w:bCs/>
          <w:iCs/>
          <w:sz w:val="22"/>
          <w:szCs w:val="22"/>
        </w:rPr>
        <w:t xml:space="preserve">– </w:t>
      </w:r>
      <w:r w:rsidRPr="00241266">
        <w:rPr>
          <w:rFonts w:ascii="Lato" w:hAnsi="Lato" w:cs="Calibri"/>
          <w:bCs/>
          <w:sz w:val="22"/>
          <w:szCs w:val="22"/>
        </w:rPr>
        <w:t>1, policki</w:t>
      </w:r>
      <w:r>
        <w:rPr>
          <w:rFonts w:ascii="Lato" w:hAnsi="Lato" w:cs="Calibri"/>
          <w:bCs/>
          <w:iCs/>
          <w:sz w:val="22"/>
          <w:szCs w:val="22"/>
        </w:rPr>
        <w:t xml:space="preserve">m </w:t>
      </w:r>
      <w:r w:rsidRPr="00241266">
        <w:rPr>
          <w:rFonts w:ascii="Lato" w:hAnsi="Lato" w:cs="Calibri"/>
          <w:bCs/>
          <w:iCs/>
          <w:sz w:val="22"/>
          <w:szCs w:val="22"/>
        </w:rPr>
        <w:t xml:space="preserve">– </w:t>
      </w:r>
      <w:r w:rsidRPr="00241266">
        <w:rPr>
          <w:rFonts w:ascii="Lato" w:hAnsi="Lato" w:cs="Calibri"/>
          <w:bCs/>
          <w:sz w:val="22"/>
          <w:szCs w:val="22"/>
        </w:rPr>
        <w:t>1.</w:t>
      </w:r>
    </w:p>
    <w:p w14:paraId="1647039B" w14:textId="7CD73539" w:rsidR="009F0C3D" w:rsidRPr="00241266" w:rsidRDefault="009F0C3D" w:rsidP="002A5F45">
      <w:pPr>
        <w:spacing w:line="360" w:lineRule="auto"/>
        <w:rPr>
          <w:rFonts w:ascii="Lato" w:hAnsi="Lato" w:cs="Calibri"/>
          <w:bCs/>
          <w:sz w:val="22"/>
          <w:szCs w:val="22"/>
        </w:rPr>
      </w:pPr>
      <w:r>
        <w:rPr>
          <w:rFonts w:ascii="Lato" w:hAnsi="Lato" w:cs="Calibri"/>
          <w:bCs/>
          <w:sz w:val="22"/>
          <w:szCs w:val="22"/>
        </w:rPr>
        <w:t>U</w:t>
      </w:r>
      <w:r w:rsidRPr="00241266">
        <w:rPr>
          <w:rFonts w:ascii="Lato" w:hAnsi="Lato" w:cs="Calibri"/>
          <w:bCs/>
          <w:sz w:val="22"/>
          <w:szCs w:val="22"/>
        </w:rPr>
        <w:t>tworzonych zostało 6 nowych kąpielisk: 4 w pow. koszalińskim (Sarbinowo 2, Mielno Pionierów, Mielno Krokus, Mielno Morska), 1 w pow. m. Koszalin (Wodna Dolina I) oraz 1 w</w:t>
      </w:r>
      <w:r w:rsidR="00FE3EEE">
        <w:rPr>
          <w:rFonts w:ascii="Lato" w:hAnsi="Lato" w:cs="Calibri"/>
          <w:bCs/>
          <w:sz w:val="22"/>
          <w:szCs w:val="22"/>
        </w:rPr>
        <w:t> </w:t>
      </w:r>
      <w:r w:rsidRPr="00241266">
        <w:rPr>
          <w:rFonts w:ascii="Lato" w:hAnsi="Lato" w:cs="Calibri"/>
          <w:bCs/>
          <w:sz w:val="22"/>
          <w:szCs w:val="22"/>
        </w:rPr>
        <w:t xml:space="preserve">pow. m. Świnoujście (Kąpielisko morskie Świnoujście Przytór, w miejscu którego funkcjonowało wcześniej miejsce okazjonalnie wykorzystywane do kąpieli). </w:t>
      </w:r>
      <w:r>
        <w:rPr>
          <w:rFonts w:ascii="Lato" w:hAnsi="Lato" w:cs="Calibri"/>
          <w:bCs/>
          <w:sz w:val="22"/>
          <w:szCs w:val="22"/>
        </w:rPr>
        <w:t>Po 3-letniej przerwie wynikającej z prac modernizacyjnych, ponownie zorganizowano Kąpielisko śródlądowe w Moryniu (pow. gryficki). Nie zorganizowano 8 kąpielisk, które funkcjonowały w</w:t>
      </w:r>
      <w:r w:rsidR="00A9310D">
        <w:rPr>
          <w:rFonts w:ascii="Lato" w:hAnsi="Lato" w:cs="Calibri"/>
          <w:bCs/>
          <w:sz w:val="22"/>
          <w:szCs w:val="22"/>
        </w:rPr>
        <w:t> </w:t>
      </w:r>
      <w:r>
        <w:rPr>
          <w:rFonts w:ascii="Lato" w:hAnsi="Lato" w:cs="Calibri"/>
          <w:bCs/>
          <w:sz w:val="22"/>
          <w:szCs w:val="22"/>
        </w:rPr>
        <w:t xml:space="preserve">ubiegłym sezonie: 5 w pow. koszalińskim (Unieście 221, Porost, Mielno 220, Sarbinowo 222, Mielno Grodzisko), </w:t>
      </w:r>
      <w:r w:rsidRPr="00241266">
        <w:rPr>
          <w:rFonts w:ascii="Lato" w:hAnsi="Lato" w:cs="Calibri"/>
          <w:bCs/>
          <w:sz w:val="22"/>
          <w:szCs w:val="22"/>
        </w:rPr>
        <w:t>1 w  m. Koszalin</w:t>
      </w:r>
      <w:r>
        <w:rPr>
          <w:rFonts w:ascii="Lato" w:hAnsi="Lato" w:cs="Calibri"/>
          <w:bCs/>
          <w:sz w:val="22"/>
          <w:szCs w:val="22"/>
        </w:rPr>
        <w:t xml:space="preserve"> (Wodna Dolina), 1 w pow. myśliborskim (Kąpielisko przy ul.</w:t>
      </w:r>
      <w:r w:rsidR="00A9310D">
        <w:rPr>
          <w:rFonts w:ascii="Lato" w:hAnsi="Lato" w:cs="Calibri"/>
          <w:bCs/>
          <w:sz w:val="22"/>
          <w:szCs w:val="22"/>
        </w:rPr>
        <w:t> </w:t>
      </w:r>
      <w:r>
        <w:rPr>
          <w:rFonts w:ascii="Lato" w:hAnsi="Lato" w:cs="Calibri"/>
          <w:bCs/>
          <w:sz w:val="22"/>
          <w:szCs w:val="22"/>
        </w:rPr>
        <w:t xml:space="preserve">Cienistej w Myśliborzu) oraz 1 w </w:t>
      </w:r>
      <w:r w:rsidRPr="00241266">
        <w:rPr>
          <w:rFonts w:ascii="Lato" w:hAnsi="Lato" w:cs="Calibri"/>
          <w:bCs/>
          <w:sz w:val="22"/>
          <w:szCs w:val="22"/>
        </w:rPr>
        <w:t>m. Świnoujście</w:t>
      </w:r>
      <w:r>
        <w:rPr>
          <w:rFonts w:ascii="Lato" w:hAnsi="Lato" w:cs="Calibri"/>
          <w:bCs/>
          <w:sz w:val="22"/>
          <w:szCs w:val="22"/>
        </w:rPr>
        <w:t xml:space="preserve"> (Kąpielisko morskie Świnoujście </w:t>
      </w:r>
      <w:proofErr w:type="spellStart"/>
      <w:r>
        <w:rPr>
          <w:rFonts w:ascii="Lato" w:hAnsi="Lato" w:cs="Calibri"/>
          <w:bCs/>
          <w:sz w:val="22"/>
          <w:szCs w:val="22"/>
        </w:rPr>
        <w:t>Warszów</w:t>
      </w:r>
      <w:proofErr w:type="spellEnd"/>
      <w:r>
        <w:rPr>
          <w:rFonts w:ascii="Lato" w:hAnsi="Lato" w:cs="Calibri"/>
          <w:bCs/>
          <w:sz w:val="22"/>
          <w:szCs w:val="22"/>
        </w:rPr>
        <w:t xml:space="preserve"> 1).</w:t>
      </w:r>
    </w:p>
    <w:p w14:paraId="3D6201F0" w14:textId="31A314F0" w:rsidR="009F0C3D" w:rsidRDefault="009F0C3D" w:rsidP="002A5F45">
      <w:pPr>
        <w:spacing w:line="360" w:lineRule="auto"/>
        <w:rPr>
          <w:rFonts w:ascii="Lato" w:hAnsi="Lato" w:cs="Calibri"/>
          <w:bCs/>
          <w:sz w:val="22"/>
          <w:szCs w:val="22"/>
        </w:rPr>
      </w:pPr>
      <w:r>
        <w:rPr>
          <w:rFonts w:ascii="Lato" w:hAnsi="Lato" w:cs="Calibri"/>
          <w:bCs/>
          <w:sz w:val="22"/>
          <w:szCs w:val="22"/>
        </w:rPr>
        <w:t>Od 3 lat liczba kąpielisk w województwie utrzymuje się na podobnym poziomie</w:t>
      </w:r>
      <w:r w:rsidRPr="00241266">
        <w:rPr>
          <w:rFonts w:ascii="Lato" w:hAnsi="Lato" w:cs="Calibri"/>
          <w:bCs/>
          <w:sz w:val="22"/>
          <w:szCs w:val="22"/>
        </w:rPr>
        <w:t xml:space="preserve"> (wykres </w:t>
      </w:r>
      <w:r w:rsidR="00241110">
        <w:rPr>
          <w:rFonts w:ascii="Lato" w:hAnsi="Lato" w:cs="Calibri"/>
          <w:bCs/>
          <w:sz w:val="22"/>
          <w:szCs w:val="22"/>
        </w:rPr>
        <w:t>7</w:t>
      </w:r>
      <w:r w:rsidRPr="00241266">
        <w:rPr>
          <w:rFonts w:ascii="Lato" w:hAnsi="Lato" w:cs="Calibri"/>
          <w:bCs/>
          <w:sz w:val="22"/>
          <w:szCs w:val="22"/>
        </w:rPr>
        <w:t>).</w:t>
      </w:r>
    </w:p>
    <w:p w14:paraId="115B85A6" w14:textId="7712688F" w:rsidR="0098791B" w:rsidRDefault="0098791B" w:rsidP="0098791B">
      <w:pPr>
        <w:pStyle w:val="Legenda"/>
        <w:rPr>
          <w:rFonts w:ascii="Lato" w:hAnsi="Lato"/>
          <w:b w:val="0"/>
          <w:bCs w:val="0"/>
          <w:sz w:val="18"/>
          <w:szCs w:val="18"/>
        </w:rPr>
      </w:pPr>
      <w:bookmarkStart w:id="148" w:name="_Toc225859349"/>
      <w:bookmarkStart w:id="149" w:name="_Toc225922352"/>
      <w:r w:rsidRPr="0098791B">
        <w:rPr>
          <w:rFonts w:ascii="Lato" w:hAnsi="Lato"/>
          <w:b w:val="0"/>
          <w:bCs w:val="0"/>
          <w:sz w:val="18"/>
          <w:szCs w:val="18"/>
        </w:rPr>
        <w:t xml:space="preserve">Wykres  </w:t>
      </w:r>
      <w:r w:rsidRPr="0098791B">
        <w:rPr>
          <w:rFonts w:ascii="Lato" w:hAnsi="Lato"/>
          <w:b w:val="0"/>
          <w:bCs w:val="0"/>
          <w:sz w:val="18"/>
          <w:szCs w:val="18"/>
        </w:rPr>
        <w:fldChar w:fldCharType="begin"/>
      </w:r>
      <w:r w:rsidRPr="0098791B">
        <w:rPr>
          <w:rFonts w:ascii="Lato" w:hAnsi="Lato"/>
          <w:b w:val="0"/>
          <w:bCs w:val="0"/>
          <w:sz w:val="18"/>
          <w:szCs w:val="18"/>
        </w:rPr>
        <w:instrText xml:space="preserve"> SEQ Wykres_ \* ARABIC </w:instrText>
      </w:r>
      <w:r w:rsidRPr="0098791B">
        <w:rPr>
          <w:rFonts w:ascii="Lato" w:hAnsi="Lato"/>
          <w:b w:val="0"/>
          <w:bCs w:val="0"/>
          <w:sz w:val="18"/>
          <w:szCs w:val="18"/>
        </w:rPr>
        <w:fldChar w:fldCharType="separate"/>
      </w:r>
      <w:r w:rsidR="002A3179">
        <w:rPr>
          <w:rFonts w:ascii="Lato" w:hAnsi="Lato"/>
          <w:b w:val="0"/>
          <w:bCs w:val="0"/>
          <w:noProof/>
          <w:sz w:val="18"/>
          <w:szCs w:val="18"/>
        </w:rPr>
        <w:t>7</w:t>
      </w:r>
      <w:r w:rsidRPr="0098791B">
        <w:rPr>
          <w:rFonts w:ascii="Lato" w:hAnsi="Lato"/>
          <w:b w:val="0"/>
          <w:bCs w:val="0"/>
          <w:sz w:val="18"/>
          <w:szCs w:val="18"/>
        </w:rPr>
        <w:fldChar w:fldCharType="end"/>
      </w:r>
      <w:r w:rsidRPr="0098791B">
        <w:rPr>
          <w:rFonts w:ascii="Lato" w:hAnsi="Lato"/>
          <w:b w:val="0"/>
          <w:bCs w:val="0"/>
          <w:sz w:val="18"/>
          <w:szCs w:val="18"/>
        </w:rPr>
        <w:t>. Liczba i rodzaj kąpielisk w latach 2018-2025.</w:t>
      </w:r>
      <w:bookmarkEnd w:id="148"/>
      <w:bookmarkEnd w:id="149"/>
    </w:p>
    <w:p w14:paraId="54A286B3" w14:textId="77777777" w:rsidR="00FE3EEE" w:rsidRPr="00FE3EEE" w:rsidRDefault="00FE3EEE" w:rsidP="00FE3EEE"/>
    <w:p w14:paraId="05D5FBD9" w14:textId="77777777" w:rsidR="009F0C3D" w:rsidRPr="00241266" w:rsidRDefault="009F0C3D" w:rsidP="009F0C3D">
      <w:pPr>
        <w:spacing w:line="276" w:lineRule="auto"/>
        <w:rPr>
          <w:rFonts w:ascii="Lato" w:hAnsi="Lato" w:cs="Calibri"/>
          <w:i/>
          <w:iCs/>
          <w:sz w:val="22"/>
          <w:szCs w:val="22"/>
        </w:rPr>
      </w:pPr>
      <w:r w:rsidRPr="00241266">
        <w:rPr>
          <w:rFonts w:ascii="Lato" w:hAnsi="Lato"/>
          <w:noProof/>
          <w:sz w:val="22"/>
          <w:szCs w:val="22"/>
        </w:rPr>
        <w:drawing>
          <wp:inline distT="0" distB="0" distL="0" distR="0" wp14:anchorId="66A604C1" wp14:editId="1241FCB0">
            <wp:extent cx="5263764" cy="2321781"/>
            <wp:effectExtent l="0" t="0" r="13335" b="2540"/>
            <wp:docPr id="1160737239" name="Wykres 1" descr="Wykres przedstawia liczbę kąpielisk z podziałem na morskie i śródlądowe na każdy rok w okresie od roku 2018 do roku 2025. Widoczny jest wzrost liczby kąpielisk w kolejnych latach, a następnie stabilizacja na poziomie około 140 kąpielisk w ostatnich 3 latach.">
              <a:extLst xmlns:a="http://schemas.openxmlformats.org/drawingml/2006/main">
                <a:ext uri="{FF2B5EF4-FFF2-40B4-BE49-F238E27FC236}">
                  <a16:creationId xmlns:a16="http://schemas.microsoft.com/office/drawing/2014/main" id="{809294EB-58A3-0130-AFA4-401748170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D2B73E4" w14:textId="77777777" w:rsidR="009F0C3D" w:rsidRPr="00241266" w:rsidRDefault="009F0C3D" w:rsidP="009F0C3D">
      <w:pPr>
        <w:spacing w:line="276" w:lineRule="auto"/>
        <w:rPr>
          <w:rFonts w:ascii="Lato" w:hAnsi="Lato" w:cs="Calibri"/>
          <w:i/>
          <w:iCs/>
          <w:color w:val="FF0000"/>
          <w:sz w:val="22"/>
          <w:szCs w:val="22"/>
        </w:rPr>
      </w:pPr>
    </w:p>
    <w:p w14:paraId="0709FDA6" w14:textId="77777777" w:rsidR="009F0C3D" w:rsidRPr="002A5F45" w:rsidRDefault="009F0C3D" w:rsidP="002A5F45">
      <w:pPr>
        <w:spacing w:line="360" w:lineRule="auto"/>
        <w:rPr>
          <w:rFonts w:ascii="Lato" w:hAnsi="Lato" w:cs="Calibri"/>
          <w:iCs/>
          <w:sz w:val="22"/>
          <w:szCs w:val="22"/>
        </w:rPr>
      </w:pPr>
      <w:r w:rsidRPr="002A5F45">
        <w:rPr>
          <w:rFonts w:ascii="Lato" w:hAnsi="Lato" w:cs="Calibri"/>
          <w:iCs/>
          <w:sz w:val="22"/>
          <w:szCs w:val="22"/>
        </w:rPr>
        <w:lastRenderedPageBreak/>
        <w:t xml:space="preserve">Sezon kąpielowy w woj. zachodniopomorskim trwał od 1 czerwca do 30 września, jednakże większość kąpielisk zakończyła działalność wraz z końcem sierpnia. </w:t>
      </w:r>
    </w:p>
    <w:p w14:paraId="25547AAF" w14:textId="77777777" w:rsidR="009F0C3D" w:rsidRPr="002A5F45" w:rsidRDefault="009F0C3D" w:rsidP="002A5F45">
      <w:pPr>
        <w:spacing w:line="360" w:lineRule="auto"/>
        <w:rPr>
          <w:rFonts w:ascii="Lato" w:hAnsi="Lato" w:cs="Calibri"/>
          <w:bCs/>
          <w:iCs/>
          <w:sz w:val="22"/>
          <w:szCs w:val="22"/>
        </w:rPr>
      </w:pPr>
      <w:r w:rsidRPr="002A5F45">
        <w:rPr>
          <w:rFonts w:ascii="Lato" w:hAnsi="Lato" w:cs="Calibri"/>
          <w:iCs/>
          <w:sz w:val="22"/>
          <w:szCs w:val="22"/>
        </w:rPr>
        <w:t xml:space="preserve">Podobnie jak w latach poprzednich, na stronie Głównego Inspektoratu Sanitarnego pod adresem </w:t>
      </w:r>
      <w:hyperlink r:id="rId20" w:history="1">
        <w:r w:rsidRPr="002A5F45">
          <w:rPr>
            <w:rStyle w:val="Hipercze"/>
            <w:rFonts w:ascii="Lato" w:eastAsiaTheme="majorEastAsia" w:hAnsi="Lato" w:cs="Calibri"/>
            <w:iCs/>
            <w:sz w:val="22"/>
            <w:szCs w:val="22"/>
          </w:rPr>
          <w:t>http://sk.gis.gov.pl</w:t>
        </w:r>
      </w:hyperlink>
      <w:r w:rsidRPr="002A5F45">
        <w:rPr>
          <w:rFonts w:ascii="Lato" w:hAnsi="Lato" w:cs="Calibri"/>
          <w:iCs/>
          <w:sz w:val="22"/>
          <w:szCs w:val="22"/>
        </w:rPr>
        <w:t xml:space="preserve"> funkcjonował internetowy </w:t>
      </w:r>
      <w:r w:rsidRPr="002A5F45">
        <w:rPr>
          <w:rFonts w:ascii="Lato" w:hAnsi="Lato" w:cs="Calibri"/>
          <w:bCs/>
          <w:sz w:val="22"/>
          <w:szCs w:val="22"/>
        </w:rPr>
        <w:t>Serwis kąpieliskowy</w:t>
      </w:r>
      <w:r w:rsidRPr="002A5F45">
        <w:rPr>
          <w:rFonts w:ascii="Lato" w:hAnsi="Lato" w:cs="Calibri"/>
          <w:bCs/>
          <w:iCs/>
          <w:sz w:val="22"/>
          <w:szCs w:val="22"/>
        </w:rPr>
        <w:t xml:space="preserve"> – portal informacyjny obrazujący na mapie wykaz wszystkich kąpielisk wraz z dostępem do bieżących informacji dot. m.in.  jakości wody (wyniki badań wody, informacje o zakazie kąpieli), temperatury wody, warunków pogodowych (temperatura powietrza, siła wiatru) oraz infrastruktury znajdującej się na obszarze kąpielisk.</w:t>
      </w:r>
    </w:p>
    <w:p w14:paraId="34F359F3" w14:textId="2608414D" w:rsidR="009F0C3D" w:rsidRPr="002A5F45" w:rsidRDefault="009F0C3D" w:rsidP="002A5F45">
      <w:pPr>
        <w:spacing w:line="360" w:lineRule="auto"/>
        <w:rPr>
          <w:rFonts w:ascii="Lato" w:hAnsi="Lato" w:cs="Calibri"/>
          <w:iCs/>
          <w:sz w:val="22"/>
          <w:szCs w:val="22"/>
        </w:rPr>
      </w:pPr>
      <w:r w:rsidRPr="002A5F45">
        <w:rPr>
          <w:rFonts w:ascii="Lato" w:hAnsi="Lato" w:cs="Calibri"/>
          <w:iCs/>
          <w:sz w:val="22"/>
          <w:szCs w:val="22"/>
        </w:rPr>
        <w:t>Jakość wody monitorowano na wszystkich kąpieliskach. Pobrano łącznie 737 próbek wody, na</w:t>
      </w:r>
      <w:r w:rsidR="00A9310D">
        <w:rPr>
          <w:rFonts w:ascii="Lato" w:hAnsi="Lato" w:cs="Calibri"/>
          <w:iCs/>
          <w:sz w:val="22"/>
          <w:szCs w:val="22"/>
        </w:rPr>
        <w:t> </w:t>
      </w:r>
      <w:r w:rsidRPr="002A5F45">
        <w:rPr>
          <w:rFonts w:ascii="Lato" w:hAnsi="Lato" w:cs="Calibri"/>
          <w:iCs/>
          <w:sz w:val="22"/>
          <w:szCs w:val="22"/>
        </w:rPr>
        <w:t>podstawie których, na bieżąco dokonywano oceny jakości wody. W trakcie sezonu kąpielowego wydanych zostało łącznie 29 decyzji dot. zakazu kąpieli. Przyczyną kwestionowania jakości wody było wystąpienie zakwitu sinic (23 przypadki) oraz przekroczenie wartości wskaźników zanieczyszczenia mikrobiologicznego wody (6</w:t>
      </w:r>
      <w:r w:rsidR="00A9310D">
        <w:rPr>
          <w:rFonts w:ascii="Lato" w:hAnsi="Lato" w:cs="Calibri"/>
          <w:iCs/>
          <w:sz w:val="22"/>
          <w:szCs w:val="22"/>
        </w:rPr>
        <w:t> </w:t>
      </w:r>
      <w:r w:rsidRPr="002A5F45">
        <w:rPr>
          <w:rFonts w:ascii="Lato" w:hAnsi="Lato" w:cs="Calibri"/>
          <w:iCs/>
          <w:sz w:val="22"/>
          <w:szCs w:val="22"/>
        </w:rPr>
        <w:t>przypadków).</w:t>
      </w:r>
    </w:p>
    <w:p w14:paraId="76CE98F7" w14:textId="19916E6D" w:rsidR="009F0C3D" w:rsidRPr="002A5F45" w:rsidRDefault="009F0C3D" w:rsidP="002A5F45">
      <w:pPr>
        <w:spacing w:line="360" w:lineRule="auto"/>
        <w:rPr>
          <w:rFonts w:ascii="Lato" w:hAnsi="Lato" w:cs="Calibri"/>
          <w:iCs/>
          <w:sz w:val="22"/>
          <w:szCs w:val="22"/>
        </w:rPr>
      </w:pPr>
      <w:r w:rsidRPr="002A5F45">
        <w:rPr>
          <w:rFonts w:ascii="Lato" w:hAnsi="Lato" w:cs="Calibri"/>
          <w:iCs/>
          <w:sz w:val="22"/>
          <w:szCs w:val="22"/>
        </w:rPr>
        <w:t>Na podstawie wstępnej oceny jakości wody w kąpieliskach</w:t>
      </w:r>
      <w:r w:rsidR="00F971D9">
        <w:rPr>
          <w:rFonts w:ascii="Lato" w:hAnsi="Lato" w:cs="Calibri"/>
          <w:iCs/>
          <w:sz w:val="22"/>
          <w:szCs w:val="22"/>
        </w:rPr>
        <w:t>,</w:t>
      </w:r>
      <w:r w:rsidRPr="002A5F45">
        <w:rPr>
          <w:rFonts w:ascii="Lato" w:hAnsi="Lato" w:cs="Calibri"/>
          <w:iCs/>
          <w:sz w:val="22"/>
          <w:szCs w:val="22"/>
        </w:rPr>
        <w:t xml:space="preserve"> sporządzonej z uwzględnieniem wyników badań wody pobranych w sezonie</w:t>
      </w:r>
      <w:r w:rsidR="00F971D9">
        <w:rPr>
          <w:rFonts w:ascii="Lato" w:hAnsi="Lato" w:cs="Calibri"/>
          <w:iCs/>
          <w:sz w:val="22"/>
          <w:szCs w:val="22"/>
        </w:rPr>
        <w:t>,</w:t>
      </w:r>
      <w:r w:rsidRPr="002A5F45">
        <w:rPr>
          <w:rFonts w:ascii="Lato" w:hAnsi="Lato" w:cs="Calibri"/>
          <w:iCs/>
          <w:sz w:val="22"/>
          <w:szCs w:val="22"/>
        </w:rPr>
        <w:t xml:space="preserve"> 90 kąpielisk uzyskało klasyfikację doskonałą, 26 kąpielisk – dobrą, 11 kąpielisk – dostateczną, 17 kąpielisk </w:t>
      </w:r>
      <w:proofErr w:type="spellStart"/>
      <w:r w:rsidRPr="002A5F45">
        <w:rPr>
          <w:rFonts w:ascii="Lato" w:hAnsi="Lato" w:cs="Calibri"/>
          <w:iCs/>
          <w:sz w:val="22"/>
          <w:szCs w:val="22"/>
        </w:rPr>
        <w:t>nieklasyfikowano</w:t>
      </w:r>
      <w:proofErr w:type="spellEnd"/>
      <w:r w:rsidRPr="002A5F45">
        <w:rPr>
          <w:rFonts w:ascii="Lato" w:hAnsi="Lato" w:cs="Calibri"/>
          <w:iCs/>
          <w:sz w:val="22"/>
          <w:szCs w:val="22"/>
        </w:rPr>
        <w:t xml:space="preserve"> (brak wystarczających danych – głównie  kąpieliska nowe, funkcjonujące przez okres krótszy niż 4 sezony,</w:t>
      </w:r>
      <w:r w:rsidR="00F971D9">
        <w:rPr>
          <w:rFonts w:ascii="Lato" w:hAnsi="Lato" w:cs="Calibri"/>
          <w:iCs/>
          <w:sz w:val="22"/>
          <w:szCs w:val="22"/>
        </w:rPr>
        <w:t xml:space="preserve"> z których wyniki</w:t>
      </w:r>
      <w:r w:rsidRPr="002A5F45">
        <w:rPr>
          <w:rFonts w:ascii="Lato" w:hAnsi="Lato" w:cs="Calibri"/>
          <w:iCs/>
          <w:sz w:val="22"/>
          <w:szCs w:val="22"/>
        </w:rPr>
        <w:t xml:space="preserve"> są podstawą oceny). </w:t>
      </w:r>
      <w:r w:rsidR="00F971D9">
        <w:rPr>
          <w:rFonts w:ascii="Lato" w:hAnsi="Lato" w:cs="Calibri"/>
          <w:iCs/>
          <w:sz w:val="22"/>
          <w:szCs w:val="22"/>
        </w:rPr>
        <w:t>W</w:t>
      </w:r>
      <w:r w:rsidR="00F971D9" w:rsidRPr="002A5F45">
        <w:rPr>
          <w:rFonts w:ascii="Lato" w:hAnsi="Lato" w:cs="Calibri"/>
          <w:iCs/>
          <w:sz w:val="22"/>
          <w:szCs w:val="22"/>
        </w:rPr>
        <w:t xml:space="preserve"> stosunku do ubiegłorocznego sezonu </w:t>
      </w:r>
      <w:r w:rsidR="00F971D9">
        <w:rPr>
          <w:rFonts w:ascii="Lato" w:hAnsi="Lato" w:cs="Calibri"/>
          <w:iCs/>
          <w:sz w:val="22"/>
          <w:szCs w:val="22"/>
        </w:rPr>
        <w:t>27 kąpielisk podniosło swoją klasyfikację.</w:t>
      </w:r>
      <w:r w:rsidRPr="002A5F45">
        <w:rPr>
          <w:rFonts w:ascii="Lato" w:hAnsi="Lato" w:cs="Calibri"/>
          <w:iCs/>
          <w:sz w:val="22"/>
          <w:szCs w:val="22"/>
        </w:rPr>
        <w:t xml:space="preserve"> </w:t>
      </w:r>
    </w:p>
    <w:p w14:paraId="6ECF25D4" w14:textId="77777777" w:rsidR="009F0C3D" w:rsidRPr="00B311A6" w:rsidRDefault="009F0C3D" w:rsidP="009F0C3D">
      <w:pPr>
        <w:spacing w:line="276" w:lineRule="auto"/>
        <w:rPr>
          <w:rFonts w:ascii="Lato" w:hAnsi="Lato" w:cs="Calibri"/>
          <w:sz w:val="22"/>
          <w:szCs w:val="22"/>
        </w:rPr>
      </w:pPr>
    </w:p>
    <w:p w14:paraId="1BEB17A6" w14:textId="689C590C" w:rsidR="009F0C3D" w:rsidRPr="002A5F45" w:rsidRDefault="009F0C3D">
      <w:pPr>
        <w:pStyle w:val="Nagwek2"/>
        <w:numPr>
          <w:ilvl w:val="0"/>
          <w:numId w:val="21"/>
        </w:numPr>
        <w:rPr>
          <w:b/>
          <w:bCs/>
        </w:rPr>
      </w:pPr>
      <w:bookmarkStart w:id="150" w:name="_Toc225859081"/>
      <w:r w:rsidRPr="002A5F45">
        <w:rPr>
          <w:b/>
          <w:bCs/>
        </w:rPr>
        <w:t>Stan sanitarny i jakość wody w miejscach okazjonalnie wykorzystywanych do</w:t>
      </w:r>
      <w:r w:rsidR="00241110">
        <w:rPr>
          <w:b/>
          <w:bCs/>
        </w:rPr>
        <w:t> </w:t>
      </w:r>
      <w:r w:rsidRPr="002A5F45">
        <w:rPr>
          <w:b/>
          <w:bCs/>
        </w:rPr>
        <w:t>kąpieli (</w:t>
      </w:r>
      <w:proofErr w:type="spellStart"/>
      <w:r w:rsidRPr="002A5F45">
        <w:rPr>
          <w:b/>
          <w:bCs/>
        </w:rPr>
        <w:t>mowdk</w:t>
      </w:r>
      <w:proofErr w:type="spellEnd"/>
      <w:r w:rsidRPr="002A5F45">
        <w:rPr>
          <w:b/>
          <w:bCs/>
        </w:rPr>
        <w:t>)</w:t>
      </w:r>
      <w:bookmarkEnd w:id="150"/>
    </w:p>
    <w:p w14:paraId="24F708DC" w14:textId="77777777" w:rsidR="009F0C3D" w:rsidRPr="00241266" w:rsidRDefault="009F0C3D" w:rsidP="009F0C3D">
      <w:pPr>
        <w:pStyle w:val="Styl5"/>
        <w:numPr>
          <w:ilvl w:val="0"/>
          <w:numId w:val="0"/>
        </w:numPr>
        <w:spacing w:line="276" w:lineRule="auto"/>
        <w:jc w:val="left"/>
        <w:rPr>
          <w:rFonts w:ascii="Lato" w:hAnsi="Lato"/>
          <w:sz w:val="22"/>
          <w:szCs w:val="22"/>
        </w:rPr>
      </w:pPr>
    </w:p>
    <w:p w14:paraId="341B9353" w14:textId="77777777" w:rsidR="009F0C3D" w:rsidRPr="00241266" w:rsidRDefault="009F0C3D" w:rsidP="002A5F45">
      <w:pPr>
        <w:spacing w:line="360" w:lineRule="auto"/>
        <w:rPr>
          <w:rFonts w:ascii="Lato" w:hAnsi="Lato" w:cs="Calibri"/>
          <w:sz w:val="22"/>
          <w:szCs w:val="22"/>
        </w:rPr>
      </w:pPr>
      <w:r w:rsidRPr="00241266">
        <w:rPr>
          <w:rFonts w:ascii="Lato" w:hAnsi="Lato" w:cs="Calibri"/>
          <w:sz w:val="22"/>
          <w:szCs w:val="22"/>
        </w:rPr>
        <w:t>W</w:t>
      </w:r>
      <w:r>
        <w:rPr>
          <w:rFonts w:ascii="Lato" w:hAnsi="Lato" w:cs="Calibri"/>
          <w:sz w:val="22"/>
          <w:szCs w:val="22"/>
        </w:rPr>
        <w:t xml:space="preserve"> sezonie kąpielowym zorganizowano 22 </w:t>
      </w:r>
      <w:proofErr w:type="spellStart"/>
      <w:r>
        <w:rPr>
          <w:rFonts w:ascii="Lato" w:hAnsi="Lato" w:cs="Calibri"/>
          <w:sz w:val="22"/>
          <w:szCs w:val="22"/>
        </w:rPr>
        <w:t>mowdk</w:t>
      </w:r>
      <w:proofErr w:type="spellEnd"/>
      <w:r>
        <w:rPr>
          <w:rFonts w:ascii="Lato" w:hAnsi="Lato" w:cs="Calibri"/>
          <w:sz w:val="22"/>
          <w:szCs w:val="22"/>
        </w:rPr>
        <w:t>, które funkcjonowały przez okres nie dłuższy niż 30 kolejnych dni, w tym:</w:t>
      </w:r>
    </w:p>
    <w:p w14:paraId="20EFA1DC" w14:textId="77777777" w:rsidR="009F0C3D" w:rsidRPr="00241266" w:rsidRDefault="009F0C3D">
      <w:pPr>
        <w:pStyle w:val="Akapitzlist"/>
        <w:numPr>
          <w:ilvl w:val="0"/>
          <w:numId w:val="40"/>
        </w:numPr>
        <w:spacing w:line="360" w:lineRule="auto"/>
        <w:contextualSpacing w:val="0"/>
        <w:rPr>
          <w:rFonts w:ascii="Lato" w:hAnsi="Lato" w:cs="Calibri"/>
          <w:bCs/>
          <w:iCs/>
          <w:sz w:val="22"/>
          <w:szCs w:val="22"/>
        </w:rPr>
      </w:pPr>
      <w:r w:rsidRPr="00241266">
        <w:rPr>
          <w:rFonts w:ascii="Lato" w:hAnsi="Lato" w:cs="Calibri"/>
          <w:bCs/>
          <w:iCs/>
          <w:sz w:val="22"/>
          <w:szCs w:val="22"/>
        </w:rPr>
        <w:t>19 śródlądowych (pow.: wałecki</w:t>
      </w:r>
      <w:r>
        <w:rPr>
          <w:rFonts w:ascii="Lato" w:hAnsi="Lato" w:cs="Calibri"/>
          <w:bCs/>
          <w:iCs/>
          <w:sz w:val="22"/>
          <w:szCs w:val="22"/>
        </w:rPr>
        <w:t xml:space="preserve"> </w:t>
      </w:r>
      <w:r w:rsidRPr="00241266">
        <w:rPr>
          <w:rFonts w:ascii="Lato" w:hAnsi="Lato" w:cs="Calibri"/>
          <w:bCs/>
          <w:iCs/>
          <w:sz w:val="22"/>
          <w:szCs w:val="22"/>
        </w:rPr>
        <w:t>– 9, szczecinecki – 8, choszczeński</w:t>
      </w:r>
      <w:r>
        <w:rPr>
          <w:rFonts w:ascii="Lato" w:hAnsi="Lato" w:cs="Calibri"/>
          <w:bCs/>
          <w:iCs/>
          <w:sz w:val="22"/>
          <w:szCs w:val="22"/>
        </w:rPr>
        <w:t xml:space="preserve"> </w:t>
      </w:r>
      <w:r w:rsidRPr="00241266">
        <w:rPr>
          <w:rFonts w:ascii="Lato" w:hAnsi="Lato" w:cs="Calibri"/>
          <w:bCs/>
          <w:iCs/>
          <w:sz w:val="22"/>
          <w:szCs w:val="22"/>
        </w:rPr>
        <w:t xml:space="preserve">– 2); </w:t>
      </w:r>
    </w:p>
    <w:p w14:paraId="24212C12" w14:textId="77777777" w:rsidR="009F0C3D" w:rsidRPr="00241266" w:rsidRDefault="009F0C3D">
      <w:pPr>
        <w:pStyle w:val="Akapitzlist"/>
        <w:numPr>
          <w:ilvl w:val="0"/>
          <w:numId w:val="40"/>
        </w:numPr>
        <w:spacing w:line="360" w:lineRule="auto"/>
        <w:contextualSpacing w:val="0"/>
        <w:rPr>
          <w:rFonts w:ascii="Lato" w:hAnsi="Lato" w:cs="Calibri"/>
          <w:bCs/>
          <w:iCs/>
          <w:sz w:val="22"/>
          <w:szCs w:val="22"/>
        </w:rPr>
      </w:pPr>
      <w:r w:rsidRPr="00241266">
        <w:rPr>
          <w:rFonts w:ascii="Lato" w:hAnsi="Lato" w:cs="Calibri"/>
          <w:bCs/>
          <w:iCs/>
          <w:sz w:val="22"/>
          <w:szCs w:val="22"/>
        </w:rPr>
        <w:t>3 morskie (pow.</w:t>
      </w:r>
      <w:r>
        <w:rPr>
          <w:rFonts w:ascii="Lato" w:hAnsi="Lato" w:cs="Calibri"/>
          <w:bCs/>
          <w:iCs/>
          <w:sz w:val="22"/>
          <w:szCs w:val="22"/>
        </w:rPr>
        <w:t>:</w:t>
      </w:r>
      <w:r w:rsidRPr="00241266">
        <w:rPr>
          <w:rFonts w:ascii="Lato" w:hAnsi="Lato" w:cs="Calibri"/>
          <w:bCs/>
          <w:iCs/>
          <w:sz w:val="22"/>
          <w:szCs w:val="22"/>
        </w:rPr>
        <w:t xml:space="preserve"> goleniowski nad Zalewem Szczecińskim - 2, koszaliński</w:t>
      </w:r>
      <w:r>
        <w:rPr>
          <w:rFonts w:ascii="Lato" w:hAnsi="Lato" w:cs="Calibri"/>
          <w:bCs/>
          <w:iCs/>
          <w:sz w:val="22"/>
          <w:szCs w:val="22"/>
        </w:rPr>
        <w:t xml:space="preserve"> </w:t>
      </w:r>
      <w:r w:rsidRPr="00241266">
        <w:rPr>
          <w:rFonts w:ascii="Lato" w:hAnsi="Lato" w:cs="Calibri"/>
          <w:bCs/>
          <w:iCs/>
          <w:sz w:val="22"/>
          <w:szCs w:val="22"/>
        </w:rPr>
        <w:t xml:space="preserve">– 1). </w:t>
      </w:r>
    </w:p>
    <w:p w14:paraId="27A47C64" w14:textId="3849EA13" w:rsidR="009F0C3D" w:rsidRDefault="009F0C3D" w:rsidP="002A5F45">
      <w:pPr>
        <w:spacing w:line="360" w:lineRule="auto"/>
        <w:rPr>
          <w:rFonts w:ascii="Lato" w:hAnsi="Lato" w:cs="Calibri"/>
          <w:bCs/>
          <w:sz w:val="22"/>
          <w:szCs w:val="22"/>
        </w:rPr>
      </w:pPr>
      <w:r>
        <w:rPr>
          <w:rFonts w:ascii="Lato" w:hAnsi="Lato" w:cs="Calibri"/>
          <w:bCs/>
          <w:iCs/>
          <w:sz w:val="22"/>
          <w:szCs w:val="22"/>
        </w:rPr>
        <w:t>Liczba</w:t>
      </w:r>
      <w:r w:rsidRPr="00241266">
        <w:rPr>
          <w:rFonts w:ascii="Lato" w:hAnsi="Lato" w:cs="Calibri"/>
          <w:bCs/>
          <w:iCs/>
          <w:sz w:val="22"/>
          <w:szCs w:val="22"/>
        </w:rPr>
        <w:t xml:space="preserve"> </w:t>
      </w:r>
      <w:proofErr w:type="spellStart"/>
      <w:r w:rsidRPr="00241266">
        <w:rPr>
          <w:rFonts w:ascii="Lato" w:hAnsi="Lato" w:cs="Calibri"/>
          <w:bCs/>
          <w:iCs/>
          <w:sz w:val="22"/>
          <w:szCs w:val="22"/>
        </w:rPr>
        <w:t>mowdk</w:t>
      </w:r>
      <w:proofErr w:type="spellEnd"/>
      <w:r w:rsidRPr="00241266">
        <w:rPr>
          <w:rFonts w:ascii="Lato" w:hAnsi="Lato" w:cs="Calibri"/>
          <w:bCs/>
          <w:iCs/>
          <w:sz w:val="22"/>
          <w:szCs w:val="22"/>
        </w:rPr>
        <w:t xml:space="preserve"> na terenie woj. zachodniopomorskiego utrzymuje się na podobnym poziomie</w:t>
      </w:r>
      <w:r>
        <w:rPr>
          <w:rFonts w:ascii="Lato" w:hAnsi="Lato" w:cs="Calibri"/>
          <w:bCs/>
          <w:iCs/>
          <w:sz w:val="22"/>
          <w:szCs w:val="22"/>
        </w:rPr>
        <w:t xml:space="preserve"> od 3 lat</w:t>
      </w:r>
      <w:r w:rsidRPr="00241266">
        <w:rPr>
          <w:rFonts w:ascii="Lato" w:hAnsi="Lato" w:cs="Calibri"/>
          <w:bCs/>
          <w:iCs/>
          <w:sz w:val="22"/>
          <w:szCs w:val="22"/>
        </w:rPr>
        <w:t xml:space="preserve"> </w:t>
      </w:r>
      <w:r w:rsidRPr="00241266">
        <w:rPr>
          <w:rFonts w:ascii="Lato" w:hAnsi="Lato" w:cs="Calibri"/>
          <w:bCs/>
          <w:sz w:val="22"/>
          <w:szCs w:val="22"/>
        </w:rPr>
        <w:t xml:space="preserve">(wykres </w:t>
      </w:r>
      <w:r w:rsidR="00241110">
        <w:rPr>
          <w:rFonts w:ascii="Lato" w:hAnsi="Lato" w:cs="Calibri"/>
          <w:bCs/>
          <w:sz w:val="22"/>
          <w:szCs w:val="22"/>
        </w:rPr>
        <w:t>8</w:t>
      </w:r>
      <w:r w:rsidRPr="00241266">
        <w:rPr>
          <w:rFonts w:ascii="Lato" w:hAnsi="Lato" w:cs="Calibri"/>
          <w:bCs/>
          <w:sz w:val="22"/>
          <w:szCs w:val="22"/>
        </w:rPr>
        <w:t>).</w:t>
      </w:r>
    </w:p>
    <w:p w14:paraId="31D613F9" w14:textId="77777777" w:rsidR="002E2CC9" w:rsidRPr="00861C50" w:rsidRDefault="002E2CC9" w:rsidP="002E2CC9">
      <w:pPr>
        <w:spacing w:line="360" w:lineRule="auto"/>
        <w:rPr>
          <w:rFonts w:ascii="Lato" w:hAnsi="Lato" w:cs="Calibri"/>
          <w:bCs/>
          <w:sz w:val="22"/>
          <w:szCs w:val="22"/>
        </w:rPr>
      </w:pPr>
      <w:r w:rsidRPr="00861C50">
        <w:rPr>
          <w:rFonts w:ascii="Lato" w:hAnsi="Lato" w:cs="Calibri"/>
          <w:bCs/>
          <w:iCs/>
          <w:sz w:val="22"/>
          <w:szCs w:val="22"/>
        </w:rPr>
        <w:t xml:space="preserve">Monitorowano jakość wody we wszystkich 22 </w:t>
      </w:r>
      <w:proofErr w:type="spellStart"/>
      <w:r w:rsidRPr="00861C50">
        <w:rPr>
          <w:rFonts w:ascii="Lato" w:hAnsi="Lato" w:cs="Calibri"/>
          <w:bCs/>
          <w:iCs/>
          <w:sz w:val="22"/>
          <w:szCs w:val="22"/>
        </w:rPr>
        <w:t>mowdk</w:t>
      </w:r>
      <w:proofErr w:type="spellEnd"/>
      <w:r w:rsidRPr="00861C50">
        <w:rPr>
          <w:rFonts w:ascii="Lato" w:hAnsi="Lato" w:cs="Calibri"/>
          <w:bCs/>
          <w:iCs/>
          <w:sz w:val="22"/>
          <w:szCs w:val="22"/>
        </w:rPr>
        <w:t>. Badania próbek wody oraz ocena wizualna nie wykazały nieprawidłowości, w związku z czym nie wprowadzano zakazów kąpieli.</w:t>
      </w:r>
    </w:p>
    <w:p w14:paraId="7CC9000F" w14:textId="77777777" w:rsidR="002E2CC9" w:rsidRPr="00861C50" w:rsidRDefault="002E2CC9" w:rsidP="002E2CC9">
      <w:pPr>
        <w:spacing w:line="360" w:lineRule="auto"/>
        <w:rPr>
          <w:rFonts w:ascii="Lato" w:hAnsi="Lato" w:cs="Calibri"/>
          <w:sz w:val="22"/>
          <w:szCs w:val="22"/>
        </w:rPr>
      </w:pPr>
      <w:r w:rsidRPr="00861C50">
        <w:rPr>
          <w:rFonts w:ascii="Lato" w:hAnsi="Lato" w:cs="Calibri"/>
          <w:bCs/>
          <w:iCs/>
          <w:sz w:val="22"/>
          <w:szCs w:val="22"/>
        </w:rPr>
        <w:t xml:space="preserve">Na stronie internetowej Wojewódzkiej Stacji Sanitarno-Epidemiologicznej w Szczecinie pod adresem </w:t>
      </w:r>
      <w:hyperlink r:id="rId21" w:history="1">
        <w:r w:rsidRPr="00861C50">
          <w:rPr>
            <w:rStyle w:val="Hipercze"/>
            <w:rFonts w:ascii="Lato" w:eastAsiaTheme="majorEastAsia" w:hAnsi="Lato" w:cs="Calibri"/>
            <w:bCs/>
            <w:iCs/>
            <w:sz w:val="22"/>
            <w:szCs w:val="22"/>
          </w:rPr>
          <w:t>https://www.gov.pl/web/wsse-szczecin</w:t>
        </w:r>
      </w:hyperlink>
      <w:r w:rsidRPr="00861C50">
        <w:rPr>
          <w:rFonts w:ascii="Lato" w:hAnsi="Lato" w:cs="Calibri"/>
          <w:bCs/>
          <w:iCs/>
          <w:sz w:val="22"/>
          <w:szCs w:val="22"/>
        </w:rPr>
        <w:t xml:space="preserve"> aktualizowano wykaz miejsc okazjonalnie wykorzystywanych do kąpieli wraz z informacją o bieżącej ocenie jakości wody.</w:t>
      </w:r>
    </w:p>
    <w:p w14:paraId="04D31B97" w14:textId="77777777" w:rsidR="002E2CC9" w:rsidRDefault="002E2CC9" w:rsidP="002A5F45">
      <w:pPr>
        <w:spacing w:line="360" w:lineRule="auto"/>
        <w:rPr>
          <w:rFonts w:ascii="Lato" w:hAnsi="Lato" w:cs="Calibri"/>
          <w:bCs/>
          <w:sz w:val="22"/>
          <w:szCs w:val="22"/>
        </w:rPr>
      </w:pPr>
    </w:p>
    <w:p w14:paraId="5BAA4194" w14:textId="76B3B6EF" w:rsidR="00356C26" w:rsidRDefault="00356C26" w:rsidP="00356C26">
      <w:pPr>
        <w:pStyle w:val="Legenda"/>
        <w:rPr>
          <w:rFonts w:ascii="Lato" w:hAnsi="Lato"/>
          <w:b w:val="0"/>
          <w:bCs w:val="0"/>
          <w:sz w:val="18"/>
          <w:szCs w:val="18"/>
        </w:rPr>
      </w:pPr>
      <w:bookmarkStart w:id="151" w:name="_Toc225859350"/>
      <w:bookmarkStart w:id="152" w:name="_Toc225922353"/>
      <w:r w:rsidRPr="00356C26">
        <w:rPr>
          <w:rFonts w:ascii="Lato" w:hAnsi="Lato"/>
          <w:b w:val="0"/>
          <w:bCs w:val="0"/>
          <w:sz w:val="18"/>
          <w:szCs w:val="18"/>
        </w:rPr>
        <w:lastRenderedPageBreak/>
        <w:t xml:space="preserve">Wykres  </w:t>
      </w:r>
      <w:r w:rsidRPr="00356C26">
        <w:rPr>
          <w:rFonts w:ascii="Lato" w:hAnsi="Lato"/>
          <w:b w:val="0"/>
          <w:bCs w:val="0"/>
          <w:sz w:val="18"/>
          <w:szCs w:val="18"/>
        </w:rPr>
        <w:fldChar w:fldCharType="begin"/>
      </w:r>
      <w:r w:rsidRPr="00356C26">
        <w:rPr>
          <w:rFonts w:ascii="Lato" w:hAnsi="Lato"/>
          <w:b w:val="0"/>
          <w:bCs w:val="0"/>
          <w:sz w:val="18"/>
          <w:szCs w:val="18"/>
        </w:rPr>
        <w:instrText xml:space="preserve"> SEQ Wykres_ \* ARABIC </w:instrText>
      </w:r>
      <w:r w:rsidRPr="00356C26">
        <w:rPr>
          <w:rFonts w:ascii="Lato" w:hAnsi="Lato"/>
          <w:b w:val="0"/>
          <w:bCs w:val="0"/>
          <w:sz w:val="18"/>
          <w:szCs w:val="18"/>
        </w:rPr>
        <w:fldChar w:fldCharType="separate"/>
      </w:r>
      <w:r w:rsidR="002A3179">
        <w:rPr>
          <w:rFonts w:ascii="Lato" w:hAnsi="Lato"/>
          <w:b w:val="0"/>
          <w:bCs w:val="0"/>
          <w:noProof/>
          <w:sz w:val="18"/>
          <w:szCs w:val="18"/>
        </w:rPr>
        <w:t>8</w:t>
      </w:r>
      <w:r w:rsidRPr="00356C26">
        <w:rPr>
          <w:rFonts w:ascii="Lato" w:hAnsi="Lato"/>
          <w:b w:val="0"/>
          <w:bCs w:val="0"/>
          <w:sz w:val="18"/>
          <w:szCs w:val="18"/>
        </w:rPr>
        <w:fldChar w:fldCharType="end"/>
      </w:r>
      <w:r w:rsidRPr="00356C26">
        <w:rPr>
          <w:rFonts w:ascii="Lato" w:hAnsi="Lato"/>
          <w:b w:val="0"/>
          <w:bCs w:val="0"/>
          <w:sz w:val="18"/>
          <w:szCs w:val="18"/>
        </w:rPr>
        <w:t>. Liczba i rodzaj miejsc okazjonalnie wykorzystywanych do kąpieli w latach 2018-2025.</w:t>
      </w:r>
      <w:bookmarkEnd w:id="151"/>
      <w:bookmarkEnd w:id="152"/>
    </w:p>
    <w:p w14:paraId="35EAFF8C" w14:textId="77777777" w:rsidR="00241110" w:rsidRPr="00241110" w:rsidRDefault="00241110" w:rsidP="00241110"/>
    <w:p w14:paraId="28100F88" w14:textId="77777777" w:rsidR="009F0C3D" w:rsidRPr="00241266" w:rsidRDefault="009F0C3D" w:rsidP="009F0C3D">
      <w:pPr>
        <w:spacing w:line="276" w:lineRule="auto"/>
        <w:rPr>
          <w:rFonts w:ascii="Lato" w:hAnsi="Lato" w:cs="Calibri"/>
          <w:i/>
          <w:iCs/>
          <w:sz w:val="22"/>
          <w:szCs w:val="22"/>
        </w:rPr>
      </w:pPr>
      <w:r w:rsidRPr="00241266">
        <w:rPr>
          <w:rFonts w:ascii="Lato" w:hAnsi="Lato"/>
          <w:noProof/>
          <w:sz w:val="22"/>
          <w:szCs w:val="22"/>
        </w:rPr>
        <w:drawing>
          <wp:inline distT="0" distB="0" distL="0" distR="0" wp14:anchorId="5669C374" wp14:editId="327C0F9C">
            <wp:extent cx="5759450" cy="3219450"/>
            <wp:effectExtent l="0" t="0" r="12700" b="0"/>
            <wp:docPr id="698171900" name="Wykres 1" descr="Wykres przedstawia liczbę mowdk z podziałem na morskie i śródlądowe na każdy rok w okresie od roku 2018 do roku 2025. Widoczny jest spadek liczby mowdk w latach 2018-2020 oraz stabilizacja na poziomie ok. 20 mowdk w latach 2023-2025.">
              <a:extLst xmlns:a="http://schemas.openxmlformats.org/drawingml/2006/main">
                <a:ext uri="{FF2B5EF4-FFF2-40B4-BE49-F238E27FC236}">
                  <a16:creationId xmlns:a16="http://schemas.microsoft.com/office/drawing/2014/main" id="{EA51100B-3FB6-4D93-A392-32710D7E6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308D21" w14:textId="77777777" w:rsidR="009F0C3D" w:rsidRPr="00861C50" w:rsidRDefault="009F0C3D" w:rsidP="00861C50">
      <w:pPr>
        <w:spacing w:line="360" w:lineRule="auto"/>
        <w:rPr>
          <w:rFonts w:ascii="Lato" w:hAnsi="Lato" w:cs="Calibri"/>
          <w:bCs/>
          <w:iCs/>
          <w:sz w:val="22"/>
          <w:szCs w:val="22"/>
        </w:rPr>
      </w:pPr>
    </w:p>
    <w:p w14:paraId="766C6134" w14:textId="23AC54AC" w:rsidR="009F0C3D" w:rsidRPr="00861C50" w:rsidRDefault="009F0C3D" w:rsidP="00861C50">
      <w:pPr>
        <w:spacing w:line="360" w:lineRule="auto"/>
        <w:rPr>
          <w:rFonts w:ascii="Lato" w:hAnsi="Lato" w:cs="Calibri"/>
          <w:sz w:val="22"/>
          <w:szCs w:val="22"/>
        </w:rPr>
      </w:pPr>
      <w:r w:rsidRPr="00861C50">
        <w:rPr>
          <w:rFonts w:ascii="Lato" w:hAnsi="Lato" w:cs="Calibri"/>
          <w:sz w:val="22"/>
          <w:szCs w:val="22"/>
        </w:rPr>
        <w:t xml:space="preserve">Biorąc pod uwagę wyniki z lat wcześniejszych nie zaobserwowano znaczących zmian dot. jakości wody </w:t>
      </w:r>
      <w:r w:rsidR="00F37ABA">
        <w:rPr>
          <w:rFonts w:ascii="Lato" w:hAnsi="Lato" w:cs="Calibri"/>
          <w:sz w:val="22"/>
          <w:szCs w:val="22"/>
        </w:rPr>
        <w:t>oraz</w:t>
      </w:r>
      <w:r w:rsidRPr="00861C50">
        <w:rPr>
          <w:rFonts w:ascii="Lato" w:hAnsi="Lato" w:cs="Calibri"/>
          <w:sz w:val="22"/>
          <w:szCs w:val="22"/>
        </w:rPr>
        <w:t xml:space="preserve"> warunków na </w:t>
      </w:r>
      <w:proofErr w:type="spellStart"/>
      <w:r w:rsidRPr="00861C50">
        <w:rPr>
          <w:rFonts w:ascii="Lato" w:hAnsi="Lato" w:cs="Calibri"/>
          <w:sz w:val="22"/>
          <w:szCs w:val="22"/>
        </w:rPr>
        <w:t>mowdk</w:t>
      </w:r>
      <w:proofErr w:type="spellEnd"/>
      <w:r w:rsidRPr="00861C50">
        <w:rPr>
          <w:rFonts w:ascii="Lato" w:hAnsi="Lato" w:cs="Calibri"/>
          <w:sz w:val="22"/>
          <w:szCs w:val="22"/>
        </w:rPr>
        <w:t xml:space="preserve">. W ciągu ostatnich 5 lat nie stwierdzano nieprawidłowości związanych z jakością wody i bezpieczeństwem higieniczno-sanitarnym </w:t>
      </w:r>
      <w:proofErr w:type="spellStart"/>
      <w:r w:rsidRPr="00861C50">
        <w:rPr>
          <w:rFonts w:ascii="Lato" w:hAnsi="Lato" w:cs="Calibri"/>
          <w:sz w:val="22"/>
          <w:szCs w:val="22"/>
        </w:rPr>
        <w:t>mowdk</w:t>
      </w:r>
      <w:proofErr w:type="spellEnd"/>
      <w:r w:rsidRPr="00861C50">
        <w:rPr>
          <w:rFonts w:ascii="Lato" w:hAnsi="Lato" w:cs="Calibri"/>
          <w:sz w:val="22"/>
          <w:szCs w:val="22"/>
        </w:rPr>
        <w:t>.</w:t>
      </w:r>
    </w:p>
    <w:p w14:paraId="36DA1009" w14:textId="77777777" w:rsidR="009F0C3D" w:rsidRDefault="009F0C3D" w:rsidP="009F0C3D"/>
    <w:p w14:paraId="7C38B23A" w14:textId="135A73CE" w:rsidR="003B1AC6" w:rsidRPr="00241110" w:rsidRDefault="009F0C3D" w:rsidP="003B1AC6">
      <w:pPr>
        <w:spacing w:after="160" w:line="278" w:lineRule="auto"/>
        <w:rPr>
          <w:rFonts w:ascii="Lato" w:eastAsiaTheme="majorEastAsia" w:hAnsi="Lato" w:cstheme="majorBidi"/>
          <w:color w:val="4C94D8" w:themeColor="text2" w:themeTint="80"/>
          <w:sz w:val="32"/>
          <w:szCs w:val="40"/>
        </w:rPr>
      </w:pPr>
      <w:r>
        <w:br w:type="page"/>
      </w:r>
    </w:p>
    <w:p w14:paraId="5BA980CA" w14:textId="41A84668" w:rsidR="003141C3" w:rsidRPr="00BA2854" w:rsidRDefault="003141C3">
      <w:pPr>
        <w:pStyle w:val="Nagwek1"/>
        <w:numPr>
          <w:ilvl w:val="0"/>
          <w:numId w:val="16"/>
        </w:numPr>
        <w:rPr>
          <w:color w:val="153D63" w:themeColor="text2" w:themeTint="E6"/>
        </w:rPr>
      </w:pPr>
      <w:bookmarkStart w:id="153" w:name="_Toc225859082"/>
      <w:r w:rsidRPr="00BA2854">
        <w:rPr>
          <w:color w:val="153D63" w:themeColor="text2" w:themeTint="E6"/>
        </w:rPr>
        <w:lastRenderedPageBreak/>
        <w:t>Stan sanitarny miejsc ogólnie dostępnych oraz obiektów użyteczności publicznej</w:t>
      </w:r>
      <w:bookmarkEnd w:id="153"/>
    </w:p>
    <w:p w14:paraId="10BEA7FE" w14:textId="77777777" w:rsidR="003141C3" w:rsidRPr="009476ED" w:rsidRDefault="003141C3" w:rsidP="003141C3">
      <w:pPr>
        <w:pStyle w:val="Nagwek2"/>
        <w:rPr>
          <w:b/>
          <w:bCs/>
          <w:sz w:val="22"/>
          <w:szCs w:val="22"/>
        </w:rPr>
      </w:pPr>
    </w:p>
    <w:p w14:paraId="7D3F703F" w14:textId="182E6AE3" w:rsidR="003141C3" w:rsidRPr="009476ED" w:rsidRDefault="003141C3">
      <w:pPr>
        <w:pStyle w:val="Nagwek2"/>
        <w:numPr>
          <w:ilvl w:val="0"/>
          <w:numId w:val="3"/>
        </w:numPr>
        <w:spacing w:before="0" w:after="0" w:line="360" w:lineRule="auto"/>
        <w:ind w:left="568" w:right="284" w:hanging="284"/>
        <w:rPr>
          <w:b/>
          <w:bCs/>
          <w:szCs w:val="24"/>
        </w:rPr>
      </w:pPr>
      <w:bookmarkStart w:id="154" w:name="_Toc225859083"/>
      <w:r w:rsidRPr="009476ED">
        <w:rPr>
          <w:b/>
          <w:bCs/>
          <w:szCs w:val="24"/>
        </w:rPr>
        <w:t>Nadzór nad obiektami użyteczności publicznej</w:t>
      </w:r>
      <w:bookmarkEnd w:id="154"/>
    </w:p>
    <w:p w14:paraId="6BEBBDEF" w14:textId="77777777" w:rsidR="001C532D" w:rsidRPr="007F1EB8" w:rsidRDefault="001C532D" w:rsidP="00C42434">
      <w:pPr>
        <w:spacing w:line="360" w:lineRule="auto"/>
        <w:rPr>
          <w:rFonts w:ascii="Lato" w:hAnsi="Lato" w:cs="Calibri"/>
          <w:sz w:val="22"/>
          <w:szCs w:val="22"/>
        </w:rPr>
      </w:pPr>
      <w:r w:rsidRPr="007F1EB8">
        <w:rPr>
          <w:rFonts w:ascii="Lato" w:hAnsi="Lato" w:cs="Calibri"/>
          <w:sz w:val="22"/>
          <w:szCs w:val="22"/>
        </w:rPr>
        <w:t>W ewidencji Państwowej Inspekcji Sanitarnej w woj. zachodniopomorskim znajduje się 14</w:t>
      </w:r>
      <w:r>
        <w:rPr>
          <w:rFonts w:ascii="Lato" w:hAnsi="Lato" w:cs="Calibri"/>
          <w:sz w:val="22"/>
          <w:szCs w:val="22"/>
        </w:rPr>
        <w:t xml:space="preserve"> </w:t>
      </w:r>
      <w:r w:rsidRPr="007F1EB8">
        <w:rPr>
          <w:rFonts w:ascii="Lato" w:hAnsi="Lato" w:cs="Calibri"/>
          <w:sz w:val="22"/>
          <w:szCs w:val="22"/>
        </w:rPr>
        <w:t xml:space="preserve">445 obiektów </w:t>
      </w:r>
      <w:r w:rsidRPr="006432C0">
        <w:rPr>
          <w:rFonts w:ascii="Lato" w:hAnsi="Lato" w:cs="Calibri"/>
          <w:color w:val="000000"/>
          <w:sz w:val="22"/>
          <w:szCs w:val="22"/>
        </w:rPr>
        <w:t xml:space="preserve">ogólnodostępnych (np. hotele, dworce, salony kosmetyczne, </w:t>
      </w:r>
      <w:r>
        <w:rPr>
          <w:rFonts w:ascii="Lato" w:hAnsi="Lato" w:cs="Calibri"/>
          <w:color w:val="000000"/>
          <w:sz w:val="22"/>
          <w:szCs w:val="22"/>
        </w:rPr>
        <w:t>domy pomocy społecznej</w:t>
      </w:r>
      <w:r w:rsidRPr="006432C0">
        <w:rPr>
          <w:rFonts w:ascii="Lato" w:hAnsi="Lato" w:cs="Calibri"/>
          <w:color w:val="000000"/>
          <w:sz w:val="22"/>
          <w:szCs w:val="22"/>
        </w:rPr>
        <w:t>, pływalnie), z których w 2025 r</w:t>
      </w:r>
      <w:r>
        <w:rPr>
          <w:rFonts w:ascii="Lato" w:hAnsi="Lato" w:cs="Calibri"/>
          <w:color w:val="000000"/>
          <w:sz w:val="22"/>
          <w:szCs w:val="22"/>
        </w:rPr>
        <w:t>oku</w:t>
      </w:r>
      <w:r w:rsidRPr="006432C0">
        <w:rPr>
          <w:rFonts w:ascii="Lato" w:hAnsi="Lato" w:cs="Calibri"/>
          <w:color w:val="000000"/>
          <w:sz w:val="22"/>
          <w:szCs w:val="22"/>
        </w:rPr>
        <w:t xml:space="preserve"> skontrolowano</w:t>
      </w:r>
      <w:r w:rsidRPr="007F1EB8">
        <w:rPr>
          <w:rFonts w:ascii="Lato" w:hAnsi="Lato" w:cs="Calibri"/>
          <w:sz w:val="22"/>
          <w:szCs w:val="22"/>
        </w:rPr>
        <w:t xml:space="preserve"> 4</w:t>
      </w:r>
      <w:r>
        <w:rPr>
          <w:rFonts w:ascii="Lato" w:hAnsi="Lato" w:cs="Calibri"/>
          <w:sz w:val="22"/>
          <w:szCs w:val="22"/>
        </w:rPr>
        <w:t xml:space="preserve"> </w:t>
      </w:r>
      <w:r w:rsidRPr="007F1EB8">
        <w:rPr>
          <w:rFonts w:ascii="Lato" w:hAnsi="Lato" w:cs="Calibri"/>
          <w:sz w:val="22"/>
          <w:szCs w:val="22"/>
        </w:rPr>
        <w:t>407 (30%). Niewłaściwy stan higieniczno-sanitarny lub techniczny stwierdzono w 402</w:t>
      </w:r>
      <w:r>
        <w:rPr>
          <w:rFonts w:ascii="Lato" w:hAnsi="Lato" w:cs="Calibri"/>
          <w:sz w:val="22"/>
          <w:szCs w:val="22"/>
        </w:rPr>
        <w:t xml:space="preserve"> </w:t>
      </w:r>
      <w:r w:rsidRPr="007F1EB8">
        <w:rPr>
          <w:rFonts w:ascii="Lato" w:hAnsi="Lato" w:cs="Calibri"/>
          <w:sz w:val="22"/>
          <w:szCs w:val="22"/>
        </w:rPr>
        <w:t>obiektach.</w:t>
      </w:r>
    </w:p>
    <w:p w14:paraId="4DE276BB" w14:textId="77777777" w:rsidR="001C532D" w:rsidRPr="007F1EB8" w:rsidRDefault="001C532D" w:rsidP="00C42434">
      <w:pPr>
        <w:spacing w:line="360" w:lineRule="auto"/>
        <w:rPr>
          <w:rFonts w:ascii="Lato" w:hAnsi="Lato" w:cs="Calibri"/>
          <w:color w:val="000000"/>
          <w:sz w:val="22"/>
          <w:szCs w:val="22"/>
        </w:rPr>
      </w:pPr>
    </w:p>
    <w:p w14:paraId="03F1B5FC" w14:textId="457E1F8D" w:rsidR="001C532D" w:rsidRPr="007F1EB8" w:rsidRDefault="001C532D" w:rsidP="00C42434">
      <w:pPr>
        <w:spacing w:line="360" w:lineRule="auto"/>
        <w:rPr>
          <w:rFonts w:ascii="Lato" w:hAnsi="Lato" w:cs="Calibri"/>
          <w:color w:val="000000"/>
          <w:sz w:val="22"/>
          <w:szCs w:val="22"/>
        </w:rPr>
      </w:pPr>
      <w:r>
        <w:rPr>
          <w:rFonts w:ascii="Lato" w:hAnsi="Lato" w:cs="Calibri"/>
          <w:color w:val="000000"/>
          <w:sz w:val="22"/>
          <w:szCs w:val="22"/>
        </w:rPr>
        <w:t>N</w:t>
      </w:r>
      <w:r w:rsidRPr="007F1EB8">
        <w:rPr>
          <w:rFonts w:ascii="Lato" w:hAnsi="Lato" w:cs="Calibri"/>
          <w:color w:val="000000"/>
          <w:sz w:val="22"/>
          <w:szCs w:val="22"/>
        </w:rPr>
        <w:t>ieprawidłowości</w:t>
      </w:r>
      <w:r>
        <w:rPr>
          <w:rFonts w:ascii="Lato" w:hAnsi="Lato" w:cs="Calibri"/>
          <w:color w:val="000000"/>
          <w:sz w:val="22"/>
          <w:szCs w:val="22"/>
        </w:rPr>
        <w:t xml:space="preserve"> d</w:t>
      </w:r>
      <w:r w:rsidRPr="007F1EB8">
        <w:rPr>
          <w:rFonts w:ascii="Lato" w:hAnsi="Lato" w:cs="Calibri"/>
          <w:color w:val="000000"/>
          <w:sz w:val="22"/>
          <w:szCs w:val="22"/>
        </w:rPr>
        <w:t>otyczyły głównie niewłaściwego stanu higieniczno-sanitarnego i</w:t>
      </w:r>
      <w:r w:rsidR="00241110">
        <w:rPr>
          <w:rFonts w:ascii="Lato" w:hAnsi="Lato" w:cs="Calibri"/>
          <w:color w:val="000000"/>
          <w:sz w:val="22"/>
          <w:szCs w:val="22"/>
        </w:rPr>
        <w:t> </w:t>
      </w:r>
      <w:r w:rsidRPr="007F1EB8">
        <w:rPr>
          <w:rFonts w:ascii="Lato" w:hAnsi="Lato" w:cs="Calibri"/>
          <w:color w:val="000000"/>
          <w:sz w:val="22"/>
          <w:szCs w:val="22"/>
        </w:rPr>
        <w:t>technicznego pomieszczeń</w:t>
      </w:r>
      <w:r w:rsidRPr="007F1EB8">
        <w:rPr>
          <w:rFonts w:ascii="Lato" w:hAnsi="Lato" w:cs="Calibri"/>
          <w:color w:val="FF0000"/>
          <w:sz w:val="22"/>
          <w:szCs w:val="22"/>
        </w:rPr>
        <w:t xml:space="preserve"> </w:t>
      </w:r>
      <w:r w:rsidRPr="007F1EB8">
        <w:rPr>
          <w:rFonts w:ascii="Lato" w:hAnsi="Lato" w:cs="Calibri"/>
          <w:color w:val="000000"/>
          <w:sz w:val="22"/>
          <w:szCs w:val="22"/>
        </w:rPr>
        <w:t xml:space="preserve">oraz wyposażenia obiektów, </w:t>
      </w:r>
      <w:r>
        <w:rPr>
          <w:rFonts w:ascii="Lato" w:hAnsi="Lato" w:cs="Calibri"/>
          <w:color w:val="000000"/>
          <w:sz w:val="22"/>
          <w:szCs w:val="22"/>
        </w:rPr>
        <w:t>a także</w:t>
      </w:r>
      <w:r w:rsidRPr="007F1EB8">
        <w:rPr>
          <w:rFonts w:ascii="Lato" w:hAnsi="Lato" w:cs="Calibri"/>
          <w:color w:val="000000"/>
          <w:sz w:val="22"/>
          <w:szCs w:val="22"/>
        </w:rPr>
        <w:t xml:space="preserve"> niewłaściwego sposobu przechowywania narzędzi, braku ich sterylizacji i dezynfekcji</w:t>
      </w:r>
      <w:r>
        <w:rPr>
          <w:rFonts w:ascii="Lato" w:hAnsi="Lato" w:cs="Calibri"/>
          <w:color w:val="000000"/>
          <w:sz w:val="22"/>
          <w:szCs w:val="22"/>
        </w:rPr>
        <w:t>, w obiektach wykonujących zabiegi z naruszeniem ciągłości tkanek</w:t>
      </w:r>
      <w:r w:rsidRPr="007F1EB8">
        <w:rPr>
          <w:rFonts w:ascii="Lato" w:hAnsi="Lato" w:cs="Calibri"/>
          <w:color w:val="000000"/>
          <w:sz w:val="22"/>
          <w:szCs w:val="22"/>
        </w:rPr>
        <w:t>. Ww. zakłady zostały zobowiązane do usunięcia nieprawidłowości, a wydane zalecenia i obowiązki w większości zostały wykonane.</w:t>
      </w:r>
    </w:p>
    <w:p w14:paraId="6ADF340D" w14:textId="77777777" w:rsidR="001C532D" w:rsidRPr="007F1EB8" w:rsidRDefault="001C532D" w:rsidP="00C42434">
      <w:pPr>
        <w:spacing w:line="360" w:lineRule="auto"/>
        <w:rPr>
          <w:rFonts w:ascii="Lato" w:hAnsi="Lato" w:cs="Calibri"/>
          <w:color w:val="FF0000"/>
          <w:sz w:val="22"/>
          <w:szCs w:val="22"/>
        </w:rPr>
      </w:pPr>
    </w:p>
    <w:p w14:paraId="0FDCB6B6" w14:textId="6E9C0BEB" w:rsidR="001C532D" w:rsidRPr="007F1EB8" w:rsidRDefault="001C532D" w:rsidP="00C42434">
      <w:pPr>
        <w:spacing w:line="360" w:lineRule="auto"/>
        <w:rPr>
          <w:rFonts w:ascii="Lato" w:hAnsi="Lato" w:cs="Calibri"/>
          <w:sz w:val="22"/>
          <w:szCs w:val="22"/>
        </w:rPr>
      </w:pPr>
      <w:r w:rsidRPr="007F1EB8">
        <w:rPr>
          <w:rFonts w:ascii="Lato" w:hAnsi="Lato" w:cs="Calibri"/>
          <w:sz w:val="22"/>
          <w:szCs w:val="22"/>
        </w:rPr>
        <w:t>Do organów Państwowej Inspekcji Sanitarnej wpłynęło 840 zgłoszeń interwencyjnych</w:t>
      </w:r>
      <w:r w:rsidR="00DE7B8C">
        <w:rPr>
          <w:rFonts w:ascii="Lato" w:hAnsi="Lato" w:cs="Calibri"/>
          <w:sz w:val="22"/>
          <w:szCs w:val="22"/>
        </w:rPr>
        <w:t>. Uwagi wskazane w</w:t>
      </w:r>
      <w:r>
        <w:rPr>
          <w:rFonts w:ascii="Lato" w:hAnsi="Lato" w:cs="Calibri"/>
          <w:sz w:val="22"/>
          <w:szCs w:val="22"/>
        </w:rPr>
        <w:t xml:space="preserve"> </w:t>
      </w:r>
      <w:r w:rsidRPr="007F1EB8">
        <w:rPr>
          <w:rFonts w:ascii="Lato" w:hAnsi="Lato" w:cs="Calibri"/>
          <w:sz w:val="22"/>
          <w:szCs w:val="22"/>
        </w:rPr>
        <w:t>229 zgłosze</w:t>
      </w:r>
      <w:r w:rsidR="00DE7B8C">
        <w:rPr>
          <w:rFonts w:ascii="Lato" w:hAnsi="Lato" w:cs="Calibri"/>
          <w:sz w:val="22"/>
          <w:szCs w:val="22"/>
        </w:rPr>
        <w:t>niach</w:t>
      </w:r>
      <w:r w:rsidRPr="007F1EB8">
        <w:rPr>
          <w:rFonts w:ascii="Lato" w:hAnsi="Lato" w:cs="Calibri"/>
          <w:sz w:val="22"/>
          <w:szCs w:val="22"/>
        </w:rPr>
        <w:t xml:space="preserve"> (27%)</w:t>
      </w:r>
      <w:r>
        <w:rPr>
          <w:rFonts w:ascii="Lato" w:hAnsi="Lato" w:cs="Calibri"/>
          <w:sz w:val="22"/>
          <w:szCs w:val="22"/>
        </w:rPr>
        <w:t xml:space="preserve"> </w:t>
      </w:r>
      <w:r w:rsidRPr="007F1EB8">
        <w:rPr>
          <w:rFonts w:ascii="Lato" w:hAnsi="Lato" w:cs="Calibri"/>
          <w:sz w:val="22"/>
          <w:szCs w:val="22"/>
        </w:rPr>
        <w:t>potwierdzon</w:t>
      </w:r>
      <w:r>
        <w:rPr>
          <w:rFonts w:ascii="Lato" w:hAnsi="Lato" w:cs="Calibri"/>
          <w:sz w:val="22"/>
          <w:szCs w:val="22"/>
        </w:rPr>
        <w:t>o</w:t>
      </w:r>
      <w:r w:rsidRPr="007F1EB8">
        <w:rPr>
          <w:rFonts w:ascii="Lato" w:hAnsi="Lato" w:cs="Calibri"/>
          <w:sz w:val="22"/>
          <w:szCs w:val="22"/>
        </w:rPr>
        <w:t xml:space="preserve"> </w:t>
      </w:r>
      <w:r>
        <w:rPr>
          <w:rFonts w:ascii="Lato" w:hAnsi="Lato" w:cs="Calibri"/>
          <w:sz w:val="22"/>
          <w:szCs w:val="22"/>
        </w:rPr>
        <w:t>w czasie czynności kontrolnych. Nieprawidłowości najczęściej dotyczyły:</w:t>
      </w:r>
    </w:p>
    <w:p w14:paraId="215A0B75" w14:textId="77777777" w:rsidR="001C532D" w:rsidRPr="007F1EB8" w:rsidRDefault="001C532D">
      <w:pPr>
        <w:numPr>
          <w:ilvl w:val="0"/>
          <w:numId w:val="25"/>
        </w:numPr>
        <w:spacing w:line="360" w:lineRule="auto"/>
        <w:rPr>
          <w:rFonts w:ascii="Lato" w:hAnsi="Lato" w:cs="Calibri"/>
          <w:sz w:val="22"/>
          <w:szCs w:val="22"/>
        </w:rPr>
      </w:pPr>
      <w:r w:rsidRPr="007F1EB8">
        <w:rPr>
          <w:rFonts w:ascii="Lato" w:hAnsi="Lato" w:cs="Calibri"/>
          <w:sz w:val="22"/>
          <w:szCs w:val="22"/>
        </w:rPr>
        <w:t>niewłaściwego stanu sanitarno-higienicznego i technicznego części wspólnych budynków mieszkalnych,</w:t>
      </w:r>
    </w:p>
    <w:p w14:paraId="167648D8" w14:textId="77777777" w:rsidR="001C532D" w:rsidRPr="007F1EB8" w:rsidRDefault="001C532D">
      <w:pPr>
        <w:numPr>
          <w:ilvl w:val="0"/>
          <w:numId w:val="25"/>
        </w:numPr>
        <w:spacing w:line="360" w:lineRule="auto"/>
        <w:rPr>
          <w:rFonts w:ascii="Lato" w:hAnsi="Lato" w:cs="Calibri"/>
          <w:sz w:val="22"/>
          <w:szCs w:val="22"/>
        </w:rPr>
      </w:pPr>
      <w:r w:rsidRPr="007F1EB8">
        <w:rPr>
          <w:rFonts w:ascii="Lato" w:hAnsi="Lato" w:cs="Calibri"/>
          <w:sz w:val="22"/>
          <w:szCs w:val="22"/>
        </w:rPr>
        <w:t>uciążliwości związanych z występowaniem gryzoni i insektów,</w:t>
      </w:r>
    </w:p>
    <w:p w14:paraId="52D548EE" w14:textId="77777777" w:rsidR="001C532D" w:rsidRPr="007F1EB8" w:rsidRDefault="001C532D">
      <w:pPr>
        <w:numPr>
          <w:ilvl w:val="0"/>
          <w:numId w:val="25"/>
        </w:numPr>
        <w:spacing w:line="360" w:lineRule="auto"/>
        <w:rPr>
          <w:rFonts w:ascii="Lato" w:hAnsi="Lato" w:cs="Calibri"/>
          <w:sz w:val="22"/>
          <w:szCs w:val="22"/>
        </w:rPr>
      </w:pPr>
      <w:r w:rsidRPr="007F1EB8">
        <w:rPr>
          <w:rFonts w:ascii="Lato" w:hAnsi="Lato" w:cs="Calibri"/>
          <w:sz w:val="22"/>
          <w:szCs w:val="22"/>
        </w:rPr>
        <w:t>nieprawidłowej gospodarki odpadami komunalnymi,</w:t>
      </w:r>
    </w:p>
    <w:p w14:paraId="5B5BB0B8" w14:textId="77777777" w:rsidR="001C532D" w:rsidRPr="007F1EB8" w:rsidRDefault="001C532D">
      <w:pPr>
        <w:numPr>
          <w:ilvl w:val="0"/>
          <w:numId w:val="25"/>
        </w:numPr>
        <w:spacing w:line="360" w:lineRule="auto"/>
        <w:rPr>
          <w:rFonts w:ascii="Lato" w:hAnsi="Lato" w:cs="Calibri"/>
          <w:b/>
          <w:sz w:val="22"/>
          <w:szCs w:val="22"/>
        </w:rPr>
      </w:pPr>
      <w:r w:rsidRPr="007F1EB8">
        <w:rPr>
          <w:rFonts w:ascii="Lato" w:hAnsi="Lato" w:cs="Calibri"/>
          <w:sz w:val="22"/>
          <w:szCs w:val="22"/>
        </w:rPr>
        <w:t>niewłaściwego stanu higieniczno-sanitarnego w obiektach świadczących usługi noclegowe,</w:t>
      </w:r>
    </w:p>
    <w:p w14:paraId="67977003" w14:textId="77777777" w:rsidR="001C532D" w:rsidRPr="007F1EB8" w:rsidRDefault="001C532D">
      <w:pPr>
        <w:numPr>
          <w:ilvl w:val="0"/>
          <w:numId w:val="25"/>
        </w:numPr>
        <w:spacing w:line="360" w:lineRule="auto"/>
        <w:rPr>
          <w:rFonts w:ascii="Lato" w:hAnsi="Lato" w:cs="Calibri"/>
          <w:sz w:val="22"/>
          <w:szCs w:val="22"/>
        </w:rPr>
      </w:pPr>
      <w:r w:rsidRPr="007F1EB8">
        <w:rPr>
          <w:rFonts w:ascii="Lato" w:hAnsi="Lato" w:cs="Calibri"/>
          <w:sz w:val="22"/>
          <w:szCs w:val="22"/>
        </w:rPr>
        <w:t>nieodpowiedniej jakości wody do spożycia,</w:t>
      </w:r>
    </w:p>
    <w:p w14:paraId="37B115E1" w14:textId="77777777" w:rsidR="001C532D" w:rsidRPr="007F1EB8" w:rsidRDefault="001C532D">
      <w:pPr>
        <w:numPr>
          <w:ilvl w:val="0"/>
          <w:numId w:val="25"/>
        </w:numPr>
        <w:spacing w:line="360" w:lineRule="auto"/>
        <w:rPr>
          <w:rFonts w:ascii="Lato" w:hAnsi="Lato" w:cs="Calibri"/>
          <w:sz w:val="22"/>
          <w:szCs w:val="22"/>
        </w:rPr>
      </w:pPr>
      <w:r w:rsidRPr="007F1EB8">
        <w:rPr>
          <w:rFonts w:ascii="Lato" w:hAnsi="Lato" w:cs="Calibri"/>
          <w:sz w:val="22"/>
          <w:szCs w:val="22"/>
        </w:rPr>
        <w:t>nieodpowiedniej jakości wody w nieckach basenowych i jacuzzi,</w:t>
      </w:r>
    </w:p>
    <w:p w14:paraId="1FA13D12" w14:textId="77777777" w:rsidR="001C532D" w:rsidRPr="007F1EB8" w:rsidRDefault="001C532D">
      <w:pPr>
        <w:numPr>
          <w:ilvl w:val="0"/>
          <w:numId w:val="25"/>
        </w:numPr>
        <w:spacing w:line="360" w:lineRule="auto"/>
        <w:rPr>
          <w:rFonts w:ascii="Lato" w:hAnsi="Lato" w:cs="Calibri"/>
          <w:sz w:val="22"/>
          <w:szCs w:val="22"/>
        </w:rPr>
      </w:pPr>
      <w:r w:rsidRPr="007F1EB8">
        <w:rPr>
          <w:rFonts w:ascii="Lato" w:hAnsi="Lato" w:cs="Calibri"/>
          <w:sz w:val="22"/>
          <w:szCs w:val="22"/>
        </w:rPr>
        <w:t>nieprawidłowego odprowadzania ścieków,</w:t>
      </w:r>
    </w:p>
    <w:p w14:paraId="6B76D088" w14:textId="70749B31" w:rsidR="003141C3" w:rsidRDefault="001C532D">
      <w:pPr>
        <w:numPr>
          <w:ilvl w:val="0"/>
          <w:numId w:val="25"/>
        </w:numPr>
        <w:spacing w:line="360" w:lineRule="auto"/>
        <w:rPr>
          <w:rFonts w:ascii="Lato" w:hAnsi="Lato" w:cs="Calibri"/>
          <w:sz w:val="22"/>
          <w:szCs w:val="22"/>
        </w:rPr>
      </w:pPr>
      <w:r w:rsidRPr="007F1EB8">
        <w:rPr>
          <w:rFonts w:ascii="Lato" w:hAnsi="Lato" w:cs="Calibri"/>
          <w:sz w:val="22"/>
          <w:szCs w:val="22"/>
        </w:rPr>
        <w:t>stanu higieniczno-sanitarnego i technicznego wyposażenia terenów rekreacyjnych.</w:t>
      </w:r>
    </w:p>
    <w:p w14:paraId="7B4FFC32" w14:textId="77777777" w:rsidR="00EE55F5" w:rsidRPr="00EE55F5" w:rsidRDefault="00EE55F5" w:rsidP="00C42434">
      <w:pPr>
        <w:spacing w:line="360" w:lineRule="auto"/>
        <w:rPr>
          <w:rFonts w:ascii="Lato" w:hAnsi="Lato" w:cs="Calibri"/>
          <w:sz w:val="22"/>
          <w:szCs w:val="22"/>
        </w:rPr>
      </w:pPr>
    </w:p>
    <w:p w14:paraId="482ACFDA" w14:textId="6C781B75" w:rsidR="003141C3" w:rsidRPr="009476ED" w:rsidRDefault="003141C3">
      <w:pPr>
        <w:pStyle w:val="Nagwek2"/>
        <w:numPr>
          <w:ilvl w:val="0"/>
          <w:numId w:val="3"/>
        </w:numPr>
        <w:rPr>
          <w:b/>
          <w:bCs/>
          <w:szCs w:val="24"/>
        </w:rPr>
      </w:pPr>
      <w:bookmarkStart w:id="155" w:name="_Toc225859084"/>
      <w:r w:rsidRPr="009476ED">
        <w:rPr>
          <w:b/>
          <w:bCs/>
          <w:szCs w:val="24"/>
        </w:rPr>
        <w:t>Zabezpieczenie sanitarne imprez masowych</w:t>
      </w:r>
      <w:bookmarkEnd w:id="155"/>
    </w:p>
    <w:p w14:paraId="2D74C9B8" w14:textId="77777777" w:rsidR="003141C3" w:rsidRPr="007F1EB8" w:rsidRDefault="003141C3" w:rsidP="003141C3">
      <w:pPr>
        <w:spacing w:line="276" w:lineRule="auto"/>
        <w:ind w:left="720"/>
        <w:jc w:val="both"/>
        <w:rPr>
          <w:rFonts w:ascii="Lato" w:hAnsi="Lato" w:cs="Calibri"/>
          <w:bCs/>
          <w:sz w:val="22"/>
          <w:szCs w:val="22"/>
        </w:rPr>
      </w:pPr>
    </w:p>
    <w:p w14:paraId="734D4BEC" w14:textId="77777777" w:rsidR="008F28F3" w:rsidRDefault="008F28F3" w:rsidP="00C42434">
      <w:pPr>
        <w:spacing w:line="360" w:lineRule="auto"/>
        <w:rPr>
          <w:rFonts w:ascii="Lato" w:hAnsi="Lato" w:cs="Calibri"/>
          <w:sz w:val="22"/>
          <w:szCs w:val="22"/>
        </w:rPr>
      </w:pPr>
      <w:r w:rsidRPr="007F1EB8">
        <w:rPr>
          <w:rFonts w:ascii="Lato" w:hAnsi="Lato" w:cs="Calibri"/>
          <w:sz w:val="22"/>
          <w:szCs w:val="22"/>
        </w:rPr>
        <w:t>Do organów Państwowej Inspekcji Sanitarnej</w:t>
      </w:r>
      <w:r>
        <w:rPr>
          <w:rFonts w:ascii="Lato" w:hAnsi="Lato" w:cs="Calibri"/>
          <w:sz w:val="22"/>
          <w:szCs w:val="22"/>
        </w:rPr>
        <w:t xml:space="preserve"> w 2025 roku </w:t>
      </w:r>
      <w:r w:rsidRPr="007F1EB8">
        <w:rPr>
          <w:rFonts w:ascii="Lato" w:hAnsi="Lato" w:cs="Calibri"/>
          <w:sz w:val="22"/>
          <w:szCs w:val="22"/>
        </w:rPr>
        <w:t xml:space="preserve">wpłynęło 151 wniosków o wydanie opinii sanitarnej dot. organizacji imprezy masowej o charakterze artystycznym, rozrywkowym lub sportowym. </w:t>
      </w:r>
      <w:r>
        <w:rPr>
          <w:rFonts w:ascii="Lato" w:hAnsi="Lato" w:cs="Calibri"/>
          <w:sz w:val="22"/>
          <w:szCs w:val="22"/>
        </w:rPr>
        <w:t xml:space="preserve">Jest to liczba zbliżona do lat ubiegłych. </w:t>
      </w:r>
      <w:r w:rsidRPr="007F1EB8">
        <w:rPr>
          <w:rFonts w:ascii="Lato" w:hAnsi="Lato" w:cs="Calibri"/>
          <w:sz w:val="22"/>
          <w:szCs w:val="22"/>
        </w:rPr>
        <w:t>Wszystkie wnioski zostały rozpatrzone pozytywnie.</w:t>
      </w:r>
    </w:p>
    <w:p w14:paraId="77669D02" w14:textId="77777777" w:rsidR="008F28F3" w:rsidRDefault="008F28F3" w:rsidP="00C42434">
      <w:pPr>
        <w:spacing w:line="360" w:lineRule="auto"/>
        <w:rPr>
          <w:rFonts w:ascii="Lato" w:hAnsi="Lato" w:cs="Calibri"/>
          <w:sz w:val="22"/>
          <w:szCs w:val="22"/>
        </w:rPr>
      </w:pPr>
      <w:r>
        <w:rPr>
          <w:rFonts w:ascii="Lato" w:hAnsi="Lato" w:cs="Calibri"/>
          <w:sz w:val="22"/>
          <w:szCs w:val="22"/>
        </w:rPr>
        <w:lastRenderedPageBreak/>
        <w:t>Do największych wydarzeń na terenie woj. zachodniopomorskiego należały m.in.:</w:t>
      </w:r>
    </w:p>
    <w:p w14:paraId="36A254BB" w14:textId="10623055" w:rsidR="008F28F3" w:rsidRPr="007F1EB8" w:rsidRDefault="008F28F3">
      <w:pPr>
        <w:numPr>
          <w:ilvl w:val="0"/>
          <w:numId w:val="26"/>
        </w:numPr>
        <w:spacing w:line="360" w:lineRule="auto"/>
        <w:rPr>
          <w:rFonts w:ascii="Lato" w:hAnsi="Lato" w:cs="Calibri"/>
          <w:sz w:val="22"/>
          <w:szCs w:val="22"/>
        </w:rPr>
      </w:pPr>
      <w:proofErr w:type="spellStart"/>
      <w:r w:rsidRPr="007F1EB8">
        <w:rPr>
          <w:rFonts w:ascii="Lato" w:hAnsi="Lato" w:cs="Calibri"/>
          <w:sz w:val="22"/>
          <w:szCs w:val="22"/>
        </w:rPr>
        <w:t>Pol’and’Rock</w:t>
      </w:r>
      <w:proofErr w:type="spellEnd"/>
      <w:r w:rsidRPr="007F1EB8">
        <w:rPr>
          <w:rFonts w:ascii="Lato" w:hAnsi="Lato" w:cs="Calibri"/>
          <w:sz w:val="22"/>
          <w:szCs w:val="22"/>
        </w:rPr>
        <w:t xml:space="preserve"> </w:t>
      </w:r>
      <w:proofErr w:type="spellStart"/>
      <w:r w:rsidRPr="007F1EB8">
        <w:rPr>
          <w:rFonts w:ascii="Lato" w:hAnsi="Lato" w:cs="Calibri"/>
          <w:sz w:val="22"/>
          <w:szCs w:val="22"/>
        </w:rPr>
        <w:t>Festival</w:t>
      </w:r>
      <w:proofErr w:type="spellEnd"/>
      <w:r>
        <w:rPr>
          <w:rFonts w:ascii="Lato" w:hAnsi="Lato" w:cs="Calibri"/>
          <w:sz w:val="22"/>
          <w:szCs w:val="22"/>
        </w:rPr>
        <w:t xml:space="preserve"> w pow. drawskim</w:t>
      </w:r>
      <w:r w:rsidR="00CB4472">
        <w:rPr>
          <w:rFonts w:ascii="Lato" w:hAnsi="Lato" w:cs="Calibri"/>
          <w:sz w:val="22"/>
          <w:szCs w:val="22"/>
        </w:rPr>
        <w:t>,</w:t>
      </w:r>
    </w:p>
    <w:p w14:paraId="0C995F48" w14:textId="21E4EBF8" w:rsidR="008F28F3" w:rsidRDefault="008F28F3">
      <w:pPr>
        <w:numPr>
          <w:ilvl w:val="0"/>
          <w:numId w:val="26"/>
        </w:numPr>
        <w:spacing w:line="360" w:lineRule="auto"/>
        <w:rPr>
          <w:rFonts w:ascii="Lato" w:hAnsi="Lato" w:cs="Calibri"/>
          <w:sz w:val="22"/>
          <w:szCs w:val="22"/>
        </w:rPr>
      </w:pPr>
      <w:proofErr w:type="spellStart"/>
      <w:r w:rsidRPr="00B839C6">
        <w:rPr>
          <w:rFonts w:ascii="Lato" w:hAnsi="Lato" w:cs="Calibri"/>
          <w:sz w:val="22"/>
          <w:szCs w:val="22"/>
        </w:rPr>
        <w:t>Sunrise</w:t>
      </w:r>
      <w:proofErr w:type="spellEnd"/>
      <w:r w:rsidRPr="00B839C6">
        <w:rPr>
          <w:rFonts w:ascii="Lato" w:hAnsi="Lato" w:cs="Calibri"/>
          <w:sz w:val="22"/>
          <w:szCs w:val="22"/>
        </w:rPr>
        <w:t xml:space="preserve"> </w:t>
      </w:r>
      <w:proofErr w:type="spellStart"/>
      <w:r w:rsidRPr="00B839C6">
        <w:rPr>
          <w:rFonts w:ascii="Lato" w:hAnsi="Lato" w:cs="Calibri"/>
          <w:sz w:val="22"/>
          <w:szCs w:val="22"/>
        </w:rPr>
        <w:t>Festival</w:t>
      </w:r>
      <w:proofErr w:type="spellEnd"/>
      <w:r w:rsidRPr="00B839C6">
        <w:rPr>
          <w:rFonts w:ascii="Lato" w:hAnsi="Lato" w:cs="Calibri"/>
          <w:sz w:val="22"/>
          <w:szCs w:val="22"/>
        </w:rPr>
        <w:t xml:space="preserve"> 2025</w:t>
      </w:r>
      <w:r>
        <w:rPr>
          <w:rFonts w:ascii="Lato" w:hAnsi="Lato" w:cs="Calibri"/>
          <w:sz w:val="22"/>
          <w:szCs w:val="22"/>
        </w:rPr>
        <w:t xml:space="preserve"> w pow. kołobrzeskim</w:t>
      </w:r>
      <w:r w:rsidR="00CB4472">
        <w:rPr>
          <w:rFonts w:ascii="Lato" w:hAnsi="Lato" w:cs="Calibri"/>
          <w:sz w:val="22"/>
          <w:szCs w:val="22"/>
        </w:rPr>
        <w:t>,</w:t>
      </w:r>
    </w:p>
    <w:p w14:paraId="72E8FC5C" w14:textId="663D60AF" w:rsidR="008F28F3" w:rsidRDefault="008F28F3">
      <w:pPr>
        <w:numPr>
          <w:ilvl w:val="0"/>
          <w:numId w:val="26"/>
        </w:numPr>
        <w:spacing w:line="360" w:lineRule="auto"/>
        <w:rPr>
          <w:rFonts w:ascii="Lato" w:hAnsi="Lato" w:cs="Calibri"/>
          <w:sz w:val="22"/>
          <w:szCs w:val="22"/>
        </w:rPr>
      </w:pPr>
      <w:proofErr w:type="spellStart"/>
      <w:r w:rsidRPr="00B839C6">
        <w:rPr>
          <w:rFonts w:ascii="Lato" w:hAnsi="Lato" w:cs="Calibri"/>
          <w:sz w:val="22"/>
          <w:szCs w:val="22"/>
        </w:rPr>
        <w:t>Baltic</w:t>
      </w:r>
      <w:proofErr w:type="spellEnd"/>
      <w:r w:rsidRPr="00B839C6">
        <w:rPr>
          <w:rFonts w:ascii="Lato" w:hAnsi="Lato" w:cs="Calibri"/>
          <w:sz w:val="22"/>
          <w:szCs w:val="22"/>
        </w:rPr>
        <w:t xml:space="preserve"> Drive </w:t>
      </w:r>
      <w:proofErr w:type="spellStart"/>
      <w:r w:rsidRPr="00B839C6">
        <w:rPr>
          <w:rFonts w:ascii="Lato" w:hAnsi="Lato" w:cs="Calibri"/>
          <w:sz w:val="22"/>
          <w:szCs w:val="22"/>
        </w:rPr>
        <w:t>Festival</w:t>
      </w:r>
      <w:proofErr w:type="spellEnd"/>
      <w:r w:rsidRPr="00B839C6">
        <w:rPr>
          <w:rFonts w:ascii="Lato" w:hAnsi="Lato" w:cs="Calibri"/>
          <w:sz w:val="22"/>
          <w:szCs w:val="22"/>
        </w:rPr>
        <w:t xml:space="preserve"> 2025</w:t>
      </w:r>
      <w:r>
        <w:rPr>
          <w:rFonts w:ascii="Lato" w:hAnsi="Lato" w:cs="Calibri"/>
          <w:sz w:val="22"/>
          <w:szCs w:val="22"/>
        </w:rPr>
        <w:t xml:space="preserve"> w pow. kołobrzeskim</w:t>
      </w:r>
      <w:r w:rsidR="00CB4472">
        <w:rPr>
          <w:rFonts w:ascii="Lato" w:hAnsi="Lato" w:cs="Calibri"/>
          <w:sz w:val="22"/>
          <w:szCs w:val="22"/>
        </w:rPr>
        <w:t>,</w:t>
      </w:r>
    </w:p>
    <w:p w14:paraId="6F263FE4" w14:textId="5BB30060" w:rsidR="008F28F3" w:rsidRDefault="008F28F3">
      <w:pPr>
        <w:numPr>
          <w:ilvl w:val="0"/>
          <w:numId w:val="26"/>
        </w:numPr>
        <w:spacing w:line="360" w:lineRule="auto"/>
        <w:rPr>
          <w:rFonts w:ascii="Lato" w:hAnsi="Lato" w:cs="Calibri"/>
          <w:sz w:val="22"/>
          <w:szCs w:val="22"/>
        </w:rPr>
      </w:pPr>
      <w:r>
        <w:rPr>
          <w:rFonts w:ascii="Lato" w:hAnsi="Lato" w:cs="Calibri"/>
          <w:sz w:val="22"/>
          <w:szCs w:val="22"/>
        </w:rPr>
        <w:t>Żagle 2025 w Szczecinie</w:t>
      </w:r>
      <w:r w:rsidR="00CB4472">
        <w:rPr>
          <w:rFonts w:ascii="Lato" w:hAnsi="Lato" w:cs="Calibri"/>
          <w:sz w:val="22"/>
          <w:szCs w:val="22"/>
        </w:rPr>
        <w:t>,</w:t>
      </w:r>
    </w:p>
    <w:p w14:paraId="296E1261" w14:textId="7D2244CE" w:rsidR="008F28F3" w:rsidRDefault="008F28F3">
      <w:pPr>
        <w:numPr>
          <w:ilvl w:val="0"/>
          <w:numId w:val="26"/>
        </w:numPr>
        <w:spacing w:line="360" w:lineRule="auto"/>
        <w:rPr>
          <w:rFonts w:ascii="Lato" w:hAnsi="Lato" w:cs="Calibri"/>
          <w:sz w:val="22"/>
          <w:szCs w:val="22"/>
        </w:rPr>
      </w:pPr>
      <w:r>
        <w:rPr>
          <w:rFonts w:ascii="Lato" w:hAnsi="Lato" w:cs="Calibri"/>
          <w:sz w:val="22"/>
          <w:szCs w:val="22"/>
        </w:rPr>
        <w:t>Dni Morza i Marynarki Wojennej w Świnoujściu</w:t>
      </w:r>
      <w:r w:rsidR="00CB4472">
        <w:rPr>
          <w:rFonts w:ascii="Lato" w:hAnsi="Lato" w:cs="Calibri"/>
          <w:sz w:val="22"/>
          <w:szCs w:val="22"/>
        </w:rPr>
        <w:t>,</w:t>
      </w:r>
    </w:p>
    <w:p w14:paraId="7EC3D326" w14:textId="527D30BB" w:rsidR="008F28F3" w:rsidRDefault="008F28F3">
      <w:pPr>
        <w:numPr>
          <w:ilvl w:val="0"/>
          <w:numId w:val="26"/>
        </w:numPr>
        <w:spacing w:line="360" w:lineRule="auto"/>
        <w:rPr>
          <w:rFonts w:ascii="Lato" w:hAnsi="Lato" w:cs="Calibri"/>
          <w:sz w:val="22"/>
          <w:szCs w:val="22"/>
        </w:rPr>
      </w:pPr>
      <w:r>
        <w:rPr>
          <w:rFonts w:ascii="Lato" w:hAnsi="Lato" w:cs="Calibri"/>
          <w:sz w:val="22"/>
          <w:szCs w:val="22"/>
        </w:rPr>
        <w:t>Męskie Granie w Szczecinie</w:t>
      </w:r>
      <w:r w:rsidR="00CB4472">
        <w:rPr>
          <w:rFonts w:ascii="Lato" w:hAnsi="Lato" w:cs="Calibri"/>
          <w:sz w:val="22"/>
          <w:szCs w:val="22"/>
        </w:rPr>
        <w:t>,</w:t>
      </w:r>
    </w:p>
    <w:p w14:paraId="398856AF" w14:textId="27C368BA" w:rsidR="008F28F3" w:rsidRDefault="008F28F3">
      <w:pPr>
        <w:numPr>
          <w:ilvl w:val="0"/>
          <w:numId w:val="26"/>
        </w:numPr>
        <w:spacing w:line="360" w:lineRule="auto"/>
        <w:rPr>
          <w:rFonts w:ascii="Lato" w:hAnsi="Lato" w:cs="Calibri"/>
          <w:sz w:val="22"/>
          <w:szCs w:val="22"/>
        </w:rPr>
      </w:pPr>
      <w:r>
        <w:rPr>
          <w:rFonts w:ascii="Lato" w:hAnsi="Lato" w:cs="Calibri"/>
          <w:sz w:val="22"/>
          <w:szCs w:val="22"/>
        </w:rPr>
        <w:t>XX Międzynarodowy Zlot Pojazdów Militarnych w pow. szczecineckim</w:t>
      </w:r>
      <w:r w:rsidR="00CB4472">
        <w:rPr>
          <w:rFonts w:ascii="Lato" w:hAnsi="Lato" w:cs="Calibri"/>
          <w:sz w:val="22"/>
          <w:szCs w:val="22"/>
        </w:rPr>
        <w:t>,</w:t>
      </w:r>
    </w:p>
    <w:p w14:paraId="3E725768" w14:textId="0E95658A" w:rsidR="008F28F3" w:rsidRDefault="008F28F3">
      <w:pPr>
        <w:numPr>
          <w:ilvl w:val="0"/>
          <w:numId w:val="26"/>
        </w:numPr>
        <w:spacing w:line="360" w:lineRule="auto"/>
        <w:rPr>
          <w:rFonts w:ascii="Lato" w:hAnsi="Lato" w:cs="Calibri"/>
          <w:sz w:val="22"/>
          <w:szCs w:val="22"/>
        </w:rPr>
      </w:pPr>
      <w:r>
        <w:rPr>
          <w:rFonts w:ascii="Lato" w:hAnsi="Lato" w:cs="Calibri"/>
          <w:sz w:val="22"/>
          <w:szCs w:val="22"/>
        </w:rPr>
        <w:t>Jarmarki: Bożonarodzeniowy, Wielkanocny, Jakubowy – w Szczecinie</w:t>
      </w:r>
      <w:r w:rsidR="00CB4472">
        <w:rPr>
          <w:rFonts w:ascii="Lato" w:hAnsi="Lato" w:cs="Calibri"/>
          <w:sz w:val="22"/>
          <w:szCs w:val="22"/>
        </w:rPr>
        <w:t>.</w:t>
      </w:r>
    </w:p>
    <w:p w14:paraId="439016D5" w14:textId="51E8A295" w:rsidR="008F28F3" w:rsidRDefault="008F28F3" w:rsidP="00C42434">
      <w:pPr>
        <w:spacing w:line="360" w:lineRule="auto"/>
        <w:rPr>
          <w:rFonts w:ascii="Lato" w:hAnsi="Lato" w:cs="Calibri"/>
          <w:sz w:val="22"/>
          <w:szCs w:val="22"/>
        </w:rPr>
      </w:pPr>
      <w:r w:rsidRPr="00B839C6">
        <w:rPr>
          <w:rFonts w:ascii="Lato" w:hAnsi="Lato" w:cs="Calibri"/>
          <w:sz w:val="22"/>
          <w:szCs w:val="22"/>
        </w:rPr>
        <w:t>Pracownicy Państwowej Inspekcji Sanitarnej prowadzili czynności kontrolne w ramach nadzoru nad</w:t>
      </w:r>
      <w:r>
        <w:rPr>
          <w:rFonts w:ascii="Lato" w:hAnsi="Lato" w:cs="Calibri"/>
          <w:sz w:val="22"/>
          <w:szCs w:val="22"/>
        </w:rPr>
        <w:t xml:space="preserve"> wydarzeniami i</w:t>
      </w:r>
      <w:r w:rsidRPr="00B839C6">
        <w:rPr>
          <w:rFonts w:ascii="Lato" w:hAnsi="Lato" w:cs="Calibri"/>
          <w:sz w:val="22"/>
          <w:szCs w:val="22"/>
        </w:rPr>
        <w:t xml:space="preserve"> imprezami masowymi zgodnie z powierzonymi im kompetencjami</w:t>
      </w:r>
      <w:r>
        <w:rPr>
          <w:rFonts w:ascii="Lato" w:hAnsi="Lato" w:cs="Calibri"/>
          <w:sz w:val="22"/>
          <w:szCs w:val="22"/>
        </w:rPr>
        <w:t>. Na</w:t>
      </w:r>
      <w:r w:rsidR="00241110">
        <w:rPr>
          <w:rFonts w:ascii="Lato" w:hAnsi="Lato" w:cs="Calibri"/>
          <w:sz w:val="22"/>
          <w:szCs w:val="22"/>
        </w:rPr>
        <w:t> </w:t>
      </w:r>
      <w:r>
        <w:rPr>
          <w:rFonts w:ascii="Lato" w:hAnsi="Lato" w:cs="Calibri"/>
          <w:sz w:val="22"/>
          <w:szCs w:val="22"/>
        </w:rPr>
        <w:t>wszystkich imprezach zapewniono właściwe warunki higieniczno-sanitarne – nie stwierdzono nieprawidłowości.</w:t>
      </w:r>
    </w:p>
    <w:p w14:paraId="09C8D25B" w14:textId="77777777" w:rsidR="008F28F3" w:rsidRPr="00B839C6" w:rsidRDefault="008F28F3" w:rsidP="00C42434">
      <w:pPr>
        <w:spacing w:line="360" w:lineRule="auto"/>
        <w:rPr>
          <w:rFonts w:ascii="Lato" w:hAnsi="Lato" w:cs="Calibri"/>
          <w:sz w:val="22"/>
          <w:szCs w:val="22"/>
        </w:rPr>
      </w:pPr>
    </w:p>
    <w:p w14:paraId="783AB2E3" w14:textId="77777777" w:rsidR="008F28F3" w:rsidRPr="007F1EB8" w:rsidRDefault="008F28F3" w:rsidP="00C42434">
      <w:pPr>
        <w:spacing w:line="360" w:lineRule="auto"/>
        <w:rPr>
          <w:rFonts w:ascii="Lato" w:hAnsi="Lato" w:cs="Calibri"/>
          <w:sz w:val="22"/>
          <w:szCs w:val="22"/>
        </w:rPr>
      </w:pPr>
      <w:proofErr w:type="spellStart"/>
      <w:r w:rsidRPr="007F1EB8">
        <w:rPr>
          <w:rFonts w:ascii="Lato" w:hAnsi="Lato" w:cs="Calibri"/>
          <w:sz w:val="22"/>
          <w:szCs w:val="22"/>
        </w:rPr>
        <w:t>Pol’and’Rock</w:t>
      </w:r>
      <w:proofErr w:type="spellEnd"/>
      <w:r w:rsidRPr="007F1EB8">
        <w:rPr>
          <w:rFonts w:ascii="Lato" w:hAnsi="Lato" w:cs="Calibri"/>
          <w:sz w:val="22"/>
          <w:szCs w:val="22"/>
        </w:rPr>
        <w:t xml:space="preserve"> </w:t>
      </w:r>
      <w:proofErr w:type="spellStart"/>
      <w:r w:rsidRPr="007F1EB8">
        <w:rPr>
          <w:rFonts w:ascii="Lato" w:hAnsi="Lato" w:cs="Calibri"/>
          <w:sz w:val="22"/>
          <w:szCs w:val="22"/>
        </w:rPr>
        <w:t>Festival</w:t>
      </w:r>
      <w:proofErr w:type="spellEnd"/>
    </w:p>
    <w:p w14:paraId="7EEDB9C1" w14:textId="28BF863E" w:rsidR="008F28F3" w:rsidRDefault="008F28F3" w:rsidP="00C42434">
      <w:pPr>
        <w:spacing w:line="360" w:lineRule="auto"/>
        <w:rPr>
          <w:rFonts w:ascii="Lato" w:hAnsi="Lato" w:cs="Calibri"/>
          <w:sz w:val="22"/>
          <w:szCs w:val="22"/>
        </w:rPr>
      </w:pPr>
      <w:r w:rsidRPr="007F1EB8">
        <w:rPr>
          <w:rFonts w:ascii="Lato" w:hAnsi="Lato" w:cs="Calibri"/>
          <w:sz w:val="22"/>
          <w:szCs w:val="22"/>
        </w:rPr>
        <w:t>Po raz piąty na terenie woj. zachodniopomorskiego</w:t>
      </w:r>
      <w:r>
        <w:rPr>
          <w:rFonts w:ascii="Lato" w:hAnsi="Lato" w:cs="Calibri"/>
          <w:sz w:val="22"/>
          <w:szCs w:val="22"/>
        </w:rPr>
        <w:t xml:space="preserve">, </w:t>
      </w:r>
      <w:r w:rsidRPr="007F1EB8">
        <w:rPr>
          <w:rFonts w:ascii="Lato" w:hAnsi="Lato" w:cs="Calibri"/>
          <w:sz w:val="22"/>
          <w:szCs w:val="22"/>
        </w:rPr>
        <w:t xml:space="preserve">na obszarze lotniska Broczyno Fundacja Wielkiej Orkiestry Świątecznej Pomocy zorganizowała </w:t>
      </w:r>
      <w:proofErr w:type="spellStart"/>
      <w:r w:rsidRPr="007F1EB8">
        <w:rPr>
          <w:rFonts w:ascii="Lato" w:hAnsi="Lato" w:cs="Calibri"/>
          <w:sz w:val="22"/>
          <w:szCs w:val="22"/>
        </w:rPr>
        <w:t>Pol’and’Rock</w:t>
      </w:r>
      <w:proofErr w:type="spellEnd"/>
      <w:r w:rsidRPr="007F1EB8">
        <w:rPr>
          <w:rFonts w:ascii="Lato" w:hAnsi="Lato" w:cs="Calibri"/>
          <w:sz w:val="22"/>
          <w:szCs w:val="22"/>
        </w:rPr>
        <w:t xml:space="preserve"> </w:t>
      </w:r>
      <w:proofErr w:type="spellStart"/>
      <w:r w:rsidRPr="007F1EB8">
        <w:rPr>
          <w:rFonts w:ascii="Lato" w:hAnsi="Lato" w:cs="Calibri"/>
          <w:sz w:val="22"/>
          <w:szCs w:val="22"/>
        </w:rPr>
        <w:t>Festival</w:t>
      </w:r>
      <w:proofErr w:type="spellEnd"/>
      <w:r w:rsidRPr="007F1EB8">
        <w:rPr>
          <w:rFonts w:ascii="Lato" w:hAnsi="Lato" w:cs="Calibri"/>
          <w:sz w:val="22"/>
          <w:szCs w:val="22"/>
        </w:rPr>
        <w:t xml:space="preserve">. Państwowa Inspekcja Sanitarna nadzorowała </w:t>
      </w:r>
      <w:r>
        <w:rPr>
          <w:rFonts w:ascii="Lato" w:hAnsi="Lato" w:cs="Calibri"/>
          <w:sz w:val="22"/>
          <w:szCs w:val="22"/>
        </w:rPr>
        <w:t>warunki higieniczno-sanitarne</w:t>
      </w:r>
      <w:r w:rsidRPr="007F1EB8">
        <w:rPr>
          <w:rFonts w:ascii="Lato" w:hAnsi="Lato" w:cs="Calibri"/>
          <w:sz w:val="22"/>
          <w:szCs w:val="22"/>
        </w:rPr>
        <w:t xml:space="preserve"> zarówno </w:t>
      </w:r>
      <w:r w:rsidR="00DE7B8C">
        <w:rPr>
          <w:rFonts w:ascii="Lato" w:hAnsi="Lato" w:cs="Calibri"/>
          <w:sz w:val="22"/>
          <w:szCs w:val="22"/>
        </w:rPr>
        <w:t xml:space="preserve">na terenie </w:t>
      </w:r>
      <w:r>
        <w:rPr>
          <w:rFonts w:ascii="Lato" w:hAnsi="Lato" w:cs="Calibri"/>
          <w:sz w:val="22"/>
          <w:szCs w:val="22"/>
        </w:rPr>
        <w:t>samej imprezy jak i w</w:t>
      </w:r>
      <w:r w:rsidR="00241110">
        <w:rPr>
          <w:rFonts w:ascii="Lato" w:hAnsi="Lato" w:cs="Calibri"/>
          <w:sz w:val="22"/>
          <w:szCs w:val="22"/>
        </w:rPr>
        <w:t> </w:t>
      </w:r>
      <w:r>
        <w:rPr>
          <w:rFonts w:ascii="Lato" w:hAnsi="Lato" w:cs="Calibri"/>
          <w:sz w:val="22"/>
          <w:szCs w:val="22"/>
        </w:rPr>
        <w:t>obiektach zlokalizowanych poza festiwalem, w jego otoczeniu.</w:t>
      </w:r>
      <w:r w:rsidRPr="00DD22CB">
        <w:rPr>
          <w:rFonts w:ascii="Lato" w:hAnsi="Lato" w:cs="Calibri"/>
          <w:color w:val="00B0F0"/>
          <w:sz w:val="22"/>
          <w:szCs w:val="22"/>
        </w:rPr>
        <w:t xml:space="preserve"> </w:t>
      </w:r>
      <w:r w:rsidRPr="00DD22CB">
        <w:rPr>
          <w:rFonts w:ascii="Lato" w:hAnsi="Lato" w:cs="Calibri"/>
          <w:sz w:val="22"/>
          <w:szCs w:val="22"/>
        </w:rPr>
        <w:t xml:space="preserve">Prowadzono także działania nadzorowe w dalszych miejscowościach, dotyczyły one przede wszystkim obiektów, z których korzystali uczestnicy zdarzenia. </w:t>
      </w:r>
    </w:p>
    <w:p w14:paraId="00FC14BB" w14:textId="55A8865B" w:rsidR="008F28F3" w:rsidRPr="00DD22CB" w:rsidRDefault="008F28F3" w:rsidP="00C42434">
      <w:pPr>
        <w:spacing w:line="360" w:lineRule="auto"/>
        <w:rPr>
          <w:rFonts w:ascii="Lato" w:hAnsi="Lato" w:cs="Calibri"/>
          <w:color w:val="00B0F0"/>
          <w:sz w:val="22"/>
          <w:szCs w:val="22"/>
        </w:rPr>
      </w:pPr>
      <w:r w:rsidRPr="00DD22CB">
        <w:rPr>
          <w:rFonts w:ascii="Lato" w:hAnsi="Lato" w:cs="Calibri"/>
          <w:sz w:val="22"/>
          <w:szCs w:val="22"/>
        </w:rPr>
        <w:t>Prowadzone czynności nadzorowe obejmowały m.in.: funkcjonowanie i serwisowanie stref higieniczno–sanitarnych przeznaczonych dla uczestników festiwalu, postępowanie z odpadami komunalnymi, funkcjonowanie punktów medycznych, bieżący stan higieniczno–sanitarny w</w:t>
      </w:r>
      <w:r w:rsidR="00241110">
        <w:rPr>
          <w:rFonts w:ascii="Lato" w:hAnsi="Lato" w:cs="Calibri"/>
          <w:sz w:val="22"/>
          <w:szCs w:val="22"/>
        </w:rPr>
        <w:t> </w:t>
      </w:r>
      <w:r w:rsidRPr="00DD22CB">
        <w:rPr>
          <w:rFonts w:ascii="Lato" w:hAnsi="Lato" w:cs="Calibri"/>
          <w:sz w:val="22"/>
          <w:szCs w:val="22"/>
        </w:rPr>
        <w:t>obiektach produkcji i wprowadzania do obrotu żywności, warunki przechowywania żywności oraz monitoring jakości wody do spożycia w punktach poboru.</w:t>
      </w:r>
      <w:r w:rsidRPr="00DD22CB">
        <w:rPr>
          <w:rFonts w:ascii="Lato" w:hAnsi="Lato" w:cs="Calibri"/>
          <w:color w:val="00B0F0"/>
          <w:sz w:val="22"/>
          <w:szCs w:val="22"/>
        </w:rPr>
        <w:t xml:space="preserve"> </w:t>
      </w:r>
      <w:r w:rsidRPr="00DD22CB">
        <w:rPr>
          <w:rFonts w:ascii="Lato" w:hAnsi="Lato" w:cs="Calibri"/>
          <w:sz w:val="22"/>
          <w:szCs w:val="22"/>
        </w:rPr>
        <w:t>Podczas trwania festiwalu nie wystąpiły zdarzenia, które mogłyby zagrażać zdrowiu uczestników.</w:t>
      </w:r>
    </w:p>
    <w:p w14:paraId="61B407E6" w14:textId="137C1784" w:rsidR="008F28F3" w:rsidRPr="002B0D0E" w:rsidRDefault="008F28F3" w:rsidP="00C42434">
      <w:pPr>
        <w:spacing w:line="360" w:lineRule="auto"/>
        <w:rPr>
          <w:rFonts w:ascii="Lato" w:hAnsi="Lato" w:cs="Calibri"/>
          <w:color w:val="00B0F0"/>
          <w:sz w:val="22"/>
          <w:szCs w:val="22"/>
        </w:rPr>
      </w:pPr>
      <w:r w:rsidRPr="00114859">
        <w:rPr>
          <w:rFonts w:ascii="Lato" w:hAnsi="Lato" w:cs="Calibri"/>
          <w:sz w:val="22"/>
          <w:szCs w:val="22"/>
        </w:rPr>
        <w:t>Obiekt był przygotowany pod względem sanitarnym</w:t>
      </w:r>
      <w:r>
        <w:rPr>
          <w:rFonts w:ascii="Lato" w:hAnsi="Lato" w:cs="Calibri"/>
          <w:sz w:val="22"/>
          <w:szCs w:val="22"/>
        </w:rPr>
        <w:t xml:space="preserve"> – </w:t>
      </w:r>
      <w:r w:rsidRPr="00114859">
        <w:rPr>
          <w:rFonts w:ascii="Lato" w:hAnsi="Lato" w:cs="Calibri"/>
          <w:sz w:val="22"/>
          <w:szCs w:val="22"/>
        </w:rPr>
        <w:t>stan obiektów prowadzących działalność gastronomiczną, pól namiotowych</w:t>
      </w:r>
      <w:r>
        <w:rPr>
          <w:rFonts w:ascii="Lato" w:hAnsi="Lato" w:cs="Calibri"/>
          <w:color w:val="00B0F0"/>
          <w:sz w:val="22"/>
          <w:szCs w:val="22"/>
        </w:rPr>
        <w:t xml:space="preserve"> </w:t>
      </w:r>
      <w:r w:rsidRPr="00114859">
        <w:rPr>
          <w:rFonts w:ascii="Lato" w:hAnsi="Lato" w:cs="Calibri"/>
          <w:sz w:val="22"/>
          <w:szCs w:val="22"/>
        </w:rPr>
        <w:t>był zachowany.</w:t>
      </w:r>
      <w:r w:rsidRPr="00DD22CB">
        <w:rPr>
          <w:rFonts w:ascii="Lato" w:hAnsi="Lato" w:cs="Calibri"/>
          <w:color w:val="00B0F0"/>
          <w:sz w:val="22"/>
          <w:szCs w:val="22"/>
        </w:rPr>
        <w:t xml:space="preserve"> </w:t>
      </w:r>
      <w:r w:rsidRPr="002B0D0E">
        <w:rPr>
          <w:rFonts w:ascii="Lato" w:hAnsi="Lato" w:cs="Calibri"/>
          <w:sz w:val="22"/>
          <w:szCs w:val="22"/>
        </w:rPr>
        <w:t>Zapewniono odpowiednią iloś</w:t>
      </w:r>
      <w:r w:rsidR="00A14D69">
        <w:rPr>
          <w:rFonts w:ascii="Lato" w:hAnsi="Lato" w:cs="Calibri"/>
          <w:sz w:val="22"/>
          <w:szCs w:val="22"/>
        </w:rPr>
        <w:t>ć</w:t>
      </w:r>
      <w:r w:rsidRPr="002B0D0E">
        <w:rPr>
          <w:rFonts w:ascii="Lato" w:hAnsi="Lato" w:cs="Calibri"/>
          <w:sz w:val="22"/>
          <w:szCs w:val="22"/>
        </w:rPr>
        <w:t xml:space="preserve"> sanitariatów jak również częstotliwość ich serwisowania.</w:t>
      </w:r>
    </w:p>
    <w:p w14:paraId="7341187B" w14:textId="48D8966C" w:rsidR="003141C3" w:rsidRPr="00D46046" w:rsidRDefault="008F28F3" w:rsidP="00C42434">
      <w:pPr>
        <w:spacing w:line="360" w:lineRule="auto"/>
        <w:rPr>
          <w:rFonts w:ascii="Lato" w:hAnsi="Lato" w:cs="Calibri"/>
          <w:sz w:val="22"/>
          <w:szCs w:val="22"/>
        </w:rPr>
      </w:pPr>
      <w:r w:rsidRPr="002B0D0E">
        <w:rPr>
          <w:rFonts w:ascii="Lato" w:hAnsi="Lato" w:cs="Calibri"/>
          <w:sz w:val="22"/>
          <w:szCs w:val="22"/>
        </w:rPr>
        <w:t>Należy wskazać, iż pracownicy Państw</w:t>
      </w:r>
      <w:r>
        <w:rPr>
          <w:rFonts w:ascii="Lato" w:hAnsi="Lato" w:cs="Calibri"/>
          <w:sz w:val="22"/>
          <w:szCs w:val="22"/>
        </w:rPr>
        <w:t>owej</w:t>
      </w:r>
      <w:r w:rsidRPr="002B0D0E">
        <w:rPr>
          <w:rFonts w:ascii="Lato" w:hAnsi="Lato" w:cs="Calibri"/>
          <w:sz w:val="22"/>
          <w:szCs w:val="22"/>
        </w:rPr>
        <w:t xml:space="preserve"> Inspek</w:t>
      </w:r>
      <w:r>
        <w:rPr>
          <w:rFonts w:ascii="Lato" w:hAnsi="Lato" w:cs="Calibri"/>
          <w:sz w:val="22"/>
          <w:szCs w:val="22"/>
        </w:rPr>
        <w:t>cji</w:t>
      </w:r>
      <w:r w:rsidRPr="002B0D0E">
        <w:rPr>
          <w:rFonts w:ascii="Lato" w:hAnsi="Lato" w:cs="Calibri"/>
          <w:sz w:val="22"/>
          <w:szCs w:val="22"/>
        </w:rPr>
        <w:t xml:space="preserve"> Sanitarn</w:t>
      </w:r>
      <w:r>
        <w:rPr>
          <w:rFonts w:ascii="Lato" w:hAnsi="Lato" w:cs="Calibri"/>
          <w:sz w:val="22"/>
          <w:szCs w:val="22"/>
        </w:rPr>
        <w:t>ej</w:t>
      </w:r>
      <w:r w:rsidRPr="002B0D0E">
        <w:rPr>
          <w:rFonts w:ascii="Lato" w:hAnsi="Lato" w:cs="Calibri"/>
          <w:sz w:val="22"/>
          <w:szCs w:val="22"/>
        </w:rPr>
        <w:t xml:space="preserve"> we współpracy z Wojewodą Zachodniopomorskim już od kwietnia prowadzili działania edukacyjne skierowane do</w:t>
      </w:r>
      <w:r w:rsidR="00241110">
        <w:rPr>
          <w:rFonts w:ascii="Lato" w:hAnsi="Lato" w:cs="Calibri"/>
          <w:sz w:val="22"/>
          <w:szCs w:val="22"/>
        </w:rPr>
        <w:t> </w:t>
      </w:r>
      <w:r w:rsidRPr="002B0D0E">
        <w:rPr>
          <w:rFonts w:ascii="Lato" w:hAnsi="Lato" w:cs="Calibri"/>
          <w:sz w:val="22"/>
          <w:szCs w:val="22"/>
        </w:rPr>
        <w:t>samorządów i mieszkańców</w:t>
      </w:r>
      <w:r w:rsidRPr="002B0D0E">
        <w:rPr>
          <w:rFonts w:ascii="Lato" w:hAnsi="Lato" w:cs="Calibri"/>
          <w:color w:val="00B0F0"/>
          <w:sz w:val="22"/>
          <w:szCs w:val="22"/>
        </w:rPr>
        <w:t xml:space="preserve"> </w:t>
      </w:r>
      <w:r w:rsidRPr="002B0D0E">
        <w:rPr>
          <w:rFonts w:ascii="Lato" w:hAnsi="Lato" w:cs="Calibri"/>
          <w:sz w:val="22"/>
          <w:szCs w:val="22"/>
        </w:rPr>
        <w:t xml:space="preserve">wsi sąsiadujących z lotniskiem Broczyno. Działania te przyniosły wymierne efekty </w:t>
      </w:r>
      <w:r>
        <w:rPr>
          <w:rFonts w:ascii="Lato" w:hAnsi="Lato" w:cs="Calibri"/>
          <w:sz w:val="22"/>
          <w:szCs w:val="22"/>
        </w:rPr>
        <w:t>w organizacji różnego rodzaju przedsięwzięć i działalności</w:t>
      </w:r>
      <w:r w:rsidRPr="002B0D0E">
        <w:rPr>
          <w:rFonts w:ascii="Lato" w:hAnsi="Lato" w:cs="Calibri"/>
          <w:sz w:val="22"/>
          <w:szCs w:val="22"/>
        </w:rPr>
        <w:t xml:space="preserve">, w tym </w:t>
      </w:r>
      <w:r>
        <w:rPr>
          <w:rFonts w:ascii="Lato" w:hAnsi="Lato" w:cs="Calibri"/>
          <w:sz w:val="22"/>
          <w:szCs w:val="22"/>
        </w:rPr>
        <w:t xml:space="preserve">zapewnienia właściwych warunków higienicznosanitarnych na terenie powstających wokół </w:t>
      </w:r>
      <w:r>
        <w:rPr>
          <w:rFonts w:ascii="Lato" w:hAnsi="Lato" w:cs="Calibri"/>
          <w:sz w:val="22"/>
          <w:szCs w:val="22"/>
        </w:rPr>
        <w:lastRenderedPageBreak/>
        <w:t>festiwalu pól namiotowych</w:t>
      </w:r>
      <w:r w:rsidR="00BD49DD">
        <w:rPr>
          <w:rFonts w:ascii="Lato" w:hAnsi="Lato" w:cs="Calibri"/>
          <w:sz w:val="22"/>
          <w:szCs w:val="22"/>
        </w:rPr>
        <w:t xml:space="preserve"> i tym samym do zapewnienia</w:t>
      </w:r>
      <w:r>
        <w:rPr>
          <w:rFonts w:ascii="Lato" w:hAnsi="Lato" w:cs="Calibri"/>
          <w:sz w:val="22"/>
          <w:szCs w:val="22"/>
        </w:rPr>
        <w:t xml:space="preserve"> bezpieczeństwa sanitarnego korzystających z nich osób.</w:t>
      </w:r>
    </w:p>
    <w:p w14:paraId="723D6441" w14:textId="34732469" w:rsidR="003141C3" w:rsidRPr="00D46046" w:rsidRDefault="003141C3">
      <w:pPr>
        <w:pStyle w:val="Nagwek2"/>
        <w:numPr>
          <w:ilvl w:val="0"/>
          <w:numId w:val="3"/>
        </w:numPr>
        <w:rPr>
          <w:b/>
          <w:bCs/>
        </w:rPr>
      </w:pPr>
      <w:bookmarkStart w:id="156" w:name="_Toc225859085"/>
      <w:r w:rsidRPr="009476ED">
        <w:rPr>
          <w:b/>
          <w:bCs/>
        </w:rPr>
        <w:t>Nadzór nad postępowaniem ze zwłokami i szczątkami ludzkimi</w:t>
      </w:r>
      <w:bookmarkEnd w:id="156"/>
    </w:p>
    <w:p w14:paraId="173A6383" w14:textId="063729C0" w:rsidR="008F28F3" w:rsidRPr="007F1EB8" w:rsidRDefault="008F28F3" w:rsidP="00C42434">
      <w:pPr>
        <w:spacing w:line="360" w:lineRule="auto"/>
        <w:rPr>
          <w:rFonts w:ascii="Lato" w:hAnsi="Lato" w:cs="Calibri"/>
          <w:sz w:val="22"/>
          <w:szCs w:val="22"/>
        </w:rPr>
      </w:pPr>
      <w:r w:rsidRPr="007F1EB8">
        <w:rPr>
          <w:rFonts w:ascii="Lato" w:hAnsi="Lato" w:cs="Calibri"/>
          <w:color w:val="000000"/>
          <w:sz w:val="22"/>
          <w:szCs w:val="22"/>
        </w:rPr>
        <w:t>W</w:t>
      </w:r>
      <w:r w:rsidR="000B473D">
        <w:rPr>
          <w:rFonts w:ascii="Lato" w:hAnsi="Lato" w:cs="Calibri"/>
          <w:color w:val="000000"/>
          <w:sz w:val="22"/>
          <w:szCs w:val="22"/>
        </w:rPr>
        <w:t xml:space="preserve"> 2025r. w</w:t>
      </w:r>
      <w:r w:rsidRPr="007F1EB8">
        <w:rPr>
          <w:rFonts w:ascii="Lato" w:hAnsi="Lato" w:cs="Calibri"/>
          <w:color w:val="000000"/>
          <w:sz w:val="22"/>
          <w:szCs w:val="22"/>
        </w:rPr>
        <w:t>ydanych zostało</w:t>
      </w:r>
      <w:r w:rsidRPr="007F1EB8">
        <w:rPr>
          <w:rFonts w:ascii="Lato" w:hAnsi="Lato" w:cs="Calibri"/>
          <w:color w:val="FF0000"/>
          <w:sz w:val="22"/>
          <w:szCs w:val="22"/>
        </w:rPr>
        <w:t xml:space="preserve"> </w:t>
      </w:r>
      <w:r w:rsidRPr="007F1EB8">
        <w:rPr>
          <w:rFonts w:ascii="Lato" w:hAnsi="Lato" w:cs="Calibri"/>
          <w:sz w:val="22"/>
          <w:szCs w:val="22"/>
        </w:rPr>
        <w:t xml:space="preserve">450 postanowień w sprawie sprowadzenia na terytorium Rzeczypospolitej Polskiej zwłok osób zmarłych poza granicami </w:t>
      </w:r>
      <w:r>
        <w:rPr>
          <w:rFonts w:ascii="Lato" w:hAnsi="Lato" w:cs="Calibri"/>
          <w:sz w:val="22"/>
          <w:szCs w:val="22"/>
        </w:rPr>
        <w:t>k</w:t>
      </w:r>
      <w:r w:rsidRPr="007F1EB8">
        <w:rPr>
          <w:rFonts w:ascii="Lato" w:hAnsi="Lato" w:cs="Calibri"/>
          <w:sz w:val="22"/>
          <w:szCs w:val="22"/>
        </w:rPr>
        <w:t>raju. Ponadto wydano 61 decyzji zezwalających na wywóz zwłok z terytorium Polski. Przewóz zwłok/szczątków ludzkich poza granice RP może nastąpić jedynie po uzyskaniu pozwolenia właściwego państwowego powiatowego inspektora sanitarnego. W przypadku sprowadzenia zwłok i szczątków z</w:t>
      </w:r>
      <w:r w:rsidR="00A9310D">
        <w:rPr>
          <w:rFonts w:ascii="Lato" w:hAnsi="Lato" w:cs="Calibri"/>
          <w:sz w:val="22"/>
          <w:szCs w:val="22"/>
        </w:rPr>
        <w:t> </w:t>
      </w:r>
      <w:r w:rsidRPr="007F1EB8">
        <w:rPr>
          <w:rFonts w:ascii="Lato" w:hAnsi="Lato" w:cs="Calibri"/>
          <w:sz w:val="22"/>
          <w:szCs w:val="22"/>
        </w:rPr>
        <w:t>zagranicy w celu ich pochowania należy uzyskać m.in. pozwolenie starosty właściwego ze</w:t>
      </w:r>
      <w:r w:rsidR="00A9310D">
        <w:rPr>
          <w:rFonts w:ascii="Lato" w:hAnsi="Lato" w:cs="Calibri"/>
          <w:sz w:val="22"/>
          <w:szCs w:val="22"/>
        </w:rPr>
        <w:t> </w:t>
      </w:r>
      <w:r w:rsidRPr="007F1EB8">
        <w:rPr>
          <w:rFonts w:ascii="Lato" w:hAnsi="Lato" w:cs="Calibri"/>
          <w:sz w:val="22"/>
          <w:szCs w:val="22"/>
        </w:rPr>
        <w:t>względ</w:t>
      </w:r>
      <w:r>
        <w:rPr>
          <w:rFonts w:ascii="Lato" w:hAnsi="Lato" w:cs="Calibri"/>
          <w:sz w:val="22"/>
          <w:szCs w:val="22"/>
        </w:rPr>
        <w:t>u</w:t>
      </w:r>
      <w:r w:rsidRPr="007F1EB8">
        <w:rPr>
          <w:rFonts w:ascii="Lato" w:hAnsi="Lato" w:cs="Calibri"/>
          <w:sz w:val="22"/>
          <w:szCs w:val="22"/>
        </w:rPr>
        <w:t xml:space="preserve"> na miejsce, w którym zwłoki i szczątki mają być pochowane. Pozwolenie jest wydawane w porozumieniu z właściwym państwowym powiatowym inspektorem sanitarnym</w:t>
      </w:r>
      <w:r>
        <w:rPr>
          <w:rFonts w:ascii="Lato" w:hAnsi="Lato" w:cs="Calibri"/>
          <w:sz w:val="22"/>
          <w:szCs w:val="22"/>
        </w:rPr>
        <w:t xml:space="preserve">, </w:t>
      </w:r>
      <w:r w:rsidRPr="00862FF1">
        <w:rPr>
          <w:rFonts w:ascii="Lato" w:hAnsi="Lato" w:cs="Calibri"/>
          <w:sz w:val="22"/>
          <w:szCs w:val="22"/>
        </w:rPr>
        <w:t>który wskazuje wymogi sanitarne i</w:t>
      </w:r>
      <w:r w:rsidR="00241110">
        <w:rPr>
          <w:rFonts w:ascii="Lato" w:hAnsi="Lato" w:cs="Calibri"/>
          <w:sz w:val="22"/>
          <w:szCs w:val="22"/>
        </w:rPr>
        <w:t> </w:t>
      </w:r>
      <w:r w:rsidRPr="00862FF1">
        <w:rPr>
          <w:rFonts w:ascii="Lato" w:hAnsi="Lato" w:cs="Calibri"/>
          <w:sz w:val="22"/>
          <w:szCs w:val="22"/>
        </w:rPr>
        <w:t xml:space="preserve">techniczne jakie muszą zostać spełnione </w:t>
      </w:r>
      <w:r>
        <w:rPr>
          <w:rFonts w:ascii="Lato" w:hAnsi="Lato" w:cs="Calibri"/>
          <w:sz w:val="22"/>
          <w:szCs w:val="22"/>
        </w:rPr>
        <w:t xml:space="preserve">dla zachowania bezpieczeństwa sanitarnego podczas </w:t>
      </w:r>
      <w:r w:rsidRPr="00862FF1">
        <w:rPr>
          <w:rFonts w:ascii="Lato" w:hAnsi="Lato" w:cs="Calibri"/>
          <w:sz w:val="22"/>
          <w:szCs w:val="22"/>
        </w:rPr>
        <w:t>przewozu.</w:t>
      </w:r>
      <w:r w:rsidRPr="007F1EB8">
        <w:rPr>
          <w:rFonts w:ascii="Lato" w:hAnsi="Lato" w:cs="Calibri"/>
          <w:sz w:val="22"/>
          <w:szCs w:val="22"/>
        </w:rPr>
        <w:t xml:space="preserve"> Przewóz zwłok i szczątków wykonywany był przez specjalistyczne podmioty, środkami transportu przeznaczonymi do tego celu.</w:t>
      </w:r>
    </w:p>
    <w:p w14:paraId="36085582" w14:textId="77777777" w:rsidR="008F28F3" w:rsidRPr="007F1EB8" w:rsidRDefault="008F28F3" w:rsidP="00C42434">
      <w:pPr>
        <w:spacing w:line="360" w:lineRule="auto"/>
        <w:rPr>
          <w:rFonts w:ascii="Lato" w:hAnsi="Lato" w:cs="Calibri"/>
          <w:sz w:val="22"/>
          <w:szCs w:val="22"/>
        </w:rPr>
      </w:pPr>
      <w:r w:rsidRPr="007F1EB8">
        <w:rPr>
          <w:rFonts w:ascii="Lato" w:hAnsi="Lato" w:cs="Calibri"/>
          <w:sz w:val="22"/>
          <w:szCs w:val="22"/>
        </w:rPr>
        <w:t>Ponadto wydano 1 600 decyzji zezwalających na przeprowadzenie ekshumacji</w:t>
      </w:r>
      <w:r>
        <w:rPr>
          <w:rFonts w:ascii="Lato" w:hAnsi="Lato" w:cs="Calibri"/>
          <w:sz w:val="22"/>
          <w:szCs w:val="22"/>
        </w:rPr>
        <w:t xml:space="preserve">, w </w:t>
      </w:r>
      <w:r w:rsidRPr="00862FF1">
        <w:rPr>
          <w:rFonts w:ascii="Lato" w:hAnsi="Lato" w:cs="Calibri"/>
          <w:sz w:val="22"/>
          <w:szCs w:val="22"/>
        </w:rPr>
        <w:t xml:space="preserve">których  określone zostały wymagania sanitarne i techniczne jakie powinny być spełnione podczas </w:t>
      </w:r>
      <w:r>
        <w:rPr>
          <w:rFonts w:ascii="Lato" w:hAnsi="Lato" w:cs="Calibri"/>
          <w:sz w:val="22"/>
          <w:szCs w:val="22"/>
        </w:rPr>
        <w:t xml:space="preserve">prac związanych z wydobyciem </w:t>
      </w:r>
      <w:r w:rsidRPr="00D24BD0">
        <w:rPr>
          <w:rFonts w:ascii="Lato" w:hAnsi="Lato" w:cs="Calibri"/>
          <w:sz w:val="22"/>
          <w:szCs w:val="22"/>
        </w:rPr>
        <w:t>zwłok lub szczątków ludzkich.</w:t>
      </w:r>
    </w:p>
    <w:p w14:paraId="78C5298D" w14:textId="77777777" w:rsidR="008F28F3" w:rsidRPr="007F1EB8" w:rsidRDefault="008F28F3" w:rsidP="00C42434">
      <w:pPr>
        <w:spacing w:line="360" w:lineRule="auto"/>
        <w:rPr>
          <w:rFonts w:ascii="Lato" w:hAnsi="Lato" w:cs="Calibri"/>
          <w:sz w:val="22"/>
          <w:szCs w:val="22"/>
        </w:rPr>
      </w:pPr>
      <w:r>
        <w:rPr>
          <w:rFonts w:ascii="Lato" w:hAnsi="Lato" w:cs="Calibri"/>
          <w:sz w:val="22"/>
          <w:szCs w:val="22"/>
        </w:rPr>
        <w:t>P</w:t>
      </w:r>
      <w:r w:rsidRPr="007F1EB8">
        <w:rPr>
          <w:rFonts w:ascii="Lato" w:hAnsi="Lato" w:cs="Calibri"/>
          <w:sz w:val="22"/>
          <w:szCs w:val="22"/>
        </w:rPr>
        <w:t xml:space="preserve">rzeprowadzono 1 355 ekshumacji, </w:t>
      </w:r>
      <w:r>
        <w:rPr>
          <w:rFonts w:ascii="Lato" w:hAnsi="Lato" w:cs="Calibri"/>
          <w:sz w:val="22"/>
          <w:szCs w:val="22"/>
        </w:rPr>
        <w:t>w tym</w:t>
      </w:r>
      <w:r w:rsidRPr="007F1EB8">
        <w:rPr>
          <w:rFonts w:ascii="Lato" w:hAnsi="Lato" w:cs="Calibri"/>
          <w:sz w:val="22"/>
          <w:szCs w:val="22"/>
        </w:rPr>
        <w:t xml:space="preserve"> 358 pod nadzorem pracowników Państwowej Inspekcji Sanitarnej (26%).</w:t>
      </w:r>
      <w:r w:rsidRPr="007F1EB8">
        <w:rPr>
          <w:rFonts w:ascii="Lato" w:hAnsi="Lato" w:cs="Calibri"/>
          <w:color w:val="FF0000"/>
          <w:sz w:val="22"/>
          <w:szCs w:val="22"/>
        </w:rPr>
        <w:t xml:space="preserve"> </w:t>
      </w:r>
      <w:r w:rsidRPr="007F1EB8">
        <w:rPr>
          <w:rFonts w:ascii="Lato" w:hAnsi="Lato" w:cs="Calibri"/>
          <w:sz w:val="22"/>
          <w:szCs w:val="22"/>
        </w:rPr>
        <w:t xml:space="preserve">Pozostałe ekshumacje, zgodnie z przeprowadzoną analizą ryzyka, nie wymagały takiego nadzoru. </w:t>
      </w:r>
    </w:p>
    <w:p w14:paraId="3ED7F172" w14:textId="36CDAD31" w:rsidR="008F28F3" w:rsidRPr="007F1EB8" w:rsidRDefault="008F28F3" w:rsidP="00C42434">
      <w:pPr>
        <w:spacing w:line="360" w:lineRule="auto"/>
        <w:rPr>
          <w:rFonts w:ascii="Lato" w:hAnsi="Lato" w:cs="Calibri"/>
          <w:color w:val="000000"/>
          <w:sz w:val="22"/>
          <w:szCs w:val="22"/>
        </w:rPr>
      </w:pPr>
      <w:r w:rsidRPr="007F1EB8">
        <w:rPr>
          <w:rFonts w:ascii="Lato" w:hAnsi="Lato" w:cs="Calibri"/>
          <w:color w:val="000000"/>
          <w:sz w:val="22"/>
          <w:szCs w:val="22"/>
        </w:rPr>
        <w:t xml:space="preserve">Nie stwierdzono zagrożeń </w:t>
      </w:r>
      <w:r>
        <w:rPr>
          <w:rFonts w:ascii="Lato" w:hAnsi="Lato" w:cs="Calibri"/>
          <w:color w:val="000000"/>
          <w:sz w:val="22"/>
          <w:szCs w:val="22"/>
        </w:rPr>
        <w:t>w związku przeprowadzonymi ekshu</w:t>
      </w:r>
      <w:r w:rsidRPr="007F1EB8">
        <w:rPr>
          <w:rFonts w:ascii="Lato" w:hAnsi="Lato" w:cs="Calibri"/>
          <w:color w:val="000000"/>
          <w:sz w:val="22"/>
          <w:szCs w:val="22"/>
        </w:rPr>
        <w:t>macj</w:t>
      </w:r>
      <w:r>
        <w:rPr>
          <w:rFonts w:ascii="Lato" w:hAnsi="Lato" w:cs="Calibri"/>
          <w:color w:val="000000"/>
          <w:sz w:val="22"/>
          <w:szCs w:val="22"/>
        </w:rPr>
        <w:t>ami</w:t>
      </w:r>
      <w:r w:rsidRPr="007F1EB8">
        <w:rPr>
          <w:rFonts w:ascii="Lato" w:hAnsi="Lato" w:cs="Calibri"/>
          <w:color w:val="000000"/>
          <w:sz w:val="22"/>
          <w:szCs w:val="22"/>
        </w:rPr>
        <w:t>. Kontrole wykazały, iż</w:t>
      </w:r>
      <w:r w:rsidR="00241110">
        <w:rPr>
          <w:rFonts w:ascii="Lato" w:hAnsi="Lato" w:cs="Calibri"/>
          <w:color w:val="000000"/>
          <w:sz w:val="22"/>
          <w:szCs w:val="22"/>
        </w:rPr>
        <w:t> </w:t>
      </w:r>
      <w:r w:rsidRPr="007F1EB8">
        <w:rPr>
          <w:rFonts w:ascii="Lato" w:hAnsi="Lato" w:cs="Calibri"/>
          <w:color w:val="000000"/>
          <w:sz w:val="22"/>
          <w:szCs w:val="22"/>
        </w:rPr>
        <w:t>wykonywane były one zgodnie</w:t>
      </w:r>
      <w:r>
        <w:rPr>
          <w:rFonts w:ascii="Lato" w:hAnsi="Lato" w:cs="Calibri"/>
          <w:color w:val="000000"/>
          <w:sz w:val="22"/>
          <w:szCs w:val="22"/>
        </w:rPr>
        <w:t xml:space="preserve"> z warunkami</w:t>
      </w:r>
      <w:r w:rsidRPr="007F1EB8">
        <w:rPr>
          <w:rFonts w:ascii="Lato" w:hAnsi="Lato" w:cs="Calibri"/>
          <w:color w:val="000000"/>
          <w:sz w:val="22"/>
          <w:szCs w:val="22"/>
        </w:rPr>
        <w:t xml:space="preserve"> </w:t>
      </w:r>
      <w:r>
        <w:rPr>
          <w:rFonts w:ascii="Lato" w:hAnsi="Lato" w:cs="Calibri"/>
          <w:color w:val="000000"/>
          <w:sz w:val="22"/>
          <w:szCs w:val="22"/>
        </w:rPr>
        <w:t>wskazanymi w</w:t>
      </w:r>
      <w:r w:rsidRPr="007F1EB8">
        <w:rPr>
          <w:rFonts w:ascii="Lato" w:hAnsi="Lato" w:cs="Calibri"/>
          <w:color w:val="000000"/>
          <w:sz w:val="22"/>
          <w:szCs w:val="22"/>
        </w:rPr>
        <w:t xml:space="preserve"> </w:t>
      </w:r>
      <w:r>
        <w:rPr>
          <w:rFonts w:ascii="Lato" w:hAnsi="Lato" w:cs="Calibri"/>
          <w:color w:val="000000"/>
          <w:sz w:val="22"/>
          <w:szCs w:val="22"/>
        </w:rPr>
        <w:t>decyzjach.</w:t>
      </w:r>
      <w:r w:rsidRPr="007F1EB8">
        <w:rPr>
          <w:rFonts w:ascii="Lato" w:hAnsi="Lato" w:cs="Calibri"/>
          <w:color w:val="000000"/>
          <w:sz w:val="22"/>
          <w:szCs w:val="22"/>
        </w:rPr>
        <w:t xml:space="preserve"> </w:t>
      </w:r>
    </w:p>
    <w:p w14:paraId="7D56798D" w14:textId="50C50DA8" w:rsidR="008F28F3" w:rsidRPr="007F1EB8" w:rsidRDefault="008F28F3" w:rsidP="00C42434">
      <w:pPr>
        <w:spacing w:line="360" w:lineRule="auto"/>
        <w:rPr>
          <w:rFonts w:ascii="Lato" w:hAnsi="Lato" w:cs="Calibri"/>
          <w:sz w:val="22"/>
          <w:szCs w:val="22"/>
        </w:rPr>
      </w:pPr>
      <w:r>
        <w:rPr>
          <w:rFonts w:ascii="Lato" w:hAnsi="Lato" w:cs="Calibri"/>
          <w:sz w:val="22"/>
          <w:szCs w:val="22"/>
        </w:rPr>
        <w:t>W 2025 roku prowadzono także nadzór nad środkami transportu do przewozów zwłok i</w:t>
      </w:r>
      <w:r w:rsidR="00241110">
        <w:rPr>
          <w:rFonts w:ascii="Lato" w:hAnsi="Lato" w:cs="Calibri"/>
          <w:sz w:val="22"/>
          <w:szCs w:val="22"/>
        </w:rPr>
        <w:t> </w:t>
      </w:r>
      <w:r>
        <w:rPr>
          <w:rFonts w:ascii="Lato" w:hAnsi="Lato" w:cs="Calibri"/>
          <w:sz w:val="22"/>
          <w:szCs w:val="22"/>
        </w:rPr>
        <w:t xml:space="preserve">szczątków ludzkich. Przeprowadzono 85 kontroli pojazdów. </w:t>
      </w:r>
      <w:r w:rsidRPr="007F1EB8">
        <w:rPr>
          <w:rFonts w:ascii="Lato" w:hAnsi="Lato" w:cs="Calibri"/>
          <w:sz w:val="22"/>
          <w:szCs w:val="22"/>
        </w:rPr>
        <w:t xml:space="preserve">W trakcie kontroli szczególną uwagę zwracano na stan higieniczno-sanitarny samochodów, rodzaj stosowanych środków czystości oraz sposób dezynfekcji. </w:t>
      </w:r>
      <w:r>
        <w:rPr>
          <w:rFonts w:ascii="Lato" w:hAnsi="Lato" w:cs="Calibri"/>
          <w:sz w:val="22"/>
          <w:szCs w:val="22"/>
        </w:rPr>
        <w:t>Wszystkie s</w:t>
      </w:r>
      <w:r w:rsidRPr="007F1EB8">
        <w:rPr>
          <w:rFonts w:ascii="Lato" w:hAnsi="Lato" w:cs="Calibri"/>
          <w:sz w:val="22"/>
          <w:szCs w:val="22"/>
        </w:rPr>
        <w:t>kontrolowane środki transportu spełniały wymagania higieniczno-sanitarne.</w:t>
      </w:r>
    </w:p>
    <w:p w14:paraId="21A54089" w14:textId="77777777" w:rsidR="003141C3" w:rsidRPr="0090516C" w:rsidRDefault="003141C3" w:rsidP="00811189">
      <w:pPr>
        <w:pStyle w:val="Nagwek1"/>
        <w:rPr>
          <w:sz w:val="22"/>
          <w:szCs w:val="22"/>
        </w:rPr>
      </w:pPr>
    </w:p>
    <w:p w14:paraId="67442A71" w14:textId="77777777" w:rsidR="003141C3" w:rsidRDefault="003141C3">
      <w:pPr>
        <w:spacing w:after="160" w:line="278" w:lineRule="auto"/>
        <w:rPr>
          <w:rFonts w:ascii="Lato" w:eastAsiaTheme="majorEastAsia" w:hAnsi="Lato" w:cstheme="majorBidi"/>
          <w:color w:val="4C94D8" w:themeColor="text2" w:themeTint="80"/>
          <w:sz w:val="32"/>
          <w:szCs w:val="40"/>
        </w:rPr>
      </w:pPr>
      <w:r>
        <w:br w:type="page"/>
      </w:r>
    </w:p>
    <w:p w14:paraId="7E6EE4D9" w14:textId="3BC5FE20" w:rsidR="000C7A64" w:rsidRPr="00BA2854" w:rsidRDefault="000C7A64">
      <w:pPr>
        <w:pStyle w:val="Nagwek1"/>
        <w:numPr>
          <w:ilvl w:val="0"/>
          <w:numId w:val="16"/>
        </w:numPr>
        <w:rPr>
          <w:rFonts w:eastAsia="Times New Roman"/>
          <w:color w:val="153D63" w:themeColor="text2" w:themeTint="E6"/>
        </w:rPr>
      </w:pPr>
      <w:bookmarkStart w:id="157" w:name="_Toc225859086"/>
      <w:r w:rsidRPr="00BA2854">
        <w:rPr>
          <w:rFonts w:eastAsia="Times New Roman"/>
          <w:color w:val="153D63" w:themeColor="text2" w:themeTint="E6"/>
        </w:rPr>
        <w:lastRenderedPageBreak/>
        <w:t>Warunki higieniczno-sanitarne w placówkach oświatowo-wychowawczych</w:t>
      </w:r>
      <w:bookmarkEnd w:id="157"/>
    </w:p>
    <w:p w14:paraId="7F4E5A01" w14:textId="77777777" w:rsidR="000C7A64" w:rsidRPr="00E90E57" w:rsidRDefault="000C7A64" w:rsidP="000C7A64">
      <w:pPr>
        <w:rPr>
          <w:rFonts w:ascii="Calibri" w:eastAsia="Calibri" w:hAnsi="Calibri" w:cs="Calibri"/>
        </w:rPr>
      </w:pPr>
    </w:p>
    <w:p w14:paraId="7BDFDE42" w14:textId="736BA612" w:rsidR="000C7A64" w:rsidRPr="003B1AC6" w:rsidRDefault="000C7A64">
      <w:pPr>
        <w:pStyle w:val="Nagwek2"/>
        <w:numPr>
          <w:ilvl w:val="0"/>
          <w:numId w:val="4"/>
        </w:numPr>
        <w:rPr>
          <w:rFonts w:eastAsia="Times New Roman"/>
          <w:b/>
          <w:bCs/>
        </w:rPr>
      </w:pPr>
      <w:bookmarkStart w:id="158" w:name="_Toc225859087"/>
      <w:r w:rsidRPr="003B1AC6">
        <w:rPr>
          <w:rFonts w:eastAsia="Times New Roman"/>
          <w:b/>
          <w:bCs/>
        </w:rPr>
        <w:t>Stan higieniczno-sanitarny placówek oświatowo – wychowawczych</w:t>
      </w:r>
      <w:bookmarkEnd w:id="158"/>
    </w:p>
    <w:p w14:paraId="565E7A98" w14:textId="77777777" w:rsidR="000C7A64" w:rsidRPr="00E90E57" w:rsidRDefault="000C7A64" w:rsidP="000C7A64">
      <w:pPr>
        <w:spacing w:line="276" w:lineRule="auto"/>
        <w:ind w:firstLine="709"/>
        <w:rPr>
          <w:rFonts w:ascii="Calibri" w:eastAsia="Calibri" w:hAnsi="Calibri" w:cs="Calibri"/>
          <w:color w:val="FF3399"/>
        </w:rPr>
      </w:pPr>
    </w:p>
    <w:p w14:paraId="0191F35D" w14:textId="77777777" w:rsidR="000C7A64" w:rsidRPr="00B62D2A" w:rsidRDefault="000C7A64" w:rsidP="00A9310D">
      <w:pPr>
        <w:spacing w:line="360" w:lineRule="auto"/>
        <w:rPr>
          <w:rFonts w:ascii="Lato" w:hAnsi="Lato"/>
          <w:sz w:val="22"/>
          <w:szCs w:val="22"/>
          <w:u w:val="single"/>
        </w:rPr>
      </w:pPr>
      <w:bookmarkStart w:id="159" w:name="_Toc135041758"/>
      <w:r w:rsidRPr="00B62D2A">
        <w:rPr>
          <w:rFonts w:ascii="Lato" w:hAnsi="Lato"/>
          <w:sz w:val="22"/>
          <w:szCs w:val="22"/>
          <w:u w:val="single"/>
        </w:rPr>
        <w:t>Nadzór sanitarny nad placówkami</w:t>
      </w:r>
      <w:bookmarkEnd w:id="159"/>
    </w:p>
    <w:p w14:paraId="5731D79A" w14:textId="77777777" w:rsidR="000C7A64" w:rsidRPr="0068623C" w:rsidRDefault="000C7A64" w:rsidP="00A9310D">
      <w:pPr>
        <w:spacing w:line="360" w:lineRule="auto"/>
        <w:rPr>
          <w:rFonts w:ascii="Lato" w:eastAsia="Calibri" w:hAnsi="Lato" w:cs="Calibri"/>
          <w:sz w:val="22"/>
          <w:szCs w:val="22"/>
        </w:rPr>
      </w:pPr>
      <w:r w:rsidRPr="0068623C">
        <w:rPr>
          <w:rFonts w:ascii="Lato" w:eastAsia="Calibri" w:hAnsi="Lato" w:cs="Calibri"/>
          <w:sz w:val="22"/>
          <w:szCs w:val="22"/>
        </w:rPr>
        <w:t>W 2025 r. pod nadzorem Państwowej Inspekcji Sanitarnej w woj. zachodniopomorskim znajdowało się 6 286 placówek oświatowo – wychowawczych, w tym:</w:t>
      </w:r>
    </w:p>
    <w:p w14:paraId="2E291E37" w14:textId="0DD6CC23" w:rsidR="000C7A64" w:rsidRPr="006828BB" w:rsidRDefault="000C7A64">
      <w:pPr>
        <w:pStyle w:val="Akapitzlist"/>
        <w:numPr>
          <w:ilvl w:val="0"/>
          <w:numId w:val="38"/>
        </w:numPr>
        <w:spacing w:line="360" w:lineRule="auto"/>
        <w:rPr>
          <w:rFonts w:ascii="Lato" w:eastAsia="Calibri" w:hAnsi="Lato" w:cs="Calibri"/>
          <w:sz w:val="22"/>
          <w:szCs w:val="22"/>
        </w:rPr>
      </w:pPr>
      <w:r w:rsidRPr="006828BB">
        <w:rPr>
          <w:rFonts w:ascii="Lato" w:eastAsia="Calibri" w:hAnsi="Lato" w:cs="Calibri"/>
          <w:sz w:val="22"/>
          <w:szCs w:val="22"/>
        </w:rPr>
        <w:t>2478 placówek stałych,</w:t>
      </w:r>
    </w:p>
    <w:p w14:paraId="7A78FF2A" w14:textId="0150B5F5" w:rsidR="000C7A64" w:rsidRPr="006828BB" w:rsidRDefault="000C7A64">
      <w:pPr>
        <w:pStyle w:val="Akapitzlist"/>
        <w:numPr>
          <w:ilvl w:val="0"/>
          <w:numId w:val="38"/>
        </w:numPr>
        <w:spacing w:line="360" w:lineRule="auto"/>
        <w:rPr>
          <w:rFonts w:ascii="Lato" w:eastAsia="Calibri" w:hAnsi="Lato" w:cs="Calibri"/>
          <w:sz w:val="22"/>
          <w:szCs w:val="22"/>
        </w:rPr>
      </w:pPr>
      <w:r w:rsidRPr="006828BB">
        <w:rPr>
          <w:rFonts w:ascii="Lato" w:eastAsia="Calibri" w:hAnsi="Lato" w:cs="Calibri"/>
          <w:sz w:val="22"/>
          <w:szCs w:val="22"/>
        </w:rPr>
        <w:t>357 placówek wypoczynku zimowego,</w:t>
      </w:r>
    </w:p>
    <w:p w14:paraId="0EE1F0A3" w14:textId="2A991E2F" w:rsidR="000C7A64" w:rsidRPr="006828BB" w:rsidRDefault="000C7A64">
      <w:pPr>
        <w:pStyle w:val="Akapitzlist"/>
        <w:numPr>
          <w:ilvl w:val="0"/>
          <w:numId w:val="38"/>
        </w:numPr>
        <w:spacing w:line="360" w:lineRule="auto"/>
        <w:rPr>
          <w:rFonts w:ascii="Lato" w:eastAsia="Calibri" w:hAnsi="Lato" w:cs="Calibri"/>
          <w:sz w:val="22"/>
          <w:szCs w:val="22"/>
        </w:rPr>
      </w:pPr>
      <w:r w:rsidRPr="006828BB">
        <w:rPr>
          <w:rFonts w:ascii="Lato" w:eastAsia="Calibri" w:hAnsi="Lato" w:cs="Calibri"/>
          <w:sz w:val="22"/>
          <w:szCs w:val="22"/>
        </w:rPr>
        <w:t>3451 placówek wypoczynku letniego.</w:t>
      </w:r>
    </w:p>
    <w:p w14:paraId="0CD952CB" w14:textId="77777777" w:rsidR="000C7A64" w:rsidRPr="0068623C" w:rsidRDefault="000C7A64" w:rsidP="00A9310D">
      <w:pPr>
        <w:spacing w:line="360" w:lineRule="auto"/>
        <w:rPr>
          <w:rFonts w:ascii="Lato" w:hAnsi="Lato" w:cs="Calibri"/>
          <w:sz w:val="22"/>
          <w:szCs w:val="22"/>
        </w:rPr>
      </w:pPr>
      <w:r w:rsidRPr="0068623C">
        <w:rPr>
          <w:rFonts w:ascii="Lato" w:hAnsi="Lato" w:cs="Calibri"/>
          <w:sz w:val="22"/>
          <w:szCs w:val="22"/>
        </w:rPr>
        <w:t xml:space="preserve">Przedstawiciele Państwowej Inspekcji Sanitarnej przeprowadzili </w:t>
      </w:r>
      <w:bookmarkStart w:id="160" w:name="_Hlk161833255"/>
      <w:r w:rsidRPr="0068623C">
        <w:rPr>
          <w:rFonts w:ascii="Lato" w:hAnsi="Lato" w:cs="Calibri"/>
          <w:sz w:val="22"/>
          <w:szCs w:val="22"/>
        </w:rPr>
        <w:t>2</w:t>
      </w:r>
      <w:bookmarkEnd w:id="160"/>
      <w:r w:rsidRPr="0068623C">
        <w:rPr>
          <w:rFonts w:ascii="Lato" w:hAnsi="Lato" w:cs="Calibri"/>
          <w:sz w:val="22"/>
          <w:szCs w:val="22"/>
        </w:rPr>
        <w:t xml:space="preserve"> 600</w:t>
      </w:r>
      <w:r w:rsidRPr="0068623C">
        <w:rPr>
          <w:rFonts w:ascii="Lato" w:hAnsi="Lato" w:cs="Calibri"/>
          <w:b/>
          <w:bCs/>
          <w:sz w:val="22"/>
          <w:szCs w:val="22"/>
        </w:rPr>
        <w:t xml:space="preserve"> </w:t>
      </w:r>
      <w:r w:rsidRPr="0068623C">
        <w:rPr>
          <w:rFonts w:ascii="Lato" w:hAnsi="Lato" w:cs="Calibri"/>
          <w:sz w:val="22"/>
          <w:szCs w:val="22"/>
        </w:rPr>
        <w:t>kontroli głównie pod kątem zapewnienia właściwych warunków higienicznosanitarnych w placówkach. Sprawdzano przede wszystkim stan sanitarno-techniczny pomieszczeń oraz używanego sprzętu i urządzeń.</w:t>
      </w:r>
    </w:p>
    <w:p w14:paraId="0849E45B" w14:textId="77777777" w:rsidR="000C7A64" w:rsidRPr="0068623C" w:rsidRDefault="000C7A64" w:rsidP="00A9310D">
      <w:pPr>
        <w:spacing w:line="360" w:lineRule="auto"/>
        <w:rPr>
          <w:rFonts w:ascii="Lato" w:hAnsi="Lato" w:cs="Calibri"/>
          <w:sz w:val="22"/>
          <w:szCs w:val="22"/>
        </w:rPr>
      </w:pPr>
      <w:r w:rsidRPr="0068623C">
        <w:rPr>
          <w:rFonts w:ascii="Lato" w:eastAsia="Calibri" w:hAnsi="Lato" w:cs="Calibri"/>
          <w:sz w:val="22"/>
          <w:szCs w:val="22"/>
        </w:rPr>
        <w:t>Większość obiektów była w dobrym stanie sanitarnohigienicznym i technicznym.</w:t>
      </w:r>
    </w:p>
    <w:p w14:paraId="15CA29CA" w14:textId="77777777" w:rsidR="000C7A64" w:rsidRPr="0068623C" w:rsidRDefault="000C7A64" w:rsidP="00A9310D">
      <w:pPr>
        <w:spacing w:line="360" w:lineRule="auto"/>
        <w:rPr>
          <w:rFonts w:ascii="Lato" w:eastAsia="Calibri" w:hAnsi="Lato" w:cs="Calibri"/>
          <w:sz w:val="22"/>
          <w:szCs w:val="22"/>
        </w:rPr>
      </w:pPr>
      <w:r w:rsidRPr="0068623C">
        <w:rPr>
          <w:rFonts w:ascii="Lato" w:eastAsia="Calibri" w:hAnsi="Lato" w:cs="Calibri"/>
          <w:sz w:val="22"/>
          <w:szCs w:val="22"/>
        </w:rPr>
        <w:t>Nieprawidłowości stwierdzono w 13% obiektów. Najczęściej dotyczyły one:</w:t>
      </w:r>
    </w:p>
    <w:p w14:paraId="07B1DCBD" w14:textId="77777777" w:rsidR="000C7A64" w:rsidRPr="0068623C" w:rsidRDefault="000C7A64">
      <w:pPr>
        <w:pStyle w:val="Akapitzlist"/>
        <w:numPr>
          <w:ilvl w:val="0"/>
          <w:numId w:val="37"/>
        </w:numPr>
        <w:tabs>
          <w:tab w:val="left" w:pos="357"/>
        </w:tabs>
        <w:spacing w:line="360" w:lineRule="auto"/>
        <w:rPr>
          <w:rFonts w:ascii="Lato" w:eastAsia="Calibri" w:hAnsi="Lato" w:cs="Calibri"/>
          <w:sz w:val="22"/>
          <w:szCs w:val="22"/>
        </w:rPr>
      </w:pPr>
      <w:r w:rsidRPr="0068623C">
        <w:rPr>
          <w:rFonts w:ascii="Lato" w:eastAsia="Calibri" w:hAnsi="Lato" w:cs="Calibri"/>
          <w:sz w:val="22"/>
          <w:szCs w:val="22"/>
        </w:rPr>
        <w:t xml:space="preserve"> stanu sanitarno-technicznego dróg dojścia i ogrodzenia, </w:t>
      </w:r>
    </w:p>
    <w:p w14:paraId="4D6DF488" w14:textId="77777777" w:rsidR="000C7A64" w:rsidRPr="0068623C" w:rsidRDefault="000C7A64">
      <w:pPr>
        <w:pStyle w:val="Akapitzlist"/>
        <w:numPr>
          <w:ilvl w:val="0"/>
          <w:numId w:val="37"/>
        </w:numPr>
        <w:tabs>
          <w:tab w:val="left" w:pos="357"/>
        </w:tabs>
        <w:spacing w:line="360" w:lineRule="auto"/>
        <w:rPr>
          <w:rFonts w:ascii="Lato" w:eastAsia="Calibri" w:hAnsi="Lato" w:cs="Calibri"/>
          <w:sz w:val="22"/>
          <w:szCs w:val="22"/>
        </w:rPr>
      </w:pPr>
      <w:r w:rsidRPr="0068623C">
        <w:rPr>
          <w:rFonts w:ascii="Lato" w:eastAsia="Calibri" w:hAnsi="Lato" w:cs="Calibri"/>
          <w:sz w:val="22"/>
          <w:szCs w:val="22"/>
        </w:rPr>
        <w:t xml:space="preserve"> stanu sanitarno-technicznego placów zabaw, rekreacyjnych i boisk sportowych,</w:t>
      </w:r>
    </w:p>
    <w:p w14:paraId="0E4AF640" w14:textId="77777777" w:rsidR="000C7A64" w:rsidRPr="0068623C" w:rsidRDefault="000C7A64">
      <w:pPr>
        <w:pStyle w:val="Akapitzlist"/>
        <w:numPr>
          <w:ilvl w:val="0"/>
          <w:numId w:val="37"/>
        </w:numPr>
        <w:tabs>
          <w:tab w:val="left" w:pos="426"/>
        </w:tabs>
        <w:spacing w:line="360" w:lineRule="auto"/>
        <w:rPr>
          <w:rFonts w:ascii="Lato" w:eastAsia="Calibri" w:hAnsi="Lato" w:cs="Calibri"/>
          <w:sz w:val="22"/>
          <w:szCs w:val="22"/>
        </w:rPr>
      </w:pPr>
      <w:r w:rsidRPr="0068623C">
        <w:rPr>
          <w:rFonts w:ascii="Lato" w:eastAsia="Calibri" w:hAnsi="Lato" w:cs="Calibri"/>
          <w:sz w:val="22"/>
          <w:szCs w:val="22"/>
        </w:rPr>
        <w:t>ciągów komunikacyjnych w budynkach (nawierzchnie, schody, zabezpieczenia kaloryferów) lub szatni</w:t>
      </w:r>
      <w:bookmarkStart w:id="161" w:name="_Hlk161917292"/>
      <w:r w:rsidRPr="0068623C">
        <w:rPr>
          <w:rFonts w:ascii="Lato" w:eastAsia="Calibri" w:hAnsi="Lato" w:cs="Calibri"/>
          <w:sz w:val="22"/>
          <w:szCs w:val="22"/>
        </w:rPr>
        <w:t>,</w:t>
      </w:r>
    </w:p>
    <w:bookmarkEnd w:id="161"/>
    <w:p w14:paraId="6CD5BDDA" w14:textId="77777777" w:rsidR="000C7A64" w:rsidRPr="0068623C" w:rsidRDefault="000C7A64">
      <w:pPr>
        <w:pStyle w:val="Akapitzlist"/>
        <w:numPr>
          <w:ilvl w:val="0"/>
          <w:numId w:val="37"/>
        </w:numPr>
        <w:tabs>
          <w:tab w:val="left" w:pos="357"/>
        </w:tabs>
        <w:spacing w:line="360" w:lineRule="auto"/>
        <w:rPr>
          <w:rFonts w:ascii="Lato" w:eastAsia="Calibri" w:hAnsi="Lato" w:cs="Calibri"/>
          <w:sz w:val="22"/>
          <w:szCs w:val="22"/>
        </w:rPr>
      </w:pPr>
      <w:r w:rsidRPr="0068623C">
        <w:rPr>
          <w:rFonts w:ascii="Lato" w:eastAsia="Calibri" w:hAnsi="Lato" w:cs="Calibri"/>
          <w:sz w:val="22"/>
          <w:szCs w:val="22"/>
        </w:rPr>
        <w:t xml:space="preserve"> stanu sanitarno-higienicznego i technicznego sal lekcyjnych i innych sal zajęć,</w:t>
      </w:r>
    </w:p>
    <w:p w14:paraId="5EE154C5" w14:textId="54FB0E5C" w:rsidR="000C7A64" w:rsidRPr="0068623C" w:rsidRDefault="000C7A64">
      <w:pPr>
        <w:pStyle w:val="Akapitzlist"/>
        <w:numPr>
          <w:ilvl w:val="0"/>
          <w:numId w:val="37"/>
        </w:numPr>
        <w:tabs>
          <w:tab w:val="left" w:pos="357"/>
        </w:tabs>
        <w:spacing w:line="360" w:lineRule="auto"/>
        <w:rPr>
          <w:rFonts w:ascii="Lato" w:eastAsia="Calibri" w:hAnsi="Lato" w:cs="Calibri"/>
          <w:sz w:val="22"/>
          <w:szCs w:val="22"/>
        </w:rPr>
      </w:pPr>
      <w:r w:rsidRPr="0068623C">
        <w:rPr>
          <w:rFonts w:ascii="Lato" w:eastAsia="Calibri" w:hAnsi="Lato" w:cs="Calibri"/>
          <w:sz w:val="22"/>
          <w:szCs w:val="22"/>
        </w:rPr>
        <w:t xml:space="preserve"> dostosowania mebli do zasad ergonomii oraz posiadania certyfikowanych mebli i</w:t>
      </w:r>
      <w:r w:rsidR="00A9310D">
        <w:rPr>
          <w:rFonts w:ascii="Lato" w:eastAsia="Calibri" w:hAnsi="Lato" w:cs="Calibri"/>
          <w:sz w:val="22"/>
          <w:szCs w:val="22"/>
        </w:rPr>
        <w:t> </w:t>
      </w:r>
      <w:r w:rsidRPr="0068623C">
        <w:rPr>
          <w:rFonts w:ascii="Lato" w:eastAsia="Calibri" w:hAnsi="Lato" w:cs="Calibri"/>
          <w:sz w:val="22"/>
          <w:szCs w:val="22"/>
        </w:rPr>
        <w:t>sprzętu sportowego,</w:t>
      </w:r>
    </w:p>
    <w:p w14:paraId="057DFE15" w14:textId="77777777" w:rsidR="000C7A64" w:rsidRPr="0068623C" w:rsidRDefault="000C7A64">
      <w:pPr>
        <w:pStyle w:val="Akapitzlist"/>
        <w:numPr>
          <w:ilvl w:val="0"/>
          <w:numId w:val="37"/>
        </w:numPr>
        <w:tabs>
          <w:tab w:val="left" w:pos="357"/>
        </w:tabs>
        <w:spacing w:line="360" w:lineRule="auto"/>
        <w:rPr>
          <w:rFonts w:ascii="Lato" w:eastAsia="Calibri" w:hAnsi="Lato" w:cs="Calibri"/>
          <w:sz w:val="22"/>
          <w:szCs w:val="22"/>
        </w:rPr>
      </w:pPr>
      <w:r w:rsidRPr="0068623C">
        <w:rPr>
          <w:rFonts w:ascii="Lato" w:eastAsia="Calibri" w:hAnsi="Lato" w:cs="Calibri"/>
          <w:sz w:val="22"/>
          <w:szCs w:val="22"/>
        </w:rPr>
        <w:t xml:space="preserve"> stanu sanitarnego i technicznego pomieszczeń higieniczno-sanitarnych oraz ich wyposażenia, </w:t>
      </w:r>
    </w:p>
    <w:p w14:paraId="4D89306A" w14:textId="77777777" w:rsidR="000C7A64" w:rsidRPr="0068623C" w:rsidRDefault="000C7A64">
      <w:pPr>
        <w:pStyle w:val="Akapitzlist"/>
        <w:numPr>
          <w:ilvl w:val="0"/>
          <w:numId w:val="37"/>
        </w:numPr>
        <w:tabs>
          <w:tab w:val="left" w:pos="357"/>
        </w:tabs>
        <w:spacing w:line="360" w:lineRule="auto"/>
        <w:rPr>
          <w:rFonts w:ascii="Lato" w:eastAsia="Calibri" w:hAnsi="Lato" w:cs="Calibri"/>
          <w:sz w:val="22"/>
          <w:szCs w:val="22"/>
        </w:rPr>
      </w:pPr>
      <w:r w:rsidRPr="0068623C">
        <w:rPr>
          <w:rFonts w:ascii="Lato" w:eastAsia="Calibri" w:hAnsi="Lato" w:cs="Calibri"/>
          <w:sz w:val="22"/>
          <w:szCs w:val="22"/>
        </w:rPr>
        <w:t xml:space="preserve"> niezachowania standardów dostępności do urządzeń sanitarnych,</w:t>
      </w:r>
    </w:p>
    <w:p w14:paraId="2313229C" w14:textId="77777777" w:rsidR="000C7A64" w:rsidRPr="0068623C" w:rsidRDefault="000C7A64">
      <w:pPr>
        <w:pStyle w:val="Akapitzlist"/>
        <w:numPr>
          <w:ilvl w:val="0"/>
          <w:numId w:val="37"/>
        </w:numPr>
        <w:tabs>
          <w:tab w:val="left" w:pos="357"/>
        </w:tabs>
        <w:spacing w:line="360" w:lineRule="auto"/>
        <w:rPr>
          <w:rFonts w:ascii="Lato" w:eastAsia="Calibri" w:hAnsi="Lato" w:cs="Calibri"/>
          <w:sz w:val="22"/>
          <w:szCs w:val="22"/>
        </w:rPr>
      </w:pPr>
      <w:r w:rsidRPr="0068623C">
        <w:rPr>
          <w:rFonts w:ascii="Lato" w:eastAsia="Calibri" w:hAnsi="Lato" w:cs="Calibri"/>
          <w:sz w:val="22"/>
          <w:szCs w:val="22"/>
        </w:rPr>
        <w:t xml:space="preserve"> warunków prowadzenia zajęć W-F,</w:t>
      </w:r>
    </w:p>
    <w:p w14:paraId="302374D1" w14:textId="77777777" w:rsidR="000C7A64" w:rsidRPr="0068623C" w:rsidRDefault="000C7A64">
      <w:pPr>
        <w:pStyle w:val="Akapitzlist"/>
        <w:numPr>
          <w:ilvl w:val="0"/>
          <w:numId w:val="37"/>
        </w:numPr>
        <w:tabs>
          <w:tab w:val="left" w:pos="357"/>
        </w:tabs>
        <w:spacing w:line="360" w:lineRule="auto"/>
        <w:rPr>
          <w:rFonts w:ascii="Lato" w:eastAsia="Calibri" w:hAnsi="Lato" w:cs="Calibri"/>
          <w:sz w:val="22"/>
          <w:szCs w:val="22"/>
        </w:rPr>
      </w:pPr>
      <w:r w:rsidRPr="0068623C">
        <w:rPr>
          <w:rFonts w:ascii="Lato" w:eastAsia="Calibri" w:hAnsi="Lato" w:cs="Calibri"/>
          <w:sz w:val="22"/>
          <w:szCs w:val="22"/>
        </w:rPr>
        <w:t xml:space="preserve"> stanu sanitarno-higienicznego i technicznego pokoi mieszkalnych,</w:t>
      </w:r>
    </w:p>
    <w:p w14:paraId="5B454DF7" w14:textId="77777777" w:rsidR="000C7A64" w:rsidRPr="0068623C" w:rsidRDefault="000C7A64">
      <w:pPr>
        <w:pStyle w:val="Akapitzlist"/>
        <w:numPr>
          <w:ilvl w:val="0"/>
          <w:numId w:val="37"/>
        </w:numPr>
        <w:tabs>
          <w:tab w:val="left" w:pos="357"/>
        </w:tabs>
        <w:spacing w:line="360" w:lineRule="auto"/>
        <w:rPr>
          <w:rFonts w:ascii="Lato" w:eastAsia="Calibri" w:hAnsi="Lato" w:cs="Calibri"/>
          <w:sz w:val="22"/>
          <w:szCs w:val="22"/>
        </w:rPr>
      </w:pPr>
      <w:r w:rsidRPr="0068623C">
        <w:rPr>
          <w:rFonts w:ascii="Lato" w:eastAsia="Calibri" w:hAnsi="Lato" w:cs="Calibri"/>
          <w:sz w:val="22"/>
          <w:szCs w:val="22"/>
        </w:rPr>
        <w:t>nieprawidłowego oświetlenia w pomieszczeniach lub niewłaściwej wentylacji.</w:t>
      </w:r>
    </w:p>
    <w:p w14:paraId="0CCCE6FB" w14:textId="77777777" w:rsidR="000C7A64" w:rsidRPr="0068623C" w:rsidRDefault="000C7A64" w:rsidP="00A9310D">
      <w:pPr>
        <w:spacing w:line="276" w:lineRule="auto"/>
        <w:rPr>
          <w:rFonts w:ascii="Lato" w:eastAsia="Calibri" w:hAnsi="Lato" w:cs="Calibri"/>
          <w:color w:val="EE0000"/>
          <w:sz w:val="22"/>
          <w:szCs w:val="22"/>
          <w:u w:val="single"/>
        </w:rPr>
      </w:pPr>
    </w:p>
    <w:p w14:paraId="2BC5F464" w14:textId="61D1FFF3" w:rsidR="000C7A64" w:rsidRPr="0068623C" w:rsidRDefault="000C7A64" w:rsidP="00A9310D">
      <w:pPr>
        <w:spacing w:line="360" w:lineRule="auto"/>
        <w:rPr>
          <w:rFonts w:ascii="Lato" w:eastAsia="Calibri" w:hAnsi="Lato" w:cs="Calibri"/>
          <w:bCs/>
          <w:sz w:val="22"/>
          <w:szCs w:val="22"/>
        </w:rPr>
      </w:pPr>
      <w:r w:rsidRPr="0068623C">
        <w:rPr>
          <w:rFonts w:ascii="Lato" w:eastAsia="Calibri" w:hAnsi="Lato" w:cs="Calibri"/>
          <w:bCs/>
          <w:sz w:val="22"/>
          <w:szCs w:val="22"/>
        </w:rPr>
        <w:t xml:space="preserve">W ciągu całego roku przyjęto </w:t>
      </w:r>
      <w:r w:rsidRPr="0068623C">
        <w:rPr>
          <w:rFonts w:ascii="Lato" w:hAnsi="Lato" w:cs="Calibri"/>
          <w:bCs/>
          <w:sz w:val="22"/>
          <w:szCs w:val="22"/>
        </w:rPr>
        <w:t>139</w:t>
      </w:r>
      <w:r w:rsidRPr="0068623C">
        <w:rPr>
          <w:rFonts w:ascii="Lato" w:hAnsi="Lato" w:cs="Calibri"/>
          <w:b/>
          <w:sz w:val="22"/>
          <w:szCs w:val="22"/>
        </w:rPr>
        <w:t xml:space="preserve"> </w:t>
      </w:r>
      <w:r w:rsidRPr="0068623C">
        <w:rPr>
          <w:rFonts w:ascii="Lato" w:eastAsia="Calibri" w:hAnsi="Lato" w:cs="Calibri"/>
          <w:bCs/>
          <w:sz w:val="22"/>
          <w:szCs w:val="22"/>
        </w:rPr>
        <w:t>zgłoszeń interwencyjnych,</w:t>
      </w:r>
      <w:r w:rsidRPr="0068623C">
        <w:rPr>
          <w:rFonts w:ascii="Lato" w:eastAsia="Calibri" w:hAnsi="Lato" w:cs="Calibri"/>
          <w:b/>
          <w:sz w:val="22"/>
          <w:szCs w:val="22"/>
        </w:rPr>
        <w:t xml:space="preserve"> </w:t>
      </w:r>
      <w:r w:rsidRPr="0068623C">
        <w:rPr>
          <w:rFonts w:ascii="Lato" w:eastAsia="Calibri" w:hAnsi="Lato" w:cs="Calibri"/>
          <w:bCs/>
          <w:sz w:val="22"/>
          <w:szCs w:val="22"/>
        </w:rPr>
        <w:t>które dotyczyły głównie</w:t>
      </w:r>
      <w:r w:rsidRPr="0068623C">
        <w:rPr>
          <w:rFonts w:ascii="Lato" w:hAnsi="Lato" w:cs="Calibri"/>
          <w:sz w:val="22"/>
          <w:szCs w:val="22"/>
        </w:rPr>
        <w:t xml:space="preserve"> wszawicy, braku środków higieny osobistej oraz </w:t>
      </w:r>
      <w:r w:rsidRPr="0068623C">
        <w:rPr>
          <w:rFonts w:ascii="Lato" w:eastAsia="Calibri" w:hAnsi="Lato" w:cs="Calibri"/>
          <w:bCs/>
          <w:sz w:val="22"/>
          <w:szCs w:val="22"/>
        </w:rPr>
        <w:t>niewłaściwego stanu sanitarno-higienicznego i</w:t>
      </w:r>
      <w:r w:rsidR="00241110">
        <w:rPr>
          <w:rFonts w:ascii="Lato" w:eastAsia="Calibri" w:hAnsi="Lato" w:cs="Calibri"/>
          <w:bCs/>
          <w:sz w:val="22"/>
          <w:szCs w:val="22"/>
        </w:rPr>
        <w:t> </w:t>
      </w:r>
      <w:r w:rsidRPr="0068623C">
        <w:rPr>
          <w:rFonts w:ascii="Lato" w:eastAsia="Calibri" w:hAnsi="Lato" w:cs="Calibri"/>
          <w:bCs/>
          <w:sz w:val="22"/>
          <w:szCs w:val="22"/>
        </w:rPr>
        <w:t>technicznego pomieszczeń, urządzeń oraz wyposażenia. W porównaniu z rokiem 2024 odnotowano spadek zgłoszonych interwencji o 14%.</w:t>
      </w:r>
    </w:p>
    <w:p w14:paraId="643D658F" w14:textId="77777777" w:rsidR="000C7A64" w:rsidRPr="00B62D2A" w:rsidRDefault="000C7A64" w:rsidP="00A9310D">
      <w:pPr>
        <w:spacing w:line="360" w:lineRule="auto"/>
        <w:rPr>
          <w:rFonts w:ascii="Lato" w:hAnsi="Lato"/>
          <w:sz w:val="22"/>
          <w:szCs w:val="22"/>
        </w:rPr>
      </w:pPr>
    </w:p>
    <w:p w14:paraId="226E18DC" w14:textId="77777777" w:rsidR="000C7A64" w:rsidRPr="00B62D2A" w:rsidRDefault="000C7A64" w:rsidP="00A9310D">
      <w:pPr>
        <w:spacing w:line="360" w:lineRule="auto"/>
        <w:rPr>
          <w:rFonts w:ascii="Lato" w:eastAsia="Calibri" w:hAnsi="Lato"/>
          <w:sz w:val="22"/>
          <w:szCs w:val="22"/>
          <w:u w:val="single"/>
        </w:rPr>
      </w:pPr>
      <w:r w:rsidRPr="00B62D2A">
        <w:rPr>
          <w:rFonts w:ascii="Lato" w:eastAsia="Calibri" w:hAnsi="Lato"/>
          <w:sz w:val="22"/>
          <w:szCs w:val="22"/>
          <w:u w:val="single"/>
        </w:rPr>
        <w:lastRenderedPageBreak/>
        <w:t>Pomieszczenia higieniczno-sanitarne oraz warunki do utrzymania higieny osobistej dla dzieci</w:t>
      </w:r>
      <w:r w:rsidRPr="00B62D2A">
        <w:rPr>
          <w:rFonts w:ascii="Lato" w:eastAsia="Calibri" w:hAnsi="Lato"/>
          <w:sz w:val="22"/>
          <w:szCs w:val="22"/>
          <w:u w:val="single"/>
        </w:rPr>
        <w:br/>
        <w:t>i młodzieży.</w:t>
      </w:r>
    </w:p>
    <w:p w14:paraId="74BC77B3" w14:textId="77777777" w:rsidR="000C7A64" w:rsidRPr="0068623C" w:rsidRDefault="000C7A64" w:rsidP="00A9310D">
      <w:pPr>
        <w:spacing w:line="360" w:lineRule="auto"/>
        <w:rPr>
          <w:rFonts w:ascii="Lato" w:eastAsia="Calibri" w:hAnsi="Lato" w:cs="Calibri"/>
          <w:sz w:val="22"/>
          <w:szCs w:val="22"/>
        </w:rPr>
      </w:pPr>
      <w:r w:rsidRPr="0068623C">
        <w:rPr>
          <w:rFonts w:ascii="Lato" w:eastAsia="Calibri" w:hAnsi="Lato" w:cs="Calibri"/>
          <w:sz w:val="22"/>
          <w:szCs w:val="22"/>
        </w:rPr>
        <w:t xml:space="preserve">Warunki do utrzymania higieny osobistej w placówkach nauczania i wychowania skontrolowano w 1 146 placówkach. </w:t>
      </w:r>
    </w:p>
    <w:p w14:paraId="7D490EAD" w14:textId="3DA49E41" w:rsidR="000C7A64" w:rsidRPr="0068623C" w:rsidRDefault="000C7A64" w:rsidP="00A9310D">
      <w:pPr>
        <w:spacing w:line="360" w:lineRule="auto"/>
        <w:rPr>
          <w:rFonts w:ascii="Lato" w:hAnsi="Lato" w:cs="Calibri"/>
          <w:sz w:val="22"/>
          <w:szCs w:val="22"/>
        </w:rPr>
      </w:pPr>
      <w:r w:rsidRPr="0068623C">
        <w:rPr>
          <w:rFonts w:ascii="Lato" w:eastAsia="Calibri" w:hAnsi="Lato" w:cs="Calibri"/>
          <w:sz w:val="22"/>
          <w:szCs w:val="22"/>
        </w:rPr>
        <w:t>Niewłaściwe warunki do utrzymania higieny osobistej stwierdzono w 88 obiektach (8%) i dotyczyły one głównie stanu technicznego pomieszczeń sanitarnych oraz ich wyposażenia, braku bieżącej ciepłej wody przy umywalkach oraz braku wyposażenia w środki higieniczne.</w:t>
      </w:r>
      <w:r w:rsidRPr="0068623C">
        <w:rPr>
          <w:rFonts w:ascii="Lato" w:hAnsi="Lato" w:cs="Calibri"/>
          <w:sz w:val="22"/>
          <w:szCs w:val="22"/>
        </w:rPr>
        <w:t xml:space="preserve"> Zgodnie z zaleceniami</w:t>
      </w:r>
      <w:r w:rsidR="00A748E8">
        <w:rPr>
          <w:rFonts w:ascii="Lato" w:hAnsi="Lato" w:cs="Calibri"/>
          <w:sz w:val="22"/>
          <w:szCs w:val="22"/>
        </w:rPr>
        <w:t>,</w:t>
      </w:r>
      <w:r w:rsidRPr="0068623C">
        <w:rPr>
          <w:rFonts w:ascii="Lato" w:hAnsi="Lato" w:cs="Calibri"/>
          <w:sz w:val="22"/>
          <w:szCs w:val="22"/>
        </w:rPr>
        <w:t xml:space="preserve"> placówki usunęły stwierdzone nieprawidłowości i tym samym zapewniły właściwe warunki do utrzymania higieny osobistej dla dzieci i młodzieży.</w:t>
      </w:r>
    </w:p>
    <w:p w14:paraId="76C4FE67" w14:textId="77777777" w:rsidR="000C7A64" w:rsidRPr="00D071DF" w:rsidRDefault="000C7A64" w:rsidP="00A9310D">
      <w:pPr>
        <w:rPr>
          <w:rFonts w:eastAsia="Calibri"/>
        </w:rPr>
      </w:pPr>
    </w:p>
    <w:p w14:paraId="7E60A37C" w14:textId="4818CD61" w:rsidR="000C7A64" w:rsidRPr="003B1AC6" w:rsidRDefault="000C7A64">
      <w:pPr>
        <w:pStyle w:val="Nagwek2"/>
        <w:numPr>
          <w:ilvl w:val="0"/>
          <w:numId w:val="4"/>
        </w:numPr>
        <w:rPr>
          <w:rFonts w:eastAsia="Times New Roman"/>
          <w:b/>
          <w:bCs/>
        </w:rPr>
      </w:pPr>
      <w:bookmarkStart w:id="162" w:name="_Toc135041762"/>
      <w:bookmarkStart w:id="163" w:name="_Toc225859088"/>
      <w:r w:rsidRPr="003B1AC6">
        <w:rPr>
          <w:rFonts w:eastAsia="Times New Roman"/>
          <w:b/>
          <w:bCs/>
        </w:rPr>
        <w:t>Higiena procesów nauczania</w:t>
      </w:r>
      <w:bookmarkEnd w:id="162"/>
      <w:bookmarkEnd w:id="163"/>
    </w:p>
    <w:p w14:paraId="5C6CC5CE" w14:textId="77777777" w:rsidR="000C7A64" w:rsidRPr="00D071DF" w:rsidRDefault="000C7A64" w:rsidP="00A9310D">
      <w:pPr>
        <w:spacing w:line="276" w:lineRule="auto"/>
        <w:ind w:firstLine="709"/>
        <w:rPr>
          <w:rFonts w:ascii="Calibri" w:eastAsia="Calibri" w:hAnsi="Calibri" w:cs="Calibri"/>
        </w:rPr>
      </w:pPr>
    </w:p>
    <w:p w14:paraId="53ED501E" w14:textId="77777777" w:rsidR="000C7A64" w:rsidRPr="00B62D2A" w:rsidRDefault="000C7A64" w:rsidP="00A9310D">
      <w:pPr>
        <w:spacing w:line="360" w:lineRule="auto"/>
        <w:rPr>
          <w:rFonts w:ascii="Lato" w:hAnsi="Lato"/>
          <w:sz w:val="22"/>
          <w:szCs w:val="22"/>
          <w:u w:val="single"/>
        </w:rPr>
      </w:pPr>
      <w:bookmarkStart w:id="164" w:name="_Toc135041763"/>
      <w:r w:rsidRPr="00B62D2A">
        <w:rPr>
          <w:rFonts w:ascii="Lato" w:hAnsi="Lato"/>
          <w:sz w:val="22"/>
          <w:szCs w:val="22"/>
          <w:u w:val="single"/>
        </w:rPr>
        <w:t>Ergonomiczne warunki pracy ucznia.</w:t>
      </w:r>
      <w:bookmarkEnd w:id="164"/>
    </w:p>
    <w:p w14:paraId="52277866" w14:textId="671BBA13" w:rsidR="000C7A64" w:rsidRPr="0068623C" w:rsidRDefault="000C7A64" w:rsidP="00A9310D">
      <w:pPr>
        <w:spacing w:line="360" w:lineRule="auto"/>
        <w:rPr>
          <w:rFonts w:ascii="Lato" w:eastAsia="Calibri" w:hAnsi="Lato" w:cs="Calibri"/>
          <w:sz w:val="22"/>
          <w:szCs w:val="22"/>
        </w:rPr>
      </w:pPr>
      <w:r w:rsidRPr="0068623C">
        <w:rPr>
          <w:rFonts w:ascii="Lato" w:eastAsia="Calibri" w:hAnsi="Lato" w:cs="Calibri"/>
          <w:sz w:val="22"/>
          <w:szCs w:val="22"/>
        </w:rPr>
        <w:t>Skontrolowano 615 placówek w zakresie dostosowania stanowisk pracy dzieci i młodzieży do</w:t>
      </w:r>
      <w:r w:rsidR="00241110">
        <w:rPr>
          <w:rFonts w:ascii="Lato" w:eastAsia="Calibri" w:hAnsi="Lato" w:cs="Calibri"/>
          <w:sz w:val="22"/>
          <w:szCs w:val="22"/>
        </w:rPr>
        <w:t> </w:t>
      </w:r>
      <w:r w:rsidRPr="0068623C">
        <w:rPr>
          <w:rFonts w:ascii="Lato" w:eastAsia="Calibri" w:hAnsi="Lato" w:cs="Calibri"/>
          <w:sz w:val="22"/>
          <w:szCs w:val="22"/>
        </w:rPr>
        <w:t>zasad ergonomii. Ocenie poddano 34 244 stanowiska.</w:t>
      </w:r>
    </w:p>
    <w:p w14:paraId="4F42B14D" w14:textId="77777777" w:rsidR="000C7A64" w:rsidRPr="0068623C" w:rsidRDefault="000C7A64" w:rsidP="00A9310D">
      <w:pPr>
        <w:spacing w:line="360" w:lineRule="auto"/>
        <w:rPr>
          <w:rFonts w:ascii="Lato" w:eastAsia="Calibri" w:hAnsi="Lato" w:cs="Calibri"/>
          <w:sz w:val="22"/>
          <w:szCs w:val="22"/>
        </w:rPr>
      </w:pPr>
      <w:r w:rsidRPr="0068623C">
        <w:rPr>
          <w:rFonts w:ascii="Lato" w:eastAsia="Calibri" w:hAnsi="Lato" w:cs="Calibri"/>
          <w:sz w:val="22"/>
          <w:szCs w:val="22"/>
        </w:rPr>
        <w:t>W większości skontrolowanych obiektów zapewniono właściwe warunki pracy dla uczniów. Nieprawidłowości dotyczące błędnie dopasowanych krzeseł i ławek do wzrostu uczniów stwierdzono w 20 placówkach (3%) na 848 stanowiskach pracy.</w:t>
      </w:r>
      <w:r w:rsidRPr="0068623C">
        <w:rPr>
          <w:rFonts w:ascii="Lato" w:hAnsi="Lato" w:cs="Calibri"/>
          <w:sz w:val="22"/>
          <w:szCs w:val="22"/>
        </w:rPr>
        <w:t xml:space="preserve"> </w:t>
      </w:r>
      <w:r w:rsidRPr="0068623C">
        <w:rPr>
          <w:rFonts w:ascii="Lato" w:eastAsia="Calibri" w:hAnsi="Lato" w:cs="Calibri"/>
          <w:sz w:val="22"/>
          <w:szCs w:val="22"/>
        </w:rPr>
        <w:t>Placówki, w których stwierdzono nieprawidłowości zobowiązano do ich usunięcia i zapewnienia właściwych stanowisk nauki dla dzieci i młodzieży.</w:t>
      </w:r>
    </w:p>
    <w:p w14:paraId="4C98C56B" w14:textId="77777777" w:rsidR="000C7A64" w:rsidRPr="0068623C" w:rsidRDefault="000C7A64" w:rsidP="00A9310D">
      <w:pPr>
        <w:spacing w:line="360" w:lineRule="auto"/>
        <w:rPr>
          <w:rFonts w:ascii="Lato" w:eastAsia="Calibri" w:hAnsi="Lato" w:cs="Calibri"/>
          <w:b/>
          <w:bCs/>
          <w:sz w:val="22"/>
          <w:szCs w:val="22"/>
        </w:rPr>
      </w:pPr>
    </w:p>
    <w:p w14:paraId="1BDA69AC" w14:textId="77777777" w:rsidR="000C7A64" w:rsidRPr="00B62D2A" w:rsidRDefault="000C7A64" w:rsidP="00A9310D">
      <w:pPr>
        <w:spacing w:line="360" w:lineRule="auto"/>
        <w:rPr>
          <w:rFonts w:ascii="Lato" w:hAnsi="Lato"/>
          <w:sz w:val="22"/>
          <w:szCs w:val="22"/>
          <w:u w:val="single"/>
        </w:rPr>
      </w:pPr>
      <w:bookmarkStart w:id="165" w:name="_Toc135041765"/>
      <w:r w:rsidRPr="00B62D2A">
        <w:rPr>
          <w:rFonts w:ascii="Lato" w:hAnsi="Lato"/>
          <w:sz w:val="22"/>
          <w:szCs w:val="22"/>
          <w:u w:val="single"/>
        </w:rPr>
        <w:t>Zapewnienie miejsca na podręczniki i przybory szkolne.</w:t>
      </w:r>
      <w:bookmarkEnd w:id="165"/>
    </w:p>
    <w:p w14:paraId="2514B01F" w14:textId="0989A4B3" w:rsidR="000C7A64" w:rsidRPr="0068623C" w:rsidRDefault="000C7A64" w:rsidP="00A9310D">
      <w:pPr>
        <w:spacing w:line="360" w:lineRule="auto"/>
        <w:rPr>
          <w:rFonts w:ascii="Lato" w:eastAsia="Calibri" w:hAnsi="Lato" w:cs="Calibri"/>
          <w:sz w:val="22"/>
          <w:szCs w:val="22"/>
        </w:rPr>
      </w:pPr>
      <w:r w:rsidRPr="0068623C">
        <w:rPr>
          <w:rFonts w:ascii="Lato" w:eastAsia="Calibri" w:hAnsi="Lato" w:cs="Calibri"/>
          <w:sz w:val="22"/>
          <w:szCs w:val="22"/>
        </w:rPr>
        <w:t>Szkoły mają obowiązek</w:t>
      </w:r>
      <w:r w:rsidRPr="0068623C">
        <w:rPr>
          <w:rFonts w:ascii="Lato" w:hAnsi="Lato" w:cs="Calibri"/>
          <w:sz w:val="22"/>
          <w:szCs w:val="22"/>
        </w:rPr>
        <w:t xml:space="preserve"> </w:t>
      </w:r>
      <w:r w:rsidRPr="0068623C">
        <w:rPr>
          <w:rFonts w:ascii="Lato" w:eastAsia="Calibri" w:hAnsi="Lato" w:cs="Calibri"/>
          <w:sz w:val="22"/>
          <w:szCs w:val="22"/>
        </w:rPr>
        <w:t>zapewnienia uczniom miejsca na pozostawienie podręczników i</w:t>
      </w:r>
      <w:r w:rsidR="00241110">
        <w:rPr>
          <w:rFonts w:ascii="Lato" w:eastAsia="Calibri" w:hAnsi="Lato" w:cs="Calibri"/>
          <w:sz w:val="22"/>
          <w:szCs w:val="22"/>
        </w:rPr>
        <w:t> </w:t>
      </w:r>
      <w:r w:rsidRPr="0068623C">
        <w:rPr>
          <w:rFonts w:ascii="Lato" w:eastAsia="Calibri" w:hAnsi="Lato" w:cs="Calibri"/>
          <w:sz w:val="22"/>
          <w:szCs w:val="22"/>
        </w:rPr>
        <w:t>przyborów szkolnych, w celu zapobiegania dysfunkcjom układu ruchu. W tym zakresie skontrolowano 771 obiektów. W 429 placówkach zapewniono uczniom szafki z indywidualnymi skrytkami, a w 397 - inne miejsce na pozostawienie podręczników i przyborów szkolnych. Część z ww. obiektów posiadało jednocześnie obie możliwości pozostawiania podręczników i</w:t>
      </w:r>
      <w:r w:rsidR="00241110">
        <w:rPr>
          <w:rFonts w:ascii="Lato" w:eastAsia="Calibri" w:hAnsi="Lato" w:cs="Calibri"/>
          <w:sz w:val="22"/>
          <w:szCs w:val="22"/>
        </w:rPr>
        <w:t> </w:t>
      </w:r>
      <w:r w:rsidRPr="0068623C">
        <w:rPr>
          <w:rFonts w:ascii="Lato" w:eastAsia="Calibri" w:hAnsi="Lato" w:cs="Calibri"/>
          <w:sz w:val="22"/>
          <w:szCs w:val="22"/>
        </w:rPr>
        <w:t>przyborów szkolnych.</w:t>
      </w:r>
    </w:p>
    <w:p w14:paraId="25B5576D" w14:textId="77777777" w:rsidR="000C7A64" w:rsidRPr="00B62D2A" w:rsidRDefault="000C7A64" w:rsidP="00A9310D">
      <w:pPr>
        <w:spacing w:line="360" w:lineRule="auto"/>
        <w:rPr>
          <w:rFonts w:ascii="Lato" w:hAnsi="Lato"/>
          <w:sz w:val="22"/>
          <w:szCs w:val="22"/>
          <w:u w:val="single"/>
        </w:rPr>
      </w:pPr>
      <w:bookmarkStart w:id="166" w:name="_Toc135041766"/>
      <w:r w:rsidRPr="00B62D2A">
        <w:rPr>
          <w:rFonts w:ascii="Lato" w:hAnsi="Lato"/>
          <w:sz w:val="22"/>
          <w:szCs w:val="22"/>
          <w:u w:val="single"/>
        </w:rPr>
        <w:t>Rozkład zajęć lekcyjnych oraz zmianowy system nauczania w szkołach. Zagęszczenie uczniów w placówkach</w:t>
      </w:r>
      <w:bookmarkEnd w:id="166"/>
    </w:p>
    <w:p w14:paraId="38E7B2FC" w14:textId="6CD74C18" w:rsidR="000C7A64" w:rsidRPr="0068623C" w:rsidRDefault="000C7A64" w:rsidP="00A9310D">
      <w:pPr>
        <w:spacing w:line="360" w:lineRule="auto"/>
        <w:rPr>
          <w:rFonts w:ascii="Lato" w:eastAsia="Calibri" w:hAnsi="Lato" w:cs="Calibri"/>
          <w:sz w:val="22"/>
          <w:szCs w:val="22"/>
        </w:rPr>
      </w:pPr>
      <w:bookmarkStart w:id="167" w:name="_Hlk128643210"/>
      <w:bookmarkStart w:id="168" w:name="_Toc133231338"/>
      <w:bookmarkStart w:id="169" w:name="_Toc133236347"/>
      <w:bookmarkStart w:id="170" w:name="_Toc133311737"/>
      <w:bookmarkStart w:id="171" w:name="_Toc133320593"/>
      <w:bookmarkStart w:id="172" w:name="_Toc133321712"/>
      <w:r w:rsidRPr="0068623C">
        <w:rPr>
          <w:rFonts w:ascii="Lato" w:eastAsia="Calibri" w:hAnsi="Lato" w:cs="Calibri"/>
          <w:sz w:val="22"/>
          <w:szCs w:val="22"/>
        </w:rPr>
        <w:t>Rozkład zajęć lekcyjnych oceniono w 365 szkołach, w 4 532 oddziałach</w:t>
      </w:r>
      <w:r w:rsidR="00A748E8">
        <w:rPr>
          <w:rFonts w:ascii="Lato" w:eastAsia="Calibri" w:hAnsi="Lato" w:cs="Calibri"/>
          <w:sz w:val="22"/>
          <w:szCs w:val="22"/>
        </w:rPr>
        <w:t>. Oceny dokonywano</w:t>
      </w:r>
      <w:r w:rsidRPr="0068623C">
        <w:rPr>
          <w:rFonts w:ascii="Lato" w:eastAsia="Calibri" w:hAnsi="Lato" w:cs="Calibri"/>
          <w:sz w:val="22"/>
          <w:szCs w:val="22"/>
        </w:rPr>
        <w:t xml:space="preserve"> pod kątem równomiernego obciążenia uczniów zajęciami, zróżnicowania zajęć w każdym dniu, a</w:t>
      </w:r>
      <w:r w:rsidR="00A9310D">
        <w:rPr>
          <w:rFonts w:ascii="Lato" w:eastAsia="Calibri" w:hAnsi="Lato" w:cs="Calibri"/>
          <w:sz w:val="22"/>
          <w:szCs w:val="22"/>
        </w:rPr>
        <w:t> </w:t>
      </w:r>
      <w:r w:rsidRPr="0068623C">
        <w:rPr>
          <w:rFonts w:ascii="Lato" w:eastAsia="Calibri" w:hAnsi="Lato" w:cs="Calibri"/>
          <w:sz w:val="22"/>
          <w:szCs w:val="22"/>
        </w:rPr>
        <w:t>także możliwości psychofizycznych uczniów do podejmowania intensywnego wysiłku umysłowego w ciągu dnia. Nieprawidłowości stwierdzono w 27 placówkach (7%).</w:t>
      </w:r>
    </w:p>
    <w:bookmarkEnd w:id="167"/>
    <w:bookmarkEnd w:id="168"/>
    <w:bookmarkEnd w:id="169"/>
    <w:bookmarkEnd w:id="170"/>
    <w:bookmarkEnd w:id="171"/>
    <w:bookmarkEnd w:id="172"/>
    <w:p w14:paraId="2BCA44D7" w14:textId="77777777" w:rsidR="000C7A64" w:rsidRPr="0068623C" w:rsidRDefault="000C7A64" w:rsidP="00A9310D">
      <w:pPr>
        <w:spacing w:line="360" w:lineRule="auto"/>
        <w:rPr>
          <w:rFonts w:ascii="Lato" w:eastAsia="Calibri" w:hAnsi="Lato" w:cs="Calibri"/>
          <w:sz w:val="22"/>
          <w:szCs w:val="22"/>
        </w:rPr>
      </w:pPr>
      <w:r w:rsidRPr="0068623C">
        <w:rPr>
          <w:rFonts w:ascii="Lato" w:eastAsia="Calibri" w:hAnsi="Lato" w:cs="Calibri"/>
          <w:sz w:val="22"/>
          <w:szCs w:val="22"/>
        </w:rPr>
        <w:t>Uchybienia w zakresie higieny procesów nauczania w planach lekcji dotyczyły:</w:t>
      </w:r>
    </w:p>
    <w:p w14:paraId="09BFB70A" w14:textId="77777777" w:rsidR="000C7A64" w:rsidRPr="0068623C" w:rsidRDefault="000C7A64">
      <w:pPr>
        <w:pStyle w:val="Akapitzlist"/>
        <w:numPr>
          <w:ilvl w:val="0"/>
          <w:numId w:val="36"/>
        </w:numPr>
        <w:tabs>
          <w:tab w:val="left" w:pos="357"/>
        </w:tabs>
        <w:spacing w:line="360" w:lineRule="auto"/>
        <w:rPr>
          <w:rFonts w:ascii="Lato" w:eastAsia="Calibri" w:hAnsi="Lato" w:cs="Calibri"/>
          <w:sz w:val="22"/>
          <w:szCs w:val="22"/>
        </w:rPr>
      </w:pPr>
      <w:r w:rsidRPr="0068623C">
        <w:rPr>
          <w:rFonts w:ascii="Lato" w:eastAsia="Calibri" w:hAnsi="Lato" w:cs="Calibri"/>
          <w:sz w:val="22"/>
          <w:szCs w:val="22"/>
        </w:rPr>
        <w:lastRenderedPageBreak/>
        <w:t xml:space="preserve">braku stałej pory rozpoczynania zajęć lekcyjnych, </w:t>
      </w:r>
    </w:p>
    <w:p w14:paraId="1ADDA053" w14:textId="77777777" w:rsidR="000C7A64" w:rsidRPr="0068623C" w:rsidRDefault="000C7A64">
      <w:pPr>
        <w:pStyle w:val="Akapitzlist"/>
        <w:numPr>
          <w:ilvl w:val="0"/>
          <w:numId w:val="36"/>
        </w:numPr>
        <w:tabs>
          <w:tab w:val="left" w:pos="357"/>
        </w:tabs>
        <w:spacing w:line="360" w:lineRule="auto"/>
        <w:rPr>
          <w:rFonts w:ascii="Lato" w:eastAsia="Calibri" w:hAnsi="Lato" w:cs="Calibri"/>
          <w:sz w:val="22"/>
          <w:szCs w:val="22"/>
        </w:rPr>
      </w:pPr>
      <w:r w:rsidRPr="0068623C">
        <w:rPr>
          <w:rFonts w:ascii="Lato" w:eastAsia="Calibri" w:hAnsi="Lato" w:cs="Calibri"/>
          <w:sz w:val="22"/>
          <w:szCs w:val="22"/>
        </w:rPr>
        <w:t xml:space="preserve">nierównomiernego obciążenia zajęciami w poszczególnych dniach tygodnia, </w:t>
      </w:r>
    </w:p>
    <w:p w14:paraId="435C51A4" w14:textId="77777777" w:rsidR="000C7A64" w:rsidRPr="0068623C" w:rsidRDefault="000C7A64">
      <w:pPr>
        <w:pStyle w:val="Akapitzlist"/>
        <w:numPr>
          <w:ilvl w:val="0"/>
          <w:numId w:val="36"/>
        </w:numPr>
        <w:tabs>
          <w:tab w:val="left" w:pos="357"/>
        </w:tabs>
        <w:spacing w:line="360" w:lineRule="auto"/>
        <w:rPr>
          <w:rFonts w:ascii="Lato" w:eastAsia="Calibri" w:hAnsi="Lato" w:cs="Calibri"/>
          <w:sz w:val="22"/>
          <w:szCs w:val="22"/>
        </w:rPr>
      </w:pPr>
      <w:r w:rsidRPr="0068623C">
        <w:rPr>
          <w:rFonts w:ascii="Lato" w:eastAsia="Calibri" w:hAnsi="Lato" w:cs="Calibri"/>
          <w:sz w:val="22"/>
          <w:szCs w:val="22"/>
        </w:rPr>
        <w:t>dwuzmianowości w szkole,</w:t>
      </w:r>
    </w:p>
    <w:p w14:paraId="47B4D0FA" w14:textId="77777777" w:rsidR="000C7A64" w:rsidRPr="0068623C" w:rsidRDefault="000C7A64">
      <w:pPr>
        <w:pStyle w:val="Akapitzlist"/>
        <w:numPr>
          <w:ilvl w:val="0"/>
          <w:numId w:val="36"/>
        </w:numPr>
        <w:tabs>
          <w:tab w:val="left" w:pos="357"/>
        </w:tabs>
        <w:spacing w:line="360" w:lineRule="auto"/>
        <w:rPr>
          <w:rFonts w:ascii="Lato" w:eastAsia="Calibri" w:hAnsi="Lato" w:cs="Calibri"/>
          <w:sz w:val="22"/>
          <w:szCs w:val="22"/>
        </w:rPr>
      </w:pPr>
      <w:r w:rsidRPr="0068623C">
        <w:rPr>
          <w:rFonts w:ascii="Lato" w:eastAsia="Calibri" w:hAnsi="Lato" w:cs="Calibri"/>
          <w:sz w:val="22"/>
          <w:szCs w:val="22"/>
        </w:rPr>
        <w:t>planowania przedmiotów wymagających zwiększonej koncentracji (chemia, fizyka, matematyka) po piątej godzinie lekcyjnej lub ich kumulacji w jednym dniu.</w:t>
      </w:r>
    </w:p>
    <w:p w14:paraId="7EC1DCD6" w14:textId="77777777" w:rsidR="000C7A64" w:rsidRPr="0068623C" w:rsidRDefault="000C7A64" w:rsidP="00A9310D">
      <w:pPr>
        <w:spacing w:line="360" w:lineRule="auto"/>
        <w:rPr>
          <w:rFonts w:ascii="Lato" w:eastAsia="Calibri" w:hAnsi="Lato" w:cs="Calibri"/>
          <w:sz w:val="22"/>
          <w:szCs w:val="22"/>
        </w:rPr>
      </w:pPr>
      <w:r w:rsidRPr="0068623C">
        <w:rPr>
          <w:rFonts w:ascii="Lato" w:eastAsia="Calibri" w:hAnsi="Lato" w:cs="Calibri"/>
          <w:sz w:val="22"/>
          <w:szCs w:val="22"/>
        </w:rPr>
        <w:t xml:space="preserve">Placówki, w których stwierdzono nieprawidłowości zobowiązano do ich usunięcia. </w:t>
      </w:r>
    </w:p>
    <w:p w14:paraId="6E41EBA9" w14:textId="77777777" w:rsidR="000C7A64" w:rsidRPr="0068623C" w:rsidRDefault="000C7A64" w:rsidP="00A9310D">
      <w:pPr>
        <w:spacing w:line="360" w:lineRule="auto"/>
        <w:rPr>
          <w:rFonts w:ascii="Lato" w:eastAsia="Calibri" w:hAnsi="Lato" w:cs="Calibri"/>
          <w:color w:val="EE0000"/>
          <w:sz w:val="22"/>
          <w:szCs w:val="22"/>
        </w:rPr>
      </w:pPr>
    </w:p>
    <w:p w14:paraId="71FA9E37" w14:textId="77777777" w:rsidR="000C7A64" w:rsidRPr="00B62D2A" w:rsidRDefault="000C7A64" w:rsidP="00A9310D">
      <w:pPr>
        <w:spacing w:line="360" w:lineRule="auto"/>
        <w:rPr>
          <w:rFonts w:ascii="Lato" w:hAnsi="Lato"/>
          <w:sz w:val="22"/>
          <w:szCs w:val="22"/>
          <w:u w:val="single"/>
        </w:rPr>
      </w:pPr>
      <w:bookmarkStart w:id="173" w:name="_Toc135041767"/>
      <w:r w:rsidRPr="00B62D2A">
        <w:rPr>
          <w:rFonts w:ascii="Lato" w:hAnsi="Lato"/>
          <w:sz w:val="22"/>
          <w:szCs w:val="22"/>
          <w:u w:val="single"/>
        </w:rPr>
        <w:t>Ocena obciążenia uczniów ciężarem tornistrów szkolnych.</w:t>
      </w:r>
      <w:bookmarkEnd w:id="173"/>
    </w:p>
    <w:p w14:paraId="36948C82" w14:textId="77777777" w:rsidR="000C7A64" w:rsidRPr="0068623C" w:rsidRDefault="000C7A64" w:rsidP="00A9310D">
      <w:pPr>
        <w:spacing w:line="360" w:lineRule="auto"/>
        <w:rPr>
          <w:rFonts w:ascii="Lato" w:eastAsia="Calibri" w:hAnsi="Lato" w:cs="Calibri"/>
          <w:sz w:val="22"/>
          <w:szCs w:val="22"/>
        </w:rPr>
      </w:pPr>
      <w:bookmarkStart w:id="174" w:name="_Toc135041768"/>
      <w:r w:rsidRPr="0068623C">
        <w:rPr>
          <w:rFonts w:ascii="Lato" w:eastAsia="Calibri" w:hAnsi="Lato" w:cs="Calibri"/>
          <w:sz w:val="22"/>
          <w:szCs w:val="22"/>
        </w:rPr>
        <w:t>Zgodnie z zaleceniami Instytutu Matki i Dziecka ciężar tornistra nie powinien przekraczać 10% masy ciała ucznia.</w:t>
      </w:r>
    </w:p>
    <w:p w14:paraId="7BDF19AF" w14:textId="77777777" w:rsidR="000C7A64" w:rsidRPr="0068623C" w:rsidRDefault="000C7A64" w:rsidP="00A9310D">
      <w:pPr>
        <w:spacing w:line="360" w:lineRule="auto"/>
        <w:rPr>
          <w:rFonts w:ascii="Lato" w:eastAsia="Calibri" w:hAnsi="Lato" w:cs="Calibri"/>
          <w:sz w:val="22"/>
          <w:szCs w:val="22"/>
        </w:rPr>
      </w:pPr>
      <w:r w:rsidRPr="0068623C">
        <w:rPr>
          <w:rFonts w:ascii="Lato" w:eastAsia="Calibri" w:hAnsi="Lato" w:cs="Calibri"/>
          <w:sz w:val="22"/>
          <w:szCs w:val="22"/>
        </w:rPr>
        <w:t>W 2025 r. w ramach sprawowanego nadzoru bieżącego przeprowadzono kontrolne ważenie tornistrów w 112 placówkach. Badaniem objęto 1 1363 uczniów. Ciężar tornistrów poniżej 10% masy ciała stwierdzono u ponad połowy uczniów (6592). Nieprawidłową wagę tornistrów, przekraczającą 15% masy ciała, stwierdzono u 1 113 uczniów (8%).</w:t>
      </w:r>
    </w:p>
    <w:p w14:paraId="1E94F2D4" w14:textId="77777777" w:rsidR="0090516C" w:rsidRPr="00E90E57" w:rsidRDefault="0090516C" w:rsidP="00A9310D">
      <w:pPr>
        <w:spacing w:line="276" w:lineRule="auto"/>
        <w:rPr>
          <w:rFonts w:ascii="Calibri" w:eastAsia="Calibri" w:hAnsi="Calibri" w:cs="Calibri"/>
          <w:color w:val="EE0000"/>
        </w:rPr>
      </w:pPr>
    </w:p>
    <w:p w14:paraId="6A29927B" w14:textId="66424EC2" w:rsidR="000C7A64" w:rsidRPr="003B1AC6" w:rsidRDefault="000C7A64">
      <w:pPr>
        <w:pStyle w:val="Nagwek2"/>
        <w:numPr>
          <w:ilvl w:val="0"/>
          <w:numId w:val="4"/>
        </w:numPr>
        <w:rPr>
          <w:rFonts w:eastAsia="Times New Roman"/>
          <w:b/>
          <w:bCs/>
        </w:rPr>
      </w:pPr>
      <w:bookmarkStart w:id="175" w:name="_Toc225859089"/>
      <w:r w:rsidRPr="003B1AC6">
        <w:rPr>
          <w:rFonts w:eastAsia="Times New Roman"/>
          <w:b/>
          <w:bCs/>
        </w:rPr>
        <w:t>Warunki do prowadzenia zajęć wychowania fizycznego</w:t>
      </w:r>
      <w:bookmarkEnd w:id="174"/>
      <w:bookmarkEnd w:id="175"/>
    </w:p>
    <w:p w14:paraId="57E57969" w14:textId="77777777" w:rsidR="000C7A64" w:rsidRPr="00D7036B" w:rsidRDefault="000C7A64" w:rsidP="00A9310D">
      <w:pPr>
        <w:spacing w:line="276" w:lineRule="auto"/>
        <w:ind w:firstLine="709"/>
        <w:rPr>
          <w:rFonts w:ascii="Calibri" w:eastAsia="Calibri" w:hAnsi="Calibri" w:cs="Calibri"/>
        </w:rPr>
      </w:pPr>
    </w:p>
    <w:p w14:paraId="196F8D3C" w14:textId="640B4C1C" w:rsidR="000C7A64" w:rsidRPr="0068623C" w:rsidRDefault="000C7A64" w:rsidP="00A9310D">
      <w:pPr>
        <w:tabs>
          <w:tab w:val="left" w:pos="709"/>
        </w:tabs>
        <w:spacing w:line="360" w:lineRule="auto"/>
        <w:rPr>
          <w:rFonts w:ascii="Lato" w:hAnsi="Lato" w:cs="Calibri"/>
          <w:bCs/>
          <w:sz w:val="22"/>
          <w:szCs w:val="22"/>
        </w:rPr>
      </w:pPr>
      <w:r w:rsidRPr="0068623C">
        <w:rPr>
          <w:rFonts w:ascii="Lato" w:eastAsia="Calibri" w:hAnsi="Lato" w:cs="Calibri"/>
          <w:sz w:val="22"/>
          <w:szCs w:val="22"/>
        </w:rPr>
        <w:t xml:space="preserve">Stan infrastruktury do realizacji zajęć z wychowania fizycznego oceniono w 417 szkołach. </w:t>
      </w:r>
      <w:r w:rsidRPr="0068623C">
        <w:rPr>
          <w:rFonts w:ascii="Lato" w:hAnsi="Lato" w:cs="Calibri"/>
          <w:bCs/>
          <w:sz w:val="22"/>
          <w:szCs w:val="22"/>
        </w:rPr>
        <w:t>Ustalono, że zdecydowana większość placówek zapewni</w:t>
      </w:r>
      <w:r w:rsidR="00007991">
        <w:rPr>
          <w:rFonts w:ascii="Lato" w:hAnsi="Lato" w:cs="Calibri"/>
          <w:bCs/>
          <w:sz w:val="22"/>
          <w:szCs w:val="22"/>
        </w:rPr>
        <w:t>a</w:t>
      </w:r>
      <w:r w:rsidRPr="0068623C">
        <w:rPr>
          <w:rFonts w:ascii="Lato" w:hAnsi="Lato" w:cs="Calibri"/>
          <w:bCs/>
          <w:sz w:val="22"/>
          <w:szCs w:val="22"/>
        </w:rPr>
        <w:t>ła miejsce do prowadzenia zajęć z</w:t>
      </w:r>
      <w:r w:rsidR="00241110">
        <w:rPr>
          <w:rFonts w:ascii="Lato" w:hAnsi="Lato" w:cs="Calibri"/>
          <w:bCs/>
          <w:sz w:val="22"/>
          <w:szCs w:val="22"/>
        </w:rPr>
        <w:t> </w:t>
      </w:r>
      <w:r w:rsidRPr="0068623C">
        <w:rPr>
          <w:rFonts w:ascii="Lato" w:hAnsi="Lato" w:cs="Calibri"/>
          <w:bCs/>
          <w:sz w:val="22"/>
          <w:szCs w:val="22"/>
        </w:rPr>
        <w:t>wychowania fizycznego, w tym blisko połowa posiada</w:t>
      </w:r>
      <w:r w:rsidR="00007991">
        <w:rPr>
          <w:rFonts w:ascii="Lato" w:hAnsi="Lato" w:cs="Calibri"/>
          <w:bCs/>
          <w:sz w:val="22"/>
          <w:szCs w:val="22"/>
        </w:rPr>
        <w:t>ła</w:t>
      </w:r>
      <w:r w:rsidRPr="0068623C">
        <w:rPr>
          <w:rFonts w:ascii="Lato" w:hAnsi="Lato" w:cs="Calibri"/>
          <w:bCs/>
          <w:sz w:val="22"/>
          <w:szCs w:val="22"/>
        </w:rPr>
        <w:t xml:space="preserve"> szkolny zespół sportowy z boiskiem. Natomiast w 28 placówkach stwierdzono brak infrastruktury do realizacji tych zajęć.</w:t>
      </w:r>
    </w:p>
    <w:p w14:paraId="32492174" w14:textId="026419B1" w:rsidR="000C7A64" w:rsidRPr="0068623C" w:rsidRDefault="000C7A64" w:rsidP="00A9310D">
      <w:pPr>
        <w:tabs>
          <w:tab w:val="left" w:pos="500"/>
        </w:tabs>
        <w:spacing w:line="360" w:lineRule="auto"/>
        <w:rPr>
          <w:rFonts w:ascii="Lato" w:hAnsi="Lato" w:cs="Calibri"/>
          <w:bCs/>
          <w:sz w:val="22"/>
          <w:szCs w:val="22"/>
        </w:rPr>
      </w:pPr>
      <w:r w:rsidRPr="0068623C">
        <w:rPr>
          <w:rFonts w:ascii="Lato" w:hAnsi="Lato" w:cs="Calibri"/>
          <w:bCs/>
          <w:sz w:val="22"/>
          <w:szCs w:val="22"/>
        </w:rPr>
        <w:t>Stan sanitarno – techniczny posiadanej przez szkoły i placówki bazy sportowej jest zróżnicowany. W 31 placówkach stwierdzono nieprawidłowy stan sanitarno-higieniczny lub techniczny pomieszczeń przeznaczonych na prowadzenie zajęć z wychowania fizycznego, natomiast w 15 nie zapewniono prawidłowego stanu sanitarno-technicznego placów zabaw lub boisk sportowych. W 8 placówkach nie zapewniono prawidłowych warunków do utrzymania higieny osobistej po</w:t>
      </w:r>
      <w:r w:rsidR="00241110">
        <w:rPr>
          <w:rFonts w:ascii="Lato" w:hAnsi="Lato" w:cs="Calibri"/>
          <w:bCs/>
          <w:sz w:val="22"/>
          <w:szCs w:val="22"/>
        </w:rPr>
        <w:t> </w:t>
      </w:r>
      <w:r w:rsidRPr="0068623C">
        <w:rPr>
          <w:rFonts w:ascii="Lato" w:hAnsi="Lato" w:cs="Calibri"/>
          <w:bCs/>
          <w:sz w:val="22"/>
          <w:szCs w:val="22"/>
        </w:rPr>
        <w:t>zajęciach sportowych – stwierdzono nieczynne pomieszczenia z</w:t>
      </w:r>
      <w:r w:rsidR="00A9310D">
        <w:rPr>
          <w:rFonts w:ascii="Lato" w:hAnsi="Lato" w:cs="Calibri"/>
          <w:bCs/>
          <w:sz w:val="22"/>
          <w:szCs w:val="22"/>
        </w:rPr>
        <w:t> </w:t>
      </w:r>
      <w:r w:rsidRPr="0068623C">
        <w:rPr>
          <w:rFonts w:ascii="Lato" w:hAnsi="Lato" w:cs="Calibri"/>
          <w:bCs/>
          <w:sz w:val="22"/>
          <w:szCs w:val="22"/>
        </w:rPr>
        <w:t>natryskami.</w:t>
      </w:r>
    </w:p>
    <w:p w14:paraId="3A95389B" w14:textId="77777777" w:rsidR="000C7A64" w:rsidRPr="005B79FB" w:rsidRDefault="000C7A64" w:rsidP="00A9310D">
      <w:pPr>
        <w:spacing w:line="276" w:lineRule="auto"/>
        <w:rPr>
          <w:rFonts w:ascii="Calibri" w:eastAsia="Calibri" w:hAnsi="Calibri" w:cs="Calibri"/>
        </w:rPr>
      </w:pPr>
    </w:p>
    <w:p w14:paraId="09A96781" w14:textId="2806CDB6" w:rsidR="000C7A64" w:rsidRDefault="000C7A64">
      <w:pPr>
        <w:pStyle w:val="Nagwek2"/>
        <w:numPr>
          <w:ilvl w:val="0"/>
          <w:numId w:val="4"/>
        </w:numPr>
        <w:rPr>
          <w:rFonts w:eastAsia="Calibri"/>
          <w:b/>
          <w:bCs/>
        </w:rPr>
      </w:pPr>
      <w:bookmarkStart w:id="176" w:name="_Toc225859090"/>
      <w:r w:rsidRPr="003B1AC6">
        <w:rPr>
          <w:rFonts w:eastAsia="Calibri"/>
          <w:b/>
          <w:bCs/>
        </w:rPr>
        <w:t>Warunki realizacji profilaktycznej opieki zdrowotnej nad uczniami w szkołach</w:t>
      </w:r>
      <w:bookmarkEnd w:id="176"/>
    </w:p>
    <w:p w14:paraId="6DBB0709" w14:textId="77777777" w:rsidR="003B1AC6" w:rsidRPr="003B1AC6" w:rsidRDefault="003B1AC6" w:rsidP="00A9310D">
      <w:pPr>
        <w:rPr>
          <w:rFonts w:eastAsia="Calibri"/>
        </w:rPr>
      </w:pPr>
    </w:p>
    <w:p w14:paraId="42F4877F" w14:textId="77777777" w:rsidR="000C7A64" w:rsidRPr="0068623C" w:rsidRDefault="000C7A64" w:rsidP="00A9310D">
      <w:pPr>
        <w:pStyle w:val="NormalnyWeb"/>
        <w:spacing w:before="0" w:beforeAutospacing="0" w:after="0" w:afterAutospacing="0" w:line="360" w:lineRule="auto"/>
        <w:rPr>
          <w:rFonts w:ascii="Lato" w:hAnsi="Lato" w:cs="Calibri"/>
          <w:sz w:val="22"/>
          <w:szCs w:val="22"/>
        </w:rPr>
      </w:pPr>
      <w:r w:rsidRPr="0068623C">
        <w:rPr>
          <w:rFonts w:ascii="Lato" w:hAnsi="Lato" w:cs="Calibri"/>
          <w:sz w:val="22"/>
          <w:szCs w:val="22"/>
        </w:rPr>
        <w:t xml:space="preserve">W 2025 r. wszystkie placówki zapewniły profilaktyczną opiekę zdrowotną nad uczniami. Skontrolowano 412 szkół, z których 326 placówek posiadało gabinet profilaktyki zdrowotnej do własnej dyspozycji, a 21 - wspólny z inną placówką w tym samym obiekcie. W 46 szkołach podstawową opiekę zdrowotną zapewniono w pomieszczeniach zastępczych na terenie </w:t>
      </w:r>
      <w:r w:rsidRPr="0068623C">
        <w:rPr>
          <w:rFonts w:ascii="Lato" w:hAnsi="Lato" w:cs="Calibri"/>
          <w:sz w:val="22"/>
          <w:szCs w:val="22"/>
        </w:rPr>
        <w:lastRenderedPageBreak/>
        <w:t xml:space="preserve">placówki. W 19 szkołach ze względu na warunki lokalowe niepozwalające na wydzielenie gabinetu lub oddzielnego pomieszczenia korzystano z usług przychodni rodzinnych lub ośrodków zdrowia, z którymi dyrektorzy szkół podpisali porozumienia. </w:t>
      </w:r>
    </w:p>
    <w:p w14:paraId="39FEDF7D" w14:textId="77777777" w:rsidR="000C7A64" w:rsidRPr="0068623C" w:rsidRDefault="000C7A64" w:rsidP="00A9310D">
      <w:pPr>
        <w:spacing w:line="360" w:lineRule="auto"/>
        <w:rPr>
          <w:rFonts w:ascii="Lato" w:eastAsia="Calibri" w:hAnsi="Lato" w:cs="Calibri"/>
          <w:sz w:val="22"/>
          <w:szCs w:val="22"/>
        </w:rPr>
      </w:pPr>
      <w:r w:rsidRPr="0068623C">
        <w:rPr>
          <w:rFonts w:ascii="Lato" w:eastAsia="Calibri" w:hAnsi="Lato" w:cs="Calibri"/>
          <w:sz w:val="22"/>
          <w:szCs w:val="22"/>
        </w:rPr>
        <w:t>Większość gabinetów była w dobrym stanie sanitarnohigienicznym i technicznym, jedynie w 4 szkołach stwierdzono uchybienia w powyższym zakresie.</w:t>
      </w:r>
    </w:p>
    <w:p w14:paraId="1E46AE9E" w14:textId="0FBAB2FC" w:rsidR="00E31F50" w:rsidRPr="00E31F50" w:rsidRDefault="00E31F50">
      <w:pPr>
        <w:pStyle w:val="Nagwek2"/>
        <w:numPr>
          <w:ilvl w:val="0"/>
          <w:numId w:val="4"/>
        </w:numPr>
        <w:rPr>
          <w:b/>
          <w:bCs/>
          <w:lang w:eastAsia="ar-SA" w:bidi="en-US"/>
        </w:rPr>
      </w:pPr>
      <w:bookmarkStart w:id="177" w:name="_Toc163201522"/>
      <w:bookmarkStart w:id="178" w:name="_Toc225859091"/>
      <w:r w:rsidRPr="00E31F50">
        <w:rPr>
          <w:b/>
          <w:bCs/>
          <w:lang w:eastAsia="ar-SA" w:bidi="en-US"/>
        </w:rPr>
        <w:t>Żywienie dzieci i młodzieży w placówkach</w:t>
      </w:r>
      <w:bookmarkEnd w:id="177"/>
      <w:bookmarkEnd w:id="178"/>
      <w:r w:rsidRPr="00E31F50">
        <w:rPr>
          <w:b/>
          <w:bCs/>
          <w:lang w:eastAsia="ar-SA" w:bidi="en-US"/>
        </w:rPr>
        <w:t xml:space="preserve"> </w:t>
      </w:r>
    </w:p>
    <w:p w14:paraId="18A5A929" w14:textId="77777777" w:rsidR="00E31F50" w:rsidRPr="00793A25" w:rsidRDefault="00E31F50" w:rsidP="00A9310D">
      <w:pPr>
        <w:spacing w:line="276" w:lineRule="auto"/>
        <w:rPr>
          <w:rFonts w:ascii="Lato" w:hAnsi="Lato" w:cstheme="minorHAnsi"/>
          <w:lang w:eastAsia="ar-SA" w:bidi="en-US"/>
        </w:rPr>
      </w:pPr>
    </w:p>
    <w:p w14:paraId="2657417E" w14:textId="6BB688FC" w:rsidR="00E31F50" w:rsidRPr="00E57177" w:rsidRDefault="00E31F50" w:rsidP="00A9310D">
      <w:pPr>
        <w:spacing w:line="360" w:lineRule="auto"/>
        <w:rPr>
          <w:rFonts w:ascii="Lato" w:hAnsi="Lato" w:cstheme="minorHAnsi"/>
          <w:sz w:val="22"/>
          <w:szCs w:val="22"/>
          <w:lang w:eastAsia="ar-SA" w:bidi="en-US"/>
        </w:rPr>
      </w:pPr>
      <w:r w:rsidRPr="00E57177">
        <w:rPr>
          <w:rFonts w:ascii="Lato" w:hAnsi="Lato" w:cstheme="minorHAnsi"/>
          <w:sz w:val="22"/>
          <w:szCs w:val="22"/>
          <w:lang w:eastAsia="ar-SA" w:bidi="en-US"/>
        </w:rPr>
        <w:t>W placówkach oświatowych dzieci spędzają bardzo dużo czasu, w związku z tym ważne jest zapewnienie im prawidłowego żywienia, zgodnego z aktualnymi rekomendacjami dla danej grupy wiekowej. Prawidłowe żywienie, to dostarczanie organizmowi energii oraz wszystkich niezbędnych składników pokarmowych we właściwych proporcjach, jak również regularność ich spożywania w ciągu dnia tak, aby zapobiegać zarówno niedoborom żywieniowym</w:t>
      </w:r>
      <w:r w:rsidR="00B22464">
        <w:rPr>
          <w:rFonts w:ascii="Lato" w:hAnsi="Lato" w:cstheme="minorHAnsi"/>
          <w:sz w:val="22"/>
          <w:szCs w:val="22"/>
          <w:lang w:eastAsia="ar-SA" w:bidi="en-US"/>
        </w:rPr>
        <w:t>,</w:t>
      </w:r>
      <w:r w:rsidRPr="00E57177">
        <w:rPr>
          <w:rFonts w:ascii="Lato" w:hAnsi="Lato" w:cstheme="minorHAnsi"/>
          <w:sz w:val="22"/>
          <w:szCs w:val="22"/>
          <w:lang w:eastAsia="ar-SA" w:bidi="en-US"/>
        </w:rPr>
        <w:t xml:space="preserve"> </w:t>
      </w:r>
      <w:r w:rsidR="00B22464">
        <w:rPr>
          <w:rFonts w:ascii="Lato" w:hAnsi="Lato" w:cstheme="minorHAnsi"/>
          <w:sz w:val="22"/>
          <w:szCs w:val="22"/>
          <w:lang w:eastAsia="ar-SA" w:bidi="en-US"/>
        </w:rPr>
        <w:t>jak</w:t>
      </w:r>
      <w:r w:rsidR="00F45A42">
        <w:rPr>
          <w:rFonts w:ascii="Lato" w:hAnsi="Lato" w:cstheme="minorHAnsi"/>
          <w:sz w:val="22"/>
          <w:szCs w:val="22"/>
          <w:lang w:eastAsia="ar-SA" w:bidi="en-US"/>
        </w:rPr>
        <w:t> </w:t>
      </w:r>
      <w:r w:rsidR="00B22464">
        <w:rPr>
          <w:rFonts w:ascii="Lato" w:hAnsi="Lato" w:cstheme="minorHAnsi"/>
          <w:sz w:val="22"/>
          <w:szCs w:val="22"/>
          <w:lang w:eastAsia="ar-SA" w:bidi="en-US"/>
        </w:rPr>
        <w:t>i</w:t>
      </w:r>
      <w:r w:rsidR="00F45A42">
        <w:rPr>
          <w:rFonts w:ascii="Lato" w:hAnsi="Lato" w:cstheme="minorHAnsi"/>
          <w:sz w:val="22"/>
          <w:szCs w:val="22"/>
          <w:lang w:eastAsia="ar-SA" w:bidi="en-US"/>
        </w:rPr>
        <w:t> </w:t>
      </w:r>
      <w:r w:rsidRPr="00E57177">
        <w:rPr>
          <w:rFonts w:ascii="Lato" w:hAnsi="Lato" w:cstheme="minorHAnsi"/>
          <w:sz w:val="22"/>
          <w:szCs w:val="22"/>
          <w:lang w:eastAsia="ar-SA" w:bidi="en-US"/>
        </w:rPr>
        <w:t>nadmiernemu spożyciu żywności.</w:t>
      </w:r>
    </w:p>
    <w:p w14:paraId="7C785011" w14:textId="77777777" w:rsidR="00E31F50" w:rsidRPr="00E57177" w:rsidRDefault="00E31F50" w:rsidP="00A9310D">
      <w:pPr>
        <w:spacing w:line="360" w:lineRule="auto"/>
        <w:rPr>
          <w:rFonts w:ascii="Lato" w:hAnsi="Lato" w:cstheme="minorHAnsi"/>
          <w:sz w:val="22"/>
          <w:szCs w:val="22"/>
          <w:lang w:eastAsia="ar-SA" w:bidi="en-US"/>
        </w:rPr>
      </w:pPr>
      <w:r w:rsidRPr="00E57177">
        <w:rPr>
          <w:rFonts w:ascii="Lato" w:hAnsi="Lato" w:cstheme="minorHAnsi"/>
          <w:sz w:val="22"/>
          <w:szCs w:val="22"/>
          <w:lang w:eastAsia="ar-SA" w:bidi="en-US"/>
        </w:rPr>
        <w:t xml:space="preserve">W województwie zachodniopomorskim, w 2025 r. funkcjonowało 1235 placówek oświatowo-wychowawczych, w których żywiono dzieci i młodzież. </w:t>
      </w:r>
      <w:bookmarkStart w:id="179" w:name="_Toc133231340"/>
      <w:bookmarkStart w:id="180" w:name="_Toc133236349"/>
      <w:bookmarkStart w:id="181" w:name="_Toc133311739"/>
      <w:bookmarkStart w:id="182" w:name="_Toc133320595"/>
      <w:bookmarkStart w:id="183" w:name="_Toc133321714"/>
    </w:p>
    <w:p w14:paraId="2EA49F74" w14:textId="3ACD045F" w:rsidR="00E31F50" w:rsidRPr="00E57177" w:rsidRDefault="00E31F50" w:rsidP="00A9310D">
      <w:pPr>
        <w:spacing w:line="360" w:lineRule="auto"/>
        <w:rPr>
          <w:rFonts w:ascii="Lato" w:eastAsia="Calibri" w:hAnsi="Lato"/>
          <w:sz w:val="22"/>
          <w:szCs w:val="22"/>
        </w:rPr>
      </w:pPr>
      <w:r w:rsidRPr="00E57177">
        <w:rPr>
          <w:rFonts w:ascii="Lato" w:eastAsia="Calibri" w:hAnsi="Lato"/>
          <w:sz w:val="22"/>
          <w:szCs w:val="22"/>
        </w:rPr>
        <w:t xml:space="preserve">W przypadku 45 % placówek posiłki przygotowywane były na miejscu, do 53 % były dowożone (catering), w 2 % placówek żywienie zostało zapewnione poza obiektami. Dzieci i młodzież spożywały posiłki przede wszystkim w postaci obiadów, 8 % placówek organizowało również śniadanie, natomiast 78 % zapewniało </w:t>
      </w:r>
      <w:bookmarkEnd w:id="179"/>
      <w:bookmarkEnd w:id="180"/>
      <w:bookmarkEnd w:id="181"/>
      <w:bookmarkEnd w:id="182"/>
      <w:bookmarkEnd w:id="183"/>
      <w:r w:rsidRPr="00E57177">
        <w:rPr>
          <w:rFonts w:ascii="Lato" w:eastAsia="Calibri" w:hAnsi="Lato"/>
          <w:sz w:val="22"/>
          <w:szCs w:val="22"/>
        </w:rPr>
        <w:t>napoje (wodę, herbatę, kawę zbożową, kompot).</w:t>
      </w:r>
      <w:r w:rsidRPr="00E57177">
        <w:rPr>
          <w:sz w:val="22"/>
          <w:szCs w:val="22"/>
        </w:rPr>
        <w:t xml:space="preserve"> </w:t>
      </w:r>
      <w:r w:rsidR="00B22464" w:rsidRPr="00E57177">
        <w:rPr>
          <w:rFonts w:ascii="Lato" w:eastAsia="Calibri" w:hAnsi="Lato"/>
          <w:sz w:val="22"/>
          <w:szCs w:val="22"/>
        </w:rPr>
        <w:t>Dla</w:t>
      </w:r>
      <w:r w:rsidR="00A9310D">
        <w:rPr>
          <w:rFonts w:ascii="Lato" w:eastAsia="Calibri" w:hAnsi="Lato"/>
          <w:sz w:val="22"/>
          <w:szCs w:val="22"/>
        </w:rPr>
        <w:t> </w:t>
      </w:r>
      <w:r w:rsidR="00B22464" w:rsidRPr="00E57177">
        <w:rPr>
          <w:rFonts w:ascii="Lato" w:eastAsia="Calibri" w:hAnsi="Lato"/>
          <w:sz w:val="22"/>
          <w:szCs w:val="22"/>
        </w:rPr>
        <w:t>blisko 8 % uczniów zapewniono dofinansowanie do posiłków.</w:t>
      </w:r>
    </w:p>
    <w:p w14:paraId="7C85E19B" w14:textId="7A1C07A5" w:rsidR="00E31F50" w:rsidRPr="00E57177" w:rsidRDefault="00E31F50" w:rsidP="00A9310D">
      <w:pPr>
        <w:spacing w:line="360" w:lineRule="auto"/>
        <w:rPr>
          <w:rFonts w:ascii="Lato" w:hAnsi="Lato" w:cs="Calibri"/>
          <w:sz w:val="22"/>
          <w:szCs w:val="22"/>
        </w:rPr>
      </w:pPr>
      <w:r w:rsidRPr="00E57177">
        <w:rPr>
          <w:rFonts w:ascii="Lato" w:hAnsi="Lato" w:cstheme="minorHAnsi"/>
          <w:sz w:val="22"/>
          <w:szCs w:val="22"/>
          <w:lang w:eastAsia="ar-SA" w:bidi="en-US"/>
        </w:rPr>
        <w:t xml:space="preserve">Przeprowadzono łącznie 658 kontroli bloków żywienia zlokalizowanych w placówkach oświatowych: 298 szkolnych, 286 przedszkolnych, 42 w zakładach specjalnych </w:t>
      </w:r>
      <w:r w:rsidRPr="00241110">
        <w:t>i</w:t>
      </w:r>
      <w:r w:rsidR="00241110">
        <w:t xml:space="preserve">  </w:t>
      </w:r>
      <w:r w:rsidRPr="00241110">
        <w:rPr>
          <w:rFonts w:ascii="Lato" w:hAnsi="Lato"/>
          <w:sz w:val="22"/>
          <w:szCs w:val="22"/>
        </w:rPr>
        <w:t>wychowawczych</w:t>
      </w:r>
      <w:r w:rsidRPr="00E57177">
        <w:rPr>
          <w:rFonts w:ascii="Lato" w:hAnsi="Lato" w:cstheme="minorHAnsi"/>
          <w:sz w:val="22"/>
          <w:szCs w:val="22"/>
          <w:lang w:eastAsia="ar-SA" w:bidi="en-US"/>
        </w:rPr>
        <w:t xml:space="preserve"> oraz 32 zlokalizowanych w bursach i internatach. </w:t>
      </w:r>
      <w:r w:rsidRPr="00E57177">
        <w:rPr>
          <w:rFonts w:ascii="Lato" w:hAnsi="Lato" w:cstheme="minorHAnsi"/>
          <w:bCs/>
          <w:sz w:val="22"/>
          <w:szCs w:val="22"/>
          <w:lang w:eastAsia="ar-SA" w:bidi="en-US"/>
        </w:rPr>
        <w:t xml:space="preserve">Poza sprawdzeniem warunków sanitarno-higienicznych oraz technicznych </w:t>
      </w:r>
      <w:r w:rsidRPr="00E57177">
        <w:rPr>
          <w:rFonts w:ascii="Lato" w:hAnsi="Lato" w:cs="Calibri"/>
          <w:sz w:val="22"/>
          <w:szCs w:val="22"/>
        </w:rPr>
        <w:t xml:space="preserve">kontrolą objęto produkty sprzedawane w sklepikach szkolnych oraz w automatach z napojami i żywnością, które również muszą spełniać wymagania określone w </w:t>
      </w:r>
      <w:r w:rsidRPr="00E57177">
        <w:rPr>
          <w:rFonts w:ascii="Lato" w:hAnsi="Lato" w:cstheme="minorHAnsi"/>
          <w:sz w:val="22"/>
          <w:szCs w:val="22"/>
          <w:lang w:eastAsia="ar-SA" w:bidi="en-US"/>
        </w:rPr>
        <w:t>rozporządzeniu Ministra Zdrowia z 26 lipca 2016 roku w</w:t>
      </w:r>
      <w:r w:rsidR="00A9310D">
        <w:rPr>
          <w:rFonts w:ascii="Lato" w:hAnsi="Lato" w:cstheme="minorHAnsi"/>
          <w:sz w:val="22"/>
          <w:szCs w:val="22"/>
          <w:lang w:eastAsia="ar-SA" w:bidi="en-US"/>
        </w:rPr>
        <w:t> </w:t>
      </w:r>
      <w:r w:rsidRPr="00E57177">
        <w:rPr>
          <w:rFonts w:ascii="Lato" w:hAnsi="Lato" w:cstheme="minorHAnsi"/>
          <w:sz w:val="22"/>
          <w:szCs w:val="22"/>
          <w:lang w:eastAsia="ar-SA" w:bidi="en-US"/>
        </w:rPr>
        <w:t xml:space="preserve">sprawie grup środków spożywczych przeznaczonych do sprzedaży dzieciom i młodzieży w jednostkach systemu oświaty oraz wymagań jakie muszą spełniać środki spożywcze stosowane w ramach żywienia zbiorowego dzieci i młodzieży w tych jednostkach. </w:t>
      </w:r>
    </w:p>
    <w:p w14:paraId="372CE78D" w14:textId="57ACDAEF" w:rsidR="00E31F50" w:rsidRPr="00E57177" w:rsidRDefault="00E31F50" w:rsidP="00A9310D">
      <w:pPr>
        <w:spacing w:line="360" w:lineRule="auto"/>
        <w:rPr>
          <w:rFonts w:ascii="Lato" w:hAnsi="Lato" w:cstheme="minorHAnsi"/>
          <w:bCs/>
          <w:sz w:val="22"/>
          <w:szCs w:val="22"/>
          <w:lang w:eastAsia="ar-SA" w:bidi="en-US"/>
        </w:rPr>
      </w:pPr>
      <w:r w:rsidRPr="00E57177">
        <w:rPr>
          <w:rFonts w:ascii="Lato" w:hAnsi="Lato" w:cstheme="minorHAnsi"/>
          <w:sz w:val="22"/>
          <w:szCs w:val="22"/>
          <w:lang w:eastAsia="ar-SA" w:bidi="en-US"/>
        </w:rPr>
        <w:t>W ramach kontroli ocenie poddawano jadłospisy dekadowe. Analizę prowadzono pod kątem spełnienia wymagań ww. rozporządzenia, tj. obecności konkretnych składników używanych do produkcji, określonych technik przygotowania, częstotliwości występowania konkretnych grup środków spożywczych, obecności w posiłkach źródła pełnowartościowego białka, warzyw i</w:t>
      </w:r>
      <w:r w:rsidR="00A9310D">
        <w:rPr>
          <w:rFonts w:ascii="Lato" w:hAnsi="Lato" w:cstheme="minorHAnsi"/>
          <w:sz w:val="22"/>
          <w:szCs w:val="22"/>
          <w:lang w:eastAsia="ar-SA" w:bidi="en-US"/>
        </w:rPr>
        <w:t> </w:t>
      </w:r>
      <w:r w:rsidRPr="00E57177">
        <w:rPr>
          <w:rFonts w:ascii="Lato" w:hAnsi="Lato" w:cstheme="minorHAnsi"/>
          <w:sz w:val="22"/>
          <w:szCs w:val="22"/>
          <w:lang w:eastAsia="ar-SA" w:bidi="en-US"/>
        </w:rPr>
        <w:t>owoców, mleka oraz przetworów mlecznych, kasz, razowego pieczywa, roślin strączkowych oraz powtarzalności posiłków w dekadzie</w:t>
      </w:r>
      <w:r w:rsidRPr="00E57177">
        <w:rPr>
          <w:rFonts w:ascii="Lato" w:hAnsi="Lato" w:cstheme="minorHAnsi"/>
          <w:bCs/>
          <w:sz w:val="22"/>
          <w:szCs w:val="22"/>
          <w:lang w:eastAsia="ar-SA" w:bidi="en-US"/>
        </w:rPr>
        <w:t xml:space="preserve">. </w:t>
      </w:r>
    </w:p>
    <w:p w14:paraId="50BBE9F5" w14:textId="50AA810E" w:rsidR="00E31F50" w:rsidRPr="00E57177" w:rsidRDefault="00E31F50" w:rsidP="00A9310D">
      <w:pPr>
        <w:spacing w:line="360" w:lineRule="auto"/>
        <w:rPr>
          <w:rFonts w:ascii="Lato" w:hAnsi="Lato" w:cstheme="minorHAnsi"/>
          <w:bCs/>
          <w:sz w:val="22"/>
          <w:szCs w:val="22"/>
          <w:lang w:eastAsia="ar-SA" w:bidi="en-US"/>
        </w:rPr>
      </w:pPr>
      <w:r w:rsidRPr="00E57177">
        <w:rPr>
          <w:rFonts w:ascii="Lato" w:hAnsi="Lato" w:cstheme="minorHAnsi"/>
          <w:bCs/>
          <w:sz w:val="22"/>
          <w:szCs w:val="22"/>
          <w:lang w:eastAsia="ar-SA" w:bidi="en-US"/>
        </w:rPr>
        <w:lastRenderedPageBreak/>
        <w:t>W większości przypadków jadłospisy zostały ułożone zgodnie z zasadami racjonalnego żywienia, tj. posiłki były urozmaicone, przygotowywane na bazie produktów ze wszystkich grup asortymentowych z uwzględnieniem sezonowości, przygotowywane różnymi technikami kulinarnym, dobierane z uwzględnieniem grupy wiekowej konsumentów. Posiłki w szkołach spełniały na ogół wymagania jakościowe i sanitarne. Nie odnotowano żadnego przypadku zatrucia pokarmowego. Nieprawidłowości stwierdzono tylko w pojedynczych przypadkach i</w:t>
      </w:r>
      <w:r w:rsidR="00A9310D">
        <w:rPr>
          <w:rFonts w:ascii="Lato" w:hAnsi="Lato" w:cstheme="minorHAnsi"/>
          <w:bCs/>
          <w:sz w:val="22"/>
          <w:szCs w:val="22"/>
          <w:lang w:eastAsia="ar-SA" w:bidi="en-US"/>
        </w:rPr>
        <w:t> </w:t>
      </w:r>
      <w:r w:rsidRPr="00E57177">
        <w:rPr>
          <w:rFonts w:ascii="Lato" w:hAnsi="Lato" w:cstheme="minorHAnsi"/>
          <w:bCs/>
          <w:sz w:val="22"/>
          <w:szCs w:val="22"/>
          <w:lang w:eastAsia="ar-SA" w:bidi="en-US"/>
        </w:rPr>
        <w:t>dotyczyły one:</w:t>
      </w:r>
    </w:p>
    <w:p w14:paraId="7081CAF6" w14:textId="1FF98E00" w:rsidR="003C1E8A" w:rsidRPr="003C1E8A" w:rsidRDefault="00E31F50">
      <w:pPr>
        <w:pStyle w:val="Akapitzlist"/>
        <w:numPr>
          <w:ilvl w:val="0"/>
          <w:numId w:val="35"/>
        </w:numPr>
        <w:tabs>
          <w:tab w:val="left" w:pos="567"/>
        </w:tabs>
        <w:spacing w:line="360" w:lineRule="auto"/>
        <w:rPr>
          <w:rFonts w:ascii="Lato" w:hAnsi="Lato" w:cstheme="minorHAnsi"/>
          <w:bCs/>
          <w:color w:val="000000" w:themeColor="text1"/>
          <w:sz w:val="22"/>
          <w:szCs w:val="22"/>
          <w:lang w:eastAsia="ar-SA" w:bidi="en-US"/>
        </w:rPr>
      </w:pPr>
      <w:r w:rsidRPr="003C1E8A">
        <w:rPr>
          <w:rFonts w:ascii="Lato" w:hAnsi="Lato" w:cstheme="minorHAnsi"/>
          <w:color w:val="000000" w:themeColor="text1"/>
          <w:sz w:val="22"/>
          <w:szCs w:val="22"/>
          <w:lang w:eastAsia="ar-SA" w:bidi="en-US"/>
        </w:rPr>
        <w:t>braku urozmaicenia  i wykorzystywania do przygotowania posiłków produktów ze</w:t>
      </w:r>
      <w:r w:rsidR="00A9310D">
        <w:rPr>
          <w:rFonts w:ascii="Lato" w:hAnsi="Lato" w:cstheme="minorHAnsi"/>
          <w:color w:val="000000" w:themeColor="text1"/>
          <w:sz w:val="22"/>
          <w:szCs w:val="22"/>
          <w:lang w:eastAsia="ar-SA" w:bidi="en-US"/>
        </w:rPr>
        <w:t> </w:t>
      </w:r>
      <w:r w:rsidRPr="003C1E8A">
        <w:rPr>
          <w:rFonts w:ascii="Lato" w:hAnsi="Lato" w:cstheme="minorHAnsi"/>
          <w:color w:val="000000" w:themeColor="text1"/>
          <w:sz w:val="22"/>
          <w:szCs w:val="22"/>
          <w:lang w:eastAsia="ar-SA" w:bidi="en-US"/>
        </w:rPr>
        <w:t>wszystkich grup asortymentowych;</w:t>
      </w:r>
    </w:p>
    <w:p w14:paraId="571AB597" w14:textId="77777777" w:rsidR="003C1E8A" w:rsidRPr="003C1E8A" w:rsidRDefault="00E31F50">
      <w:pPr>
        <w:pStyle w:val="Akapitzlist"/>
        <w:numPr>
          <w:ilvl w:val="0"/>
          <w:numId w:val="35"/>
        </w:numPr>
        <w:tabs>
          <w:tab w:val="left" w:pos="567"/>
        </w:tabs>
        <w:spacing w:line="360" w:lineRule="auto"/>
        <w:rPr>
          <w:rFonts w:ascii="Lato" w:hAnsi="Lato" w:cstheme="minorHAnsi"/>
          <w:bCs/>
          <w:color w:val="000000" w:themeColor="text1"/>
          <w:sz w:val="22"/>
          <w:szCs w:val="22"/>
          <w:lang w:eastAsia="ar-SA" w:bidi="en-US"/>
        </w:rPr>
      </w:pPr>
      <w:r w:rsidRPr="003C1E8A">
        <w:rPr>
          <w:rFonts w:ascii="Lato" w:hAnsi="Lato" w:cstheme="minorHAnsi"/>
          <w:color w:val="000000" w:themeColor="text1"/>
          <w:sz w:val="22"/>
          <w:szCs w:val="22"/>
          <w:lang w:eastAsia="ar-SA" w:bidi="en-US"/>
        </w:rPr>
        <w:t>zbyt niskiej częstotliwość serwowania mleka i przetworów mlecznych, pieczywa razowego, kasz i roślin strączkowych, warzyw i owoców, jak również ich powtarzalności;</w:t>
      </w:r>
    </w:p>
    <w:p w14:paraId="18A722CC" w14:textId="77777777" w:rsidR="003C1E8A" w:rsidRDefault="00E31F50">
      <w:pPr>
        <w:pStyle w:val="Akapitzlist"/>
        <w:numPr>
          <w:ilvl w:val="0"/>
          <w:numId w:val="35"/>
        </w:numPr>
        <w:tabs>
          <w:tab w:val="left" w:pos="567"/>
        </w:tabs>
        <w:spacing w:line="360" w:lineRule="auto"/>
        <w:rPr>
          <w:rFonts w:ascii="Lato" w:hAnsi="Lato" w:cstheme="minorHAnsi"/>
          <w:bCs/>
          <w:color w:val="000000" w:themeColor="text1"/>
          <w:sz w:val="22"/>
          <w:szCs w:val="22"/>
          <w:lang w:eastAsia="ar-SA" w:bidi="en-US"/>
        </w:rPr>
      </w:pPr>
      <w:r w:rsidRPr="003C1E8A">
        <w:rPr>
          <w:rFonts w:ascii="Lato" w:hAnsi="Lato" w:cstheme="minorHAnsi"/>
          <w:bCs/>
          <w:color w:val="000000" w:themeColor="text1"/>
          <w:sz w:val="22"/>
          <w:szCs w:val="22"/>
          <w:lang w:eastAsia="ar-SA" w:bidi="en-US"/>
        </w:rPr>
        <w:t>braku serwowania porcji ryby co najmniej raz w tygodniu;</w:t>
      </w:r>
    </w:p>
    <w:p w14:paraId="45F750F3" w14:textId="79CBE9BC" w:rsidR="00E31F50" w:rsidRPr="003C1E8A" w:rsidRDefault="00E31F50">
      <w:pPr>
        <w:pStyle w:val="Akapitzlist"/>
        <w:numPr>
          <w:ilvl w:val="0"/>
          <w:numId w:val="35"/>
        </w:numPr>
        <w:tabs>
          <w:tab w:val="left" w:pos="567"/>
        </w:tabs>
        <w:spacing w:line="360" w:lineRule="auto"/>
        <w:rPr>
          <w:rFonts w:ascii="Lato" w:hAnsi="Lato" w:cstheme="minorHAnsi"/>
          <w:bCs/>
          <w:color w:val="000000" w:themeColor="text1"/>
          <w:sz w:val="22"/>
          <w:szCs w:val="22"/>
          <w:lang w:eastAsia="ar-SA" w:bidi="en-US"/>
        </w:rPr>
      </w:pPr>
      <w:r w:rsidRPr="003C1E8A">
        <w:rPr>
          <w:rFonts w:ascii="Lato" w:hAnsi="Lato" w:cstheme="minorHAnsi"/>
          <w:bCs/>
          <w:sz w:val="22"/>
          <w:szCs w:val="22"/>
          <w:lang w:eastAsia="ar-SA" w:bidi="en-US"/>
        </w:rPr>
        <w:t>niedostosowania wartości kalorycznej do żywionej grupy.</w:t>
      </w:r>
    </w:p>
    <w:p w14:paraId="3BE948F4" w14:textId="20674D34" w:rsidR="00E31F50" w:rsidRPr="00E57177" w:rsidRDefault="00E31F50" w:rsidP="00A9310D">
      <w:pPr>
        <w:spacing w:line="360" w:lineRule="auto"/>
        <w:rPr>
          <w:rFonts w:ascii="Lato" w:hAnsi="Lato" w:cstheme="minorHAnsi"/>
          <w:bCs/>
          <w:sz w:val="22"/>
          <w:szCs w:val="22"/>
          <w:lang w:eastAsia="ar-SA" w:bidi="en-US"/>
        </w:rPr>
      </w:pPr>
      <w:r w:rsidRPr="00E57177">
        <w:rPr>
          <w:rFonts w:ascii="Lato" w:hAnsi="Lato" w:cstheme="minorHAnsi"/>
          <w:bCs/>
          <w:sz w:val="22"/>
          <w:szCs w:val="22"/>
          <w:lang w:eastAsia="ar-SA" w:bidi="en-US"/>
        </w:rPr>
        <w:t>Wszystkie uwagi zostały przekazane dyrektorom placówek, którzy zostali zobowiązani do</w:t>
      </w:r>
      <w:r w:rsidR="00A9310D">
        <w:rPr>
          <w:rFonts w:ascii="Lato" w:hAnsi="Lato" w:cstheme="minorHAnsi"/>
          <w:bCs/>
          <w:sz w:val="22"/>
          <w:szCs w:val="22"/>
          <w:lang w:eastAsia="ar-SA" w:bidi="en-US"/>
        </w:rPr>
        <w:t> </w:t>
      </w:r>
      <w:r w:rsidRPr="00E57177">
        <w:rPr>
          <w:rFonts w:ascii="Lato" w:hAnsi="Lato" w:cstheme="minorHAnsi"/>
          <w:bCs/>
          <w:sz w:val="22"/>
          <w:szCs w:val="22"/>
          <w:lang w:eastAsia="ar-SA" w:bidi="en-US"/>
        </w:rPr>
        <w:t xml:space="preserve">wyeliminowania błędów. W trakcie kontroli omawiano stwierdzane nieprawidłowości również z osobami odpowiedzialnymi za układanie jadłospisów i przygotowanie posiłków. </w:t>
      </w:r>
    </w:p>
    <w:p w14:paraId="7FA087D6" w14:textId="77777777" w:rsidR="00E31F50" w:rsidRPr="0039599C" w:rsidRDefault="00E31F50" w:rsidP="00A9310D">
      <w:pPr>
        <w:spacing w:line="276" w:lineRule="auto"/>
        <w:rPr>
          <w:rFonts w:ascii="Lato" w:hAnsi="Lato" w:cstheme="minorHAnsi"/>
          <w:bCs/>
          <w:lang w:eastAsia="ar-SA" w:bidi="en-US"/>
        </w:rPr>
      </w:pPr>
    </w:p>
    <w:p w14:paraId="01D09BC6" w14:textId="77777777" w:rsidR="000C7A64" w:rsidRPr="00030520" w:rsidRDefault="000C7A64" w:rsidP="00A9310D">
      <w:pPr>
        <w:spacing w:line="276" w:lineRule="auto"/>
        <w:rPr>
          <w:rFonts w:ascii="Calibri" w:hAnsi="Calibri" w:cs="Calibri"/>
        </w:rPr>
      </w:pPr>
    </w:p>
    <w:p w14:paraId="707268A1" w14:textId="77777777" w:rsidR="00272867" w:rsidRDefault="00272867" w:rsidP="00A9310D">
      <w:pPr>
        <w:spacing w:after="160" w:line="278" w:lineRule="auto"/>
        <w:rPr>
          <w:rFonts w:ascii="Lato" w:hAnsi="Lato" w:cstheme="majorBidi"/>
          <w:color w:val="4C94D8" w:themeColor="text2" w:themeTint="80"/>
          <w:sz w:val="32"/>
          <w:szCs w:val="40"/>
        </w:rPr>
      </w:pPr>
      <w:bookmarkStart w:id="184" w:name="_Toc135041771"/>
      <w:r>
        <w:rPr>
          <w:color w:val="4C94D8" w:themeColor="text2" w:themeTint="80"/>
        </w:rPr>
        <w:br w:type="page"/>
      </w:r>
    </w:p>
    <w:p w14:paraId="3AF4BAD8" w14:textId="7B1F89D0" w:rsidR="000C7A64" w:rsidRPr="00BA2854" w:rsidRDefault="000C7A64">
      <w:pPr>
        <w:pStyle w:val="Nagwek1"/>
        <w:numPr>
          <w:ilvl w:val="0"/>
          <w:numId w:val="16"/>
        </w:numPr>
        <w:rPr>
          <w:rFonts w:eastAsia="Times New Roman"/>
          <w:color w:val="153D63" w:themeColor="text2" w:themeTint="E6"/>
        </w:rPr>
      </w:pPr>
      <w:bookmarkStart w:id="185" w:name="_Toc225859092"/>
      <w:r w:rsidRPr="00BA2854">
        <w:rPr>
          <w:rFonts w:eastAsia="Times New Roman"/>
          <w:color w:val="153D63" w:themeColor="text2" w:themeTint="E6"/>
        </w:rPr>
        <w:lastRenderedPageBreak/>
        <w:t>Warunki wypoczynku oraz rekreacji dzieci i młodzieży</w:t>
      </w:r>
      <w:bookmarkEnd w:id="184"/>
      <w:r w:rsidRPr="00BA2854">
        <w:rPr>
          <w:rFonts w:eastAsia="Times New Roman"/>
          <w:color w:val="153D63" w:themeColor="text2" w:themeTint="E6"/>
        </w:rPr>
        <w:t xml:space="preserve"> – stan sanitarno-techniczny obiektów wypoczynkowych</w:t>
      </w:r>
      <w:bookmarkEnd w:id="185"/>
    </w:p>
    <w:p w14:paraId="511D770C" w14:textId="77777777" w:rsidR="00272867" w:rsidRPr="00272867" w:rsidRDefault="00272867" w:rsidP="00272867"/>
    <w:p w14:paraId="59B0C7FC" w14:textId="069C1D92" w:rsidR="000C7A64" w:rsidRPr="0068623C" w:rsidRDefault="000C7A64" w:rsidP="00A9310D">
      <w:pPr>
        <w:spacing w:line="360" w:lineRule="auto"/>
        <w:rPr>
          <w:rFonts w:ascii="Lato" w:eastAsia="Calibri" w:hAnsi="Lato" w:cs="Calibri"/>
          <w:sz w:val="22"/>
          <w:szCs w:val="22"/>
        </w:rPr>
      </w:pPr>
      <w:bookmarkStart w:id="186" w:name="_Toc133231387"/>
      <w:bookmarkStart w:id="187" w:name="_Toc133236374"/>
      <w:bookmarkStart w:id="188" w:name="_Toc133311764"/>
      <w:bookmarkStart w:id="189" w:name="_Toc133320628"/>
      <w:bookmarkStart w:id="190" w:name="_Toc133321739"/>
      <w:r w:rsidRPr="0068623C">
        <w:rPr>
          <w:rFonts w:ascii="Lato" w:eastAsia="Calibri" w:hAnsi="Lato" w:cs="Calibri"/>
          <w:sz w:val="22"/>
          <w:szCs w:val="22"/>
        </w:rPr>
        <w:t>W okresie ferii zimowych</w:t>
      </w:r>
      <w:r w:rsidR="008A1704">
        <w:rPr>
          <w:rFonts w:ascii="Lato" w:eastAsia="Calibri" w:hAnsi="Lato" w:cs="Calibri"/>
          <w:sz w:val="22"/>
          <w:szCs w:val="22"/>
        </w:rPr>
        <w:t>, n</w:t>
      </w:r>
      <w:r w:rsidR="008A1704" w:rsidRPr="0068623C">
        <w:rPr>
          <w:rFonts w:ascii="Lato" w:eastAsia="Calibri" w:hAnsi="Lato" w:cs="Calibri"/>
          <w:bCs/>
          <w:sz w:val="22"/>
          <w:szCs w:val="22"/>
        </w:rPr>
        <w:t>a terenie woj. zachodniopomorskiego</w:t>
      </w:r>
      <w:r w:rsidRPr="0068623C">
        <w:rPr>
          <w:rFonts w:ascii="Lato" w:eastAsia="Calibri" w:hAnsi="Lato" w:cs="Calibri"/>
          <w:sz w:val="22"/>
          <w:szCs w:val="22"/>
        </w:rPr>
        <w:t xml:space="preserve">, w bazie wypoczynku MEN zgłoszono 357 turnusów dla 12 382 uczestników. Skontrolowano 132 turnusy. </w:t>
      </w:r>
    </w:p>
    <w:bookmarkEnd w:id="186"/>
    <w:bookmarkEnd w:id="187"/>
    <w:bookmarkEnd w:id="188"/>
    <w:bookmarkEnd w:id="189"/>
    <w:bookmarkEnd w:id="190"/>
    <w:p w14:paraId="7FFF2D5D" w14:textId="1F93ABF4" w:rsidR="000C7A64" w:rsidRPr="0068623C" w:rsidRDefault="008A1704" w:rsidP="00A9310D">
      <w:pPr>
        <w:spacing w:line="360" w:lineRule="auto"/>
        <w:contextualSpacing/>
        <w:rPr>
          <w:rFonts w:ascii="Lato" w:eastAsia="Calibri" w:hAnsi="Lato" w:cs="Calibri"/>
          <w:bCs/>
          <w:sz w:val="22"/>
          <w:szCs w:val="22"/>
        </w:rPr>
      </w:pPr>
      <w:r>
        <w:rPr>
          <w:rFonts w:ascii="Lato" w:eastAsia="Calibri" w:hAnsi="Lato" w:cs="Calibri"/>
          <w:bCs/>
          <w:sz w:val="22"/>
          <w:szCs w:val="22"/>
        </w:rPr>
        <w:t>W</w:t>
      </w:r>
      <w:r w:rsidR="000C7A64" w:rsidRPr="0068623C">
        <w:rPr>
          <w:rFonts w:ascii="Lato" w:eastAsia="Calibri" w:hAnsi="Lato" w:cs="Calibri"/>
          <w:bCs/>
          <w:sz w:val="22"/>
          <w:szCs w:val="22"/>
        </w:rPr>
        <w:t> okresie wakacyjnym organizatorzy wypoczynku dla dzieci i młodzieży zgłosili łącznie 3 451 turnusów dla 152 342 uczestników wypoczynku.</w:t>
      </w:r>
      <w:r>
        <w:rPr>
          <w:rFonts w:ascii="Lato" w:eastAsia="Calibri" w:hAnsi="Lato" w:cs="Calibri"/>
          <w:bCs/>
          <w:sz w:val="22"/>
          <w:szCs w:val="22"/>
        </w:rPr>
        <w:t xml:space="preserve"> </w:t>
      </w:r>
      <w:r w:rsidR="000C7A64" w:rsidRPr="0068623C">
        <w:rPr>
          <w:rFonts w:ascii="Lato" w:eastAsia="Calibri" w:hAnsi="Lato" w:cs="Calibri"/>
          <w:bCs/>
          <w:sz w:val="22"/>
          <w:szCs w:val="22"/>
        </w:rPr>
        <w:t>Skontrolowano 575 turnusy, na których wypoczywało 24 699 dzieci i młodzieży.</w:t>
      </w:r>
    </w:p>
    <w:p w14:paraId="7B7C3BF2" w14:textId="73211FB2" w:rsidR="000C7A64" w:rsidRPr="0068623C" w:rsidRDefault="008A1704" w:rsidP="00A9310D">
      <w:pPr>
        <w:spacing w:line="360" w:lineRule="auto"/>
        <w:rPr>
          <w:rFonts w:ascii="Lato" w:eastAsia="Calibri" w:hAnsi="Lato" w:cs="Calibri"/>
          <w:bCs/>
          <w:sz w:val="22"/>
          <w:szCs w:val="22"/>
        </w:rPr>
      </w:pPr>
      <w:r w:rsidRPr="008A1704">
        <w:rPr>
          <w:rFonts w:ascii="Lato" w:eastAsia="Calibri" w:hAnsi="Lato" w:cs="Calibri"/>
          <w:bCs/>
          <w:sz w:val="22"/>
          <w:szCs w:val="22"/>
        </w:rPr>
        <w:t xml:space="preserve">W większości przypadków zapewniono właściwe warunki higieniczno-sanitarne do wypoczynku dzieci i młodzieży. </w:t>
      </w:r>
      <w:r w:rsidR="000C7A64" w:rsidRPr="0068623C">
        <w:rPr>
          <w:rFonts w:ascii="Lato" w:eastAsia="Calibri" w:hAnsi="Lato" w:cs="Calibri"/>
          <w:bCs/>
          <w:sz w:val="22"/>
          <w:szCs w:val="22"/>
        </w:rPr>
        <w:t xml:space="preserve">Nieprawidłowości stwierdzono w </w:t>
      </w:r>
      <w:r>
        <w:rPr>
          <w:rFonts w:ascii="Lato" w:eastAsia="Calibri" w:hAnsi="Lato" w:cs="Calibri"/>
          <w:bCs/>
          <w:sz w:val="22"/>
          <w:szCs w:val="22"/>
        </w:rPr>
        <w:t xml:space="preserve">8 obiektach podczas wypoczynku zimowego i w </w:t>
      </w:r>
      <w:r w:rsidR="000C7A64" w:rsidRPr="0068623C">
        <w:rPr>
          <w:rFonts w:ascii="Lato" w:eastAsia="Calibri" w:hAnsi="Lato" w:cs="Calibri"/>
          <w:bCs/>
          <w:sz w:val="22"/>
          <w:szCs w:val="22"/>
        </w:rPr>
        <w:t xml:space="preserve">29 </w:t>
      </w:r>
      <w:r>
        <w:rPr>
          <w:rFonts w:ascii="Lato" w:eastAsia="Calibri" w:hAnsi="Lato" w:cs="Calibri"/>
          <w:bCs/>
          <w:sz w:val="22"/>
          <w:szCs w:val="22"/>
        </w:rPr>
        <w:t>– w czasie wakacji</w:t>
      </w:r>
      <w:r w:rsidR="000C7A64" w:rsidRPr="0068623C">
        <w:rPr>
          <w:rFonts w:ascii="Lato" w:eastAsia="Calibri" w:hAnsi="Lato" w:cs="Calibri"/>
          <w:bCs/>
          <w:sz w:val="22"/>
          <w:szCs w:val="22"/>
        </w:rPr>
        <w:t>.</w:t>
      </w:r>
    </w:p>
    <w:p w14:paraId="6814BA28" w14:textId="77777777" w:rsidR="000C7A64" w:rsidRPr="0068623C" w:rsidRDefault="000C7A64" w:rsidP="00A9310D">
      <w:pPr>
        <w:spacing w:line="360" w:lineRule="auto"/>
        <w:rPr>
          <w:rFonts w:ascii="Lato" w:eastAsia="Calibri" w:hAnsi="Lato" w:cs="Calibri"/>
          <w:bCs/>
          <w:sz w:val="22"/>
          <w:szCs w:val="22"/>
        </w:rPr>
      </w:pPr>
      <w:r w:rsidRPr="0068623C">
        <w:rPr>
          <w:rFonts w:ascii="Lato" w:eastAsia="Calibri" w:hAnsi="Lato" w:cs="Calibri"/>
          <w:bCs/>
          <w:sz w:val="22"/>
          <w:szCs w:val="22"/>
        </w:rPr>
        <w:t>Do najczęściej stwierdzanych uchybień w obiektach wypoczynku należały:</w:t>
      </w:r>
    </w:p>
    <w:p w14:paraId="7E368B7C" w14:textId="77777777" w:rsidR="000C7A64" w:rsidRPr="0068623C" w:rsidRDefault="000C7A64">
      <w:pPr>
        <w:pStyle w:val="Akapitzlist"/>
        <w:numPr>
          <w:ilvl w:val="0"/>
          <w:numId w:val="34"/>
        </w:numPr>
        <w:suppressAutoHyphens/>
        <w:spacing w:line="360" w:lineRule="auto"/>
        <w:rPr>
          <w:rFonts w:ascii="Lato" w:hAnsi="Lato" w:cs="Calibri"/>
          <w:sz w:val="22"/>
          <w:szCs w:val="22"/>
          <w:lang w:eastAsia="ar-SA"/>
        </w:rPr>
      </w:pPr>
      <w:r w:rsidRPr="0068623C">
        <w:rPr>
          <w:rFonts w:ascii="Lato" w:hAnsi="Lato" w:cs="Calibri"/>
          <w:sz w:val="22"/>
          <w:szCs w:val="22"/>
          <w:lang w:eastAsia="zh-CN"/>
        </w:rPr>
        <w:t>niewłaściwy stan sanitarno-higieniczny i techniczny wyposażenia oraz pomieszczeń kuchennych, pokoi mieszkalnych pomieszczeń higienicznosanitarnych,</w:t>
      </w:r>
    </w:p>
    <w:p w14:paraId="0D921706" w14:textId="77777777" w:rsidR="000C7A64" w:rsidRPr="0068623C" w:rsidRDefault="000C7A64">
      <w:pPr>
        <w:pStyle w:val="Akapitzlist"/>
        <w:numPr>
          <w:ilvl w:val="0"/>
          <w:numId w:val="34"/>
        </w:numPr>
        <w:suppressAutoHyphens/>
        <w:spacing w:line="360" w:lineRule="auto"/>
        <w:rPr>
          <w:rFonts w:ascii="Lato" w:hAnsi="Lato" w:cs="Calibri"/>
          <w:sz w:val="22"/>
          <w:szCs w:val="22"/>
          <w:lang w:eastAsia="ar-SA"/>
        </w:rPr>
      </w:pPr>
      <w:r w:rsidRPr="0068623C">
        <w:rPr>
          <w:rFonts w:ascii="Lato" w:hAnsi="Lato" w:cs="Calibri"/>
          <w:sz w:val="22"/>
          <w:szCs w:val="22"/>
          <w:lang w:eastAsia="ar-SA"/>
        </w:rPr>
        <w:t>brak utrzymywania bieżącej czystości,</w:t>
      </w:r>
    </w:p>
    <w:p w14:paraId="388A0823" w14:textId="77777777" w:rsidR="000C7A64" w:rsidRPr="0068623C" w:rsidRDefault="000C7A64">
      <w:pPr>
        <w:numPr>
          <w:ilvl w:val="0"/>
          <w:numId w:val="34"/>
        </w:numPr>
        <w:suppressAutoHyphens/>
        <w:spacing w:line="360" w:lineRule="auto"/>
        <w:rPr>
          <w:rFonts w:ascii="Lato" w:hAnsi="Lato" w:cs="Calibri"/>
          <w:sz w:val="22"/>
          <w:szCs w:val="22"/>
          <w:lang w:eastAsia="ar-SA"/>
        </w:rPr>
      </w:pPr>
      <w:r w:rsidRPr="0068623C">
        <w:rPr>
          <w:rFonts w:ascii="Lato" w:hAnsi="Lato" w:cs="Calibri"/>
          <w:sz w:val="22"/>
          <w:szCs w:val="22"/>
          <w:lang w:eastAsia="ar-SA"/>
        </w:rPr>
        <w:t>brak aktualnej dokumentacji sanitarno-epidemiologicznej personelu,</w:t>
      </w:r>
    </w:p>
    <w:p w14:paraId="22670115" w14:textId="77777777" w:rsidR="000C7A64" w:rsidRPr="0068623C" w:rsidRDefault="000C7A64">
      <w:pPr>
        <w:pStyle w:val="Akapitzlist"/>
        <w:numPr>
          <w:ilvl w:val="0"/>
          <w:numId w:val="34"/>
        </w:numPr>
        <w:suppressAutoHyphens/>
        <w:spacing w:line="360" w:lineRule="auto"/>
        <w:rPr>
          <w:rFonts w:ascii="Lato" w:hAnsi="Lato" w:cs="Calibri"/>
          <w:sz w:val="22"/>
          <w:szCs w:val="22"/>
          <w:lang w:eastAsia="ar-SA"/>
        </w:rPr>
      </w:pPr>
      <w:r w:rsidRPr="0068623C">
        <w:rPr>
          <w:rFonts w:ascii="Lato" w:hAnsi="Lato" w:cs="Calibri"/>
          <w:iCs/>
          <w:sz w:val="22"/>
          <w:szCs w:val="22"/>
        </w:rPr>
        <w:t>przechowywanie środków spożywczych niezgodnie z zaleceniami producenta,</w:t>
      </w:r>
      <w:r w:rsidRPr="0068623C">
        <w:rPr>
          <w:rFonts w:ascii="Lato" w:hAnsi="Lato" w:cs="Calibri"/>
          <w:sz w:val="22"/>
          <w:szCs w:val="22"/>
        </w:rPr>
        <w:t xml:space="preserve"> </w:t>
      </w:r>
      <w:r w:rsidRPr="0068623C">
        <w:rPr>
          <w:rFonts w:ascii="Lato" w:hAnsi="Lato" w:cs="Calibri"/>
          <w:iCs/>
          <w:sz w:val="22"/>
          <w:szCs w:val="22"/>
        </w:rPr>
        <w:t>po upływie terminu przydatności do spożycia/daty minimalnej trwałości,</w:t>
      </w:r>
    </w:p>
    <w:p w14:paraId="64A1385A" w14:textId="5FBE0E75" w:rsidR="000C7A64" w:rsidRPr="0068623C" w:rsidRDefault="000C7A64">
      <w:pPr>
        <w:pStyle w:val="Akapitzlist"/>
        <w:numPr>
          <w:ilvl w:val="0"/>
          <w:numId w:val="34"/>
        </w:numPr>
        <w:suppressAutoHyphens/>
        <w:spacing w:line="360" w:lineRule="auto"/>
        <w:rPr>
          <w:rFonts w:ascii="Lato" w:hAnsi="Lato" w:cs="Calibri"/>
          <w:sz w:val="22"/>
          <w:szCs w:val="22"/>
          <w:lang w:eastAsia="ar-SA"/>
        </w:rPr>
      </w:pPr>
      <w:r w:rsidRPr="0068623C">
        <w:rPr>
          <w:rFonts w:ascii="Lato" w:hAnsi="Lato" w:cs="Calibri"/>
          <w:sz w:val="22"/>
          <w:szCs w:val="22"/>
          <w:lang w:eastAsia="ar-SA"/>
        </w:rPr>
        <w:t xml:space="preserve">brak bieżących zapisów w dokumentacji GHP/GMP/HACCP oraz monitorowania </w:t>
      </w:r>
      <w:r w:rsidR="000604A2">
        <w:rPr>
          <w:rFonts w:ascii="Lato" w:hAnsi="Lato" w:cs="Calibri"/>
          <w:sz w:val="22"/>
          <w:szCs w:val="22"/>
          <w:lang w:eastAsia="ar-SA"/>
        </w:rPr>
        <w:t>k</w:t>
      </w:r>
      <w:r w:rsidRPr="0068623C">
        <w:rPr>
          <w:rFonts w:ascii="Lato" w:hAnsi="Lato" w:cs="Calibri"/>
          <w:sz w:val="22"/>
          <w:szCs w:val="22"/>
          <w:lang w:eastAsia="ar-SA"/>
        </w:rPr>
        <w:t xml:space="preserve">rytycznych </w:t>
      </w:r>
      <w:r w:rsidR="000604A2">
        <w:rPr>
          <w:rFonts w:ascii="Lato" w:hAnsi="Lato" w:cs="Calibri"/>
          <w:sz w:val="22"/>
          <w:szCs w:val="22"/>
          <w:lang w:eastAsia="ar-SA"/>
        </w:rPr>
        <w:t>p</w:t>
      </w:r>
      <w:r w:rsidRPr="0068623C">
        <w:rPr>
          <w:rFonts w:ascii="Lato" w:hAnsi="Lato" w:cs="Calibri"/>
          <w:sz w:val="22"/>
          <w:szCs w:val="22"/>
          <w:lang w:eastAsia="ar-SA"/>
        </w:rPr>
        <w:t xml:space="preserve">unktów </w:t>
      </w:r>
      <w:r w:rsidR="000604A2">
        <w:rPr>
          <w:rFonts w:ascii="Lato" w:hAnsi="Lato" w:cs="Calibri"/>
          <w:sz w:val="22"/>
          <w:szCs w:val="22"/>
          <w:lang w:eastAsia="ar-SA"/>
        </w:rPr>
        <w:t>k</w:t>
      </w:r>
      <w:r w:rsidRPr="0068623C">
        <w:rPr>
          <w:rFonts w:ascii="Lato" w:hAnsi="Lato" w:cs="Calibri"/>
          <w:sz w:val="22"/>
          <w:szCs w:val="22"/>
          <w:lang w:eastAsia="ar-SA"/>
        </w:rPr>
        <w:t>ontroli,</w:t>
      </w:r>
    </w:p>
    <w:p w14:paraId="2EBF5FCB" w14:textId="169CD53D" w:rsidR="000C7A64" w:rsidRPr="0068623C" w:rsidRDefault="000C7A64">
      <w:pPr>
        <w:pStyle w:val="Akapitzlist"/>
        <w:numPr>
          <w:ilvl w:val="0"/>
          <w:numId w:val="34"/>
        </w:numPr>
        <w:suppressAutoHyphens/>
        <w:spacing w:line="360" w:lineRule="auto"/>
        <w:rPr>
          <w:rFonts w:ascii="Lato" w:hAnsi="Lato" w:cs="Calibri"/>
          <w:sz w:val="22"/>
          <w:szCs w:val="22"/>
          <w:lang w:eastAsia="ar-SA"/>
        </w:rPr>
      </w:pPr>
      <w:r w:rsidRPr="0068623C">
        <w:rPr>
          <w:rFonts w:ascii="Lato" w:eastAsia="SimSun" w:hAnsi="Lato" w:cs="Calibri"/>
          <w:iCs/>
          <w:sz w:val="22"/>
          <w:szCs w:val="22"/>
          <w:lang w:eastAsia="zh-CN"/>
        </w:rPr>
        <w:t xml:space="preserve">brak bielizny pościelowej </w:t>
      </w:r>
      <w:r w:rsidR="000604A2">
        <w:rPr>
          <w:rFonts w:ascii="Lato" w:eastAsia="SimSun" w:hAnsi="Lato" w:cs="Calibri"/>
          <w:iCs/>
          <w:sz w:val="22"/>
          <w:szCs w:val="22"/>
          <w:lang w:eastAsia="zh-CN"/>
        </w:rPr>
        <w:t>lub jej zła jakość</w:t>
      </w:r>
      <w:r w:rsidRPr="0068623C">
        <w:rPr>
          <w:rFonts w:ascii="Lato" w:eastAsia="SimSun" w:hAnsi="Lato" w:cs="Calibri"/>
          <w:iCs/>
          <w:sz w:val="22"/>
          <w:szCs w:val="22"/>
          <w:lang w:eastAsia="zh-CN"/>
        </w:rPr>
        <w:t>,</w:t>
      </w:r>
    </w:p>
    <w:p w14:paraId="7ECAC835" w14:textId="77777777" w:rsidR="000C7A64" w:rsidRPr="0068623C" w:rsidRDefault="000C7A64">
      <w:pPr>
        <w:pStyle w:val="Akapitzlist"/>
        <w:numPr>
          <w:ilvl w:val="0"/>
          <w:numId w:val="34"/>
        </w:numPr>
        <w:suppressAutoHyphens/>
        <w:spacing w:line="360" w:lineRule="auto"/>
        <w:rPr>
          <w:rFonts w:ascii="Lato" w:hAnsi="Lato" w:cs="Calibri"/>
          <w:sz w:val="22"/>
          <w:szCs w:val="22"/>
          <w:lang w:eastAsia="ar-SA"/>
        </w:rPr>
      </w:pPr>
      <w:r w:rsidRPr="0068623C">
        <w:rPr>
          <w:rFonts w:ascii="Lato" w:hAnsi="Lato" w:cs="Calibri"/>
          <w:sz w:val="22"/>
          <w:szCs w:val="22"/>
          <w:lang w:eastAsia="ar-SA"/>
        </w:rPr>
        <w:t>obecność insektów,</w:t>
      </w:r>
    </w:p>
    <w:p w14:paraId="446F94D0" w14:textId="3A77C23C" w:rsidR="000C7A64" w:rsidRPr="0068623C" w:rsidRDefault="000C7A64">
      <w:pPr>
        <w:pStyle w:val="Akapitzlist"/>
        <w:numPr>
          <w:ilvl w:val="0"/>
          <w:numId w:val="34"/>
        </w:numPr>
        <w:suppressAutoHyphens/>
        <w:spacing w:line="360" w:lineRule="auto"/>
        <w:rPr>
          <w:rFonts w:ascii="Lato" w:hAnsi="Lato" w:cs="Calibri"/>
          <w:sz w:val="22"/>
          <w:szCs w:val="22"/>
          <w:lang w:eastAsia="ar-SA"/>
        </w:rPr>
      </w:pPr>
      <w:r w:rsidRPr="0068623C">
        <w:rPr>
          <w:rFonts w:ascii="Lato" w:hAnsi="Lato" w:cs="Calibri"/>
          <w:sz w:val="22"/>
          <w:szCs w:val="22"/>
          <w:lang w:eastAsia="ar-SA"/>
        </w:rPr>
        <w:t xml:space="preserve">niewłaściwe warunki gromadzenia odpadów, </w:t>
      </w:r>
    </w:p>
    <w:p w14:paraId="07ACB746" w14:textId="77777777" w:rsidR="000C7A64" w:rsidRPr="0068623C" w:rsidRDefault="000C7A64">
      <w:pPr>
        <w:pStyle w:val="Akapitzlist"/>
        <w:numPr>
          <w:ilvl w:val="0"/>
          <w:numId w:val="34"/>
        </w:numPr>
        <w:suppressAutoHyphens/>
        <w:spacing w:line="360" w:lineRule="auto"/>
        <w:rPr>
          <w:rFonts w:ascii="Lato" w:hAnsi="Lato" w:cs="Calibri"/>
          <w:sz w:val="22"/>
          <w:szCs w:val="22"/>
          <w:lang w:eastAsia="ar-SA"/>
        </w:rPr>
      </w:pPr>
      <w:r w:rsidRPr="0068623C">
        <w:rPr>
          <w:rFonts w:ascii="Lato" w:hAnsi="Lato" w:cs="Calibri"/>
          <w:sz w:val="22"/>
          <w:szCs w:val="22"/>
          <w:lang w:eastAsia="ar-SA"/>
        </w:rPr>
        <w:t>prowadzenie działalności bez decyzji zatwierdzającej zakład w zakresie żywienia wydanej przez organ Państwowej Inspekcji Sanitarnej</w:t>
      </w:r>
      <w:r w:rsidRPr="0068623C">
        <w:rPr>
          <w:rFonts w:ascii="Lato" w:hAnsi="Lato" w:cs="Calibri"/>
          <w:bCs/>
          <w:iCs/>
          <w:sz w:val="22"/>
          <w:szCs w:val="22"/>
          <w:lang w:eastAsia="ar-SA"/>
        </w:rPr>
        <w:t>.</w:t>
      </w:r>
    </w:p>
    <w:p w14:paraId="07FFA564" w14:textId="77777777" w:rsidR="000C7A64" w:rsidRPr="0068623C" w:rsidRDefault="000C7A64" w:rsidP="00A9310D">
      <w:pPr>
        <w:spacing w:line="360" w:lineRule="auto"/>
        <w:rPr>
          <w:rFonts w:ascii="Lato" w:eastAsia="Calibri" w:hAnsi="Lato" w:cs="Calibri"/>
          <w:bCs/>
          <w:sz w:val="22"/>
          <w:szCs w:val="22"/>
        </w:rPr>
      </w:pPr>
      <w:r w:rsidRPr="0068623C">
        <w:rPr>
          <w:rFonts w:ascii="Lato" w:eastAsia="Calibri" w:hAnsi="Lato" w:cs="Calibri"/>
          <w:bCs/>
          <w:sz w:val="22"/>
          <w:szCs w:val="22"/>
        </w:rPr>
        <w:t xml:space="preserve">Ponadto stwierdzono, że 1 wypoczynek w okresie ferii letnich nie został zgłoszony do bazy wypoczynku MEN, o czym poinformowano Kuratorium Oświaty w Szczecinie. </w:t>
      </w:r>
    </w:p>
    <w:p w14:paraId="39294F4F" w14:textId="2DF75BBE" w:rsidR="000C7A64" w:rsidRDefault="000C7A64" w:rsidP="00A9310D">
      <w:pPr>
        <w:spacing w:line="360" w:lineRule="auto"/>
        <w:contextualSpacing/>
        <w:rPr>
          <w:rFonts w:ascii="Lato" w:eastAsia="Calibri" w:hAnsi="Lato" w:cs="Calibri"/>
          <w:sz w:val="22"/>
          <w:szCs w:val="22"/>
          <w:lang w:eastAsia="ar-SA"/>
        </w:rPr>
      </w:pPr>
      <w:r w:rsidRPr="0068623C">
        <w:rPr>
          <w:rFonts w:ascii="Lato" w:eastAsia="Calibri" w:hAnsi="Lato" w:cs="Calibri"/>
          <w:sz w:val="22"/>
          <w:szCs w:val="22"/>
          <w:lang w:eastAsia="ar-SA"/>
        </w:rPr>
        <w:t>W celu zapewnienia właściwych warunków higieniczno-sanitarnych zobowiązano organizatorów wypoczynku do usunięcia stwierdzonych nieprawidłowości.</w:t>
      </w:r>
    </w:p>
    <w:p w14:paraId="1C4361E7" w14:textId="77777777" w:rsidR="0090516C" w:rsidRPr="0068623C" w:rsidRDefault="0090516C" w:rsidP="00A9310D">
      <w:pPr>
        <w:spacing w:line="276" w:lineRule="auto"/>
        <w:contextualSpacing/>
        <w:rPr>
          <w:rFonts w:ascii="Lato" w:eastAsia="Calibri" w:hAnsi="Lato" w:cs="Calibri"/>
          <w:sz w:val="22"/>
          <w:szCs w:val="22"/>
          <w:lang w:eastAsia="ar-SA"/>
        </w:rPr>
      </w:pPr>
    </w:p>
    <w:p w14:paraId="76567152" w14:textId="77777777" w:rsidR="00197934" w:rsidRPr="0068623C" w:rsidRDefault="00197934" w:rsidP="00A9310D">
      <w:pPr>
        <w:spacing w:after="160" w:line="278" w:lineRule="auto"/>
        <w:rPr>
          <w:rFonts w:ascii="Lato" w:eastAsiaTheme="majorEastAsia" w:hAnsi="Lato" w:cstheme="majorBidi"/>
          <w:color w:val="4C94D8" w:themeColor="text2" w:themeTint="80"/>
          <w:sz w:val="22"/>
          <w:szCs w:val="22"/>
        </w:rPr>
      </w:pPr>
      <w:r w:rsidRPr="0068623C">
        <w:rPr>
          <w:rFonts w:ascii="Lato" w:hAnsi="Lato"/>
          <w:sz w:val="22"/>
          <w:szCs w:val="22"/>
        </w:rPr>
        <w:br w:type="page"/>
      </w:r>
    </w:p>
    <w:p w14:paraId="3A945DCE" w14:textId="39865A58" w:rsidR="0034170C" w:rsidRPr="00BA2854" w:rsidRDefault="0034170C">
      <w:pPr>
        <w:pStyle w:val="Nagwek1"/>
        <w:numPr>
          <w:ilvl w:val="0"/>
          <w:numId w:val="16"/>
        </w:numPr>
        <w:rPr>
          <w:color w:val="153D63" w:themeColor="text2" w:themeTint="E6"/>
        </w:rPr>
      </w:pPr>
      <w:bookmarkStart w:id="191" w:name="_Toc225859093"/>
      <w:r w:rsidRPr="00BA2854">
        <w:rPr>
          <w:color w:val="153D63" w:themeColor="text2" w:themeTint="E6"/>
        </w:rPr>
        <w:lastRenderedPageBreak/>
        <w:t>Warunki higienicznosanitarne środowiska pracy</w:t>
      </w:r>
      <w:bookmarkEnd w:id="191"/>
    </w:p>
    <w:p w14:paraId="68DF8651" w14:textId="77777777" w:rsidR="0034170C" w:rsidRPr="003B1844" w:rsidRDefault="0034170C" w:rsidP="00774CF2">
      <w:pPr>
        <w:pStyle w:val="Nagwek2"/>
      </w:pPr>
    </w:p>
    <w:p w14:paraId="6230D380" w14:textId="189F941C" w:rsidR="0034170C" w:rsidRPr="003B1AC6" w:rsidRDefault="0034170C">
      <w:pPr>
        <w:pStyle w:val="Nagwek2"/>
        <w:numPr>
          <w:ilvl w:val="0"/>
          <w:numId w:val="1"/>
        </w:numPr>
        <w:spacing w:before="0" w:after="0"/>
        <w:ind w:left="568" w:right="284" w:hanging="284"/>
        <w:rPr>
          <w:b/>
          <w:bCs/>
          <w:color w:val="000000" w:themeColor="text1"/>
        </w:rPr>
      </w:pPr>
      <w:bookmarkStart w:id="192" w:name="_Toc225859094"/>
      <w:r w:rsidRPr="003B1AC6">
        <w:rPr>
          <w:b/>
          <w:bCs/>
          <w:color w:val="000000" w:themeColor="text1"/>
        </w:rPr>
        <w:t>Stan sanitarny zakładów pracy</w:t>
      </w:r>
      <w:bookmarkEnd w:id="192"/>
    </w:p>
    <w:p w14:paraId="062EBBEE" w14:textId="77777777" w:rsidR="0034170C" w:rsidRPr="00840981" w:rsidRDefault="0034170C" w:rsidP="0034170C">
      <w:pPr>
        <w:tabs>
          <w:tab w:val="left" w:pos="142"/>
        </w:tabs>
        <w:autoSpaceDE w:val="0"/>
        <w:autoSpaceDN w:val="0"/>
        <w:adjustRightInd w:val="0"/>
        <w:spacing w:line="276" w:lineRule="auto"/>
        <w:rPr>
          <w:rFonts w:ascii="Lato" w:hAnsi="Lato" w:cstheme="minorHAnsi"/>
          <w:b/>
          <w:bCs/>
          <w:color w:val="000000" w:themeColor="text1"/>
          <w:sz w:val="22"/>
          <w:szCs w:val="22"/>
        </w:rPr>
      </w:pPr>
    </w:p>
    <w:p w14:paraId="49EC588D" w14:textId="77777777" w:rsidR="0034170C" w:rsidRPr="00840981" w:rsidRDefault="0034170C" w:rsidP="00EA310A">
      <w:pPr>
        <w:spacing w:line="360" w:lineRule="auto"/>
        <w:rPr>
          <w:rFonts w:ascii="Lato" w:hAnsi="Lato" w:cstheme="minorHAnsi"/>
          <w:color w:val="000000" w:themeColor="text1"/>
          <w:sz w:val="22"/>
          <w:szCs w:val="22"/>
        </w:rPr>
      </w:pPr>
      <w:r w:rsidRPr="00840981">
        <w:rPr>
          <w:rFonts w:ascii="Lato" w:hAnsi="Lato" w:cstheme="minorHAnsi"/>
          <w:color w:val="000000" w:themeColor="text1"/>
          <w:sz w:val="22"/>
          <w:szCs w:val="22"/>
        </w:rPr>
        <w:t xml:space="preserve">Nadzór nad warunkami zdrowotnymi środowiska pracy, ma na celu wzmocnienie ochrony zdrowia pracowników przed niekorzystnym oddziaływaniem szkodliwych i uciążliwych czynników występujących w miejscu pracy oraz zapobieganie powstawaniu chorób (zawodowych i </w:t>
      </w:r>
      <w:proofErr w:type="spellStart"/>
      <w:r w:rsidRPr="00840981">
        <w:rPr>
          <w:rFonts w:ascii="Lato" w:hAnsi="Lato" w:cstheme="minorHAnsi"/>
          <w:color w:val="000000" w:themeColor="text1"/>
          <w:sz w:val="22"/>
          <w:szCs w:val="22"/>
        </w:rPr>
        <w:t>parazawodowych</w:t>
      </w:r>
      <w:proofErr w:type="spellEnd"/>
      <w:r w:rsidRPr="00840981">
        <w:rPr>
          <w:rFonts w:ascii="Lato" w:hAnsi="Lato" w:cstheme="minorHAnsi"/>
          <w:color w:val="000000" w:themeColor="text1"/>
          <w:sz w:val="22"/>
          <w:szCs w:val="22"/>
        </w:rPr>
        <w:t xml:space="preserve">), jak również poprawę warunków higieniczno-sanitarnych w zakładach pracy. </w:t>
      </w:r>
    </w:p>
    <w:p w14:paraId="0B0DF0D1" w14:textId="77777777" w:rsidR="0034170C" w:rsidRPr="00840981" w:rsidRDefault="0034170C" w:rsidP="00EA310A">
      <w:pPr>
        <w:spacing w:line="360" w:lineRule="auto"/>
        <w:rPr>
          <w:color w:val="000000" w:themeColor="text1"/>
          <w:sz w:val="22"/>
          <w:szCs w:val="22"/>
        </w:rPr>
      </w:pPr>
      <w:r w:rsidRPr="00840981">
        <w:rPr>
          <w:rFonts w:ascii="Lato" w:hAnsi="Lato" w:cs="Calibri"/>
          <w:color w:val="000000" w:themeColor="text1"/>
          <w:sz w:val="22"/>
          <w:szCs w:val="22"/>
        </w:rPr>
        <w:t xml:space="preserve">Odnosząc się do powyższego należy wyjaśnić, iż poza chorobami określonymi jako zawodowe, czyli wskazanymi w załączniku do rozporządzenia Rady Ministrów z dnia 30.06.2009 r. w sprawie chorób zawodowych coraz częściej wyróżnia się tzw. choroby pracownicze – </w:t>
      </w:r>
      <w:proofErr w:type="spellStart"/>
      <w:r w:rsidRPr="00840981">
        <w:rPr>
          <w:rFonts w:ascii="Lato" w:hAnsi="Lato" w:cs="Calibri"/>
          <w:color w:val="000000" w:themeColor="text1"/>
          <w:sz w:val="22"/>
          <w:szCs w:val="22"/>
        </w:rPr>
        <w:t>parazawodowe</w:t>
      </w:r>
      <w:proofErr w:type="spellEnd"/>
      <w:r w:rsidRPr="00840981">
        <w:rPr>
          <w:rFonts w:ascii="Lato" w:hAnsi="Lato" w:cs="Calibri"/>
          <w:color w:val="000000" w:themeColor="text1"/>
          <w:sz w:val="22"/>
          <w:szCs w:val="22"/>
        </w:rPr>
        <w:t>, określone w ustawie z dnia 26.06.1974 r. Kodeks Pracy jako „inne choroby związane z pracą”. Do takich chorób medycyna coraz częściej zalicza w zależności od warunków pracy m.in. nadciśnienie tętnicze, niedokrwienność serca, depresję czy nerwice, zespoły bólowe kręgosłupa, chorobę wrzodową, przewlekłe nieswoiste zapalenie stawów.</w:t>
      </w:r>
      <w:r w:rsidRPr="00840981">
        <w:rPr>
          <w:color w:val="000000" w:themeColor="text1"/>
          <w:sz w:val="22"/>
          <w:szCs w:val="22"/>
        </w:rPr>
        <w:t xml:space="preserve"> </w:t>
      </w:r>
    </w:p>
    <w:p w14:paraId="30DC425E" w14:textId="77777777" w:rsidR="0034170C" w:rsidRPr="00840981" w:rsidRDefault="0034170C" w:rsidP="00EA310A">
      <w:pPr>
        <w:spacing w:line="360" w:lineRule="auto"/>
        <w:rPr>
          <w:rFonts w:ascii="Lato" w:hAnsi="Lato" w:cstheme="minorHAnsi"/>
          <w:color w:val="EE0000"/>
          <w:sz w:val="22"/>
          <w:szCs w:val="22"/>
        </w:rPr>
      </w:pPr>
    </w:p>
    <w:p w14:paraId="0CEACBB8" w14:textId="77777777" w:rsidR="0034170C" w:rsidRPr="00840981" w:rsidRDefault="0034170C" w:rsidP="00EA310A">
      <w:pPr>
        <w:spacing w:line="360" w:lineRule="auto"/>
        <w:rPr>
          <w:rFonts w:ascii="Lato" w:hAnsi="Lato" w:cstheme="minorHAnsi"/>
          <w:color w:val="000000" w:themeColor="text1"/>
          <w:sz w:val="22"/>
          <w:szCs w:val="22"/>
        </w:rPr>
      </w:pPr>
      <w:r w:rsidRPr="00840981">
        <w:rPr>
          <w:rFonts w:ascii="Lato" w:hAnsi="Lato" w:cstheme="minorHAnsi"/>
          <w:color w:val="000000" w:themeColor="text1"/>
          <w:sz w:val="22"/>
          <w:szCs w:val="22"/>
        </w:rPr>
        <w:t>W 2025 r. w ewidencji Państwowej Inspekcji Sanitarnej na terenie woj. zachodniopomorskiego znajdowało się 9 058 zakładów pracy.</w:t>
      </w:r>
    </w:p>
    <w:p w14:paraId="269614D5" w14:textId="77777777" w:rsidR="0034170C" w:rsidRPr="00840981" w:rsidRDefault="0034170C" w:rsidP="00EA310A">
      <w:pPr>
        <w:spacing w:line="360" w:lineRule="auto"/>
        <w:rPr>
          <w:rFonts w:ascii="Lato" w:hAnsi="Lato" w:cstheme="minorHAnsi"/>
          <w:color w:val="000000" w:themeColor="text1"/>
          <w:sz w:val="22"/>
          <w:szCs w:val="22"/>
        </w:rPr>
      </w:pPr>
      <w:r w:rsidRPr="00840981">
        <w:rPr>
          <w:rFonts w:ascii="Lato" w:hAnsi="Lato" w:cstheme="minorHAnsi"/>
          <w:color w:val="000000" w:themeColor="text1"/>
          <w:sz w:val="22"/>
          <w:szCs w:val="22"/>
        </w:rPr>
        <w:t>W ramach bieżącego nadzoru sanitarnego przeprowadzono ponad 2,5 tys. kontroli podczas których sprawdzano m.in. p</w:t>
      </w:r>
      <w:r w:rsidRPr="00840981">
        <w:rPr>
          <w:rFonts w:ascii="Lato" w:hAnsi="Lato" w:cs="Calibri"/>
          <w:color w:val="000000" w:themeColor="text1"/>
          <w:sz w:val="22"/>
          <w:szCs w:val="22"/>
        </w:rPr>
        <w:t xml:space="preserve">rzestrzeganie przez pracodawców przepisów określających wymagania higieniczne i zdrowotne dotyczące higieny środowiska pracy. </w:t>
      </w:r>
    </w:p>
    <w:p w14:paraId="66A9F1B0" w14:textId="77777777" w:rsidR="0034170C" w:rsidRPr="00840981" w:rsidRDefault="0034170C" w:rsidP="00EA310A">
      <w:pPr>
        <w:spacing w:line="360" w:lineRule="auto"/>
        <w:rPr>
          <w:rFonts w:ascii="Lato" w:hAnsi="Lato" w:cstheme="minorHAnsi"/>
          <w:color w:val="000000" w:themeColor="text1"/>
          <w:sz w:val="22"/>
          <w:szCs w:val="22"/>
        </w:rPr>
      </w:pPr>
      <w:r w:rsidRPr="00840981">
        <w:rPr>
          <w:rFonts w:ascii="Lato" w:hAnsi="Lato" w:cstheme="minorHAnsi"/>
          <w:color w:val="000000" w:themeColor="text1"/>
          <w:sz w:val="22"/>
          <w:szCs w:val="22"/>
        </w:rPr>
        <w:t xml:space="preserve">Co trzecia kontrola wykazała nieprawidłowości. Dotyczyły one: </w:t>
      </w:r>
    </w:p>
    <w:p w14:paraId="20A9E3A0" w14:textId="450B6EF7" w:rsidR="0034170C" w:rsidRPr="001565CF" w:rsidRDefault="0034170C">
      <w:pPr>
        <w:pStyle w:val="Akapitzlist"/>
        <w:numPr>
          <w:ilvl w:val="0"/>
          <w:numId w:val="33"/>
        </w:numPr>
        <w:spacing w:line="360" w:lineRule="auto"/>
        <w:rPr>
          <w:rFonts w:ascii="Lato" w:hAnsi="Lato" w:cstheme="minorHAnsi"/>
          <w:color w:val="000000" w:themeColor="text1"/>
          <w:sz w:val="22"/>
          <w:szCs w:val="22"/>
        </w:rPr>
      </w:pPr>
      <w:r w:rsidRPr="001565CF">
        <w:rPr>
          <w:rFonts w:ascii="Lato" w:hAnsi="Lato" w:cstheme="minorHAnsi"/>
          <w:color w:val="000000" w:themeColor="text1"/>
          <w:sz w:val="22"/>
          <w:szCs w:val="22"/>
        </w:rPr>
        <w:t>złego stanu sanitarnego pomieszczeń pracy oraz pomieszczeń higieniczno – sanitarnych (w 302 zakładach),</w:t>
      </w:r>
    </w:p>
    <w:p w14:paraId="308E402D" w14:textId="1AB35FEC" w:rsidR="0034170C" w:rsidRPr="001565CF" w:rsidRDefault="0034170C">
      <w:pPr>
        <w:pStyle w:val="Akapitzlist"/>
        <w:numPr>
          <w:ilvl w:val="0"/>
          <w:numId w:val="33"/>
        </w:numPr>
        <w:spacing w:line="360" w:lineRule="auto"/>
        <w:rPr>
          <w:rFonts w:ascii="Lato" w:hAnsi="Lato" w:cstheme="minorHAnsi"/>
          <w:color w:val="000000" w:themeColor="text1"/>
          <w:sz w:val="22"/>
          <w:szCs w:val="22"/>
        </w:rPr>
      </w:pPr>
      <w:r w:rsidRPr="001565CF">
        <w:rPr>
          <w:rFonts w:ascii="Lato" w:hAnsi="Lato" w:cstheme="minorHAnsi"/>
          <w:color w:val="000000" w:themeColor="text1"/>
          <w:sz w:val="22"/>
          <w:szCs w:val="22"/>
        </w:rPr>
        <w:t>braku aktualnych wyników badań i pomiarów czynników szkodliwych dla zdrowia występujących na stanowiskach pracy (w 285 zakładach),</w:t>
      </w:r>
    </w:p>
    <w:p w14:paraId="5C40CA06" w14:textId="63DE63B8" w:rsidR="0034170C" w:rsidRPr="001565CF" w:rsidRDefault="0034170C">
      <w:pPr>
        <w:pStyle w:val="Akapitzlist"/>
        <w:numPr>
          <w:ilvl w:val="0"/>
          <w:numId w:val="33"/>
        </w:numPr>
        <w:spacing w:line="360" w:lineRule="auto"/>
        <w:rPr>
          <w:rFonts w:ascii="Lato" w:hAnsi="Lato" w:cstheme="minorHAnsi"/>
          <w:color w:val="000000" w:themeColor="text1"/>
          <w:sz w:val="22"/>
          <w:szCs w:val="22"/>
        </w:rPr>
      </w:pPr>
      <w:r w:rsidRPr="001565CF">
        <w:rPr>
          <w:rFonts w:ascii="Lato" w:hAnsi="Lato" w:cstheme="minorHAnsi"/>
          <w:color w:val="000000" w:themeColor="text1"/>
          <w:sz w:val="22"/>
          <w:szCs w:val="22"/>
        </w:rPr>
        <w:t>braku lub nieprawidłowej oceny ryzyka zawodowego (w 167 zakładach),</w:t>
      </w:r>
    </w:p>
    <w:p w14:paraId="3C93338D" w14:textId="6ECA7FA8" w:rsidR="0034170C" w:rsidRPr="001565CF" w:rsidRDefault="0034170C">
      <w:pPr>
        <w:pStyle w:val="Akapitzlist"/>
        <w:numPr>
          <w:ilvl w:val="0"/>
          <w:numId w:val="33"/>
        </w:numPr>
        <w:spacing w:line="360" w:lineRule="auto"/>
        <w:rPr>
          <w:rFonts w:ascii="Lato" w:hAnsi="Lato" w:cstheme="minorHAnsi"/>
          <w:color w:val="000000" w:themeColor="text1"/>
          <w:sz w:val="22"/>
          <w:szCs w:val="22"/>
        </w:rPr>
      </w:pPr>
      <w:r w:rsidRPr="001565CF">
        <w:rPr>
          <w:rFonts w:ascii="Lato" w:hAnsi="Lato" w:cstheme="minorHAnsi"/>
          <w:color w:val="000000" w:themeColor="text1"/>
          <w:sz w:val="22"/>
          <w:szCs w:val="22"/>
        </w:rPr>
        <w:t>braku rejestru prac, których wykonywanie powoduje konieczność pozostawania w kontakcie z substancjami chemicznymi, ich mieszaninami, czynnikami lub procesami technologicznymi o działaniu rakotwórczym, mutagennym lub reprotoksycznym (w 121 zakładach).</w:t>
      </w:r>
    </w:p>
    <w:p w14:paraId="762D8D39" w14:textId="77777777" w:rsidR="0034170C" w:rsidRPr="00840981" w:rsidRDefault="0034170C" w:rsidP="00EA310A">
      <w:pPr>
        <w:spacing w:line="360" w:lineRule="auto"/>
        <w:rPr>
          <w:rFonts w:ascii="Lato" w:hAnsi="Lato" w:cstheme="minorHAnsi"/>
          <w:color w:val="000000" w:themeColor="text1"/>
          <w:sz w:val="22"/>
          <w:szCs w:val="22"/>
        </w:rPr>
      </w:pPr>
      <w:r w:rsidRPr="00840981">
        <w:rPr>
          <w:rFonts w:ascii="Lato" w:hAnsi="Lato" w:cstheme="minorHAnsi"/>
          <w:color w:val="000000" w:themeColor="text1"/>
          <w:sz w:val="22"/>
          <w:szCs w:val="22"/>
        </w:rPr>
        <w:t xml:space="preserve">Ponadto w 91 zakładach stwierdzono uchybienia w zakresie substancji chemicznych i ich mieszanin, w 62 zakładach brak rejestru czynników szkodliwych oraz w 35 zakładach brak aktualnych badań lekarskich pracowników. </w:t>
      </w:r>
    </w:p>
    <w:p w14:paraId="4C8FBE37" w14:textId="7821A139" w:rsidR="0034170C" w:rsidRPr="00840981" w:rsidRDefault="0034170C" w:rsidP="00EA310A">
      <w:pPr>
        <w:spacing w:line="360" w:lineRule="auto"/>
        <w:rPr>
          <w:rFonts w:ascii="Lato" w:hAnsi="Lato" w:cs="Calibri"/>
          <w:color w:val="000000" w:themeColor="text1"/>
          <w:sz w:val="22"/>
          <w:szCs w:val="22"/>
        </w:rPr>
      </w:pPr>
      <w:r w:rsidRPr="00840981">
        <w:rPr>
          <w:rFonts w:ascii="Lato" w:hAnsi="Lato" w:cs="Calibri"/>
          <w:color w:val="000000" w:themeColor="text1"/>
          <w:sz w:val="22"/>
          <w:szCs w:val="22"/>
        </w:rPr>
        <w:lastRenderedPageBreak/>
        <w:t>Należy również wskazać, iż podczas czynności kontrolnych prowadzono działania edukacyjno-informacyjne podnoszące świadomość pracodawców i pracowników w zakresie bezpieczeństwa pracy.</w:t>
      </w:r>
    </w:p>
    <w:p w14:paraId="7EB3B1A1" w14:textId="09806947" w:rsidR="0034170C" w:rsidRPr="003B1AC6" w:rsidRDefault="0034170C">
      <w:pPr>
        <w:pStyle w:val="Nagwek2"/>
        <w:numPr>
          <w:ilvl w:val="0"/>
          <w:numId w:val="1"/>
        </w:numPr>
        <w:rPr>
          <w:b/>
          <w:bCs/>
          <w:color w:val="000000" w:themeColor="text1"/>
        </w:rPr>
      </w:pPr>
      <w:bookmarkStart w:id="193" w:name="_Toc225859095"/>
      <w:r w:rsidRPr="003B1AC6">
        <w:rPr>
          <w:b/>
          <w:bCs/>
          <w:color w:val="000000" w:themeColor="text1"/>
        </w:rPr>
        <w:t>Narażenie na czynniki szkodliwe i uciążliwe dla zdrowia w środowisku pracy</w:t>
      </w:r>
      <w:bookmarkEnd w:id="193"/>
    </w:p>
    <w:p w14:paraId="4EB25F14" w14:textId="77777777" w:rsidR="0034170C" w:rsidRPr="00840981" w:rsidRDefault="0034170C" w:rsidP="0034170C">
      <w:pPr>
        <w:spacing w:line="276" w:lineRule="auto"/>
        <w:rPr>
          <w:rFonts w:ascii="Lato" w:hAnsi="Lato" w:cstheme="minorHAnsi"/>
          <w:color w:val="EE0000"/>
          <w:sz w:val="22"/>
          <w:szCs w:val="22"/>
        </w:rPr>
      </w:pPr>
    </w:p>
    <w:p w14:paraId="2BF66A31" w14:textId="77777777" w:rsidR="0034170C" w:rsidRPr="00840981" w:rsidRDefault="0034170C" w:rsidP="00EA310A">
      <w:pPr>
        <w:spacing w:line="360" w:lineRule="auto"/>
        <w:rPr>
          <w:rFonts w:ascii="Lato" w:hAnsi="Lato" w:cstheme="minorHAnsi"/>
          <w:color w:val="EE0000"/>
          <w:sz w:val="22"/>
          <w:szCs w:val="22"/>
        </w:rPr>
      </w:pPr>
      <w:r w:rsidRPr="00840981">
        <w:rPr>
          <w:rFonts w:ascii="Lato" w:hAnsi="Lato" w:cstheme="minorHAnsi"/>
          <w:color w:val="000000" w:themeColor="text1"/>
          <w:sz w:val="22"/>
          <w:szCs w:val="22"/>
        </w:rPr>
        <w:t xml:space="preserve">W zależności od charakteru pracy, rodzaju produkcji czy technologii, w zakładach pracy występują zagrożenia związane z czynnikami szkodliwymi dla zdrowia, których oddziaływanie może prowadzić do powstania schorzeń, w tym chorób zawodowych. Ogółem w roku 2025 </w:t>
      </w:r>
    </w:p>
    <w:p w14:paraId="771D9084" w14:textId="5CB69178" w:rsidR="0034170C" w:rsidRDefault="0034170C" w:rsidP="00EA310A">
      <w:pPr>
        <w:spacing w:line="360" w:lineRule="auto"/>
        <w:rPr>
          <w:rFonts w:ascii="Lato" w:hAnsi="Lato" w:cstheme="minorHAnsi"/>
          <w:color w:val="000000" w:themeColor="text1"/>
          <w:sz w:val="22"/>
          <w:szCs w:val="22"/>
        </w:rPr>
      </w:pPr>
      <w:r w:rsidRPr="00840981">
        <w:rPr>
          <w:rFonts w:ascii="Lato" w:hAnsi="Lato" w:cstheme="minorHAnsi"/>
          <w:color w:val="000000" w:themeColor="text1"/>
          <w:sz w:val="22"/>
          <w:szCs w:val="22"/>
        </w:rPr>
        <w:t>w 766 zakładach będących w ewidencji Państwowej Inspekcji Sanitarnej na terenie woj. zachodniopomorskiego, występowały przekroczenia najwyższych dopuszczalnych stężeń (NDS) i natężeń (NDN) czynników szkodliwych dla zdrowia. Narażonych na czynniki szkodliwe było ponad 14 ty</w:t>
      </w:r>
      <w:r w:rsidR="00C15E02">
        <w:rPr>
          <w:rFonts w:ascii="Lato" w:hAnsi="Lato" w:cstheme="minorHAnsi"/>
          <w:color w:val="000000" w:themeColor="text1"/>
          <w:sz w:val="22"/>
          <w:szCs w:val="22"/>
        </w:rPr>
        <w:t>s</w:t>
      </w:r>
      <w:r w:rsidRPr="00840981">
        <w:rPr>
          <w:rFonts w:ascii="Lato" w:hAnsi="Lato" w:cstheme="minorHAnsi"/>
          <w:color w:val="000000" w:themeColor="text1"/>
          <w:sz w:val="22"/>
          <w:szCs w:val="22"/>
        </w:rPr>
        <w:t xml:space="preserve">. pracowników, w tym przeprowadzona analiza narażenia zawodowego na terenie województwa zachodniopomorskiego wykazała, że część pracowników narażona była na kilka czynników szkodliwych dla zdrowia w stężeniach i natężeniach przekraczających normatywy higieniczne. </w:t>
      </w:r>
    </w:p>
    <w:p w14:paraId="6660565C" w14:textId="77777777" w:rsidR="00DA76DA" w:rsidRPr="00840981" w:rsidRDefault="00DA76DA" w:rsidP="0034170C">
      <w:pPr>
        <w:spacing w:line="276" w:lineRule="auto"/>
        <w:rPr>
          <w:rFonts w:ascii="Lato" w:hAnsi="Lato" w:cstheme="minorHAnsi"/>
          <w:color w:val="000000" w:themeColor="text1"/>
          <w:sz w:val="22"/>
          <w:szCs w:val="22"/>
        </w:rPr>
      </w:pPr>
    </w:p>
    <w:p w14:paraId="6822B3FF" w14:textId="684EE819" w:rsidR="0009185E" w:rsidRPr="0009185E" w:rsidRDefault="0009185E" w:rsidP="0009185E">
      <w:pPr>
        <w:pStyle w:val="Legenda"/>
        <w:rPr>
          <w:rFonts w:ascii="Lato" w:hAnsi="Lato"/>
          <w:b w:val="0"/>
          <w:bCs w:val="0"/>
          <w:sz w:val="18"/>
          <w:szCs w:val="18"/>
        </w:rPr>
      </w:pPr>
      <w:bookmarkStart w:id="194" w:name="_Toc225859351"/>
      <w:bookmarkStart w:id="195" w:name="_Toc225922354"/>
      <w:r w:rsidRPr="0009185E">
        <w:rPr>
          <w:rFonts w:ascii="Lato" w:hAnsi="Lato"/>
          <w:b w:val="0"/>
          <w:bCs w:val="0"/>
          <w:sz w:val="18"/>
          <w:szCs w:val="18"/>
        </w:rPr>
        <w:t xml:space="preserve">Wykres  </w:t>
      </w:r>
      <w:r w:rsidRPr="0009185E">
        <w:rPr>
          <w:rFonts w:ascii="Lato" w:hAnsi="Lato"/>
          <w:b w:val="0"/>
          <w:bCs w:val="0"/>
          <w:sz w:val="18"/>
          <w:szCs w:val="18"/>
        </w:rPr>
        <w:fldChar w:fldCharType="begin"/>
      </w:r>
      <w:r w:rsidRPr="0009185E">
        <w:rPr>
          <w:rFonts w:ascii="Lato" w:hAnsi="Lato"/>
          <w:b w:val="0"/>
          <w:bCs w:val="0"/>
          <w:sz w:val="18"/>
          <w:szCs w:val="18"/>
        </w:rPr>
        <w:instrText xml:space="preserve"> SEQ Wykres_ \* ARABIC </w:instrText>
      </w:r>
      <w:r w:rsidRPr="0009185E">
        <w:rPr>
          <w:rFonts w:ascii="Lato" w:hAnsi="Lato"/>
          <w:b w:val="0"/>
          <w:bCs w:val="0"/>
          <w:sz w:val="18"/>
          <w:szCs w:val="18"/>
        </w:rPr>
        <w:fldChar w:fldCharType="separate"/>
      </w:r>
      <w:r w:rsidR="002A3179">
        <w:rPr>
          <w:rFonts w:ascii="Lato" w:hAnsi="Lato"/>
          <w:b w:val="0"/>
          <w:bCs w:val="0"/>
          <w:noProof/>
          <w:sz w:val="18"/>
          <w:szCs w:val="18"/>
        </w:rPr>
        <w:t>9</w:t>
      </w:r>
      <w:r w:rsidRPr="0009185E">
        <w:rPr>
          <w:rFonts w:ascii="Lato" w:hAnsi="Lato"/>
          <w:b w:val="0"/>
          <w:bCs w:val="0"/>
          <w:sz w:val="18"/>
          <w:szCs w:val="18"/>
        </w:rPr>
        <w:fldChar w:fldCharType="end"/>
      </w:r>
      <w:r w:rsidRPr="0009185E">
        <w:rPr>
          <w:rFonts w:ascii="Lato" w:hAnsi="Lato"/>
          <w:b w:val="0"/>
          <w:bCs w:val="0"/>
          <w:sz w:val="18"/>
          <w:szCs w:val="18"/>
        </w:rPr>
        <w:t xml:space="preserve"> Liczba pracowników pracujących w przekroczeniach NDS/NDN czynników szkodliwych w środowisku pracy w roku 2025.</w:t>
      </w:r>
      <w:bookmarkEnd w:id="194"/>
      <w:bookmarkEnd w:id="195"/>
    </w:p>
    <w:p w14:paraId="1A82871D" w14:textId="563BF696" w:rsidR="0034170C" w:rsidRPr="00BB733C" w:rsidRDefault="0034170C" w:rsidP="00E63792">
      <w:pPr>
        <w:pStyle w:val="Legenda"/>
        <w:jc w:val="center"/>
        <w:rPr>
          <w:rFonts w:ascii="Lato" w:hAnsi="Lato" w:cstheme="minorHAnsi"/>
          <w:color w:val="EE0000"/>
        </w:rPr>
      </w:pPr>
      <w:r w:rsidRPr="00BB733C">
        <w:rPr>
          <w:noProof/>
          <w:color w:val="EE0000"/>
        </w:rPr>
        <w:drawing>
          <wp:inline distT="0" distB="0" distL="0" distR="0" wp14:anchorId="2EC3E195" wp14:editId="611718AB">
            <wp:extent cx="2899410" cy="2091055"/>
            <wp:effectExtent l="0" t="0" r="0" b="4445"/>
            <wp:docPr id="819393493" name="Wykres 1" descr="&#10;Wykres 8. Liczba pracowników pracujący w przekroczeniach NDS/NDN czynników szkodliwych w środowisku pracy w roku 2025.&#10;">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86306A" w14:textId="291688E3" w:rsidR="0034170C" w:rsidRPr="00BB733C" w:rsidRDefault="0034170C" w:rsidP="0034170C">
      <w:pPr>
        <w:spacing w:line="276" w:lineRule="auto"/>
        <w:rPr>
          <w:rFonts w:ascii="Lato" w:hAnsi="Lato" w:cstheme="minorHAnsi"/>
          <w:color w:val="EE0000"/>
          <w:sz w:val="20"/>
          <w:szCs w:val="20"/>
        </w:rPr>
      </w:pPr>
    </w:p>
    <w:p w14:paraId="3F597ED4" w14:textId="77777777" w:rsidR="00E63792" w:rsidRDefault="00E63792" w:rsidP="0034170C">
      <w:pPr>
        <w:spacing w:line="276" w:lineRule="auto"/>
        <w:rPr>
          <w:rFonts w:ascii="Lato" w:hAnsi="Lato" w:cstheme="minorHAnsi"/>
          <w:color w:val="000000" w:themeColor="text1"/>
          <w:sz w:val="22"/>
          <w:szCs w:val="22"/>
        </w:rPr>
      </w:pPr>
    </w:p>
    <w:p w14:paraId="7B950E29" w14:textId="2A8C546B" w:rsidR="0034170C" w:rsidRDefault="0034170C" w:rsidP="00EA310A">
      <w:pPr>
        <w:spacing w:line="360" w:lineRule="auto"/>
        <w:rPr>
          <w:rFonts w:ascii="Lato" w:hAnsi="Lato" w:cstheme="minorHAnsi"/>
          <w:color w:val="000000" w:themeColor="text1"/>
          <w:sz w:val="22"/>
          <w:szCs w:val="22"/>
        </w:rPr>
      </w:pPr>
      <w:r w:rsidRPr="009D1DF8">
        <w:rPr>
          <w:rFonts w:ascii="Lato" w:hAnsi="Lato" w:cstheme="minorHAnsi"/>
          <w:color w:val="000000" w:themeColor="text1"/>
          <w:sz w:val="22"/>
          <w:szCs w:val="22"/>
        </w:rPr>
        <w:t xml:space="preserve">Do grupy czynników szkodliwych, na które narażona była największa liczba osób pracujących, tak jak w </w:t>
      </w:r>
      <w:r>
        <w:rPr>
          <w:rFonts w:ascii="Lato" w:hAnsi="Lato" w:cstheme="minorHAnsi"/>
          <w:color w:val="000000" w:themeColor="text1"/>
          <w:sz w:val="22"/>
          <w:szCs w:val="22"/>
        </w:rPr>
        <w:t>poprzednich</w:t>
      </w:r>
      <w:r w:rsidRPr="009D1DF8">
        <w:rPr>
          <w:rFonts w:ascii="Lato" w:hAnsi="Lato" w:cstheme="minorHAnsi"/>
          <w:color w:val="000000" w:themeColor="text1"/>
          <w:sz w:val="22"/>
          <w:szCs w:val="22"/>
        </w:rPr>
        <w:t xml:space="preserve"> latach, należały czynniki fizyczne (</w:t>
      </w:r>
      <w:r w:rsidR="002D163F">
        <w:rPr>
          <w:rFonts w:ascii="Lato" w:hAnsi="Lato" w:cstheme="minorHAnsi"/>
          <w:color w:val="000000" w:themeColor="text1"/>
          <w:sz w:val="22"/>
          <w:szCs w:val="22"/>
        </w:rPr>
        <w:t>wyk</w:t>
      </w:r>
      <w:r w:rsidR="005B25C1">
        <w:rPr>
          <w:rFonts w:ascii="Lato" w:hAnsi="Lato" w:cstheme="minorHAnsi"/>
          <w:color w:val="000000" w:themeColor="text1"/>
          <w:sz w:val="22"/>
          <w:szCs w:val="22"/>
        </w:rPr>
        <w:t>res</w:t>
      </w:r>
      <w:r w:rsidRPr="009D1DF8">
        <w:rPr>
          <w:rFonts w:ascii="Lato" w:hAnsi="Lato" w:cstheme="minorHAnsi"/>
          <w:color w:val="000000" w:themeColor="text1"/>
          <w:sz w:val="22"/>
          <w:szCs w:val="22"/>
        </w:rPr>
        <w:t xml:space="preserve"> </w:t>
      </w:r>
      <w:r w:rsidR="00241110">
        <w:rPr>
          <w:rFonts w:ascii="Lato" w:hAnsi="Lato" w:cstheme="minorHAnsi"/>
          <w:color w:val="000000" w:themeColor="text1"/>
          <w:sz w:val="22"/>
          <w:szCs w:val="22"/>
        </w:rPr>
        <w:t>9</w:t>
      </w:r>
      <w:r w:rsidRPr="009D1DF8">
        <w:rPr>
          <w:rFonts w:ascii="Lato" w:hAnsi="Lato" w:cstheme="minorHAnsi"/>
          <w:color w:val="000000" w:themeColor="text1"/>
          <w:sz w:val="22"/>
          <w:szCs w:val="22"/>
        </w:rPr>
        <w:t xml:space="preserve">), w tym głównie hałas. </w:t>
      </w:r>
    </w:p>
    <w:p w14:paraId="4DEC7F50" w14:textId="266B20E3" w:rsidR="0034170C" w:rsidRPr="009845AF" w:rsidRDefault="0034170C" w:rsidP="00EA310A">
      <w:pPr>
        <w:spacing w:line="360" w:lineRule="auto"/>
        <w:rPr>
          <w:rFonts w:ascii="Lato" w:hAnsi="Lato" w:cstheme="minorHAnsi"/>
          <w:color w:val="EE0000"/>
          <w:sz w:val="22"/>
          <w:szCs w:val="22"/>
        </w:rPr>
      </w:pPr>
      <w:r w:rsidRPr="009845AF">
        <w:rPr>
          <w:rFonts w:ascii="Lato" w:hAnsi="Lato" w:cstheme="minorHAnsi"/>
          <w:color w:val="000000" w:themeColor="text1"/>
          <w:sz w:val="22"/>
          <w:szCs w:val="22"/>
        </w:rPr>
        <w:t>Pozytywnym zjawiskiem</w:t>
      </w:r>
      <w:r w:rsidR="00C62F30">
        <w:rPr>
          <w:rFonts w:ascii="Lato" w:hAnsi="Lato" w:cstheme="minorHAnsi"/>
          <w:color w:val="000000" w:themeColor="text1"/>
          <w:sz w:val="22"/>
          <w:szCs w:val="22"/>
        </w:rPr>
        <w:t>, które</w:t>
      </w:r>
      <w:r w:rsidRPr="009845AF">
        <w:rPr>
          <w:rFonts w:ascii="Lato" w:hAnsi="Lato" w:cstheme="minorHAnsi"/>
          <w:color w:val="000000" w:themeColor="text1"/>
          <w:sz w:val="22"/>
          <w:szCs w:val="22"/>
        </w:rPr>
        <w:t xml:space="preserve"> zaobserwowano w 202</w:t>
      </w:r>
      <w:r w:rsidR="00C62F30">
        <w:rPr>
          <w:rFonts w:ascii="Lato" w:hAnsi="Lato" w:cstheme="minorHAnsi"/>
          <w:color w:val="000000" w:themeColor="text1"/>
          <w:sz w:val="22"/>
          <w:szCs w:val="22"/>
        </w:rPr>
        <w:t>5</w:t>
      </w:r>
      <w:r w:rsidRPr="009845AF">
        <w:rPr>
          <w:rFonts w:ascii="Lato" w:hAnsi="Lato" w:cstheme="minorHAnsi"/>
          <w:color w:val="000000" w:themeColor="text1"/>
          <w:sz w:val="22"/>
          <w:szCs w:val="22"/>
        </w:rPr>
        <w:t xml:space="preserve"> </w:t>
      </w:r>
      <w:r w:rsidR="0077038F" w:rsidRPr="009845AF">
        <w:rPr>
          <w:rFonts w:ascii="Lato" w:hAnsi="Lato" w:cstheme="minorHAnsi"/>
          <w:color w:val="000000" w:themeColor="text1"/>
          <w:sz w:val="22"/>
          <w:szCs w:val="22"/>
        </w:rPr>
        <w:t>roku</w:t>
      </w:r>
      <w:r w:rsidR="0077038F">
        <w:rPr>
          <w:rFonts w:ascii="Lato" w:hAnsi="Lato" w:cstheme="minorHAnsi"/>
          <w:color w:val="000000" w:themeColor="text1"/>
          <w:sz w:val="22"/>
          <w:szCs w:val="22"/>
        </w:rPr>
        <w:t>,</w:t>
      </w:r>
      <w:r w:rsidR="0077038F" w:rsidRPr="009845AF">
        <w:rPr>
          <w:rFonts w:ascii="Lato" w:hAnsi="Lato" w:cstheme="minorHAnsi"/>
          <w:color w:val="000000" w:themeColor="text1"/>
          <w:sz w:val="22"/>
          <w:szCs w:val="22"/>
        </w:rPr>
        <w:t xml:space="preserve"> </w:t>
      </w:r>
      <w:r w:rsidRPr="009845AF">
        <w:rPr>
          <w:rFonts w:ascii="Lato" w:hAnsi="Lato" w:cstheme="minorHAnsi"/>
          <w:color w:val="000000" w:themeColor="text1"/>
          <w:sz w:val="22"/>
          <w:szCs w:val="22"/>
        </w:rPr>
        <w:t>jest zmniejszenie liczby pracowników naraż</w:t>
      </w:r>
      <w:r w:rsidR="0077038F">
        <w:rPr>
          <w:rFonts w:ascii="Lato" w:hAnsi="Lato" w:cstheme="minorHAnsi"/>
          <w:color w:val="000000" w:themeColor="text1"/>
          <w:sz w:val="22"/>
          <w:szCs w:val="22"/>
        </w:rPr>
        <w:t>onych</w:t>
      </w:r>
      <w:r w:rsidRPr="009845AF">
        <w:rPr>
          <w:rFonts w:ascii="Lato" w:hAnsi="Lato" w:cstheme="minorHAnsi"/>
          <w:color w:val="000000" w:themeColor="text1"/>
          <w:sz w:val="22"/>
          <w:szCs w:val="22"/>
        </w:rPr>
        <w:t xml:space="preserve"> na</w:t>
      </w:r>
      <w:r w:rsidR="00C62F30">
        <w:rPr>
          <w:rFonts w:ascii="Lato" w:hAnsi="Lato" w:cstheme="minorHAnsi"/>
          <w:color w:val="000000" w:themeColor="text1"/>
          <w:sz w:val="22"/>
          <w:szCs w:val="22"/>
        </w:rPr>
        <w:t xml:space="preserve"> czynniki szkodliwe powyżej normatywów higienicznych</w:t>
      </w:r>
      <w:r w:rsidRPr="009845AF">
        <w:rPr>
          <w:rFonts w:ascii="Lato" w:hAnsi="Lato" w:cstheme="minorHAnsi"/>
          <w:color w:val="000000" w:themeColor="text1"/>
          <w:sz w:val="22"/>
          <w:szCs w:val="22"/>
        </w:rPr>
        <w:t>.</w:t>
      </w:r>
    </w:p>
    <w:p w14:paraId="04DCEFF1" w14:textId="50CBDB3D" w:rsidR="0034170C" w:rsidRPr="009845AF" w:rsidRDefault="0077038F" w:rsidP="00EA310A">
      <w:pPr>
        <w:spacing w:line="360" w:lineRule="auto"/>
        <w:rPr>
          <w:rFonts w:ascii="Lato" w:hAnsi="Lato" w:cstheme="minorHAnsi"/>
          <w:color w:val="000000" w:themeColor="text1"/>
          <w:sz w:val="22"/>
          <w:szCs w:val="22"/>
        </w:rPr>
      </w:pPr>
      <w:r>
        <w:rPr>
          <w:rFonts w:ascii="Lato" w:hAnsi="Lato" w:cstheme="minorHAnsi"/>
          <w:color w:val="000000" w:themeColor="text1"/>
          <w:sz w:val="22"/>
          <w:szCs w:val="22"/>
        </w:rPr>
        <w:t>Na</w:t>
      </w:r>
      <w:r w:rsidR="0034170C" w:rsidRPr="009845AF">
        <w:rPr>
          <w:rFonts w:ascii="Lato" w:hAnsi="Lato" w:cstheme="minorHAnsi"/>
          <w:color w:val="000000" w:themeColor="text1"/>
          <w:sz w:val="22"/>
          <w:szCs w:val="22"/>
        </w:rPr>
        <w:t xml:space="preserve">jwiększe narażenie na czynniki szkodliwe </w:t>
      </w:r>
      <w:r w:rsidRPr="009845AF">
        <w:rPr>
          <w:rFonts w:ascii="Lato" w:hAnsi="Lato" w:cstheme="minorHAnsi"/>
          <w:color w:val="000000" w:themeColor="text1"/>
          <w:sz w:val="22"/>
          <w:szCs w:val="22"/>
        </w:rPr>
        <w:t xml:space="preserve">w woj. zachodniopomorskim </w:t>
      </w:r>
      <w:r w:rsidR="0034170C" w:rsidRPr="009845AF">
        <w:rPr>
          <w:rFonts w:ascii="Lato" w:hAnsi="Lato" w:cstheme="minorHAnsi"/>
          <w:color w:val="000000" w:themeColor="text1"/>
          <w:sz w:val="22"/>
          <w:szCs w:val="22"/>
        </w:rPr>
        <w:t>występuję w zakładach produkujących</w:t>
      </w:r>
      <w:r w:rsidR="0034170C">
        <w:rPr>
          <w:rFonts w:ascii="Lato" w:hAnsi="Lato" w:cstheme="minorHAnsi"/>
          <w:color w:val="000000" w:themeColor="text1"/>
          <w:sz w:val="22"/>
          <w:szCs w:val="22"/>
        </w:rPr>
        <w:t xml:space="preserve"> (</w:t>
      </w:r>
      <w:r w:rsidR="002D163F">
        <w:rPr>
          <w:rFonts w:ascii="Lato" w:hAnsi="Lato" w:cstheme="minorHAnsi"/>
          <w:color w:val="000000" w:themeColor="text1"/>
          <w:sz w:val="22"/>
          <w:szCs w:val="22"/>
        </w:rPr>
        <w:t>wyk</w:t>
      </w:r>
      <w:r w:rsidR="005B25C1">
        <w:rPr>
          <w:rFonts w:ascii="Lato" w:hAnsi="Lato" w:cstheme="minorHAnsi"/>
          <w:color w:val="000000" w:themeColor="text1"/>
          <w:sz w:val="22"/>
          <w:szCs w:val="22"/>
        </w:rPr>
        <w:t>res</w:t>
      </w:r>
      <w:r w:rsidR="0034170C">
        <w:rPr>
          <w:rFonts w:ascii="Lato" w:hAnsi="Lato" w:cstheme="minorHAnsi"/>
          <w:color w:val="000000" w:themeColor="text1"/>
          <w:sz w:val="22"/>
          <w:szCs w:val="22"/>
        </w:rPr>
        <w:t xml:space="preserve"> </w:t>
      </w:r>
      <w:r w:rsidR="00241110">
        <w:rPr>
          <w:rFonts w:ascii="Lato" w:hAnsi="Lato" w:cstheme="minorHAnsi"/>
          <w:color w:val="000000" w:themeColor="text1"/>
          <w:sz w:val="22"/>
          <w:szCs w:val="22"/>
        </w:rPr>
        <w:t>10</w:t>
      </w:r>
      <w:r w:rsidR="0034170C">
        <w:rPr>
          <w:rFonts w:ascii="Lato" w:hAnsi="Lato" w:cstheme="minorHAnsi"/>
          <w:color w:val="000000" w:themeColor="text1"/>
          <w:sz w:val="22"/>
          <w:szCs w:val="22"/>
        </w:rPr>
        <w:t>)</w:t>
      </w:r>
      <w:r w:rsidR="0034170C" w:rsidRPr="009845AF">
        <w:rPr>
          <w:rFonts w:ascii="Lato" w:hAnsi="Lato" w:cstheme="minorHAnsi"/>
          <w:color w:val="000000" w:themeColor="text1"/>
          <w:sz w:val="22"/>
          <w:szCs w:val="22"/>
        </w:rPr>
        <w:t>:</w:t>
      </w:r>
    </w:p>
    <w:p w14:paraId="2AED95CB" w14:textId="4DC91D73" w:rsidR="0034170C" w:rsidRPr="001565CF" w:rsidRDefault="0034170C">
      <w:pPr>
        <w:pStyle w:val="Akapitzlist"/>
        <w:numPr>
          <w:ilvl w:val="0"/>
          <w:numId w:val="32"/>
        </w:numPr>
        <w:spacing w:line="360" w:lineRule="auto"/>
        <w:rPr>
          <w:rFonts w:ascii="Lato" w:hAnsi="Lato" w:cstheme="minorHAnsi"/>
          <w:color w:val="000000" w:themeColor="text1"/>
          <w:sz w:val="22"/>
          <w:szCs w:val="22"/>
        </w:rPr>
      </w:pPr>
      <w:r w:rsidRPr="001565CF">
        <w:rPr>
          <w:rFonts w:ascii="Lato" w:hAnsi="Lato" w:cstheme="minorHAnsi"/>
          <w:color w:val="000000" w:themeColor="text1"/>
          <w:sz w:val="22"/>
          <w:szCs w:val="22"/>
        </w:rPr>
        <w:t>wyroby z drewna;</w:t>
      </w:r>
    </w:p>
    <w:p w14:paraId="77984AC9" w14:textId="1C61467F" w:rsidR="0034170C" w:rsidRPr="001565CF" w:rsidRDefault="0034170C">
      <w:pPr>
        <w:pStyle w:val="Akapitzlist"/>
        <w:numPr>
          <w:ilvl w:val="0"/>
          <w:numId w:val="32"/>
        </w:numPr>
        <w:spacing w:line="360" w:lineRule="auto"/>
        <w:rPr>
          <w:rFonts w:ascii="Lato" w:hAnsi="Lato" w:cstheme="minorHAnsi"/>
          <w:color w:val="000000" w:themeColor="text1"/>
          <w:sz w:val="22"/>
          <w:szCs w:val="22"/>
        </w:rPr>
      </w:pPr>
      <w:r w:rsidRPr="001565CF">
        <w:rPr>
          <w:rFonts w:ascii="Lato" w:hAnsi="Lato" w:cstheme="minorHAnsi"/>
          <w:color w:val="000000" w:themeColor="text1"/>
          <w:sz w:val="22"/>
          <w:szCs w:val="22"/>
        </w:rPr>
        <w:t>meble;</w:t>
      </w:r>
    </w:p>
    <w:p w14:paraId="2879EA25" w14:textId="7F755274" w:rsidR="0034170C" w:rsidRPr="001565CF" w:rsidRDefault="0034170C">
      <w:pPr>
        <w:pStyle w:val="Akapitzlist"/>
        <w:numPr>
          <w:ilvl w:val="0"/>
          <w:numId w:val="32"/>
        </w:numPr>
        <w:spacing w:line="360" w:lineRule="auto"/>
        <w:rPr>
          <w:rFonts w:ascii="Lato" w:hAnsi="Lato" w:cstheme="minorHAnsi"/>
          <w:color w:val="000000" w:themeColor="text1"/>
          <w:sz w:val="22"/>
          <w:szCs w:val="22"/>
        </w:rPr>
      </w:pPr>
      <w:r w:rsidRPr="001565CF">
        <w:rPr>
          <w:rFonts w:ascii="Lato" w:hAnsi="Lato" w:cstheme="minorHAnsi"/>
          <w:color w:val="000000" w:themeColor="text1"/>
          <w:sz w:val="22"/>
          <w:szCs w:val="22"/>
        </w:rPr>
        <w:lastRenderedPageBreak/>
        <w:t>gotowe wyroby metalowe;</w:t>
      </w:r>
    </w:p>
    <w:p w14:paraId="469B01F2" w14:textId="77777777" w:rsidR="001565CF" w:rsidRDefault="0034170C">
      <w:pPr>
        <w:pStyle w:val="Akapitzlist"/>
        <w:numPr>
          <w:ilvl w:val="0"/>
          <w:numId w:val="32"/>
        </w:numPr>
        <w:spacing w:line="360" w:lineRule="auto"/>
        <w:rPr>
          <w:rFonts w:ascii="Lato" w:hAnsi="Lato" w:cstheme="minorHAnsi"/>
          <w:color w:val="000000" w:themeColor="text1"/>
          <w:sz w:val="22"/>
          <w:szCs w:val="22"/>
        </w:rPr>
      </w:pPr>
      <w:r w:rsidRPr="001565CF">
        <w:rPr>
          <w:rFonts w:ascii="Lato" w:hAnsi="Lato" w:cstheme="minorHAnsi"/>
          <w:color w:val="000000" w:themeColor="text1"/>
          <w:sz w:val="22"/>
          <w:szCs w:val="22"/>
        </w:rPr>
        <w:t>artykuły spożywcze;</w:t>
      </w:r>
    </w:p>
    <w:p w14:paraId="0A59112E" w14:textId="7258755A" w:rsidR="0034170C" w:rsidRPr="001565CF" w:rsidRDefault="0034170C">
      <w:pPr>
        <w:pStyle w:val="Akapitzlist"/>
        <w:numPr>
          <w:ilvl w:val="0"/>
          <w:numId w:val="32"/>
        </w:numPr>
        <w:spacing w:line="360" w:lineRule="auto"/>
        <w:rPr>
          <w:rFonts w:ascii="Lato" w:hAnsi="Lato" w:cstheme="minorHAnsi"/>
          <w:color w:val="000000" w:themeColor="text1"/>
          <w:sz w:val="22"/>
          <w:szCs w:val="22"/>
        </w:rPr>
      </w:pPr>
      <w:r w:rsidRPr="001565CF">
        <w:rPr>
          <w:rFonts w:ascii="Lato" w:hAnsi="Lato" w:cstheme="minorHAnsi"/>
          <w:color w:val="000000" w:themeColor="text1"/>
          <w:sz w:val="22"/>
          <w:szCs w:val="22"/>
        </w:rPr>
        <w:t xml:space="preserve"> wyroby z tworzyw sztucznych.</w:t>
      </w:r>
    </w:p>
    <w:p w14:paraId="3C0B91EC" w14:textId="77777777" w:rsidR="0034170C" w:rsidRPr="00BB733C" w:rsidRDefault="0034170C" w:rsidP="0034170C">
      <w:pPr>
        <w:spacing w:line="276" w:lineRule="auto"/>
        <w:rPr>
          <w:rFonts w:ascii="Lato" w:hAnsi="Lato"/>
          <w:noProof/>
          <w:color w:val="EE0000"/>
          <w:sz w:val="20"/>
          <w:szCs w:val="20"/>
        </w:rPr>
      </w:pPr>
    </w:p>
    <w:p w14:paraId="7F88BFE1" w14:textId="4D6383AA" w:rsidR="0034170C" w:rsidRPr="00A53E3D" w:rsidRDefault="00A53E3D" w:rsidP="00A53E3D">
      <w:pPr>
        <w:pStyle w:val="Legenda"/>
        <w:rPr>
          <w:rFonts w:ascii="Lato" w:hAnsi="Lato" w:cstheme="minorHAnsi"/>
          <w:b w:val="0"/>
          <w:bCs w:val="0"/>
          <w:color w:val="EE0000"/>
          <w:sz w:val="18"/>
          <w:szCs w:val="18"/>
        </w:rPr>
      </w:pPr>
      <w:bookmarkStart w:id="196" w:name="_Toc225859352"/>
      <w:bookmarkStart w:id="197" w:name="_Toc225922355"/>
      <w:r w:rsidRPr="00A53E3D">
        <w:rPr>
          <w:rFonts w:ascii="Lato" w:hAnsi="Lato"/>
          <w:b w:val="0"/>
          <w:bCs w:val="0"/>
          <w:sz w:val="18"/>
          <w:szCs w:val="18"/>
        </w:rPr>
        <w:t xml:space="preserve">Wykres  </w:t>
      </w:r>
      <w:r w:rsidRPr="00A53E3D">
        <w:rPr>
          <w:rFonts w:ascii="Lato" w:hAnsi="Lato"/>
          <w:b w:val="0"/>
          <w:bCs w:val="0"/>
          <w:sz w:val="18"/>
          <w:szCs w:val="18"/>
        </w:rPr>
        <w:fldChar w:fldCharType="begin"/>
      </w:r>
      <w:r w:rsidRPr="00A53E3D">
        <w:rPr>
          <w:rFonts w:ascii="Lato" w:hAnsi="Lato"/>
          <w:b w:val="0"/>
          <w:bCs w:val="0"/>
          <w:sz w:val="18"/>
          <w:szCs w:val="18"/>
        </w:rPr>
        <w:instrText xml:space="preserve"> SEQ Wykres_ \* ARABIC </w:instrText>
      </w:r>
      <w:r w:rsidRPr="00A53E3D">
        <w:rPr>
          <w:rFonts w:ascii="Lato" w:hAnsi="Lato"/>
          <w:b w:val="0"/>
          <w:bCs w:val="0"/>
          <w:sz w:val="18"/>
          <w:szCs w:val="18"/>
        </w:rPr>
        <w:fldChar w:fldCharType="separate"/>
      </w:r>
      <w:r w:rsidR="002A3179">
        <w:rPr>
          <w:rFonts w:ascii="Lato" w:hAnsi="Lato"/>
          <w:b w:val="0"/>
          <w:bCs w:val="0"/>
          <w:noProof/>
          <w:sz w:val="18"/>
          <w:szCs w:val="18"/>
        </w:rPr>
        <w:t>10</w:t>
      </w:r>
      <w:r w:rsidRPr="00A53E3D">
        <w:rPr>
          <w:rFonts w:ascii="Lato" w:hAnsi="Lato"/>
          <w:b w:val="0"/>
          <w:bCs w:val="0"/>
          <w:sz w:val="18"/>
          <w:szCs w:val="18"/>
        </w:rPr>
        <w:fldChar w:fldCharType="end"/>
      </w:r>
      <w:r w:rsidRPr="00A53E3D">
        <w:rPr>
          <w:rFonts w:ascii="Lato" w:hAnsi="Lato"/>
          <w:b w:val="0"/>
          <w:bCs w:val="0"/>
          <w:sz w:val="18"/>
          <w:szCs w:val="18"/>
        </w:rPr>
        <w:t>. Branże, w których udział pracowników zatrudnionych w warunkach przekroczenia NDS/NDN był największy.</w:t>
      </w:r>
      <w:bookmarkEnd w:id="196"/>
      <w:bookmarkEnd w:id="197"/>
    </w:p>
    <w:p w14:paraId="3C361519" w14:textId="77777777" w:rsidR="0034170C" w:rsidRDefault="0034170C" w:rsidP="0034170C">
      <w:pPr>
        <w:spacing w:line="276" w:lineRule="auto"/>
        <w:rPr>
          <w:rFonts w:ascii="Lato" w:hAnsi="Lato" w:cstheme="minorHAnsi"/>
          <w:color w:val="EE0000"/>
          <w:sz w:val="22"/>
          <w:szCs w:val="22"/>
        </w:rPr>
      </w:pPr>
      <w:r>
        <w:rPr>
          <w:noProof/>
        </w:rPr>
        <w:drawing>
          <wp:inline distT="0" distB="0" distL="0" distR="0" wp14:anchorId="26774E51" wp14:editId="2AC4FE84">
            <wp:extent cx="5759450" cy="3556000"/>
            <wp:effectExtent l="0" t="0" r="0" b="6350"/>
            <wp:docPr id="2014894154" name="Wykres 1" descr="&#10;Wykres  10. Branże, w których udział pracowników zatrudnionych w warunkach przekroczenia NDS/NDN był największy.&#10;">
              <a:extLst xmlns:a="http://schemas.openxmlformats.org/drawingml/2006/main">
                <a:ext uri="{FF2B5EF4-FFF2-40B4-BE49-F238E27FC236}">
                  <a16:creationId xmlns:a16="http://schemas.microsoft.com/office/drawing/2014/main" id="{00000000-0008-0000-00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F10463" w14:textId="77777777" w:rsidR="0034170C" w:rsidRPr="00BB733C" w:rsidRDefault="0034170C" w:rsidP="0034170C">
      <w:pPr>
        <w:spacing w:line="276" w:lineRule="auto"/>
        <w:rPr>
          <w:rFonts w:ascii="Lato" w:hAnsi="Lato" w:cstheme="minorHAnsi"/>
          <w:color w:val="EE0000"/>
          <w:sz w:val="22"/>
          <w:szCs w:val="22"/>
        </w:rPr>
      </w:pPr>
    </w:p>
    <w:p w14:paraId="42FFE698" w14:textId="5AA74969" w:rsidR="00747C41" w:rsidRPr="00853514" w:rsidRDefault="0077038F" w:rsidP="00853514">
      <w:pPr>
        <w:spacing w:line="360" w:lineRule="auto"/>
        <w:rPr>
          <w:rFonts w:ascii="Lato" w:hAnsi="Lato" w:cstheme="minorHAnsi"/>
          <w:color w:val="000000" w:themeColor="text1"/>
          <w:sz w:val="22"/>
          <w:szCs w:val="22"/>
        </w:rPr>
      </w:pPr>
      <w:r>
        <w:rPr>
          <w:rFonts w:ascii="Lato" w:hAnsi="Lato" w:cstheme="minorHAnsi"/>
          <w:color w:val="000000" w:themeColor="text1"/>
          <w:sz w:val="22"/>
          <w:szCs w:val="22"/>
        </w:rPr>
        <w:t>Należy wskazać, że</w:t>
      </w:r>
      <w:r w:rsidR="0034170C" w:rsidRPr="00AB51B2">
        <w:rPr>
          <w:rFonts w:ascii="Lato" w:hAnsi="Lato" w:cstheme="minorHAnsi"/>
          <w:color w:val="000000" w:themeColor="text1"/>
          <w:sz w:val="22"/>
          <w:szCs w:val="22"/>
        </w:rPr>
        <w:t xml:space="preserve"> poprawie uległy warunki pracy ponad 1 200 pracowników, przede wszystkim w </w:t>
      </w:r>
      <w:r w:rsidR="0034170C" w:rsidRPr="009845AF">
        <w:rPr>
          <w:rFonts w:ascii="Lato" w:hAnsi="Lato" w:cstheme="minorHAnsi"/>
          <w:color w:val="000000" w:themeColor="text1"/>
          <w:sz w:val="22"/>
          <w:szCs w:val="22"/>
        </w:rPr>
        <w:t>wyniku sukcesywnego wdrażania długofalowych programów działań technicznych i organizacyjnych zmierzających do zmniejszenia narażenia na czynniki szkodliwe na stanowiskach pracy lub obniżenia ich wartości do poziomu nieprzekraczającego obowiązujących norm.</w:t>
      </w:r>
      <w:r w:rsidR="0034170C" w:rsidRPr="00AB51B2">
        <w:rPr>
          <w:rFonts w:ascii="Lato" w:hAnsi="Lato" w:cstheme="minorHAnsi"/>
          <w:color w:val="000000" w:themeColor="text1"/>
          <w:sz w:val="22"/>
          <w:szCs w:val="22"/>
        </w:rPr>
        <w:t xml:space="preserve"> </w:t>
      </w:r>
    </w:p>
    <w:p w14:paraId="14B92D13" w14:textId="0F4E4E40" w:rsidR="0034170C" w:rsidRPr="001D3C3C" w:rsidRDefault="0034170C">
      <w:pPr>
        <w:pStyle w:val="Nagwek2"/>
        <w:numPr>
          <w:ilvl w:val="0"/>
          <w:numId w:val="1"/>
        </w:numPr>
        <w:rPr>
          <w:b/>
          <w:bCs/>
        </w:rPr>
      </w:pPr>
      <w:bookmarkStart w:id="198" w:name="_Toc225859096"/>
      <w:r w:rsidRPr="001D3C3C">
        <w:rPr>
          <w:b/>
          <w:bCs/>
        </w:rPr>
        <w:t>Narażenie na czynniki rakotwórcze, mutagenne i reprotoksyczne w środowisku pracy</w:t>
      </w:r>
      <w:bookmarkEnd w:id="198"/>
    </w:p>
    <w:p w14:paraId="1F030094" w14:textId="77777777" w:rsidR="0034170C" w:rsidRPr="00AB51B2" w:rsidRDefault="0034170C" w:rsidP="0034170C">
      <w:pPr>
        <w:pStyle w:val="Akapitzlist"/>
        <w:ind w:left="360"/>
        <w:rPr>
          <w:rFonts w:ascii="Lato" w:hAnsi="Lato" w:cstheme="minorHAnsi"/>
          <w:b/>
          <w:color w:val="000000" w:themeColor="text1"/>
        </w:rPr>
      </w:pPr>
    </w:p>
    <w:p w14:paraId="38AA6958" w14:textId="20A72647" w:rsidR="0034170C" w:rsidRPr="00EA310A" w:rsidRDefault="0034170C" w:rsidP="00EA310A">
      <w:pPr>
        <w:spacing w:line="360" w:lineRule="auto"/>
        <w:rPr>
          <w:rFonts w:ascii="Lato" w:hAnsi="Lato" w:cstheme="minorHAnsi"/>
          <w:color w:val="000000" w:themeColor="text1"/>
          <w:sz w:val="22"/>
          <w:szCs w:val="22"/>
        </w:rPr>
      </w:pPr>
      <w:r w:rsidRPr="00AB51B2">
        <w:rPr>
          <w:rFonts w:ascii="Lato" w:hAnsi="Lato" w:cstheme="minorHAnsi"/>
          <w:color w:val="000000" w:themeColor="text1"/>
          <w:sz w:val="22"/>
          <w:szCs w:val="22"/>
        </w:rPr>
        <w:t>Czynniki rakotwórcze, mutagenne lub reprotoksyczne – dalej czynniki CMR, występujące w</w:t>
      </w:r>
      <w:r w:rsidR="00A9310D">
        <w:rPr>
          <w:rFonts w:ascii="Lato" w:hAnsi="Lato" w:cstheme="minorHAnsi"/>
          <w:color w:val="000000" w:themeColor="text1"/>
          <w:sz w:val="22"/>
          <w:szCs w:val="22"/>
        </w:rPr>
        <w:t> </w:t>
      </w:r>
      <w:r w:rsidRPr="00AB51B2">
        <w:rPr>
          <w:rFonts w:ascii="Lato" w:hAnsi="Lato" w:cstheme="minorHAnsi"/>
          <w:color w:val="000000" w:themeColor="text1"/>
          <w:sz w:val="22"/>
          <w:szCs w:val="22"/>
        </w:rPr>
        <w:t>środowisku pracy stanowią ważne zagadnienie z punktu widzenia zdrowia publicznego. Długotrwałe narażenie może prowadzić do rozwoju zmian nowotworowych, które mogą ujawnić się wiele lat od chwili ustania narażenia, jak również działać szkodliwie na rozrodczość</w:t>
      </w:r>
      <w:r w:rsidR="00DD7F88">
        <w:rPr>
          <w:rFonts w:ascii="Lato" w:hAnsi="Lato" w:cstheme="minorHAnsi"/>
          <w:color w:val="000000" w:themeColor="text1"/>
          <w:sz w:val="22"/>
          <w:szCs w:val="22"/>
        </w:rPr>
        <w:t>,</w:t>
      </w:r>
      <w:r w:rsidRPr="00AB51B2">
        <w:rPr>
          <w:rFonts w:ascii="Lato" w:hAnsi="Lato" w:cstheme="minorHAnsi"/>
          <w:color w:val="000000" w:themeColor="text1"/>
          <w:sz w:val="22"/>
          <w:szCs w:val="22"/>
        </w:rPr>
        <w:t xml:space="preserve"> tj. niekorzystnie wpływać na funkcje rozrodcze i płodność u dorosłych mężczyzn i kobiet</w:t>
      </w:r>
      <w:r w:rsidR="00DD7F88">
        <w:rPr>
          <w:rFonts w:ascii="Lato" w:hAnsi="Lato" w:cstheme="minorHAnsi"/>
          <w:color w:val="000000" w:themeColor="text1"/>
          <w:sz w:val="22"/>
          <w:szCs w:val="22"/>
        </w:rPr>
        <w:t>,</w:t>
      </w:r>
      <w:r w:rsidRPr="00AB51B2">
        <w:rPr>
          <w:rFonts w:ascii="Lato" w:hAnsi="Lato" w:cstheme="minorHAnsi"/>
          <w:color w:val="000000" w:themeColor="text1"/>
          <w:sz w:val="22"/>
          <w:szCs w:val="22"/>
        </w:rPr>
        <w:t xml:space="preserve"> oraz </w:t>
      </w:r>
      <w:r w:rsidR="00DD7F88">
        <w:rPr>
          <w:rFonts w:ascii="Lato" w:hAnsi="Lato" w:cstheme="minorHAnsi"/>
          <w:color w:val="000000" w:themeColor="text1"/>
          <w:sz w:val="22"/>
          <w:szCs w:val="22"/>
        </w:rPr>
        <w:t xml:space="preserve">wykazywać </w:t>
      </w:r>
      <w:r w:rsidRPr="00AB51B2">
        <w:rPr>
          <w:rFonts w:ascii="Lato" w:hAnsi="Lato" w:cstheme="minorHAnsi"/>
          <w:color w:val="000000" w:themeColor="text1"/>
          <w:sz w:val="22"/>
          <w:szCs w:val="22"/>
        </w:rPr>
        <w:t xml:space="preserve">toksyczność rozwojową </w:t>
      </w:r>
      <w:r w:rsidR="007C03DB">
        <w:rPr>
          <w:rFonts w:ascii="Lato" w:hAnsi="Lato" w:cstheme="minorHAnsi"/>
          <w:color w:val="000000" w:themeColor="text1"/>
          <w:sz w:val="22"/>
          <w:szCs w:val="22"/>
        </w:rPr>
        <w:t xml:space="preserve">dla </w:t>
      </w:r>
      <w:r w:rsidRPr="00AB51B2">
        <w:rPr>
          <w:rFonts w:ascii="Lato" w:hAnsi="Lato" w:cstheme="minorHAnsi"/>
          <w:color w:val="000000" w:themeColor="text1"/>
          <w:sz w:val="22"/>
          <w:szCs w:val="22"/>
        </w:rPr>
        <w:t xml:space="preserve">potomstwa. </w:t>
      </w:r>
    </w:p>
    <w:p w14:paraId="7C983818" w14:textId="77777777" w:rsidR="0034170C" w:rsidRPr="00BB733C" w:rsidRDefault="0034170C" w:rsidP="00EA310A">
      <w:pPr>
        <w:spacing w:line="360" w:lineRule="auto"/>
        <w:rPr>
          <w:rFonts w:ascii="Lato" w:hAnsi="Lato" w:cstheme="minorHAnsi"/>
          <w:color w:val="EE0000"/>
          <w:sz w:val="22"/>
          <w:szCs w:val="22"/>
        </w:rPr>
      </w:pPr>
      <w:r w:rsidRPr="00AB51B2">
        <w:rPr>
          <w:rFonts w:ascii="Lato" w:hAnsi="Lato" w:cstheme="minorHAnsi"/>
          <w:color w:val="000000" w:themeColor="text1"/>
          <w:sz w:val="22"/>
          <w:szCs w:val="22"/>
        </w:rPr>
        <w:lastRenderedPageBreak/>
        <w:t xml:space="preserve">Na terenie województwa zachodniopomorskiego w roku 2025, w ewidencji znajdowały się 973 zakłady, w których na stanowiskach pracy występowały substancje, ich mieszaniny, czynniki lub procesy technologiczne o działaniu rakotwórczym, mutagennym lub reprotoksycznym. </w:t>
      </w:r>
    </w:p>
    <w:p w14:paraId="0B51769B" w14:textId="0C52363D" w:rsidR="0034170C" w:rsidRPr="002B0BC2" w:rsidRDefault="0034170C" w:rsidP="00EA310A">
      <w:pPr>
        <w:spacing w:line="360" w:lineRule="auto"/>
        <w:rPr>
          <w:rFonts w:ascii="Lato" w:hAnsi="Lato" w:cstheme="minorHAnsi"/>
          <w:b/>
          <w:color w:val="000000" w:themeColor="text1"/>
          <w:sz w:val="22"/>
          <w:szCs w:val="22"/>
        </w:rPr>
      </w:pPr>
      <w:r w:rsidRPr="00A04600">
        <w:rPr>
          <w:rFonts w:ascii="Lato" w:hAnsi="Lato" w:cstheme="minorHAnsi"/>
          <w:color w:val="000000" w:themeColor="text1"/>
          <w:sz w:val="22"/>
          <w:szCs w:val="22"/>
        </w:rPr>
        <w:t xml:space="preserve">W ramach zadań realizowanych przez Państwową Inspekcję Sanitarną przeprowadzano działania kontrolne oraz edukacyjne w zakresie warunków pracy i oceny narażenia zawodowego pracowników </w:t>
      </w:r>
      <w:r w:rsidR="00853027">
        <w:rPr>
          <w:rFonts w:ascii="Lato" w:hAnsi="Lato" w:cstheme="minorHAnsi"/>
          <w:color w:val="000000" w:themeColor="text1"/>
          <w:sz w:val="22"/>
          <w:szCs w:val="22"/>
        </w:rPr>
        <w:t>eksponowa</w:t>
      </w:r>
      <w:r w:rsidRPr="00A04600">
        <w:rPr>
          <w:rFonts w:ascii="Lato" w:hAnsi="Lato" w:cstheme="minorHAnsi"/>
          <w:color w:val="000000" w:themeColor="text1"/>
          <w:sz w:val="22"/>
          <w:szCs w:val="22"/>
        </w:rPr>
        <w:t xml:space="preserve">nych na substancje reprotoksyczne w środowisku pracy. </w:t>
      </w:r>
    </w:p>
    <w:p w14:paraId="4F3FD41A" w14:textId="71C7F934" w:rsidR="0034170C" w:rsidRPr="002B0BC2" w:rsidRDefault="0034170C" w:rsidP="00EA310A">
      <w:pPr>
        <w:spacing w:line="360" w:lineRule="auto"/>
        <w:rPr>
          <w:rFonts w:ascii="Lato" w:hAnsi="Lato" w:cstheme="minorHAnsi"/>
          <w:color w:val="000000" w:themeColor="text1"/>
          <w:sz w:val="22"/>
          <w:szCs w:val="22"/>
        </w:rPr>
      </w:pPr>
      <w:r w:rsidRPr="002B0BC2">
        <w:rPr>
          <w:rFonts w:ascii="Lato" w:hAnsi="Lato" w:cstheme="minorHAnsi"/>
          <w:color w:val="000000" w:themeColor="text1"/>
          <w:sz w:val="22"/>
          <w:szCs w:val="22"/>
        </w:rPr>
        <w:t xml:space="preserve">Liczba pracowników narażonych na czynniki CMR w zakładach skontrolowanych w roku 2025 wynosiła prawie 8 tys., w tym prawie 3 tys. kobiet. </w:t>
      </w:r>
      <w:bookmarkStart w:id="199" w:name="_Toc127365052"/>
    </w:p>
    <w:bookmarkEnd w:id="199"/>
    <w:p w14:paraId="432AE268" w14:textId="77777777" w:rsidR="0034170C" w:rsidRPr="00840981" w:rsidRDefault="0034170C" w:rsidP="00EA310A">
      <w:pPr>
        <w:spacing w:line="360" w:lineRule="auto"/>
        <w:rPr>
          <w:rFonts w:ascii="Lato" w:hAnsi="Lato" w:cstheme="minorHAnsi"/>
          <w:color w:val="EE0000"/>
          <w:sz w:val="22"/>
          <w:szCs w:val="22"/>
        </w:rPr>
      </w:pPr>
    </w:p>
    <w:p w14:paraId="5F3C7743" w14:textId="2FC07849" w:rsidR="0034170C" w:rsidRPr="00840981" w:rsidRDefault="00853027" w:rsidP="00EA310A">
      <w:pPr>
        <w:spacing w:line="360" w:lineRule="auto"/>
        <w:rPr>
          <w:rFonts w:ascii="Lato" w:hAnsi="Lato" w:cstheme="minorHAnsi"/>
          <w:color w:val="000000" w:themeColor="text1"/>
          <w:sz w:val="22"/>
          <w:szCs w:val="22"/>
        </w:rPr>
      </w:pPr>
      <w:r>
        <w:rPr>
          <w:rFonts w:ascii="Lato" w:hAnsi="Lato" w:cstheme="minorHAnsi"/>
          <w:color w:val="000000" w:themeColor="text1"/>
          <w:sz w:val="22"/>
          <w:szCs w:val="22"/>
        </w:rPr>
        <w:t>W 2025r. p</w:t>
      </w:r>
      <w:r w:rsidR="0034170C" w:rsidRPr="00840981">
        <w:rPr>
          <w:rFonts w:ascii="Lato" w:hAnsi="Lato" w:cstheme="minorHAnsi"/>
          <w:color w:val="000000" w:themeColor="text1"/>
          <w:sz w:val="22"/>
          <w:szCs w:val="22"/>
        </w:rPr>
        <w:t>rzeprowadzono 435 kontroli z zakresu nadzoru nad czynnikami CMR. Najczęściej stwierdzane nieprawidłowości to:</w:t>
      </w:r>
    </w:p>
    <w:p w14:paraId="2DB82A1F" w14:textId="7620FE0A" w:rsidR="0034170C" w:rsidRPr="00A70535" w:rsidRDefault="0034170C">
      <w:pPr>
        <w:pStyle w:val="Akapitzlist"/>
        <w:numPr>
          <w:ilvl w:val="0"/>
          <w:numId w:val="31"/>
        </w:numPr>
        <w:spacing w:line="360" w:lineRule="auto"/>
        <w:rPr>
          <w:rFonts w:ascii="Lato" w:eastAsia="Calibri" w:hAnsi="Lato" w:cs="Calibri"/>
          <w:color w:val="000000"/>
          <w:sz w:val="22"/>
          <w:szCs w:val="22"/>
          <w:lang w:eastAsia="en-US"/>
        </w:rPr>
      </w:pPr>
      <w:bookmarkStart w:id="200" w:name="_Hlk158721309"/>
      <w:bookmarkStart w:id="201" w:name="_Hlk98410592"/>
      <w:r w:rsidRPr="00A70535">
        <w:rPr>
          <w:rFonts w:ascii="Lato" w:eastAsia="Calibri" w:hAnsi="Lato" w:cs="Calibri"/>
          <w:color w:val="000000"/>
          <w:sz w:val="22"/>
          <w:szCs w:val="22"/>
          <w:lang w:eastAsia="en-US"/>
        </w:rPr>
        <w:t>brak lub nieprawidłowa ocen</w:t>
      </w:r>
      <w:r w:rsidR="00207F26">
        <w:rPr>
          <w:rFonts w:ascii="Lato" w:eastAsia="Calibri" w:hAnsi="Lato" w:cs="Calibri"/>
          <w:color w:val="000000"/>
          <w:sz w:val="22"/>
          <w:szCs w:val="22"/>
          <w:lang w:eastAsia="en-US"/>
        </w:rPr>
        <w:t>a</w:t>
      </w:r>
      <w:r w:rsidRPr="00A70535">
        <w:rPr>
          <w:rFonts w:ascii="Lato" w:eastAsia="Calibri" w:hAnsi="Lato" w:cs="Calibri"/>
          <w:color w:val="000000"/>
          <w:sz w:val="22"/>
          <w:szCs w:val="22"/>
          <w:lang w:eastAsia="en-US"/>
        </w:rPr>
        <w:t xml:space="preserve"> ryzyka zawodowego dla pracowników w zakresie narażenia </w:t>
      </w:r>
      <w:r w:rsidR="0034611B">
        <w:rPr>
          <w:rFonts w:ascii="Lato" w:eastAsia="Calibri" w:hAnsi="Lato" w:cs="Calibri"/>
          <w:color w:val="000000"/>
          <w:sz w:val="22"/>
          <w:szCs w:val="22"/>
          <w:lang w:eastAsia="en-US"/>
        </w:rPr>
        <w:t xml:space="preserve">na czynniki </w:t>
      </w:r>
      <w:r w:rsidR="00853027">
        <w:rPr>
          <w:rFonts w:ascii="Lato" w:eastAsia="Calibri" w:hAnsi="Lato" w:cs="Calibri"/>
          <w:color w:val="000000"/>
          <w:sz w:val="22"/>
          <w:szCs w:val="22"/>
          <w:lang w:eastAsia="en-US"/>
        </w:rPr>
        <w:t>CMR</w:t>
      </w:r>
      <w:r w:rsidRPr="00A70535">
        <w:rPr>
          <w:rFonts w:ascii="Lato" w:eastAsia="Calibri" w:hAnsi="Lato" w:cs="Calibri"/>
          <w:color w:val="000000"/>
          <w:sz w:val="22"/>
          <w:szCs w:val="22"/>
          <w:lang w:eastAsia="en-US"/>
        </w:rPr>
        <w:t>;</w:t>
      </w:r>
    </w:p>
    <w:p w14:paraId="17EE029C" w14:textId="4499E955" w:rsidR="00A70535" w:rsidRDefault="0034170C">
      <w:pPr>
        <w:pStyle w:val="Akapitzlist"/>
        <w:numPr>
          <w:ilvl w:val="0"/>
          <w:numId w:val="31"/>
        </w:numPr>
        <w:spacing w:line="360" w:lineRule="auto"/>
        <w:rPr>
          <w:rFonts w:ascii="Lato" w:hAnsi="Lato" w:cs="Calibri"/>
          <w:color w:val="000000"/>
          <w:sz w:val="22"/>
          <w:szCs w:val="22"/>
        </w:rPr>
      </w:pPr>
      <w:r w:rsidRPr="00A70535">
        <w:rPr>
          <w:rFonts w:ascii="Lato" w:hAnsi="Lato" w:cs="Calibri"/>
          <w:color w:val="000000"/>
          <w:sz w:val="22"/>
          <w:szCs w:val="22"/>
        </w:rPr>
        <w:t xml:space="preserve">brak lub nieprawidłowy </w:t>
      </w:r>
      <w:r w:rsidR="00853027" w:rsidRPr="00A70535">
        <w:rPr>
          <w:rFonts w:ascii="Lato" w:hAnsi="Lato" w:cs="Calibri"/>
          <w:color w:val="000000"/>
          <w:sz w:val="22"/>
          <w:szCs w:val="22"/>
        </w:rPr>
        <w:t>rejestr pracowników narażonych</w:t>
      </w:r>
      <w:r w:rsidR="00853027">
        <w:rPr>
          <w:rFonts w:ascii="Lato" w:hAnsi="Lato" w:cs="Calibri"/>
          <w:color w:val="000000"/>
          <w:sz w:val="22"/>
          <w:szCs w:val="22"/>
        </w:rPr>
        <w:t xml:space="preserve"> oraz</w:t>
      </w:r>
      <w:r w:rsidRPr="00A70535">
        <w:rPr>
          <w:rFonts w:ascii="Lato" w:hAnsi="Lato" w:cs="Calibri"/>
          <w:color w:val="000000"/>
          <w:sz w:val="22"/>
          <w:szCs w:val="22"/>
        </w:rPr>
        <w:t xml:space="preserve"> prac, których wykonywanie powoduje konieczność pozostawania w kontakcie z </w:t>
      </w:r>
      <w:r w:rsidR="0034611B">
        <w:rPr>
          <w:rFonts w:ascii="Lato" w:hAnsi="Lato" w:cs="Calibri"/>
          <w:color w:val="000000"/>
          <w:sz w:val="22"/>
          <w:szCs w:val="22"/>
        </w:rPr>
        <w:t xml:space="preserve">czynnikami </w:t>
      </w:r>
      <w:r w:rsidR="00853027">
        <w:rPr>
          <w:rFonts w:ascii="Lato" w:hAnsi="Lato" w:cs="Calibri"/>
          <w:color w:val="000000"/>
          <w:sz w:val="22"/>
          <w:szCs w:val="22"/>
        </w:rPr>
        <w:t>CMR</w:t>
      </w:r>
      <w:r w:rsidRPr="00A70535">
        <w:rPr>
          <w:rFonts w:ascii="Lato" w:hAnsi="Lato" w:cs="Calibri"/>
          <w:color w:val="000000"/>
          <w:sz w:val="22"/>
          <w:szCs w:val="22"/>
        </w:rPr>
        <w:t>;</w:t>
      </w:r>
    </w:p>
    <w:p w14:paraId="4F91851A" w14:textId="60DED3EA" w:rsidR="0034170C" w:rsidRPr="00A70535" w:rsidRDefault="0034170C">
      <w:pPr>
        <w:pStyle w:val="Akapitzlist"/>
        <w:numPr>
          <w:ilvl w:val="0"/>
          <w:numId w:val="31"/>
        </w:numPr>
        <w:spacing w:line="360" w:lineRule="auto"/>
        <w:rPr>
          <w:rFonts w:ascii="Lato" w:hAnsi="Lato" w:cs="Calibri"/>
          <w:color w:val="000000"/>
          <w:sz w:val="22"/>
          <w:szCs w:val="22"/>
        </w:rPr>
      </w:pPr>
      <w:r w:rsidRPr="00A70535">
        <w:rPr>
          <w:rFonts w:ascii="Lato" w:hAnsi="Lato" w:cs="Calibri"/>
          <w:color w:val="000000"/>
          <w:sz w:val="22"/>
          <w:szCs w:val="22"/>
        </w:rPr>
        <w:t xml:space="preserve">brak przekazanej właściwemu państwowemu wojewódzkiemu inspektorowi sanitarnemu informacji o </w:t>
      </w:r>
      <w:r w:rsidR="00853027">
        <w:rPr>
          <w:rFonts w:ascii="Lato" w:hAnsi="Lato" w:cs="Calibri"/>
          <w:color w:val="000000"/>
          <w:sz w:val="22"/>
          <w:szCs w:val="22"/>
        </w:rPr>
        <w:t>narażeniu na</w:t>
      </w:r>
      <w:r w:rsidR="0034611B">
        <w:rPr>
          <w:rFonts w:ascii="Lato" w:hAnsi="Lato" w:cs="Calibri"/>
          <w:color w:val="000000"/>
          <w:sz w:val="22"/>
          <w:szCs w:val="22"/>
        </w:rPr>
        <w:t xml:space="preserve"> czynniki</w:t>
      </w:r>
      <w:r w:rsidR="00853027">
        <w:rPr>
          <w:rFonts w:ascii="Lato" w:hAnsi="Lato" w:cs="Calibri"/>
          <w:color w:val="000000"/>
          <w:sz w:val="22"/>
          <w:szCs w:val="22"/>
        </w:rPr>
        <w:t xml:space="preserve"> CMR</w:t>
      </w:r>
      <w:r w:rsidRPr="00A70535">
        <w:rPr>
          <w:rFonts w:ascii="Lato" w:hAnsi="Lato" w:cs="Calibri"/>
          <w:color w:val="000000"/>
          <w:sz w:val="22"/>
          <w:szCs w:val="22"/>
        </w:rPr>
        <w:t>;</w:t>
      </w:r>
    </w:p>
    <w:p w14:paraId="1CAC1921" w14:textId="50A2036F" w:rsidR="0034170C" w:rsidRPr="00A70535" w:rsidRDefault="0034170C">
      <w:pPr>
        <w:pStyle w:val="Akapitzlist"/>
        <w:numPr>
          <w:ilvl w:val="0"/>
          <w:numId w:val="31"/>
        </w:numPr>
        <w:spacing w:line="360" w:lineRule="auto"/>
        <w:rPr>
          <w:rFonts w:ascii="Lato" w:hAnsi="Lato" w:cs="Calibri"/>
          <w:color w:val="000000"/>
          <w:sz w:val="22"/>
          <w:szCs w:val="22"/>
        </w:rPr>
      </w:pPr>
      <w:r w:rsidRPr="00A70535">
        <w:rPr>
          <w:rFonts w:ascii="Lato" w:hAnsi="Lato" w:cs="Calibri"/>
          <w:color w:val="000000"/>
          <w:sz w:val="22"/>
          <w:szCs w:val="22"/>
        </w:rPr>
        <w:t xml:space="preserve"> brak aktualnych wyników badań i pomiarów czynników o działaniu rakotwórczym;</w:t>
      </w:r>
    </w:p>
    <w:p w14:paraId="114CC2EF" w14:textId="3CA103DE" w:rsidR="0034170C" w:rsidRPr="00A70535" w:rsidRDefault="0034170C">
      <w:pPr>
        <w:pStyle w:val="Akapitzlist"/>
        <w:numPr>
          <w:ilvl w:val="0"/>
          <w:numId w:val="31"/>
        </w:numPr>
        <w:spacing w:line="360" w:lineRule="auto"/>
        <w:rPr>
          <w:rFonts w:ascii="Lato" w:hAnsi="Lato" w:cs="Calibri"/>
          <w:color w:val="000000"/>
        </w:rPr>
      </w:pPr>
      <w:r w:rsidRPr="00A70535">
        <w:rPr>
          <w:rFonts w:ascii="Lato" w:hAnsi="Lato" w:cs="Calibri"/>
          <w:color w:val="000000"/>
        </w:rPr>
        <w:t xml:space="preserve"> </w:t>
      </w:r>
      <w:r w:rsidRPr="00A70535">
        <w:rPr>
          <w:rFonts w:ascii="Lato" w:hAnsi="Lato" w:cs="Calibri"/>
          <w:color w:val="000000"/>
          <w:sz w:val="22"/>
          <w:szCs w:val="22"/>
        </w:rPr>
        <w:t>brak szkoleń pracowników w zakresie czynnik</w:t>
      </w:r>
      <w:r w:rsidR="0034611B">
        <w:rPr>
          <w:rFonts w:ascii="Lato" w:hAnsi="Lato" w:cs="Calibri"/>
          <w:color w:val="000000"/>
          <w:sz w:val="22"/>
          <w:szCs w:val="22"/>
        </w:rPr>
        <w:t>ów</w:t>
      </w:r>
      <w:r w:rsidRPr="00A70535">
        <w:rPr>
          <w:rFonts w:ascii="Lato" w:hAnsi="Lato" w:cs="Calibri"/>
          <w:color w:val="000000"/>
          <w:sz w:val="22"/>
          <w:szCs w:val="22"/>
        </w:rPr>
        <w:t xml:space="preserve"> rakotwórcz</w:t>
      </w:r>
      <w:r w:rsidR="0034611B">
        <w:rPr>
          <w:rFonts w:ascii="Lato" w:hAnsi="Lato" w:cs="Calibri"/>
          <w:color w:val="000000"/>
          <w:sz w:val="22"/>
          <w:szCs w:val="22"/>
        </w:rPr>
        <w:t>ych</w:t>
      </w:r>
      <w:bookmarkEnd w:id="200"/>
      <w:bookmarkEnd w:id="201"/>
      <w:r w:rsidRPr="00A70535">
        <w:rPr>
          <w:rFonts w:ascii="Lato" w:hAnsi="Lato" w:cs="Calibri"/>
          <w:color w:val="000000"/>
          <w:sz w:val="22"/>
          <w:szCs w:val="22"/>
        </w:rPr>
        <w:t>.</w:t>
      </w:r>
    </w:p>
    <w:p w14:paraId="48DF0A4A" w14:textId="77777777" w:rsidR="0034170C" w:rsidRPr="00BB733C" w:rsidRDefault="0034170C" w:rsidP="0034170C">
      <w:pPr>
        <w:spacing w:line="276" w:lineRule="auto"/>
        <w:rPr>
          <w:rFonts w:ascii="Lato" w:hAnsi="Lato" w:cstheme="minorHAnsi"/>
          <w:b/>
          <w:color w:val="EE0000"/>
          <w:sz w:val="20"/>
          <w:szCs w:val="20"/>
        </w:rPr>
      </w:pPr>
    </w:p>
    <w:p w14:paraId="2F9A8CF4" w14:textId="513B36F5" w:rsidR="0034170C" w:rsidRDefault="0034170C">
      <w:pPr>
        <w:pStyle w:val="Nagwek2"/>
        <w:numPr>
          <w:ilvl w:val="0"/>
          <w:numId w:val="1"/>
        </w:numPr>
        <w:spacing w:before="0" w:after="0"/>
        <w:ind w:right="284"/>
        <w:rPr>
          <w:b/>
          <w:bCs/>
          <w:szCs w:val="24"/>
        </w:rPr>
      </w:pPr>
      <w:bookmarkStart w:id="202" w:name="_Toc225859097"/>
      <w:r w:rsidRPr="003B1AC6">
        <w:rPr>
          <w:b/>
          <w:bCs/>
          <w:szCs w:val="24"/>
        </w:rPr>
        <w:t>Narażenie na szkodliwe czynniki biologiczne w środowisku pracy</w:t>
      </w:r>
      <w:bookmarkEnd w:id="202"/>
    </w:p>
    <w:p w14:paraId="57CEC2CE" w14:textId="77777777" w:rsidR="00ED764F" w:rsidRPr="00ED764F" w:rsidRDefault="00ED764F" w:rsidP="00ED764F"/>
    <w:p w14:paraId="3E5D7B8C" w14:textId="32144FF9" w:rsidR="0034170C" w:rsidRPr="001370FB" w:rsidRDefault="0034170C" w:rsidP="00EA310A">
      <w:pPr>
        <w:spacing w:line="360" w:lineRule="auto"/>
        <w:rPr>
          <w:rFonts w:ascii="Lato" w:hAnsi="Lato" w:cstheme="minorHAnsi"/>
          <w:color w:val="000000" w:themeColor="text1"/>
          <w:sz w:val="22"/>
          <w:szCs w:val="22"/>
        </w:rPr>
      </w:pPr>
      <w:r w:rsidRPr="001370FB">
        <w:rPr>
          <w:rFonts w:ascii="Lato" w:hAnsi="Lato" w:cstheme="minorHAnsi"/>
          <w:color w:val="000000" w:themeColor="text1"/>
          <w:sz w:val="22"/>
          <w:szCs w:val="22"/>
        </w:rPr>
        <w:t xml:space="preserve">Obecność szkodliwych czynników biologicznych na stanowiskach pracy, a co za tym idzie zagrożenie dla zdrowia pracowników, stanowi bardzo istotny problem z zakresu bezpieczeństwa i higieny pracy. </w:t>
      </w:r>
    </w:p>
    <w:p w14:paraId="2359819A" w14:textId="72DDA94D" w:rsidR="0034170C" w:rsidRPr="00DE1250" w:rsidRDefault="0034170C" w:rsidP="00EA310A">
      <w:pPr>
        <w:spacing w:line="360" w:lineRule="auto"/>
        <w:rPr>
          <w:rFonts w:ascii="Lato" w:hAnsi="Lato" w:cstheme="minorHAnsi"/>
          <w:color w:val="000000" w:themeColor="text1"/>
          <w:sz w:val="22"/>
          <w:szCs w:val="22"/>
        </w:rPr>
      </w:pPr>
      <w:r w:rsidRPr="0002105B">
        <w:rPr>
          <w:rFonts w:ascii="Lato" w:hAnsi="Lato" w:cstheme="minorHAnsi"/>
          <w:color w:val="000000" w:themeColor="text1"/>
          <w:sz w:val="22"/>
          <w:szCs w:val="22"/>
        </w:rPr>
        <w:t xml:space="preserve">W narażeniu na szkodliwe czynniki biologiczne </w:t>
      </w:r>
      <w:r w:rsidRPr="00F348F1">
        <w:rPr>
          <w:rFonts w:ascii="Lato" w:hAnsi="Lato" w:cstheme="minorHAnsi"/>
          <w:color w:val="000000" w:themeColor="text1"/>
          <w:sz w:val="22"/>
          <w:szCs w:val="22"/>
        </w:rPr>
        <w:t xml:space="preserve">w zakładach skontrolowanych w roku 2025 zatrudnionych było ponad 20 tys. </w:t>
      </w:r>
      <w:r>
        <w:rPr>
          <w:rFonts w:ascii="Lato" w:hAnsi="Lato" w:cstheme="minorHAnsi"/>
          <w:color w:val="000000" w:themeColor="text1"/>
          <w:sz w:val="22"/>
          <w:szCs w:val="22"/>
        </w:rPr>
        <w:t>p</w:t>
      </w:r>
      <w:r w:rsidRPr="00F348F1">
        <w:rPr>
          <w:rFonts w:ascii="Lato" w:hAnsi="Lato" w:cstheme="minorHAnsi"/>
          <w:color w:val="000000" w:themeColor="text1"/>
          <w:sz w:val="22"/>
          <w:szCs w:val="22"/>
        </w:rPr>
        <w:t>racowników</w:t>
      </w:r>
      <w:r>
        <w:rPr>
          <w:rFonts w:ascii="Lato" w:hAnsi="Lato" w:cstheme="minorHAnsi"/>
          <w:color w:val="000000" w:themeColor="text1"/>
          <w:sz w:val="22"/>
          <w:szCs w:val="22"/>
        </w:rPr>
        <w:t xml:space="preserve"> </w:t>
      </w:r>
      <w:r w:rsidRPr="00F348F1">
        <w:rPr>
          <w:rFonts w:ascii="Lato" w:hAnsi="Lato" w:cstheme="minorHAnsi"/>
          <w:color w:val="000000" w:themeColor="text1"/>
          <w:sz w:val="22"/>
          <w:szCs w:val="22"/>
        </w:rPr>
        <w:t xml:space="preserve">(m.in. </w:t>
      </w:r>
      <w:r>
        <w:rPr>
          <w:rFonts w:ascii="Lato" w:hAnsi="Lato" w:cstheme="minorHAnsi"/>
          <w:color w:val="000000" w:themeColor="text1"/>
          <w:sz w:val="22"/>
          <w:szCs w:val="22"/>
        </w:rPr>
        <w:t xml:space="preserve">w </w:t>
      </w:r>
      <w:r w:rsidRPr="00F348F1">
        <w:rPr>
          <w:rFonts w:ascii="Lato" w:hAnsi="Lato" w:cstheme="minorHAnsi"/>
          <w:color w:val="000000" w:themeColor="text1"/>
          <w:sz w:val="22"/>
          <w:szCs w:val="22"/>
        </w:rPr>
        <w:t xml:space="preserve">podmiotach leczniczych, zakładach gospodarki odpadami oraz podmiotach zajmujących się uprawą roli, chowem i hodowlą zwierząt, jak również leśnictwem i pozyskiwaniem drewna). Największa liczba pracowników prawie 20 tys., zatrudniona była w narażeniu na szkodliwe czynniki </w:t>
      </w:r>
      <w:r w:rsidRPr="004E0CA6">
        <w:rPr>
          <w:rFonts w:ascii="Lato" w:hAnsi="Lato" w:cstheme="minorHAnsi"/>
          <w:color w:val="000000" w:themeColor="text1"/>
          <w:sz w:val="22"/>
          <w:szCs w:val="22"/>
        </w:rPr>
        <w:t>biologiczne z grupy 2, czyli czynniki, które mogą wywoływać choroby u ludzi, i tym samym mogą być niebezpieczne dla pracowników, ale</w:t>
      </w:r>
      <w:bookmarkStart w:id="203" w:name="_Hlk98409524"/>
      <w:r w:rsidRPr="004E0CA6">
        <w:rPr>
          <w:rFonts w:ascii="Lato" w:hAnsi="Lato" w:cstheme="minorHAnsi"/>
          <w:color w:val="000000" w:themeColor="text1"/>
          <w:sz w:val="22"/>
          <w:szCs w:val="22"/>
        </w:rPr>
        <w:t xml:space="preserve"> rozprzestrzenienie ich w populacji ludzkiej jest mało prawdopodobne</w:t>
      </w:r>
      <w:r>
        <w:rPr>
          <w:rFonts w:ascii="Lato" w:hAnsi="Lato" w:cstheme="minorHAnsi"/>
          <w:color w:val="000000" w:themeColor="text1"/>
          <w:sz w:val="22"/>
          <w:szCs w:val="22"/>
        </w:rPr>
        <w:t>. Większość tych pracowników</w:t>
      </w:r>
      <w:r w:rsidR="00912D12">
        <w:rPr>
          <w:rFonts w:ascii="Lato" w:hAnsi="Lato" w:cstheme="minorHAnsi"/>
          <w:color w:val="000000" w:themeColor="text1"/>
          <w:sz w:val="22"/>
          <w:szCs w:val="22"/>
        </w:rPr>
        <w:t xml:space="preserve"> (15 tys.)</w:t>
      </w:r>
      <w:r>
        <w:rPr>
          <w:rFonts w:ascii="Lato" w:hAnsi="Lato" w:cstheme="minorHAnsi"/>
          <w:color w:val="000000" w:themeColor="text1"/>
          <w:sz w:val="22"/>
          <w:szCs w:val="22"/>
        </w:rPr>
        <w:t xml:space="preserve"> było również narażonych na czynniki biologiczne z</w:t>
      </w:r>
      <w:r w:rsidR="00DB7ECB">
        <w:rPr>
          <w:rFonts w:ascii="Lato" w:hAnsi="Lato" w:cstheme="minorHAnsi"/>
          <w:color w:val="000000" w:themeColor="text1"/>
          <w:sz w:val="22"/>
          <w:szCs w:val="22"/>
        </w:rPr>
        <w:t> </w:t>
      </w:r>
      <w:r>
        <w:rPr>
          <w:rFonts w:ascii="Lato" w:hAnsi="Lato" w:cstheme="minorHAnsi"/>
          <w:color w:val="000000" w:themeColor="text1"/>
          <w:sz w:val="22"/>
          <w:szCs w:val="22"/>
        </w:rPr>
        <w:t>grupy 3</w:t>
      </w:r>
      <w:r w:rsidRPr="00DE1250">
        <w:rPr>
          <w:rFonts w:ascii="Lato" w:hAnsi="Lato" w:cstheme="minorHAnsi"/>
          <w:color w:val="000000" w:themeColor="text1"/>
          <w:sz w:val="22"/>
          <w:szCs w:val="22"/>
        </w:rPr>
        <w:t xml:space="preserve">, </w:t>
      </w:r>
      <w:r>
        <w:rPr>
          <w:rFonts w:ascii="Lato" w:hAnsi="Lato" w:cstheme="minorHAnsi"/>
          <w:color w:val="000000" w:themeColor="text1"/>
          <w:sz w:val="22"/>
          <w:szCs w:val="22"/>
        </w:rPr>
        <w:t xml:space="preserve">czyli czynniki </w:t>
      </w:r>
      <w:r w:rsidRPr="00DE1250">
        <w:rPr>
          <w:rFonts w:ascii="Lato" w:hAnsi="Lato" w:cstheme="minorHAnsi"/>
          <w:color w:val="000000" w:themeColor="text1"/>
          <w:sz w:val="22"/>
          <w:szCs w:val="22"/>
        </w:rPr>
        <w:t>które mogą wywoływać u ludzi ciężkie choroby, są niebezpieczne dla pracowników,</w:t>
      </w:r>
    </w:p>
    <w:p w14:paraId="3BCDBF52" w14:textId="487D7DF3" w:rsidR="0034170C" w:rsidRDefault="0034170C" w:rsidP="00EA310A">
      <w:pPr>
        <w:spacing w:line="360" w:lineRule="auto"/>
        <w:rPr>
          <w:rFonts w:ascii="Lato" w:hAnsi="Lato" w:cstheme="minorHAnsi"/>
          <w:color w:val="000000" w:themeColor="text1"/>
          <w:sz w:val="22"/>
          <w:szCs w:val="22"/>
        </w:rPr>
      </w:pPr>
      <w:r w:rsidRPr="00DE1250">
        <w:rPr>
          <w:rFonts w:ascii="Lato" w:hAnsi="Lato" w:cstheme="minorHAnsi"/>
          <w:color w:val="000000" w:themeColor="text1"/>
          <w:sz w:val="22"/>
          <w:szCs w:val="22"/>
        </w:rPr>
        <w:lastRenderedPageBreak/>
        <w:t>a rozprzestrzenienie ich w populacji ludzkiej jest bardzo prawdopodobne. Zazwyczaj istnieją</w:t>
      </w:r>
      <w:r>
        <w:rPr>
          <w:rFonts w:ascii="Lato" w:hAnsi="Lato" w:cstheme="minorHAnsi"/>
          <w:color w:val="000000" w:themeColor="text1"/>
          <w:sz w:val="22"/>
          <w:szCs w:val="22"/>
        </w:rPr>
        <w:t xml:space="preserve"> </w:t>
      </w:r>
      <w:r w:rsidRPr="00DE1250">
        <w:rPr>
          <w:rFonts w:ascii="Lato" w:hAnsi="Lato" w:cstheme="minorHAnsi"/>
          <w:color w:val="000000" w:themeColor="text1"/>
          <w:sz w:val="22"/>
          <w:szCs w:val="22"/>
        </w:rPr>
        <w:t>w stosunku do nich skuteczne metody profilaktyki lub leczenia.</w:t>
      </w:r>
    </w:p>
    <w:p w14:paraId="5F31867A" w14:textId="77777777" w:rsidR="0034170C" w:rsidRDefault="0034170C" w:rsidP="00EA310A">
      <w:pPr>
        <w:spacing w:line="360" w:lineRule="auto"/>
        <w:rPr>
          <w:rFonts w:ascii="Lato" w:hAnsi="Lato" w:cstheme="minorHAnsi"/>
          <w:color w:val="000000" w:themeColor="text1"/>
          <w:sz w:val="22"/>
          <w:szCs w:val="22"/>
        </w:rPr>
      </w:pPr>
      <w:r>
        <w:rPr>
          <w:rFonts w:ascii="Lato" w:hAnsi="Lato" w:cstheme="minorHAnsi"/>
          <w:color w:val="000000" w:themeColor="text1"/>
          <w:sz w:val="22"/>
          <w:szCs w:val="22"/>
        </w:rPr>
        <w:t>W żadnym zakładzie pracy nie stwierdzono narażenia na czynniki biologiczne z grupy 4 zagrożenia.</w:t>
      </w:r>
    </w:p>
    <w:bookmarkEnd w:id="203"/>
    <w:p w14:paraId="44FEBF4C" w14:textId="7F21F916" w:rsidR="0034170C" w:rsidRPr="00922954" w:rsidRDefault="0034170C" w:rsidP="00EA310A">
      <w:pPr>
        <w:spacing w:line="360" w:lineRule="auto"/>
        <w:rPr>
          <w:rFonts w:ascii="Lato" w:hAnsi="Lato" w:cstheme="minorHAnsi"/>
          <w:bCs/>
          <w:color w:val="000000" w:themeColor="text1"/>
          <w:sz w:val="22"/>
          <w:szCs w:val="22"/>
        </w:rPr>
      </w:pPr>
      <w:r w:rsidRPr="00922954">
        <w:rPr>
          <w:rFonts w:ascii="Lato" w:hAnsi="Lato" w:cstheme="minorHAnsi"/>
          <w:bCs/>
          <w:color w:val="000000" w:themeColor="text1"/>
          <w:sz w:val="22"/>
          <w:szCs w:val="22"/>
        </w:rPr>
        <w:t xml:space="preserve">W ramach prowadzonego nadzoru </w:t>
      </w:r>
      <w:r w:rsidR="00912D12">
        <w:rPr>
          <w:rFonts w:ascii="Lato" w:hAnsi="Lato" w:cstheme="minorHAnsi"/>
          <w:bCs/>
          <w:color w:val="000000" w:themeColor="text1"/>
          <w:sz w:val="22"/>
          <w:szCs w:val="22"/>
        </w:rPr>
        <w:t>nad szkodliwymi czynnikami biologicznymi</w:t>
      </w:r>
      <w:r w:rsidRPr="00922954">
        <w:rPr>
          <w:rFonts w:ascii="Lato" w:hAnsi="Lato" w:cstheme="minorHAnsi"/>
          <w:bCs/>
          <w:color w:val="000000" w:themeColor="text1"/>
          <w:sz w:val="22"/>
          <w:szCs w:val="22"/>
        </w:rPr>
        <w:t xml:space="preserve"> skontrolowano 530 zakładów</w:t>
      </w:r>
      <w:r w:rsidR="00912D12">
        <w:rPr>
          <w:rFonts w:ascii="Lato" w:hAnsi="Lato" w:cstheme="minorHAnsi"/>
          <w:bCs/>
          <w:color w:val="000000" w:themeColor="text1"/>
          <w:sz w:val="22"/>
          <w:szCs w:val="22"/>
        </w:rPr>
        <w:t xml:space="preserve"> pracy</w:t>
      </w:r>
      <w:r w:rsidRPr="00922954">
        <w:rPr>
          <w:rFonts w:ascii="Lato" w:hAnsi="Lato" w:cstheme="minorHAnsi"/>
          <w:bCs/>
          <w:color w:val="000000" w:themeColor="text1"/>
          <w:sz w:val="22"/>
          <w:szCs w:val="22"/>
        </w:rPr>
        <w:t xml:space="preserve">. </w:t>
      </w:r>
    </w:p>
    <w:p w14:paraId="7BFDA816" w14:textId="77777777" w:rsidR="0034170C" w:rsidRPr="0002105B" w:rsidRDefault="0034170C" w:rsidP="00EA310A">
      <w:pPr>
        <w:spacing w:line="360" w:lineRule="auto"/>
        <w:rPr>
          <w:rFonts w:ascii="Lato" w:hAnsi="Lato" w:cstheme="minorHAnsi"/>
          <w:bCs/>
          <w:color w:val="000000" w:themeColor="text1"/>
          <w:sz w:val="22"/>
          <w:szCs w:val="22"/>
        </w:rPr>
      </w:pPr>
      <w:r w:rsidRPr="0002105B">
        <w:rPr>
          <w:rFonts w:ascii="Lato" w:hAnsi="Lato" w:cstheme="minorHAnsi"/>
          <w:bCs/>
          <w:color w:val="000000" w:themeColor="text1"/>
          <w:sz w:val="22"/>
          <w:szCs w:val="22"/>
        </w:rPr>
        <w:t>Podczas kontroli do najczęściej stwierdzanych uchybień należało:</w:t>
      </w:r>
    </w:p>
    <w:p w14:paraId="4D266042" w14:textId="6F876395" w:rsidR="0034170C" w:rsidRPr="00A70535" w:rsidRDefault="0034170C">
      <w:pPr>
        <w:pStyle w:val="Akapitzlist"/>
        <w:numPr>
          <w:ilvl w:val="0"/>
          <w:numId w:val="30"/>
        </w:numPr>
        <w:spacing w:line="360" w:lineRule="auto"/>
        <w:rPr>
          <w:rFonts w:ascii="Lato" w:hAnsi="Lato" w:cstheme="minorHAnsi"/>
          <w:color w:val="000000" w:themeColor="text1"/>
          <w:sz w:val="22"/>
          <w:szCs w:val="22"/>
        </w:rPr>
      </w:pPr>
      <w:r w:rsidRPr="00A70535">
        <w:rPr>
          <w:rFonts w:ascii="Lato" w:hAnsi="Lato" w:cstheme="minorHAnsi"/>
          <w:color w:val="000000" w:themeColor="text1"/>
          <w:sz w:val="22"/>
          <w:szCs w:val="22"/>
        </w:rPr>
        <w:t>brak lub nieprawidłowa ocena ryzyka zawodowego w zakresie narażenia na szkodliwe czynniki biologiczne;</w:t>
      </w:r>
    </w:p>
    <w:p w14:paraId="54479F03" w14:textId="13839EFA" w:rsidR="0034170C" w:rsidRPr="00A70535" w:rsidRDefault="0034170C">
      <w:pPr>
        <w:pStyle w:val="Akapitzlist"/>
        <w:numPr>
          <w:ilvl w:val="0"/>
          <w:numId w:val="30"/>
        </w:numPr>
        <w:spacing w:line="360" w:lineRule="auto"/>
        <w:rPr>
          <w:rFonts w:ascii="Lato" w:hAnsi="Lato" w:cstheme="minorHAnsi"/>
          <w:color w:val="000000" w:themeColor="text1"/>
          <w:sz w:val="22"/>
          <w:szCs w:val="22"/>
        </w:rPr>
      </w:pPr>
      <w:r w:rsidRPr="00A70535">
        <w:rPr>
          <w:rFonts w:ascii="Lato" w:hAnsi="Lato" w:cstheme="minorHAnsi"/>
          <w:color w:val="000000" w:themeColor="text1"/>
          <w:sz w:val="22"/>
          <w:szCs w:val="22"/>
        </w:rPr>
        <w:t xml:space="preserve">brak wykazu i klasyfikacji szkodliwych czynników biologicznych występujących </w:t>
      </w:r>
      <w:r w:rsidRPr="00A70535">
        <w:rPr>
          <w:rFonts w:ascii="Lato" w:hAnsi="Lato" w:cstheme="minorHAnsi"/>
          <w:color w:val="000000" w:themeColor="text1"/>
          <w:sz w:val="22"/>
          <w:szCs w:val="22"/>
        </w:rPr>
        <w:br/>
        <w:t>w środowisku pracy;</w:t>
      </w:r>
    </w:p>
    <w:p w14:paraId="5AAC2A87" w14:textId="502592C9" w:rsidR="0034170C" w:rsidRPr="00A70535" w:rsidRDefault="0034170C">
      <w:pPr>
        <w:pStyle w:val="Akapitzlist"/>
        <w:numPr>
          <w:ilvl w:val="0"/>
          <w:numId w:val="30"/>
        </w:numPr>
        <w:spacing w:line="360" w:lineRule="auto"/>
        <w:rPr>
          <w:rFonts w:ascii="Lato" w:hAnsi="Lato" w:cstheme="minorHAnsi"/>
          <w:color w:val="000000" w:themeColor="text1"/>
          <w:sz w:val="22"/>
          <w:szCs w:val="22"/>
        </w:rPr>
      </w:pPr>
      <w:r w:rsidRPr="00A70535">
        <w:rPr>
          <w:rFonts w:ascii="Lato" w:hAnsi="Lato" w:cstheme="minorHAnsi"/>
          <w:color w:val="000000" w:themeColor="text1"/>
          <w:sz w:val="22"/>
          <w:szCs w:val="22"/>
        </w:rPr>
        <w:t>brak rejestru prac oraz rejestru pracowników narażonych na działanie szkodliwych czynników biologicznych zaklasyfikowanych do 3 grupy zagrożenia;</w:t>
      </w:r>
    </w:p>
    <w:p w14:paraId="0E3A785D" w14:textId="77777777" w:rsidR="00A70535" w:rsidRDefault="0034170C">
      <w:pPr>
        <w:pStyle w:val="Akapitzlist"/>
        <w:numPr>
          <w:ilvl w:val="0"/>
          <w:numId w:val="30"/>
        </w:numPr>
        <w:spacing w:line="360" w:lineRule="auto"/>
        <w:rPr>
          <w:rFonts w:ascii="Lato" w:hAnsi="Lato" w:cstheme="minorHAnsi"/>
          <w:color w:val="000000" w:themeColor="text1"/>
          <w:sz w:val="22"/>
          <w:szCs w:val="22"/>
        </w:rPr>
      </w:pPr>
      <w:r w:rsidRPr="00A70535">
        <w:rPr>
          <w:rFonts w:ascii="Lato" w:hAnsi="Lato" w:cstheme="minorHAnsi"/>
          <w:color w:val="000000" w:themeColor="text1"/>
          <w:sz w:val="22"/>
          <w:szCs w:val="22"/>
        </w:rPr>
        <w:t>brak znaków ostrzegających przed zagrożeniem biologicznym;</w:t>
      </w:r>
    </w:p>
    <w:p w14:paraId="02E69BEE" w14:textId="3AE82179" w:rsidR="0034170C" w:rsidRPr="00A70535" w:rsidRDefault="0034170C">
      <w:pPr>
        <w:pStyle w:val="Akapitzlist"/>
        <w:numPr>
          <w:ilvl w:val="0"/>
          <w:numId w:val="30"/>
        </w:numPr>
        <w:spacing w:line="360" w:lineRule="auto"/>
        <w:rPr>
          <w:rFonts w:ascii="Lato" w:hAnsi="Lato" w:cstheme="minorHAnsi"/>
          <w:color w:val="000000" w:themeColor="text1"/>
          <w:sz w:val="22"/>
          <w:szCs w:val="22"/>
        </w:rPr>
      </w:pPr>
      <w:r w:rsidRPr="00A70535">
        <w:rPr>
          <w:rFonts w:ascii="Lato" w:hAnsi="Lato" w:cstheme="minorHAnsi"/>
          <w:color w:val="000000" w:themeColor="text1"/>
          <w:sz w:val="22"/>
          <w:szCs w:val="22"/>
        </w:rPr>
        <w:t xml:space="preserve">brak szkoleń dla pracowników </w:t>
      </w:r>
      <w:r w:rsidR="00912D12">
        <w:rPr>
          <w:rFonts w:ascii="Lato" w:hAnsi="Lato" w:cstheme="minorHAnsi"/>
          <w:color w:val="000000" w:themeColor="text1"/>
          <w:sz w:val="22"/>
          <w:szCs w:val="22"/>
        </w:rPr>
        <w:t>narażonych na</w:t>
      </w:r>
      <w:r w:rsidRPr="00A70535">
        <w:rPr>
          <w:rFonts w:ascii="Lato" w:hAnsi="Lato" w:cstheme="minorHAnsi"/>
          <w:color w:val="000000" w:themeColor="text1"/>
          <w:sz w:val="22"/>
          <w:szCs w:val="22"/>
        </w:rPr>
        <w:t xml:space="preserve"> kontakt ze szkodliwym czynnik</w:t>
      </w:r>
      <w:r w:rsidR="00F040E7">
        <w:rPr>
          <w:rFonts w:ascii="Lato" w:hAnsi="Lato" w:cstheme="minorHAnsi"/>
          <w:color w:val="000000" w:themeColor="text1"/>
          <w:sz w:val="22"/>
          <w:szCs w:val="22"/>
        </w:rPr>
        <w:t>iem</w:t>
      </w:r>
      <w:r w:rsidRPr="00A70535">
        <w:rPr>
          <w:rFonts w:ascii="Lato" w:hAnsi="Lato" w:cstheme="minorHAnsi"/>
          <w:color w:val="000000" w:themeColor="text1"/>
          <w:sz w:val="22"/>
          <w:szCs w:val="22"/>
        </w:rPr>
        <w:t xml:space="preserve"> biologicznym; </w:t>
      </w:r>
    </w:p>
    <w:p w14:paraId="7BBAB9B1" w14:textId="77777777" w:rsidR="00A70535" w:rsidRDefault="0034170C">
      <w:pPr>
        <w:pStyle w:val="Akapitzlist"/>
        <w:numPr>
          <w:ilvl w:val="0"/>
          <w:numId w:val="30"/>
        </w:numPr>
        <w:spacing w:line="360" w:lineRule="auto"/>
        <w:rPr>
          <w:rFonts w:ascii="Lato" w:hAnsi="Lato" w:cstheme="minorHAnsi"/>
          <w:color w:val="000000" w:themeColor="text1"/>
          <w:sz w:val="22"/>
          <w:szCs w:val="22"/>
        </w:rPr>
      </w:pPr>
      <w:r w:rsidRPr="00A70535">
        <w:rPr>
          <w:rFonts w:ascii="Lato" w:hAnsi="Lato" w:cstheme="minorHAnsi"/>
          <w:color w:val="000000" w:themeColor="text1"/>
          <w:sz w:val="22"/>
          <w:szCs w:val="22"/>
        </w:rPr>
        <w:t>niezaproponowanie pracownikom uodpornienia przy użyciu dostępnych szczepionek;</w:t>
      </w:r>
    </w:p>
    <w:p w14:paraId="5700B9FF" w14:textId="66D1A048" w:rsidR="0034170C" w:rsidRPr="00A70535" w:rsidRDefault="0034170C">
      <w:pPr>
        <w:pStyle w:val="Akapitzlist"/>
        <w:numPr>
          <w:ilvl w:val="0"/>
          <w:numId w:val="30"/>
        </w:numPr>
        <w:spacing w:line="360" w:lineRule="auto"/>
        <w:rPr>
          <w:rFonts w:ascii="Lato" w:hAnsi="Lato" w:cstheme="minorHAnsi"/>
          <w:color w:val="000000" w:themeColor="text1"/>
          <w:sz w:val="22"/>
          <w:szCs w:val="22"/>
        </w:rPr>
      </w:pPr>
      <w:r w:rsidRPr="00A70535">
        <w:rPr>
          <w:rFonts w:ascii="Lato" w:hAnsi="Lato" w:cstheme="minorHAnsi"/>
          <w:color w:val="000000" w:themeColor="text1"/>
          <w:sz w:val="22"/>
          <w:szCs w:val="22"/>
        </w:rPr>
        <w:t>brak opracowanych procedur w zakresie bezpiecznego postępowania ze szkodliwymi czynnikami biologicznymi.</w:t>
      </w:r>
    </w:p>
    <w:p w14:paraId="7370E59D" w14:textId="77777777" w:rsidR="0034170C" w:rsidRPr="00922954" w:rsidRDefault="0034170C" w:rsidP="0034170C">
      <w:pPr>
        <w:spacing w:line="276" w:lineRule="auto"/>
        <w:rPr>
          <w:rFonts w:ascii="Lato" w:hAnsi="Lato" w:cstheme="minorHAnsi"/>
          <w:color w:val="EE0000"/>
          <w:sz w:val="20"/>
          <w:szCs w:val="20"/>
        </w:rPr>
      </w:pPr>
    </w:p>
    <w:p w14:paraId="4D25B610" w14:textId="1F6E62B5" w:rsidR="0034170C" w:rsidRPr="003B1AC6" w:rsidRDefault="0034170C">
      <w:pPr>
        <w:pStyle w:val="Nagwek2"/>
        <w:numPr>
          <w:ilvl w:val="0"/>
          <w:numId w:val="1"/>
        </w:numPr>
        <w:spacing w:before="0" w:after="0"/>
        <w:ind w:left="568" w:right="284" w:hanging="284"/>
        <w:rPr>
          <w:rFonts w:eastAsia="Times New Roman" w:cstheme="minorHAnsi"/>
          <w:b/>
          <w:bCs/>
          <w:color w:val="EE0000"/>
          <w:sz w:val="20"/>
          <w:szCs w:val="20"/>
        </w:rPr>
      </w:pPr>
      <w:bookmarkStart w:id="204" w:name="_Toc225859098"/>
      <w:r w:rsidRPr="003B1AC6">
        <w:rPr>
          <w:b/>
          <w:bCs/>
          <w:szCs w:val="24"/>
        </w:rPr>
        <w:t>Stosowanie substancji chemicznych i ich mieszanin</w:t>
      </w:r>
      <w:bookmarkEnd w:id="204"/>
    </w:p>
    <w:p w14:paraId="3AC671BC" w14:textId="77777777" w:rsidR="0034170C" w:rsidRPr="00BB733C" w:rsidRDefault="0034170C" w:rsidP="0034170C">
      <w:pPr>
        <w:spacing w:line="276" w:lineRule="auto"/>
        <w:rPr>
          <w:rFonts w:ascii="Lato" w:hAnsi="Lato" w:cstheme="minorHAnsi"/>
          <w:color w:val="EE0000"/>
          <w:sz w:val="20"/>
          <w:szCs w:val="20"/>
        </w:rPr>
      </w:pPr>
    </w:p>
    <w:p w14:paraId="6A05FEAE" w14:textId="77777777" w:rsidR="0034170C" w:rsidRPr="00840981" w:rsidRDefault="0034170C" w:rsidP="00EA310A">
      <w:pPr>
        <w:spacing w:line="360" w:lineRule="auto"/>
        <w:rPr>
          <w:rFonts w:ascii="Lato" w:hAnsi="Lato" w:cstheme="minorHAnsi"/>
          <w:color w:val="000000" w:themeColor="text1"/>
          <w:sz w:val="22"/>
          <w:szCs w:val="22"/>
        </w:rPr>
      </w:pPr>
      <w:r w:rsidRPr="00840981">
        <w:rPr>
          <w:rFonts w:ascii="Lato" w:hAnsi="Lato" w:cstheme="minorHAnsi"/>
          <w:color w:val="000000" w:themeColor="text1"/>
          <w:sz w:val="22"/>
          <w:szCs w:val="22"/>
        </w:rPr>
        <w:t>Stosowanie w zakładach pracy substancji chemicznych i ich mieszanin jest dopuszczalne pod warunkiem zastosowania środków zapewniających pracownikom ochronę ich zdrowia i życia.</w:t>
      </w:r>
    </w:p>
    <w:p w14:paraId="03083AB2" w14:textId="77777777" w:rsidR="0034170C" w:rsidRPr="00840981" w:rsidRDefault="0034170C" w:rsidP="00EA310A">
      <w:pPr>
        <w:spacing w:line="360" w:lineRule="auto"/>
        <w:rPr>
          <w:rFonts w:ascii="Lato" w:hAnsi="Lato" w:cstheme="minorHAnsi"/>
          <w:color w:val="000000" w:themeColor="text1"/>
          <w:sz w:val="22"/>
          <w:szCs w:val="22"/>
        </w:rPr>
      </w:pPr>
      <w:r w:rsidRPr="00840981">
        <w:rPr>
          <w:rFonts w:ascii="Lato" w:hAnsi="Lato" w:cstheme="minorHAnsi"/>
          <w:color w:val="000000" w:themeColor="text1"/>
          <w:sz w:val="22"/>
          <w:szCs w:val="22"/>
        </w:rPr>
        <w:t xml:space="preserve">W roku sprawozdawczym w zakresie stosowania substancji chemicznych i ich mieszanin przeprowadzono łącznie 566 kontroli. </w:t>
      </w:r>
    </w:p>
    <w:p w14:paraId="6DC07E33" w14:textId="77777777" w:rsidR="0034170C" w:rsidRPr="00840981" w:rsidRDefault="0034170C" w:rsidP="00EA310A">
      <w:pPr>
        <w:spacing w:line="360" w:lineRule="auto"/>
        <w:rPr>
          <w:rFonts w:ascii="Lato" w:hAnsi="Lato" w:cstheme="minorHAnsi"/>
          <w:color w:val="000000" w:themeColor="text1"/>
          <w:sz w:val="22"/>
          <w:szCs w:val="22"/>
        </w:rPr>
      </w:pPr>
      <w:r w:rsidRPr="00840981">
        <w:rPr>
          <w:rFonts w:ascii="Lato" w:hAnsi="Lato" w:cstheme="minorHAnsi"/>
          <w:color w:val="000000" w:themeColor="text1"/>
          <w:sz w:val="22"/>
          <w:szCs w:val="22"/>
        </w:rPr>
        <w:t>W wyniku kontroli do najczęściej stwierdzanych nieprawidłowości należało:</w:t>
      </w:r>
    </w:p>
    <w:p w14:paraId="0CB66BEF" w14:textId="2AAF7089" w:rsidR="0034170C" w:rsidRPr="00ED2B44" w:rsidRDefault="0034170C">
      <w:pPr>
        <w:pStyle w:val="Akapitzlist"/>
        <w:numPr>
          <w:ilvl w:val="0"/>
          <w:numId w:val="29"/>
        </w:numPr>
        <w:spacing w:line="360" w:lineRule="auto"/>
        <w:rPr>
          <w:rFonts w:ascii="Lato" w:hAnsi="Lato" w:cstheme="minorHAnsi"/>
          <w:color w:val="000000" w:themeColor="text1"/>
          <w:sz w:val="22"/>
          <w:szCs w:val="22"/>
        </w:rPr>
      </w:pPr>
      <w:r w:rsidRPr="00ED2B44">
        <w:rPr>
          <w:rFonts w:ascii="Lato" w:hAnsi="Lato" w:cstheme="minorHAnsi"/>
          <w:color w:val="000000" w:themeColor="text1"/>
          <w:sz w:val="22"/>
          <w:szCs w:val="22"/>
        </w:rPr>
        <w:t>brak spisu stosowanych substancji chemicznych i ich mieszanin;</w:t>
      </w:r>
    </w:p>
    <w:p w14:paraId="4D576E8A" w14:textId="0355E824" w:rsidR="0034170C" w:rsidRPr="00ED2B44" w:rsidRDefault="0034170C">
      <w:pPr>
        <w:pStyle w:val="Akapitzlist"/>
        <w:numPr>
          <w:ilvl w:val="0"/>
          <w:numId w:val="29"/>
        </w:numPr>
        <w:spacing w:line="360" w:lineRule="auto"/>
        <w:rPr>
          <w:rFonts w:ascii="Lato" w:hAnsi="Lato" w:cstheme="minorHAnsi"/>
          <w:color w:val="000000" w:themeColor="text1"/>
          <w:sz w:val="22"/>
          <w:szCs w:val="22"/>
        </w:rPr>
      </w:pPr>
      <w:r w:rsidRPr="00ED2B44">
        <w:rPr>
          <w:rFonts w:ascii="Lato" w:hAnsi="Lato" w:cstheme="minorHAnsi"/>
          <w:color w:val="000000" w:themeColor="text1"/>
          <w:sz w:val="22"/>
          <w:szCs w:val="22"/>
        </w:rPr>
        <w:t>brak kart charakterystyki stosowanych substancji chemicznych i ich mieszanin;</w:t>
      </w:r>
    </w:p>
    <w:p w14:paraId="2E387F3F" w14:textId="28DB200A" w:rsidR="0034170C" w:rsidRPr="00ED2B44" w:rsidRDefault="0034170C">
      <w:pPr>
        <w:pStyle w:val="Akapitzlist"/>
        <w:numPr>
          <w:ilvl w:val="0"/>
          <w:numId w:val="29"/>
        </w:numPr>
        <w:spacing w:line="360" w:lineRule="auto"/>
        <w:rPr>
          <w:rFonts w:ascii="Lato" w:hAnsi="Lato" w:cstheme="minorHAnsi"/>
          <w:color w:val="000000" w:themeColor="text1"/>
          <w:sz w:val="22"/>
          <w:szCs w:val="22"/>
        </w:rPr>
      </w:pPr>
      <w:r w:rsidRPr="00ED2B44">
        <w:rPr>
          <w:rFonts w:ascii="Lato" w:hAnsi="Lato" w:cstheme="minorHAnsi"/>
          <w:color w:val="000000" w:themeColor="text1"/>
          <w:sz w:val="22"/>
          <w:szCs w:val="22"/>
        </w:rPr>
        <w:t>niewłaściwe oznakowanie pojemników</w:t>
      </w:r>
      <w:r w:rsidR="00AC5D37">
        <w:rPr>
          <w:rFonts w:ascii="Lato" w:hAnsi="Lato" w:cstheme="minorHAnsi"/>
          <w:color w:val="000000" w:themeColor="text1"/>
          <w:sz w:val="22"/>
          <w:szCs w:val="22"/>
        </w:rPr>
        <w:t xml:space="preserve"> i</w:t>
      </w:r>
      <w:r w:rsidRPr="00ED2B44">
        <w:rPr>
          <w:rFonts w:ascii="Lato" w:hAnsi="Lato" w:cstheme="minorHAnsi"/>
          <w:color w:val="000000" w:themeColor="text1"/>
          <w:sz w:val="22"/>
          <w:szCs w:val="22"/>
        </w:rPr>
        <w:t xml:space="preserve"> zbiorników służących do przechowywania </w:t>
      </w:r>
      <w:r w:rsidR="00AC5D37">
        <w:rPr>
          <w:rFonts w:ascii="Lato" w:hAnsi="Lato" w:cstheme="minorHAnsi"/>
          <w:color w:val="000000" w:themeColor="text1"/>
          <w:sz w:val="22"/>
          <w:szCs w:val="22"/>
        </w:rPr>
        <w:t>chemikaliów</w:t>
      </w:r>
      <w:r w:rsidRPr="00ED2B44">
        <w:rPr>
          <w:rFonts w:ascii="Lato" w:hAnsi="Lato" w:cstheme="minorHAnsi"/>
          <w:color w:val="000000" w:themeColor="text1"/>
          <w:sz w:val="22"/>
          <w:szCs w:val="22"/>
        </w:rPr>
        <w:t xml:space="preserve">. </w:t>
      </w:r>
    </w:p>
    <w:p w14:paraId="487668EE" w14:textId="77777777" w:rsidR="0034170C" w:rsidRPr="00BB733C" w:rsidRDefault="0034170C" w:rsidP="0034170C">
      <w:pPr>
        <w:spacing w:line="276" w:lineRule="auto"/>
        <w:rPr>
          <w:rFonts w:ascii="Lato" w:hAnsi="Lato" w:cstheme="minorHAnsi"/>
          <w:color w:val="EE0000"/>
          <w:sz w:val="20"/>
          <w:szCs w:val="20"/>
        </w:rPr>
      </w:pPr>
    </w:p>
    <w:p w14:paraId="01A45286" w14:textId="68CD7B77" w:rsidR="0034170C" w:rsidRPr="003B1AC6" w:rsidRDefault="0034170C">
      <w:pPr>
        <w:pStyle w:val="Nagwek2"/>
        <w:numPr>
          <w:ilvl w:val="0"/>
          <w:numId w:val="1"/>
        </w:numPr>
        <w:spacing w:before="0" w:after="0" w:line="360" w:lineRule="auto"/>
        <w:ind w:left="568" w:right="284" w:hanging="284"/>
        <w:rPr>
          <w:b/>
          <w:bCs/>
          <w:szCs w:val="24"/>
        </w:rPr>
      </w:pPr>
      <w:bookmarkStart w:id="205" w:name="_Toc225859099"/>
      <w:r w:rsidRPr="003B1AC6">
        <w:rPr>
          <w:b/>
          <w:bCs/>
          <w:szCs w:val="24"/>
        </w:rPr>
        <w:t>Choroby zawodowe</w:t>
      </w:r>
      <w:bookmarkEnd w:id="205"/>
    </w:p>
    <w:p w14:paraId="4B33ED6F" w14:textId="4A1C9869" w:rsidR="0034170C" w:rsidRPr="001D3C3C" w:rsidRDefault="0034170C" w:rsidP="00EA310A">
      <w:pPr>
        <w:spacing w:line="360" w:lineRule="auto"/>
        <w:rPr>
          <w:rFonts w:ascii="Lato" w:hAnsi="Lato" w:cstheme="minorHAnsi"/>
          <w:bCs/>
          <w:color w:val="000000" w:themeColor="text1"/>
          <w:sz w:val="22"/>
          <w:szCs w:val="22"/>
        </w:rPr>
      </w:pPr>
      <w:r w:rsidRPr="004938F3">
        <w:rPr>
          <w:rFonts w:ascii="Lato" w:hAnsi="Lato" w:cstheme="minorHAnsi"/>
          <w:bCs/>
          <w:color w:val="000000" w:themeColor="text1"/>
          <w:sz w:val="22"/>
          <w:szCs w:val="22"/>
        </w:rPr>
        <w:t>Choroby zawodowe to choroby, które zostały spowodowane działaniem czynników szkodliwych dla zdrowia występujących w środowisku pracy albo w związku ze sposobem wykonywania pracy.</w:t>
      </w:r>
    </w:p>
    <w:p w14:paraId="2228A457" w14:textId="704637BD" w:rsidR="0034170C" w:rsidRPr="009D5F43" w:rsidRDefault="00DB7ECB" w:rsidP="00EA310A">
      <w:pPr>
        <w:spacing w:line="360" w:lineRule="auto"/>
        <w:rPr>
          <w:rFonts w:ascii="Lato" w:hAnsi="Lato" w:cstheme="minorHAnsi"/>
          <w:bCs/>
          <w:color w:val="000000" w:themeColor="text1"/>
          <w:sz w:val="22"/>
          <w:szCs w:val="22"/>
        </w:rPr>
      </w:pPr>
      <w:r>
        <w:rPr>
          <w:rFonts w:ascii="Lato" w:hAnsi="Lato" w:cstheme="minorHAnsi"/>
          <w:bCs/>
          <w:color w:val="000000" w:themeColor="text1"/>
          <w:sz w:val="22"/>
          <w:szCs w:val="22"/>
        </w:rPr>
        <w:lastRenderedPageBreak/>
        <w:t>W</w:t>
      </w:r>
      <w:r w:rsidR="0034170C">
        <w:rPr>
          <w:rFonts w:ascii="Lato" w:hAnsi="Lato" w:cstheme="minorHAnsi"/>
          <w:bCs/>
          <w:color w:val="000000" w:themeColor="text1"/>
          <w:sz w:val="22"/>
          <w:szCs w:val="22"/>
        </w:rPr>
        <w:t xml:space="preserve">ieloletnia </w:t>
      </w:r>
      <w:r w:rsidR="0034170C" w:rsidRPr="00B06A4B">
        <w:rPr>
          <w:rFonts w:ascii="Lato" w:hAnsi="Lato" w:cstheme="minorHAnsi"/>
          <w:bCs/>
          <w:color w:val="000000" w:themeColor="text1"/>
          <w:sz w:val="22"/>
          <w:szCs w:val="22"/>
        </w:rPr>
        <w:t xml:space="preserve">analiza danych dotyczących zapadalności na choroby zawodowe pozwala identyfikować stanowiska pracy, zakłady, sektory gospodarki, w których występują warunki przyczyniające się do powstania schorzeń zawodowych, </w:t>
      </w:r>
      <w:r w:rsidR="0034170C">
        <w:rPr>
          <w:rFonts w:ascii="Lato" w:hAnsi="Lato" w:cstheme="minorHAnsi"/>
          <w:bCs/>
          <w:color w:val="000000" w:themeColor="text1"/>
          <w:sz w:val="22"/>
          <w:szCs w:val="22"/>
        </w:rPr>
        <w:t xml:space="preserve">tym samym umożliwiając poprawę warunków pracy oraz podejmowanie działań wyprzedzających, których celem jest wyeliminowanie lub </w:t>
      </w:r>
      <w:r w:rsidR="001D1B17">
        <w:rPr>
          <w:rFonts w:ascii="Lato" w:hAnsi="Lato" w:cstheme="minorHAnsi"/>
          <w:bCs/>
          <w:color w:val="000000" w:themeColor="text1"/>
          <w:sz w:val="22"/>
          <w:szCs w:val="22"/>
        </w:rPr>
        <w:t xml:space="preserve">ograniczenie </w:t>
      </w:r>
      <w:r w:rsidR="0034170C">
        <w:rPr>
          <w:rFonts w:ascii="Lato" w:hAnsi="Lato" w:cstheme="minorHAnsi"/>
          <w:bCs/>
          <w:color w:val="000000" w:themeColor="text1"/>
          <w:sz w:val="22"/>
          <w:szCs w:val="22"/>
        </w:rPr>
        <w:t xml:space="preserve">czynników zagrażających zdrowiu w miejscu pracy. </w:t>
      </w:r>
    </w:p>
    <w:p w14:paraId="0C3553B5" w14:textId="77777777" w:rsidR="0034170C" w:rsidRPr="00B06A4B" w:rsidRDefault="0034170C" w:rsidP="00EA310A">
      <w:pPr>
        <w:spacing w:line="360" w:lineRule="auto"/>
        <w:rPr>
          <w:rFonts w:ascii="Lato" w:hAnsi="Lato" w:cstheme="minorHAnsi"/>
          <w:bCs/>
          <w:color w:val="000000" w:themeColor="text1"/>
          <w:sz w:val="22"/>
          <w:szCs w:val="22"/>
        </w:rPr>
      </w:pPr>
      <w:r w:rsidRPr="00B06A4B">
        <w:rPr>
          <w:rFonts w:ascii="Lato" w:hAnsi="Lato" w:cstheme="minorHAnsi"/>
          <w:color w:val="000000" w:themeColor="text1"/>
          <w:sz w:val="22"/>
          <w:szCs w:val="22"/>
        </w:rPr>
        <w:t xml:space="preserve">W województwie zachodniopomorskim, w 2025 stwierdzono 70 chorób pochodzenia zawodowego. </w:t>
      </w:r>
    </w:p>
    <w:p w14:paraId="74D8FFC5" w14:textId="0561665D" w:rsidR="0034170C" w:rsidRPr="003B1844" w:rsidRDefault="0034170C" w:rsidP="00EA310A">
      <w:pPr>
        <w:pStyle w:val="Akapitzlist"/>
        <w:spacing w:line="360" w:lineRule="auto"/>
        <w:ind w:left="0"/>
        <w:rPr>
          <w:rFonts w:ascii="Lato" w:hAnsi="Lato" w:cstheme="minorHAnsi"/>
          <w:color w:val="000000" w:themeColor="text1"/>
          <w:sz w:val="22"/>
          <w:szCs w:val="22"/>
        </w:rPr>
      </w:pPr>
      <w:r w:rsidRPr="003B1844">
        <w:rPr>
          <w:rFonts w:ascii="Lato" w:hAnsi="Lato" w:cstheme="minorHAnsi"/>
          <w:color w:val="000000" w:themeColor="text1"/>
          <w:sz w:val="22"/>
          <w:szCs w:val="22"/>
        </w:rPr>
        <w:t>Do najczęściej stwierdzanych chorób zawodowych, tak jak w latach poprzednich, należały choroby zakaźne lub pasożytnicze – 22 przypadki, tj. ponad 31 % ogólnej liczby stwierdzonych chorób zawodowych. Wszystkie rozpoznania dotyczyły boreliozy</w:t>
      </w:r>
      <w:r w:rsidR="001D1B17">
        <w:rPr>
          <w:rFonts w:ascii="Lato" w:hAnsi="Lato" w:cstheme="minorHAnsi"/>
          <w:color w:val="000000" w:themeColor="text1"/>
          <w:sz w:val="22"/>
          <w:szCs w:val="22"/>
        </w:rPr>
        <w:t xml:space="preserve">, którą najczęściej  </w:t>
      </w:r>
      <w:r w:rsidRPr="003B1844">
        <w:rPr>
          <w:rFonts w:ascii="Lato" w:hAnsi="Lato" w:cstheme="minorHAnsi"/>
          <w:color w:val="000000" w:themeColor="text1"/>
          <w:sz w:val="22"/>
          <w:szCs w:val="22"/>
        </w:rPr>
        <w:t>stwierdzan</w:t>
      </w:r>
      <w:r w:rsidR="001D1B17">
        <w:rPr>
          <w:rFonts w:ascii="Lato" w:hAnsi="Lato" w:cstheme="minorHAnsi"/>
          <w:color w:val="000000" w:themeColor="text1"/>
          <w:sz w:val="22"/>
          <w:szCs w:val="22"/>
        </w:rPr>
        <w:t xml:space="preserve">o </w:t>
      </w:r>
      <w:r w:rsidRPr="003B1844">
        <w:rPr>
          <w:rFonts w:ascii="Lato" w:hAnsi="Lato" w:cstheme="minorHAnsi"/>
          <w:color w:val="000000" w:themeColor="text1"/>
          <w:sz w:val="22"/>
          <w:szCs w:val="22"/>
        </w:rPr>
        <w:t>u</w:t>
      </w:r>
      <w:r w:rsidR="00A9310D">
        <w:rPr>
          <w:rFonts w:ascii="Lato" w:hAnsi="Lato" w:cstheme="minorHAnsi"/>
          <w:color w:val="000000" w:themeColor="text1"/>
          <w:sz w:val="22"/>
          <w:szCs w:val="22"/>
        </w:rPr>
        <w:t> </w:t>
      </w:r>
      <w:r w:rsidR="001D1B17">
        <w:rPr>
          <w:rFonts w:ascii="Lato" w:hAnsi="Lato" w:cstheme="minorHAnsi"/>
          <w:color w:val="000000" w:themeColor="text1"/>
          <w:sz w:val="22"/>
          <w:szCs w:val="22"/>
        </w:rPr>
        <w:t>osób zatrudnionych w gospodarce leśnej</w:t>
      </w:r>
      <w:r w:rsidRPr="003B1844">
        <w:rPr>
          <w:rFonts w:ascii="Lato" w:hAnsi="Lato" w:cstheme="minorHAnsi"/>
          <w:color w:val="000000" w:themeColor="text1"/>
          <w:sz w:val="22"/>
          <w:szCs w:val="22"/>
        </w:rPr>
        <w:t>.</w:t>
      </w:r>
    </w:p>
    <w:p w14:paraId="43D93189" w14:textId="5C4977AB" w:rsidR="0034170C" w:rsidRPr="00B06A4B" w:rsidRDefault="0034170C" w:rsidP="00EA310A">
      <w:pPr>
        <w:spacing w:line="360" w:lineRule="auto"/>
        <w:rPr>
          <w:rFonts w:ascii="Lato" w:hAnsi="Lato" w:cstheme="minorHAnsi"/>
          <w:color w:val="000000" w:themeColor="text1"/>
          <w:sz w:val="22"/>
          <w:szCs w:val="22"/>
        </w:rPr>
      </w:pPr>
      <w:r w:rsidRPr="00B06A4B">
        <w:rPr>
          <w:rFonts w:ascii="Lato" w:hAnsi="Lato" w:cstheme="minorHAnsi"/>
          <w:color w:val="000000" w:themeColor="text1"/>
          <w:sz w:val="22"/>
          <w:szCs w:val="22"/>
        </w:rPr>
        <w:t>Kolejnymi</w:t>
      </w:r>
      <w:r w:rsidR="00620A44">
        <w:rPr>
          <w:rFonts w:ascii="Lato" w:hAnsi="Lato" w:cstheme="minorHAnsi"/>
          <w:color w:val="000000" w:themeColor="text1"/>
          <w:sz w:val="22"/>
          <w:szCs w:val="22"/>
        </w:rPr>
        <w:t>,</w:t>
      </w:r>
      <w:r w:rsidRPr="00B06A4B">
        <w:rPr>
          <w:rFonts w:ascii="Lato" w:hAnsi="Lato" w:cstheme="minorHAnsi"/>
          <w:color w:val="000000" w:themeColor="text1"/>
          <w:sz w:val="22"/>
          <w:szCs w:val="22"/>
        </w:rPr>
        <w:t xml:space="preserve"> z uwagi na częstość występowania</w:t>
      </w:r>
      <w:r w:rsidR="00620A44">
        <w:rPr>
          <w:rFonts w:ascii="Lato" w:hAnsi="Lato" w:cstheme="minorHAnsi"/>
          <w:color w:val="000000" w:themeColor="text1"/>
          <w:sz w:val="22"/>
          <w:szCs w:val="22"/>
        </w:rPr>
        <w:t>,</w:t>
      </w:r>
      <w:r w:rsidRPr="00B06A4B">
        <w:rPr>
          <w:rFonts w:ascii="Lato" w:hAnsi="Lato" w:cstheme="minorHAnsi"/>
          <w:color w:val="000000" w:themeColor="text1"/>
          <w:sz w:val="22"/>
          <w:szCs w:val="22"/>
        </w:rPr>
        <w:t xml:space="preserve"> chorobami zawodowymi były:</w:t>
      </w:r>
    </w:p>
    <w:p w14:paraId="7E4E301B" w14:textId="3B0F1B56" w:rsidR="0034170C" w:rsidRPr="00F040E7" w:rsidRDefault="0034170C">
      <w:pPr>
        <w:pStyle w:val="Akapitzlist"/>
        <w:numPr>
          <w:ilvl w:val="0"/>
          <w:numId w:val="51"/>
        </w:numPr>
        <w:spacing w:line="360" w:lineRule="auto"/>
        <w:rPr>
          <w:rFonts w:ascii="Lato" w:hAnsi="Lato" w:cstheme="minorHAnsi"/>
          <w:color w:val="000000" w:themeColor="text1"/>
          <w:sz w:val="22"/>
          <w:szCs w:val="22"/>
        </w:rPr>
      </w:pPr>
      <w:r w:rsidRPr="00F040E7">
        <w:rPr>
          <w:rFonts w:ascii="Lato" w:hAnsi="Lato" w:cstheme="minorHAnsi"/>
          <w:color w:val="000000" w:themeColor="text1"/>
          <w:sz w:val="22"/>
          <w:szCs w:val="22"/>
        </w:rPr>
        <w:t>przewlekłe choroby narządu głosu spowodowane nadmiernym wysiłkiem głosowym, trwającym co najmniej 15 lat (18 przypadków, tj. 2</w:t>
      </w:r>
      <w:r w:rsidR="00620A44">
        <w:rPr>
          <w:rFonts w:ascii="Lato" w:hAnsi="Lato" w:cstheme="minorHAnsi"/>
          <w:color w:val="000000" w:themeColor="text1"/>
          <w:sz w:val="22"/>
          <w:szCs w:val="22"/>
        </w:rPr>
        <w:t>6</w:t>
      </w:r>
      <w:r w:rsidRPr="00F040E7">
        <w:rPr>
          <w:rFonts w:ascii="Lato" w:hAnsi="Lato" w:cstheme="minorHAnsi"/>
          <w:color w:val="000000" w:themeColor="text1"/>
          <w:sz w:val="22"/>
          <w:szCs w:val="22"/>
        </w:rPr>
        <w:t xml:space="preserve"> % ogólnej liczby stwierdzonych chorób zawodowych);</w:t>
      </w:r>
    </w:p>
    <w:p w14:paraId="213B37CC" w14:textId="0618A0E6" w:rsidR="00EA310A" w:rsidRPr="00F040E7" w:rsidRDefault="0034170C">
      <w:pPr>
        <w:pStyle w:val="Akapitzlist"/>
        <w:numPr>
          <w:ilvl w:val="0"/>
          <w:numId w:val="51"/>
        </w:numPr>
        <w:spacing w:line="360" w:lineRule="auto"/>
        <w:rPr>
          <w:rFonts w:ascii="Lato" w:hAnsi="Lato" w:cstheme="minorHAnsi"/>
          <w:color w:val="000000" w:themeColor="text1"/>
          <w:sz w:val="22"/>
          <w:szCs w:val="22"/>
        </w:rPr>
      </w:pPr>
      <w:r w:rsidRPr="00F040E7">
        <w:rPr>
          <w:rFonts w:ascii="Lato" w:hAnsi="Lato" w:cstheme="minorHAnsi"/>
          <w:bCs/>
          <w:color w:val="000000" w:themeColor="text1"/>
          <w:sz w:val="22"/>
          <w:szCs w:val="22"/>
        </w:rPr>
        <w:t xml:space="preserve">przewlekłe choroby obwodowego układu nerwowego wywołane sposobem wykonywania pracy </w:t>
      </w:r>
      <w:r w:rsidRPr="00F040E7">
        <w:rPr>
          <w:rFonts w:ascii="Lato" w:hAnsi="Lato" w:cstheme="minorHAnsi"/>
          <w:color w:val="000000" w:themeColor="text1"/>
          <w:sz w:val="22"/>
          <w:szCs w:val="22"/>
        </w:rPr>
        <w:t>(13 przypadków, tj. 1</w:t>
      </w:r>
      <w:r w:rsidR="00620A44">
        <w:rPr>
          <w:rFonts w:ascii="Lato" w:hAnsi="Lato" w:cstheme="minorHAnsi"/>
          <w:color w:val="000000" w:themeColor="text1"/>
          <w:sz w:val="22"/>
          <w:szCs w:val="22"/>
        </w:rPr>
        <w:t>9</w:t>
      </w:r>
      <w:r w:rsidRPr="00F040E7">
        <w:rPr>
          <w:rFonts w:ascii="Lato" w:hAnsi="Lato" w:cstheme="minorHAnsi"/>
          <w:color w:val="000000" w:themeColor="text1"/>
          <w:sz w:val="22"/>
          <w:szCs w:val="22"/>
        </w:rPr>
        <w:t xml:space="preserve"> % ogólnej liczby stwierdzonych chorób zawodowych).</w:t>
      </w:r>
    </w:p>
    <w:p w14:paraId="06B6C24E" w14:textId="77777777" w:rsidR="0034170C" w:rsidRPr="000A45D6" w:rsidRDefault="0034170C" w:rsidP="00EA310A">
      <w:pPr>
        <w:spacing w:line="360" w:lineRule="auto"/>
        <w:rPr>
          <w:rFonts w:ascii="Lato" w:hAnsi="Lato" w:cstheme="minorHAnsi"/>
          <w:color w:val="000000" w:themeColor="text1"/>
          <w:sz w:val="22"/>
          <w:szCs w:val="22"/>
        </w:rPr>
      </w:pPr>
      <w:r w:rsidRPr="000A45D6">
        <w:rPr>
          <w:rFonts w:ascii="Lato" w:hAnsi="Lato" w:cstheme="minorHAnsi"/>
          <w:color w:val="000000" w:themeColor="text1"/>
          <w:sz w:val="22"/>
          <w:szCs w:val="22"/>
        </w:rPr>
        <w:t>Największą liczbę przypadków chorób zawodowych stwierdzono wśród pracowników zajmujących się edukacją (PKD 85) – 20 przypadków.</w:t>
      </w:r>
    </w:p>
    <w:p w14:paraId="011955C2" w14:textId="30975429" w:rsidR="0034170C" w:rsidRDefault="0034170C" w:rsidP="00EA310A">
      <w:pPr>
        <w:spacing w:line="360" w:lineRule="auto"/>
        <w:rPr>
          <w:rFonts w:ascii="Lato" w:hAnsi="Lato" w:cstheme="minorHAnsi"/>
          <w:color w:val="000000" w:themeColor="text1"/>
          <w:sz w:val="22"/>
          <w:szCs w:val="22"/>
        </w:rPr>
      </w:pPr>
      <w:r w:rsidRPr="00B06A4B">
        <w:rPr>
          <w:rFonts w:ascii="Lato" w:hAnsi="Lato" w:cstheme="minorHAnsi"/>
          <w:color w:val="000000" w:themeColor="text1"/>
          <w:sz w:val="22"/>
          <w:szCs w:val="22"/>
        </w:rPr>
        <w:t xml:space="preserve">Stwierdzono również </w:t>
      </w:r>
      <w:r w:rsidR="007E0E0F">
        <w:rPr>
          <w:rFonts w:ascii="Lato" w:hAnsi="Lato" w:cstheme="minorHAnsi"/>
          <w:color w:val="000000" w:themeColor="text1"/>
          <w:sz w:val="22"/>
          <w:szCs w:val="22"/>
        </w:rPr>
        <w:t>6</w:t>
      </w:r>
      <w:r w:rsidRPr="00B06A4B">
        <w:rPr>
          <w:rFonts w:ascii="Lato" w:hAnsi="Lato" w:cstheme="minorHAnsi"/>
          <w:color w:val="000000" w:themeColor="text1"/>
          <w:sz w:val="22"/>
          <w:szCs w:val="22"/>
        </w:rPr>
        <w:t xml:space="preserve"> przypadków chorób zawodowych, które powstały w następstwie działania czynników występujących w środowisku pracy, uznanych za rakotwórcze u ludzi: pylica spawaczy (1 przypadek); choroby opłucnej lub osierdzia wywołane pyłem azbestu – rozległe zgrubienie opłucnej (3 przypadki); nowotwory złośliwe powstałe w następstwie działania czynników występujących w środowisku pracy, uznanych za rakotwórcze u ludzi: </w:t>
      </w:r>
      <w:proofErr w:type="spellStart"/>
      <w:r w:rsidRPr="00B06A4B">
        <w:rPr>
          <w:rFonts w:ascii="Lato" w:hAnsi="Lato" w:cstheme="minorHAnsi"/>
          <w:color w:val="000000" w:themeColor="text1"/>
          <w:sz w:val="22"/>
          <w:szCs w:val="22"/>
        </w:rPr>
        <w:t>międzybłoniak</w:t>
      </w:r>
      <w:proofErr w:type="spellEnd"/>
      <w:r w:rsidRPr="00B06A4B">
        <w:rPr>
          <w:rFonts w:ascii="Lato" w:hAnsi="Lato" w:cstheme="minorHAnsi"/>
          <w:color w:val="000000" w:themeColor="text1"/>
          <w:sz w:val="22"/>
          <w:szCs w:val="22"/>
        </w:rPr>
        <w:t xml:space="preserve"> opłucnej albo otrzewnej (</w:t>
      </w:r>
      <w:r w:rsidR="007E0E0F">
        <w:rPr>
          <w:rFonts w:ascii="Lato" w:hAnsi="Lato" w:cstheme="minorHAnsi"/>
          <w:color w:val="000000" w:themeColor="text1"/>
          <w:sz w:val="22"/>
          <w:szCs w:val="22"/>
        </w:rPr>
        <w:t>2</w:t>
      </w:r>
      <w:r w:rsidRPr="00B06A4B">
        <w:rPr>
          <w:rFonts w:ascii="Lato" w:hAnsi="Lato" w:cstheme="minorHAnsi"/>
          <w:color w:val="000000" w:themeColor="text1"/>
          <w:sz w:val="22"/>
          <w:szCs w:val="22"/>
        </w:rPr>
        <w:t xml:space="preserve"> przypadk</w:t>
      </w:r>
      <w:r w:rsidR="007E0E0F">
        <w:rPr>
          <w:rFonts w:ascii="Lato" w:hAnsi="Lato" w:cstheme="minorHAnsi"/>
          <w:color w:val="000000" w:themeColor="text1"/>
          <w:sz w:val="22"/>
          <w:szCs w:val="22"/>
        </w:rPr>
        <w:t>i</w:t>
      </w:r>
      <w:r w:rsidRPr="00B06A4B">
        <w:rPr>
          <w:rFonts w:ascii="Lato" w:hAnsi="Lato" w:cstheme="minorHAnsi"/>
          <w:color w:val="000000" w:themeColor="text1"/>
          <w:sz w:val="22"/>
          <w:szCs w:val="22"/>
        </w:rPr>
        <w:t>).</w:t>
      </w:r>
    </w:p>
    <w:p w14:paraId="43FBA24F" w14:textId="472D23BC" w:rsidR="0034170C" w:rsidRDefault="0034170C" w:rsidP="00EA310A">
      <w:pPr>
        <w:spacing w:line="360" w:lineRule="auto"/>
        <w:rPr>
          <w:rFonts w:ascii="Lato" w:hAnsi="Lato" w:cstheme="minorHAnsi"/>
          <w:color w:val="000000" w:themeColor="text1"/>
          <w:sz w:val="22"/>
          <w:szCs w:val="22"/>
        </w:rPr>
      </w:pPr>
      <w:r>
        <w:rPr>
          <w:rFonts w:ascii="Lato" w:hAnsi="Lato" w:cstheme="minorHAnsi"/>
          <w:color w:val="000000" w:themeColor="text1"/>
          <w:sz w:val="22"/>
          <w:szCs w:val="22"/>
        </w:rPr>
        <w:t xml:space="preserve">Analizując </w:t>
      </w:r>
      <w:r w:rsidR="0070148A">
        <w:rPr>
          <w:rFonts w:ascii="Lato" w:hAnsi="Lato" w:cstheme="minorHAnsi"/>
          <w:color w:val="000000" w:themeColor="text1"/>
          <w:sz w:val="22"/>
          <w:szCs w:val="22"/>
        </w:rPr>
        <w:t xml:space="preserve">dokumentację </w:t>
      </w:r>
      <w:r>
        <w:rPr>
          <w:rFonts w:ascii="Lato" w:hAnsi="Lato" w:cstheme="minorHAnsi"/>
          <w:color w:val="000000" w:themeColor="text1"/>
          <w:sz w:val="22"/>
          <w:szCs w:val="22"/>
        </w:rPr>
        <w:t>chor</w:t>
      </w:r>
      <w:r w:rsidR="0070148A">
        <w:rPr>
          <w:rFonts w:ascii="Lato" w:hAnsi="Lato" w:cstheme="minorHAnsi"/>
          <w:color w:val="000000" w:themeColor="text1"/>
          <w:sz w:val="22"/>
          <w:szCs w:val="22"/>
        </w:rPr>
        <w:t>ób</w:t>
      </w:r>
      <w:r>
        <w:rPr>
          <w:rFonts w:ascii="Lato" w:hAnsi="Lato" w:cstheme="minorHAnsi"/>
          <w:color w:val="000000" w:themeColor="text1"/>
          <w:sz w:val="22"/>
          <w:szCs w:val="22"/>
        </w:rPr>
        <w:t xml:space="preserve"> zawodow</w:t>
      </w:r>
      <w:r w:rsidR="0070148A">
        <w:rPr>
          <w:rFonts w:ascii="Lato" w:hAnsi="Lato" w:cstheme="minorHAnsi"/>
          <w:color w:val="000000" w:themeColor="text1"/>
          <w:sz w:val="22"/>
          <w:szCs w:val="22"/>
        </w:rPr>
        <w:t>ych</w:t>
      </w:r>
      <w:r>
        <w:rPr>
          <w:rFonts w:ascii="Lato" w:hAnsi="Lato" w:cstheme="minorHAnsi"/>
          <w:color w:val="000000" w:themeColor="text1"/>
          <w:sz w:val="22"/>
          <w:szCs w:val="22"/>
        </w:rPr>
        <w:t xml:space="preserve"> należy stwierdzić, że wiele nowotworów</w:t>
      </w:r>
      <w:r w:rsidR="0070148A">
        <w:rPr>
          <w:rFonts w:ascii="Lato" w:hAnsi="Lato" w:cstheme="minorHAnsi"/>
          <w:color w:val="000000" w:themeColor="text1"/>
          <w:sz w:val="22"/>
          <w:szCs w:val="22"/>
        </w:rPr>
        <w:t xml:space="preserve"> o</w:t>
      </w:r>
      <w:r w:rsidR="00DD3FD7">
        <w:rPr>
          <w:rFonts w:ascii="Lato" w:hAnsi="Lato" w:cstheme="minorHAnsi"/>
          <w:color w:val="000000" w:themeColor="text1"/>
          <w:sz w:val="22"/>
          <w:szCs w:val="22"/>
        </w:rPr>
        <w:t> </w:t>
      </w:r>
      <w:r w:rsidR="0070148A">
        <w:rPr>
          <w:rFonts w:ascii="Lato" w:hAnsi="Lato" w:cstheme="minorHAnsi"/>
          <w:color w:val="000000" w:themeColor="text1"/>
          <w:sz w:val="22"/>
          <w:szCs w:val="22"/>
        </w:rPr>
        <w:t>etiologii zawodowej</w:t>
      </w:r>
      <w:r>
        <w:rPr>
          <w:rFonts w:ascii="Lato" w:hAnsi="Lato" w:cstheme="minorHAnsi"/>
          <w:color w:val="000000" w:themeColor="text1"/>
          <w:sz w:val="22"/>
          <w:szCs w:val="22"/>
        </w:rPr>
        <w:t xml:space="preserve"> </w:t>
      </w:r>
      <w:r w:rsidRPr="001E0016">
        <w:rPr>
          <w:rFonts w:ascii="Lato" w:hAnsi="Lato" w:cstheme="minorHAnsi"/>
          <w:color w:val="000000" w:themeColor="text1"/>
          <w:sz w:val="22"/>
          <w:szCs w:val="22"/>
        </w:rPr>
        <w:t xml:space="preserve">ujawnia się po długim okresie utajenia (latencji), często wynoszącym </w:t>
      </w:r>
      <w:r w:rsidR="0070148A">
        <w:rPr>
          <w:rFonts w:ascii="Lato" w:hAnsi="Lato" w:cstheme="minorHAnsi"/>
          <w:color w:val="000000" w:themeColor="text1"/>
          <w:sz w:val="22"/>
          <w:szCs w:val="22"/>
        </w:rPr>
        <w:t>kilkadziesiąt la</w:t>
      </w:r>
      <w:r w:rsidRPr="001E0016">
        <w:rPr>
          <w:rFonts w:ascii="Lato" w:hAnsi="Lato" w:cstheme="minorHAnsi"/>
          <w:color w:val="000000" w:themeColor="text1"/>
          <w:sz w:val="22"/>
          <w:szCs w:val="22"/>
        </w:rPr>
        <w:t xml:space="preserve">t od </w:t>
      </w:r>
      <w:r w:rsidR="0070148A">
        <w:rPr>
          <w:rFonts w:ascii="Lato" w:hAnsi="Lato" w:cstheme="minorHAnsi"/>
          <w:color w:val="000000" w:themeColor="text1"/>
          <w:sz w:val="22"/>
          <w:szCs w:val="22"/>
        </w:rPr>
        <w:t xml:space="preserve">czasu </w:t>
      </w:r>
      <w:r w:rsidRPr="001E0016">
        <w:rPr>
          <w:rFonts w:ascii="Lato" w:hAnsi="Lato" w:cstheme="minorHAnsi"/>
          <w:color w:val="000000" w:themeColor="text1"/>
          <w:sz w:val="22"/>
          <w:szCs w:val="22"/>
        </w:rPr>
        <w:t>narażenia na czynniki rakotwórcze w środowisku pracy.</w:t>
      </w:r>
    </w:p>
    <w:p w14:paraId="278E7855" w14:textId="77777777" w:rsidR="0034170C" w:rsidRDefault="0034170C" w:rsidP="00EA310A">
      <w:pPr>
        <w:spacing w:line="360" w:lineRule="auto"/>
        <w:rPr>
          <w:rFonts w:ascii="Lato" w:hAnsi="Lato" w:cstheme="minorHAnsi"/>
          <w:color w:val="EE0000"/>
          <w:sz w:val="22"/>
          <w:szCs w:val="22"/>
        </w:rPr>
      </w:pPr>
    </w:p>
    <w:p w14:paraId="1FAB2CB2" w14:textId="77777777" w:rsidR="0034170C" w:rsidRPr="00BB733C" w:rsidRDefault="0034170C" w:rsidP="00EA310A">
      <w:pPr>
        <w:spacing w:line="360" w:lineRule="auto"/>
        <w:rPr>
          <w:rFonts w:ascii="Lato" w:hAnsi="Lato"/>
          <w:color w:val="EE0000"/>
          <w:sz w:val="22"/>
          <w:szCs w:val="22"/>
        </w:rPr>
      </w:pPr>
      <w:r w:rsidRPr="001E0016">
        <w:rPr>
          <w:rFonts w:ascii="Lato" w:hAnsi="Lato" w:cstheme="minorHAnsi"/>
          <w:color w:val="000000" w:themeColor="text1"/>
          <w:sz w:val="22"/>
          <w:szCs w:val="22"/>
        </w:rPr>
        <w:t xml:space="preserve">Podsumowując, nie ma możliwości całkowitego wyeliminowania ryzyka wystąpienia chorób zawodowych u pracowników. </w:t>
      </w:r>
    </w:p>
    <w:p w14:paraId="79A06FB7" w14:textId="60508CB3" w:rsidR="0034170C" w:rsidRPr="005E2964" w:rsidRDefault="0034170C" w:rsidP="00EA310A">
      <w:pPr>
        <w:spacing w:line="360" w:lineRule="auto"/>
        <w:rPr>
          <w:rFonts w:ascii="Lato" w:hAnsi="Lato"/>
          <w:color w:val="000000" w:themeColor="text1"/>
          <w:sz w:val="22"/>
          <w:szCs w:val="22"/>
        </w:rPr>
      </w:pPr>
      <w:r>
        <w:rPr>
          <w:rFonts w:ascii="Lato" w:hAnsi="Lato"/>
          <w:color w:val="000000" w:themeColor="text1"/>
          <w:sz w:val="22"/>
          <w:szCs w:val="22"/>
        </w:rPr>
        <w:t>Ponadto w</w:t>
      </w:r>
      <w:r w:rsidRPr="001D659C">
        <w:rPr>
          <w:rFonts w:ascii="Lato" w:hAnsi="Lato"/>
          <w:color w:val="000000" w:themeColor="text1"/>
          <w:sz w:val="22"/>
          <w:szCs w:val="22"/>
        </w:rPr>
        <w:t xml:space="preserve"> ostatnich latach dzięki </w:t>
      </w:r>
      <w:r>
        <w:rPr>
          <w:rFonts w:ascii="Lato" w:hAnsi="Lato"/>
          <w:color w:val="000000" w:themeColor="text1"/>
          <w:sz w:val="22"/>
          <w:szCs w:val="22"/>
        </w:rPr>
        <w:t xml:space="preserve">m.in. wyeliminowaniu szkodliwych technologii, rozwojowi przemysłu (szczególnie poprzez </w:t>
      </w:r>
      <w:r w:rsidRPr="001D659C">
        <w:rPr>
          <w:rFonts w:ascii="Lato" w:hAnsi="Lato"/>
          <w:color w:val="000000" w:themeColor="text1"/>
          <w:sz w:val="22"/>
          <w:szCs w:val="22"/>
        </w:rPr>
        <w:t>zastosowani</w:t>
      </w:r>
      <w:r>
        <w:rPr>
          <w:rFonts w:ascii="Lato" w:hAnsi="Lato"/>
          <w:color w:val="000000" w:themeColor="text1"/>
          <w:sz w:val="22"/>
          <w:szCs w:val="22"/>
        </w:rPr>
        <w:t>e</w:t>
      </w:r>
      <w:r w:rsidRPr="001D659C">
        <w:rPr>
          <w:rFonts w:ascii="Lato" w:hAnsi="Lato"/>
          <w:color w:val="000000" w:themeColor="text1"/>
          <w:sz w:val="22"/>
          <w:szCs w:val="22"/>
        </w:rPr>
        <w:t xml:space="preserve"> nowoczesnych technologii</w:t>
      </w:r>
      <w:r>
        <w:rPr>
          <w:rFonts w:ascii="Lato" w:hAnsi="Lato"/>
          <w:color w:val="000000" w:themeColor="text1"/>
          <w:sz w:val="22"/>
          <w:szCs w:val="22"/>
        </w:rPr>
        <w:t xml:space="preserve">), egzekwowaniu przez uprawnione do tego instytucje przestrzegania przez pracodawców przepisów BHP </w:t>
      </w:r>
      <w:r w:rsidRPr="00574364">
        <w:rPr>
          <w:rFonts w:ascii="Lato" w:hAnsi="Lato"/>
          <w:color w:val="000000" w:themeColor="text1"/>
          <w:sz w:val="22"/>
          <w:szCs w:val="22"/>
        </w:rPr>
        <w:t xml:space="preserve">nie </w:t>
      </w:r>
      <w:r w:rsidRPr="00574364">
        <w:rPr>
          <w:rFonts w:ascii="Lato" w:hAnsi="Lato"/>
          <w:color w:val="000000" w:themeColor="text1"/>
          <w:sz w:val="22"/>
          <w:szCs w:val="22"/>
        </w:rPr>
        <w:lastRenderedPageBreak/>
        <w:t xml:space="preserve">stwierdzano chorób zawodowych takich jak </w:t>
      </w:r>
      <w:r>
        <w:rPr>
          <w:rFonts w:ascii="Lato" w:hAnsi="Lato"/>
          <w:color w:val="000000" w:themeColor="text1"/>
          <w:sz w:val="22"/>
          <w:szCs w:val="22"/>
        </w:rPr>
        <w:t xml:space="preserve">zespół wibracyjny, </w:t>
      </w:r>
      <w:r w:rsidRPr="00574364">
        <w:rPr>
          <w:rFonts w:ascii="Lato" w:hAnsi="Lato"/>
          <w:color w:val="000000" w:themeColor="text1"/>
          <w:sz w:val="22"/>
          <w:szCs w:val="22"/>
        </w:rPr>
        <w:t xml:space="preserve">zatrucia ostre albo przewlekłe lub ich następstwa wywołane przez substancje chemiczne, gorączka metaliczna, zewnątrzpochodne alergiczne zapalenie pęcherzyków płucnych, </w:t>
      </w:r>
      <w:proofErr w:type="spellStart"/>
      <w:r w:rsidRPr="00574364">
        <w:rPr>
          <w:rFonts w:ascii="Lato" w:hAnsi="Lato"/>
          <w:color w:val="000000" w:themeColor="text1"/>
          <w:sz w:val="22"/>
          <w:szCs w:val="22"/>
        </w:rPr>
        <w:t>byssinoza</w:t>
      </w:r>
      <w:proofErr w:type="spellEnd"/>
      <w:r w:rsidRPr="00574364">
        <w:rPr>
          <w:rFonts w:ascii="Lato" w:hAnsi="Lato"/>
          <w:color w:val="000000" w:themeColor="text1"/>
          <w:sz w:val="22"/>
          <w:szCs w:val="22"/>
        </w:rPr>
        <w:t xml:space="preserve">, </w:t>
      </w:r>
      <w:proofErr w:type="spellStart"/>
      <w:r w:rsidRPr="00574364">
        <w:rPr>
          <w:rFonts w:ascii="Lato" w:hAnsi="Lato"/>
          <w:color w:val="000000" w:themeColor="text1"/>
          <w:sz w:val="22"/>
          <w:szCs w:val="22"/>
        </w:rPr>
        <w:t>beryloza</w:t>
      </w:r>
      <w:proofErr w:type="spellEnd"/>
      <w:r w:rsidRPr="00574364">
        <w:rPr>
          <w:rFonts w:ascii="Lato" w:hAnsi="Lato"/>
          <w:color w:val="000000" w:themeColor="text1"/>
          <w:sz w:val="22"/>
          <w:szCs w:val="22"/>
        </w:rPr>
        <w:t>, czy choroby wywołane działaniem wysokich albo niskich temperatur</w:t>
      </w:r>
      <w:r>
        <w:rPr>
          <w:rFonts w:ascii="Lato" w:hAnsi="Lato"/>
          <w:color w:val="000000" w:themeColor="text1"/>
          <w:sz w:val="22"/>
          <w:szCs w:val="22"/>
        </w:rPr>
        <w:t xml:space="preserve"> oraz znacząco zmniejszyła się liczba z</w:t>
      </w:r>
      <w:r w:rsidRPr="00F06E9F">
        <w:rPr>
          <w:rFonts w:ascii="Lato" w:hAnsi="Lato"/>
          <w:color w:val="000000" w:themeColor="text1"/>
          <w:sz w:val="22"/>
          <w:szCs w:val="22"/>
        </w:rPr>
        <w:t>awodowe</w:t>
      </w:r>
      <w:r>
        <w:rPr>
          <w:rFonts w:ascii="Lato" w:hAnsi="Lato"/>
          <w:color w:val="000000" w:themeColor="text1"/>
          <w:sz w:val="22"/>
          <w:szCs w:val="22"/>
        </w:rPr>
        <w:t>go</w:t>
      </w:r>
      <w:r w:rsidRPr="00F06E9F">
        <w:rPr>
          <w:rFonts w:ascii="Lato" w:hAnsi="Lato"/>
          <w:color w:val="000000" w:themeColor="text1"/>
          <w:sz w:val="22"/>
          <w:szCs w:val="22"/>
        </w:rPr>
        <w:t xml:space="preserve"> uszkodzeni</w:t>
      </w:r>
      <w:r>
        <w:rPr>
          <w:rFonts w:ascii="Lato" w:hAnsi="Lato"/>
          <w:color w:val="000000" w:themeColor="text1"/>
          <w:sz w:val="22"/>
          <w:szCs w:val="22"/>
        </w:rPr>
        <w:t>a</w:t>
      </w:r>
      <w:r w:rsidRPr="00F06E9F">
        <w:rPr>
          <w:rFonts w:ascii="Lato" w:hAnsi="Lato"/>
          <w:color w:val="000000" w:themeColor="text1"/>
          <w:sz w:val="22"/>
          <w:szCs w:val="22"/>
        </w:rPr>
        <w:t xml:space="preserve"> słuchu</w:t>
      </w:r>
      <w:r>
        <w:rPr>
          <w:rFonts w:ascii="Lato" w:hAnsi="Lato"/>
          <w:color w:val="000000" w:themeColor="text1"/>
          <w:sz w:val="22"/>
          <w:szCs w:val="22"/>
        </w:rPr>
        <w:t>.</w:t>
      </w:r>
    </w:p>
    <w:p w14:paraId="750C9FE0" w14:textId="77777777" w:rsidR="008C1ABA" w:rsidRDefault="008C1ABA">
      <w:pPr>
        <w:spacing w:after="160" w:line="278" w:lineRule="auto"/>
        <w:rPr>
          <w:rFonts w:ascii="Lato" w:eastAsiaTheme="majorEastAsia" w:hAnsi="Lato" w:cstheme="majorBidi"/>
          <w:color w:val="4C94D8" w:themeColor="text2" w:themeTint="80"/>
          <w:sz w:val="32"/>
          <w:szCs w:val="40"/>
        </w:rPr>
      </w:pPr>
      <w:r>
        <w:br w:type="page"/>
      </w:r>
    </w:p>
    <w:p w14:paraId="1AEAC3F5" w14:textId="03C6BECA" w:rsidR="0034170C" w:rsidRPr="00BA2854" w:rsidRDefault="0034170C">
      <w:pPr>
        <w:pStyle w:val="Nagwek1"/>
        <w:numPr>
          <w:ilvl w:val="0"/>
          <w:numId w:val="16"/>
        </w:numPr>
        <w:rPr>
          <w:color w:val="153D63" w:themeColor="text2" w:themeTint="E6"/>
        </w:rPr>
      </w:pPr>
      <w:bookmarkStart w:id="206" w:name="_Toc225859100"/>
      <w:r w:rsidRPr="00BA2854">
        <w:rPr>
          <w:color w:val="153D63" w:themeColor="text2" w:themeTint="E6"/>
        </w:rPr>
        <w:lastRenderedPageBreak/>
        <w:t>H</w:t>
      </w:r>
      <w:r w:rsidR="003B1844" w:rsidRPr="00BA2854">
        <w:rPr>
          <w:color w:val="153D63" w:themeColor="text2" w:themeTint="E6"/>
        </w:rPr>
        <w:t>igiena Radiacyjna</w:t>
      </w:r>
      <w:bookmarkEnd w:id="206"/>
    </w:p>
    <w:p w14:paraId="3B6C46E0" w14:textId="77777777" w:rsidR="0034170C" w:rsidRPr="0064488C" w:rsidRDefault="0034170C" w:rsidP="0034170C">
      <w:pPr>
        <w:spacing w:line="276" w:lineRule="auto"/>
        <w:ind w:firstLine="425"/>
        <w:rPr>
          <w:rFonts w:ascii="Lato" w:hAnsi="Lato" w:cstheme="minorHAnsi"/>
          <w:bCs/>
        </w:rPr>
      </w:pPr>
    </w:p>
    <w:p w14:paraId="43E7D40B" w14:textId="29C0B9EA" w:rsidR="0034170C" w:rsidRPr="00364DC5" w:rsidRDefault="0034170C" w:rsidP="008C1ABA">
      <w:pPr>
        <w:spacing w:line="360" w:lineRule="auto"/>
        <w:rPr>
          <w:rFonts w:ascii="Lato" w:hAnsi="Lato" w:cs="Calibri"/>
          <w:sz w:val="22"/>
          <w:szCs w:val="22"/>
        </w:rPr>
      </w:pPr>
      <w:r w:rsidRPr="00364DC5">
        <w:rPr>
          <w:rFonts w:ascii="Lato" w:hAnsi="Lato" w:cs="Calibri"/>
          <w:bCs/>
          <w:sz w:val="22"/>
          <w:szCs w:val="22"/>
        </w:rPr>
        <w:t xml:space="preserve">Nadzór w zakresie ochrony radiologicznej na terenie województwa zachodniopomorskiego sprawowany jest przez Zachodniopomorskiego Państwowego Wojewódzkiego Inspektora Sanitarnego w Szczecinie, który jest organem I instancji. Działalność w tym zakresie prowadzona </w:t>
      </w:r>
      <w:r w:rsidRPr="00364DC5">
        <w:rPr>
          <w:rFonts w:ascii="Lato" w:hAnsi="Lato" w:cs="Calibri"/>
          <w:sz w:val="22"/>
          <w:szCs w:val="22"/>
        </w:rPr>
        <w:t xml:space="preserve">jest wielotorowo i dotyczy przestrzegania przepisów określających wymagania higieniczne i zdrowotne związane ze stosowaniem aparatów rentgenowskich oraz urządzeń wytwarzających pola elektromagnetyczne o częstotliwości od 0 </w:t>
      </w:r>
      <w:proofErr w:type="spellStart"/>
      <w:r w:rsidRPr="00364DC5">
        <w:rPr>
          <w:rFonts w:ascii="Lato" w:hAnsi="Lato" w:cs="Calibri"/>
          <w:sz w:val="22"/>
          <w:szCs w:val="22"/>
        </w:rPr>
        <w:t>Hz</w:t>
      </w:r>
      <w:proofErr w:type="spellEnd"/>
      <w:r w:rsidRPr="00364DC5">
        <w:rPr>
          <w:rFonts w:ascii="Lato" w:hAnsi="Lato" w:cs="Calibri"/>
          <w:sz w:val="22"/>
          <w:szCs w:val="22"/>
        </w:rPr>
        <w:t xml:space="preserve"> do 300 GHz, w odniesieniu do pracowników, osób z ogółu ludności, jak i pacjenta. Nadzór obejmuje również pracownie radioterapii oraz medycyny nuklearnej. </w:t>
      </w:r>
    </w:p>
    <w:p w14:paraId="2FBE8D94" w14:textId="77777777" w:rsidR="0034170C" w:rsidRPr="00364DC5" w:rsidRDefault="0034170C" w:rsidP="008C1ABA">
      <w:pPr>
        <w:spacing w:line="360" w:lineRule="auto"/>
        <w:rPr>
          <w:rFonts w:ascii="Lato" w:hAnsi="Lato" w:cs="Calibri"/>
          <w:sz w:val="22"/>
          <w:szCs w:val="22"/>
        </w:rPr>
      </w:pPr>
      <w:bookmarkStart w:id="207" w:name="_Hlk193714477"/>
    </w:p>
    <w:p w14:paraId="3C4A299A" w14:textId="439EA6F1" w:rsidR="0034170C" w:rsidRPr="00364DC5" w:rsidRDefault="0034170C" w:rsidP="008C1ABA">
      <w:pPr>
        <w:spacing w:line="360" w:lineRule="auto"/>
        <w:rPr>
          <w:rFonts w:ascii="Lato" w:hAnsi="Lato" w:cs="Calibri"/>
          <w:sz w:val="22"/>
          <w:szCs w:val="22"/>
        </w:rPr>
      </w:pPr>
      <w:r w:rsidRPr="00364DC5">
        <w:rPr>
          <w:rFonts w:ascii="Lato" w:hAnsi="Lato" w:cs="Calibri"/>
          <w:sz w:val="22"/>
          <w:szCs w:val="22"/>
        </w:rPr>
        <w:t>Pod nadzorem ZPWIS, na dzień 31 grudnia 2025 roku znajdowało się</w:t>
      </w:r>
      <w:bookmarkEnd w:id="207"/>
      <w:r w:rsidRPr="00364DC5">
        <w:rPr>
          <w:rFonts w:ascii="Lato" w:hAnsi="Lato" w:cs="Calibri"/>
          <w:sz w:val="22"/>
          <w:szCs w:val="22"/>
        </w:rPr>
        <w:t xml:space="preserve"> 1168 aparatów rentgenowskich w jednostkach stosujących promieniowanie jonizujące do celów medycznych, w tym 852 stomatologicznych aparatów rentgenowskich (Tabela</w:t>
      </w:r>
      <w:r w:rsidR="00373DED">
        <w:rPr>
          <w:rFonts w:ascii="Lato" w:hAnsi="Lato" w:cs="Calibri"/>
          <w:sz w:val="22"/>
          <w:szCs w:val="22"/>
        </w:rPr>
        <w:t xml:space="preserve"> 2</w:t>
      </w:r>
      <w:r w:rsidR="00835A9A">
        <w:rPr>
          <w:rFonts w:ascii="Lato" w:hAnsi="Lato" w:cs="Calibri"/>
          <w:sz w:val="22"/>
          <w:szCs w:val="22"/>
        </w:rPr>
        <w:t>2</w:t>
      </w:r>
      <w:r w:rsidRPr="00364DC5">
        <w:rPr>
          <w:rFonts w:ascii="Lato" w:hAnsi="Lato" w:cs="Calibri"/>
          <w:sz w:val="22"/>
          <w:szCs w:val="22"/>
        </w:rPr>
        <w:t xml:space="preserve">). </w:t>
      </w:r>
    </w:p>
    <w:p w14:paraId="042AD3B0" w14:textId="61A91EF2" w:rsidR="0034170C" w:rsidRPr="00364DC5" w:rsidRDefault="0034170C" w:rsidP="008C1ABA">
      <w:pPr>
        <w:spacing w:line="360" w:lineRule="auto"/>
        <w:rPr>
          <w:rFonts w:ascii="Lato" w:hAnsi="Lato" w:cs="Calibri"/>
          <w:sz w:val="22"/>
          <w:szCs w:val="22"/>
        </w:rPr>
      </w:pPr>
      <w:r w:rsidRPr="00364DC5">
        <w:rPr>
          <w:rFonts w:ascii="Lato" w:hAnsi="Lato" w:cs="Calibri"/>
          <w:sz w:val="22"/>
          <w:szCs w:val="22"/>
        </w:rPr>
        <w:t>Liczba aparatów rentgenowskich w roku 2025 w stosunku do roku 2024 wzrosła o 1,6 %.</w:t>
      </w:r>
    </w:p>
    <w:p w14:paraId="6B88C960" w14:textId="77777777" w:rsidR="0055623C" w:rsidRDefault="0055623C" w:rsidP="0055623C">
      <w:pPr>
        <w:pStyle w:val="Legenda"/>
      </w:pPr>
    </w:p>
    <w:p w14:paraId="1565CF9C" w14:textId="4FEFD131" w:rsidR="0055623C" w:rsidRDefault="0005388A" w:rsidP="0005388A">
      <w:pPr>
        <w:pStyle w:val="Legenda"/>
        <w:rPr>
          <w:rFonts w:ascii="Lato" w:hAnsi="Lato"/>
          <w:b w:val="0"/>
          <w:bCs w:val="0"/>
          <w:sz w:val="18"/>
          <w:szCs w:val="18"/>
        </w:rPr>
      </w:pPr>
      <w:bookmarkStart w:id="208" w:name="_Toc225859378"/>
      <w:r w:rsidRPr="0005388A">
        <w:rPr>
          <w:rFonts w:ascii="Lato" w:hAnsi="Lato"/>
          <w:b w:val="0"/>
          <w:bCs w:val="0"/>
          <w:sz w:val="18"/>
          <w:szCs w:val="18"/>
        </w:rPr>
        <w:t xml:space="preserve">Tabela </w:t>
      </w:r>
      <w:r w:rsidRPr="0005388A">
        <w:rPr>
          <w:rFonts w:ascii="Lato" w:hAnsi="Lato"/>
          <w:b w:val="0"/>
          <w:bCs w:val="0"/>
          <w:sz w:val="18"/>
          <w:szCs w:val="18"/>
        </w:rPr>
        <w:fldChar w:fldCharType="begin"/>
      </w:r>
      <w:r w:rsidRPr="0005388A">
        <w:rPr>
          <w:rFonts w:ascii="Lato" w:hAnsi="Lato"/>
          <w:b w:val="0"/>
          <w:bCs w:val="0"/>
          <w:sz w:val="18"/>
          <w:szCs w:val="18"/>
        </w:rPr>
        <w:instrText xml:space="preserve"> SEQ Tabela \* ARABIC </w:instrText>
      </w:r>
      <w:r w:rsidRPr="0005388A">
        <w:rPr>
          <w:rFonts w:ascii="Lato" w:hAnsi="Lato"/>
          <w:b w:val="0"/>
          <w:bCs w:val="0"/>
          <w:sz w:val="18"/>
          <w:szCs w:val="18"/>
        </w:rPr>
        <w:fldChar w:fldCharType="separate"/>
      </w:r>
      <w:r w:rsidR="002A3179">
        <w:rPr>
          <w:rFonts w:ascii="Lato" w:hAnsi="Lato"/>
          <w:b w:val="0"/>
          <w:bCs w:val="0"/>
          <w:noProof/>
          <w:sz w:val="18"/>
          <w:szCs w:val="18"/>
        </w:rPr>
        <w:t>22</w:t>
      </w:r>
      <w:r w:rsidRPr="0005388A">
        <w:rPr>
          <w:rFonts w:ascii="Lato" w:hAnsi="Lato"/>
          <w:b w:val="0"/>
          <w:bCs w:val="0"/>
          <w:sz w:val="18"/>
          <w:szCs w:val="18"/>
        </w:rPr>
        <w:fldChar w:fldCharType="end"/>
      </w:r>
      <w:r w:rsidRPr="0005388A">
        <w:rPr>
          <w:rFonts w:ascii="Lato" w:hAnsi="Lato"/>
          <w:b w:val="0"/>
          <w:bCs w:val="0"/>
          <w:sz w:val="18"/>
          <w:szCs w:val="18"/>
        </w:rPr>
        <w:t>. Liczba aparatów rentgenowskich w województwie zachodniopomorskim (stan na 31 grudnia 2025 roku).</w:t>
      </w:r>
      <w:bookmarkEnd w:id="208"/>
    </w:p>
    <w:p w14:paraId="2FF47008" w14:textId="77777777" w:rsidR="00720D4E" w:rsidRPr="00720D4E" w:rsidRDefault="00720D4E" w:rsidP="00720D4E"/>
    <w:tbl>
      <w:tblPr>
        <w:tblW w:w="92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2"/>
        <w:gridCol w:w="2983"/>
        <w:gridCol w:w="2713"/>
      </w:tblGrid>
      <w:tr w:rsidR="0034170C" w:rsidRPr="00720D4E" w14:paraId="095C7158" w14:textId="77777777" w:rsidTr="00130F95">
        <w:tc>
          <w:tcPr>
            <w:tcW w:w="3552" w:type="dxa"/>
            <w:shd w:val="clear" w:color="auto" w:fill="D9D9D9" w:themeFill="background1" w:themeFillShade="D9"/>
            <w:vAlign w:val="center"/>
          </w:tcPr>
          <w:p w14:paraId="27463C19" w14:textId="77777777" w:rsidR="0034170C" w:rsidRPr="00720D4E" w:rsidRDefault="0034170C" w:rsidP="000B0358">
            <w:pPr>
              <w:spacing w:line="276" w:lineRule="auto"/>
              <w:rPr>
                <w:rFonts w:ascii="Lato" w:hAnsi="Lato" w:cs="Calibri"/>
                <w:sz w:val="20"/>
                <w:szCs w:val="20"/>
              </w:rPr>
            </w:pPr>
            <w:r w:rsidRPr="00720D4E">
              <w:rPr>
                <w:rFonts w:ascii="Lato" w:hAnsi="Lato" w:cs="Calibri"/>
                <w:sz w:val="20"/>
                <w:szCs w:val="20"/>
              </w:rPr>
              <w:t>Przeznaczenie aparatów rentgenowskich</w:t>
            </w:r>
          </w:p>
        </w:tc>
        <w:tc>
          <w:tcPr>
            <w:tcW w:w="2983" w:type="dxa"/>
            <w:shd w:val="clear" w:color="auto" w:fill="D9D9D9" w:themeFill="background1" w:themeFillShade="D9"/>
            <w:vAlign w:val="center"/>
          </w:tcPr>
          <w:p w14:paraId="4C7C41DB" w14:textId="77777777" w:rsidR="0034170C" w:rsidRPr="00720D4E" w:rsidRDefault="0034170C" w:rsidP="000B0358">
            <w:pPr>
              <w:spacing w:line="276" w:lineRule="auto"/>
              <w:rPr>
                <w:rFonts w:ascii="Lato" w:hAnsi="Lato" w:cs="Calibri"/>
                <w:sz w:val="20"/>
                <w:szCs w:val="20"/>
              </w:rPr>
            </w:pPr>
            <w:r w:rsidRPr="00720D4E">
              <w:rPr>
                <w:rFonts w:ascii="Lato" w:hAnsi="Lato" w:cs="Calibri"/>
                <w:sz w:val="20"/>
                <w:szCs w:val="20"/>
              </w:rPr>
              <w:t>Liczba aparatów rtg w województwie zachodniopomorskim pod nadzorem ZPWIS</w:t>
            </w:r>
          </w:p>
        </w:tc>
        <w:tc>
          <w:tcPr>
            <w:tcW w:w="2713" w:type="dxa"/>
            <w:shd w:val="clear" w:color="auto" w:fill="D9D9D9" w:themeFill="background1" w:themeFillShade="D9"/>
            <w:vAlign w:val="center"/>
          </w:tcPr>
          <w:p w14:paraId="55F73FEE" w14:textId="77777777" w:rsidR="0034170C" w:rsidRPr="00720D4E" w:rsidRDefault="0034170C" w:rsidP="000B0358">
            <w:pPr>
              <w:spacing w:line="276" w:lineRule="auto"/>
              <w:rPr>
                <w:rFonts w:ascii="Lato" w:hAnsi="Lato" w:cs="Calibri"/>
                <w:sz w:val="20"/>
                <w:szCs w:val="20"/>
              </w:rPr>
            </w:pPr>
            <w:r w:rsidRPr="00720D4E">
              <w:rPr>
                <w:rFonts w:ascii="Lato" w:hAnsi="Lato" w:cs="Calibri"/>
                <w:sz w:val="20"/>
                <w:szCs w:val="20"/>
              </w:rPr>
              <w:t>Liczba aparatów rtg na które wydano zezwolenia w 2025 roku</w:t>
            </w:r>
          </w:p>
        </w:tc>
      </w:tr>
      <w:tr w:rsidR="0034170C" w:rsidRPr="00720D4E" w14:paraId="32A55B02" w14:textId="77777777" w:rsidTr="000B0358">
        <w:tc>
          <w:tcPr>
            <w:tcW w:w="3552" w:type="dxa"/>
            <w:vAlign w:val="center"/>
          </w:tcPr>
          <w:p w14:paraId="3A74F551" w14:textId="77777777" w:rsidR="0034170C" w:rsidRPr="00720D4E" w:rsidRDefault="0034170C" w:rsidP="000B0358">
            <w:pPr>
              <w:spacing w:line="276" w:lineRule="auto"/>
              <w:rPr>
                <w:rFonts w:ascii="Lato" w:hAnsi="Lato" w:cs="Calibri"/>
                <w:sz w:val="20"/>
                <w:szCs w:val="20"/>
              </w:rPr>
            </w:pPr>
            <w:r w:rsidRPr="00720D4E">
              <w:rPr>
                <w:rFonts w:ascii="Lato" w:hAnsi="Lato" w:cs="Calibri"/>
                <w:sz w:val="20"/>
                <w:szCs w:val="20"/>
              </w:rPr>
              <w:t>radiologia zabiegowa</w:t>
            </w:r>
          </w:p>
        </w:tc>
        <w:tc>
          <w:tcPr>
            <w:tcW w:w="2983" w:type="dxa"/>
            <w:vAlign w:val="center"/>
          </w:tcPr>
          <w:p w14:paraId="33F3EEAE" w14:textId="77777777" w:rsidR="0034170C" w:rsidRPr="00720D4E" w:rsidRDefault="0034170C" w:rsidP="000B0358">
            <w:pPr>
              <w:spacing w:line="276" w:lineRule="auto"/>
              <w:rPr>
                <w:rFonts w:ascii="Lato" w:hAnsi="Lato" w:cs="Calibri"/>
                <w:sz w:val="20"/>
                <w:szCs w:val="20"/>
              </w:rPr>
            </w:pPr>
            <w:r w:rsidRPr="00720D4E">
              <w:rPr>
                <w:rFonts w:ascii="Lato" w:hAnsi="Lato" w:cs="Calibri"/>
                <w:sz w:val="20"/>
                <w:szCs w:val="20"/>
              </w:rPr>
              <w:t>105</w:t>
            </w:r>
          </w:p>
        </w:tc>
        <w:tc>
          <w:tcPr>
            <w:tcW w:w="2713" w:type="dxa"/>
            <w:vAlign w:val="center"/>
          </w:tcPr>
          <w:p w14:paraId="30186347" w14:textId="77777777" w:rsidR="0034170C" w:rsidRPr="00720D4E" w:rsidRDefault="0034170C" w:rsidP="000B0358">
            <w:pPr>
              <w:spacing w:line="276" w:lineRule="auto"/>
              <w:rPr>
                <w:rFonts w:ascii="Lato" w:hAnsi="Lato" w:cs="Calibri"/>
                <w:sz w:val="20"/>
                <w:szCs w:val="20"/>
              </w:rPr>
            </w:pPr>
            <w:r w:rsidRPr="00720D4E">
              <w:rPr>
                <w:rFonts w:ascii="Lato" w:hAnsi="Lato" w:cs="Calibri"/>
                <w:sz w:val="20"/>
                <w:szCs w:val="20"/>
              </w:rPr>
              <w:t>11</w:t>
            </w:r>
          </w:p>
        </w:tc>
      </w:tr>
      <w:tr w:rsidR="0034170C" w:rsidRPr="00720D4E" w14:paraId="45B5FCC2" w14:textId="77777777" w:rsidTr="000B0358">
        <w:tc>
          <w:tcPr>
            <w:tcW w:w="3552" w:type="dxa"/>
            <w:vAlign w:val="center"/>
          </w:tcPr>
          <w:p w14:paraId="0CA128C2" w14:textId="77777777" w:rsidR="0034170C" w:rsidRPr="00720D4E" w:rsidRDefault="0034170C" w:rsidP="000B0358">
            <w:pPr>
              <w:spacing w:line="276" w:lineRule="auto"/>
              <w:rPr>
                <w:rFonts w:ascii="Lato" w:hAnsi="Lato" w:cs="Calibri"/>
                <w:sz w:val="20"/>
                <w:szCs w:val="20"/>
              </w:rPr>
            </w:pPr>
            <w:r w:rsidRPr="00720D4E">
              <w:rPr>
                <w:rFonts w:ascii="Lato" w:hAnsi="Lato" w:cs="Calibri"/>
                <w:sz w:val="20"/>
                <w:szCs w:val="20"/>
              </w:rPr>
              <w:t>tylko do zdjęć</w:t>
            </w:r>
          </w:p>
        </w:tc>
        <w:tc>
          <w:tcPr>
            <w:tcW w:w="2983" w:type="dxa"/>
            <w:vAlign w:val="center"/>
          </w:tcPr>
          <w:p w14:paraId="1DA54377" w14:textId="77777777" w:rsidR="0034170C" w:rsidRPr="00720D4E" w:rsidRDefault="0034170C" w:rsidP="000B0358">
            <w:pPr>
              <w:spacing w:line="276" w:lineRule="auto"/>
              <w:rPr>
                <w:rFonts w:ascii="Lato" w:hAnsi="Lato" w:cs="Calibri"/>
                <w:color w:val="EE0000"/>
                <w:sz w:val="20"/>
                <w:szCs w:val="20"/>
              </w:rPr>
            </w:pPr>
            <w:r w:rsidRPr="00720D4E">
              <w:rPr>
                <w:rFonts w:ascii="Lato" w:hAnsi="Lato" w:cs="Calibri"/>
                <w:sz w:val="20"/>
                <w:szCs w:val="20"/>
              </w:rPr>
              <w:t>124</w:t>
            </w:r>
          </w:p>
        </w:tc>
        <w:tc>
          <w:tcPr>
            <w:tcW w:w="2713" w:type="dxa"/>
            <w:vAlign w:val="center"/>
          </w:tcPr>
          <w:p w14:paraId="6819ED6A" w14:textId="77777777" w:rsidR="0034170C" w:rsidRPr="00720D4E" w:rsidRDefault="0034170C" w:rsidP="000B0358">
            <w:pPr>
              <w:spacing w:line="276" w:lineRule="auto"/>
              <w:rPr>
                <w:rFonts w:ascii="Lato" w:hAnsi="Lato" w:cs="Calibri"/>
                <w:color w:val="EE0000"/>
                <w:sz w:val="20"/>
                <w:szCs w:val="20"/>
              </w:rPr>
            </w:pPr>
            <w:r w:rsidRPr="00720D4E">
              <w:rPr>
                <w:rFonts w:ascii="Lato" w:hAnsi="Lato" w:cs="Calibri"/>
                <w:sz w:val="20"/>
                <w:szCs w:val="20"/>
              </w:rPr>
              <w:t>7</w:t>
            </w:r>
          </w:p>
        </w:tc>
      </w:tr>
      <w:tr w:rsidR="0034170C" w:rsidRPr="00720D4E" w14:paraId="00BBAF53" w14:textId="77777777" w:rsidTr="000B0358">
        <w:tc>
          <w:tcPr>
            <w:tcW w:w="3552" w:type="dxa"/>
            <w:vAlign w:val="center"/>
          </w:tcPr>
          <w:p w14:paraId="71AE84FA" w14:textId="77777777" w:rsidR="0034170C" w:rsidRPr="00720D4E" w:rsidRDefault="0034170C" w:rsidP="000B0358">
            <w:pPr>
              <w:spacing w:line="276" w:lineRule="auto"/>
              <w:rPr>
                <w:rFonts w:ascii="Lato" w:hAnsi="Lato" w:cs="Calibri"/>
                <w:sz w:val="20"/>
                <w:szCs w:val="20"/>
              </w:rPr>
            </w:pPr>
            <w:r w:rsidRPr="00720D4E">
              <w:rPr>
                <w:rFonts w:ascii="Lato" w:hAnsi="Lato" w:cs="Calibri"/>
                <w:sz w:val="20"/>
                <w:szCs w:val="20"/>
              </w:rPr>
              <w:t xml:space="preserve">do prześwietleń oraz do zdjęć </w:t>
            </w:r>
            <w:r w:rsidRPr="00720D4E">
              <w:rPr>
                <w:rFonts w:ascii="Lato" w:hAnsi="Lato" w:cs="Calibri"/>
                <w:sz w:val="20"/>
                <w:szCs w:val="20"/>
              </w:rPr>
              <w:br/>
              <w:t>i prześwietleń</w:t>
            </w:r>
          </w:p>
        </w:tc>
        <w:tc>
          <w:tcPr>
            <w:tcW w:w="2983" w:type="dxa"/>
            <w:vAlign w:val="center"/>
          </w:tcPr>
          <w:p w14:paraId="4F30573E" w14:textId="77777777" w:rsidR="0034170C" w:rsidRPr="00720D4E" w:rsidRDefault="0034170C" w:rsidP="000B0358">
            <w:pPr>
              <w:spacing w:line="276" w:lineRule="auto"/>
              <w:rPr>
                <w:rFonts w:ascii="Lato" w:hAnsi="Lato" w:cs="Calibri"/>
                <w:color w:val="EE0000"/>
                <w:sz w:val="20"/>
                <w:szCs w:val="20"/>
              </w:rPr>
            </w:pPr>
            <w:r w:rsidRPr="00720D4E">
              <w:rPr>
                <w:rFonts w:ascii="Lato" w:hAnsi="Lato" w:cs="Calibri"/>
                <w:sz w:val="20"/>
                <w:szCs w:val="20"/>
              </w:rPr>
              <w:t>16</w:t>
            </w:r>
          </w:p>
        </w:tc>
        <w:tc>
          <w:tcPr>
            <w:tcW w:w="2713" w:type="dxa"/>
            <w:vAlign w:val="center"/>
          </w:tcPr>
          <w:p w14:paraId="0C8FB912" w14:textId="77777777" w:rsidR="0034170C" w:rsidRPr="00720D4E" w:rsidRDefault="0034170C" w:rsidP="000B0358">
            <w:pPr>
              <w:spacing w:line="276" w:lineRule="auto"/>
              <w:rPr>
                <w:rFonts w:ascii="Lato" w:hAnsi="Lato" w:cs="Calibri"/>
                <w:color w:val="EE0000"/>
                <w:sz w:val="20"/>
                <w:szCs w:val="20"/>
              </w:rPr>
            </w:pPr>
            <w:r w:rsidRPr="00720D4E">
              <w:rPr>
                <w:rFonts w:ascii="Lato" w:hAnsi="Lato" w:cs="Calibri"/>
                <w:sz w:val="20"/>
                <w:szCs w:val="20"/>
              </w:rPr>
              <w:t>1</w:t>
            </w:r>
          </w:p>
        </w:tc>
      </w:tr>
      <w:tr w:rsidR="0034170C" w:rsidRPr="00720D4E" w14:paraId="7D58422C" w14:textId="77777777" w:rsidTr="000B0358">
        <w:tc>
          <w:tcPr>
            <w:tcW w:w="3552" w:type="dxa"/>
            <w:vAlign w:val="center"/>
          </w:tcPr>
          <w:p w14:paraId="3B41B714" w14:textId="77777777" w:rsidR="0034170C" w:rsidRPr="00720D4E" w:rsidRDefault="0034170C" w:rsidP="000B0358">
            <w:pPr>
              <w:spacing w:line="276" w:lineRule="auto"/>
              <w:rPr>
                <w:rFonts w:ascii="Lato" w:hAnsi="Lato" w:cs="Calibri"/>
                <w:sz w:val="20"/>
                <w:szCs w:val="20"/>
              </w:rPr>
            </w:pPr>
            <w:r w:rsidRPr="00720D4E">
              <w:rPr>
                <w:rFonts w:ascii="Lato" w:hAnsi="Lato" w:cs="Calibri"/>
                <w:sz w:val="20"/>
                <w:szCs w:val="20"/>
              </w:rPr>
              <w:t>mammografy</w:t>
            </w:r>
          </w:p>
        </w:tc>
        <w:tc>
          <w:tcPr>
            <w:tcW w:w="2983" w:type="dxa"/>
            <w:vAlign w:val="center"/>
          </w:tcPr>
          <w:p w14:paraId="63194F62" w14:textId="77777777" w:rsidR="0034170C" w:rsidRPr="00720D4E" w:rsidRDefault="0034170C" w:rsidP="000B0358">
            <w:pPr>
              <w:spacing w:line="276" w:lineRule="auto"/>
              <w:rPr>
                <w:rFonts w:ascii="Lato" w:hAnsi="Lato" w:cs="Calibri"/>
                <w:color w:val="EE0000"/>
                <w:sz w:val="20"/>
                <w:szCs w:val="20"/>
              </w:rPr>
            </w:pPr>
            <w:r w:rsidRPr="00720D4E">
              <w:rPr>
                <w:rFonts w:ascii="Lato" w:hAnsi="Lato" w:cs="Calibri"/>
                <w:sz w:val="20"/>
                <w:szCs w:val="20"/>
              </w:rPr>
              <w:t>16</w:t>
            </w:r>
          </w:p>
        </w:tc>
        <w:tc>
          <w:tcPr>
            <w:tcW w:w="2713" w:type="dxa"/>
            <w:vAlign w:val="center"/>
          </w:tcPr>
          <w:p w14:paraId="5D075517" w14:textId="77777777" w:rsidR="0034170C" w:rsidRPr="00720D4E" w:rsidRDefault="0034170C" w:rsidP="000B0358">
            <w:pPr>
              <w:spacing w:line="276" w:lineRule="auto"/>
              <w:rPr>
                <w:rFonts w:ascii="Lato" w:hAnsi="Lato" w:cs="Calibri"/>
                <w:sz w:val="20"/>
                <w:szCs w:val="20"/>
              </w:rPr>
            </w:pPr>
            <w:r w:rsidRPr="00720D4E">
              <w:rPr>
                <w:rFonts w:ascii="Lato" w:hAnsi="Lato" w:cs="Calibri"/>
                <w:sz w:val="20"/>
                <w:szCs w:val="20"/>
              </w:rPr>
              <w:t>5</w:t>
            </w:r>
          </w:p>
        </w:tc>
      </w:tr>
      <w:tr w:rsidR="0034170C" w:rsidRPr="00720D4E" w14:paraId="7B38B59D" w14:textId="77777777" w:rsidTr="000B0358">
        <w:tc>
          <w:tcPr>
            <w:tcW w:w="3552" w:type="dxa"/>
            <w:vAlign w:val="center"/>
          </w:tcPr>
          <w:p w14:paraId="3DEF84A0" w14:textId="77777777" w:rsidR="0034170C" w:rsidRPr="00720D4E" w:rsidRDefault="0034170C" w:rsidP="000B0358">
            <w:pPr>
              <w:spacing w:line="276" w:lineRule="auto"/>
              <w:rPr>
                <w:rFonts w:ascii="Lato" w:hAnsi="Lato" w:cs="Calibri"/>
                <w:sz w:val="20"/>
                <w:szCs w:val="20"/>
              </w:rPr>
            </w:pPr>
            <w:r w:rsidRPr="00720D4E">
              <w:rPr>
                <w:rFonts w:ascii="Lato" w:hAnsi="Lato" w:cs="Calibri"/>
                <w:sz w:val="20"/>
                <w:szCs w:val="20"/>
              </w:rPr>
              <w:t>stomatologiczne wewnątrzustne</w:t>
            </w:r>
          </w:p>
        </w:tc>
        <w:tc>
          <w:tcPr>
            <w:tcW w:w="2983" w:type="dxa"/>
            <w:vAlign w:val="center"/>
          </w:tcPr>
          <w:p w14:paraId="28BFC4AB" w14:textId="77777777" w:rsidR="0034170C" w:rsidRPr="00720D4E" w:rsidRDefault="0034170C" w:rsidP="000B0358">
            <w:pPr>
              <w:spacing w:line="276" w:lineRule="auto"/>
              <w:rPr>
                <w:rFonts w:ascii="Lato" w:hAnsi="Lato" w:cs="Calibri"/>
                <w:sz w:val="20"/>
                <w:szCs w:val="20"/>
              </w:rPr>
            </w:pPr>
            <w:r w:rsidRPr="00720D4E">
              <w:rPr>
                <w:rFonts w:ascii="Lato" w:hAnsi="Lato" w:cs="Calibri"/>
                <w:sz w:val="20"/>
                <w:szCs w:val="20"/>
              </w:rPr>
              <w:t>631</w:t>
            </w:r>
          </w:p>
        </w:tc>
        <w:tc>
          <w:tcPr>
            <w:tcW w:w="2713" w:type="dxa"/>
            <w:vAlign w:val="center"/>
          </w:tcPr>
          <w:p w14:paraId="5FE8A617" w14:textId="77777777" w:rsidR="0034170C" w:rsidRPr="00720D4E" w:rsidRDefault="0034170C" w:rsidP="000B0358">
            <w:pPr>
              <w:spacing w:line="276" w:lineRule="auto"/>
              <w:rPr>
                <w:rFonts w:ascii="Lato" w:hAnsi="Lato" w:cs="Calibri"/>
                <w:sz w:val="20"/>
                <w:szCs w:val="20"/>
              </w:rPr>
            </w:pPr>
            <w:r w:rsidRPr="00720D4E">
              <w:rPr>
                <w:rFonts w:ascii="Lato" w:hAnsi="Lato" w:cs="Calibri"/>
                <w:sz w:val="20"/>
                <w:szCs w:val="20"/>
              </w:rPr>
              <w:t>42</w:t>
            </w:r>
          </w:p>
        </w:tc>
      </w:tr>
      <w:tr w:rsidR="0034170C" w:rsidRPr="00720D4E" w14:paraId="042F150E" w14:textId="77777777" w:rsidTr="000B0358">
        <w:trPr>
          <w:trHeight w:val="417"/>
        </w:trPr>
        <w:tc>
          <w:tcPr>
            <w:tcW w:w="3552" w:type="dxa"/>
            <w:vAlign w:val="center"/>
          </w:tcPr>
          <w:p w14:paraId="499C5281" w14:textId="77777777" w:rsidR="0034170C" w:rsidRPr="00720D4E" w:rsidRDefault="0034170C" w:rsidP="000B0358">
            <w:pPr>
              <w:spacing w:line="276" w:lineRule="auto"/>
              <w:rPr>
                <w:rFonts w:ascii="Lato" w:hAnsi="Lato" w:cs="Calibri"/>
                <w:sz w:val="20"/>
                <w:szCs w:val="20"/>
              </w:rPr>
            </w:pPr>
            <w:r w:rsidRPr="00720D4E">
              <w:rPr>
                <w:rFonts w:ascii="Lato" w:hAnsi="Lato" w:cs="Calibri"/>
                <w:sz w:val="20"/>
                <w:szCs w:val="20"/>
              </w:rPr>
              <w:t>stomatologiczne panoramiczne</w:t>
            </w:r>
          </w:p>
          <w:p w14:paraId="0D15EC1E" w14:textId="77777777" w:rsidR="0034170C" w:rsidRPr="00720D4E" w:rsidRDefault="0034170C" w:rsidP="000B0358">
            <w:pPr>
              <w:spacing w:line="276" w:lineRule="auto"/>
              <w:rPr>
                <w:rFonts w:ascii="Lato" w:hAnsi="Lato" w:cs="Calibri"/>
                <w:sz w:val="20"/>
                <w:szCs w:val="20"/>
              </w:rPr>
            </w:pPr>
            <w:r w:rsidRPr="00720D4E">
              <w:rPr>
                <w:rFonts w:ascii="Lato" w:hAnsi="Lato" w:cs="Calibri"/>
                <w:sz w:val="20"/>
                <w:szCs w:val="20"/>
              </w:rPr>
              <w:t>(w tym z funkcją stomatologicznej tomografii komputerowej wiązki stożkowej oraz przystawką cefalometryczną)</w:t>
            </w:r>
          </w:p>
        </w:tc>
        <w:tc>
          <w:tcPr>
            <w:tcW w:w="2983" w:type="dxa"/>
            <w:vAlign w:val="center"/>
          </w:tcPr>
          <w:p w14:paraId="1D0FF8CB" w14:textId="77777777" w:rsidR="0034170C" w:rsidRPr="00720D4E" w:rsidRDefault="0034170C" w:rsidP="000B0358">
            <w:pPr>
              <w:spacing w:line="276" w:lineRule="auto"/>
              <w:rPr>
                <w:rFonts w:ascii="Lato" w:hAnsi="Lato" w:cs="Calibri"/>
                <w:sz w:val="20"/>
                <w:szCs w:val="20"/>
              </w:rPr>
            </w:pPr>
            <w:r w:rsidRPr="00720D4E">
              <w:rPr>
                <w:rFonts w:ascii="Lato" w:hAnsi="Lato" w:cs="Calibri"/>
                <w:sz w:val="20"/>
                <w:szCs w:val="20"/>
              </w:rPr>
              <w:t>221</w:t>
            </w:r>
          </w:p>
        </w:tc>
        <w:tc>
          <w:tcPr>
            <w:tcW w:w="2713" w:type="dxa"/>
            <w:vAlign w:val="center"/>
          </w:tcPr>
          <w:p w14:paraId="08C83893" w14:textId="77777777" w:rsidR="0034170C" w:rsidRPr="00720D4E" w:rsidRDefault="0034170C" w:rsidP="000B0358">
            <w:pPr>
              <w:spacing w:line="276" w:lineRule="auto"/>
              <w:rPr>
                <w:rFonts w:ascii="Lato" w:hAnsi="Lato" w:cs="Calibri"/>
                <w:sz w:val="20"/>
                <w:szCs w:val="20"/>
              </w:rPr>
            </w:pPr>
            <w:r w:rsidRPr="00720D4E">
              <w:rPr>
                <w:rFonts w:ascii="Lato" w:hAnsi="Lato" w:cs="Calibri"/>
                <w:sz w:val="20"/>
                <w:szCs w:val="20"/>
              </w:rPr>
              <w:t>25</w:t>
            </w:r>
          </w:p>
        </w:tc>
      </w:tr>
      <w:tr w:rsidR="0034170C" w:rsidRPr="00720D4E" w14:paraId="2033A518" w14:textId="77777777" w:rsidTr="000B0358">
        <w:tc>
          <w:tcPr>
            <w:tcW w:w="3552" w:type="dxa"/>
            <w:vAlign w:val="center"/>
          </w:tcPr>
          <w:p w14:paraId="1D476FAA" w14:textId="77777777" w:rsidR="0034170C" w:rsidRPr="00720D4E" w:rsidRDefault="0034170C" w:rsidP="000B0358">
            <w:pPr>
              <w:spacing w:line="276" w:lineRule="auto"/>
              <w:rPr>
                <w:rFonts w:ascii="Lato" w:hAnsi="Lato" w:cs="Calibri"/>
                <w:sz w:val="20"/>
                <w:szCs w:val="20"/>
              </w:rPr>
            </w:pPr>
            <w:r w:rsidRPr="00720D4E">
              <w:rPr>
                <w:rFonts w:ascii="Lato" w:hAnsi="Lato" w:cs="Calibri"/>
                <w:sz w:val="20"/>
                <w:szCs w:val="20"/>
              </w:rPr>
              <w:t>densytometry</w:t>
            </w:r>
          </w:p>
        </w:tc>
        <w:tc>
          <w:tcPr>
            <w:tcW w:w="2983" w:type="dxa"/>
            <w:vAlign w:val="center"/>
          </w:tcPr>
          <w:p w14:paraId="58937B5D" w14:textId="77777777" w:rsidR="0034170C" w:rsidRPr="00720D4E" w:rsidRDefault="0034170C" w:rsidP="000B0358">
            <w:pPr>
              <w:spacing w:line="276" w:lineRule="auto"/>
              <w:rPr>
                <w:rFonts w:ascii="Lato" w:hAnsi="Lato" w:cs="Calibri"/>
                <w:color w:val="EE0000"/>
                <w:sz w:val="20"/>
                <w:szCs w:val="20"/>
              </w:rPr>
            </w:pPr>
            <w:r w:rsidRPr="00720D4E">
              <w:rPr>
                <w:rFonts w:ascii="Lato" w:hAnsi="Lato" w:cs="Calibri"/>
                <w:sz w:val="20"/>
                <w:szCs w:val="20"/>
              </w:rPr>
              <w:t>13</w:t>
            </w:r>
          </w:p>
        </w:tc>
        <w:tc>
          <w:tcPr>
            <w:tcW w:w="2713" w:type="dxa"/>
            <w:vAlign w:val="center"/>
          </w:tcPr>
          <w:p w14:paraId="2CF077E0" w14:textId="77777777" w:rsidR="0034170C" w:rsidRPr="00720D4E" w:rsidRDefault="0034170C" w:rsidP="000B0358">
            <w:pPr>
              <w:spacing w:line="276" w:lineRule="auto"/>
              <w:rPr>
                <w:rFonts w:ascii="Lato" w:hAnsi="Lato" w:cs="Calibri"/>
                <w:color w:val="EE0000"/>
                <w:sz w:val="20"/>
                <w:szCs w:val="20"/>
              </w:rPr>
            </w:pPr>
            <w:r w:rsidRPr="00720D4E">
              <w:rPr>
                <w:rFonts w:ascii="Lato" w:hAnsi="Lato" w:cs="Calibri"/>
                <w:sz w:val="20"/>
                <w:szCs w:val="20"/>
              </w:rPr>
              <w:t>2</w:t>
            </w:r>
          </w:p>
        </w:tc>
      </w:tr>
      <w:tr w:rsidR="0034170C" w:rsidRPr="00720D4E" w14:paraId="595843CE" w14:textId="77777777" w:rsidTr="000B0358">
        <w:tc>
          <w:tcPr>
            <w:tcW w:w="3552" w:type="dxa"/>
            <w:vAlign w:val="center"/>
          </w:tcPr>
          <w:p w14:paraId="78513F97" w14:textId="77777777" w:rsidR="0034170C" w:rsidRPr="00720D4E" w:rsidRDefault="0034170C" w:rsidP="000B0358">
            <w:pPr>
              <w:spacing w:line="276" w:lineRule="auto"/>
              <w:rPr>
                <w:rFonts w:ascii="Lato" w:hAnsi="Lato" w:cs="Calibri"/>
                <w:sz w:val="20"/>
                <w:szCs w:val="20"/>
              </w:rPr>
            </w:pPr>
            <w:r w:rsidRPr="00720D4E">
              <w:rPr>
                <w:rFonts w:ascii="Lato" w:hAnsi="Lato" w:cs="Calibri"/>
                <w:sz w:val="20"/>
                <w:szCs w:val="20"/>
              </w:rPr>
              <w:t>tomografy komputerowe</w:t>
            </w:r>
          </w:p>
        </w:tc>
        <w:tc>
          <w:tcPr>
            <w:tcW w:w="2983" w:type="dxa"/>
            <w:vAlign w:val="center"/>
          </w:tcPr>
          <w:p w14:paraId="600174B2" w14:textId="77777777" w:rsidR="0034170C" w:rsidRPr="00720D4E" w:rsidRDefault="0034170C" w:rsidP="000B0358">
            <w:pPr>
              <w:spacing w:line="276" w:lineRule="auto"/>
              <w:rPr>
                <w:rFonts w:ascii="Lato" w:hAnsi="Lato" w:cs="Calibri"/>
                <w:sz w:val="20"/>
                <w:szCs w:val="20"/>
              </w:rPr>
            </w:pPr>
            <w:r w:rsidRPr="00720D4E">
              <w:rPr>
                <w:rFonts w:ascii="Lato" w:hAnsi="Lato" w:cs="Calibri"/>
                <w:sz w:val="20"/>
                <w:szCs w:val="20"/>
              </w:rPr>
              <w:t>42</w:t>
            </w:r>
          </w:p>
        </w:tc>
        <w:tc>
          <w:tcPr>
            <w:tcW w:w="2713" w:type="dxa"/>
            <w:vAlign w:val="center"/>
          </w:tcPr>
          <w:p w14:paraId="32E6BFC9" w14:textId="77777777" w:rsidR="0034170C" w:rsidRPr="00720D4E" w:rsidRDefault="0034170C" w:rsidP="000B0358">
            <w:pPr>
              <w:spacing w:line="276" w:lineRule="auto"/>
              <w:rPr>
                <w:rFonts w:ascii="Lato" w:hAnsi="Lato" w:cs="Calibri"/>
                <w:color w:val="EE0000"/>
                <w:sz w:val="20"/>
                <w:szCs w:val="20"/>
              </w:rPr>
            </w:pPr>
            <w:r w:rsidRPr="00720D4E">
              <w:rPr>
                <w:rFonts w:ascii="Lato" w:hAnsi="Lato" w:cs="Calibri"/>
                <w:sz w:val="20"/>
                <w:szCs w:val="20"/>
              </w:rPr>
              <w:t>1</w:t>
            </w:r>
          </w:p>
        </w:tc>
      </w:tr>
      <w:tr w:rsidR="0034170C" w:rsidRPr="00720D4E" w14:paraId="583EC3DC" w14:textId="77777777" w:rsidTr="000B0358">
        <w:tc>
          <w:tcPr>
            <w:tcW w:w="3552" w:type="dxa"/>
            <w:vAlign w:val="center"/>
          </w:tcPr>
          <w:p w14:paraId="2A2E221C" w14:textId="77777777" w:rsidR="0034170C" w:rsidRPr="00720D4E" w:rsidRDefault="0034170C" w:rsidP="000B0358">
            <w:pPr>
              <w:spacing w:line="276" w:lineRule="auto"/>
              <w:rPr>
                <w:rFonts w:ascii="Lato" w:hAnsi="Lato" w:cs="Calibri"/>
                <w:sz w:val="20"/>
                <w:szCs w:val="20"/>
              </w:rPr>
            </w:pPr>
            <w:r w:rsidRPr="00720D4E">
              <w:rPr>
                <w:rFonts w:ascii="Lato" w:hAnsi="Lato" w:cs="Calibri"/>
                <w:sz w:val="20"/>
                <w:szCs w:val="20"/>
              </w:rPr>
              <w:t>Suma</w:t>
            </w:r>
          </w:p>
        </w:tc>
        <w:tc>
          <w:tcPr>
            <w:tcW w:w="2983" w:type="dxa"/>
            <w:vAlign w:val="center"/>
          </w:tcPr>
          <w:p w14:paraId="46DF51B5" w14:textId="77777777" w:rsidR="0034170C" w:rsidRPr="00720D4E" w:rsidRDefault="0034170C" w:rsidP="000B0358">
            <w:pPr>
              <w:spacing w:line="276" w:lineRule="auto"/>
              <w:rPr>
                <w:rFonts w:ascii="Lato" w:hAnsi="Lato" w:cs="Calibri"/>
                <w:color w:val="EE0000"/>
                <w:sz w:val="20"/>
                <w:szCs w:val="20"/>
              </w:rPr>
            </w:pPr>
            <w:r w:rsidRPr="00720D4E">
              <w:rPr>
                <w:rFonts w:ascii="Lato" w:hAnsi="Lato" w:cs="Calibri"/>
                <w:sz w:val="20"/>
                <w:szCs w:val="20"/>
              </w:rPr>
              <w:t>1168</w:t>
            </w:r>
          </w:p>
        </w:tc>
        <w:tc>
          <w:tcPr>
            <w:tcW w:w="2713" w:type="dxa"/>
            <w:vAlign w:val="center"/>
          </w:tcPr>
          <w:p w14:paraId="004E55D0" w14:textId="77777777" w:rsidR="0034170C" w:rsidRPr="00720D4E" w:rsidRDefault="0034170C" w:rsidP="000B0358">
            <w:pPr>
              <w:spacing w:line="276" w:lineRule="auto"/>
              <w:rPr>
                <w:rFonts w:ascii="Lato" w:hAnsi="Lato" w:cs="Calibri"/>
                <w:color w:val="EE0000"/>
                <w:sz w:val="20"/>
                <w:szCs w:val="20"/>
              </w:rPr>
            </w:pPr>
            <w:r w:rsidRPr="00720D4E">
              <w:rPr>
                <w:rFonts w:ascii="Lato" w:hAnsi="Lato" w:cs="Calibri"/>
                <w:sz w:val="20"/>
                <w:szCs w:val="20"/>
              </w:rPr>
              <w:t>94</w:t>
            </w:r>
          </w:p>
        </w:tc>
      </w:tr>
    </w:tbl>
    <w:p w14:paraId="645DDD89" w14:textId="77777777" w:rsidR="0034170C" w:rsidRPr="0090516C" w:rsidRDefault="0034170C" w:rsidP="0034170C">
      <w:pPr>
        <w:spacing w:line="276" w:lineRule="auto"/>
        <w:rPr>
          <w:rFonts w:ascii="Lato" w:hAnsi="Lato" w:cs="Calibri"/>
          <w:color w:val="FF0000"/>
          <w:sz w:val="22"/>
          <w:szCs w:val="22"/>
        </w:rPr>
      </w:pPr>
    </w:p>
    <w:p w14:paraId="0008AD4F" w14:textId="77777777" w:rsidR="0034170C" w:rsidRPr="00364DC5" w:rsidRDefault="0034170C" w:rsidP="008C1ABA">
      <w:pPr>
        <w:spacing w:line="360" w:lineRule="auto"/>
        <w:rPr>
          <w:rFonts w:ascii="Lato" w:hAnsi="Lato" w:cs="Calibri"/>
          <w:sz w:val="22"/>
          <w:szCs w:val="22"/>
        </w:rPr>
      </w:pPr>
      <w:r w:rsidRPr="00364DC5">
        <w:rPr>
          <w:rFonts w:ascii="Lato" w:hAnsi="Lato" w:cs="Calibri"/>
          <w:sz w:val="22"/>
          <w:szCs w:val="22"/>
        </w:rPr>
        <w:t xml:space="preserve">Niezmiernie istotnym elementem dla prowadzonego postępowania diagnostycznego jest zapewnienie nowoczesnej aparatury rentgenowskiej. Wyeksploatowana aparatura może utrudniać postawienie właściwej diagnozy medycznej i może powodować otrzymywanie zwiększonych dawek promieniowania, dlatego też jednym z zadań Państwowej Inspekcji Sanitarnej jest ocena jakości aparatury rtg w kontekście ochrony pacjenta. </w:t>
      </w:r>
    </w:p>
    <w:p w14:paraId="67ED6FB0" w14:textId="77777777" w:rsidR="0034170C" w:rsidRPr="00364DC5" w:rsidRDefault="0034170C" w:rsidP="008C1ABA">
      <w:pPr>
        <w:spacing w:line="360" w:lineRule="auto"/>
        <w:rPr>
          <w:rFonts w:ascii="Lato" w:hAnsi="Lato" w:cs="Calibri"/>
          <w:sz w:val="22"/>
          <w:szCs w:val="22"/>
        </w:rPr>
      </w:pPr>
      <w:r w:rsidRPr="00364DC5">
        <w:rPr>
          <w:rFonts w:ascii="Lato" w:hAnsi="Lato" w:cs="Calibri"/>
          <w:sz w:val="22"/>
          <w:szCs w:val="22"/>
        </w:rPr>
        <w:lastRenderedPageBreak/>
        <w:t>W 2025 roku przeprowadzono 174 kontroli w zakresie higieny radiacyjnej. W 52 podmiotach stwierdzono nieprawidłowości dotyczące m.in.:</w:t>
      </w:r>
    </w:p>
    <w:p w14:paraId="1AE2916D" w14:textId="30151B0F" w:rsidR="0034170C" w:rsidRPr="0090516C" w:rsidRDefault="0034170C">
      <w:pPr>
        <w:pStyle w:val="Akapitzlist"/>
        <w:numPr>
          <w:ilvl w:val="0"/>
          <w:numId w:val="27"/>
        </w:numPr>
        <w:spacing w:line="360" w:lineRule="auto"/>
        <w:rPr>
          <w:rFonts w:ascii="Lato" w:hAnsi="Lato" w:cs="Calibri"/>
          <w:color w:val="EE0000"/>
          <w:sz w:val="22"/>
          <w:szCs w:val="22"/>
        </w:rPr>
      </w:pPr>
      <w:r w:rsidRPr="0090516C">
        <w:rPr>
          <w:rFonts w:ascii="Lato" w:hAnsi="Lato" w:cs="Calibri"/>
          <w:sz w:val="22"/>
          <w:szCs w:val="22"/>
        </w:rPr>
        <w:t>braku wykonywania z właściwą częstotliwością testów aparatury rentgenowskiej</w:t>
      </w:r>
      <w:r w:rsidR="00DD3FD7">
        <w:rPr>
          <w:rFonts w:ascii="Lato" w:hAnsi="Lato" w:cs="Calibri"/>
          <w:sz w:val="22"/>
          <w:szCs w:val="22"/>
        </w:rPr>
        <w:t>,</w:t>
      </w:r>
      <w:r w:rsidRPr="0090516C">
        <w:rPr>
          <w:rFonts w:ascii="Lato" w:hAnsi="Lato" w:cs="Calibri"/>
          <w:color w:val="EE0000"/>
          <w:sz w:val="22"/>
          <w:szCs w:val="22"/>
        </w:rPr>
        <w:t xml:space="preserve"> </w:t>
      </w:r>
    </w:p>
    <w:p w14:paraId="00F1C596" w14:textId="5404AA05" w:rsidR="0034170C" w:rsidRPr="0090516C" w:rsidRDefault="0034170C">
      <w:pPr>
        <w:pStyle w:val="Akapitzlist"/>
        <w:numPr>
          <w:ilvl w:val="0"/>
          <w:numId w:val="27"/>
        </w:numPr>
        <w:spacing w:line="360" w:lineRule="auto"/>
        <w:rPr>
          <w:rFonts w:ascii="Lato" w:hAnsi="Lato" w:cs="Calibri"/>
          <w:sz w:val="22"/>
          <w:szCs w:val="22"/>
        </w:rPr>
      </w:pPr>
      <w:r w:rsidRPr="0090516C">
        <w:rPr>
          <w:rFonts w:ascii="Lato" w:hAnsi="Lato" w:cs="Calibri"/>
          <w:sz w:val="22"/>
          <w:szCs w:val="22"/>
        </w:rPr>
        <w:t>braku dokumentów potwierdzających, że osoby pracujące w narażeniu na działanie promieniowania jonizującego były objęte pomiarami dawek</w:t>
      </w:r>
      <w:r w:rsidR="00DD3FD7">
        <w:rPr>
          <w:rFonts w:ascii="Lato" w:hAnsi="Lato" w:cs="Calibri"/>
          <w:sz w:val="22"/>
          <w:szCs w:val="22"/>
        </w:rPr>
        <w:t>,</w:t>
      </w:r>
    </w:p>
    <w:p w14:paraId="5635CDCD" w14:textId="77777777" w:rsidR="0034170C" w:rsidRPr="0090516C" w:rsidRDefault="0034170C">
      <w:pPr>
        <w:pStyle w:val="Akapitzlist"/>
        <w:numPr>
          <w:ilvl w:val="0"/>
          <w:numId w:val="27"/>
        </w:numPr>
        <w:spacing w:line="360" w:lineRule="auto"/>
        <w:rPr>
          <w:rFonts w:ascii="Lato" w:hAnsi="Lato" w:cs="Calibri"/>
          <w:sz w:val="22"/>
          <w:szCs w:val="22"/>
        </w:rPr>
      </w:pPr>
      <w:r w:rsidRPr="0090516C">
        <w:rPr>
          <w:rFonts w:ascii="Lato" w:hAnsi="Lato" w:cs="Calibri"/>
          <w:sz w:val="22"/>
          <w:szCs w:val="22"/>
        </w:rPr>
        <w:t>braku posiadania dokumentów dotyczących przeprowadzania audytów wewnętrznych.</w:t>
      </w:r>
    </w:p>
    <w:p w14:paraId="69252828" w14:textId="77777777" w:rsidR="0034170C" w:rsidRPr="00364DC5" w:rsidRDefault="0034170C" w:rsidP="008C1ABA">
      <w:pPr>
        <w:spacing w:line="360" w:lineRule="auto"/>
        <w:rPr>
          <w:rFonts w:ascii="Lato" w:hAnsi="Lato" w:cs="Calibri"/>
          <w:sz w:val="22"/>
          <w:szCs w:val="22"/>
        </w:rPr>
      </w:pPr>
      <w:r w:rsidRPr="00364DC5">
        <w:rPr>
          <w:rFonts w:ascii="Lato" w:hAnsi="Lato" w:cs="Calibri"/>
          <w:sz w:val="22"/>
          <w:szCs w:val="22"/>
        </w:rPr>
        <w:t>Podmioty zostały zobowiązane do usunięcia nieprawidłowości i zapewnienia bezpieczeństwa pacjentów oraz pracowników. Nieprawidłowości zostały usunięte.</w:t>
      </w:r>
    </w:p>
    <w:p w14:paraId="51828768" w14:textId="77777777" w:rsidR="0034170C" w:rsidRPr="00364DC5" w:rsidRDefault="0034170C" w:rsidP="008C1ABA">
      <w:pPr>
        <w:spacing w:line="360" w:lineRule="auto"/>
        <w:rPr>
          <w:rFonts w:ascii="Lato" w:hAnsi="Lato" w:cs="Calibri"/>
          <w:color w:val="EE0000"/>
          <w:sz w:val="22"/>
          <w:szCs w:val="22"/>
        </w:rPr>
      </w:pPr>
    </w:p>
    <w:p w14:paraId="4586DB80" w14:textId="25AC29C5" w:rsidR="0034170C" w:rsidRPr="00364DC5" w:rsidRDefault="0034170C" w:rsidP="008C1ABA">
      <w:pPr>
        <w:spacing w:line="360" w:lineRule="auto"/>
        <w:rPr>
          <w:rFonts w:ascii="Lato" w:eastAsia="Calibri" w:hAnsi="Lato" w:cs="Calibri"/>
          <w:color w:val="EE0000"/>
          <w:sz w:val="22"/>
          <w:szCs w:val="22"/>
        </w:rPr>
      </w:pPr>
      <w:r w:rsidRPr="00364DC5">
        <w:rPr>
          <w:rFonts w:ascii="Lato" w:eastAsia="Calibri" w:hAnsi="Lato" w:cs="Calibri"/>
          <w:sz w:val="22"/>
          <w:szCs w:val="22"/>
        </w:rPr>
        <w:t xml:space="preserve">W 2025 roku wykonano w ramach nadzoru testy specjalistyczne przy 29 aparatach rentgenowskich oraz 8 urządzeniach pomocniczych - monitorach przeznaczonych do prezentacji obrazów medycznych (do oceny zdjęć </w:t>
      </w:r>
      <w:proofErr w:type="spellStart"/>
      <w:r w:rsidRPr="00364DC5">
        <w:rPr>
          <w:rFonts w:ascii="Lato" w:eastAsia="Calibri" w:hAnsi="Lato" w:cs="Calibri"/>
          <w:sz w:val="22"/>
          <w:szCs w:val="22"/>
        </w:rPr>
        <w:t>pantomograficznych</w:t>
      </w:r>
      <w:proofErr w:type="spellEnd"/>
      <w:r w:rsidRPr="00364DC5">
        <w:rPr>
          <w:rFonts w:ascii="Lato" w:eastAsia="Calibri" w:hAnsi="Lato" w:cs="Calibri"/>
          <w:sz w:val="22"/>
          <w:szCs w:val="22"/>
        </w:rPr>
        <w:t xml:space="preserve"> i </w:t>
      </w:r>
      <w:proofErr w:type="spellStart"/>
      <w:r w:rsidRPr="00364DC5">
        <w:rPr>
          <w:rFonts w:ascii="Lato" w:eastAsia="Calibri" w:hAnsi="Lato" w:cs="Calibri"/>
          <w:sz w:val="22"/>
          <w:szCs w:val="22"/>
        </w:rPr>
        <w:t>cefalometrycznych</w:t>
      </w:r>
      <w:proofErr w:type="spellEnd"/>
      <w:r w:rsidRPr="00364DC5">
        <w:rPr>
          <w:rFonts w:ascii="Lato" w:eastAsia="Calibri" w:hAnsi="Lato" w:cs="Calibri"/>
          <w:sz w:val="22"/>
          <w:szCs w:val="22"/>
        </w:rPr>
        <w:t xml:space="preserve"> oraz </w:t>
      </w:r>
      <w:proofErr w:type="spellStart"/>
      <w:r w:rsidRPr="00364DC5">
        <w:rPr>
          <w:rFonts w:ascii="Lato" w:eastAsia="Calibri" w:hAnsi="Lato" w:cs="Calibri"/>
          <w:sz w:val="22"/>
          <w:szCs w:val="22"/>
        </w:rPr>
        <w:t>ogólnodiagnostycznych</w:t>
      </w:r>
      <w:proofErr w:type="spellEnd"/>
      <w:r w:rsidRPr="00364DC5">
        <w:rPr>
          <w:rFonts w:ascii="Lato" w:eastAsia="Calibri" w:hAnsi="Lato" w:cs="Calibri"/>
          <w:sz w:val="22"/>
          <w:szCs w:val="22"/>
        </w:rPr>
        <w:t>)</w:t>
      </w:r>
      <w:r w:rsidR="00DD3FD7">
        <w:rPr>
          <w:rFonts w:ascii="Lato" w:eastAsia="Calibri" w:hAnsi="Lato" w:cs="Calibri"/>
          <w:sz w:val="22"/>
          <w:szCs w:val="22"/>
        </w:rPr>
        <w:t xml:space="preserve">. </w:t>
      </w:r>
      <w:r w:rsidRPr="00364DC5">
        <w:rPr>
          <w:rFonts w:ascii="Lato" w:eastAsia="Calibri" w:hAnsi="Lato" w:cs="Calibri"/>
          <w:sz w:val="22"/>
          <w:szCs w:val="22"/>
        </w:rPr>
        <w:t xml:space="preserve">Przeprowadzone testy specjalistyczne wykazały przekroczenia wartości fizycznych parametrów przy </w:t>
      </w:r>
      <w:r w:rsidR="00DD3FD7">
        <w:rPr>
          <w:rFonts w:ascii="Lato" w:eastAsia="Calibri" w:hAnsi="Lato" w:cs="Calibri"/>
          <w:sz w:val="22"/>
          <w:szCs w:val="22"/>
        </w:rPr>
        <w:t>2</w:t>
      </w:r>
      <w:r w:rsidRPr="00364DC5">
        <w:rPr>
          <w:rFonts w:ascii="Lato" w:eastAsia="Calibri" w:hAnsi="Lato" w:cs="Calibri"/>
          <w:sz w:val="22"/>
          <w:szCs w:val="22"/>
        </w:rPr>
        <w:t xml:space="preserve"> monitorach opisowych do prezentacji obrazów medycznych w pantomografii.</w:t>
      </w:r>
    </w:p>
    <w:p w14:paraId="619F8F18" w14:textId="77777777" w:rsidR="0034170C" w:rsidRDefault="0034170C" w:rsidP="008C1ABA">
      <w:pPr>
        <w:spacing w:line="360" w:lineRule="auto"/>
        <w:rPr>
          <w:rFonts w:ascii="Lato" w:eastAsia="Calibri" w:hAnsi="Lato" w:cs="Calibri"/>
        </w:rPr>
      </w:pPr>
    </w:p>
    <w:p w14:paraId="41418481" w14:textId="28F26A75" w:rsidR="0034170C" w:rsidRPr="00364DC5" w:rsidRDefault="0034170C" w:rsidP="008C1ABA">
      <w:pPr>
        <w:spacing w:line="360" w:lineRule="auto"/>
        <w:rPr>
          <w:rFonts w:ascii="Lato" w:eastAsia="Calibri" w:hAnsi="Lato" w:cs="Calibri"/>
          <w:sz w:val="22"/>
          <w:szCs w:val="22"/>
        </w:rPr>
      </w:pPr>
      <w:r w:rsidRPr="00364DC5">
        <w:rPr>
          <w:rFonts w:ascii="Lato" w:eastAsia="Calibri" w:hAnsi="Lato" w:cs="Calibri"/>
          <w:sz w:val="22"/>
          <w:szCs w:val="22"/>
        </w:rPr>
        <w:t>W celu stwierdzenia skuteczności osłon stałych przed przenikaniem promieniowania rentgenowskiego wykonano pomiary w 6 pracowniach rentgenowskich przy aparatach do</w:t>
      </w:r>
      <w:r w:rsidR="00C60215">
        <w:rPr>
          <w:rFonts w:ascii="Lato" w:eastAsia="Calibri" w:hAnsi="Lato" w:cs="Calibri"/>
          <w:sz w:val="22"/>
          <w:szCs w:val="22"/>
        </w:rPr>
        <w:t> </w:t>
      </w:r>
      <w:r w:rsidRPr="00364DC5">
        <w:rPr>
          <w:rFonts w:ascii="Lato" w:eastAsia="Calibri" w:hAnsi="Lato" w:cs="Calibri"/>
          <w:sz w:val="22"/>
          <w:szCs w:val="22"/>
        </w:rPr>
        <w:t xml:space="preserve">zdjęć wewnątrzustnych oraz aparacie do zdjęć </w:t>
      </w:r>
      <w:proofErr w:type="spellStart"/>
      <w:r w:rsidRPr="00364DC5">
        <w:rPr>
          <w:rFonts w:ascii="Lato" w:eastAsia="Calibri" w:hAnsi="Lato" w:cs="Calibri"/>
          <w:sz w:val="22"/>
          <w:szCs w:val="22"/>
        </w:rPr>
        <w:t>pantomograficznych</w:t>
      </w:r>
      <w:proofErr w:type="spellEnd"/>
      <w:r w:rsidRPr="00364DC5">
        <w:rPr>
          <w:rFonts w:ascii="Lato" w:eastAsia="Calibri" w:hAnsi="Lato" w:cs="Calibri"/>
          <w:sz w:val="22"/>
          <w:szCs w:val="22"/>
        </w:rPr>
        <w:t>. Nie stwierdzono nieprawidłowości.</w:t>
      </w:r>
    </w:p>
    <w:p w14:paraId="09851B37" w14:textId="77777777" w:rsidR="0034170C" w:rsidRPr="00364DC5" w:rsidRDefault="0034170C" w:rsidP="008C1ABA">
      <w:pPr>
        <w:spacing w:line="360" w:lineRule="auto"/>
        <w:rPr>
          <w:rFonts w:ascii="Lato" w:hAnsi="Lato" w:cs="Calibri"/>
          <w:sz w:val="22"/>
          <w:szCs w:val="22"/>
        </w:rPr>
      </w:pPr>
    </w:p>
    <w:p w14:paraId="5271B1FF" w14:textId="77777777" w:rsidR="0034170C" w:rsidRPr="00364DC5" w:rsidRDefault="0034170C" w:rsidP="008C1ABA">
      <w:pPr>
        <w:spacing w:line="360" w:lineRule="auto"/>
        <w:rPr>
          <w:rFonts w:ascii="Lato" w:eastAsia="Calibri" w:hAnsi="Lato" w:cs="Calibri"/>
          <w:color w:val="EE0000"/>
          <w:sz w:val="22"/>
          <w:szCs w:val="22"/>
        </w:rPr>
      </w:pPr>
      <w:r w:rsidRPr="00364DC5">
        <w:rPr>
          <w:rFonts w:ascii="Lato" w:hAnsi="Lato" w:cs="Calibri"/>
          <w:sz w:val="22"/>
          <w:szCs w:val="22"/>
        </w:rPr>
        <w:t xml:space="preserve">W 2025 roku wydano 484 decyzje, w tym: </w:t>
      </w:r>
    </w:p>
    <w:p w14:paraId="6EC65322" w14:textId="77777777" w:rsidR="0034170C" w:rsidRPr="00364DC5" w:rsidRDefault="0034170C">
      <w:pPr>
        <w:numPr>
          <w:ilvl w:val="0"/>
          <w:numId w:val="28"/>
        </w:numPr>
        <w:spacing w:line="360" w:lineRule="auto"/>
        <w:rPr>
          <w:rFonts w:ascii="Lato" w:eastAsia="HG Mincho Light J" w:hAnsi="Lato" w:cs="Calibri"/>
          <w:sz w:val="22"/>
          <w:szCs w:val="22"/>
          <w:lang w:eastAsia="ar-SA"/>
        </w:rPr>
      </w:pPr>
      <w:r w:rsidRPr="00364DC5">
        <w:rPr>
          <w:rFonts w:ascii="Lato" w:hAnsi="Lato" w:cs="Calibri"/>
          <w:sz w:val="22"/>
          <w:szCs w:val="22"/>
        </w:rPr>
        <w:t>94 decyzji zezwalających na uruchamianie i stosowanie aparatów rtg,</w:t>
      </w:r>
    </w:p>
    <w:p w14:paraId="497034D7" w14:textId="77777777" w:rsidR="0034170C" w:rsidRPr="00364DC5" w:rsidRDefault="0034170C">
      <w:pPr>
        <w:numPr>
          <w:ilvl w:val="0"/>
          <w:numId w:val="28"/>
        </w:numPr>
        <w:spacing w:line="360" w:lineRule="auto"/>
        <w:rPr>
          <w:rFonts w:ascii="Lato" w:eastAsia="HG Mincho Light J" w:hAnsi="Lato" w:cs="Calibri"/>
          <w:sz w:val="22"/>
          <w:szCs w:val="22"/>
          <w:lang w:eastAsia="ar-SA"/>
        </w:rPr>
      </w:pPr>
      <w:r w:rsidRPr="00364DC5">
        <w:rPr>
          <w:rFonts w:ascii="Lato" w:hAnsi="Lato" w:cs="Calibri"/>
          <w:sz w:val="22"/>
          <w:szCs w:val="22"/>
        </w:rPr>
        <w:t>56 decyzje zezwalające na uruchamianie medycznych pracowni rentgenowskich,</w:t>
      </w:r>
    </w:p>
    <w:p w14:paraId="70A7EEC0" w14:textId="77777777" w:rsidR="0034170C" w:rsidRPr="00364DC5" w:rsidRDefault="0034170C">
      <w:pPr>
        <w:numPr>
          <w:ilvl w:val="0"/>
          <w:numId w:val="28"/>
        </w:numPr>
        <w:spacing w:line="360" w:lineRule="auto"/>
        <w:rPr>
          <w:rFonts w:ascii="Lato" w:eastAsia="HG Mincho Light J" w:hAnsi="Lato" w:cs="Calibri"/>
          <w:sz w:val="22"/>
          <w:szCs w:val="22"/>
          <w:lang w:eastAsia="ar-SA"/>
        </w:rPr>
      </w:pPr>
      <w:r w:rsidRPr="00364DC5">
        <w:rPr>
          <w:rFonts w:ascii="Lato" w:hAnsi="Lato" w:cs="Calibri"/>
          <w:sz w:val="22"/>
          <w:szCs w:val="22"/>
        </w:rPr>
        <w:t xml:space="preserve">50 decyzji - zgody </w:t>
      </w:r>
      <w:bookmarkStart w:id="209" w:name="_Hlk98162758"/>
      <w:r w:rsidRPr="00364DC5">
        <w:rPr>
          <w:rFonts w:ascii="Lato" w:eastAsia="HG Mincho Light J" w:hAnsi="Lato" w:cs="Calibri"/>
          <w:sz w:val="22"/>
          <w:szCs w:val="22"/>
          <w:lang w:eastAsia="ar-SA"/>
        </w:rPr>
        <w:t>na prowadzenie działalności związanej z narażeniem w celach medycznych,</w:t>
      </w:r>
    </w:p>
    <w:bookmarkEnd w:id="209"/>
    <w:p w14:paraId="757F2300" w14:textId="77777777" w:rsidR="0034170C" w:rsidRPr="00364DC5" w:rsidRDefault="0034170C">
      <w:pPr>
        <w:numPr>
          <w:ilvl w:val="0"/>
          <w:numId w:val="28"/>
        </w:numPr>
        <w:spacing w:line="360" w:lineRule="auto"/>
        <w:rPr>
          <w:rFonts w:ascii="Lato" w:eastAsia="HG Mincho Light J" w:hAnsi="Lato" w:cs="Calibri"/>
          <w:sz w:val="22"/>
          <w:szCs w:val="22"/>
          <w:lang w:eastAsia="ar-SA"/>
        </w:rPr>
      </w:pPr>
      <w:r w:rsidRPr="00364DC5">
        <w:rPr>
          <w:rFonts w:ascii="Lato" w:hAnsi="Lato" w:cs="Calibri"/>
          <w:sz w:val="22"/>
          <w:szCs w:val="22"/>
        </w:rPr>
        <w:t xml:space="preserve">71 decyzji wygaszających decyzje - zezwalające na uruchamianie i stosowanie aparatów rtg, uruchamianie pracowni rtg oraz zgody na </w:t>
      </w:r>
      <w:r w:rsidRPr="00364DC5">
        <w:rPr>
          <w:rFonts w:ascii="Lato" w:eastAsia="HG Mincho Light J" w:hAnsi="Lato" w:cs="Calibri"/>
          <w:sz w:val="22"/>
          <w:szCs w:val="22"/>
          <w:lang w:eastAsia="ar-SA"/>
        </w:rPr>
        <w:t>prowadzenie działalności związanej z narażeniem w celach medycznych,</w:t>
      </w:r>
    </w:p>
    <w:p w14:paraId="296E9C88" w14:textId="77777777" w:rsidR="0034170C" w:rsidRPr="00364DC5" w:rsidRDefault="0034170C">
      <w:pPr>
        <w:numPr>
          <w:ilvl w:val="0"/>
          <w:numId w:val="28"/>
        </w:numPr>
        <w:spacing w:line="360" w:lineRule="auto"/>
        <w:rPr>
          <w:rFonts w:ascii="Lato" w:eastAsia="HG Mincho Light J" w:hAnsi="Lato" w:cs="Calibri"/>
          <w:sz w:val="22"/>
          <w:szCs w:val="22"/>
          <w:lang w:eastAsia="ar-SA"/>
        </w:rPr>
      </w:pPr>
      <w:r w:rsidRPr="00364DC5">
        <w:rPr>
          <w:rFonts w:ascii="Lato" w:hAnsi="Lato" w:cs="Calibri"/>
          <w:sz w:val="22"/>
          <w:szCs w:val="22"/>
        </w:rPr>
        <w:t>21 decyzji nakazujących usunięcie stwierdzonych nieprawidłowości,</w:t>
      </w:r>
    </w:p>
    <w:p w14:paraId="1377C5AE" w14:textId="77777777" w:rsidR="0034170C" w:rsidRPr="00364DC5" w:rsidRDefault="0034170C">
      <w:pPr>
        <w:numPr>
          <w:ilvl w:val="0"/>
          <w:numId w:val="28"/>
        </w:numPr>
        <w:spacing w:line="360" w:lineRule="auto"/>
        <w:rPr>
          <w:rFonts w:ascii="Lato" w:eastAsia="HG Mincho Light J" w:hAnsi="Lato" w:cs="Calibri"/>
          <w:sz w:val="22"/>
          <w:szCs w:val="22"/>
          <w:lang w:eastAsia="ar-SA"/>
        </w:rPr>
      </w:pPr>
      <w:r w:rsidRPr="00364DC5">
        <w:rPr>
          <w:rFonts w:ascii="Lato" w:eastAsia="HG Mincho Light J" w:hAnsi="Lato" w:cs="Calibri"/>
          <w:sz w:val="22"/>
          <w:szCs w:val="22"/>
          <w:lang w:eastAsia="ar-SA"/>
        </w:rPr>
        <w:t>6 decyzji kar za uruchamianie i stosowanie aparatu rtg bez zezwolenia oraz uruchamianie medycznej pracowni bez zezwolenia jak również za niedopełnienie obowiązków w zakresie ochrony radiologicznej przy pracy ze źródłami promieniowania jonizującego.</w:t>
      </w:r>
    </w:p>
    <w:p w14:paraId="74E7677E" w14:textId="77777777" w:rsidR="0034170C" w:rsidRPr="00364DC5" w:rsidRDefault="0034170C" w:rsidP="008C1ABA">
      <w:pPr>
        <w:spacing w:line="360" w:lineRule="auto"/>
        <w:rPr>
          <w:rFonts w:ascii="Lato" w:hAnsi="Lato" w:cs="Calibri"/>
          <w:b/>
          <w:sz w:val="22"/>
          <w:szCs w:val="22"/>
        </w:rPr>
      </w:pPr>
    </w:p>
    <w:p w14:paraId="192C6CC5" w14:textId="77777777" w:rsidR="0034170C" w:rsidRPr="00134C7C" w:rsidRDefault="0034170C" w:rsidP="008C1ABA">
      <w:pPr>
        <w:spacing w:line="360" w:lineRule="auto"/>
        <w:rPr>
          <w:rFonts w:ascii="Lato" w:hAnsi="Lato" w:cs="Calibri"/>
        </w:rPr>
      </w:pPr>
      <w:r w:rsidRPr="00364DC5">
        <w:rPr>
          <w:rFonts w:ascii="Lato" w:hAnsi="Lato" w:cs="Calibri"/>
          <w:sz w:val="22"/>
          <w:szCs w:val="22"/>
        </w:rPr>
        <w:t xml:space="preserve">W 2025 roku w ramach nadzoru przeprowadzono 48 badań w kierunku zawartości izotopu </w:t>
      </w:r>
      <w:r w:rsidRPr="00364DC5">
        <w:rPr>
          <w:rFonts w:ascii="Lato" w:hAnsi="Lato" w:cs="Calibri"/>
          <w:sz w:val="22"/>
          <w:szCs w:val="22"/>
          <w:vertAlign w:val="superscript"/>
        </w:rPr>
        <w:t>137</w:t>
      </w:r>
      <w:r w:rsidRPr="00364DC5">
        <w:rPr>
          <w:rFonts w:ascii="Lato" w:hAnsi="Lato" w:cs="Calibri"/>
          <w:sz w:val="22"/>
          <w:szCs w:val="22"/>
        </w:rPr>
        <w:t>Cs, w tym: 29 próbek żywności, produktów rolnych i pasz oraz 6 próbek</w:t>
      </w:r>
      <w:r w:rsidRPr="00143AFA">
        <w:rPr>
          <w:rFonts w:ascii="Lato" w:hAnsi="Lato" w:cs="Calibri"/>
        </w:rPr>
        <w:t xml:space="preserve"> wody. </w:t>
      </w:r>
      <w:r w:rsidRPr="00364DC5">
        <w:rPr>
          <w:rFonts w:ascii="Lato" w:hAnsi="Lato" w:cs="Calibri"/>
          <w:sz w:val="22"/>
          <w:szCs w:val="22"/>
        </w:rPr>
        <w:t xml:space="preserve">W przebadanych próbkach nie stwierdzono przekroczenia dopuszczalnych zawartości izotopu </w:t>
      </w:r>
      <w:r w:rsidRPr="00364DC5">
        <w:rPr>
          <w:rFonts w:ascii="Lato" w:hAnsi="Lato" w:cs="Calibri"/>
          <w:sz w:val="22"/>
          <w:szCs w:val="22"/>
          <w:vertAlign w:val="superscript"/>
        </w:rPr>
        <w:t>137</w:t>
      </w:r>
      <w:r w:rsidRPr="00364DC5">
        <w:rPr>
          <w:rFonts w:ascii="Lato" w:hAnsi="Lato" w:cs="Calibri"/>
          <w:sz w:val="22"/>
          <w:szCs w:val="22"/>
        </w:rPr>
        <w:t>Cs.</w:t>
      </w:r>
      <w:r>
        <w:rPr>
          <w:rFonts w:ascii="Lato" w:hAnsi="Lato" w:cs="Calibri"/>
        </w:rPr>
        <w:t xml:space="preserve"> </w:t>
      </w:r>
    </w:p>
    <w:p w14:paraId="3E3B6BEB" w14:textId="77777777" w:rsidR="00DD3FD7" w:rsidRPr="00364DC5" w:rsidRDefault="00DD3FD7" w:rsidP="00DD3FD7">
      <w:pPr>
        <w:spacing w:line="360" w:lineRule="auto"/>
        <w:rPr>
          <w:rFonts w:ascii="Lato" w:hAnsi="Lato" w:cs="Calibri"/>
          <w:sz w:val="22"/>
          <w:szCs w:val="22"/>
        </w:rPr>
      </w:pPr>
      <w:r w:rsidRPr="00364DC5">
        <w:rPr>
          <w:rFonts w:ascii="Lato" w:hAnsi="Lato" w:cs="Calibri"/>
          <w:sz w:val="22"/>
          <w:szCs w:val="22"/>
        </w:rPr>
        <w:t>W 2025 roku nie odnotowano zdarzeń, w wyniku których mogło dojść do skażeń promieniotwórczych.</w:t>
      </w:r>
    </w:p>
    <w:p w14:paraId="7FFC349C" w14:textId="7AF22365" w:rsidR="00E63792" w:rsidRDefault="00E63792">
      <w:pPr>
        <w:spacing w:after="160" w:line="278" w:lineRule="auto"/>
        <w:rPr>
          <w:rFonts w:ascii="Lato" w:eastAsiaTheme="majorEastAsia" w:hAnsi="Lato" w:cstheme="majorBidi"/>
          <w:color w:val="4C94D8" w:themeColor="text2" w:themeTint="80"/>
          <w:sz w:val="22"/>
          <w:szCs w:val="22"/>
        </w:rPr>
      </w:pPr>
    </w:p>
    <w:p w14:paraId="26421206" w14:textId="77777777" w:rsidR="0090516C" w:rsidRPr="002D163F" w:rsidRDefault="0090516C">
      <w:pPr>
        <w:spacing w:after="160" w:line="278" w:lineRule="auto"/>
        <w:rPr>
          <w:rFonts w:ascii="Lato" w:eastAsiaTheme="majorEastAsia" w:hAnsi="Lato" w:cstheme="majorBidi"/>
          <w:color w:val="4C94D8" w:themeColor="text2" w:themeTint="80"/>
          <w:sz w:val="22"/>
          <w:szCs w:val="22"/>
        </w:rPr>
      </w:pPr>
    </w:p>
    <w:p w14:paraId="077D82F5" w14:textId="77777777" w:rsidR="008C1ABA" w:rsidRDefault="008C1ABA">
      <w:pPr>
        <w:spacing w:after="160" w:line="278" w:lineRule="auto"/>
        <w:rPr>
          <w:rFonts w:ascii="Lato" w:eastAsiaTheme="majorEastAsia" w:hAnsi="Lato" w:cstheme="majorBidi"/>
          <w:color w:val="4C94D8" w:themeColor="text2" w:themeTint="80"/>
          <w:sz w:val="32"/>
          <w:szCs w:val="40"/>
        </w:rPr>
      </w:pPr>
      <w:r>
        <w:br w:type="page"/>
      </w:r>
    </w:p>
    <w:p w14:paraId="58212098" w14:textId="32B1C551" w:rsidR="0034170C" w:rsidRPr="00BA2854" w:rsidRDefault="0034170C">
      <w:pPr>
        <w:pStyle w:val="Nagwek1"/>
        <w:numPr>
          <w:ilvl w:val="0"/>
          <w:numId w:val="16"/>
        </w:numPr>
        <w:rPr>
          <w:color w:val="153D63" w:themeColor="text2" w:themeTint="E6"/>
        </w:rPr>
      </w:pPr>
      <w:bookmarkStart w:id="210" w:name="_Toc225859101"/>
      <w:r w:rsidRPr="00BA2854">
        <w:rPr>
          <w:color w:val="153D63" w:themeColor="text2" w:themeTint="E6"/>
        </w:rPr>
        <w:lastRenderedPageBreak/>
        <w:t>N</w:t>
      </w:r>
      <w:r w:rsidR="00225539" w:rsidRPr="00BA2854">
        <w:rPr>
          <w:color w:val="153D63" w:themeColor="text2" w:themeTint="E6"/>
        </w:rPr>
        <w:t>adzór nad Chemikaliami</w:t>
      </w:r>
      <w:bookmarkEnd w:id="210"/>
      <w:r w:rsidR="00225539" w:rsidRPr="00BA2854">
        <w:rPr>
          <w:color w:val="153D63" w:themeColor="text2" w:themeTint="E6"/>
        </w:rPr>
        <w:t xml:space="preserve"> </w:t>
      </w:r>
    </w:p>
    <w:p w14:paraId="09EC4FE6" w14:textId="77777777" w:rsidR="0034170C" w:rsidRPr="0060394D" w:rsidRDefault="0034170C" w:rsidP="0034170C">
      <w:pPr>
        <w:spacing w:line="276" w:lineRule="auto"/>
        <w:rPr>
          <w:rFonts w:ascii="Lato" w:hAnsi="Lato" w:cs="Calibri"/>
          <w:b/>
          <w:sz w:val="22"/>
          <w:szCs w:val="22"/>
        </w:rPr>
      </w:pPr>
    </w:p>
    <w:p w14:paraId="49C1D484" w14:textId="149AD9B2" w:rsidR="0034170C" w:rsidRPr="001D3C3C" w:rsidRDefault="0034170C">
      <w:pPr>
        <w:pStyle w:val="Nagwek2"/>
        <w:numPr>
          <w:ilvl w:val="0"/>
          <w:numId w:val="2"/>
        </w:numPr>
        <w:spacing w:before="0" w:after="0"/>
        <w:ind w:left="568" w:right="284" w:hanging="284"/>
        <w:rPr>
          <w:b/>
          <w:bCs/>
          <w:szCs w:val="24"/>
        </w:rPr>
      </w:pPr>
      <w:bookmarkStart w:id="211" w:name="_Toc225859102"/>
      <w:r w:rsidRPr="001D3C3C">
        <w:rPr>
          <w:b/>
          <w:bCs/>
          <w:szCs w:val="24"/>
        </w:rPr>
        <w:t>Substancje chemiczne i ich mieszaniny</w:t>
      </w:r>
      <w:bookmarkEnd w:id="211"/>
    </w:p>
    <w:p w14:paraId="2C029B01" w14:textId="77777777" w:rsidR="0034170C" w:rsidRDefault="0034170C" w:rsidP="0034170C">
      <w:pPr>
        <w:spacing w:line="276" w:lineRule="auto"/>
        <w:rPr>
          <w:rFonts w:ascii="Lato" w:hAnsi="Lato" w:cs="Calibri"/>
          <w:sz w:val="22"/>
          <w:szCs w:val="22"/>
        </w:rPr>
      </w:pPr>
    </w:p>
    <w:p w14:paraId="7B01410A" w14:textId="77777777" w:rsidR="0034170C" w:rsidRPr="0090516C" w:rsidRDefault="0034170C" w:rsidP="008C1ABA">
      <w:pPr>
        <w:spacing w:line="360" w:lineRule="auto"/>
        <w:rPr>
          <w:rFonts w:ascii="Lato" w:hAnsi="Lato" w:cs="Calibri"/>
          <w:sz w:val="22"/>
          <w:szCs w:val="22"/>
        </w:rPr>
      </w:pPr>
      <w:r w:rsidRPr="0090516C">
        <w:rPr>
          <w:rFonts w:ascii="Lato" w:hAnsi="Lato" w:cs="Calibri"/>
          <w:sz w:val="22"/>
          <w:szCs w:val="22"/>
        </w:rPr>
        <w:t>W 2025 roku przeprowadzono 308 kontroli w związku ze sprawowanym nadzorem nad bezpieczeństwem wytwarzania substancji chemicznych i ich mieszanin oraz wprowadzaniem ich do obrotu. Nieprawidłowości stwierdzono w co 9 kontroli. Od kilku lat rokrocznie stwierdza się takie same nieprawidłowości, tj.:</w:t>
      </w:r>
    </w:p>
    <w:p w14:paraId="7A290800" w14:textId="77777777" w:rsidR="0034170C" w:rsidRPr="0090516C" w:rsidRDefault="0034170C" w:rsidP="008C1ABA">
      <w:pPr>
        <w:spacing w:line="360" w:lineRule="auto"/>
        <w:rPr>
          <w:rFonts w:ascii="Lato" w:hAnsi="Lato" w:cs="Calibri"/>
          <w:sz w:val="22"/>
          <w:szCs w:val="22"/>
        </w:rPr>
      </w:pPr>
      <w:r w:rsidRPr="0090516C">
        <w:rPr>
          <w:rFonts w:ascii="Lato" w:hAnsi="Lato" w:cs="Calibri"/>
          <w:sz w:val="22"/>
          <w:szCs w:val="22"/>
        </w:rPr>
        <w:t>-brak lub niezgodnie z wymogami prawa karty charakterystyki,</w:t>
      </w:r>
    </w:p>
    <w:p w14:paraId="1324F372" w14:textId="77777777" w:rsidR="0034170C" w:rsidRPr="0090516C" w:rsidRDefault="0034170C" w:rsidP="008C1ABA">
      <w:pPr>
        <w:spacing w:line="360" w:lineRule="auto"/>
        <w:rPr>
          <w:rFonts w:ascii="Lato" w:hAnsi="Lato" w:cs="Calibri"/>
          <w:sz w:val="22"/>
          <w:szCs w:val="22"/>
        </w:rPr>
      </w:pPr>
      <w:r w:rsidRPr="0090516C">
        <w:rPr>
          <w:rFonts w:ascii="Lato" w:hAnsi="Lato" w:cs="Calibri"/>
          <w:sz w:val="22"/>
          <w:szCs w:val="22"/>
        </w:rPr>
        <w:t>-niewłaściwa klasyfikacja mieszanin chemicznych,</w:t>
      </w:r>
    </w:p>
    <w:p w14:paraId="0B9C113E" w14:textId="77777777" w:rsidR="0034170C" w:rsidRPr="0090516C" w:rsidRDefault="0034170C" w:rsidP="008C1ABA">
      <w:pPr>
        <w:spacing w:line="360" w:lineRule="auto"/>
        <w:rPr>
          <w:rFonts w:ascii="Lato" w:hAnsi="Lato" w:cs="Calibri"/>
          <w:sz w:val="22"/>
          <w:szCs w:val="22"/>
        </w:rPr>
      </w:pPr>
      <w:r w:rsidRPr="0090516C">
        <w:rPr>
          <w:rFonts w:ascii="Lato" w:hAnsi="Lato" w:cs="Calibri"/>
          <w:sz w:val="22"/>
          <w:szCs w:val="22"/>
        </w:rPr>
        <w:t>-brak etykiet w języku polskim,</w:t>
      </w:r>
    </w:p>
    <w:p w14:paraId="7D4E2D2B" w14:textId="77777777" w:rsidR="0034170C" w:rsidRPr="0090516C" w:rsidRDefault="0034170C" w:rsidP="008C1ABA">
      <w:pPr>
        <w:spacing w:line="360" w:lineRule="auto"/>
        <w:rPr>
          <w:rFonts w:ascii="Lato" w:hAnsi="Lato" w:cs="Calibri"/>
          <w:sz w:val="22"/>
          <w:szCs w:val="22"/>
        </w:rPr>
      </w:pPr>
      <w:r w:rsidRPr="0090516C">
        <w:rPr>
          <w:rFonts w:ascii="Lato" w:hAnsi="Lato" w:cs="Calibri"/>
          <w:sz w:val="22"/>
          <w:szCs w:val="22"/>
        </w:rPr>
        <w:t xml:space="preserve">-niezgodne z prawem oznakowanie. </w:t>
      </w:r>
    </w:p>
    <w:p w14:paraId="00ED4EC8" w14:textId="55C46C14" w:rsidR="0034170C" w:rsidRPr="0060394D" w:rsidRDefault="0034170C" w:rsidP="008C1ABA">
      <w:pPr>
        <w:spacing w:line="360" w:lineRule="auto"/>
        <w:rPr>
          <w:rFonts w:ascii="Lato" w:hAnsi="Lato" w:cs="Calibri"/>
          <w:sz w:val="22"/>
          <w:szCs w:val="22"/>
        </w:rPr>
      </w:pPr>
      <w:r>
        <w:rPr>
          <w:rFonts w:ascii="Lato" w:hAnsi="Lato" w:cs="Calibri"/>
          <w:sz w:val="22"/>
          <w:szCs w:val="22"/>
        </w:rPr>
        <w:t xml:space="preserve">Ponadto </w:t>
      </w:r>
      <w:r w:rsidRPr="0060394D">
        <w:rPr>
          <w:rFonts w:ascii="Lato" w:hAnsi="Lato" w:cs="Calibri"/>
          <w:sz w:val="22"/>
          <w:szCs w:val="22"/>
        </w:rPr>
        <w:t xml:space="preserve"> uczestniczono we wspólnotowym projekcie REACH-EN-FORCE-13, który obejmował kontrole produktów chemicznych sprzedawanych online poprzez sprawdzenie ich zgodności z</w:t>
      </w:r>
      <w:r w:rsidR="00AC1CB1">
        <w:rPr>
          <w:rFonts w:ascii="Lato" w:hAnsi="Lato" w:cs="Calibri"/>
          <w:sz w:val="22"/>
          <w:szCs w:val="22"/>
        </w:rPr>
        <w:t> </w:t>
      </w:r>
      <w:r w:rsidRPr="0060394D">
        <w:rPr>
          <w:rFonts w:ascii="Lato" w:hAnsi="Lato" w:cs="Calibri"/>
          <w:sz w:val="22"/>
          <w:szCs w:val="22"/>
        </w:rPr>
        <w:t>przepisami wynikającymi z rozporządze</w:t>
      </w:r>
      <w:r>
        <w:rPr>
          <w:rFonts w:ascii="Lato" w:hAnsi="Lato" w:cs="Calibri"/>
          <w:sz w:val="22"/>
          <w:szCs w:val="22"/>
        </w:rPr>
        <w:t xml:space="preserve">nia </w:t>
      </w:r>
      <w:r w:rsidRPr="0060394D">
        <w:rPr>
          <w:rFonts w:ascii="Lato" w:hAnsi="Lato" w:cs="Calibri"/>
          <w:sz w:val="22"/>
          <w:szCs w:val="22"/>
        </w:rPr>
        <w:t>CLP. W ramach realizacji sprawdzono 24 oferty sprzedaży mieszanin stwarzających zagrożenie, z których w 9 nie wymieniono na etykiecie rodzaju lub rodzajów zagrożeń przez nie stwarzanych</w:t>
      </w:r>
      <w:r w:rsidRPr="004C1E84">
        <w:rPr>
          <w:rFonts w:ascii="Lato" w:hAnsi="Lato" w:cs="Calibri"/>
          <w:sz w:val="22"/>
          <w:szCs w:val="22"/>
        </w:rPr>
        <w:t xml:space="preserve"> </w:t>
      </w:r>
      <w:r w:rsidRPr="0060394D">
        <w:rPr>
          <w:rFonts w:ascii="Lato" w:hAnsi="Lato" w:cs="Calibri"/>
          <w:sz w:val="22"/>
          <w:szCs w:val="22"/>
        </w:rPr>
        <w:t>określonych na etykiecie niebezpiecznych produktów chemicznych. Nieprawidłowości zostały usunięte niezwłocznie podczas czynności kontrolnych.</w:t>
      </w:r>
      <w:r>
        <w:rPr>
          <w:rFonts w:ascii="Lato" w:hAnsi="Lato" w:cs="Calibri"/>
          <w:sz w:val="22"/>
          <w:szCs w:val="22"/>
        </w:rPr>
        <w:t xml:space="preserve"> Nie odnotowano przypadków niezamierzonego uwolnienia chemikaliów. </w:t>
      </w:r>
    </w:p>
    <w:p w14:paraId="2AF4085A" w14:textId="77777777" w:rsidR="0034170C" w:rsidRPr="0060394D" w:rsidRDefault="0034170C" w:rsidP="008C1ABA">
      <w:pPr>
        <w:spacing w:line="360" w:lineRule="auto"/>
        <w:rPr>
          <w:rFonts w:ascii="Lato" w:hAnsi="Lato" w:cs="Calibri"/>
          <w:sz w:val="22"/>
          <w:szCs w:val="22"/>
        </w:rPr>
      </w:pPr>
    </w:p>
    <w:p w14:paraId="6EF1394A" w14:textId="397A5FF4" w:rsidR="0034170C" w:rsidRPr="001D3C3C" w:rsidRDefault="0034170C">
      <w:pPr>
        <w:pStyle w:val="Nagwek2"/>
        <w:numPr>
          <w:ilvl w:val="0"/>
          <w:numId w:val="2"/>
        </w:numPr>
        <w:spacing w:before="0" w:after="0" w:line="360" w:lineRule="auto"/>
        <w:ind w:left="568" w:right="284" w:hanging="284"/>
        <w:rPr>
          <w:b/>
          <w:bCs/>
          <w:szCs w:val="24"/>
        </w:rPr>
      </w:pPr>
      <w:bookmarkStart w:id="212" w:name="_Toc225859103"/>
      <w:r w:rsidRPr="001D3C3C">
        <w:rPr>
          <w:b/>
          <w:bCs/>
          <w:szCs w:val="24"/>
        </w:rPr>
        <w:t>Produkty biobójcze</w:t>
      </w:r>
      <w:bookmarkEnd w:id="212"/>
    </w:p>
    <w:p w14:paraId="372FB3FF" w14:textId="77777777" w:rsidR="0034170C" w:rsidRPr="0060394D" w:rsidRDefault="0034170C" w:rsidP="008C1ABA">
      <w:pPr>
        <w:pStyle w:val="Tekstpodstawowy3"/>
        <w:spacing w:after="0" w:line="360" w:lineRule="auto"/>
        <w:rPr>
          <w:rFonts w:ascii="Lato" w:hAnsi="Lato" w:cs="Calibri"/>
          <w:sz w:val="22"/>
          <w:szCs w:val="22"/>
        </w:rPr>
      </w:pPr>
      <w:r w:rsidRPr="0060394D">
        <w:rPr>
          <w:rFonts w:ascii="Lato" w:hAnsi="Lato" w:cs="Calibri"/>
          <w:sz w:val="22"/>
          <w:szCs w:val="22"/>
        </w:rPr>
        <w:t>W zakresie wprowadzania do obrotu, udostępniania na rynku oraz stosowania w działalności zawodowej produktów biobójczych przeprowadzono 268 kontroli, w których oceniono 523 produkty. Zakwestionowano 36 produktów udostępnianych na rynku ze względu na: brak pozwolenia na obrót, etykietę przyciągającą uwagę dzieci, upływ terminu ważności, inną zawartość substancji czynnej na etykiecie i w pozwoleniu, błędną kartę charakterystyki, udostępnianie do powszechnej sprzedaży</w:t>
      </w:r>
      <w:r>
        <w:rPr>
          <w:rFonts w:ascii="Lato" w:hAnsi="Lato" w:cs="Calibri"/>
          <w:sz w:val="22"/>
          <w:szCs w:val="22"/>
        </w:rPr>
        <w:t xml:space="preserve"> </w:t>
      </w:r>
      <w:r w:rsidRPr="0060394D">
        <w:rPr>
          <w:rFonts w:ascii="Lato" w:hAnsi="Lato" w:cs="Calibri"/>
          <w:sz w:val="22"/>
          <w:szCs w:val="22"/>
        </w:rPr>
        <w:t xml:space="preserve">produktu biobójczego przeznaczonego dla użytkowników profesjonalnych. </w:t>
      </w:r>
    </w:p>
    <w:p w14:paraId="3C191348" w14:textId="77777777" w:rsidR="0034170C" w:rsidRPr="0060394D" w:rsidRDefault="0034170C" w:rsidP="008C1ABA">
      <w:pPr>
        <w:pStyle w:val="Tekstpodstawowy3"/>
        <w:spacing w:after="0" w:line="360" w:lineRule="auto"/>
        <w:rPr>
          <w:rFonts w:ascii="Lato" w:hAnsi="Lato" w:cs="Calibri"/>
          <w:sz w:val="22"/>
          <w:szCs w:val="22"/>
        </w:rPr>
      </w:pPr>
      <w:r w:rsidRPr="0060394D">
        <w:rPr>
          <w:rFonts w:ascii="Lato" w:hAnsi="Lato" w:cs="Calibri"/>
          <w:sz w:val="22"/>
          <w:szCs w:val="22"/>
        </w:rPr>
        <w:t>W roku 2025 kontynuowano nadzór nad produktami biobójczymi dla profesjonalistów mający na celu zapewnienie, że produkty</w:t>
      </w:r>
      <w:r>
        <w:rPr>
          <w:rFonts w:ascii="Lato" w:hAnsi="Lato" w:cs="Calibri"/>
          <w:sz w:val="22"/>
          <w:szCs w:val="22"/>
        </w:rPr>
        <w:t xml:space="preserve"> te</w:t>
      </w:r>
      <w:r w:rsidRPr="0060394D">
        <w:rPr>
          <w:rFonts w:ascii="Lato" w:hAnsi="Lato" w:cs="Calibri"/>
          <w:sz w:val="22"/>
          <w:szCs w:val="22"/>
        </w:rPr>
        <w:t xml:space="preserve"> nie są sprzedawane ogółowi społeczeństwa. </w:t>
      </w:r>
      <w:r>
        <w:rPr>
          <w:rFonts w:ascii="Lato" w:hAnsi="Lato" w:cs="Calibri"/>
          <w:sz w:val="22"/>
          <w:szCs w:val="22"/>
        </w:rPr>
        <w:t>P</w:t>
      </w:r>
      <w:r w:rsidRPr="0060394D">
        <w:rPr>
          <w:rFonts w:ascii="Lato" w:hAnsi="Lato" w:cs="Calibri"/>
          <w:sz w:val="22"/>
          <w:szCs w:val="22"/>
        </w:rPr>
        <w:t>rzeprowadzono 70 kontroli</w:t>
      </w:r>
      <w:r>
        <w:rPr>
          <w:rFonts w:ascii="Lato" w:hAnsi="Lato" w:cs="Calibri"/>
          <w:sz w:val="22"/>
          <w:szCs w:val="22"/>
        </w:rPr>
        <w:t xml:space="preserve">. Stwierdzono </w:t>
      </w:r>
      <w:r w:rsidRPr="0060394D">
        <w:rPr>
          <w:rFonts w:ascii="Lato" w:hAnsi="Lato" w:cs="Calibri"/>
          <w:sz w:val="22"/>
          <w:szCs w:val="22"/>
        </w:rPr>
        <w:t xml:space="preserve">4 </w:t>
      </w:r>
      <w:r>
        <w:rPr>
          <w:rFonts w:ascii="Lato" w:hAnsi="Lato" w:cs="Calibri"/>
          <w:sz w:val="22"/>
          <w:szCs w:val="22"/>
        </w:rPr>
        <w:t>przypadki u</w:t>
      </w:r>
      <w:r w:rsidRPr="0060394D">
        <w:rPr>
          <w:rFonts w:ascii="Lato" w:hAnsi="Lato" w:cs="Calibri"/>
          <w:sz w:val="22"/>
          <w:szCs w:val="22"/>
        </w:rPr>
        <w:t>dostępniani</w:t>
      </w:r>
      <w:r>
        <w:rPr>
          <w:rFonts w:ascii="Lato" w:hAnsi="Lato" w:cs="Calibri"/>
          <w:sz w:val="22"/>
          <w:szCs w:val="22"/>
        </w:rPr>
        <w:t xml:space="preserve">a </w:t>
      </w:r>
      <w:r w:rsidRPr="0060394D">
        <w:rPr>
          <w:rFonts w:ascii="Lato" w:hAnsi="Lato" w:cs="Calibri"/>
          <w:sz w:val="22"/>
          <w:szCs w:val="22"/>
        </w:rPr>
        <w:t>produktu biobójczego</w:t>
      </w:r>
      <w:r>
        <w:rPr>
          <w:rFonts w:ascii="Lato" w:hAnsi="Lato" w:cs="Calibri"/>
          <w:sz w:val="22"/>
          <w:szCs w:val="22"/>
        </w:rPr>
        <w:t xml:space="preserve"> dla profesjonalistów w</w:t>
      </w:r>
      <w:r w:rsidRPr="0060394D">
        <w:rPr>
          <w:rFonts w:ascii="Lato" w:hAnsi="Lato" w:cs="Calibri"/>
          <w:sz w:val="22"/>
          <w:szCs w:val="22"/>
        </w:rPr>
        <w:t xml:space="preserve"> powszechnej sprzedaży, bez weryfikacji kategorii użytkownika. </w:t>
      </w:r>
    </w:p>
    <w:p w14:paraId="29057C3C" w14:textId="7900FB51" w:rsidR="0034170C" w:rsidRPr="0060394D" w:rsidRDefault="0034170C" w:rsidP="008C1ABA">
      <w:pPr>
        <w:pStyle w:val="Tekstpodstawowy3"/>
        <w:spacing w:after="0" w:line="360" w:lineRule="auto"/>
        <w:rPr>
          <w:rFonts w:ascii="Lato" w:hAnsi="Lato" w:cs="Calibri"/>
          <w:sz w:val="22"/>
          <w:szCs w:val="22"/>
        </w:rPr>
      </w:pPr>
      <w:r w:rsidRPr="0060394D">
        <w:rPr>
          <w:rFonts w:ascii="Lato" w:hAnsi="Lato" w:cs="Calibri"/>
          <w:sz w:val="22"/>
          <w:szCs w:val="22"/>
        </w:rPr>
        <w:t>Ponadto nadzór skupiał się na kontroli dystrybucji produktów biobójczych stosowanych w</w:t>
      </w:r>
      <w:r w:rsidR="00AC1CB1">
        <w:rPr>
          <w:rFonts w:ascii="Lato" w:hAnsi="Lato" w:cs="Calibri"/>
          <w:sz w:val="22"/>
          <w:szCs w:val="22"/>
        </w:rPr>
        <w:t> </w:t>
      </w:r>
      <w:r w:rsidRPr="0060394D">
        <w:rPr>
          <w:rFonts w:ascii="Lato" w:hAnsi="Lato" w:cs="Calibri"/>
          <w:sz w:val="22"/>
          <w:szCs w:val="22"/>
        </w:rPr>
        <w:t xml:space="preserve">zabezpieczaniu drewna i materiałów budowlanych przed wpływem organizmów szkodliwych oraz produktów biobójczych do zastosowania w higienie weterynaryjnej. W ramach tych </w:t>
      </w:r>
      <w:r w:rsidRPr="0060394D">
        <w:rPr>
          <w:rFonts w:ascii="Lato" w:hAnsi="Lato" w:cs="Calibri"/>
          <w:sz w:val="22"/>
          <w:szCs w:val="22"/>
        </w:rPr>
        <w:lastRenderedPageBreak/>
        <w:t>działań przeprowadzono 168 kontroli, podczas których stwierdzono nieprawidłowości w</w:t>
      </w:r>
      <w:r w:rsidR="00AC1CB1">
        <w:rPr>
          <w:rFonts w:ascii="Lato" w:hAnsi="Lato" w:cs="Calibri"/>
          <w:sz w:val="22"/>
          <w:szCs w:val="22"/>
        </w:rPr>
        <w:t> </w:t>
      </w:r>
      <w:r w:rsidRPr="0060394D">
        <w:rPr>
          <w:rFonts w:ascii="Lato" w:hAnsi="Lato" w:cs="Calibri"/>
          <w:sz w:val="22"/>
          <w:szCs w:val="22"/>
        </w:rPr>
        <w:t xml:space="preserve">zakresie kart charakterystyk, oznakowania opakowań, klasyfikacji produktów biobójczych oraz udostępnianie na rynku produktu, który nie posiadał pozwolenia na obrót. </w:t>
      </w:r>
    </w:p>
    <w:p w14:paraId="527BE3C9" w14:textId="2F6172AB" w:rsidR="0034170C" w:rsidRDefault="0034170C" w:rsidP="008C1ABA">
      <w:pPr>
        <w:spacing w:line="360" w:lineRule="auto"/>
        <w:rPr>
          <w:rFonts w:ascii="Lato" w:hAnsi="Lato"/>
          <w:sz w:val="22"/>
          <w:szCs w:val="22"/>
        </w:rPr>
      </w:pPr>
      <w:bookmarkStart w:id="213" w:name="_Toc1025567"/>
      <w:r w:rsidRPr="0060394D">
        <w:rPr>
          <w:rFonts w:ascii="Lato" w:hAnsi="Lato"/>
          <w:sz w:val="22"/>
          <w:szCs w:val="22"/>
        </w:rPr>
        <w:t>Uczestniczono we wspólnotowym projekcie BEF-3 dotyczącym kontroli charakterystyki produktu biobójczego i powiązanych informacji na etykietach produktów biobójczych. W</w:t>
      </w:r>
      <w:r w:rsidR="00AC1CB1">
        <w:rPr>
          <w:rFonts w:ascii="Lato" w:hAnsi="Lato"/>
          <w:sz w:val="22"/>
          <w:szCs w:val="22"/>
        </w:rPr>
        <w:t> </w:t>
      </w:r>
      <w:r w:rsidRPr="0060394D">
        <w:rPr>
          <w:rFonts w:ascii="Lato" w:hAnsi="Lato"/>
          <w:sz w:val="22"/>
          <w:szCs w:val="22"/>
        </w:rPr>
        <w:t xml:space="preserve">ramach projektu przeprowadzono 13 kontroli, podczas których nie stwierdzono nieprawidłowości znaczących z punktu widzenia nadzoru nad produktami biobójczymi. </w:t>
      </w:r>
    </w:p>
    <w:p w14:paraId="75DE75A0" w14:textId="77777777" w:rsidR="0034170C" w:rsidRPr="0060394D" w:rsidRDefault="0034170C" w:rsidP="008C1ABA">
      <w:pPr>
        <w:spacing w:line="360" w:lineRule="auto"/>
        <w:rPr>
          <w:rFonts w:ascii="Lato" w:hAnsi="Lato"/>
          <w:sz w:val="22"/>
          <w:szCs w:val="22"/>
        </w:rPr>
      </w:pPr>
      <w:r>
        <w:rPr>
          <w:rFonts w:ascii="Lato" w:hAnsi="Lato"/>
          <w:sz w:val="22"/>
          <w:szCs w:val="22"/>
        </w:rPr>
        <w:t>Prowadzone podczas czynności kontrolnych działania edukacyjne przyczyniają się do zwiększenia świadomości zagrożeń, które mogą wyniknąć z niewłaściwego stosowania produktów biobójczych.</w:t>
      </w:r>
    </w:p>
    <w:p w14:paraId="725372A2" w14:textId="77777777" w:rsidR="0034170C" w:rsidRPr="0060394D" w:rsidRDefault="0034170C" w:rsidP="0034170C">
      <w:pPr>
        <w:spacing w:line="276" w:lineRule="auto"/>
        <w:rPr>
          <w:rFonts w:ascii="Lato" w:hAnsi="Lato"/>
          <w:sz w:val="22"/>
          <w:szCs w:val="22"/>
        </w:rPr>
      </w:pPr>
    </w:p>
    <w:p w14:paraId="0661A645" w14:textId="26BFF606" w:rsidR="0034170C" w:rsidRPr="001D3C3C" w:rsidRDefault="0034170C">
      <w:pPr>
        <w:pStyle w:val="Nagwek2"/>
        <w:numPr>
          <w:ilvl w:val="0"/>
          <w:numId w:val="2"/>
        </w:numPr>
        <w:spacing w:before="0" w:after="0" w:line="360" w:lineRule="auto"/>
        <w:ind w:left="568" w:right="284" w:hanging="284"/>
        <w:rPr>
          <w:b/>
          <w:bCs/>
          <w:szCs w:val="24"/>
        </w:rPr>
      </w:pPr>
      <w:bookmarkStart w:id="214" w:name="_Toc225859104"/>
      <w:r w:rsidRPr="001D3C3C">
        <w:rPr>
          <w:b/>
          <w:bCs/>
          <w:szCs w:val="24"/>
        </w:rPr>
        <w:t>Środki zastępcze, nowe substancje psychoaktywne oraz prekursory narkotyków kat. 2 i 3</w:t>
      </w:r>
      <w:bookmarkEnd w:id="214"/>
    </w:p>
    <w:p w14:paraId="6B344A74" w14:textId="77777777" w:rsidR="0034170C" w:rsidRPr="0060394D" w:rsidRDefault="0034170C" w:rsidP="008C1ABA">
      <w:pPr>
        <w:spacing w:line="360" w:lineRule="auto"/>
        <w:rPr>
          <w:rFonts w:ascii="Lato" w:hAnsi="Lato" w:cs="Calibri"/>
          <w:sz w:val="22"/>
          <w:szCs w:val="22"/>
        </w:rPr>
      </w:pPr>
      <w:r w:rsidRPr="0060394D">
        <w:rPr>
          <w:rFonts w:ascii="Lato" w:hAnsi="Lato" w:cs="Calibri"/>
          <w:sz w:val="22"/>
          <w:szCs w:val="22"/>
        </w:rPr>
        <w:t>Jednym z zadań realizowanych przez organ</w:t>
      </w:r>
      <w:r>
        <w:rPr>
          <w:rFonts w:ascii="Lato" w:hAnsi="Lato" w:cs="Calibri"/>
          <w:sz w:val="22"/>
          <w:szCs w:val="22"/>
        </w:rPr>
        <w:t>y</w:t>
      </w:r>
      <w:r w:rsidRPr="0060394D">
        <w:rPr>
          <w:rFonts w:ascii="Lato" w:hAnsi="Lato" w:cs="Calibri"/>
          <w:sz w:val="22"/>
          <w:szCs w:val="22"/>
        </w:rPr>
        <w:t xml:space="preserve"> Państwowej Inspekcji Sanitarnej jest nadzór nad przestrzeganiem przepisów dot. zakazu wytwarzania i wprowadzania do obrotu na terytorium Rzeczypospolitej Polskiej środków zastępczych (dalej ŚZ) lub nowych substancji psychoaktywnych (dalej NSP).</w:t>
      </w:r>
    </w:p>
    <w:p w14:paraId="5019367B" w14:textId="26F4196F" w:rsidR="0034170C" w:rsidRPr="0060394D" w:rsidRDefault="0034170C" w:rsidP="008C1ABA">
      <w:pPr>
        <w:spacing w:line="360" w:lineRule="auto"/>
        <w:rPr>
          <w:rFonts w:ascii="Lato" w:hAnsi="Lato" w:cs="Calibri"/>
          <w:sz w:val="22"/>
          <w:szCs w:val="22"/>
        </w:rPr>
      </w:pPr>
      <w:r w:rsidRPr="0060394D">
        <w:rPr>
          <w:rFonts w:ascii="Lato" w:hAnsi="Lato" w:cs="Calibri"/>
          <w:sz w:val="22"/>
          <w:szCs w:val="22"/>
        </w:rPr>
        <w:t>W celu wczesnego ostrzegania prowadz</w:t>
      </w:r>
      <w:r>
        <w:rPr>
          <w:rFonts w:ascii="Lato" w:hAnsi="Lato" w:cs="Calibri"/>
          <w:sz w:val="22"/>
          <w:szCs w:val="22"/>
        </w:rPr>
        <w:t>ony jest</w:t>
      </w:r>
      <w:r w:rsidRPr="0060394D">
        <w:rPr>
          <w:rFonts w:ascii="Lato" w:hAnsi="Lato" w:cs="Calibri"/>
          <w:sz w:val="22"/>
          <w:szCs w:val="22"/>
        </w:rPr>
        <w:t xml:space="preserve"> rejestr zatruć</w:t>
      </w:r>
      <w:r w:rsidRPr="0060394D">
        <w:rPr>
          <w:rFonts w:ascii="Lato" w:hAnsi="Lato"/>
          <w:sz w:val="22"/>
          <w:szCs w:val="22"/>
        </w:rPr>
        <w:t xml:space="preserve"> </w:t>
      </w:r>
      <w:r w:rsidRPr="0060394D">
        <w:rPr>
          <w:rFonts w:ascii="Lato" w:hAnsi="Lato" w:cs="Calibri"/>
          <w:sz w:val="22"/>
          <w:szCs w:val="22"/>
        </w:rPr>
        <w:t>ŚZ lub NSP. Podmioty wykonujące działalność leczniczą oraz podmioty przeprowadzające badanie pośmiertne są obowiązane zgłaszać państwowemu powiatowemu inspektorowi sanitarnemu wystąpienie zatrucia ŚZ lub NSP albo podejrzenie wystąpienia takiego zatrucia. Z roku na rok obserwuje się spadek liczby przypadków zatruć lub podejrzeń zatruć środkami zastępczymi. Podobnie jak w</w:t>
      </w:r>
      <w:r w:rsidR="00C60215">
        <w:rPr>
          <w:rFonts w:ascii="Lato" w:hAnsi="Lato" w:cs="Calibri"/>
          <w:sz w:val="22"/>
          <w:szCs w:val="22"/>
        </w:rPr>
        <w:t> </w:t>
      </w:r>
      <w:r w:rsidRPr="0060394D">
        <w:rPr>
          <w:rFonts w:ascii="Lato" w:hAnsi="Lato" w:cs="Calibri"/>
          <w:sz w:val="22"/>
          <w:szCs w:val="22"/>
        </w:rPr>
        <w:t xml:space="preserve">latach poprzednich, w roku 2025 nie odnotowano zatruć zbiorowych i zgonów. </w:t>
      </w:r>
    </w:p>
    <w:p w14:paraId="724BEDB7" w14:textId="77777777" w:rsidR="0034170C" w:rsidRPr="0060394D" w:rsidRDefault="0034170C" w:rsidP="008C1ABA">
      <w:pPr>
        <w:spacing w:line="360" w:lineRule="auto"/>
        <w:rPr>
          <w:rFonts w:ascii="Lato" w:hAnsi="Lato" w:cs="Calibri"/>
          <w:sz w:val="22"/>
          <w:szCs w:val="22"/>
        </w:rPr>
      </w:pPr>
    </w:p>
    <w:p w14:paraId="65EB67EF" w14:textId="77777777" w:rsidR="0034170C" w:rsidRPr="0060394D" w:rsidRDefault="0034170C" w:rsidP="008C1ABA">
      <w:pPr>
        <w:spacing w:line="360" w:lineRule="auto"/>
        <w:rPr>
          <w:rFonts w:ascii="Lato" w:hAnsi="Lato" w:cs="Calibri"/>
          <w:sz w:val="22"/>
          <w:szCs w:val="22"/>
        </w:rPr>
      </w:pPr>
      <w:r w:rsidRPr="0060394D">
        <w:rPr>
          <w:rFonts w:ascii="Lato" w:hAnsi="Lato" w:cs="Calibri"/>
          <w:sz w:val="22"/>
          <w:szCs w:val="22"/>
        </w:rPr>
        <w:t>Pod nadzorem organów Państwowej Inspekcji Sanitarnej znajdowało się 75 podmiotów wprowadzających do obrotu prekursory narkotyków kategorii 2 i 3</w:t>
      </w:r>
      <w:r>
        <w:rPr>
          <w:rFonts w:ascii="Lato" w:hAnsi="Lato" w:cs="Calibri"/>
          <w:sz w:val="22"/>
          <w:szCs w:val="22"/>
        </w:rPr>
        <w:t>. P</w:t>
      </w:r>
      <w:r w:rsidRPr="0060394D">
        <w:rPr>
          <w:rFonts w:ascii="Lato" w:hAnsi="Lato" w:cs="Calibri"/>
          <w:sz w:val="22"/>
          <w:szCs w:val="22"/>
        </w:rPr>
        <w:t>rzeprowadzono 26 kontroli, podczas których nie stwierdzono naruszenia przepisów prawa.</w:t>
      </w:r>
    </w:p>
    <w:p w14:paraId="12FF2FBE" w14:textId="77777777" w:rsidR="0034170C" w:rsidRPr="0060394D" w:rsidRDefault="0034170C" w:rsidP="0034170C">
      <w:pPr>
        <w:spacing w:line="276" w:lineRule="auto"/>
        <w:rPr>
          <w:rFonts w:ascii="Lato" w:hAnsi="Lato"/>
          <w:sz w:val="22"/>
          <w:szCs w:val="22"/>
        </w:rPr>
      </w:pPr>
    </w:p>
    <w:bookmarkEnd w:id="213"/>
    <w:p w14:paraId="62D73F6C" w14:textId="77777777" w:rsidR="0034170C" w:rsidRPr="0060394D" w:rsidRDefault="0034170C" w:rsidP="0034170C">
      <w:pPr>
        <w:pStyle w:val="Nagwek1"/>
        <w:spacing w:before="0" w:line="276" w:lineRule="auto"/>
        <w:rPr>
          <w:rFonts w:cs="Calibri"/>
          <w:b/>
          <w:bCs/>
          <w:color w:val="auto"/>
          <w:sz w:val="22"/>
          <w:szCs w:val="22"/>
        </w:rPr>
      </w:pPr>
    </w:p>
    <w:p w14:paraId="48782F4B" w14:textId="77777777" w:rsidR="00190AB6" w:rsidRDefault="00190AB6">
      <w:pPr>
        <w:spacing w:after="160" w:line="278" w:lineRule="auto"/>
        <w:rPr>
          <w:rFonts w:ascii="Lato" w:eastAsiaTheme="majorEastAsia" w:hAnsi="Lato" w:cstheme="majorBidi"/>
          <w:color w:val="4C94D8" w:themeColor="text2" w:themeTint="80"/>
          <w:sz w:val="32"/>
          <w:szCs w:val="40"/>
        </w:rPr>
      </w:pPr>
      <w:r>
        <w:br w:type="page"/>
      </w:r>
    </w:p>
    <w:p w14:paraId="76A9034C" w14:textId="31EFBCB9" w:rsidR="0034170C" w:rsidRPr="00BA2854" w:rsidRDefault="0034170C">
      <w:pPr>
        <w:pStyle w:val="Nagwek1"/>
        <w:numPr>
          <w:ilvl w:val="0"/>
          <w:numId w:val="16"/>
        </w:numPr>
        <w:rPr>
          <w:color w:val="153D63" w:themeColor="text2" w:themeTint="E6"/>
        </w:rPr>
      </w:pPr>
      <w:bookmarkStart w:id="215" w:name="_Toc225859105"/>
      <w:r w:rsidRPr="00BA2854">
        <w:rPr>
          <w:color w:val="153D63" w:themeColor="text2" w:themeTint="E6"/>
        </w:rPr>
        <w:lastRenderedPageBreak/>
        <w:t>N</w:t>
      </w:r>
      <w:r w:rsidR="005B0F05" w:rsidRPr="00BA2854">
        <w:rPr>
          <w:color w:val="153D63" w:themeColor="text2" w:themeTint="E6"/>
        </w:rPr>
        <w:t>adzór nad produktami kosmetycznymi</w:t>
      </w:r>
      <w:bookmarkEnd w:id="215"/>
      <w:r w:rsidR="005B0F05" w:rsidRPr="00BA2854">
        <w:rPr>
          <w:color w:val="153D63" w:themeColor="text2" w:themeTint="E6"/>
        </w:rPr>
        <w:t xml:space="preserve"> </w:t>
      </w:r>
    </w:p>
    <w:p w14:paraId="4CF07E7C" w14:textId="77777777" w:rsidR="0034170C" w:rsidRPr="001A07E0" w:rsidRDefault="0034170C" w:rsidP="0034170C">
      <w:pPr>
        <w:spacing w:line="276" w:lineRule="auto"/>
        <w:rPr>
          <w:rFonts w:ascii="Lato" w:hAnsi="Lato" w:cs="Calibri"/>
          <w:color w:val="4C94D8" w:themeColor="text2" w:themeTint="80"/>
          <w:sz w:val="22"/>
          <w:szCs w:val="22"/>
        </w:rPr>
      </w:pPr>
    </w:p>
    <w:p w14:paraId="413128E6" w14:textId="77777777" w:rsidR="0034170C" w:rsidRPr="0060394D" w:rsidRDefault="0034170C" w:rsidP="008C1ABA">
      <w:pPr>
        <w:spacing w:line="360" w:lineRule="auto"/>
        <w:rPr>
          <w:rFonts w:ascii="Lato" w:hAnsi="Lato" w:cs="Calibri"/>
          <w:sz w:val="22"/>
          <w:szCs w:val="22"/>
        </w:rPr>
      </w:pPr>
      <w:r w:rsidRPr="0060394D">
        <w:rPr>
          <w:rFonts w:ascii="Lato" w:hAnsi="Lato" w:cs="Calibri"/>
          <w:sz w:val="22"/>
          <w:szCs w:val="22"/>
        </w:rPr>
        <w:t>Na terenie woj. zachodniopomorskiego w 2025 r. funkcjonowało 28 zakładów produkujących</w:t>
      </w:r>
      <w:r>
        <w:rPr>
          <w:rFonts w:ascii="Lato" w:hAnsi="Lato" w:cs="Calibri"/>
          <w:sz w:val="22"/>
          <w:szCs w:val="22"/>
        </w:rPr>
        <w:t xml:space="preserve"> lub</w:t>
      </w:r>
      <w:r w:rsidRPr="0060394D">
        <w:rPr>
          <w:rFonts w:ascii="Lato" w:hAnsi="Lato" w:cs="Calibri"/>
          <w:sz w:val="22"/>
          <w:szCs w:val="22"/>
        </w:rPr>
        <w:t xml:space="preserve"> konfekcjonujących produkty kosmetyczne (mydła w kostkach i w płynie, kule i sole do kąpieli, płyny i żele pod prysznic, emulsje, pasty do mycia rąk, olejki do kąpieli, peelingi, musy mydlane, kremy, </w:t>
      </w:r>
      <w:proofErr w:type="spellStart"/>
      <w:r w:rsidRPr="0060394D">
        <w:rPr>
          <w:rFonts w:ascii="Lato" w:hAnsi="Lato" w:cs="Calibri"/>
          <w:sz w:val="22"/>
          <w:szCs w:val="22"/>
        </w:rPr>
        <w:t>hydrolaty</w:t>
      </w:r>
      <w:proofErr w:type="spellEnd"/>
      <w:r w:rsidRPr="0060394D">
        <w:rPr>
          <w:rFonts w:ascii="Lato" w:hAnsi="Lato" w:cs="Calibri"/>
          <w:sz w:val="22"/>
          <w:szCs w:val="22"/>
        </w:rPr>
        <w:t xml:space="preserve">, balsamy, masła do ciała, płyny do demakijażu, szampony, odżywki do włosów, chusteczki nawilżane, hennę proszkową do włosów, wody toaletowe i perfumy, lakiery i żele do paznokci, zmywacze). </w:t>
      </w:r>
    </w:p>
    <w:p w14:paraId="15FACED5" w14:textId="77777777" w:rsidR="0034170C" w:rsidRPr="0060394D" w:rsidRDefault="0034170C" w:rsidP="008C1ABA">
      <w:pPr>
        <w:spacing w:line="360" w:lineRule="auto"/>
        <w:rPr>
          <w:rFonts w:ascii="Lato" w:hAnsi="Lato" w:cs="Calibri"/>
          <w:sz w:val="22"/>
          <w:szCs w:val="22"/>
        </w:rPr>
      </w:pPr>
      <w:r w:rsidRPr="0060394D">
        <w:rPr>
          <w:rFonts w:ascii="Lato" w:hAnsi="Lato" w:cs="Calibri"/>
          <w:sz w:val="22"/>
          <w:szCs w:val="22"/>
        </w:rPr>
        <w:t xml:space="preserve">Skontrolowano 11 zakładów w zakresie warunków wytwarzania oraz jakości zdrowotnej </w:t>
      </w:r>
      <w:r>
        <w:rPr>
          <w:rFonts w:ascii="Lato" w:hAnsi="Lato" w:cs="Calibri"/>
          <w:sz w:val="22"/>
          <w:szCs w:val="22"/>
        </w:rPr>
        <w:t>produkowanych kosmetyków</w:t>
      </w:r>
      <w:r w:rsidRPr="0060394D">
        <w:rPr>
          <w:rFonts w:ascii="Lato" w:hAnsi="Lato" w:cs="Calibri"/>
          <w:sz w:val="22"/>
          <w:szCs w:val="22"/>
        </w:rPr>
        <w:t xml:space="preserve">. Nieprawidłowości nie stwierdzono. </w:t>
      </w:r>
    </w:p>
    <w:p w14:paraId="51DD7B99" w14:textId="77777777" w:rsidR="0034170C" w:rsidRPr="0060394D" w:rsidRDefault="0034170C" w:rsidP="008C1ABA">
      <w:pPr>
        <w:spacing w:line="360" w:lineRule="auto"/>
        <w:rPr>
          <w:rFonts w:ascii="Lato" w:hAnsi="Lato" w:cs="Calibri"/>
          <w:sz w:val="22"/>
          <w:szCs w:val="22"/>
        </w:rPr>
      </w:pPr>
      <w:r w:rsidRPr="0060394D">
        <w:rPr>
          <w:rFonts w:ascii="Lato" w:hAnsi="Lato" w:cs="Calibri"/>
          <w:sz w:val="22"/>
          <w:szCs w:val="22"/>
        </w:rPr>
        <w:t>W zakresie wprowadzania do obrotu kosmetyków przeprowadzono 74 kontrole, w tym kontrol</w:t>
      </w:r>
      <w:r>
        <w:rPr>
          <w:rFonts w:ascii="Lato" w:hAnsi="Lato" w:cs="Calibri"/>
          <w:sz w:val="22"/>
          <w:szCs w:val="22"/>
        </w:rPr>
        <w:t>e</w:t>
      </w:r>
      <w:r w:rsidRPr="0060394D">
        <w:rPr>
          <w:rFonts w:ascii="Lato" w:hAnsi="Lato" w:cs="Calibri"/>
          <w:sz w:val="22"/>
          <w:szCs w:val="22"/>
        </w:rPr>
        <w:t xml:space="preserve"> podmiotów importujących produkty kosmetyczne spoza UE. </w:t>
      </w:r>
      <w:r>
        <w:rPr>
          <w:rFonts w:ascii="Lato" w:hAnsi="Lato" w:cs="Calibri"/>
          <w:sz w:val="22"/>
          <w:szCs w:val="22"/>
        </w:rPr>
        <w:t xml:space="preserve">Stwierdzono nieprawidłowości </w:t>
      </w:r>
      <w:r w:rsidRPr="0060394D">
        <w:rPr>
          <w:rFonts w:ascii="Lato" w:hAnsi="Lato" w:cs="Calibri"/>
          <w:sz w:val="22"/>
          <w:szCs w:val="22"/>
        </w:rPr>
        <w:t>w zakresie braku przeprowadzenia oceny bezpieczeństwa produktów kosmetycznych</w:t>
      </w:r>
      <w:r>
        <w:rPr>
          <w:rFonts w:ascii="Lato" w:hAnsi="Lato" w:cs="Calibri"/>
          <w:sz w:val="22"/>
          <w:szCs w:val="22"/>
        </w:rPr>
        <w:t xml:space="preserve">. </w:t>
      </w:r>
      <w:r w:rsidRPr="0060394D">
        <w:rPr>
          <w:rFonts w:ascii="Lato" w:hAnsi="Lato" w:cs="Calibri"/>
          <w:sz w:val="22"/>
          <w:szCs w:val="22"/>
        </w:rPr>
        <w:t xml:space="preserve"> </w:t>
      </w:r>
      <w:r>
        <w:rPr>
          <w:rFonts w:ascii="Lato" w:hAnsi="Lato" w:cs="Calibri"/>
          <w:sz w:val="22"/>
          <w:szCs w:val="22"/>
        </w:rPr>
        <w:t>P</w:t>
      </w:r>
      <w:r w:rsidRPr="0060394D">
        <w:rPr>
          <w:rFonts w:ascii="Lato" w:hAnsi="Lato" w:cs="Calibri"/>
          <w:sz w:val="22"/>
          <w:szCs w:val="22"/>
        </w:rPr>
        <w:t xml:space="preserve">odmioty zobowiązano do przeprowadzenia takiej oceny i uzupełnienia dokumentacji, wstrzymania obrotu bądź wycofania produktów z obrotu. </w:t>
      </w:r>
    </w:p>
    <w:p w14:paraId="38DB7B98" w14:textId="04884DFF" w:rsidR="0034170C" w:rsidRPr="0060394D" w:rsidRDefault="0034170C" w:rsidP="008C1ABA">
      <w:pPr>
        <w:spacing w:line="360" w:lineRule="auto"/>
        <w:rPr>
          <w:rFonts w:ascii="Lato" w:hAnsi="Lato" w:cs="Calibri"/>
          <w:sz w:val="22"/>
          <w:szCs w:val="22"/>
        </w:rPr>
      </w:pPr>
      <w:r w:rsidRPr="0060394D">
        <w:rPr>
          <w:rFonts w:ascii="Lato" w:hAnsi="Lato" w:cs="Calibri"/>
          <w:sz w:val="22"/>
          <w:szCs w:val="22"/>
        </w:rPr>
        <w:t>Ponadto pobrano do badań laboratoryjnych w kierunku parametrów chemicznych i</w:t>
      </w:r>
      <w:r w:rsidR="00F45A42">
        <w:rPr>
          <w:rFonts w:ascii="Lato" w:hAnsi="Lato" w:cs="Calibri"/>
          <w:sz w:val="22"/>
          <w:szCs w:val="22"/>
        </w:rPr>
        <w:t> </w:t>
      </w:r>
      <w:r w:rsidRPr="0060394D">
        <w:rPr>
          <w:rFonts w:ascii="Lato" w:hAnsi="Lato" w:cs="Calibri"/>
          <w:sz w:val="22"/>
          <w:szCs w:val="22"/>
        </w:rPr>
        <w:t>mikrobiologicznych 43 próbki</w:t>
      </w:r>
      <w:r>
        <w:rPr>
          <w:rFonts w:ascii="Lato" w:hAnsi="Lato" w:cs="Calibri"/>
          <w:sz w:val="22"/>
          <w:szCs w:val="22"/>
        </w:rPr>
        <w:t xml:space="preserve"> kosmetyków</w:t>
      </w:r>
      <w:r w:rsidRPr="0060394D">
        <w:rPr>
          <w:rFonts w:ascii="Lato" w:hAnsi="Lato" w:cs="Calibri"/>
          <w:sz w:val="22"/>
          <w:szCs w:val="22"/>
        </w:rPr>
        <w:t>. Badania nie wykazały nieprawidłowości. Oceniano również znakowanie wybranych produktów kosmetycznych. Nie wniesiono uwag do</w:t>
      </w:r>
      <w:r w:rsidR="00F45A42">
        <w:rPr>
          <w:rFonts w:ascii="Lato" w:hAnsi="Lato" w:cs="Calibri"/>
          <w:sz w:val="22"/>
          <w:szCs w:val="22"/>
        </w:rPr>
        <w:t> </w:t>
      </w:r>
      <w:r w:rsidRPr="0060394D">
        <w:rPr>
          <w:rFonts w:ascii="Lato" w:hAnsi="Lato" w:cs="Calibri"/>
          <w:sz w:val="22"/>
          <w:szCs w:val="22"/>
        </w:rPr>
        <w:t>znakowania.</w:t>
      </w:r>
    </w:p>
    <w:p w14:paraId="572135FB" w14:textId="77777777" w:rsidR="0034170C" w:rsidRPr="0060394D" w:rsidRDefault="0034170C" w:rsidP="008C1ABA">
      <w:pPr>
        <w:spacing w:line="360" w:lineRule="auto"/>
        <w:rPr>
          <w:rFonts w:ascii="Lato" w:hAnsi="Lato" w:cs="Calibri"/>
          <w:sz w:val="22"/>
          <w:szCs w:val="22"/>
        </w:rPr>
      </w:pPr>
      <w:r>
        <w:rPr>
          <w:rFonts w:ascii="Lato" w:hAnsi="Lato" w:cs="Calibri"/>
          <w:sz w:val="22"/>
          <w:szCs w:val="22"/>
        </w:rPr>
        <w:t>Na podstawie</w:t>
      </w:r>
      <w:r w:rsidRPr="0060394D">
        <w:rPr>
          <w:rFonts w:ascii="Lato" w:hAnsi="Lato" w:cs="Calibri"/>
          <w:sz w:val="22"/>
          <w:szCs w:val="22"/>
        </w:rPr>
        <w:t xml:space="preserve"> wyników kontroli oraz badań laboratoryjnych próbek kosmetyków </w:t>
      </w:r>
      <w:r>
        <w:rPr>
          <w:rFonts w:ascii="Lato" w:hAnsi="Lato" w:cs="Calibri"/>
          <w:sz w:val="22"/>
          <w:szCs w:val="22"/>
        </w:rPr>
        <w:t xml:space="preserve">stwierdzono, </w:t>
      </w:r>
      <w:r w:rsidRPr="0060394D">
        <w:rPr>
          <w:rFonts w:ascii="Lato" w:hAnsi="Lato" w:cs="Calibri"/>
          <w:sz w:val="22"/>
          <w:szCs w:val="22"/>
        </w:rPr>
        <w:t xml:space="preserve">iż podmioty zajmujące się produkcją, wytwarzaniem, wprowadzaniem do obrotu oraz udostępnianiem na rynku produktów kosmetycznych świadome są ciążących na nich obowiązkach wynikających z przepisów prawa. </w:t>
      </w:r>
    </w:p>
    <w:p w14:paraId="3020CE21" w14:textId="77777777" w:rsidR="0034170C" w:rsidRPr="0060394D" w:rsidRDefault="0034170C" w:rsidP="008C1ABA">
      <w:pPr>
        <w:spacing w:line="360" w:lineRule="auto"/>
        <w:rPr>
          <w:rFonts w:ascii="Lato" w:hAnsi="Lato" w:cs="Calibri"/>
          <w:sz w:val="22"/>
          <w:szCs w:val="22"/>
        </w:rPr>
      </w:pPr>
      <w:r>
        <w:rPr>
          <w:rFonts w:ascii="Lato" w:hAnsi="Lato" w:cs="Calibri"/>
          <w:sz w:val="22"/>
          <w:szCs w:val="22"/>
        </w:rPr>
        <w:t>Podobne, jak w roku 2025, w</w:t>
      </w:r>
      <w:r w:rsidRPr="0060394D">
        <w:rPr>
          <w:rFonts w:ascii="Lato" w:hAnsi="Lato" w:cs="Calibri"/>
          <w:sz w:val="22"/>
          <w:szCs w:val="22"/>
        </w:rPr>
        <w:t xml:space="preserve">yniki kontroli oraz badań pobranych próbek </w:t>
      </w:r>
      <w:r>
        <w:rPr>
          <w:rFonts w:ascii="Lato" w:hAnsi="Lato" w:cs="Calibri"/>
          <w:sz w:val="22"/>
          <w:szCs w:val="22"/>
        </w:rPr>
        <w:t xml:space="preserve">produktów kosmetycznych stwierdzano w </w:t>
      </w:r>
      <w:r w:rsidRPr="0060394D">
        <w:rPr>
          <w:rFonts w:ascii="Lato" w:hAnsi="Lato" w:cs="Calibri"/>
          <w:sz w:val="22"/>
          <w:szCs w:val="22"/>
        </w:rPr>
        <w:t>latach poprzednich.</w:t>
      </w:r>
    </w:p>
    <w:p w14:paraId="759089B3" w14:textId="2D9FA76B" w:rsidR="0034170C" w:rsidRDefault="0034170C" w:rsidP="008C1ABA">
      <w:pPr>
        <w:spacing w:line="360" w:lineRule="auto"/>
        <w:rPr>
          <w:rFonts w:ascii="Lato" w:hAnsi="Lato" w:cs="Calibri"/>
          <w:sz w:val="22"/>
          <w:szCs w:val="22"/>
        </w:rPr>
      </w:pPr>
      <w:r w:rsidRPr="0060394D">
        <w:rPr>
          <w:rFonts w:ascii="Lato" w:hAnsi="Lato" w:cs="Calibri"/>
          <w:sz w:val="22"/>
          <w:szCs w:val="22"/>
        </w:rPr>
        <w:t xml:space="preserve">W związku z obowiązującym od dnia 1 września 2025 r. zakazem stosowania w kosmetykach TPO (tlenek </w:t>
      </w:r>
      <w:proofErr w:type="spellStart"/>
      <w:r w:rsidRPr="0060394D">
        <w:rPr>
          <w:rFonts w:ascii="Lato" w:hAnsi="Lato" w:cs="Calibri"/>
          <w:sz w:val="22"/>
          <w:szCs w:val="22"/>
        </w:rPr>
        <w:t>difenylo</w:t>
      </w:r>
      <w:proofErr w:type="spellEnd"/>
      <w:r w:rsidRPr="0060394D">
        <w:rPr>
          <w:rFonts w:ascii="Lato" w:hAnsi="Lato" w:cs="Calibri"/>
          <w:sz w:val="22"/>
          <w:szCs w:val="22"/>
        </w:rPr>
        <w:t>-(2,4,6-trimetylobenzoilo)fosfiny), działające</w:t>
      </w:r>
      <w:r>
        <w:rPr>
          <w:rFonts w:ascii="Lato" w:hAnsi="Lato" w:cs="Calibri"/>
          <w:sz w:val="22"/>
          <w:szCs w:val="22"/>
        </w:rPr>
        <w:t>go</w:t>
      </w:r>
      <w:r w:rsidRPr="0060394D">
        <w:rPr>
          <w:rFonts w:ascii="Lato" w:hAnsi="Lato" w:cs="Calibri"/>
          <w:sz w:val="22"/>
          <w:szCs w:val="22"/>
        </w:rPr>
        <w:t xml:space="preserve"> szkodliwie na rozrodczość, </w:t>
      </w:r>
      <w:r>
        <w:rPr>
          <w:rFonts w:ascii="Lato" w:hAnsi="Lato" w:cs="Calibri"/>
          <w:sz w:val="22"/>
          <w:szCs w:val="22"/>
        </w:rPr>
        <w:t xml:space="preserve">prowadzono działania nadzorowe oraz edukacyjne obejmujące informowanie o </w:t>
      </w:r>
      <w:r w:rsidRPr="00EE1DF4">
        <w:rPr>
          <w:rFonts w:ascii="Lato" w:hAnsi="Lato" w:cs="Calibri"/>
          <w:sz w:val="22"/>
          <w:szCs w:val="22"/>
        </w:rPr>
        <w:t>zmian</w:t>
      </w:r>
      <w:r>
        <w:rPr>
          <w:rFonts w:ascii="Lato" w:hAnsi="Lato" w:cs="Calibri"/>
          <w:sz w:val="22"/>
          <w:szCs w:val="22"/>
        </w:rPr>
        <w:t>ach</w:t>
      </w:r>
      <w:r w:rsidRPr="00EE1DF4">
        <w:rPr>
          <w:rFonts w:ascii="Lato" w:hAnsi="Lato" w:cs="Calibri"/>
          <w:sz w:val="22"/>
          <w:szCs w:val="22"/>
        </w:rPr>
        <w:t xml:space="preserve"> prawn</w:t>
      </w:r>
      <w:r>
        <w:rPr>
          <w:rFonts w:ascii="Lato" w:hAnsi="Lato" w:cs="Calibri"/>
          <w:sz w:val="22"/>
          <w:szCs w:val="22"/>
        </w:rPr>
        <w:t>ych</w:t>
      </w:r>
      <w:r w:rsidRPr="00EE1DF4">
        <w:rPr>
          <w:rFonts w:ascii="Lato" w:hAnsi="Lato" w:cs="Calibri"/>
          <w:sz w:val="22"/>
          <w:szCs w:val="22"/>
        </w:rPr>
        <w:t>,</w:t>
      </w:r>
      <w:r>
        <w:rPr>
          <w:rFonts w:ascii="Lato" w:hAnsi="Lato" w:cs="Calibri"/>
          <w:sz w:val="22"/>
          <w:szCs w:val="22"/>
        </w:rPr>
        <w:t xml:space="preserve"> </w:t>
      </w:r>
      <w:r w:rsidRPr="00EE1DF4">
        <w:rPr>
          <w:rFonts w:ascii="Lato" w:hAnsi="Lato" w:cs="Calibri"/>
          <w:sz w:val="22"/>
          <w:szCs w:val="22"/>
        </w:rPr>
        <w:t xml:space="preserve">praktyczne </w:t>
      </w:r>
      <w:r>
        <w:rPr>
          <w:rFonts w:ascii="Lato" w:hAnsi="Lato" w:cs="Calibri"/>
          <w:sz w:val="22"/>
          <w:szCs w:val="22"/>
        </w:rPr>
        <w:t>wskazówki</w:t>
      </w:r>
      <w:r w:rsidRPr="00EE1DF4">
        <w:rPr>
          <w:rFonts w:ascii="Lato" w:hAnsi="Lato" w:cs="Calibri"/>
          <w:sz w:val="22"/>
          <w:szCs w:val="22"/>
        </w:rPr>
        <w:t xml:space="preserve"> dla </w:t>
      </w:r>
      <w:r>
        <w:rPr>
          <w:rFonts w:ascii="Lato" w:hAnsi="Lato" w:cs="Calibri"/>
          <w:sz w:val="22"/>
          <w:szCs w:val="22"/>
        </w:rPr>
        <w:t>konsumentów</w:t>
      </w:r>
      <w:r w:rsidRPr="00EE1DF4">
        <w:rPr>
          <w:rFonts w:ascii="Lato" w:hAnsi="Lato" w:cs="Calibri"/>
          <w:sz w:val="22"/>
          <w:szCs w:val="22"/>
        </w:rPr>
        <w:t xml:space="preserve">, </w:t>
      </w:r>
      <w:r>
        <w:rPr>
          <w:rFonts w:ascii="Lato" w:hAnsi="Lato" w:cs="Calibri"/>
          <w:sz w:val="22"/>
          <w:szCs w:val="22"/>
        </w:rPr>
        <w:t>użytkowników profesjonalnych</w:t>
      </w:r>
      <w:r w:rsidRPr="00EE1DF4">
        <w:rPr>
          <w:rFonts w:ascii="Lato" w:hAnsi="Lato" w:cs="Calibri"/>
          <w:sz w:val="22"/>
          <w:szCs w:val="22"/>
        </w:rPr>
        <w:t xml:space="preserve"> i</w:t>
      </w:r>
      <w:r w:rsidR="00F45A42">
        <w:rPr>
          <w:rFonts w:ascii="Lato" w:hAnsi="Lato" w:cs="Calibri"/>
          <w:sz w:val="22"/>
          <w:szCs w:val="22"/>
        </w:rPr>
        <w:t> </w:t>
      </w:r>
      <w:r>
        <w:rPr>
          <w:rFonts w:ascii="Lato" w:hAnsi="Lato" w:cs="Calibri"/>
          <w:sz w:val="22"/>
          <w:szCs w:val="22"/>
        </w:rPr>
        <w:t>podmiotów wprowadzających do obrotu oraz udostępniających na rynku produkty kosmetyczne mogące zawierać ww. substancję.</w:t>
      </w:r>
    </w:p>
    <w:p w14:paraId="44FF7D55" w14:textId="77777777" w:rsidR="0034170C" w:rsidRDefault="0034170C" w:rsidP="008C1ABA">
      <w:pPr>
        <w:spacing w:line="360" w:lineRule="auto"/>
        <w:rPr>
          <w:rFonts w:ascii="Lato" w:hAnsi="Lato"/>
          <w:color w:val="000000" w:themeColor="text1"/>
          <w:sz w:val="22"/>
          <w:szCs w:val="22"/>
        </w:rPr>
      </w:pPr>
    </w:p>
    <w:p w14:paraId="1877EF89" w14:textId="77777777" w:rsidR="0034170C" w:rsidRDefault="0034170C" w:rsidP="0034170C">
      <w:pPr>
        <w:rPr>
          <w:rFonts w:asciiTheme="majorHAnsi" w:eastAsiaTheme="majorEastAsia" w:hAnsiTheme="majorHAnsi" w:cstheme="majorBidi"/>
          <w:color w:val="0F4761" w:themeColor="accent1" w:themeShade="BF"/>
          <w:sz w:val="32"/>
          <w:szCs w:val="32"/>
        </w:rPr>
      </w:pPr>
      <w:bookmarkStart w:id="216" w:name="_Hlk133390561"/>
      <w:bookmarkStart w:id="217" w:name="_Hlk133390542"/>
      <w:r>
        <w:br w:type="page"/>
      </w:r>
    </w:p>
    <w:p w14:paraId="4C2D2373" w14:textId="37E393F8" w:rsidR="0034170C" w:rsidRPr="00BA2854" w:rsidRDefault="0034170C">
      <w:pPr>
        <w:pStyle w:val="Nagwek1"/>
        <w:numPr>
          <w:ilvl w:val="0"/>
          <w:numId w:val="16"/>
        </w:numPr>
        <w:rPr>
          <w:color w:val="153D63" w:themeColor="text2" w:themeTint="E6"/>
        </w:rPr>
      </w:pPr>
      <w:bookmarkStart w:id="218" w:name="_Toc225859106"/>
      <w:r w:rsidRPr="00BA2854">
        <w:rPr>
          <w:color w:val="153D63" w:themeColor="text2" w:themeTint="E6"/>
        </w:rPr>
        <w:lastRenderedPageBreak/>
        <w:t>Zapobiegawczy Nadzór Sanitarny</w:t>
      </w:r>
      <w:bookmarkEnd w:id="218"/>
    </w:p>
    <w:p w14:paraId="724B2FF4" w14:textId="77777777" w:rsidR="00E86E49" w:rsidRDefault="00E86E49" w:rsidP="0034170C">
      <w:pPr>
        <w:pStyle w:val="Legenda"/>
        <w:rPr>
          <w:rFonts w:ascii="Lato" w:hAnsi="Lato"/>
          <w:b w:val="0"/>
          <w:bCs w:val="0"/>
          <w:sz w:val="22"/>
          <w:szCs w:val="22"/>
        </w:rPr>
      </w:pPr>
    </w:p>
    <w:p w14:paraId="30665FDA" w14:textId="7A72DE7F" w:rsidR="0034170C" w:rsidRPr="00431781" w:rsidRDefault="0034170C" w:rsidP="00750881">
      <w:pPr>
        <w:spacing w:line="360" w:lineRule="auto"/>
        <w:rPr>
          <w:rFonts w:ascii="Lato" w:hAnsi="Lato" w:cstheme="minorHAnsi"/>
          <w:sz w:val="22"/>
          <w:szCs w:val="22"/>
        </w:rPr>
      </w:pPr>
      <w:r w:rsidRPr="00431781">
        <w:rPr>
          <w:rFonts w:ascii="Lato" w:hAnsi="Lato" w:cstheme="minorHAnsi"/>
          <w:sz w:val="22"/>
          <w:szCs w:val="22"/>
        </w:rPr>
        <w:t>Sprawowanie zapobiegawczego nadzoru sanitarnego ma na celu wyeliminowanie lub zminimalizowanie zagrożeń dla bezpieczeństwa sanitarnego, w tym zdrowia i życia ludzi oraz zapewnienie, na etapie planowania inwestycji, właściwego stanu higieniczno-sanitarnego w</w:t>
      </w:r>
      <w:r w:rsidR="00AC1CB1">
        <w:rPr>
          <w:rFonts w:ascii="Lato" w:hAnsi="Lato" w:cstheme="minorHAnsi"/>
          <w:sz w:val="22"/>
          <w:szCs w:val="22"/>
        </w:rPr>
        <w:t> </w:t>
      </w:r>
      <w:r w:rsidRPr="00431781">
        <w:rPr>
          <w:rFonts w:ascii="Lato" w:hAnsi="Lato" w:cstheme="minorHAnsi"/>
          <w:sz w:val="22"/>
          <w:szCs w:val="22"/>
        </w:rPr>
        <w:t>obiektach przeznaczonych na pobyt ludzi. Zadania zapobiegawczego nadzoru sanitarnego realizowane są w szczególności poprzez podejmowanie działań przy opracowywaniu prawa miejscowego, zajmowaniu stanowisk dotyczących m.in. zagadnień społecznych, zdrowotnych i</w:t>
      </w:r>
      <w:r w:rsidR="00AC1CB1">
        <w:rPr>
          <w:rFonts w:ascii="Lato" w:hAnsi="Lato" w:cstheme="minorHAnsi"/>
          <w:sz w:val="22"/>
          <w:szCs w:val="22"/>
        </w:rPr>
        <w:t> </w:t>
      </w:r>
      <w:r w:rsidRPr="00431781">
        <w:rPr>
          <w:rFonts w:ascii="Lato" w:hAnsi="Lato" w:cstheme="minorHAnsi"/>
          <w:sz w:val="22"/>
          <w:szCs w:val="22"/>
        </w:rPr>
        <w:t>środowiskowych oraz uczestniczeniu w poszczególnych etapach procesu inwestycyjnego.</w:t>
      </w:r>
      <w:bookmarkEnd w:id="216"/>
      <w:bookmarkEnd w:id="217"/>
    </w:p>
    <w:p w14:paraId="6278081C" w14:textId="4E051C87" w:rsidR="0034170C" w:rsidRPr="00431781" w:rsidRDefault="0034170C" w:rsidP="00750881">
      <w:pPr>
        <w:spacing w:line="360" w:lineRule="auto"/>
        <w:rPr>
          <w:rFonts w:ascii="Lato" w:hAnsi="Lato" w:cstheme="minorHAnsi"/>
          <w:sz w:val="22"/>
          <w:szCs w:val="22"/>
        </w:rPr>
      </w:pPr>
      <w:r w:rsidRPr="00431781">
        <w:rPr>
          <w:rFonts w:ascii="Lato" w:hAnsi="Lato" w:cs="Calibri"/>
          <w:sz w:val="22"/>
          <w:szCs w:val="22"/>
          <w:lang w:eastAsia="ar-SA"/>
        </w:rPr>
        <w:t xml:space="preserve">Działania Państwowej Inspekcji Sanitarnej w 2025 roku </w:t>
      </w:r>
      <w:r w:rsidRPr="00431781">
        <w:rPr>
          <w:rFonts w:ascii="Lato" w:hAnsi="Lato" w:cstheme="minorHAnsi"/>
          <w:sz w:val="22"/>
          <w:szCs w:val="22"/>
        </w:rPr>
        <w:t xml:space="preserve">w ramach zapobiegawczego nadzoru sanitarnego </w:t>
      </w:r>
      <w:r w:rsidRPr="00431781">
        <w:rPr>
          <w:rFonts w:ascii="Lato" w:hAnsi="Lato" w:cs="Calibri"/>
          <w:sz w:val="22"/>
          <w:szCs w:val="22"/>
          <w:lang w:eastAsia="ar-SA"/>
        </w:rPr>
        <w:t>skierowane były przede wszystkim na ocenę spełnienia wymagań higienicznych i</w:t>
      </w:r>
      <w:r w:rsidR="00AC1CB1">
        <w:rPr>
          <w:rFonts w:ascii="Lato" w:hAnsi="Lato" w:cs="Calibri"/>
          <w:sz w:val="22"/>
          <w:szCs w:val="22"/>
          <w:lang w:eastAsia="ar-SA"/>
        </w:rPr>
        <w:t> </w:t>
      </w:r>
      <w:r w:rsidRPr="00431781">
        <w:rPr>
          <w:rFonts w:ascii="Lato" w:hAnsi="Lato" w:cs="Calibri"/>
          <w:sz w:val="22"/>
          <w:szCs w:val="22"/>
          <w:lang w:eastAsia="ar-SA"/>
        </w:rPr>
        <w:t>zdrowotnych m.in. przedsięwzięć inwestycyjnych dotyczących obiektów użyteczności publicznej oraz zamieszkania. Ocena ww. wymagań prowadzona była w szczególności w</w:t>
      </w:r>
      <w:r w:rsidR="00AC1CB1">
        <w:rPr>
          <w:rFonts w:ascii="Lato" w:hAnsi="Lato" w:cs="Calibri"/>
          <w:sz w:val="22"/>
          <w:szCs w:val="22"/>
          <w:lang w:eastAsia="ar-SA"/>
        </w:rPr>
        <w:t> </w:t>
      </w:r>
      <w:r w:rsidRPr="00431781">
        <w:rPr>
          <w:rFonts w:ascii="Lato" w:hAnsi="Lato" w:cs="Calibri"/>
          <w:sz w:val="22"/>
          <w:szCs w:val="22"/>
          <w:lang w:eastAsia="ar-SA"/>
        </w:rPr>
        <w:t>odniesieniu do lokalizacji obszarów zabudowy mieszkaniowej względem zabudowy przemysłowej i terenów cmentarzy, ochrony ludzi przed hałasem, promieniowaniem niejonizującym i jonizującym oraz zachowania odpowiednich warunków pobytu ludzi w</w:t>
      </w:r>
      <w:r w:rsidR="00AC1CB1">
        <w:rPr>
          <w:rFonts w:ascii="Lato" w:hAnsi="Lato" w:cs="Calibri"/>
          <w:sz w:val="22"/>
          <w:szCs w:val="22"/>
          <w:lang w:eastAsia="ar-SA"/>
        </w:rPr>
        <w:t> </w:t>
      </w:r>
      <w:r w:rsidRPr="00431781">
        <w:rPr>
          <w:rFonts w:ascii="Lato" w:hAnsi="Lato" w:cs="Calibri"/>
          <w:sz w:val="22"/>
          <w:szCs w:val="22"/>
          <w:lang w:eastAsia="ar-SA"/>
        </w:rPr>
        <w:t>budynkach mieszkalnych i usługowych, w tym warunków środowiska pracy.</w:t>
      </w:r>
      <w:bookmarkStart w:id="219" w:name="_Hlk131152695"/>
    </w:p>
    <w:p w14:paraId="31DBF2D0" w14:textId="77777777" w:rsidR="0034170C" w:rsidRDefault="0034170C" w:rsidP="00750881">
      <w:pPr>
        <w:pStyle w:val="Akapitzlist"/>
        <w:spacing w:line="360" w:lineRule="auto"/>
        <w:ind w:left="0"/>
        <w:rPr>
          <w:rFonts w:cs="Calibri"/>
          <w:lang w:eastAsia="ar-SA"/>
        </w:rPr>
      </w:pPr>
    </w:p>
    <w:p w14:paraId="5DFEEAD4" w14:textId="02F2092E" w:rsidR="0034170C" w:rsidRPr="00053448" w:rsidRDefault="0034170C" w:rsidP="00750881">
      <w:pPr>
        <w:pStyle w:val="Akapitzlist"/>
        <w:spacing w:line="360" w:lineRule="auto"/>
        <w:ind w:left="0"/>
        <w:rPr>
          <w:rFonts w:ascii="Lato" w:hAnsi="Lato" w:cs="Calibri"/>
          <w:sz w:val="22"/>
          <w:szCs w:val="22"/>
          <w:lang w:eastAsia="ar-SA"/>
        </w:rPr>
      </w:pPr>
      <w:r w:rsidRPr="00053448">
        <w:rPr>
          <w:rFonts w:ascii="Lato" w:hAnsi="Lato" w:cs="Calibri"/>
          <w:sz w:val="22"/>
          <w:szCs w:val="22"/>
          <w:lang w:eastAsia="ar-SA"/>
        </w:rPr>
        <w:t>Wydano łącznie 510 stanowisk w ramach strategicznej oceny oddziaływania na środowisko na</w:t>
      </w:r>
      <w:r w:rsidR="00F45A42">
        <w:rPr>
          <w:rFonts w:ascii="Lato" w:hAnsi="Lato" w:cs="Calibri"/>
          <w:sz w:val="22"/>
          <w:szCs w:val="22"/>
          <w:lang w:eastAsia="ar-SA"/>
        </w:rPr>
        <w:t> </w:t>
      </w:r>
      <w:r w:rsidRPr="00053448">
        <w:rPr>
          <w:rFonts w:ascii="Lato" w:hAnsi="Lato" w:cs="Calibri"/>
          <w:sz w:val="22"/>
          <w:szCs w:val="22"/>
          <w:lang w:eastAsia="ar-SA"/>
        </w:rPr>
        <w:t>podstawie ustawy z dnia 3 października 2008 r. o udostępnianiu informacji o środowisku i</w:t>
      </w:r>
      <w:r w:rsidR="00C60215">
        <w:rPr>
          <w:rFonts w:ascii="Lato" w:hAnsi="Lato" w:cs="Calibri"/>
          <w:sz w:val="22"/>
          <w:szCs w:val="22"/>
          <w:lang w:eastAsia="ar-SA"/>
        </w:rPr>
        <w:t> </w:t>
      </w:r>
      <w:r w:rsidRPr="00053448">
        <w:rPr>
          <w:rFonts w:ascii="Lato" w:hAnsi="Lato" w:cs="Calibri"/>
          <w:sz w:val="22"/>
          <w:szCs w:val="22"/>
          <w:lang w:eastAsia="ar-SA"/>
        </w:rPr>
        <w:t>udziale społeczeństwa w ochronie środowiska oraz o ocenach oddziaływania na środowisko, w</w:t>
      </w:r>
      <w:r w:rsidR="00AC1CB1">
        <w:rPr>
          <w:rFonts w:ascii="Lato" w:hAnsi="Lato" w:cs="Calibri"/>
          <w:sz w:val="22"/>
          <w:szCs w:val="22"/>
          <w:lang w:eastAsia="ar-SA"/>
        </w:rPr>
        <w:t> </w:t>
      </w:r>
      <w:r w:rsidRPr="00053448">
        <w:rPr>
          <w:rFonts w:ascii="Lato" w:hAnsi="Lato" w:cs="Calibri"/>
          <w:sz w:val="22"/>
          <w:szCs w:val="22"/>
          <w:lang w:eastAsia="ar-SA"/>
        </w:rPr>
        <w:t xml:space="preserve">tym 1 negatywnie, </w:t>
      </w:r>
      <w:bookmarkEnd w:id="219"/>
      <w:r w:rsidRPr="00053448">
        <w:rPr>
          <w:rFonts w:ascii="Lato" w:hAnsi="Lato" w:cs="Calibri"/>
          <w:sz w:val="22"/>
          <w:szCs w:val="22"/>
          <w:lang w:eastAsia="ar-SA"/>
        </w:rPr>
        <w:t>dotyczące niespełnienia wymagań w zakresie minimalnej odległości zabudowy mieszkalnej od granic terenu cmentarza.</w:t>
      </w:r>
    </w:p>
    <w:p w14:paraId="1783BBFB" w14:textId="77777777" w:rsidR="0034170C" w:rsidRPr="00431781" w:rsidRDefault="0034170C" w:rsidP="00750881">
      <w:pPr>
        <w:pStyle w:val="Akapitzlist"/>
        <w:spacing w:line="360" w:lineRule="auto"/>
        <w:ind w:left="0"/>
        <w:rPr>
          <w:rFonts w:ascii="Lato" w:hAnsi="Lato" w:cs="Calibri"/>
          <w:lang w:eastAsia="ar-SA"/>
        </w:rPr>
      </w:pPr>
    </w:p>
    <w:p w14:paraId="33CF546A" w14:textId="58BCA129" w:rsidR="0034170C" w:rsidRPr="00431781" w:rsidRDefault="0034170C" w:rsidP="00750881">
      <w:pPr>
        <w:suppressAutoHyphens/>
        <w:spacing w:line="360" w:lineRule="auto"/>
        <w:rPr>
          <w:rFonts w:ascii="Lato" w:hAnsi="Lato" w:cs="Calibri"/>
          <w:sz w:val="22"/>
          <w:szCs w:val="22"/>
          <w:lang w:eastAsia="ar-SA"/>
        </w:rPr>
      </w:pPr>
      <w:r w:rsidRPr="00431781">
        <w:rPr>
          <w:rFonts w:ascii="Lato" w:hAnsi="Lato" w:cs="Calibri"/>
          <w:sz w:val="22"/>
          <w:szCs w:val="22"/>
          <w:lang w:eastAsia="ar-SA"/>
        </w:rPr>
        <w:t>Zajęto łącznie 237 stanowisk na podstawie ustawy z dnia 27 marca 2003 r. o planowaniu i</w:t>
      </w:r>
      <w:r w:rsidR="00AC1CB1">
        <w:rPr>
          <w:rFonts w:ascii="Lato" w:hAnsi="Lato" w:cs="Calibri"/>
          <w:sz w:val="22"/>
          <w:szCs w:val="22"/>
          <w:lang w:eastAsia="ar-SA"/>
        </w:rPr>
        <w:t> </w:t>
      </w:r>
      <w:r w:rsidRPr="00431781">
        <w:rPr>
          <w:rFonts w:ascii="Lato" w:hAnsi="Lato" w:cs="Calibri"/>
          <w:sz w:val="22"/>
          <w:szCs w:val="22"/>
          <w:lang w:eastAsia="ar-SA"/>
        </w:rPr>
        <w:t>zagospodarowaniu przestrzennym</w:t>
      </w:r>
      <w:r w:rsidRPr="00431781">
        <w:rPr>
          <w:rFonts w:ascii="Lato" w:hAnsi="Lato" w:cstheme="minorHAnsi"/>
          <w:b/>
          <w:bCs/>
          <w:sz w:val="22"/>
          <w:szCs w:val="22"/>
        </w:rPr>
        <w:t xml:space="preserve"> </w:t>
      </w:r>
      <w:r w:rsidRPr="00431781">
        <w:rPr>
          <w:rFonts w:ascii="Lato" w:hAnsi="Lato" w:cstheme="minorHAnsi"/>
          <w:sz w:val="22"/>
          <w:szCs w:val="22"/>
        </w:rPr>
        <w:t>dotyczących projektów planów ogólnych gminy i</w:t>
      </w:r>
      <w:r w:rsidR="00C60215">
        <w:rPr>
          <w:rFonts w:ascii="Lato" w:hAnsi="Lato" w:cstheme="minorHAnsi"/>
          <w:sz w:val="22"/>
          <w:szCs w:val="22"/>
        </w:rPr>
        <w:t> </w:t>
      </w:r>
      <w:r w:rsidRPr="00431781">
        <w:rPr>
          <w:rFonts w:ascii="Lato" w:hAnsi="Lato" w:cstheme="minorHAnsi"/>
          <w:sz w:val="22"/>
          <w:szCs w:val="22"/>
        </w:rPr>
        <w:t>projektów planów zagospodarowania przestrzennego, w innym trybie niż strategiczna ocena oddziaływania na środowisko</w:t>
      </w:r>
      <w:r w:rsidRPr="00431781">
        <w:rPr>
          <w:rFonts w:ascii="Lato" w:hAnsi="Lato" w:cs="Calibri"/>
          <w:sz w:val="22"/>
          <w:szCs w:val="22"/>
          <w:lang w:eastAsia="ar-SA"/>
        </w:rPr>
        <w:t>. W ramach ww. postępowań zajęto 1 negatywne stanowisko dotyczące wpływu terenu przeznaczonego w projekcie miejscowego planu zagospodarowania przestrzennego pod cmentarz na zdrowie i życie ludzi oraz minimalnej odległości turbin wiatrowych od budynków mieszkalnych albo budynków o funkcji mieszanej.</w:t>
      </w:r>
    </w:p>
    <w:p w14:paraId="33E6443F" w14:textId="77777777" w:rsidR="0034170C" w:rsidRPr="00431781" w:rsidRDefault="0034170C" w:rsidP="00750881">
      <w:pPr>
        <w:suppressAutoHyphens/>
        <w:spacing w:line="360" w:lineRule="auto"/>
        <w:rPr>
          <w:rFonts w:ascii="Lato" w:hAnsi="Lato" w:cs="Calibri"/>
          <w:sz w:val="22"/>
          <w:szCs w:val="22"/>
          <w:lang w:eastAsia="ar-SA"/>
        </w:rPr>
      </w:pPr>
    </w:p>
    <w:p w14:paraId="23D4E148" w14:textId="53279109" w:rsidR="0034170C" w:rsidRPr="00431781" w:rsidRDefault="0034170C" w:rsidP="00750881">
      <w:pPr>
        <w:suppressAutoHyphens/>
        <w:spacing w:line="360" w:lineRule="auto"/>
        <w:rPr>
          <w:rFonts w:ascii="Lato" w:hAnsi="Lato" w:cs="Calibri"/>
          <w:sz w:val="22"/>
          <w:szCs w:val="22"/>
          <w:lang w:eastAsia="ar-SA"/>
        </w:rPr>
      </w:pPr>
      <w:r w:rsidRPr="00431781">
        <w:rPr>
          <w:rFonts w:ascii="Lato" w:hAnsi="Lato" w:cstheme="minorHAnsi"/>
          <w:sz w:val="22"/>
          <w:szCs w:val="22"/>
        </w:rPr>
        <w:t xml:space="preserve">Zajęto łącznie 9 stanowisk dotyczących projektów planów remediacji, </w:t>
      </w:r>
      <w:bookmarkStart w:id="220" w:name="_Hlk131149634"/>
      <w:r w:rsidRPr="00431781">
        <w:rPr>
          <w:rFonts w:ascii="Lato" w:hAnsi="Lato" w:cstheme="minorHAnsi"/>
          <w:sz w:val="22"/>
          <w:szCs w:val="22"/>
        </w:rPr>
        <w:t>przeprowadzania działań naprawczych w środowisku oraz projektów gminnych programów rewitalizacji</w:t>
      </w:r>
      <w:bookmarkEnd w:id="220"/>
      <w:r w:rsidRPr="00431781">
        <w:rPr>
          <w:rFonts w:ascii="Lato" w:hAnsi="Lato" w:cstheme="minorHAnsi"/>
          <w:sz w:val="22"/>
          <w:szCs w:val="22"/>
        </w:rPr>
        <w:t xml:space="preserve">. Wszystkie stanowiska były pozytywne i dotyczyły przede wszystkim projektów planów </w:t>
      </w:r>
      <w:r w:rsidRPr="00431781">
        <w:rPr>
          <w:rFonts w:ascii="Lato" w:hAnsi="Lato" w:cstheme="minorHAnsi"/>
          <w:sz w:val="22"/>
          <w:szCs w:val="22"/>
        </w:rPr>
        <w:lastRenderedPageBreak/>
        <w:t>remediacji dla historycznego zanieczyszczenia powierzchni ziemi stwierdzonego na danym terenie</w:t>
      </w:r>
      <w:bookmarkStart w:id="221" w:name="_Hlk142381320"/>
      <w:r w:rsidRPr="00431781">
        <w:rPr>
          <w:rFonts w:ascii="Lato" w:hAnsi="Lato" w:cs="Calibri"/>
          <w:sz w:val="22"/>
          <w:szCs w:val="22"/>
        </w:rPr>
        <w:t>, w odniesieniu do oceny występowania znaczącego zagrożenia dla zdrowia ludzi</w:t>
      </w:r>
      <w:bookmarkEnd w:id="221"/>
      <w:r w:rsidRPr="00431781">
        <w:rPr>
          <w:rFonts w:ascii="Lato" w:hAnsi="Lato" w:cs="Calibri"/>
          <w:sz w:val="22"/>
          <w:szCs w:val="22"/>
        </w:rPr>
        <w:t xml:space="preserve"> oraz gminnych programów rewitalizacji w zakresie wpływu ustaleń tego dokumentu na zdrowie i</w:t>
      </w:r>
      <w:r w:rsidR="00C60215">
        <w:rPr>
          <w:rFonts w:ascii="Lato" w:hAnsi="Lato" w:cs="Calibri"/>
          <w:sz w:val="22"/>
          <w:szCs w:val="22"/>
        </w:rPr>
        <w:t> </w:t>
      </w:r>
      <w:r w:rsidRPr="00431781">
        <w:rPr>
          <w:rFonts w:ascii="Lato" w:hAnsi="Lato" w:cs="Calibri"/>
          <w:sz w:val="22"/>
          <w:szCs w:val="22"/>
        </w:rPr>
        <w:t>życie mieszkańców obszaru gminy objętego rewitalizacją.</w:t>
      </w:r>
    </w:p>
    <w:p w14:paraId="38D34A11" w14:textId="77777777" w:rsidR="0034170C" w:rsidRPr="00431781" w:rsidRDefault="0034170C" w:rsidP="00750881">
      <w:pPr>
        <w:suppressAutoHyphens/>
        <w:spacing w:line="360" w:lineRule="auto"/>
        <w:rPr>
          <w:rFonts w:ascii="Lato" w:hAnsi="Lato" w:cs="Calibri"/>
          <w:sz w:val="22"/>
          <w:szCs w:val="22"/>
          <w:lang w:eastAsia="ar-SA"/>
        </w:rPr>
      </w:pPr>
    </w:p>
    <w:p w14:paraId="1CCD4FE2" w14:textId="3439F4C1" w:rsidR="0034170C" w:rsidRPr="00431781" w:rsidRDefault="0034170C" w:rsidP="00750881">
      <w:pPr>
        <w:suppressAutoHyphens/>
        <w:spacing w:line="360" w:lineRule="auto"/>
        <w:rPr>
          <w:rFonts w:ascii="Lato" w:hAnsi="Lato" w:cs="Calibri"/>
          <w:sz w:val="22"/>
          <w:szCs w:val="22"/>
          <w:lang w:eastAsia="ar-SA"/>
        </w:rPr>
      </w:pPr>
      <w:r w:rsidRPr="00431781">
        <w:rPr>
          <w:rFonts w:ascii="Lato" w:hAnsi="Lato" w:cs="Calibri"/>
          <w:sz w:val="22"/>
          <w:szCs w:val="22"/>
          <w:lang w:eastAsia="ar-SA"/>
        </w:rPr>
        <w:t>Zajęto łącznie 15130 stanowisk dotyczących uzgadniania projektu decyzji o warunkach zabudowy i zagospodarowania terenu oraz decyzji o ustaleniu lokalizacji inwestycji celu publicznego. W ramach ww. postępowań zajęto 19 negatywnych stanowisk dotyczących w</w:t>
      </w:r>
      <w:r w:rsidR="00AC1CB1">
        <w:rPr>
          <w:rFonts w:ascii="Lato" w:hAnsi="Lato" w:cs="Calibri"/>
          <w:sz w:val="22"/>
          <w:szCs w:val="22"/>
          <w:lang w:eastAsia="ar-SA"/>
        </w:rPr>
        <w:t> </w:t>
      </w:r>
      <w:r w:rsidRPr="00431781">
        <w:rPr>
          <w:rFonts w:ascii="Lato" w:hAnsi="Lato" w:cs="Calibri"/>
          <w:sz w:val="22"/>
          <w:szCs w:val="22"/>
          <w:lang w:eastAsia="ar-SA"/>
        </w:rPr>
        <w:t>szczególności warunków zabudowy dla inwestycji polegających na budowie budynków mieszkalnych w odległości niespełniającej wymagań dotyczących minimalnej odległości zabudowy mieszkalnej od granic terenu cmentarza</w:t>
      </w:r>
      <w:r w:rsidRPr="00431781">
        <w:rPr>
          <w:rFonts w:ascii="Lato" w:hAnsi="Lato" w:cs="Calibri"/>
          <w:iCs/>
          <w:sz w:val="22"/>
          <w:szCs w:val="22"/>
          <w:lang w:eastAsia="ar-SA"/>
        </w:rPr>
        <w:t xml:space="preserve">. </w:t>
      </w:r>
    </w:p>
    <w:p w14:paraId="0B7E658D" w14:textId="77777777" w:rsidR="0034170C" w:rsidRPr="0070317D" w:rsidRDefault="0034170C" w:rsidP="00750881">
      <w:pPr>
        <w:suppressAutoHyphens/>
        <w:spacing w:line="360" w:lineRule="auto"/>
        <w:rPr>
          <w:rFonts w:ascii="Calibri" w:hAnsi="Calibri" w:cs="Calibri"/>
          <w:lang w:eastAsia="ar-SA"/>
        </w:rPr>
      </w:pPr>
    </w:p>
    <w:p w14:paraId="0B0A7A8A" w14:textId="77777777" w:rsidR="0034170C" w:rsidRPr="00431781" w:rsidRDefault="0034170C" w:rsidP="00750881">
      <w:pPr>
        <w:tabs>
          <w:tab w:val="left" w:pos="1418"/>
        </w:tabs>
        <w:suppressAutoHyphens/>
        <w:spacing w:line="360" w:lineRule="auto"/>
        <w:rPr>
          <w:rFonts w:ascii="Lato" w:hAnsi="Lato" w:cs="Calibri"/>
          <w:sz w:val="22"/>
          <w:szCs w:val="22"/>
          <w:lang w:eastAsia="ar-SA"/>
        </w:rPr>
      </w:pPr>
      <w:r w:rsidRPr="00431781">
        <w:rPr>
          <w:rFonts w:ascii="Lato" w:hAnsi="Lato" w:cs="Calibri"/>
          <w:sz w:val="22"/>
          <w:szCs w:val="22"/>
          <w:lang w:eastAsia="ar-SA"/>
        </w:rPr>
        <w:t>Zajęto łącznie 1028 stanowisk</w:t>
      </w:r>
      <w:r w:rsidRPr="00431781">
        <w:rPr>
          <w:rFonts w:ascii="Lato" w:hAnsi="Lato"/>
          <w:sz w:val="22"/>
          <w:szCs w:val="22"/>
        </w:rPr>
        <w:t xml:space="preserve"> </w:t>
      </w:r>
      <w:r w:rsidRPr="00431781">
        <w:rPr>
          <w:rFonts w:ascii="Lato" w:hAnsi="Lato" w:cs="Calibri"/>
          <w:sz w:val="22"/>
          <w:szCs w:val="22"/>
          <w:lang w:eastAsia="ar-SA"/>
        </w:rPr>
        <w:t>dotyczących oceny oddziaływania przedsięwzięć mogących znacząco oddziaływać na środowisko. W tym wydano 10 negatywnych opinii w sprawach dotyczących realizacji przedsięwzięć przed wydaniem decyzji o środowiskowych uwarunkowaniach, w zakresie ich wpływu na zdrowie i życie ludzi z uwagi m.in. na uciążliwość zapachową i bliską odległość ferm bydła, drobiu, czy instalacji do wytwarzania biopaliw lub przetwarzania odpadów od zabudowań mieszkalnych.</w:t>
      </w:r>
    </w:p>
    <w:p w14:paraId="2C0BA8F8" w14:textId="77777777" w:rsidR="0034170C" w:rsidRPr="00431781" w:rsidRDefault="0034170C" w:rsidP="00750881">
      <w:pPr>
        <w:tabs>
          <w:tab w:val="left" w:pos="1418"/>
        </w:tabs>
        <w:suppressAutoHyphens/>
        <w:spacing w:line="360" w:lineRule="auto"/>
        <w:rPr>
          <w:rFonts w:ascii="Lato" w:hAnsi="Lato" w:cs="Calibri"/>
          <w:sz w:val="22"/>
          <w:szCs w:val="22"/>
          <w:lang w:eastAsia="ar-SA"/>
        </w:rPr>
      </w:pPr>
    </w:p>
    <w:p w14:paraId="565E0BB5" w14:textId="38AD3212" w:rsidR="0034170C" w:rsidRPr="00431781" w:rsidRDefault="0034170C" w:rsidP="00750881">
      <w:pPr>
        <w:spacing w:line="360" w:lineRule="auto"/>
        <w:rPr>
          <w:rFonts w:ascii="Lato" w:hAnsi="Lato" w:cstheme="minorHAnsi"/>
          <w:sz w:val="22"/>
          <w:szCs w:val="22"/>
        </w:rPr>
      </w:pPr>
      <w:r w:rsidRPr="00431781">
        <w:rPr>
          <w:rFonts w:ascii="Lato" w:hAnsi="Lato" w:cstheme="minorHAnsi"/>
          <w:sz w:val="22"/>
          <w:szCs w:val="22"/>
        </w:rPr>
        <w:t>W 2025 roku, organy Państwowej Inspekcji Sanitarnej dokonały 86 uzgodnień dokumentacji projektowej inwestycji pod względem wymagań higienicznych i zdrowotnych, w tym 1 negatywne dotyczące lokalizacji wyrzutni powietrza na poziomie terenu. Rzeczoznawcy do</w:t>
      </w:r>
      <w:r w:rsidR="00C60215">
        <w:rPr>
          <w:rFonts w:ascii="Lato" w:hAnsi="Lato" w:cstheme="minorHAnsi"/>
          <w:sz w:val="22"/>
          <w:szCs w:val="22"/>
        </w:rPr>
        <w:t> </w:t>
      </w:r>
      <w:r w:rsidRPr="00431781">
        <w:rPr>
          <w:rFonts w:ascii="Lato" w:hAnsi="Lato" w:cstheme="minorHAnsi"/>
          <w:sz w:val="22"/>
          <w:szCs w:val="22"/>
        </w:rPr>
        <w:t xml:space="preserve">spraw sanitarnohigienicznych uzgodnili łącznie 1472 dokumentacji projektowych. </w:t>
      </w:r>
    </w:p>
    <w:p w14:paraId="70F401E2" w14:textId="10893D93" w:rsidR="0034170C" w:rsidRPr="00431781" w:rsidRDefault="0034170C" w:rsidP="00750881">
      <w:pPr>
        <w:spacing w:line="360" w:lineRule="auto"/>
        <w:rPr>
          <w:rFonts w:ascii="Lato" w:hAnsi="Lato" w:cstheme="minorHAnsi"/>
          <w:sz w:val="22"/>
          <w:szCs w:val="22"/>
        </w:rPr>
      </w:pPr>
      <w:r w:rsidRPr="00431781">
        <w:rPr>
          <w:rFonts w:ascii="Lato" w:hAnsi="Lato" w:cstheme="minorHAnsi"/>
          <w:sz w:val="22"/>
          <w:szCs w:val="22"/>
        </w:rPr>
        <w:t>Zajęto łącznie 166 stanowisk dotyczących odstępstw od obowiązujących przepisów, m.in. w</w:t>
      </w:r>
      <w:r w:rsidR="00AC1CB1">
        <w:rPr>
          <w:rFonts w:ascii="Lato" w:hAnsi="Lato" w:cstheme="minorHAnsi"/>
          <w:sz w:val="22"/>
          <w:szCs w:val="22"/>
        </w:rPr>
        <w:t> </w:t>
      </w:r>
      <w:r w:rsidRPr="00431781">
        <w:rPr>
          <w:rFonts w:ascii="Lato" w:hAnsi="Lato" w:cstheme="minorHAnsi"/>
          <w:sz w:val="22"/>
          <w:szCs w:val="22"/>
        </w:rPr>
        <w:t>zakresie zastosowania rozwiązań innych niż określone w obowiązujących przepisach prawa, w tym w zakresie warunków technicznych w szczególności dotyczących minimalnej wysokości pomieszczeń przeznaczonych na pobyt ludzi, usytuowania poziomu podłogi pomieszczeń w</w:t>
      </w:r>
      <w:r w:rsidR="00AC1CB1">
        <w:rPr>
          <w:rFonts w:ascii="Lato" w:hAnsi="Lato" w:cstheme="minorHAnsi"/>
          <w:sz w:val="22"/>
          <w:szCs w:val="22"/>
        </w:rPr>
        <w:t> </w:t>
      </w:r>
      <w:r w:rsidRPr="00431781">
        <w:rPr>
          <w:rFonts w:ascii="Lato" w:hAnsi="Lato" w:cstheme="minorHAnsi"/>
          <w:sz w:val="22"/>
          <w:szCs w:val="22"/>
        </w:rPr>
        <w:t xml:space="preserve">stosunku do otaczającego terenu oraz oświetlenia pomieszczeń wyłącznie światłem sztucznym. W ramach postępowań w ww. zakresie zajęto 4 negatywne stanowiska, m.in. </w:t>
      </w:r>
      <w:r w:rsidRPr="00431781">
        <w:rPr>
          <w:rFonts w:ascii="Lato" w:hAnsi="Lato" w:cs="Calibri"/>
          <w:iCs/>
          <w:sz w:val="22"/>
          <w:szCs w:val="22"/>
          <w:lang w:eastAsia="ar-SA"/>
        </w:rPr>
        <w:t xml:space="preserve">dotyczące m.in. </w:t>
      </w:r>
      <w:r w:rsidRPr="00431781">
        <w:rPr>
          <w:rFonts w:ascii="Lato" w:hAnsi="Lato" w:cstheme="minorHAnsi"/>
          <w:sz w:val="22"/>
          <w:szCs w:val="22"/>
        </w:rPr>
        <w:t>stosowania pieców na paliwo stałe w lokalach gastronomicznych w budynkach o wysokości powyżej 3 kondygnacji oraz</w:t>
      </w:r>
      <w:r w:rsidRPr="00431781">
        <w:rPr>
          <w:rFonts w:ascii="Lato" w:hAnsi="Lato" w:cs="Calibri"/>
          <w:iCs/>
          <w:sz w:val="22"/>
          <w:szCs w:val="22"/>
          <w:lang w:eastAsia="ar-SA"/>
        </w:rPr>
        <w:t xml:space="preserve"> lokalizacji wyrzutni powietrza na poziomie terenu.</w:t>
      </w:r>
    </w:p>
    <w:p w14:paraId="5BF920DA" w14:textId="77777777" w:rsidR="0034170C" w:rsidRDefault="0034170C" w:rsidP="00750881">
      <w:pPr>
        <w:spacing w:line="360" w:lineRule="auto"/>
        <w:rPr>
          <w:rFonts w:cstheme="minorHAnsi"/>
          <w:b/>
          <w:bCs/>
        </w:rPr>
      </w:pPr>
    </w:p>
    <w:p w14:paraId="7F6E3ECE" w14:textId="77777777" w:rsidR="0034170C" w:rsidRPr="00431781" w:rsidRDefault="0034170C" w:rsidP="00750881">
      <w:pPr>
        <w:tabs>
          <w:tab w:val="left" w:pos="2925"/>
        </w:tabs>
        <w:suppressAutoHyphens/>
        <w:spacing w:line="360" w:lineRule="auto"/>
        <w:rPr>
          <w:rFonts w:ascii="Lato" w:hAnsi="Lato" w:cs="Calibri"/>
          <w:sz w:val="22"/>
          <w:szCs w:val="22"/>
          <w:lang w:eastAsia="ar-SA"/>
        </w:rPr>
      </w:pPr>
      <w:r w:rsidRPr="00431781">
        <w:rPr>
          <w:rFonts w:ascii="Lato" w:hAnsi="Lato" w:cs="Calibri"/>
          <w:sz w:val="22"/>
          <w:szCs w:val="22"/>
          <w:lang w:eastAsia="ar-SA"/>
        </w:rPr>
        <w:t>Zajęto łącznie 117 stanowisk dotyczących innych spraw, w szczególności w sprawach dotyczących zatwierdzenia projektów osłon stałych opracowywanych dla pracowni/gabinetów, w których miały być użytkowane aparaty rentgenowskie.</w:t>
      </w:r>
    </w:p>
    <w:p w14:paraId="436C6F74" w14:textId="77777777" w:rsidR="0034170C" w:rsidRPr="00431781" w:rsidRDefault="0034170C" w:rsidP="00750881">
      <w:pPr>
        <w:pStyle w:val="Akapitzlist"/>
        <w:tabs>
          <w:tab w:val="left" w:pos="567"/>
        </w:tabs>
        <w:spacing w:line="360" w:lineRule="auto"/>
        <w:ind w:left="0"/>
        <w:rPr>
          <w:rFonts w:ascii="Lato" w:hAnsi="Lato" w:cstheme="minorHAnsi"/>
          <w:b/>
          <w:bCs/>
        </w:rPr>
      </w:pPr>
    </w:p>
    <w:p w14:paraId="31FC907B" w14:textId="77777777" w:rsidR="0034170C" w:rsidRPr="00431781" w:rsidRDefault="0034170C" w:rsidP="00750881">
      <w:pPr>
        <w:spacing w:line="360" w:lineRule="auto"/>
        <w:rPr>
          <w:rFonts w:ascii="Lato" w:hAnsi="Lato" w:cs="Calibri"/>
          <w:i/>
          <w:iCs/>
          <w:sz w:val="22"/>
          <w:szCs w:val="22"/>
          <w:lang w:eastAsia="ar-SA"/>
        </w:rPr>
      </w:pPr>
      <w:r w:rsidRPr="00431781">
        <w:rPr>
          <w:rFonts w:ascii="Lato" w:hAnsi="Lato"/>
          <w:sz w:val="22"/>
          <w:szCs w:val="22"/>
        </w:rPr>
        <w:t xml:space="preserve">Zajęto ogółem 1312 </w:t>
      </w:r>
      <w:r w:rsidRPr="00431781">
        <w:rPr>
          <w:rFonts w:ascii="Lato" w:hAnsi="Lato" w:cs="Calibri"/>
          <w:sz w:val="22"/>
          <w:szCs w:val="22"/>
          <w:lang w:eastAsia="ar-SA"/>
        </w:rPr>
        <w:t>stanowisk w ramach uczestniczenia w dopuszczeniu do użytkowania obiektów budowlanych. W ramach ww. stanowisk w 10 przypadkach stwierdzono brak zgodności wykonania obiektu budowlanego z projektem budowlanym w zakresie wymagań higienicznych i zdrowotnych dotyczących m.in. dostosowania obiektu użyteczności publicznej do potrzeb osób niepełnosprawnych, w tym zapewnienia wymaganej wolnej przestrzeni manewrowej w pomieszczeniach higienicznosanitarnych. W 2025 roku łącznie przeprowadzono 567 kontroli lub wizji lokalnych obiektów budowlanych.</w:t>
      </w:r>
    </w:p>
    <w:p w14:paraId="589966C8" w14:textId="77777777" w:rsidR="0034170C" w:rsidRDefault="0034170C" w:rsidP="00750881">
      <w:pPr>
        <w:spacing w:line="360" w:lineRule="auto"/>
      </w:pPr>
    </w:p>
    <w:p w14:paraId="2C327108" w14:textId="77777777" w:rsidR="000B759F" w:rsidRDefault="000B759F">
      <w:pPr>
        <w:spacing w:after="160" w:line="278" w:lineRule="auto"/>
        <w:rPr>
          <w:rFonts w:ascii="Lato" w:eastAsia="Calibri" w:hAnsi="Lato" w:cs="Calibri"/>
          <w:b/>
          <w:bCs/>
        </w:rPr>
      </w:pPr>
      <w:bookmarkStart w:id="222" w:name="_x03bztjftpi2" w:colFirst="0" w:colLast="0"/>
      <w:bookmarkEnd w:id="222"/>
      <w:r>
        <w:rPr>
          <w:rFonts w:ascii="Lato" w:eastAsia="Calibri" w:hAnsi="Lato" w:cs="Calibri"/>
          <w:b/>
          <w:bCs/>
        </w:rPr>
        <w:br w:type="page"/>
      </w:r>
    </w:p>
    <w:p w14:paraId="430D9172" w14:textId="102079BD" w:rsidR="000B759F" w:rsidRPr="00BA2854" w:rsidRDefault="000B759F">
      <w:pPr>
        <w:pStyle w:val="Nagwek1"/>
        <w:numPr>
          <w:ilvl w:val="0"/>
          <w:numId w:val="16"/>
        </w:numPr>
        <w:rPr>
          <w:rFonts w:eastAsia="Calibri"/>
          <w:color w:val="153D63" w:themeColor="text2" w:themeTint="E6"/>
        </w:rPr>
      </w:pPr>
      <w:bookmarkStart w:id="223" w:name="_Toc225859107"/>
      <w:r w:rsidRPr="00BA2854">
        <w:rPr>
          <w:rFonts w:eastAsia="Calibri"/>
          <w:color w:val="153D63" w:themeColor="text2" w:themeTint="E6"/>
        </w:rPr>
        <w:lastRenderedPageBreak/>
        <w:t xml:space="preserve">Profilaktyka i </w:t>
      </w:r>
      <w:r w:rsidR="009E63CB">
        <w:rPr>
          <w:rFonts w:eastAsia="Calibri"/>
          <w:color w:val="153D63" w:themeColor="text2" w:themeTint="E6"/>
        </w:rPr>
        <w:t>P</w:t>
      </w:r>
      <w:r w:rsidRPr="00BA2854">
        <w:rPr>
          <w:rFonts w:eastAsia="Calibri"/>
          <w:color w:val="153D63" w:themeColor="text2" w:themeTint="E6"/>
        </w:rPr>
        <w:t xml:space="preserve">romocja </w:t>
      </w:r>
      <w:r w:rsidR="009E63CB">
        <w:rPr>
          <w:rFonts w:eastAsia="Calibri"/>
          <w:color w:val="153D63" w:themeColor="text2" w:themeTint="E6"/>
        </w:rPr>
        <w:t>Z</w:t>
      </w:r>
      <w:r w:rsidRPr="00BA2854">
        <w:rPr>
          <w:rFonts w:eastAsia="Calibri"/>
          <w:color w:val="153D63" w:themeColor="text2" w:themeTint="E6"/>
        </w:rPr>
        <w:t>drowia</w:t>
      </w:r>
      <w:bookmarkEnd w:id="223"/>
      <w:r w:rsidRPr="00BA2854">
        <w:rPr>
          <w:rFonts w:eastAsia="Calibri"/>
          <w:color w:val="153D63" w:themeColor="text2" w:themeTint="E6"/>
        </w:rPr>
        <w:t xml:space="preserve"> </w:t>
      </w:r>
      <w:r w:rsidRPr="00BA2854">
        <w:rPr>
          <w:rFonts w:eastAsia="Calibri"/>
          <w:color w:val="153D63" w:themeColor="text2" w:themeTint="E6"/>
        </w:rPr>
        <w:tab/>
      </w:r>
    </w:p>
    <w:p w14:paraId="7A91A64A" w14:textId="585FC569" w:rsidR="000B759F" w:rsidRDefault="000B759F" w:rsidP="00750881">
      <w:pPr>
        <w:spacing w:line="360" w:lineRule="auto"/>
        <w:rPr>
          <w:rFonts w:ascii="Lato" w:eastAsia="Calibri" w:hAnsi="Lato" w:cs="Calibri"/>
          <w:sz w:val="22"/>
          <w:szCs w:val="22"/>
        </w:rPr>
      </w:pPr>
      <w:r w:rsidRPr="00431005">
        <w:rPr>
          <w:rFonts w:ascii="Lato" w:eastAsia="Calibri" w:hAnsi="Lato" w:cs="Calibri"/>
          <w:sz w:val="22"/>
          <w:szCs w:val="22"/>
        </w:rPr>
        <w:t>W 2025 roku na terenie województwa zachodniopomorskiego prowadzono liczne działania  z</w:t>
      </w:r>
      <w:r w:rsidR="00AC1CB1">
        <w:rPr>
          <w:rFonts w:ascii="Lato" w:eastAsia="Calibri" w:hAnsi="Lato" w:cs="Calibri"/>
          <w:sz w:val="22"/>
          <w:szCs w:val="22"/>
        </w:rPr>
        <w:t> </w:t>
      </w:r>
      <w:r w:rsidRPr="00431005">
        <w:rPr>
          <w:rFonts w:ascii="Lato" w:eastAsia="Calibri" w:hAnsi="Lato" w:cs="Calibri"/>
          <w:sz w:val="22"/>
          <w:szCs w:val="22"/>
        </w:rPr>
        <w:t>zakresu oświaty zdrowotnej i promocji zdrowia. Działania te, ukierunkowane były głównie na</w:t>
      </w:r>
      <w:r w:rsidR="00AC1CB1">
        <w:rPr>
          <w:rFonts w:ascii="Lato" w:eastAsia="Calibri" w:hAnsi="Lato" w:cs="Calibri"/>
          <w:sz w:val="22"/>
          <w:szCs w:val="22"/>
        </w:rPr>
        <w:t> </w:t>
      </w:r>
      <w:r w:rsidRPr="00431005">
        <w:rPr>
          <w:rFonts w:ascii="Lato" w:eastAsia="Calibri" w:hAnsi="Lato" w:cs="Calibri"/>
          <w:sz w:val="22"/>
          <w:szCs w:val="22"/>
        </w:rPr>
        <w:t>przeciwdziałanie następstwom palenia tytoniu, w tym używania papierosów elektronicznych przez młodzież,  propagowanie zdrowego stylu życia połączone z profilaktyką nadwagi i otyłości, profilaktykę używania substancji psychoaktywnych, ze szczególnym uwzględnieniem profilaktyki używania narkotyków modyfikowanych. Oprócz krajowych  programów i akcji  realizowanych było wiele przedsięwzięć o zasięgu wojewódzkim. Informacje szczegółowe dotyczące ich  realizacji znajdują się na stronach internetowych Państwowej Inspekcji Sanitarnej oraz w mediach społecznościowych WSSE i PSSE (</w:t>
      </w:r>
      <w:proofErr w:type="spellStart"/>
      <w:r w:rsidRPr="00431005">
        <w:rPr>
          <w:rFonts w:ascii="Lato" w:eastAsia="Calibri" w:hAnsi="Lato" w:cs="Calibri"/>
          <w:sz w:val="22"/>
          <w:szCs w:val="22"/>
        </w:rPr>
        <w:t>Fb</w:t>
      </w:r>
      <w:proofErr w:type="spellEnd"/>
      <w:r w:rsidRPr="00431005">
        <w:rPr>
          <w:rFonts w:ascii="Lato" w:eastAsia="Calibri" w:hAnsi="Lato" w:cs="Calibri"/>
          <w:sz w:val="22"/>
          <w:szCs w:val="22"/>
        </w:rPr>
        <w:t>/X).</w:t>
      </w:r>
    </w:p>
    <w:p w14:paraId="726A9559" w14:textId="77777777" w:rsidR="00053448" w:rsidRPr="00431005" w:rsidRDefault="00053448" w:rsidP="00750881">
      <w:pPr>
        <w:spacing w:line="360" w:lineRule="auto"/>
        <w:rPr>
          <w:rFonts w:ascii="Lato" w:eastAsia="Calibri" w:hAnsi="Lato" w:cs="Calibri"/>
          <w:sz w:val="22"/>
          <w:szCs w:val="22"/>
        </w:rPr>
      </w:pPr>
    </w:p>
    <w:p w14:paraId="38349AA1" w14:textId="5462517C" w:rsidR="00053448" w:rsidRDefault="000B759F">
      <w:pPr>
        <w:pStyle w:val="Nagwek2"/>
        <w:numPr>
          <w:ilvl w:val="0"/>
          <w:numId w:val="18"/>
        </w:numPr>
        <w:spacing w:before="0" w:after="0" w:line="360" w:lineRule="auto"/>
        <w:ind w:left="568" w:right="284" w:hanging="284"/>
        <w:rPr>
          <w:rFonts w:eastAsia="Calibri"/>
          <w:b/>
          <w:bCs/>
        </w:rPr>
      </w:pPr>
      <w:bookmarkStart w:id="224" w:name="_Toc225859108"/>
      <w:r w:rsidRPr="001D3C3C">
        <w:rPr>
          <w:rFonts w:eastAsia="Calibri"/>
          <w:b/>
          <w:bCs/>
        </w:rPr>
        <w:t>Profilaktyka nadwagi i otyłości</w:t>
      </w:r>
      <w:bookmarkEnd w:id="224"/>
      <w:r w:rsidRPr="001D3C3C">
        <w:rPr>
          <w:rFonts w:eastAsia="Calibri"/>
          <w:b/>
          <w:bCs/>
        </w:rPr>
        <w:t xml:space="preserve"> </w:t>
      </w:r>
    </w:p>
    <w:p w14:paraId="008DEC05" w14:textId="77777777" w:rsidR="00F535EC" w:rsidRPr="00F535EC" w:rsidRDefault="00F535EC" w:rsidP="00F535EC">
      <w:pPr>
        <w:rPr>
          <w:rFonts w:eastAsia="Calibri"/>
        </w:rPr>
      </w:pPr>
    </w:p>
    <w:p w14:paraId="24DEA643" w14:textId="415D6641" w:rsidR="000B759F" w:rsidRDefault="000B759F">
      <w:pPr>
        <w:pStyle w:val="Nagwek3"/>
        <w:numPr>
          <w:ilvl w:val="1"/>
          <w:numId w:val="18"/>
        </w:numPr>
        <w:spacing w:before="0" w:after="0" w:line="360" w:lineRule="auto"/>
        <w:ind w:left="568" w:right="284" w:hanging="284"/>
        <w:rPr>
          <w:color w:val="auto"/>
          <w:szCs w:val="22"/>
        </w:rPr>
      </w:pPr>
      <w:bookmarkStart w:id="225" w:name="_Toc225859109"/>
      <w:r w:rsidRPr="00431005">
        <w:rPr>
          <w:color w:val="auto"/>
          <w:szCs w:val="22"/>
        </w:rPr>
        <w:t>Krajowy Program Edukacyjny „Trzymaj Formę!”</w:t>
      </w:r>
      <w:bookmarkEnd w:id="225"/>
    </w:p>
    <w:p w14:paraId="38722506" w14:textId="77777777" w:rsidR="00F535EC" w:rsidRPr="00F535EC" w:rsidRDefault="00F535EC" w:rsidP="00F535EC"/>
    <w:p w14:paraId="0C9D0C0B" w14:textId="4549E3BC" w:rsidR="000B759F" w:rsidRPr="00F70812" w:rsidRDefault="000B759F" w:rsidP="00750881">
      <w:pPr>
        <w:spacing w:line="360" w:lineRule="auto"/>
        <w:jc w:val="both"/>
        <w:rPr>
          <w:rFonts w:ascii="Lato" w:hAnsi="Lato" w:cs="Lato"/>
          <w:b/>
          <w:bCs/>
          <w:sz w:val="22"/>
          <w:szCs w:val="22"/>
        </w:rPr>
      </w:pPr>
      <w:r w:rsidRPr="00F70812">
        <w:rPr>
          <w:rFonts w:ascii="Lato" w:hAnsi="Lato" w:cs="Lato"/>
          <w:sz w:val="22"/>
          <w:szCs w:val="22"/>
        </w:rPr>
        <w:t>Cel główny</w:t>
      </w:r>
      <w:r w:rsidRPr="00F70812">
        <w:rPr>
          <w:rFonts w:ascii="Lato" w:hAnsi="Lato" w:cs="Lato"/>
          <w:b/>
          <w:bCs/>
          <w:sz w:val="22"/>
          <w:szCs w:val="22"/>
        </w:rPr>
        <w:t xml:space="preserve">: </w:t>
      </w:r>
      <w:r w:rsidRPr="00F70812">
        <w:rPr>
          <w:rFonts w:ascii="Lato" w:hAnsi="Lato"/>
          <w:sz w:val="22"/>
          <w:szCs w:val="22"/>
        </w:rPr>
        <w:t>edukacja w zakresie trwałego kształtowania prozdrowotnych nawyków wśród młodzieży szkolnej poprzez promocję zasad aktywnego stylu życia i zbilansowanej diety, w</w:t>
      </w:r>
      <w:r w:rsidR="00AC1CB1">
        <w:rPr>
          <w:rFonts w:ascii="Lato" w:hAnsi="Lato"/>
          <w:sz w:val="22"/>
          <w:szCs w:val="22"/>
        </w:rPr>
        <w:t> </w:t>
      </w:r>
      <w:r w:rsidRPr="00F70812">
        <w:rPr>
          <w:rFonts w:ascii="Lato" w:hAnsi="Lato"/>
          <w:sz w:val="22"/>
          <w:szCs w:val="22"/>
        </w:rPr>
        <w:t>oparciu o odpowiedzialność indywidualną i wolny wybór jednostki.</w:t>
      </w:r>
    </w:p>
    <w:p w14:paraId="7FE3C235" w14:textId="410AE757" w:rsidR="000B759F" w:rsidRPr="00F70812" w:rsidRDefault="000B759F" w:rsidP="00750881">
      <w:pPr>
        <w:spacing w:line="360" w:lineRule="auto"/>
        <w:jc w:val="both"/>
        <w:rPr>
          <w:rFonts w:ascii="Lato" w:hAnsi="Lato" w:cs="Lato"/>
          <w:sz w:val="22"/>
          <w:szCs w:val="22"/>
        </w:rPr>
      </w:pPr>
      <w:r w:rsidRPr="00F70812">
        <w:rPr>
          <w:rFonts w:ascii="Lato" w:hAnsi="Lato" w:cs="Lato"/>
          <w:sz w:val="22"/>
          <w:szCs w:val="22"/>
        </w:rPr>
        <w:t>Grupa docelowa: Uczniowie klas V-VIII</w:t>
      </w:r>
      <w:r w:rsidR="002F0F3E">
        <w:rPr>
          <w:rFonts w:ascii="Lato" w:hAnsi="Lato" w:cs="Lato"/>
          <w:sz w:val="22"/>
          <w:szCs w:val="22"/>
        </w:rPr>
        <w:t>.</w:t>
      </w:r>
    </w:p>
    <w:p w14:paraId="5F9E5EA4" w14:textId="5A59CA06" w:rsidR="000B759F" w:rsidRPr="00F70812" w:rsidRDefault="000B759F" w:rsidP="00750881">
      <w:pPr>
        <w:spacing w:line="360" w:lineRule="auto"/>
        <w:jc w:val="both"/>
        <w:rPr>
          <w:rFonts w:ascii="Lato" w:hAnsi="Lato" w:cs="Lato"/>
          <w:sz w:val="22"/>
          <w:szCs w:val="22"/>
        </w:rPr>
      </w:pPr>
      <w:r w:rsidRPr="00F70812">
        <w:rPr>
          <w:rFonts w:ascii="Lato" w:hAnsi="Lato" w:cs="Lato"/>
          <w:sz w:val="22"/>
          <w:szCs w:val="22"/>
        </w:rPr>
        <w:t>Liczba odbiorców: 10 470 osób</w:t>
      </w:r>
      <w:r w:rsidR="002F0F3E">
        <w:rPr>
          <w:rFonts w:ascii="Lato" w:hAnsi="Lato" w:cs="Lato"/>
          <w:sz w:val="22"/>
          <w:szCs w:val="22"/>
        </w:rPr>
        <w:t>.</w:t>
      </w:r>
    </w:p>
    <w:p w14:paraId="59A1AF4A" w14:textId="54E01974" w:rsidR="000B759F" w:rsidRPr="00F70812" w:rsidRDefault="000B759F" w:rsidP="00750881">
      <w:pPr>
        <w:spacing w:line="360" w:lineRule="auto"/>
        <w:rPr>
          <w:rFonts w:ascii="Lato" w:hAnsi="Lato" w:cs="Lato"/>
          <w:sz w:val="22"/>
          <w:szCs w:val="22"/>
        </w:rPr>
      </w:pPr>
      <w:r w:rsidRPr="00F70812">
        <w:rPr>
          <w:rFonts w:ascii="Lato" w:hAnsi="Lato" w:cs="Lato"/>
          <w:sz w:val="22"/>
          <w:szCs w:val="22"/>
        </w:rPr>
        <w:t>Główne działania: prelekcje dot. zdrowego odżywiania, aktywności fizycznej oraz edukacji konsumenckiej, stoiska edukacyjne, narady i szkolenia dla koordynatorów szkolnych. Informacje dotyczące programu zamieszczane były na bieżąco na stronach urzędów Państwowej Inspekcji Sanitarnej oraz w mediach. Dokonywano oceny realizacji programu w</w:t>
      </w:r>
      <w:r w:rsidR="00AC1CB1">
        <w:rPr>
          <w:rFonts w:ascii="Lato" w:hAnsi="Lato" w:cs="Lato"/>
          <w:sz w:val="22"/>
          <w:szCs w:val="22"/>
        </w:rPr>
        <w:t> </w:t>
      </w:r>
      <w:r w:rsidRPr="00F70812">
        <w:rPr>
          <w:rFonts w:ascii="Lato" w:hAnsi="Lato" w:cs="Lato"/>
          <w:sz w:val="22"/>
          <w:szCs w:val="22"/>
        </w:rPr>
        <w:t>szko</w:t>
      </w:r>
      <w:r w:rsidR="004B10CA">
        <w:rPr>
          <w:rFonts w:ascii="Lato" w:hAnsi="Lato" w:cs="Lato"/>
          <w:sz w:val="22"/>
          <w:szCs w:val="22"/>
        </w:rPr>
        <w:t>łach</w:t>
      </w:r>
      <w:r w:rsidRPr="00F70812">
        <w:rPr>
          <w:rFonts w:ascii="Lato" w:hAnsi="Lato" w:cs="Lato"/>
          <w:sz w:val="22"/>
          <w:szCs w:val="22"/>
        </w:rPr>
        <w:t xml:space="preserve"> podczas wizytacji.</w:t>
      </w:r>
    </w:p>
    <w:p w14:paraId="2ACE916F" w14:textId="77777777" w:rsidR="000B759F" w:rsidRPr="001402BF" w:rsidRDefault="000B759F" w:rsidP="000B759F">
      <w:pPr>
        <w:spacing w:line="276" w:lineRule="auto"/>
        <w:jc w:val="both"/>
        <w:rPr>
          <w:rFonts w:ascii="Lato" w:eastAsia="Calibri" w:hAnsi="Lato" w:cs="Calibri"/>
        </w:rPr>
      </w:pPr>
    </w:p>
    <w:p w14:paraId="51AE2A36" w14:textId="026C12CA" w:rsidR="000B759F" w:rsidRDefault="000B759F">
      <w:pPr>
        <w:pStyle w:val="Akapitzlist"/>
        <w:numPr>
          <w:ilvl w:val="1"/>
          <w:numId w:val="18"/>
        </w:numPr>
        <w:spacing w:line="360" w:lineRule="auto"/>
        <w:ind w:left="568" w:right="284" w:hanging="284"/>
        <w:rPr>
          <w:rFonts w:ascii="Lato" w:eastAsia="Calibri" w:hAnsi="Lato" w:cs="Calibri"/>
          <w:b/>
          <w:bCs/>
          <w:u w:val="single"/>
        </w:rPr>
      </w:pPr>
      <w:bookmarkStart w:id="226" w:name="_Toc225859110"/>
      <w:r w:rsidRPr="00431005">
        <w:rPr>
          <w:rStyle w:val="Nagwek3Znak"/>
          <w:color w:val="auto"/>
          <w:szCs w:val="22"/>
        </w:rPr>
        <w:t>Promocja aktywności fizycznej i prawidłowego odżywiania</w:t>
      </w:r>
      <w:bookmarkEnd w:id="226"/>
      <w:r w:rsidRPr="00431005">
        <w:rPr>
          <w:rFonts w:ascii="Lato" w:eastAsia="Calibri" w:hAnsi="Lato" w:cs="Calibri"/>
          <w:b/>
          <w:bCs/>
          <w:u w:val="single"/>
        </w:rPr>
        <w:t xml:space="preserve"> </w:t>
      </w:r>
    </w:p>
    <w:p w14:paraId="2AB6076A" w14:textId="77777777" w:rsidR="00F535EC" w:rsidRPr="00431005" w:rsidRDefault="00F535EC" w:rsidP="00F535EC">
      <w:pPr>
        <w:pStyle w:val="Akapitzlist"/>
        <w:spacing w:line="360" w:lineRule="auto"/>
        <w:ind w:left="568" w:right="284"/>
        <w:rPr>
          <w:rFonts w:ascii="Lato" w:eastAsia="Calibri" w:hAnsi="Lato" w:cs="Calibri"/>
          <w:b/>
          <w:bCs/>
          <w:u w:val="single"/>
        </w:rPr>
      </w:pPr>
    </w:p>
    <w:p w14:paraId="2196401F" w14:textId="41A824B7"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Cel główny: promowanie trwałego kształtowania prozdrowotnych nawyków  żywieniowych i</w:t>
      </w:r>
      <w:r w:rsidR="00C60215">
        <w:rPr>
          <w:rFonts w:ascii="Lato" w:eastAsia="Calibri" w:hAnsi="Lato" w:cs="Calibri"/>
          <w:sz w:val="22"/>
          <w:szCs w:val="22"/>
        </w:rPr>
        <w:t> </w:t>
      </w:r>
      <w:r w:rsidRPr="00F70812">
        <w:rPr>
          <w:rFonts w:ascii="Lato" w:eastAsia="Calibri" w:hAnsi="Lato" w:cs="Calibri"/>
          <w:sz w:val="22"/>
          <w:szCs w:val="22"/>
        </w:rPr>
        <w:t>aktywności fizycznej</w:t>
      </w:r>
      <w:r w:rsidR="002F0F3E">
        <w:rPr>
          <w:rFonts w:ascii="Lato" w:eastAsia="Calibri" w:hAnsi="Lato" w:cs="Calibri"/>
          <w:sz w:val="22"/>
          <w:szCs w:val="22"/>
        </w:rPr>
        <w:t>.</w:t>
      </w:r>
    </w:p>
    <w:p w14:paraId="1C26AB52" w14:textId="6A9566D5" w:rsidR="000B759F" w:rsidRPr="00F70812" w:rsidRDefault="000B759F" w:rsidP="00750881">
      <w:pPr>
        <w:spacing w:line="360" w:lineRule="auto"/>
        <w:jc w:val="both"/>
        <w:rPr>
          <w:rFonts w:ascii="Lato" w:eastAsia="Calibri" w:hAnsi="Lato" w:cs="Calibri"/>
          <w:sz w:val="22"/>
          <w:szCs w:val="22"/>
        </w:rPr>
      </w:pPr>
      <w:r w:rsidRPr="00F70812">
        <w:rPr>
          <w:rFonts w:ascii="Lato" w:eastAsia="Calibri" w:hAnsi="Lato" w:cs="Calibri"/>
          <w:sz w:val="22"/>
          <w:szCs w:val="22"/>
        </w:rPr>
        <w:t>Grupa docelowa: ogół społeczeństwa, dzieci i młodzież</w:t>
      </w:r>
      <w:r w:rsidR="002F0F3E">
        <w:rPr>
          <w:rFonts w:ascii="Lato" w:eastAsia="Calibri" w:hAnsi="Lato" w:cs="Calibri"/>
          <w:sz w:val="22"/>
          <w:szCs w:val="22"/>
        </w:rPr>
        <w:t>.</w:t>
      </w:r>
    </w:p>
    <w:p w14:paraId="12873C43" w14:textId="0096D7DE" w:rsidR="000B759F" w:rsidRPr="00F70812" w:rsidRDefault="000B759F" w:rsidP="00750881">
      <w:pPr>
        <w:spacing w:line="360" w:lineRule="auto"/>
        <w:jc w:val="both"/>
        <w:rPr>
          <w:rFonts w:ascii="Lato" w:eastAsia="Calibri" w:hAnsi="Lato" w:cs="Calibri"/>
          <w:sz w:val="22"/>
          <w:szCs w:val="22"/>
        </w:rPr>
      </w:pPr>
      <w:r w:rsidRPr="00F70812">
        <w:rPr>
          <w:rFonts w:ascii="Lato" w:eastAsia="Calibri" w:hAnsi="Lato" w:cs="Calibri"/>
          <w:sz w:val="22"/>
          <w:szCs w:val="22"/>
        </w:rPr>
        <w:t>Liczba odbiorców: 25 022 osób</w:t>
      </w:r>
      <w:r w:rsidR="002F0F3E">
        <w:rPr>
          <w:rFonts w:ascii="Lato" w:eastAsia="Calibri" w:hAnsi="Lato" w:cs="Calibri"/>
          <w:sz w:val="22"/>
          <w:szCs w:val="22"/>
        </w:rPr>
        <w:t>.</w:t>
      </w:r>
    </w:p>
    <w:p w14:paraId="691F9727" w14:textId="50FBCF53" w:rsidR="000B759F" w:rsidRDefault="000B759F" w:rsidP="00750881">
      <w:pPr>
        <w:spacing w:line="360" w:lineRule="auto"/>
        <w:jc w:val="both"/>
        <w:rPr>
          <w:rFonts w:ascii="Lato" w:eastAsia="Calibri" w:hAnsi="Lato" w:cs="Calibri"/>
          <w:sz w:val="22"/>
          <w:szCs w:val="22"/>
        </w:rPr>
      </w:pPr>
      <w:r w:rsidRPr="00F70812">
        <w:rPr>
          <w:rFonts w:ascii="Lato" w:eastAsia="Calibri" w:hAnsi="Lato" w:cs="Calibri"/>
          <w:sz w:val="22"/>
          <w:szCs w:val="22"/>
        </w:rPr>
        <w:t>Główne działania: prelekcje dot. zdrowego odżywiania, promowanie aktywności fizycznej, higieny, warsztaty, stoiska edukacyjno-informacyjne podczas imprez prozdrowotnych. W</w:t>
      </w:r>
      <w:r w:rsidR="00AC1CB1">
        <w:rPr>
          <w:rFonts w:ascii="Lato" w:eastAsia="Calibri" w:hAnsi="Lato" w:cs="Calibri"/>
          <w:sz w:val="22"/>
          <w:szCs w:val="22"/>
        </w:rPr>
        <w:t> </w:t>
      </w:r>
      <w:r w:rsidRPr="00F70812">
        <w:rPr>
          <w:rFonts w:ascii="Lato" w:eastAsia="Calibri" w:hAnsi="Lato" w:cs="Calibri"/>
          <w:sz w:val="22"/>
          <w:szCs w:val="22"/>
        </w:rPr>
        <w:t xml:space="preserve">Szczecinie zorganizowano konkurs teatralny, którego głównym celem było kształtowanie </w:t>
      </w:r>
      <w:r w:rsidRPr="00F70812">
        <w:rPr>
          <w:rFonts w:ascii="Lato" w:eastAsia="Calibri" w:hAnsi="Lato" w:cs="Calibri"/>
          <w:sz w:val="22"/>
          <w:szCs w:val="22"/>
        </w:rPr>
        <w:lastRenderedPageBreak/>
        <w:t xml:space="preserve">właściwych nawyków żywieniowych od najmłodszych lat, zwiększanie wiedzy i świadomości przedszkolaków z zakresu zdrowego odżywiania. </w:t>
      </w:r>
    </w:p>
    <w:p w14:paraId="123A933E" w14:textId="77777777" w:rsidR="00053448" w:rsidRPr="00F70812" w:rsidRDefault="00053448" w:rsidP="000B759F">
      <w:pPr>
        <w:spacing w:line="276" w:lineRule="auto"/>
        <w:jc w:val="both"/>
        <w:rPr>
          <w:rFonts w:ascii="Lato" w:eastAsia="Calibri" w:hAnsi="Lato" w:cs="Calibri"/>
          <w:sz w:val="22"/>
          <w:szCs w:val="22"/>
        </w:rPr>
      </w:pPr>
    </w:p>
    <w:p w14:paraId="7BF69193" w14:textId="5C99891B" w:rsidR="000B759F" w:rsidRPr="00F535EC" w:rsidRDefault="000B759F">
      <w:pPr>
        <w:pStyle w:val="Akapitzlist"/>
        <w:numPr>
          <w:ilvl w:val="0"/>
          <w:numId w:val="18"/>
        </w:numPr>
        <w:spacing w:line="360" w:lineRule="auto"/>
        <w:ind w:left="568" w:right="284" w:hanging="284"/>
        <w:rPr>
          <w:rStyle w:val="Nagwek2Znak"/>
          <w:rFonts w:eastAsia="Calibri" w:cs="Calibri"/>
          <w:b/>
          <w:bCs/>
          <w:szCs w:val="24"/>
        </w:rPr>
      </w:pPr>
      <w:bookmarkStart w:id="227" w:name="_Toc225859111"/>
      <w:r w:rsidRPr="001D3C3C">
        <w:rPr>
          <w:rStyle w:val="Nagwek2Znak"/>
          <w:b/>
          <w:bCs/>
        </w:rPr>
        <w:t>Profilaktyka palenia tytoniu</w:t>
      </w:r>
      <w:bookmarkEnd w:id="227"/>
    </w:p>
    <w:p w14:paraId="5A167AB5" w14:textId="77777777" w:rsidR="00F535EC" w:rsidRPr="001D3C3C" w:rsidRDefault="00F535EC" w:rsidP="00F535EC">
      <w:pPr>
        <w:pStyle w:val="Akapitzlist"/>
        <w:spacing w:line="360" w:lineRule="auto"/>
        <w:ind w:left="568" w:right="284"/>
        <w:rPr>
          <w:rFonts w:ascii="Lato" w:eastAsia="Calibri" w:hAnsi="Lato" w:cs="Calibri"/>
          <w:b/>
          <w:bCs/>
        </w:rPr>
      </w:pPr>
    </w:p>
    <w:p w14:paraId="3D3BAF83" w14:textId="33F20EDF" w:rsidR="000B759F" w:rsidRDefault="000B759F">
      <w:pPr>
        <w:pStyle w:val="Nagwek3"/>
        <w:numPr>
          <w:ilvl w:val="1"/>
          <w:numId w:val="18"/>
        </w:numPr>
        <w:spacing w:before="0" w:after="0" w:line="360" w:lineRule="auto"/>
        <w:ind w:left="568" w:right="284" w:hanging="284"/>
        <w:rPr>
          <w:rFonts w:eastAsia="Calibri"/>
          <w:color w:val="auto"/>
          <w:szCs w:val="22"/>
        </w:rPr>
      </w:pPr>
      <w:bookmarkStart w:id="228" w:name="_lx01a82gboww" w:colFirst="0" w:colLast="0"/>
      <w:bookmarkStart w:id="229" w:name="_Toc225859112"/>
      <w:bookmarkEnd w:id="228"/>
      <w:r w:rsidRPr="00431005">
        <w:rPr>
          <w:rFonts w:eastAsia="Calibri"/>
          <w:color w:val="auto"/>
          <w:szCs w:val="22"/>
        </w:rPr>
        <w:t>Światowy Dzień bez Tytoniu</w:t>
      </w:r>
      <w:bookmarkEnd w:id="229"/>
      <w:r w:rsidRPr="00431005">
        <w:rPr>
          <w:rFonts w:eastAsia="Calibri"/>
          <w:color w:val="auto"/>
          <w:szCs w:val="22"/>
        </w:rPr>
        <w:t xml:space="preserve"> </w:t>
      </w:r>
    </w:p>
    <w:p w14:paraId="4125FA17" w14:textId="77777777" w:rsidR="00F535EC" w:rsidRPr="00F535EC" w:rsidRDefault="00F535EC" w:rsidP="00F535EC">
      <w:pPr>
        <w:rPr>
          <w:rFonts w:eastAsia="Calibri"/>
        </w:rPr>
      </w:pPr>
    </w:p>
    <w:p w14:paraId="35C8F8DA" w14:textId="77777777"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Cel główny: zwiększenie świadomości na temat szkodliwości palenia tytoniu oraz promowanie zdrowego trybu życia.</w:t>
      </w:r>
    </w:p>
    <w:p w14:paraId="79FF88E0" w14:textId="35E41500"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Grupa docelowa: młodzież szkół podstawowych i ponadpodstawowych , społeczność lokalna, internauci</w:t>
      </w:r>
      <w:r w:rsidR="002F0F3E">
        <w:rPr>
          <w:rFonts w:ascii="Lato" w:eastAsia="Calibri" w:hAnsi="Lato" w:cs="Calibri"/>
          <w:sz w:val="22"/>
          <w:szCs w:val="22"/>
        </w:rPr>
        <w:t>.</w:t>
      </w:r>
    </w:p>
    <w:p w14:paraId="5B32F6BB" w14:textId="49370628" w:rsidR="000B759F" w:rsidRPr="00F70812" w:rsidRDefault="000B759F" w:rsidP="00750881">
      <w:pPr>
        <w:spacing w:line="360" w:lineRule="auto"/>
        <w:rPr>
          <w:rFonts w:ascii="Lato" w:eastAsia="Calibri" w:hAnsi="Lato" w:cs="Calibri"/>
          <w:b/>
          <w:bCs/>
          <w:sz w:val="22"/>
          <w:szCs w:val="22"/>
        </w:rPr>
      </w:pPr>
      <w:r w:rsidRPr="00F70812">
        <w:rPr>
          <w:rFonts w:ascii="Lato" w:eastAsia="Calibri" w:hAnsi="Lato" w:cs="Calibri"/>
          <w:sz w:val="22"/>
          <w:szCs w:val="22"/>
        </w:rPr>
        <w:t>Główne działania: prelekcje, stoiska edukacyjne, narady, konkursy edukacyjne online skierowane do młodzieży</w:t>
      </w:r>
      <w:r w:rsidR="004B10CA">
        <w:rPr>
          <w:rFonts w:ascii="Lato" w:eastAsia="Calibri" w:hAnsi="Lato" w:cs="Calibri"/>
          <w:sz w:val="22"/>
          <w:szCs w:val="22"/>
        </w:rPr>
        <w:t xml:space="preserve">, </w:t>
      </w:r>
      <w:r w:rsidRPr="00F70812">
        <w:rPr>
          <w:rFonts w:ascii="Lato" w:eastAsia="Calibri" w:hAnsi="Lato" w:cs="Calibri"/>
          <w:sz w:val="22"/>
          <w:szCs w:val="22"/>
        </w:rPr>
        <w:t>instruktaże dla kadry pedagogicznej. W</w:t>
      </w:r>
      <w:r w:rsidR="00AC1CB1">
        <w:rPr>
          <w:rFonts w:ascii="Lato" w:eastAsia="Calibri" w:hAnsi="Lato" w:cs="Calibri"/>
          <w:sz w:val="22"/>
          <w:szCs w:val="22"/>
        </w:rPr>
        <w:t> </w:t>
      </w:r>
      <w:r w:rsidRPr="00F70812">
        <w:rPr>
          <w:rFonts w:ascii="Lato" w:eastAsia="Calibri" w:hAnsi="Lato" w:cs="Calibri"/>
          <w:sz w:val="22"/>
          <w:szCs w:val="22"/>
        </w:rPr>
        <w:t>Myśliborzu w  ramach obchodów zorganizowano happening uliczny  wraz ze stoiskiem edukacyjno-informacyjnym. Przeprowadzono prelekcje dla uczniów oraz konkurs wiedzy na temat szkodliwości palenia tytoniu. Akcja była szeroko promowana w mediach, wsparta wysyłką listu intencyjnego oraz dystrybucją materiałów profilaktycznych i gadżetów.</w:t>
      </w:r>
    </w:p>
    <w:p w14:paraId="4D30396D" w14:textId="77777777" w:rsidR="000B759F" w:rsidRPr="001402BF" w:rsidRDefault="000B759F" w:rsidP="00747C41">
      <w:pPr>
        <w:spacing w:line="276" w:lineRule="auto"/>
        <w:rPr>
          <w:rFonts w:ascii="Lato" w:eastAsia="Calibri" w:hAnsi="Lato" w:cs="Calibri"/>
          <w:color w:val="EE0000"/>
        </w:rPr>
      </w:pPr>
    </w:p>
    <w:p w14:paraId="4E17EE1A" w14:textId="191E8C33" w:rsidR="000B759F" w:rsidRPr="00F535EC" w:rsidRDefault="000B759F">
      <w:pPr>
        <w:pStyle w:val="Akapitzlist"/>
        <w:numPr>
          <w:ilvl w:val="1"/>
          <w:numId w:val="18"/>
        </w:numPr>
        <w:spacing w:line="360" w:lineRule="auto"/>
        <w:ind w:left="568" w:right="284" w:hanging="284"/>
        <w:rPr>
          <w:rStyle w:val="Nagwek3Znak"/>
          <w:rFonts w:eastAsia="Calibri" w:cs="Calibri"/>
          <w:b/>
          <w:bCs/>
          <w:color w:val="auto"/>
          <w:sz w:val="24"/>
          <w:szCs w:val="24"/>
        </w:rPr>
      </w:pPr>
      <w:bookmarkStart w:id="230" w:name="_Toc225859113"/>
      <w:r w:rsidRPr="00431005">
        <w:rPr>
          <w:rStyle w:val="Nagwek3Znak"/>
          <w:color w:val="auto"/>
          <w:szCs w:val="22"/>
        </w:rPr>
        <w:t>Światowy Dzień Rzucania Palenia</w:t>
      </w:r>
      <w:bookmarkEnd w:id="230"/>
    </w:p>
    <w:p w14:paraId="109A2220" w14:textId="77777777" w:rsidR="00F535EC" w:rsidRPr="00F535EC" w:rsidRDefault="00F535EC" w:rsidP="00F535EC">
      <w:pPr>
        <w:spacing w:line="360" w:lineRule="auto"/>
        <w:ind w:right="284"/>
        <w:rPr>
          <w:rFonts w:ascii="Lato" w:eastAsia="Calibri" w:hAnsi="Lato" w:cs="Calibri"/>
          <w:b/>
          <w:bCs/>
        </w:rPr>
      </w:pPr>
    </w:p>
    <w:p w14:paraId="07163DAE" w14:textId="77777777" w:rsidR="000B759F" w:rsidRPr="00431005" w:rsidRDefault="000B759F" w:rsidP="00C60215">
      <w:pPr>
        <w:spacing w:line="360" w:lineRule="auto"/>
        <w:rPr>
          <w:rFonts w:ascii="Lato" w:eastAsia="Calibri" w:hAnsi="Lato" w:cs="Calibri"/>
          <w:sz w:val="22"/>
          <w:szCs w:val="22"/>
        </w:rPr>
      </w:pPr>
      <w:r w:rsidRPr="00431005">
        <w:rPr>
          <w:rFonts w:ascii="Lato" w:eastAsia="Calibri" w:hAnsi="Lato" w:cs="Calibri"/>
          <w:sz w:val="22"/>
          <w:szCs w:val="22"/>
        </w:rPr>
        <w:t>Cel główny:  zwiększenie świadomości na temat szkodliwości palenia tytoniu oraz promowanie zdrowego trybu życia.</w:t>
      </w:r>
    </w:p>
    <w:p w14:paraId="7B48F4B4" w14:textId="0A066112" w:rsidR="000B759F" w:rsidRPr="00431005" w:rsidRDefault="000B759F" w:rsidP="00C60215">
      <w:pPr>
        <w:spacing w:line="360" w:lineRule="auto"/>
        <w:rPr>
          <w:rFonts w:ascii="Lato" w:eastAsia="Calibri" w:hAnsi="Lato" w:cs="Calibri"/>
          <w:sz w:val="22"/>
          <w:szCs w:val="22"/>
        </w:rPr>
      </w:pPr>
      <w:r w:rsidRPr="00431005">
        <w:rPr>
          <w:rFonts w:ascii="Lato" w:eastAsia="Calibri" w:hAnsi="Lato" w:cs="Calibri"/>
          <w:sz w:val="22"/>
          <w:szCs w:val="22"/>
        </w:rPr>
        <w:t>Grupa docelowa: ogół społeczeństwa, dzieci i młodzież</w:t>
      </w:r>
      <w:r w:rsidR="002F0F3E">
        <w:rPr>
          <w:rFonts w:ascii="Lato" w:eastAsia="Calibri" w:hAnsi="Lato" w:cs="Calibri"/>
          <w:sz w:val="22"/>
          <w:szCs w:val="22"/>
        </w:rPr>
        <w:t>.</w:t>
      </w:r>
    </w:p>
    <w:p w14:paraId="38E09BF2" w14:textId="77777777" w:rsidR="000B759F" w:rsidRPr="00431005" w:rsidRDefault="000B759F" w:rsidP="00C60215">
      <w:pPr>
        <w:spacing w:line="360" w:lineRule="auto"/>
        <w:rPr>
          <w:rFonts w:ascii="Lato" w:eastAsia="Calibri" w:hAnsi="Lato" w:cs="Calibri"/>
          <w:sz w:val="22"/>
          <w:szCs w:val="22"/>
        </w:rPr>
      </w:pPr>
      <w:r w:rsidRPr="00431005">
        <w:rPr>
          <w:rFonts w:ascii="Lato" w:eastAsia="Calibri" w:hAnsi="Lato" w:cs="Calibri"/>
          <w:sz w:val="22"/>
          <w:szCs w:val="22"/>
        </w:rPr>
        <w:t xml:space="preserve">Główne działania: Podczas Światowego Dnia Rzucania Palenia Wojewódzka Stacja Sanitarno – Epidemiologiczna w Szczecinie we współpracy ze Stowarzyszeniem Walki z Rakiem Płuca Oddział w Szczecinie na mocy zawartego porozumienia, zrealizowała działania edukacyjne promujące zdrowy tryb życia – wolny od dymu tytoniowego. Działania edukacyjne skierowano do 7 szkół podstawowych (klasy 7 i 8) oraz szkół ponadpodstawowych w Szczecinie. W ramach działań prowadzono prelekcje oraz warsztaty. Zajęcia dotyczyły głównie szkodliwości nowatorskich wyrobów nikotynowych oraz działań marketingowych zachęcających młodych ludzi do zakupu tego typu produktów. </w:t>
      </w:r>
    </w:p>
    <w:p w14:paraId="1BCB64D0" w14:textId="426DE3C4" w:rsidR="000B759F" w:rsidRPr="00431005" w:rsidRDefault="000B759F" w:rsidP="00C60215">
      <w:pPr>
        <w:spacing w:line="360" w:lineRule="auto"/>
        <w:rPr>
          <w:rFonts w:ascii="Lato" w:eastAsia="Calibri" w:hAnsi="Lato" w:cs="Calibri"/>
          <w:color w:val="EE0000"/>
          <w:sz w:val="22"/>
          <w:szCs w:val="22"/>
        </w:rPr>
      </w:pPr>
      <w:r w:rsidRPr="00431005">
        <w:rPr>
          <w:rFonts w:ascii="Lato" w:eastAsia="Calibri" w:hAnsi="Lato" w:cs="Calibri"/>
          <w:sz w:val="22"/>
          <w:szCs w:val="22"/>
        </w:rPr>
        <w:t xml:space="preserve">Działaniem kończącym projekt był konkurs plastyczny, który został objęty patronatem przez Wojewodę Zachodniopomorskiego oraz Zachodniopomorskiego Kuratora Oświaty. Wystawę prac konkursowych zorganizowano w Zachodniopomorskim Urzędzie Wojewódzkim, </w:t>
      </w:r>
      <w:r w:rsidRPr="00AC1CB1">
        <w:rPr>
          <w:rFonts w:eastAsia="Calibri"/>
        </w:rPr>
        <w:t>w</w:t>
      </w:r>
      <w:r w:rsidR="00AC1CB1">
        <w:rPr>
          <w:rFonts w:eastAsia="Calibri"/>
        </w:rPr>
        <w:t> </w:t>
      </w:r>
      <w:r w:rsidRPr="00AC1CB1">
        <w:rPr>
          <w:rFonts w:ascii="Lato" w:eastAsia="Calibri" w:hAnsi="Lato"/>
          <w:sz w:val="22"/>
          <w:szCs w:val="22"/>
        </w:rPr>
        <w:t>Światowym</w:t>
      </w:r>
      <w:r w:rsidRPr="00AC1CB1">
        <w:rPr>
          <w:rFonts w:ascii="Lato" w:eastAsia="Calibri" w:hAnsi="Lato" w:cs="Calibri"/>
          <w:sz w:val="22"/>
          <w:szCs w:val="22"/>
        </w:rPr>
        <w:t xml:space="preserve"> </w:t>
      </w:r>
      <w:r w:rsidRPr="00431005">
        <w:rPr>
          <w:rFonts w:ascii="Lato" w:eastAsia="Calibri" w:hAnsi="Lato" w:cs="Calibri"/>
          <w:sz w:val="22"/>
          <w:szCs w:val="22"/>
        </w:rPr>
        <w:t xml:space="preserve">Dniu Rzucania Palenia tj. 20.11.2025 roku . </w:t>
      </w:r>
    </w:p>
    <w:p w14:paraId="6E63AB98" w14:textId="5ADCDF7B" w:rsidR="000B759F" w:rsidRPr="00053448" w:rsidRDefault="00F70812" w:rsidP="00C60215">
      <w:pPr>
        <w:spacing w:line="276" w:lineRule="auto"/>
        <w:rPr>
          <w:rFonts w:ascii="Lato" w:eastAsia="Calibri" w:hAnsi="Lato" w:cs="Calibri"/>
          <w:color w:val="EE0000"/>
        </w:rPr>
      </w:pPr>
      <w:r w:rsidRPr="001402BF">
        <w:rPr>
          <w:rFonts w:ascii="Lato" w:hAnsi="Lato"/>
          <w:noProof/>
        </w:rPr>
        <w:lastRenderedPageBreak/>
        <w:drawing>
          <wp:anchor distT="0" distB="0" distL="114300" distR="114300" simplePos="0" relativeHeight="251664384" behindDoc="0" locked="0" layoutInCell="1" hidden="0" allowOverlap="1" wp14:anchorId="08DE659E" wp14:editId="14256241">
            <wp:simplePos x="0" y="0"/>
            <wp:positionH relativeFrom="column">
              <wp:posOffset>1536700</wp:posOffset>
            </wp:positionH>
            <wp:positionV relativeFrom="paragraph">
              <wp:posOffset>22860</wp:posOffset>
            </wp:positionV>
            <wp:extent cx="1743710" cy="1962785"/>
            <wp:effectExtent l="4762" t="0" r="0" b="0"/>
            <wp:wrapSquare wrapText="bothSides" distT="0" distB="0" distL="114300" distR="114300"/>
            <wp:docPr id="3" name="image3.png" descr="&#10;Zdjęcie 1. Zdjęcie warsztatowe- Projekt Społecznik.&#10;"/>
            <wp:cNvGraphicFramePr/>
            <a:graphic xmlns:a="http://schemas.openxmlformats.org/drawingml/2006/main">
              <a:graphicData uri="http://schemas.openxmlformats.org/drawingml/2006/picture">
                <pic:pic xmlns:pic="http://schemas.openxmlformats.org/drawingml/2006/picture">
                  <pic:nvPicPr>
                    <pic:cNvPr id="3" name="image3.png" descr="&#10;Zdjęcie 1. Zdjęcie warsztatowe- Projekt Społecznik.&#10;"/>
                    <pic:cNvPicPr preferRelativeResize="0"/>
                  </pic:nvPicPr>
                  <pic:blipFill>
                    <a:blip r:embed="rId25"/>
                    <a:srcRect/>
                    <a:stretch>
                      <a:fillRect/>
                    </a:stretch>
                  </pic:blipFill>
                  <pic:spPr>
                    <a:xfrm rot="16200000">
                      <a:off x="0" y="0"/>
                      <a:ext cx="1743710" cy="1962785"/>
                    </a:xfrm>
                    <a:prstGeom prst="rect">
                      <a:avLst/>
                    </a:prstGeom>
                    <a:ln/>
                  </pic:spPr>
                </pic:pic>
              </a:graphicData>
            </a:graphic>
            <wp14:sizeRelH relativeFrom="margin">
              <wp14:pctWidth>0</wp14:pctWidth>
            </wp14:sizeRelH>
            <wp14:sizeRelV relativeFrom="margin">
              <wp14:pctHeight>0</wp14:pctHeight>
            </wp14:sizeRelV>
          </wp:anchor>
        </w:drawing>
      </w:r>
    </w:p>
    <w:p w14:paraId="00BAE6BA" w14:textId="77777777" w:rsidR="000B759F" w:rsidRDefault="000B759F" w:rsidP="000B759F">
      <w:pPr>
        <w:spacing w:line="276" w:lineRule="auto"/>
        <w:rPr>
          <w:rFonts w:ascii="Lato" w:eastAsia="Calibri" w:hAnsi="Lato" w:cs="Calibri"/>
          <w:b/>
          <w:bCs/>
        </w:rPr>
      </w:pPr>
    </w:p>
    <w:p w14:paraId="1D320E77" w14:textId="77777777" w:rsidR="000B759F" w:rsidRDefault="000B759F" w:rsidP="000B759F">
      <w:pPr>
        <w:spacing w:line="276" w:lineRule="auto"/>
        <w:rPr>
          <w:rFonts w:ascii="Lato" w:eastAsia="Calibri" w:hAnsi="Lato" w:cs="Calibri"/>
          <w:b/>
          <w:bCs/>
        </w:rPr>
      </w:pPr>
    </w:p>
    <w:p w14:paraId="2461BB1B" w14:textId="77777777" w:rsidR="000B759F" w:rsidRDefault="000B759F" w:rsidP="000B759F">
      <w:pPr>
        <w:spacing w:line="276" w:lineRule="auto"/>
        <w:rPr>
          <w:rFonts w:ascii="Lato" w:eastAsia="Calibri" w:hAnsi="Lato" w:cs="Calibri"/>
          <w:b/>
          <w:bCs/>
        </w:rPr>
      </w:pPr>
    </w:p>
    <w:p w14:paraId="5453D1E9" w14:textId="77777777" w:rsidR="000B759F" w:rsidRDefault="000B759F" w:rsidP="000B759F">
      <w:pPr>
        <w:spacing w:line="276" w:lineRule="auto"/>
        <w:rPr>
          <w:rFonts w:ascii="Lato" w:eastAsia="Calibri" w:hAnsi="Lato" w:cs="Calibri"/>
          <w:b/>
          <w:bCs/>
        </w:rPr>
      </w:pPr>
    </w:p>
    <w:p w14:paraId="2EA8CAB3" w14:textId="77777777" w:rsidR="000B759F" w:rsidRDefault="000B759F" w:rsidP="000B759F">
      <w:pPr>
        <w:spacing w:line="276" w:lineRule="auto"/>
        <w:rPr>
          <w:rFonts w:ascii="Lato" w:eastAsia="Calibri" w:hAnsi="Lato" w:cs="Calibri"/>
          <w:b/>
          <w:bCs/>
        </w:rPr>
      </w:pPr>
    </w:p>
    <w:p w14:paraId="1C74F82A" w14:textId="77777777" w:rsidR="000B759F" w:rsidRDefault="000B759F" w:rsidP="000B759F">
      <w:pPr>
        <w:spacing w:line="276" w:lineRule="auto"/>
        <w:rPr>
          <w:rFonts w:ascii="Lato" w:eastAsia="Calibri" w:hAnsi="Lato" w:cs="Calibri"/>
          <w:b/>
          <w:bCs/>
        </w:rPr>
      </w:pPr>
    </w:p>
    <w:p w14:paraId="4E613381" w14:textId="77777777" w:rsidR="000B759F" w:rsidRDefault="000B759F" w:rsidP="000B759F">
      <w:pPr>
        <w:spacing w:line="276" w:lineRule="auto"/>
        <w:rPr>
          <w:rFonts w:ascii="Lato" w:eastAsia="Calibri" w:hAnsi="Lato" w:cs="Calibri"/>
          <w:b/>
          <w:bCs/>
        </w:rPr>
      </w:pPr>
    </w:p>
    <w:p w14:paraId="4B2DCD50" w14:textId="77777777" w:rsidR="00D0507A" w:rsidRDefault="00D0507A" w:rsidP="000B759F">
      <w:pPr>
        <w:spacing w:line="276" w:lineRule="auto"/>
        <w:rPr>
          <w:rFonts w:ascii="Lato" w:eastAsia="Calibri" w:hAnsi="Lato" w:cs="Calibri"/>
          <w:b/>
          <w:bCs/>
        </w:rPr>
      </w:pPr>
    </w:p>
    <w:p w14:paraId="554A3F9F" w14:textId="7E8AD157" w:rsidR="00D0507A" w:rsidRPr="006E791B" w:rsidRDefault="006E791B" w:rsidP="006E791B">
      <w:pPr>
        <w:pStyle w:val="Legenda"/>
        <w:rPr>
          <w:rFonts w:ascii="Lato" w:hAnsi="Lato"/>
          <w:b w:val="0"/>
          <w:bCs w:val="0"/>
          <w:sz w:val="18"/>
          <w:szCs w:val="18"/>
        </w:rPr>
      </w:pPr>
      <w:bookmarkStart w:id="231" w:name="_Toc225859328"/>
      <w:r>
        <w:rPr>
          <w:rFonts w:ascii="Lato" w:hAnsi="Lato"/>
          <w:b w:val="0"/>
          <w:bCs w:val="0"/>
          <w:sz w:val="18"/>
          <w:szCs w:val="18"/>
        </w:rPr>
        <w:t>Z</w:t>
      </w:r>
      <w:r w:rsidRPr="006E791B">
        <w:rPr>
          <w:rFonts w:ascii="Lato" w:hAnsi="Lato"/>
          <w:b w:val="0"/>
          <w:bCs w:val="0"/>
          <w:sz w:val="18"/>
          <w:szCs w:val="18"/>
        </w:rPr>
        <w:t xml:space="preserve">djęcie </w:t>
      </w:r>
      <w:r w:rsidRPr="006E791B">
        <w:rPr>
          <w:rFonts w:ascii="Lato" w:hAnsi="Lato"/>
          <w:b w:val="0"/>
          <w:bCs w:val="0"/>
          <w:sz w:val="18"/>
          <w:szCs w:val="18"/>
        </w:rPr>
        <w:fldChar w:fldCharType="begin"/>
      </w:r>
      <w:r w:rsidRPr="006E791B">
        <w:rPr>
          <w:rFonts w:ascii="Lato" w:hAnsi="Lato"/>
          <w:b w:val="0"/>
          <w:bCs w:val="0"/>
          <w:sz w:val="18"/>
          <w:szCs w:val="18"/>
        </w:rPr>
        <w:instrText xml:space="preserve"> SEQ zdjęcie \* ARABIC </w:instrText>
      </w:r>
      <w:r w:rsidRPr="006E791B">
        <w:rPr>
          <w:rFonts w:ascii="Lato" w:hAnsi="Lato"/>
          <w:b w:val="0"/>
          <w:bCs w:val="0"/>
          <w:sz w:val="18"/>
          <w:szCs w:val="18"/>
        </w:rPr>
        <w:fldChar w:fldCharType="separate"/>
      </w:r>
      <w:r w:rsidR="002A3179">
        <w:rPr>
          <w:rFonts w:ascii="Lato" w:hAnsi="Lato"/>
          <w:b w:val="0"/>
          <w:bCs w:val="0"/>
          <w:noProof/>
          <w:sz w:val="18"/>
          <w:szCs w:val="18"/>
        </w:rPr>
        <w:t>1</w:t>
      </w:r>
      <w:r w:rsidRPr="006E791B">
        <w:rPr>
          <w:rFonts w:ascii="Lato" w:hAnsi="Lato"/>
          <w:b w:val="0"/>
          <w:bCs w:val="0"/>
          <w:sz w:val="18"/>
          <w:szCs w:val="18"/>
        </w:rPr>
        <w:fldChar w:fldCharType="end"/>
      </w:r>
      <w:r w:rsidR="00BC4EFB">
        <w:rPr>
          <w:rFonts w:ascii="Lato" w:hAnsi="Lato"/>
          <w:b w:val="0"/>
          <w:bCs w:val="0"/>
          <w:sz w:val="18"/>
          <w:szCs w:val="18"/>
        </w:rPr>
        <w:t>.</w:t>
      </w:r>
      <w:r w:rsidRPr="006E791B">
        <w:rPr>
          <w:rFonts w:ascii="Lato" w:hAnsi="Lato"/>
          <w:b w:val="0"/>
          <w:bCs w:val="0"/>
          <w:sz w:val="18"/>
          <w:szCs w:val="18"/>
        </w:rPr>
        <w:t xml:space="preserve"> </w:t>
      </w:r>
      <w:r>
        <w:rPr>
          <w:rFonts w:ascii="Lato" w:hAnsi="Lato"/>
          <w:b w:val="0"/>
          <w:bCs w:val="0"/>
          <w:sz w:val="18"/>
          <w:szCs w:val="18"/>
        </w:rPr>
        <w:t>Z</w:t>
      </w:r>
      <w:r w:rsidRPr="006E791B">
        <w:rPr>
          <w:rFonts w:ascii="Lato" w:hAnsi="Lato"/>
          <w:b w:val="0"/>
          <w:bCs w:val="0"/>
          <w:sz w:val="18"/>
          <w:szCs w:val="18"/>
        </w:rPr>
        <w:t>dj</w:t>
      </w:r>
      <w:r>
        <w:rPr>
          <w:rFonts w:ascii="Lato" w:hAnsi="Lato"/>
          <w:b w:val="0"/>
          <w:bCs w:val="0"/>
          <w:sz w:val="18"/>
          <w:szCs w:val="18"/>
        </w:rPr>
        <w:t>ę</w:t>
      </w:r>
      <w:r w:rsidRPr="006E791B">
        <w:rPr>
          <w:rFonts w:ascii="Lato" w:hAnsi="Lato"/>
          <w:b w:val="0"/>
          <w:bCs w:val="0"/>
          <w:sz w:val="18"/>
          <w:szCs w:val="18"/>
        </w:rPr>
        <w:t>cie warsztatowe- Projekt Społecznik.</w:t>
      </w:r>
      <w:bookmarkEnd w:id="231"/>
    </w:p>
    <w:p w14:paraId="27B25332" w14:textId="77777777" w:rsidR="006E791B" w:rsidRPr="006E791B" w:rsidRDefault="006E791B" w:rsidP="006E791B">
      <w:pPr>
        <w:rPr>
          <w:rFonts w:eastAsia="Calibri"/>
        </w:rPr>
      </w:pPr>
    </w:p>
    <w:p w14:paraId="0201CA50" w14:textId="1F451841" w:rsidR="000B759F" w:rsidRDefault="000B759F">
      <w:pPr>
        <w:pStyle w:val="Akapitzlist"/>
        <w:numPr>
          <w:ilvl w:val="0"/>
          <w:numId w:val="18"/>
        </w:numPr>
        <w:spacing w:line="360" w:lineRule="auto"/>
        <w:ind w:left="568" w:right="284" w:hanging="284"/>
        <w:rPr>
          <w:rFonts w:ascii="Lato" w:eastAsia="Calibri" w:hAnsi="Lato" w:cs="Calibri"/>
          <w:b/>
          <w:bCs/>
        </w:rPr>
      </w:pPr>
      <w:bookmarkStart w:id="232" w:name="_Toc225859114"/>
      <w:r w:rsidRPr="001D3C3C">
        <w:rPr>
          <w:rStyle w:val="Nagwek2Znak"/>
          <w:b/>
          <w:bCs/>
        </w:rPr>
        <w:t>Profilaktyka uzależnień</w:t>
      </w:r>
      <w:bookmarkEnd w:id="232"/>
      <w:r w:rsidRPr="001D3C3C">
        <w:rPr>
          <w:rFonts w:ascii="Lato" w:eastAsia="Calibri" w:hAnsi="Lato" w:cs="Calibri"/>
          <w:b/>
          <w:bCs/>
        </w:rPr>
        <w:t xml:space="preserve"> </w:t>
      </w:r>
    </w:p>
    <w:p w14:paraId="4F4D1DB2" w14:textId="77777777" w:rsidR="00F535EC" w:rsidRPr="001D3C3C" w:rsidRDefault="00F535EC" w:rsidP="00F535EC">
      <w:pPr>
        <w:pStyle w:val="Akapitzlist"/>
        <w:spacing w:line="360" w:lineRule="auto"/>
        <w:ind w:left="568" w:right="284"/>
        <w:rPr>
          <w:rFonts w:ascii="Lato" w:eastAsia="Calibri" w:hAnsi="Lato" w:cs="Calibri"/>
          <w:b/>
          <w:bCs/>
        </w:rPr>
      </w:pPr>
    </w:p>
    <w:p w14:paraId="19BB0880" w14:textId="34E3F165" w:rsidR="000B759F" w:rsidRDefault="000B759F">
      <w:pPr>
        <w:pStyle w:val="Nagwek3"/>
        <w:numPr>
          <w:ilvl w:val="1"/>
          <w:numId w:val="18"/>
        </w:numPr>
        <w:spacing w:before="0" w:after="0" w:line="360" w:lineRule="auto"/>
        <w:ind w:left="568" w:right="284" w:hanging="284"/>
        <w:rPr>
          <w:rFonts w:eastAsia="Lato"/>
          <w:color w:val="auto"/>
          <w:szCs w:val="22"/>
        </w:rPr>
      </w:pPr>
      <w:bookmarkStart w:id="233" w:name="_Toc225859115"/>
      <w:r w:rsidRPr="00D0507A">
        <w:rPr>
          <w:rFonts w:eastAsia="Lato"/>
          <w:color w:val="auto"/>
          <w:szCs w:val="22"/>
        </w:rPr>
        <w:t>Wojewódzki program profilaktyki używania substancji psychoaktywnych, w tym nowych narkotyków „Porozmawiajmy o zdrowiu i nowych zagrożeniach”</w:t>
      </w:r>
      <w:bookmarkEnd w:id="233"/>
    </w:p>
    <w:p w14:paraId="454CAB01" w14:textId="77777777" w:rsidR="00F535EC" w:rsidRPr="00F535EC" w:rsidRDefault="00F535EC" w:rsidP="00F535EC">
      <w:pPr>
        <w:rPr>
          <w:rFonts w:eastAsia="Lato"/>
        </w:rPr>
      </w:pPr>
    </w:p>
    <w:p w14:paraId="3741DB23" w14:textId="6A0E527E" w:rsidR="000B759F" w:rsidRPr="00431005" w:rsidRDefault="000B759F" w:rsidP="00750881">
      <w:pPr>
        <w:spacing w:line="360" w:lineRule="auto"/>
        <w:rPr>
          <w:rFonts w:ascii="Lato" w:eastAsia="Lato" w:hAnsi="Lato" w:cs="Lato"/>
          <w:b/>
          <w:bCs/>
          <w:sz w:val="22"/>
          <w:szCs w:val="22"/>
        </w:rPr>
      </w:pPr>
      <w:r w:rsidRPr="00431005">
        <w:rPr>
          <w:rFonts w:ascii="Lato" w:eastAsia="Lato" w:hAnsi="Lato" w:cs="Lato"/>
          <w:sz w:val="22"/>
          <w:szCs w:val="22"/>
        </w:rPr>
        <w:t>Cel główny</w:t>
      </w:r>
      <w:r w:rsidRPr="00431005">
        <w:rPr>
          <w:rFonts w:ascii="Lato" w:eastAsia="Lato" w:hAnsi="Lato" w:cs="Lato"/>
          <w:b/>
          <w:bCs/>
          <w:sz w:val="22"/>
          <w:szCs w:val="22"/>
        </w:rPr>
        <w:t xml:space="preserve">: </w:t>
      </w:r>
      <w:r w:rsidRPr="00431005">
        <w:rPr>
          <w:rFonts w:ascii="Lato" w:hAnsi="Lato"/>
          <w:sz w:val="22"/>
          <w:szCs w:val="22"/>
        </w:rPr>
        <w:t>zapobieganie używaniu substancji psychoaktywnych, w szczególności nowych narkotyków, e-papierosów a także alkoholu i leków w niewłaściwy sposób przez osoby młode.</w:t>
      </w:r>
      <w:r w:rsidRPr="00431005">
        <w:rPr>
          <w:rFonts w:ascii="Lato" w:eastAsia="Lato" w:hAnsi="Lato" w:cs="Lato"/>
          <w:b/>
          <w:bCs/>
          <w:noProof/>
          <w:sz w:val="22"/>
          <w:szCs w:val="22"/>
        </w:rPr>
        <w:t xml:space="preserve"> </w:t>
      </w:r>
    </w:p>
    <w:p w14:paraId="7480A6E0" w14:textId="2A1E3C82" w:rsidR="000B759F" w:rsidRPr="00431005" w:rsidRDefault="000B759F" w:rsidP="00750881">
      <w:pPr>
        <w:spacing w:line="360" w:lineRule="auto"/>
        <w:rPr>
          <w:rFonts w:ascii="Lato" w:eastAsia="Lato" w:hAnsi="Lato" w:cs="Lato"/>
          <w:sz w:val="22"/>
          <w:szCs w:val="22"/>
        </w:rPr>
      </w:pPr>
      <w:r w:rsidRPr="00431005">
        <w:rPr>
          <w:rFonts w:ascii="Lato" w:eastAsia="Lato" w:hAnsi="Lato" w:cs="Lato"/>
          <w:sz w:val="22"/>
          <w:szCs w:val="22"/>
        </w:rPr>
        <w:t>Grupa docelowa: Uczniowie klas V-VII szkół podstawowych, nauczyciele, wychowawcy, pedagodzy szkolni.</w:t>
      </w:r>
    </w:p>
    <w:p w14:paraId="068EE56D" w14:textId="65041D51" w:rsidR="000B759F" w:rsidRPr="00431005" w:rsidRDefault="000B759F" w:rsidP="00750881">
      <w:pPr>
        <w:spacing w:line="360" w:lineRule="auto"/>
        <w:rPr>
          <w:rFonts w:ascii="Lato" w:eastAsia="Lato" w:hAnsi="Lato" w:cs="Lato"/>
          <w:sz w:val="22"/>
          <w:szCs w:val="22"/>
        </w:rPr>
      </w:pPr>
      <w:r w:rsidRPr="00431005">
        <w:rPr>
          <w:rFonts w:ascii="Lato" w:eastAsia="Lato" w:hAnsi="Lato" w:cs="Lato"/>
          <w:sz w:val="22"/>
          <w:szCs w:val="22"/>
        </w:rPr>
        <w:t>Liczba odbiorców: 23 847 osób</w:t>
      </w:r>
      <w:r w:rsidR="002F0F3E">
        <w:rPr>
          <w:rFonts w:ascii="Lato" w:eastAsia="Lato" w:hAnsi="Lato" w:cs="Lato"/>
          <w:sz w:val="22"/>
          <w:szCs w:val="22"/>
        </w:rPr>
        <w:t>.</w:t>
      </w:r>
    </w:p>
    <w:p w14:paraId="3304386D" w14:textId="77777777" w:rsidR="000B759F" w:rsidRPr="00431005" w:rsidRDefault="000B759F" w:rsidP="00750881">
      <w:pPr>
        <w:spacing w:line="360" w:lineRule="auto"/>
        <w:rPr>
          <w:rFonts w:ascii="Lato" w:eastAsia="Lato" w:hAnsi="Lato" w:cs="Lato"/>
          <w:sz w:val="22"/>
          <w:szCs w:val="22"/>
        </w:rPr>
      </w:pPr>
      <w:r w:rsidRPr="00431005">
        <w:rPr>
          <w:rFonts w:ascii="Lato" w:eastAsia="Lato" w:hAnsi="Lato" w:cs="Lato"/>
          <w:sz w:val="22"/>
          <w:szCs w:val="22"/>
        </w:rPr>
        <w:t xml:space="preserve">Główne działania:  W roku szkolnym 2024/2025 do programu przystąpiło 289 szkół z 469 szkół podstawowych . </w:t>
      </w:r>
      <w:r w:rsidRPr="00431005">
        <w:rPr>
          <w:rFonts w:ascii="Lato" w:hAnsi="Lato"/>
          <w:sz w:val="22"/>
          <w:szCs w:val="22"/>
        </w:rPr>
        <w:t xml:space="preserve">Oprócz uczniów klas 5-7 szkół podstawowych, działaniami profilaktycznymi zostali objęci również rodzice uczniów. </w:t>
      </w:r>
    </w:p>
    <w:p w14:paraId="43F57F6B" w14:textId="3DFCFEF8" w:rsidR="000B759F" w:rsidRPr="00431005" w:rsidRDefault="000B759F" w:rsidP="00750881">
      <w:pPr>
        <w:spacing w:line="360" w:lineRule="auto"/>
        <w:rPr>
          <w:rFonts w:ascii="Lato" w:eastAsia="Lato" w:hAnsi="Lato" w:cs="Lato"/>
          <w:sz w:val="22"/>
          <w:szCs w:val="22"/>
        </w:rPr>
      </w:pPr>
      <w:r w:rsidRPr="00431005">
        <w:rPr>
          <w:rFonts w:ascii="Lato" w:eastAsia="Lato" w:hAnsi="Lato" w:cs="Lato"/>
          <w:sz w:val="22"/>
          <w:szCs w:val="22"/>
        </w:rPr>
        <w:t>W ramach realizacji programu kontynuowano współpracę z policją zachodniopomorską zarówno na szczeblu wojewódzkim jak i powiatowym. Podczas spotkań poruszano temat profilaktyki używania substancji psychoaktywnych, w tym nowych narkotyków i przekazywano wiedzę jak zapobiegać używaniu tych substancji przez osoby młode. W roku 2025 zorganizowano II edycję wojewódzkiego konkursu na plakat pod hasłem: „Artystycznie o</w:t>
      </w:r>
      <w:r w:rsidR="00AC1CB1">
        <w:rPr>
          <w:rFonts w:ascii="Lato" w:eastAsia="Lato" w:hAnsi="Lato" w:cs="Lato"/>
          <w:sz w:val="22"/>
          <w:szCs w:val="22"/>
        </w:rPr>
        <w:t> </w:t>
      </w:r>
      <w:r w:rsidRPr="00431005">
        <w:rPr>
          <w:rFonts w:ascii="Lato" w:eastAsia="Lato" w:hAnsi="Lato" w:cs="Lato"/>
          <w:sz w:val="22"/>
          <w:szCs w:val="22"/>
        </w:rPr>
        <w:t>uzależnieniach” skierowanego do uczniów klas 5, 6, 7 szkół podstawowych, Młodzieżowych Ośrodków Socjoterapii, Młodzieżowych Ośrodków Szkolno-Wychowawczych biorących udział w programie. Celem głównym konkursu było przeciwdziałanie używaniu substancji psychoaktywnych wśród uczniów starszych klas szkół podstawowych poprzez popularyzację treści profilaktycznych w tym zakresie z wykorzystaniem artystycznych form wyrazu</w:t>
      </w:r>
      <w:r w:rsidR="00C60215">
        <w:rPr>
          <w:rFonts w:ascii="Lato" w:eastAsia="Lato" w:hAnsi="Lato" w:cs="Lato"/>
          <w:sz w:val="22"/>
          <w:szCs w:val="22"/>
        </w:rPr>
        <w:t>,</w:t>
      </w:r>
      <w:r w:rsidRPr="00431005">
        <w:rPr>
          <w:rFonts w:ascii="Lato" w:eastAsia="Lato" w:hAnsi="Lato" w:cs="Lato"/>
          <w:sz w:val="22"/>
          <w:szCs w:val="22"/>
        </w:rPr>
        <w:t xml:space="preserve"> tj. malowania, rysowania, grafiki 3D.</w:t>
      </w:r>
    </w:p>
    <w:p w14:paraId="3C261333" w14:textId="77777777" w:rsidR="000B759F" w:rsidRDefault="000B759F" w:rsidP="00750881">
      <w:pPr>
        <w:spacing w:line="360" w:lineRule="auto"/>
        <w:rPr>
          <w:rFonts w:ascii="Lato" w:eastAsia="Lato" w:hAnsi="Lato" w:cs="Lato"/>
        </w:rPr>
      </w:pPr>
    </w:p>
    <w:p w14:paraId="1BBB5183" w14:textId="77777777" w:rsidR="000B759F" w:rsidRPr="001402BF" w:rsidRDefault="000B759F" w:rsidP="000B759F">
      <w:pPr>
        <w:spacing w:line="276" w:lineRule="auto"/>
        <w:rPr>
          <w:rFonts w:ascii="Lato" w:eastAsia="Lato" w:hAnsi="Lato" w:cs="Lato"/>
        </w:rPr>
      </w:pPr>
      <w:r>
        <w:rPr>
          <w:rFonts w:ascii="Lato" w:eastAsia="Lato" w:hAnsi="Lato" w:cs="Lato"/>
          <w:b/>
          <w:bCs/>
          <w:noProof/>
        </w:rPr>
        <w:lastRenderedPageBreak/>
        <w:drawing>
          <wp:inline distT="0" distB="0" distL="0" distR="0" wp14:anchorId="61FB7737" wp14:editId="658340D3">
            <wp:extent cx="1758315" cy="2238375"/>
            <wp:effectExtent l="0" t="0" r="0" b="9525"/>
            <wp:docPr id="1908571907" name="Obraz 4" descr="&#10;Zdjęcie 2. II edycja konkursu „Artystycznie o uzależnieniach&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71907" name="Obraz 4" descr="&#10;Zdjęcie 2. II edycja konkursu „Artystycznie o uzależnieniach&quot;.&#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6948" cy="2274825"/>
                    </a:xfrm>
                    <a:prstGeom prst="rect">
                      <a:avLst/>
                    </a:prstGeom>
                    <a:noFill/>
                  </pic:spPr>
                </pic:pic>
              </a:graphicData>
            </a:graphic>
          </wp:inline>
        </w:drawing>
      </w:r>
      <w:r>
        <w:rPr>
          <w:rFonts w:ascii="Lato" w:eastAsia="Lato" w:hAnsi="Lato" w:cs="Lato"/>
        </w:rPr>
        <w:t xml:space="preserve">                                        </w:t>
      </w:r>
      <w:r>
        <w:rPr>
          <w:rFonts w:ascii="Lato" w:eastAsia="Lato" w:hAnsi="Lato" w:cs="Lato"/>
          <w:b/>
          <w:bCs/>
          <w:noProof/>
        </w:rPr>
        <w:drawing>
          <wp:inline distT="0" distB="0" distL="0" distR="0" wp14:anchorId="73A1BBE7" wp14:editId="38DF707F">
            <wp:extent cx="1837664" cy="2200275"/>
            <wp:effectExtent l="0" t="0" r="0" b="0"/>
            <wp:docPr id="2070255257" name="Obraz 5" descr="&#10;Zdjęcie 2. II edycja konkursu „Artystycznie o uzależnieniach&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55257" name="Obraz 5" descr="&#10;Zdjęcie 2. II edycja konkursu „Artystycznie o uzależnieniach&quot;.&#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0509" cy="2251574"/>
                    </a:xfrm>
                    <a:prstGeom prst="rect">
                      <a:avLst/>
                    </a:prstGeom>
                    <a:noFill/>
                  </pic:spPr>
                </pic:pic>
              </a:graphicData>
            </a:graphic>
          </wp:inline>
        </w:drawing>
      </w:r>
    </w:p>
    <w:p w14:paraId="7C32DB17" w14:textId="77777777" w:rsidR="000B759F" w:rsidRDefault="000B759F" w:rsidP="000B759F">
      <w:pPr>
        <w:spacing w:line="276" w:lineRule="auto"/>
        <w:rPr>
          <w:rFonts w:ascii="Lato" w:eastAsia="Lato" w:hAnsi="Lato" w:cs="Lato"/>
          <w:b/>
          <w:bCs/>
        </w:rPr>
      </w:pPr>
    </w:p>
    <w:p w14:paraId="7CECB117" w14:textId="4268B40B" w:rsidR="00BC4EFB" w:rsidRDefault="00BC4EFB" w:rsidP="00BC4EFB">
      <w:pPr>
        <w:pStyle w:val="Legenda"/>
        <w:rPr>
          <w:rFonts w:ascii="Lato" w:hAnsi="Lato"/>
          <w:b w:val="0"/>
          <w:bCs w:val="0"/>
          <w:sz w:val="18"/>
          <w:szCs w:val="18"/>
        </w:rPr>
      </w:pPr>
      <w:bookmarkStart w:id="234" w:name="_Toc225859329"/>
      <w:r w:rsidRPr="00BC4EFB">
        <w:rPr>
          <w:rFonts w:ascii="Lato" w:hAnsi="Lato"/>
          <w:b w:val="0"/>
          <w:bCs w:val="0"/>
          <w:sz w:val="18"/>
          <w:szCs w:val="18"/>
        </w:rPr>
        <w:t xml:space="preserve">Zdjęcie </w:t>
      </w:r>
      <w:r w:rsidRPr="00BC4EFB">
        <w:rPr>
          <w:rFonts w:ascii="Lato" w:hAnsi="Lato"/>
          <w:b w:val="0"/>
          <w:bCs w:val="0"/>
          <w:sz w:val="18"/>
          <w:szCs w:val="18"/>
        </w:rPr>
        <w:fldChar w:fldCharType="begin"/>
      </w:r>
      <w:r w:rsidRPr="00BC4EFB">
        <w:rPr>
          <w:rFonts w:ascii="Lato" w:hAnsi="Lato"/>
          <w:b w:val="0"/>
          <w:bCs w:val="0"/>
          <w:sz w:val="18"/>
          <w:szCs w:val="18"/>
        </w:rPr>
        <w:instrText xml:space="preserve"> SEQ zdjęcie \* ARABIC </w:instrText>
      </w:r>
      <w:r w:rsidRPr="00BC4EFB">
        <w:rPr>
          <w:rFonts w:ascii="Lato" w:hAnsi="Lato"/>
          <w:b w:val="0"/>
          <w:bCs w:val="0"/>
          <w:sz w:val="18"/>
          <w:szCs w:val="18"/>
        </w:rPr>
        <w:fldChar w:fldCharType="separate"/>
      </w:r>
      <w:r w:rsidR="002A3179">
        <w:rPr>
          <w:rFonts w:ascii="Lato" w:hAnsi="Lato"/>
          <w:b w:val="0"/>
          <w:bCs w:val="0"/>
          <w:noProof/>
          <w:sz w:val="18"/>
          <w:szCs w:val="18"/>
        </w:rPr>
        <w:t>2</w:t>
      </w:r>
      <w:r w:rsidRPr="00BC4EFB">
        <w:rPr>
          <w:rFonts w:ascii="Lato" w:hAnsi="Lato"/>
          <w:b w:val="0"/>
          <w:bCs w:val="0"/>
          <w:sz w:val="18"/>
          <w:szCs w:val="18"/>
        </w:rPr>
        <w:fldChar w:fldCharType="end"/>
      </w:r>
      <w:r w:rsidRPr="00BC4EFB">
        <w:rPr>
          <w:rFonts w:ascii="Lato" w:hAnsi="Lato"/>
          <w:b w:val="0"/>
          <w:bCs w:val="0"/>
          <w:sz w:val="18"/>
          <w:szCs w:val="18"/>
        </w:rPr>
        <w:t xml:space="preserve">. II edycja konkursu </w:t>
      </w:r>
      <w:r>
        <w:rPr>
          <w:rFonts w:ascii="Lato" w:hAnsi="Lato"/>
          <w:b w:val="0"/>
          <w:bCs w:val="0"/>
          <w:sz w:val="18"/>
          <w:szCs w:val="18"/>
        </w:rPr>
        <w:t>„</w:t>
      </w:r>
      <w:r w:rsidRPr="00BC4EFB">
        <w:rPr>
          <w:rFonts w:ascii="Lato" w:hAnsi="Lato"/>
          <w:b w:val="0"/>
          <w:bCs w:val="0"/>
          <w:sz w:val="18"/>
          <w:szCs w:val="18"/>
        </w:rPr>
        <w:t>Artystycznie o uzależnieniach".</w:t>
      </w:r>
      <w:bookmarkEnd w:id="234"/>
    </w:p>
    <w:p w14:paraId="4AE2FEAF" w14:textId="77777777" w:rsidR="00BC4EFB" w:rsidRPr="00BC4EFB" w:rsidRDefault="00BC4EFB" w:rsidP="00BC4EFB">
      <w:pPr>
        <w:rPr>
          <w:rFonts w:eastAsia="Lato"/>
        </w:rPr>
      </w:pPr>
    </w:p>
    <w:p w14:paraId="460BECA7" w14:textId="2DB10975" w:rsidR="000B759F" w:rsidRPr="00D0507A" w:rsidRDefault="000B759F">
      <w:pPr>
        <w:pStyle w:val="Akapitzlist"/>
        <w:numPr>
          <w:ilvl w:val="1"/>
          <w:numId w:val="18"/>
        </w:numPr>
        <w:spacing w:line="360" w:lineRule="auto"/>
        <w:ind w:left="568" w:right="284" w:hanging="284"/>
        <w:rPr>
          <w:rStyle w:val="Nagwek3Znak"/>
          <w:color w:val="auto"/>
          <w:szCs w:val="22"/>
        </w:rPr>
      </w:pPr>
      <w:bookmarkStart w:id="235" w:name="_Toc225859116"/>
      <w:r w:rsidRPr="00D0507A">
        <w:rPr>
          <w:rStyle w:val="Nagwek3Znak"/>
          <w:color w:val="auto"/>
          <w:szCs w:val="22"/>
        </w:rPr>
        <w:t>Profilaktyka używania substancji psychoaktywnych, w tym nowych narkotyków</w:t>
      </w:r>
      <w:bookmarkEnd w:id="235"/>
    </w:p>
    <w:p w14:paraId="5282A0B4" w14:textId="69E5A150" w:rsidR="000B759F" w:rsidRPr="00431005" w:rsidRDefault="000B759F" w:rsidP="00750881">
      <w:pPr>
        <w:spacing w:line="360" w:lineRule="auto"/>
        <w:rPr>
          <w:rFonts w:ascii="Lato" w:eastAsia="Calibri" w:hAnsi="Lato" w:cs="Calibri"/>
          <w:b/>
          <w:bCs/>
          <w:sz w:val="22"/>
          <w:szCs w:val="22"/>
        </w:rPr>
      </w:pPr>
      <w:r w:rsidRPr="00431005">
        <w:rPr>
          <w:rFonts w:ascii="Lato" w:eastAsia="Lato" w:hAnsi="Lato" w:cs="Lato"/>
          <w:sz w:val="22"/>
          <w:szCs w:val="22"/>
        </w:rPr>
        <w:t>Cel główny</w:t>
      </w:r>
      <w:r w:rsidRPr="00431005">
        <w:rPr>
          <w:rFonts w:ascii="Lato" w:eastAsia="Lato" w:hAnsi="Lato" w:cs="Lato"/>
          <w:b/>
          <w:bCs/>
          <w:sz w:val="22"/>
          <w:szCs w:val="22"/>
        </w:rPr>
        <w:t xml:space="preserve">: </w:t>
      </w:r>
      <w:r w:rsidRPr="00431005">
        <w:rPr>
          <w:rFonts w:ascii="Lato" w:hAnsi="Lato"/>
          <w:sz w:val="22"/>
          <w:szCs w:val="22"/>
        </w:rPr>
        <w:t>zapobieganie używaniu substancji psychoaktywnych, w szczególności nowych narkotyków</w:t>
      </w:r>
      <w:r w:rsidR="002F0F3E">
        <w:rPr>
          <w:rFonts w:ascii="Lato" w:hAnsi="Lato"/>
          <w:sz w:val="22"/>
          <w:szCs w:val="22"/>
        </w:rPr>
        <w:t>.</w:t>
      </w:r>
    </w:p>
    <w:p w14:paraId="785BF1A7" w14:textId="110BFC80" w:rsidR="000B759F" w:rsidRPr="00431005" w:rsidRDefault="000B759F" w:rsidP="00750881">
      <w:pPr>
        <w:spacing w:line="360" w:lineRule="auto"/>
        <w:rPr>
          <w:rFonts w:ascii="Lato" w:eastAsia="Calibri" w:hAnsi="Lato" w:cs="Calibri"/>
          <w:sz w:val="22"/>
          <w:szCs w:val="22"/>
        </w:rPr>
      </w:pPr>
      <w:r w:rsidRPr="00431005">
        <w:rPr>
          <w:rFonts w:ascii="Lato" w:eastAsia="Calibri" w:hAnsi="Lato" w:cs="Calibri"/>
          <w:sz w:val="22"/>
          <w:szCs w:val="22"/>
        </w:rPr>
        <w:t>Grupa docelowa: młodzież, osoby dorosłe, ogół społeczeństwa</w:t>
      </w:r>
      <w:r w:rsidR="002F0F3E">
        <w:rPr>
          <w:rFonts w:ascii="Lato" w:eastAsia="Calibri" w:hAnsi="Lato" w:cs="Calibri"/>
          <w:sz w:val="22"/>
          <w:szCs w:val="22"/>
        </w:rPr>
        <w:t>.</w:t>
      </w:r>
    </w:p>
    <w:p w14:paraId="7A5292D1" w14:textId="7031C689" w:rsidR="000B759F" w:rsidRPr="00431005" w:rsidRDefault="000B759F" w:rsidP="00750881">
      <w:pPr>
        <w:spacing w:line="360" w:lineRule="auto"/>
        <w:rPr>
          <w:rFonts w:ascii="Lato" w:eastAsia="Calibri" w:hAnsi="Lato" w:cs="Calibri"/>
          <w:sz w:val="22"/>
          <w:szCs w:val="22"/>
        </w:rPr>
      </w:pPr>
      <w:r w:rsidRPr="00431005">
        <w:rPr>
          <w:rFonts w:ascii="Lato" w:eastAsia="Calibri" w:hAnsi="Lato" w:cs="Calibri"/>
          <w:sz w:val="22"/>
          <w:szCs w:val="22"/>
        </w:rPr>
        <w:t>Liczba odbiorców:  10439</w:t>
      </w:r>
      <w:r w:rsidR="002F0F3E">
        <w:rPr>
          <w:rFonts w:ascii="Lato" w:eastAsia="Calibri" w:hAnsi="Lato" w:cs="Calibri"/>
          <w:sz w:val="22"/>
          <w:szCs w:val="22"/>
        </w:rPr>
        <w:t xml:space="preserve"> </w:t>
      </w:r>
      <w:r w:rsidRPr="00431005">
        <w:rPr>
          <w:rFonts w:ascii="Lato" w:eastAsia="Calibri" w:hAnsi="Lato" w:cs="Calibri"/>
          <w:sz w:val="22"/>
          <w:szCs w:val="22"/>
        </w:rPr>
        <w:t>osób</w:t>
      </w:r>
      <w:r w:rsidR="002F0F3E">
        <w:rPr>
          <w:rFonts w:ascii="Lato" w:eastAsia="Calibri" w:hAnsi="Lato" w:cs="Calibri"/>
          <w:sz w:val="22"/>
          <w:szCs w:val="22"/>
        </w:rPr>
        <w:t>.</w:t>
      </w:r>
    </w:p>
    <w:p w14:paraId="7E605F70" w14:textId="409A566D" w:rsidR="000B759F" w:rsidRPr="00431005" w:rsidRDefault="000B759F" w:rsidP="00750881">
      <w:pPr>
        <w:spacing w:line="360" w:lineRule="auto"/>
        <w:rPr>
          <w:rFonts w:ascii="Lato" w:eastAsia="Calibri" w:hAnsi="Lato" w:cs="Calibri"/>
          <w:sz w:val="22"/>
          <w:szCs w:val="22"/>
        </w:rPr>
      </w:pPr>
      <w:r w:rsidRPr="00431005">
        <w:rPr>
          <w:rFonts w:ascii="Lato" w:eastAsia="Calibri" w:hAnsi="Lato" w:cs="Calibri"/>
          <w:sz w:val="22"/>
          <w:szCs w:val="22"/>
        </w:rPr>
        <w:t>Główne działania: W ramach realizacji interwencji prowadzone były głównie zajęcia edukacyjne dla młodzieży pow. 15 r.ż. oraz osób dorosłych. Podczas stoisk edukacyjnych prowadzono warsztaty z</w:t>
      </w:r>
      <w:r w:rsidR="00AC1CB1">
        <w:rPr>
          <w:rFonts w:ascii="Lato" w:eastAsia="Calibri" w:hAnsi="Lato" w:cs="Calibri"/>
          <w:sz w:val="22"/>
          <w:szCs w:val="22"/>
        </w:rPr>
        <w:t> </w:t>
      </w:r>
      <w:proofErr w:type="spellStart"/>
      <w:r w:rsidRPr="00431005">
        <w:rPr>
          <w:rFonts w:ascii="Lato" w:eastAsia="Calibri" w:hAnsi="Lato" w:cs="Calibri"/>
          <w:sz w:val="22"/>
          <w:szCs w:val="22"/>
        </w:rPr>
        <w:t>narkogoglami</w:t>
      </w:r>
      <w:proofErr w:type="spellEnd"/>
      <w:r w:rsidRPr="00431005">
        <w:rPr>
          <w:rFonts w:ascii="Lato" w:eastAsia="Calibri" w:hAnsi="Lato" w:cs="Calibri"/>
          <w:sz w:val="22"/>
          <w:szCs w:val="22"/>
        </w:rPr>
        <w:t xml:space="preserve"> i alkogoglami, symulującymi wpływ substancji psychoaktywnych  na narząd wzroku i zmysł równowagi.</w:t>
      </w:r>
    </w:p>
    <w:p w14:paraId="523A3DE1" w14:textId="77777777" w:rsidR="000B759F" w:rsidRPr="00431005" w:rsidRDefault="000B759F" w:rsidP="000B759F">
      <w:pPr>
        <w:spacing w:line="276" w:lineRule="auto"/>
        <w:rPr>
          <w:rFonts w:ascii="Lato" w:eastAsia="Calibri" w:hAnsi="Lato" w:cs="Calibri"/>
          <w:color w:val="EE0000"/>
          <w:sz w:val="22"/>
          <w:szCs w:val="22"/>
        </w:rPr>
      </w:pPr>
    </w:p>
    <w:p w14:paraId="5579D224" w14:textId="76ADB2A7" w:rsidR="00747C41" w:rsidRPr="00F535EC" w:rsidRDefault="000B759F">
      <w:pPr>
        <w:pStyle w:val="Akapitzlist"/>
        <w:numPr>
          <w:ilvl w:val="0"/>
          <w:numId w:val="18"/>
        </w:numPr>
        <w:spacing w:line="360" w:lineRule="auto"/>
        <w:ind w:left="568" w:right="284" w:hanging="284"/>
        <w:rPr>
          <w:rStyle w:val="Nagwek2Znak"/>
          <w:rFonts w:eastAsia="Calibri" w:cs="Calibri"/>
          <w:b/>
          <w:bCs/>
          <w:szCs w:val="24"/>
        </w:rPr>
      </w:pPr>
      <w:bookmarkStart w:id="236" w:name="_Toc225859117"/>
      <w:r w:rsidRPr="001D3C3C">
        <w:rPr>
          <w:rStyle w:val="Nagwek2Znak"/>
          <w:b/>
          <w:bCs/>
        </w:rPr>
        <w:t>Profilaktyka zdrowia psychicznego</w:t>
      </w:r>
      <w:bookmarkEnd w:id="236"/>
    </w:p>
    <w:p w14:paraId="216E701C" w14:textId="77777777" w:rsidR="00F535EC" w:rsidRPr="00747C41" w:rsidRDefault="00F535EC" w:rsidP="00F535EC">
      <w:pPr>
        <w:pStyle w:val="Akapitzlist"/>
        <w:spacing w:line="360" w:lineRule="auto"/>
        <w:ind w:left="568" w:right="284"/>
        <w:rPr>
          <w:rFonts w:ascii="Lato" w:eastAsia="Calibri" w:hAnsi="Lato" w:cs="Calibri"/>
          <w:b/>
          <w:bCs/>
        </w:rPr>
      </w:pPr>
    </w:p>
    <w:p w14:paraId="4348D528" w14:textId="5CE71627" w:rsidR="00AC1CB1" w:rsidRPr="00AC1CB1" w:rsidRDefault="000B759F">
      <w:pPr>
        <w:pStyle w:val="Akapitzlist"/>
        <w:numPr>
          <w:ilvl w:val="1"/>
          <w:numId w:val="18"/>
        </w:numPr>
        <w:spacing w:line="360" w:lineRule="auto"/>
        <w:ind w:left="568" w:right="284" w:hanging="284"/>
        <w:rPr>
          <w:rStyle w:val="Nagwek3Znak"/>
          <w:rFonts w:eastAsia="Calibri" w:cs="Calibri"/>
          <w:b/>
          <w:bCs/>
          <w:color w:val="auto"/>
          <w:sz w:val="24"/>
          <w:szCs w:val="24"/>
        </w:rPr>
      </w:pPr>
      <w:bookmarkStart w:id="237" w:name="_Toc225859118"/>
      <w:r w:rsidRPr="00D0507A">
        <w:rPr>
          <w:rStyle w:val="Nagwek3Znak"/>
          <w:color w:val="auto"/>
          <w:szCs w:val="22"/>
        </w:rPr>
        <w:t>Powiatowy Program Zwalczania Depresji prowadzony przez PPIS w Łobzie na</w:t>
      </w:r>
      <w:r w:rsidR="00AC1CB1">
        <w:rPr>
          <w:rStyle w:val="Nagwek3Znak"/>
          <w:color w:val="auto"/>
          <w:szCs w:val="22"/>
        </w:rPr>
        <w:t> </w:t>
      </w:r>
      <w:r w:rsidRPr="00D0507A">
        <w:rPr>
          <w:rStyle w:val="Nagwek3Znak"/>
          <w:color w:val="auto"/>
          <w:szCs w:val="22"/>
        </w:rPr>
        <w:t>terenie powiatu łobeskiego.</w:t>
      </w:r>
      <w:bookmarkEnd w:id="237"/>
    </w:p>
    <w:p w14:paraId="2DCCB015" w14:textId="77777777" w:rsidR="00AC1CB1" w:rsidRPr="00AC1CB1" w:rsidRDefault="00AC1CB1" w:rsidP="00AC1CB1">
      <w:pPr>
        <w:spacing w:line="360" w:lineRule="auto"/>
        <w:ind w:right="284"/>
        <w:rPr>
          <w:rFonts w:ascii="Lato" w:eastAsia="Calibri" w:hAnsi="Lato" w:cs="Calibri"/>
          <w:b/>
          <w:bCs/>
        </w:rPr>
      </w:pPr>
    </w:p>
    <w:p w14:paraId="50C84123" w14:textId="77777777" w:rsidR="000B759F" w:rsidRPr="00431005" w:rsidRDefault="000B759F" w:rsidP="00750881">
      <w:pPr>
        <w:spacing w:line="360" w:lineRule="auto"/>
        <w:rPr>
          <w:rFonts w:ascii="Lato" w:eastAsia="Calibri" w:hAnsi="Lato" w:cs="Calibri"/>
          <w:sz w:val="22"/>
          <w:szCs w:val="22"/>
        </w:rPr>
      </w:pPr>
      <w:r w:rsidRPr="00431005">
        <w:rPr>
          <w:rFonts w:ascii="Lato" w:eastAsia="Calibri" w:hAnsi="Lato" w:cs="Calibri"/>
          <w:sz w:val="22"/>
          <w:szCs w:val="22"/>
        </w:rPr>
        <w:t>Cel główny: zwiększenie świadomości młodzieży oraz osób dorosłych na temat coraz częściej występującego problemu jakim są zaburzenia depresyjne.</w:t>
      </w:r>
    </w:p>
    <w:p w14:paraId="2D77ADEA" w14:textId="77777777" w:rsidR="000B759F" w:rsidRPr="00431005" w:rsidRDefault="000B759F" w:rsidP="00750881">
      <w:pPr>
        <w:spacing w:line="360" w:lineRule="auto"/>
        <w:rPr>
          <w:rFonts w:ascii="Lato" w:eastAsia="Calibri" w:hAnsi="Lato" w:cs="Calibri"/>
          <w:sz w:val="22"/>
          <w:szCs w:val="22"/>
        </w:rPr>
      </w:pPr>
      <w:r w:rsidRPr="00431005">
        <w:rPr>
          <w:rFonts w:ascii="Lato" w:eastAsia="Calibri" w:hAnsi="Lato" w:cs="Calibri"/>
          <w:sz w:val="22"/>
          <w:szCs w:val="22"/>
        </w:rPr>
        <w:t>Grupa docelowa: uczniowie klas VIII szkół podstawowych, uczniowie  wybranych klas ze szkół ponadpodstawowych, rodzice, opiekunowie uczniów</w:t>
      </w:r>
    </w:p>
    <w:p w14:paraId="6357A772" w14:textId="77777777" w:rsidR="000B759F" w:rsidRPr="00431005" w:rsidRDefault="000B759F" w:rsidP="00750881">
      <w:pPr>
        <w:spacing w:line="360" w:lineRule="auto"/>
        <w:rPr>
          <w:rFonts w:ascii="Lato" w:eastAsia="Calibri" w:hAnsi="Lato" w:cs="Calibri"/>
          <w:sz w:val="22"/>
          <w:szCs w:val="22"/>
        </w:rPr>
      </w:pPr>
      <w:r w:rsidRPr="00431005">
        <w:rPr>
          <w:rFonts w:ascii="Lato" w:eastAsia="Calibri" w:hAnsi="Lato" w:cs="Calibri"/>
          <w:sz w:val="22"/>
          <w:szCs w:val="22"/>
        </w:rPr>
        <w:t>Liczba odbiorców: 1028</w:t>
      </w:r>
    </w:p>
    <w:p w14:paraId="34BFBE85" w14:textId="77777777" w:rsidR="000B759F" w:rsidRPr="00431005" w:rsidRDefault="000B759F" w:rsidP="00750881">
      <w:pPr>
        <w:spacing w:line="360" w:lineRule="auto"/>
        <w:rPr>
          <w:rFonts w:ascii="Lato" w:eastAsia="Calibri" w:hAnsi="Lato" w:cs="Calibri"/>
          <w:sz w:val="22"/>
          <w:szCs w:val="22"/>
        </w:rPr>
      </w:pPr>
      <w:r w:rsidRPr="00431005">
        <w:rPr>
          <w:rFonts w:ascii="Lato" w:eastAsia="Calibri" w:hAnsi="Lato" w:cs="Calibri"/>
          <w:sz w:val="22"/>
          <w:szCs w:val="22"/>
        </w:rPr>
        <w:t xml:space="preserve">Główne działania:  szkolenie dla nauczycieli, prelekcje dla uczniów, prelekcje dla rodziców. </w:t>
      </w:r>
    </w:p>
    <w:p w14:paraId="0DC5D9FE" w14:textId="01C9DF8B" w:rsidR="000B759F" w:rsidRPr="00431005" w:rsidRDefault="000B759F" w:rsidP="00750881">
      <w:pPr>
        <w:spacing w:line="360" w:lineRule="auto"/>
        <w:rPr>
          <w:rFonts w:ascii="Lato" w:eastAsia="Calibri" w:hAnsi="Lato" w:cs="Calibri"/>
          <w:sz w:val="22"/>
          <w:szCs w:val="22"/>
        </w:rPr>
      </w:pPr>
      <w:r w:rsidRPr="00431005">
        <w:rPr>
          <w:rFonts w:ascii="Lato" w:eastAsia="Calibri" w:hAnsi="Lato" w:cs="Calibri"/>
          <w:sz w:val="22"/>
          <w:szCs w:val="22"/>
        </w:rPr>
        <w:t xml:space="preserve">W dniu 24.06.2025 r. we współpracy z Poradnią </w:t>
      </w:r>
      <w:proofErr w:type="spellStart"/>
      <w:r w:rsidRPr="00431005">
        <w:rPr>
          <w:rFonts w:ascii="Lato" w:eastAsia="Calibri" w:hAnsi="Lato" w:cs="Calibri"/>
          <w:sz w:val="22"/>
          <w:szCs w:val="22"/>
        </w:rPr>
        <w:t>Psychologiczno</w:t>
      </w:r>
      <w:proofErr w:type="spellEnd"/>
      <w:r w:rsidRPr="00431005">
        <w:rPr>
          <w:rFonts w:ascii="Lato" w:eastAsia="Calibri" w:hAnsi="Lato" w:cs="Calibri"/>
          <w:sz w:val="22"/>
          <w:szCs w:val="22"/>
        </w:rPr>
        <w:t xml:space="preserve"> – Pedagogiczną w Łobzie pod patronatem Starosty Łobeskiego zorganizowano finał ww. programu edukacyjnego, który miał miejsce w Łobeskim Domu Kultury. Podczas wydarzenia omówiono i</w:t>
      </w:r>
      <w:r w:rsidR="00AC1CB1">
        <w:rPr>
          <w:rFonts w:ascii="Lato" w:eastAsia="Calibri" w:hAnsi="Lato" w:cs="Calibri"/>
          <w:sz w:val="22"/>
          <w:szCs w:val="22"/>
        </w:rPr>
        <w:t> </w:t>
      </w:r>
      <w:r w:rsidRPr="00431005">
        <w:rPr>
          <w:rFonts w:ascii="Lato" w:eastAsia="Calibri" w:hAnsi="Lato" w:cs="Calibri"/>
          <w:sz w:val="22"/>
          <w:szCs w:val="22"/>
        </w:rPr>
        <w:t xml:space="preserve">zaprezentowano przebieg </w:t>
      </w:r>
      <w:r w:rsidRPr="00431005">
        <w:rPr>
          <w:rFonts w:ascii="Lato" w:eastAsia="Calibri" w:hAnsi="Lato" w:cs="Calibri"/>
          <w:sz w:val="22"/>
          <w:szCs w:val="22"/>
        </w:rPr>
        <w:lastRenderedPageBreak/>
        <w:t xml:space="preserve">programu w roku szkolnym 2024/2025, przeprowadzono wykład nt. emocji oraz przegląd teatralny na pantomimę w ramach konkursu pt. „Barwy emocji”. </w:t>
      </w:r>
      <w:bookmarkStart w:id="238" w:name="_tg1euag1i50j" w:colFirst="0" w:colLast="0"/>
      <w:bookmarkEnd w:id="238"/>
    </w:p>
    <w:p w14:paraId="7A48A901" w14:textId="77777777" w:rsidR="000B759F" w:rsidRPr="001402BF" w:rsidRDefault="000B759F" w:rsidP="00750881">
      <w:pPr>
        <w:spacing w:line="360" w:lineRule="auto"/>
        <w:rPr>
          <w:rFonts w:ascii="Lato" w:eastAsia="Calibri" w:hAnsi="Lato" w:cs="Calibri"/>
        </w:rPr>
      </w:pPr>
    </w:p>
    <w:p w14:paraId="5088935C" w14:textId="77777777" w:rsidR="000B759F" w:rsidRPr="001402BF" w:rsidRDefault="000B759F" w:rsidP="00DB41AC">
      <w:pPr>
        <w:spacing w:line="276" w:lineRule="auto"/>
        <w:ind w:left="708"/>
        <w:jc w:val="center"/>
        <w:rPr>
          <w:rFonts w:ascii="Lato" w:eastAsia="Calibri" w:hAnsi="Lato" w:cs="Calibri"/>
          <w:color w:val="EE0000"/>
        </w:rPr>
      </w:pPr>
      <w:r w:rsidRPr="001402BF">
        <w:rPr>
          <w:rFonts w:ascii="Lato" w:eastAsia="Calibri" w:hAnsi="Lato" w:cs="Calibri"/>
          <w:noProof/>
          <w:color w:val="EE0000"/>
        </w:rPr>
        <w:drawing>
          <wp:inline distT="0" distB="0" distL="0" distR="0" wp14:anchorId="42E82F7E" wp14:editId="78BBDC3B">
            <wp:extent cx="2118186" cy="973078"/>
            <wp:effectExtent l="0" t="0" r="0" b="0"/>
            <wp:docPr id="1" name="image1.png" descr="Zdjęcie 3. Logo Programu."/>
            <wp:cNvGraphicFramePr/>
            <a:graphic xmlns:a="http://schemas.openxmlformats.org/drawingml/2006/main">
              <a:graphicData uri="http://schemas.openxmlformats.org/drawingml/2006/picture">
                <pic:pic xmlns:pic="http://schemas.openxmlformats.org/drawingml/2006/picture">
                  <pic:nvPicPr>
                    <pic:cNvPr id="1" name="image1.png" descr="Zdjęcie 3. Logo Programu."/>
                    <pic:cNvPicPr preferRelativeResize="0"/>
                  </pic:nvPicPr>
                  <pic:blipFill>
                    <a:blip r:embed="rId28"/>
                    <a:srcRect/>
                    <a:stretch>
                      <a:fillRect/>
                    </a:stretch>
                  </pic:blipFill>
                  <pic:spPr>
                    <a:xfrm>
                      <a:off x="0" y="0"/>
                      <a:ext cx="2118186" cy="973078"/>
                    </a:xfrm>
                    <a:prstGeom prst="rect">
                      <a:avLst/>
                    </a:prstGeom>
                    <a:ln/>
                  </pic:spPr>
                </pic:pic>
              </a:graphicData>
            </a:graphic>
          </wp:inline>
        </w:drawing>
      </w:r>
    </w:p>
    <w:p w14:paraId="2289FDFA" w14:textId="0A4D387E" w:rsidR="000B759F" w:rsidRDefault="00CC7D61" w:rsidP="008918A8">
      <w:pPr>
        <w:pStyle w:val="Legenda"/>
        <w:jc w:val="center"/>
        <w:rPr>
          <w:rFonts w:ascii="Lato" w:hAnsi="Lato"/>
          <w:b w:val="0"/>
          <w:bCs w:val="0"/>
          <w:sz w:val="18"/>
          <w:szCs w:val="18"/>
        </w:rPr>
      </w:pPr>
      <w:bookmarkStart w:id="239" w:name="_Toc225859330"/>
      <w:r w:rsidRPr="00CC7D61">
        <w:rPr>
          <w:rFonts w:ascii="Lato" w:hAnsi="Lato"/>
          <w:b w:val="0"/>
          <w:bCs w:val="0"/>
          <w:sz w:val="18"/>
          <w:szCs w:val="18"/>
        </w:rPr>
        <w:t xml:space="preserve">Zdjęcie </w:t>
      </w:r>
      <w:r w:rsidRPr="00CC7D61">
        <w:rPr>
          <w:rFonts w:ascii="Lato" w:hAnsi="Lato"/>
          <w:b w:val="0"/>
          <w:bCs w:val="0"/>
          <w:sz w:val="18"/>
          <w:szCs w:val="18"/>
        </w:rPr>
        <w:fldChar w:fldCharType="begin"/>
      </w:r>
      <w:r w:rsidRPr="00CC7D61">
        <w:rPr>
          <w:rFonts w:ascii="Lato" w:hAnsi="Lato"/>
          <w:b w:val="0"/>
          <w:bCs w:val="0"/>
          <w:sz w:val="18"/>
          <w:szCs w:val="18"/>
        </w:rPr>
        <w:instrText xml:space="preserve"> SEQ zdjęcie \* ARABIC </w:instrText>
      </w:r>
      <w:r w:rsidRPr="00CC7D61">
        <w:rPr>
          <w:rFonts w:ascii="Lato" w:hAnsi="Lato"/>
          <w:b w:val="0"/>
          <w:bCs w:val="0"/>
          <w:sz w:val="18"/>
          <w:szCs w:val="18"/>
        </w:rPr>
        <w:fldChar w:fldCharType="separate"/>
      </w:r>
      <w:r w:rsidR="002A3179">
        <w:rPr>
          <w:rFonts w:ascii="Lato" w:hAnsi="Lato"/>
          <w:b w:val="0"/>
          <w:bCs w:val="0"/>
          <w:noProof/>
          <w:sz w:val="18"/>
          <w:szCs w:val="18"/>
        </w:rPr>
        <w:t>3</w:t>
      </w:r>
      <w:r w:rsidRPr="00CC7D61">
        <w:rPr>
          <w:rFonts w:ascii="Lato" w:hAnsi="Lato"/>
          <w:b w:val="0"/>
          <w:bCs w:val="0"/>
          <w:sz w:val="18"/>
          <w:szCs w:val="18"/>
        </w:rPr>
        <w:fldChar w:fldCharType="end"/>
      </w:r>
      <w:r w:rsidRPr="00CC7D61">
        <w:rPr>
          <w:rFonts w:ascii="Lato" w:hAnsi="Lato"/>
          <w:b w:val="0"/>
          <w:bCs w:val="0"/>
          <w:sz w:val="18"/>
          <w:szCs w:val="18"/>
        </w:rPr>
        <w:t>. Logo Programu.</w:t>
      </w:r>
      <w:bookmarkEnd w:id="239"/>
    </w:p>
    <w:p w14:paraId="61439E51" w14:textId="77777777" w:rsidR="00CC7D61" w:rsidRPr="00CC7D61" w:rsidRDefault="00CC7D61" w:rsidP="00CC7D61">
      <w:pPr>
        <w:rPr>
          <w:rFonts w:eastAsia="Calibri"/>
        </w:rPr>
      </w:pPr>
    </w:p>
    <w:p w14:paraId="41CC87A6" w14:textId="538D33FF" w:rsidR="00747C41" w:rsidRPr="00F535EC" w:rsidRDefault="000B759F">
      <w:pPr>
        <w:pStyle w:val="Akapitzlist"/>
        <w:numPr>
          <w:ilvl w:val="0"/>
          <w:numId w:val="18"/>
        </w:numPr>
        <w:spacing w:line="360" w:lineRule="auto"/>
        <w:ind w:left="568" w:right="284" w:hanging="284"/>
        <w:rPr>
          <w:rStyle w:val="Nagwek2Znak"/>
          <w:rFonts w:eastAsia="Calibri" w:cs="Calibri"/>
          <w:b/>
          <w:bCs/>
          <w:szCs w:val="24"/>
        </w:rPr>
      </w:pPr>
      <w:bookmarkStart w:id="240" w:name="_Toc225859119"/>
      <w:r w:rsidRPr="001D3C3C">
        <w:rPr>
          <w:rStyle w:val="Nagwek2Znak"/>
          <w:b/>
          <w:bCs/>
        </w:rPr>
        <w:t>Profilaktyka chorób zakaźnych, w tym realizacja programu profilaktyki HIV/AIDS</w:t>
      </w:r>
      <w:bookmarkEnd w:id="240"/>
    </w:p>
    <w:p w14:paraId="770ACADE" w14:textId="77777777" w:rsidR="00F535EC" w:rsidRPr="00F535EC" w:rsidRDefault="00F535EC" w:rsidP="00F535EC">
      <w:pPr>
        <w:pStyle w:val="Akapitzlist"/>
        <w:spacing w:line="360" w:lineRule="auto"/>
        <w:ind w:left="0"/>
        <w:rPr>
          <w:rFonts w:ascii="Lato" w:eastAsia="Calibri" w:hAnsi="Lato" w:cs="Calibri"/>
          <w:b/>
          <w:bCs/>
          <w:sz w:val="22"/>
          <w:szCs w:val="22"/>
        </w:rPr>
      </w:pPr>
    </w:p>
    <w:p w14:paraId="2FAB3C69" w14:textId="2B68EA4D" w:rsidR="000B759F" w:rsidRPr="00F535EC" w:rsidRDefault="000B759F">
      <w:pPr>
        <w:pStyle w:val="Akapitzlist"/>
        <w:numPr>
          <w:ilvl w:val="1"/>
          <w:numId w:val="18"/>
        </w:numPr>
        <w:spacing w:line="360" w:lineRule="auto"/>
        <w:ind w:left="568" w:right="284" w:hanging="284"/>
        <w:rPr>
          <w:rStyle w:val="Nagwek3Znak"/>
          <w:rFonts w:eastAsia="Calibri" w:cs="Calibri"/>
          <w:b/>
          <w:bCs/>
          <w:color w:val="auto"/>
          <w:szCs w:val="22"/>
        </w:rPr>
      </w:pPr>
      <w:bookmarkStart w:id="241" w:name="_Toc225859120"/>
      <w:r w:rsidRPr="00D0507A">
        <w:rPr>
          <w:rStyle w:val="Nagwek3Znak"/>
          <w:color w:val="auto"/>
          <w:szCs w:val="22"/>
        </w:rPr>
        <w:t>Krajowy Program Zapobiegania Zakażeniom HIV i Zwalczania AIDS</w:t>
      </w:r>
      <w:bookmarkEnd w:id="241"/>
    </w:p>
    <w:p w14:paraId="7C899821" w14:textId="77777777" w:rsidR="00F535EC" w:rsidRPr="002E2CC9" w:rsidRDefault="00F535EC" w:rsidP="00F535EC">
      <w:pPr>
        <w:spacing w:line="360" w:lineRule="auto"/>
        <w:rPr>
          <w:rFonts w:ascii="Lato" w:eastAsia="Calibri" w:hAnsi="Lato" w:cs="Calibri"/>
          <w:sz w:val="22"/>
          <w:szCs w:val="22"/>
        </w:rPr>
      </w:pPr>
    </w:p>
    <w:p w14:paraId="573965A7" w14:textId="13C9B79F" w:rsidR="000B759F" w:rsidRPr="00431005" w:rsidRDefault="000B759F" w:rsidP="00F535EC">
      <w:pPr>
        <w:spacing w:line="360" w:lineRule="auto"/>
        <w:rPr>
          <w:rFonts w:ascii="Lato" w:eastAsia="Calibri" w:hAnsi="Lato" w:cs="Calibri"/>
          <w:sz w:val="22"/>
          <w:szCs w:val="22"/>
        </w:rPr>
      </w:pPr>
      <w:r w:rsidRPr="00431005">
        <w:rPr>
          <w:rFonts w:ascii="Lato" w:eastAsia="Calibri" w:hAnsi="Lato" w:cs="Calibri"/>
          <w:sz w:val="22"/>
          <w:szCs w:val="22"/>
        </w:rPr>
        <w:t>Grupa docelowa: Ogół społeczeństwa, Młodzież pow. 15 r.ż., dorośli, kobiety w ciąży i</w:t>
      </w:r>
      <w:r w:rsidR="00AC1CB1">
        <w:rPr>
          <w:rFonts w:ascii="Lato" w:eastAsia="Calibri" w:hAnsi="Lato" w:cs="Calibri"/>
          <w:sz w:val="22"/>
          <w:szCs w:val="22"/>
        </w:rPr>
        <w:t> </w:t>
      </w:r>
      <w:r w:rsidRPr="00431005">
        <w:rPr>
          <w:rFonts w:ascii="Lato" w:eastAsia="Calibri" w:hAnsi="Lato" w:cs="Calibri"/>
          <w:sz w:val="22"/>
          <w:szCs w:val="22"/>
        </w:rPr>
        <w:t>planujące ciążę.</w:t>
      </w:r>
    </w:p>
    <w:p w14:paraId="4FFDABE2" w14:textId="7BF279B9" w:rsidR="000B759F" w:rsidRPr="00D0507A" w:rsidRDefault="000B759F" w:rsidP="00750881">
      <w:pPr>
        <w:spacing w:line="360" w:lineRule="auto"/>
        <w:rPr>
          <w:rFonts w:ascii="Lato" w:eastAsia="Calibri" w:hAnsi="Lato" w:cs="Calibri"/>
          <w:sz w:val="22"/>
          <w:szCs w:val="22"/>
        </w:rPr>
      </w:pPr>
      <w:r w:rsidRPr="00D0507A">
        <w:rPr>
          <w:rFonts w:ascii="Lato" w:eastAsia="Calibri" w:hAnsi="Lato" w:cs="Calibri"/>
          <w:sz w:val="22"/>
          <w:szCs w:val="22"/>
        </w:rPr>
        <w:t>Liczba odbiorców: 12 505 osób</w:t>
      </w:r>
      <w:r w:rsidR="002F0F3E">
        <w:rPr>
          <w:rFonts w:ascii="Lato" w:eastAsia="Calibri" w:hAnsi="Lato" w:cs="Calibri"/>
          <w:sz w:val="22"/>
          <w:szCs w:val="22"/>
        </w:rPr>
        <w:t>.</w:t>
      </w:r>
    </w:p>
    <w:p w14:paraId="51B7CC60" w14:textId="0B85051C" w:rsidR="000B759F" w:rsidRPr="00431005" w:rsidRDefault="000B759F" w:rsidP="00750881">
      <w:pPr>
        <w:spacing w:line="360" w:lineRule="auto"/>
        <w:rPr>
          <w:rFonts w:ascii="Lato" w:hAnsi="Lato"/>
          <w:sz w:val="22"/>
          <w:szCs w:val="22"/>
        </w:rPr>
      </w:pPr>
      <w:r w:rsidRPr="00431005">
        <w:rPr>
          <w:rFonts w:ascii="Lato" w:eastAsia="Calibri" w:hAnsi="Lato" w:cs="Calibri"/>
          <w:sz w:val="22"/>
          <w:szCs w:val="22"/>
        </w:rPr>
        <w:t xml:space="preserve">Cel główny: </w:t>
      </w:r>
      <w:r w:rsidRPr="00431005">
        <w:rPr>
          <w:rFonts w:ascii="Lato" w:hAnsi="Lato"/>
          <w:sz w:val="22"/>
          <w:szCs w:val="22"/>
        </w:rPr>
        <w:t xml:space="preserve">ograniczenie rozprzestrzeniania się zakażeń HIV, m.in. poprzez zapewnienie odpowiedniego dostępu do informacji, edukacji i usług w zakresie profilaktyki HIV/AIDS. </w:t>
      </w:r>
      <w:r w:rsidRPr="00431005">
        <w:rPr>
          <w:rFonts w:ascii="Lato" w:eastAsia="Calibri" w:hAnsi="Lato" w:cs="Calibri"/>
          <w:sz w:val="22"/>
          <w:szCs w:val="22"/>
        </w:rPr>
        <w:t xml:space="preserve">Główne działania: </w:t>
      </w:r>
      <w:bookmarkStart w:id="242" w:name="_rcawfb7z6zff" w:colFirst="0" w:colLast="0"/>
      <w:bookmarkEnd w:id="242"/>
      <w:r w:rsidRPr="00431005">
        <w:rPr>
          <w:rFonts w:ascii="Lato" w:eastAsia="Calibri" w:hAnsi="Lato" w:cs="Calibri"/>
          <w:sz w:val="22"/>
          <w:szCs w:val="22"/>
        </w:rPr>
        <w:t>Prelekcj</w:t>
      </w:r>
      <w:r w:rsidR="00134CB6">
        <w:rPr>
          <w:rFonts w:ascii="Lato" w:eastAsia="Calibri" w:hAnsi="Lato" w:cs="Calibri"/>
          <w:sz w:val="22"/>
          <w:szCs w:val="22"/>
        </w:rPr>
        <w:t>e</w:t>
      </w:r>
      <w:r w:rsidRPr="00431005">
        <w:rPr>
          <w:rFonts w:ascii="Lato" w:eastAsia="Calibri" w:hAnsi="Lato" w:cs="Calibri"/>
          <w:sz w:val="22"/>
          <w:szCs w:val="22"/>
        </w:rPr>
        <w:t>, spotka</w:t>
      </w:r>
      <w:r w:rsidR="00134CB6">
        <w:rPr>
          <w:rFonts w:ascii="Lato" w:eastAsia="Calibri" w:hAnsi="Lato" w:cs="Calibri"/>
          <w:sz w:val="22"/>
          <w:szCs w:val="22"/>
        </w:rPr>
        <w:t>nia</w:t>
      </w:r>
      <w:r w:rsidRPr="00431005">
        <w:rPr>
          <w:rFonts w:ascii="Lato" w:eastAsia="Calibri" w:hAnsi="Lato" w:cs="Calibri"/>
          <w:sz w:val="22"/>
          <w:szCs w:val="22"/>
        </w:rPr>
        <w:t xml:space="preserve"> oraz warsztat</w:t>
      </w:r>
      <w:r w:rsidR="00134CB6">
        <w:rPr>
          <w:rFonts w:ascii="Lato" w:eastAsia="Calibri" w:hAnsi="Lato" w:cs="Calibri"/>
          <w:sz w:val="22"/>
          <w:szCs w:val="22"/>
        </w:rPr>
        <w:t>y,</w:t>
      </w:r>
      <w:r w:rsidRPr="00431005">
        <w:rPr>
          <w:rFonts w:ascii="Lato" w:eastAsia="Calibri" w:hAnsi="Lato" w:cs="Calibri"/>
          <w:sz w:val="22"/>
          <w:szCs w:val="22"/>
        </w:rPr>
        <w:t xml:space="preserve"> stoisk</w:t>
      </w:r>
      <w:r w:rsidR="00134CB6">
        <w:rPr>
          <w:rFonts w:ascii="Lato" w:eastAsia="Calibri" w:hAnsi="Lato" w:cs="Calibri"/>
          <w:sz w:val="22"/>
          <w:szCs w:val="22"/>
        </w:rPr>
        <w:t>a</w:t>
      </w:r>
      <w:r w:rsidRPr="00431005">
        <w:rPr>
          <w:rFonts w:ascii="Lato" w:eastAsia="Calibri" w:hAnsi="Lato" w:cs="Calibri"/>
          <w:sz w:val="22"/>
          <w:szCs w:val="22"/>
        </w:rPr>
        <w:t xml:space="preserve"> profilaktyczn</w:t>
      </w:r>
      <w:r w:rsidR="00134CB6">
        <w:rPr>
          <w:rFonts w:ascii="Lato" w:eastAsia="Calibri" w:hAnsi="Lato" w:cs="Calibri"/>
          <w:sz w:val="22"/>
          <w:szCs w:val="22"/>
        </w:rPr>
        <w:t>e, podczas których</w:t>
      </w:r>
      <w:r w:rsidRPr="00431005">
        <w:rPr>
          <w:rFonts w:ascii="Lato" w:eastAsia="Calibri" w:hAnsi="Lato" w:cs="Calibri"/>
          <w:sz w:val="22"/>
          <w:szCs w:val="22"/>
        </w:rPr>
        <w:t xml:space="preserve"> prowadzono instruktaże indywidualne oraz dystrybucję materiałów edukacyjnych przekazanych przez Krajowe Centrum ds. AIDS. Prowadzono zajęcia edukacyjne w szkołach. Zorganizowano również wykład w Zachodniopomorskim Urzędzie Wojewódzkim dla </w:t>
      </w:r>
      <w:r w:rsidRPr="00431005">
        <w:rPr>
          <w:rFonts w:ascii="Lato" w:eastAsia="Calibri" w:hAnsi="Lato" w:cs="Calibri"/>
          <w:color w:val="EE0000"/>
          <w:sz w:val="22"/>
          <w:szCs w:val="22"/>
        </w:rPr>
        <w:t xml:space="preserve"> </w:t>
      </w:r>
      <w:r w:rsidRPr="00431005">
        <w:rPr>
          <w:rFonts w:ascii="Lato" w:eastAsia="Calibri" w:hAnsi="Lato" w:cs="Calibri"/>
          <w:sz w:val="22"/>
          <w:szCs w:val="22"/>
        </w:rPr>
        <w:t>młodzieży z wybranych szkół ponadpodstawowych. W Koszalinie</w:t>
      </w:r>
      <w:r w:rsidRPr="00431005">
        <w:rPr>
          <w:rFonts w:ascii="Lato" w:hAnsi="Lato"/>
          <w:sz w:val="22"/>
          <w:szCs w:val="22"/>
        </w:rPr>
        <w:t xml:space="preserve"> przeprowadzono</w:t>
      </w:r>
      <w:r w:rsidRPr="00431005">
        <w:rPr>
          <w:rFonts w:ascii="Lato" w:eastAsia="Calibri" w:hAnsi="Lato" w:cs="Calibri"/>
          <w:sz w:val="22"/>
          <w:szCs w:val="22"/>
        </w:rPr>
        <w:t xml:space="preserve"> prelekcje dla osadzonych w Areszcie Śledczym oraz wykłady dla funkcjonariuszy Komendy Miejskiej Policji z zakresu ekspozycji zawodowej na zakażenie wirusem HIV.</w:t>
      </w:r>
    </w:p>
    <w:p w14:paraId="13285F76" w14:textId="77777777" w:rsidR="000B759F" w:rsidRPr="00F535EC" w:rsidRDefault="000B759F" w:rsidP="000B759F">
      <w:pPr>
        <w:spacing w:line="276" w:lineRule="auto"/>
        <w:rPr>
          <w:rFonts w:ascii="Lato" w:eastAsia="Calibri" w:hAnsi="Lato" w:cs="Calibri"/>
          <w:sz w:val="22"/>
          <w:szCs w:val="22"/>
        </w:rPr>
      </w:pPr>
    </w:p>
    <w:p w14:paraId="0EE2EA84" w14:textId="6597C7EA" w:rsidR="000B759F" w:rsidRPr="00D0507A" w:rsidRDefault="000B759F">
      <w:pPr>
        <w:pStyle w:val="Akapitzlist"/>
        <w:numPr>
          <w:ilvl w:val="1"/>
          <w:numId w:val="18"/>
        </w:numPr>
        <w:spacing w:line="360" w:lineRule="auto"/>
        <w:ind w:left="568" w:right="284" w:hanging="284"/>
        <w:rPr>
          <w:rFonts w:ascii="Lato" w:eastAsia="Calibri" w:hAnsi="Lato" w:cs="Calibri"/>
          <w:b/>
          <w:bCs/>
        </w:rPr>
      </w:pPr>
      <w:bookmarkStart w:id="243" w:name="_Toc225859121"/>
      <w:r w:rsidRPr="00D0507A">
        <w:rPr>
          <w:rStyle w:val="Nagwek3Znak"/>
          <w:color w:val="auto"/>
          <w:szCs w:val="22"/>
        </w:rPr>
        <w:t>Wojewódzki program higieny i profilaktyki wybranych chorób zakaźnych „Higiena naszą tarczą ochronną”</w:t>
      </w:r>
      <w:bookmarkEnd w:id="243"/>
    </w:p>
    <w:p w14:paraId="36112595" w14:textId="77777777" w:rsidR="002E2CC9" w:rsidRDefault="002E2CC9" w:rsidP="002E2CC9">
      <w:pPr>
        <w:spacing w:line="360" w:lineRule="auto"/>
        <w:rPr>
          <w:rFonts w:ascii="Lato" w:eastAsia="Calibri" w:hAnsi="Lato" w:cs="Calibri"/>
          <w:sz w:val="22"/>
          <w:szCs w:val="22"/>
        </w:rPr>
      </w:pPr>
    </w:p>
    <w:p w14:paraId="6DA306EA" w14:textId="5CDE836E" w:rsidR="002E2CC9" w:rsidRPr="002E2CC9" w:rsidRDefault="002E2CC9" w:rsidP="002E2CC9">
      <w:pPr>
        <w:spacing w:line="360" w:lineRule="auto"/>
        <w:rPr>
          <w:rFonts w:ascii="Lato" w:eastAsia="Calibri" w:hAnsi="Lato" w:cs="Calibri"/>
          <w:sz w:val="22"/>
          <w:szCs w:val="22"/>
        </w:rPr>
      </w:pPr>
      <w:r w:rsidRPr="002E2CC9">
        <w:rPr>
          <w:rFonts w:ascii="Lato" w:eastAsia="Calibri" w:hAnsi="Lato" w:cs="Calibri"/>
          <w:sz w:val="22"/>
          <w:szCs w:val="22"/>
        </w:rPr>
        <w:t>Cel główny: osiągnięcie znaczącej poprawy zachowań higienicznych wśród najmłodszych uczniów szkół podstawowych</w:t>
      </w:r>
      <w:r w:rsidR="002F0F3E">
        <w:rPr>
          <w:rFonts w:ascii="Lato" w:eastAsia="Calibri" w:hAnsi="Lato" w:cs="Calibri"/>
          <w:sz w:val="22"/>
          <w:szCs w:val="22"/>
        </w:rPr>
        <w:t>.</w:t>
      </w:r>
    </w:p>
    <w:p w14:paraId="224D2B82" w14:textId="77777777" w:rsidR="002E2CC9" w:rsidRPr="002E2CC9" w:rsidRDefault="002E2CC9" w:rsidP="002E2CC9">
      <w:pPr>
        <w:spacing w:line="360" w:lineRule="auto"/>
        <w:rPr>
          <w:rFonts w:ascii="Lato" w:eastAsia="Calibri" w:hAnsi="Lato" w:cs="Calibri"/>
          <w:sz w:val="22"/>
          <w:szCs w:val="22"/>
        </w:rPr>
      </w:pPr>
      <w:r w:rsidRPr="002E2CC9">
        <w:rPr>
          <w:rFonts w:ascii="Lato" w:eastAsia="Calibri" w:hAnsi="Lato" w:cs="Calibri"/>
          <w:sz w:val="22"/>
          <w:szCs w:val="22"/>
        </w:rPr>
        <w:t>Grupa docelowa: Uczniowie klas I-III szkół podstawowych w obszarze profilaktyki chorób zakaźnych.</w:t>
      </w:r>
    </w:p>
    <w:p w14:paraId="058ACE4E" w14:textId="37A1FFC9" w:rsidR="002E2CC9" w:rsidRPr="002E2CC9" w:rsidRDefault="002E2CC9" w:rsidP="002E2CC9">
      <w:pPr>
        <w:spacing w:line="360" w:lineRule="auto"/>
        <w:rPr>
          <w:rFonts w:ascii="Lato" w:eastAsia="Calibri" w:hAnsi="Lato" w:cs="Calibri"/>
          <w:sz w:val="22"/>
          <w:szCs w:val="22"/>
        </w:rPr>
      </w:pPr>
      <w:r w:rsidRPr="002E2CC9">
        <w:rPr>
          <w:rFonts w:ascii="Lato" w:eastAsia="Calibri" w:hAnsi="Lato" w:cs="Calibri"/>
          <w:sz w:val="22"/>
          <w:szCs w:val="22"/>
        </w:rPr>
        <w:t>Liczba odbiorców: 20 407  osób</w:t>
      </w:r>
      <w:r w:rsidR="002F0F3E">
        <w:rPr>
          <w:rFonts w:ascii="Lato" w:eastAsia="Calibri" w:hAnsi="Lato" w:cs="Calibri"/>
          <w:sz w:val="22"/>
          <w:szCs w:val="22"/>
        </w:rPr>
        <w:t>.</w:t>
      </w:r>
    </w:p>
    <w:p w14:paraId="57C6201F" w14:textId="39194307" w:rsidR="002E2CC9" w:rsidRDefault="002E2CC9" w:rsidP="002E2CC9">
      <w:pPr>
        <w:spacing w:line="360" w:lineRule="auto"/>
        <w:rPr>
          <w:rFonts w:ascii="Lato" w:eastAsia="Calibri" w:hAnsi="Lato" w:cs="Calibri"/>
          <w:sz w:val="22"/>
          <w:szCs w:val="22"/>
        </w:rPr>
      </w:pPr>
      <w:r w:rsidRPr="002E2CC9">
        <w:rPr>
          <w:rFonts w:ascii="Lato" w:eastAsia="Calibri" w:hAnsi="Lato" w:cs="Calibri"/>
          <w:sz w:val="22"/>
          <w:szCs w:val="22"/>
        </w:rPr>
        <w:lastRenderedPageBreak/>
        <w:t xml:space="preserve">Główne działania: Treści programu koncentrowały się na zapobieganiu chorobom zakaźnym, głównie grypie i infekcjom grypopodobnym, poprzez stosowanie zasad higieny osobistej. Znaczącą rolę w higienie osobistej odgrywało prawidłowe mycie rąk. Przeprowadzono na zakończenie roku szkolnego konkurs plastyczny  podsumowujący program pt. „Moje czyste rączki”, na który wpłynęło 208 prac z całego województwa. Przeprowadzono dystrybucję materiałów edukacyjnych w postaci zakładek do książek.  </w:t>
      </w:r>
    </w:p>
    <w:p w14:paraId="785661BC" w14:textId="77777777" w:rsidR="002E2CC9" w:rsidRPr="002E2CC9" w:rsidRDefault="002E2CC9" w:rsidP="002E2CC9">
      <w:pPr>
        <w:spacing w:line="360" w:lineRule="auto"/>
        <w:rPr>
          <w:rFonts w:ascii="Lato" w:eastAsia="Calibri" w:hAnsi="Lato" w:cs="Calibri"/>
          <w:sz w:val="22"/>
          <w:szCs w:val="22"/>
        </w:rPr>
      </w:pPr>
    </w:p>
    <w:p w14:paraId="324B89B8" w14:textId="6023C840" w:rsidR="000B759F" w:rsidRPr="001402BF" w:rsidRDefault="000B759F" w:rsidP="000B759F">
      <w:pPr>
        <w:spacing w:line="276" w:lineRule="auto"/>
        <w:rPr>
          <w:rFonts w:ascii="Lato" w:eastAsia="Calibri" w:hAnsi="Lato" w:cs="Calibri"/>
          <w:b/>
          <w:bCs/>
          <w:u w:val="single"/>
        </w:rPr>
      </w:pPr>
      <w:r>
        <w:rPr>
          <w:rFonts w:ascii="Lato" w:eastAsia="Calibri" w:hAnsi="Lato" w:cs="Calibri"/>
          <w:b/>
          <w:bCs/>
          <w:noProof/>
          <w:u w:val="single"/>
        </w:rPr>
        <w:drawing>
          <wp:inline distT="0" distB="0" distL="0" distR="0" wp14:anchorId="2DEEDFE9" wp14:editId="668C9516">
            <wp:extent cx="2171700" cy="1361977"/>
            <wp:effectExtent l="0" t="0" r="0" b="0"/>
            <wp:docPr id="1716602067" name="Obraz 2" descr="Zdjęcie 4. Konkurs moje czyste rą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02067" name="Obraz 2" descr="Zdjęcie 4. Konkurs moje czyste rączk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3032" cy="1381627"/>
                    </a:xfrm>
                    <a:prstGeom prst="rect">
                      <a:avLst/>
                    </a:prstGeom>
                    <a:noFill/>
                  </pic:spPr>
                </pic:pic>
              </a:graphicData>
            </a:graphic>
          </wp:inline>
        </w:drawing>
      </w:r>
      <w:r>
        <w:rPr>
          <w:rFonts w:ascii="Lato" w:eastAsia="Calibri" w:hAnsi="Lato" w:cs="Calibri"/>
          <w:b/>
          <w:bCs/>
          <w:u w:val="single"/>
        </w:rPr>
        <w:t xml:space="preserve">                                        </w:t>
      </w:r>
      <w:r>
        <w:rPr>
          <w:rFonts w:ascii="Lato" w:eastAsia="Calibri" w:hAnsi="Lato" w:cs="Calibri"/>
          <w:b/>
          <w:bCs/>
          <w:noProof/>
          <w:u w:val="single"/>
        </w:rPr>
        <w:drawing>
          <wp:inline distT="0" distB="0" distL="0" distR="0" wp14:anchorId="5A9741B3" wp14:editId="5B45E388">
            <wp:extent cx="1979207" cy="1455968"/>
            <wp:effectExtent l="0" t="0" r="2540" b="0"/>
            <wp:docPr id="1665190682" name="Obraz 3" descr="Zdjęcie 4. Konkurs moje czyste rą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90682" name="Obraz 3" descr="Zdjęcie 4. Konkurs moje czyste rączk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8008" cy="1477155"/>
                    </a:xfrm>
                    <a:prstGeom prst="rect">
                      <a:avLst/>
                    </a:prstGeom>
                    <a:noFill/>
                  </pic:spPr>
                </pic:pic>
              </a:graphicData>
            </a:graphic>
          </wp:inline>
        </w:drawing>
      </w:r>
    </w:p>
    <w:p w14:paraId="16EF216D" w14:textId="00203889" w:rsidR="000B759F" w:rsidRPr="00EB4D36" w:rsidRDefault="00EB4D36" w:rsidP="00EB4D36">
      <w:pPr>
        <w:pStyle w:val="Legenda"/>
        <w:jc w:val="center"/>
        <w:rPr>
          <w:rFonts w:ascii="Lato" w:eastAsia="Calibri" w:hAnsi="Lato" w:cs="Calibri"/>
          <w:b w:val="0"/>
          <w:bCs w:val="0"/>
          <w:sz w:val="18"/>
          <w:szCs w:val="18"/>
        </w:rPr>
      </w:pPr>
      <w:bookmarkStart w:id="244" w:name="_Toc225859331"/>
      <w:r w:rsidRPr="00EB4D36">
        <w:rPr>
          <w:rFonts w:ascii="Lato" w:hAnsi="Lato"/>
          <w:b w:val="0"/>
          <w:bCs w:val="0"/>
          <w:sz w:val="18"/>
          <w:szCs w:val="18"/>
        </w:rPr>
        <w:t xml:space="preserve">Zdjęcie </w:t>
      </w:r>
      <w:r w:rsidRPr="00EB4D36">
        <w:rPr>
          <w:rFonts w:ascii="Lato" w:hAnsi="Lato"/>
          <w:b w:val="0"/>
          <w:bCs w:val="0"/>
          <w:sz w:val="18"/>
          <w:szCs w:val="18"/>
        </w:rPr>
        <w:fldChar w:fldCharType="begin"/>
      </w:r>
      <w:r w:rsidRPr="00EB4D36">
        <w:rPr>
          <w:rFonts w:ascii="Lato" w:hAnsi="Lato"/>
          <w:b w:val="0"/>
          <w:bCs w:val="0"/>
          <w:sz w:val="18"/>
          <w:szCs w:val="18"/>
        </w:rPr>
        <w:instrText xml:space="preserve"> SEQ zdjęcie \* ARABIC </w:instrText>
      </w:r>
      <w:r w:rsidRPr="00EB4D36">
        <w:rPr>
          <w:rFonts w:ascii="Lato" w:hAnsi="Lato"/>
          <w:b w:val="0"/>
          <w:bCs w:val="0"/>
          <w:sz w:val="18"/>
          <w:szCs w:val="18"/>
        </w:rPr>
        <w:fldChar w:fldCharType="separate"/>
      </w:r>
      <w:r w:rsidR="002A3179">
        <w:rPr>
          <w:rFonts w:ascii="Lato" w:hAnsi="Lato"/>
          <w:b w:val="0"/>
          <w:bCs w:val="0"/>
          <w:noProof/>
          <w:sz w:val="18"/>
          <w:szCs w:val="18"/>
        </w:rPr>
        <w:t>4</w:t>
      </w:r>
      <w:r w:rsidRPr="00EB4D36">
        <w:rPr>
          <w:rFonts w:ascii="Lato" w:hAnsi="Lato"/>
          <w:b w:val="0"/>
          <w:bCs w:val="0"/>
          <w:sz w:val="18"/>
          <w:szCs w:val="18"/>
        </w:rPr>
        <w:fldChar w:fldCharType="end"/>
      </w:r>
      <w:r w:rsidRPr="00EB4D36">
        <w:rPr>
          <w:rFonts w:ascii="Lato" w:hAnsi="Lato"/>
          <w:b w:val="0"/>
          <w:bCs w:val="0"/>
          <w:sz w:val="18"/>
          <w:szCs w:val="18"/>
        </w:rPr>
        <w:t>. Konkurs moje czyste rączki.</w:t>
      </w:r>
      <w:bookmarkEnd w:id="244"/>
    </w:p>
    <w:p w14:paraId="50DC55D1" w14:textId="77777777" w:rsidR="000B759F" w:rsidRPr="001402BF" w:rsidRDefault="000B759F" w:rsidP="00750881">
      <w:pPr>
        <w:spacing w:line="360" w:lineRule="auto"/>
        <w:rPr>
          <w:rFonts w:ascii="Lato" w:eastAsia="Calibri" w:hAnsi="Lato" w:cs="Calibri"/>
          <w:color w:val="EE0000"/>
        </w:rPr>
      </w:pPr>
    </w:p>
    <w:p w14:paraId="2FD51F0C" w14:textId="1C9AAFB6" w:rsidR="000B759F" w:rsidRPr="0030499B" w:rsidRDefault="000B759F">
      <w:pPr>
        <w:pStyle w:val="Akapitzlist"/>
        <w:numPr>
          <w:ilvl w:val="1"/>
          <w:numId w:val="18"/>
        </w:numPr>
        <w:spacing w:line="360" w:lineRule="auto"/>
        <w:ind w:left="568" w:right="284" w:hanging="284"/>
        <w:rPr>
          <w:rStyle w:val="Nagwek3Znak"/>
          <w:rFonts w:eastAsia="Calibri" w:cs="Calibri"/>
          <w:b/>
          <w:bCs/>
          <w:color w:val="auto"/>
          <w:sz w:val="24"/>
          <w:szCs w:val="24"/>
        </w:rPr>
      </w:pPr>
      <w:bookmarkStart w:id="245" w:name="_Toc225859122"/>
      <w:r w:rsidRPr="00D0507A">
        <w:rPr>
          <w:rStyle w:val="Nagwek3Znak"/>
          <w:color w:val="auto"/>
          <w:szCs w:val="22"/>
        </w:rPr>
        <w:t>Wojewódzki przedszkolny program zdrowia jamy ustnej i zapobiegania próchnicy „Zdrowe zęby mamy marchewkę zajadamy”</w:t>
      </w:r>
      <w:bookmarkEnd w:id="245"/>
    </w:p>
    <w:p w14:paraId="35327979" w14:textId="77777777" w:rsidR="0030499B" w:rsidRPr="0030499B" w:rsidRDefault="0030499B" w:rsidP="0030499B">
      <w:pPr>
        <w:spacing w:line="360" w:lineRule="auto"/>
        <w:ind w:left="284" w:right="284"/>
        <w:rPr>
          <w:rFonts w:ascii="Lato" w:eastAsia="Calibri" w:hAnsi="Lato" w:cs="Calibri"/>
          <w:b/>
          <w:bCs/>
          <w:sz w:val="22"/>
          <w:szCs w:val="22"/>
        </w:rPr>
      </w:pPr>
    </w:p>
    <w:p w14:paraId="1E14ED52" w14:textId="77777777" w:rsidR="000B759F" w:rsidRPr="00431005" w:rsidRDefault="000B759F" w:rsidP="00750881">
      <w:pPr>
        <w:spacing w:line="360" w:lineRule="auto"/>
        <w:rPr>
          <w:rFonts w:ascii="Lato" w:eastAsia="Calibri" w:hAnsi="Lato" w:cs="Calibri"/>
          <w:sz w:val="22"/>
          <w:szCs w:val="22"/>
          <w:u w:val="single"/>
        </w:rPr>
      </w:pPr>
      <w:r w:rsidRPr="00431005">
        <w:rPr>
          <w:rFonts w:ascii="Lato" w:eastAsia="Calibri" w:hAnsi="Lato" w:cs="Calibri"/>
          <w:sz w:val="22"/>
          <w:szCs w:val="22"/>
        </w:rPr>
        <w:t>Cel główny:</w:t>
      </w:r>
      <w:r w:rsidRPr="00431005">
        <w:rPr>
          <w:rFonts w:ascii="Lato" w:eastAsia="Calibri" w:hAnsi="Lato" w:cs="Calibri"/>
          <w:b/>
          <w:bCs/>
          <w:sz w:val="22"/>
          <w:szCs w:val="22"/>
        </w:rPr>
        <w:t xml:space="preserve">  </w:t>
      </w:r>
      <w:r w:rsidRPr="00431005">
        <w:rPr>
          <w:rFonts w:ascii="Lato" w:eastAsia="Calibri" w:hAnsi="Lato" w:cs="Calibri"/>
          <w:sz w:val="22"/>
          <w:szCs w:val="22"/>
        </w:rPr>
        <w:t>kreowanie  postaw  prozdrowotnych  w  zakresie  zdrowia  jamy ustnej  wśród  dzieci  uczęszczających  do  żłobków  i  przedszkoli  na  terenie województwa  zachodniopomorskiego  oraz  ich  rodziców i nauczycieli,  kobiet  w ciąży i przyszłych rodziców.</w:t>
      </w:r>
    </w:p>
    <w:p w14:paraId="23E13417" w14:textId="77777777" w:rsidR="000B759F" w:rsidRPr="00431005" w:rsidRDefault="000B759F" w:rsidP="00750881">
      <w:pPr>
        <w:spacing w:line="360" w:lineRule="auto"/>
        <w:rPr>
          <w:rFonts w:ascii="Lato" w:eastAsia="Calibri" w:hAnsi="Lato" w:cs="Calibri"/>
          <w:sz w:val="22"/>
          <w:szCs w:val="22"/>
        </w:rPr>
      </w:pPr>
      <w:r w:rsidRPr="00431005">
        <w:rPr>
          <w:rFonts w:ascii="Lato" w:eastAsia="Calibri" w:hAnsi="Lato" w:cs="Calibri"/>
          <w:sz w:val="22"/>
          <w:szCs w:val="22"/>
        </w:rPr>
        <w:t>Grupa docelowa: dzieci żłobkowe w wieku 2-3 lat, grupy przedszkolne dzieci w wieku 3-6 lat</w:t>
      </w:r>
    </w:p>
    <w:p w14:paraId="11980CE8" w14:textId="079B9BD0" w:rsidR="000B759F" w:rsidRPr="00431005" w:rsidRDefault="000B759F" w:rsidP="00750881">
      <w:pPr>
        <w:spacing w:line="360" w:lineRule="auto"/>
        <w:rPr>
          <w:rFonts w:ascii="Lato" w:eastAsia="Calibri" w:hAnsi="Lato" w:cs="Calibri"/>
          <w:sz w:val="22"/>
          <w:szCs w:val="22"/>
        </w:rPr>
      </w:pPr>
      <w:r w:rsidRPr="00431005">
        <w:rPr>
          <w:rFonts w:ascii="Lato" w:eastAsia="Calibri" w:hAnsi="Lato" w:cs="Calibri"/>
          <w:sz w:val="22"/>
          <w:szCs w:val="22"/>
        </w:rPr>
        <w:t>Liczba odbiorców:</w:t>
      </w:r>
      <w:r w:rsidR="00FC3CF8">
        <w:rPr>
          <w:rFonts w:ascii="Lato" w:eastAsia="Calibri" w:hAnsi="Lato" w:cs="Calibri"/>
          <w:sz w:val="22"/>
          <w:szCs w:val="22"/>
        </w:rPr>
        <w:t xml:space="preserve"> </w:t>
      </w:r>
      <w:r w:rsidRPr="00431005">
        <w:rPr>
          <w:rFonts w:ascii="Lato" w:eastAsia="Calibri" w:hAnsi="Lato" w:cs="Calibri"/>
          <w:sz w:val="22"/>
          <w:szCs w:val="22"/>
        </w:rPr>
        <w:t>15</w:t>
      </w:r>
      <w:r w:rsidR="00FC3CF8">
        <w:rPr>
          <w:rFonts w:ascii="Lato" w:eastAsia="Calibri" w:hAnsi="Lato" w:cs="Calibri"/>
          <w:sz w:val="22"/>
          <w:szCs w:val="22"/>
        </w:rPr>
        <w:t> </w:t>
      </w:r>
      <w:r w:rsidRPr="00431005">
        <w:rPr>
          <w:rFonts w:ascii="Lato" w:eastAsia="Calibri" w:hAnsi="Lato" w:cs="Calibri"/>
          <w:sz w:val="22"/>
          <w:szCs w:val="22"/>
        </w:rPr>
        <w:t>195</w:t>
      </w:r>
      <w:r w:rsidR="00FC3CF8">
        <w:rPr>
          <w:rFonts w:ascii="Lato" w:eastAsia="Calibri" w:hAnsi="Lato" w:cs="Calibri"/>
          <w:sz w:val="22"/>
          <w:szCs w:val="22"/>
        </w:rPr>
        <w:t xml:space="preserve"> dzieci</w:t>
      </w:r>
      <w:r w:rsidRPr="00431005">
        <w:rPr>
          <w:rFonts w:ascii="Lato" w:eastAsia="Calibri" w:hAnsi="Lato" w:cs="Calibri"/>
          <w:sz w:val="22"/>
          <w:szCs w:val="22"/>
        </w:rPr>
        <w:t xml:space="preserve"> </w:t>
      </w:r>
      <w:r w:rsidR="00FC3CF8">
        <w:rPr>
          <w:rFonts w:ascii="Lato" w:eastAsia="Calibri" w:hAnsi="Lato" w:cs="Calibri"/>
          <w:sz w:val="22"/>
          <w:szCs w:val="22"/>
        </w:rPr>
        <w:t>oraz</w:t>
      </w:r>
      <w:r w:rsidRPr="00431005">
        <w:rPr>
          <w:rFonts w:ascii="Lato" w:eastAsia="Calibri" w:hAnsi="Lato" w:cs="Calibri"/>
          <w:sz w:val="22"/>
          <w:szCs w:val="22"/>
        </w:rPr>
        <w:t xml:space="preserve"> 6 900 rodziców </w:t>
      </w:r>
    </w:p>
    <w:p w14:paraId="1133DCC0" w14:textId="77777777" w:rsidR="000B759F" w:rsidRPr="00431005" w:rsidRDefault="000B759F" w:rsidP="00750881">
      <w:pPr>
        <w:spacing w:line="360" w:lineRule="auto"/>
        <w:rPr>
          <w:rFonts w:ascii="Lato" w:hAnsi="Lato"/>
          <w:sz w:val="22"/>
          <w:szCs w:val="22"/>
        </w:rPr>
      </w:pPr>
      <w:r w:rsidRPr="00431005">
        <w:rPr>
          <w:rFonts w:ascii="Lato" w:hAnsi="Lato"/>
          <w:sz w:val="22"/>
          <w:szCs w:val="22"/>
        </w:rPr>
        <w:t>Główne działania: prelekcje, spotkania z rodzicami, warsztaty dotyczące techniki prawidłowego mycia zębów z wykorzystaniem szczęki treningowej w grupach przedszkolnych.</w:t>
      </w:r>
    </w:p>
    <w:p w14:paraId="0DA87BA2" w14:textId="77777777" w:rsidR="000B759F" w:rsidRPr="001402BF" w:rsidRDefault="000B759F" w:rsidP="00750881">
      <w:pPr>
        <w:spacing w:line="360" w:lineRule="auto"/>
        <w:rPr>
          <w:rFonts w:ascii="Lato" w:eastAsia="Calibri" w:hAnsi="Lato" w:cs="Calibri"/>
          <w:color w:val="EE0000"/>
        </w:rPr>
      </w:pPr>
    </w:p>
    <w:p w14:paraId="139BAD14" w14:textId="6B109C45" w:rsidR="000B759F" w:rsidRDefault="000B759F">
      <w:pPr>
        <w:pStyle w:val="Akapitzlist"/>
        <w:numPr>
          <w:ilvl w:val="1"/>
          <w:numId w:val="18"/>
        </w:numPr>
        <w:spacing w:line="360" w:lineRule="auto"/>
        <w:ind w:left="568" w:right="284" w:hanging="284"/>
        <w:rPr>
          <w:rFonts w:ascii="Lato" w:eastAsia="Calibri" w:hAnsi="Lato" w:cs="Calibri"/>
          <w:b/>
          <w:bCs/>
          <w:u w:val="single"/>
        </w:rPr>
      </w:pPr>
      <w:bookmarkStart w:id="246" w:name="_Toc225859123"/>
      <w:r w:rsidRPr="00D0507A">
        <w:rPr>
          <w:rStyle w:val="Nagwek3Znak"/>
          <w:color w:val="auto"/>
          <w:szCs w:val="22"/>
        </w:rPr>
        <w:t>Profilaktyka chorób zakaźnych, w tym WZW i promocja szczepień ochronnych</w:t>
      </w:r>
      <w:bookmarkEnd w:id="246"/>
    </w:p>
    <w:p w14:paraId="1D5106D1" w14:textId="77777777" w:rsidR="00747C41" w:rsidRPr="0030499B" w:rsidRDefault="00747C41" w:rsidP="00747C41">
      <w:pPr>
        <w:spacing w:line="360" w:lineRule="auto"/>
        <w:ind w:right="284"/>
        <w:rPr>
          <w:rFonts w:ascii="Lato" w:eastAsia="Calibri" w:hAnsi="Lato" w:cs="Calibri"/>
          <w:b/>
          <w:bCs/>
          <w:sz w:val="22"/>
          <w:szCs w:val="22"/>
          <w:u w:val="single"/>
        </w:rPr>
      </w:pPr>
    </w:p>
    <w:p w14:paraId="564B86B8" w14:textId="6A7BA956" w:rsidR="000B759F" w:rsidRPr="00431005" w:rsidRDefault="000B759F" w:rsidP="00750881">
      <w:pPr>
        <w:spacing w:line="360" w:lineRule="auto"/>
        <w:rPr>
          <w:rFonts w:ascii="Lato" w:eastAsia="Calibri" w:hAnsi="Lato" w:cs="Calibri"/>
          <w:sz w:val="22"/>
          <w:szCs w:val="22"/>
        </w:rPr>
      </w:pPr>
      <w:r w:rsidRPr="00431005">
        <w:rPr>
          <w:rFonts w:ascii="Lato" w:eastAsia="Calibri" w:hAnsi="Lato" w:cs="Calibri"/>
          <w:sz w:val="22"/>
          <w:szCs w:val="22"/>
        </w:rPr>
        <w:t xml:space="preserve">Cel główny: Kształtowanie zachowań </w:t>
      </w:r>
      <w:r w:rsidR="005848D3">
        <w:rPr>
          <w:rFonts w:ascii="Lato" w:eastAsia="Calibri" w:hAnsi="Lato" w:cs="Calibri"/>
          <w:sz w:val="22"/>
          <w:szCs w:val="22"/>
        </w:rPr>
        <w:t>pro</w:t>
      </w:r>
      <w:r w:rsidRPr="00431005">
        <w:rPr>
          <w:rFonts w:ascii="Lato" w:eastAsia="Calibri" w:hAnsi="Lato" w:cs="Calibri"/>
          <w:sz w:val="22"/>
          <w:szCs w:val="22"/>
        </w:rPr>
        <w:t>zdrowotnych w zakresie przeciwdziałania chorobom zakaźnym</w:t>
      </w:r>
      <w:r w:rsidR="005848D3">
        <w:rPr>
          <w:rFonts w:ascii="Lato" w:eastAsia="Calibri" w:hAnsi="Lato" w:cs="Calibri"/>
          <w:sz w:val="22"/>
          <w:szCs w:val="22"/>
        </w:rPr>
        <w:t>,</w:t>
      </w:r>
      <w:r w:rsidRPr="00431005">
        <w:rPr>
          <w:rFonts w:ascii="Lato" w:eastAsia="Calibri" w:hAnsi="Lato" w:cs="Calibri"/>
          <w:sz w:val="22"/>
          <w:szCs w:val="22"/>
        </w:rPr>
        <w:t xml:space="preserve"> w tym WZW</w:t>
      </w:r>
      <w:r w:rsidR="00413A9A">
        <w:rPr>
          <w:rFonts w:ascii="Lato" w:eastAsia="Calibri" w:hAnsi="Lato" w:cs="Calibri"/>
          <w:sz w:val="22"/>
          <w:szCs w:val="22"/>
        </w:rPr>
        <w:t>.</w:t>
      </w:r>
    </w:p>
    <w:p w14:paraId="2A7C325D" w14:textId="251C46A6" w:rsidR="000B759F" w:rsidRPr="00431005" w:rsidRDefault="000B759F" w:rsidP="00750881">
      <w:pPr>
        <w:spacing w:line="360" w:lineRule="auto"/>
        <w:rPr>
          <w:rFonts w:ascii="Lato" w:eastAsia="Calibri" w:hAnsi="Lato" w:cs="Calibri"/>
          <w:sz w:val="22"/>
          <w:szCs w:val="22"/>
        </w:rPr>
      </w:pPr>
      <w:r w:rsidRPr="00431005">
        <w:rPr>
          <w:rFonts w:ascii="Lato" w:eastAsia="Calibri" w:hAnsi="Lato" w:cs="Calibri"/>
          <w:sz w:val="22"/>
          <w:szCs w:val="22"/>
        </w:rPr>
        <w:t>Grupa docelowa: ogół społeczeństwa</w:t>
      </w:r>
      <w:r w:rsidR="00413A9A">
        <w:rPr>
          <w:rFonts w:ascii="Lato" w:eastAsia="Calibri" w:hAnsi="Lato" w:cs="Calibri"/>
          <w:sz w:val="22"/>
          <w:szCs w:val="22"/>
        </w:rPr>
        <w:t>.</w:t>
      </w:r>
    </w:p>
    <w:p w14:paraId="79A4D460" w14:textId="37BAB7AC" w:rsidR="000B759F" w:rsidRPr="00431005" w:rsidRDefault="000B759F" w:rsidP="00750881">
      <w:pPr>
        <w:spacing w:line="360" w:lineRule="auto"/>
        <w:rPr>
          <w:rFonts w:ascii="Lato" w:eastAsia="Calibri" w:hAnsi="Lato" w:cs="Calibri"/>
          <w:sz w:val="22"/>
          <w:szCs w:val="22"/>
        </w:rPr>
      </w:pPr>
      <w:r w:rsidRPr="00431005">
        <w:rPr>
          <w:rFonts w:ascii="Lato" w:eastAsia="Calibri" w:hAnsi="Lato" w:cs="Calibri"/>
          <w:sz w:val="22"/>
          <w:szCs w:val="22"/>
        </w:rPr>
        <w:t>Liczba odbiorców: 24712</w:t>
      </w:r>
      <w:r w:rsidR="00413A9A">
        <w:rPr>
          <w:rFonts w:ascii="Lato" w:eastAsia="Calibri" w:hAnsi="Lato" w:cs="Calibri"/>
          <w:sz w:val="22"/>
          <w:szCs w:val="22"/>
        </w:rPr>
        <w:t xml:space="preserve"> osób.</w:t>
      </w:r>
    </w:p>
    <w:p w14:paraId="635F671D" w14:textId="106D97C1" w:rsidR="00747C41" w:rsidRDefault="000B759F" w:rsidP="00750881">
      <w:pPr>
        <w:spacing w:line="360" w:lineRule="auto"/>
        <w:rPr>
          <w:rFonts w:ascii="Lato" w:eastAsia="Calibri" w:hAnsi="Lato" w:cs="Calibri"/>
          <w:sz w:val="22"/>
          <w:szCs w:val="22"/>
        </w:rPr>
      </w:pPr>
      <w:r w:rsidRPr="00431005">
        <w:rPr>
          <w:rFonts w:ascii="Lato" w:eastAsia="Calibri" w:hAnsi="Lato" w:cs="Calibri"/>
          <w:sz w:val="22"/>
          <w:szCs w:val="22"/>
        </w:rPr>
        <w:t xml:space="preserve">Główne działania :Zorganizowano briefing prasowy  dot. profilaktyki chorób zakaźnych ze szczególnym uwzględnieniem krztuśca. Prowadzono edukację bezpośrednią w formie prelekcji oraz wykładów. Tworzono stoiska m.in. w szkołach podstawowych, liceach ogólnokształcących, </w:t>
      </w:r>
      <w:r w:rsidRPr="00431005">
        <w:rPr>
          <w:rFonts w:ascii="Lato" w:eastAsia="Calibri" w:hAnsi="Lato" w:cs="Calibri"/>
          <w:sz w:val="22"/>
          <w:szCs w:val="22"/>
        </w:rPr>
        <w:lastRenderedPageBreak/>
        <w:t>ZOZ-ach i NZOZ-ach, urzędach miast i gmin, a także w starostwach powiatowych oraz</w:t>
      </w:r>
      <w:r w:rsidR="00F45A42">
        <w:rPr>
          <w:rFonts w:ascii="Lato" w:eastAsia="Calibri" w:hAnsi="Lato" w:cs="Calibri"/>
          <w:sz w:val="22"/>
          <w:szCs w:val="22"/>
        </w:rPr>
        <w:t> </w:t>
      </w:r>
      <w:r w:rsidRPr="00431005">
        <w:rPr>
          <w:rFonts w:ascii="Lato" w:eastAsia="Calibri" w:hAnsi="Lato" w:cs="Calibri"/>
          <w:sz w:val="22"/>
          <w:szCs w:val="22"/>
        </w:rPr>
        <w:t xml:space="preserve">ośrodkach </w:t>
      </w:r>
      <w:proofErr w:type="spellStart"/>
      <w:r w:rsidRPr="00431005">
        <w:rPr>
          <w:rFonts w:ascii="Lato" w:eastAsia="Calibri" w:hAnsi="Lato" w:cs="Calibri"/>
          <w:sz w:val="22"/>
          <w:szCs w:val="22"/>
        </w:rPr>
        <w:t>szkolno</w:t>
      </w:r>
      <w:proofErr w:type="spellEnd"/>
      <w:r w:rsidRPr="00431005">
        <w:rPr>
          <w:rFonts w:ascii="Lato" w:eastAsia="Calibri" w:hAnsi="Lato" w:cs="Calibri"/>
          <w:sz w:val="22"/>
          <w:szCs w:val="22"/>
        </w:rPr>
        <w:t xml:space="preserve"> – wychowawczych. Do mediów regionalnych i lokalnych wystosowane zostały informacje prasowe oraz udzielano wywiadów dla TV i radia. </w:t>
      </w:r>
    </w:p>
    <w:p w14:paraId="6D9B9B9F" w14:textId="77777777" w:rsidR="009E63CB" w:rsidRPr="0030499B" w:rsidRDefault="009E63CB" w:rsidP="00750881">
      <w:pPr>
        <w:spacing w:line="360" w:lineRule="auto"/>
        <w:rPr>
          <w:rFonts w:ascii="Lato" w:eastAsia="Calibri" w:hAnsi="Lato" w:cs="Calibri"/>
          <w:sz w:val="22"/>
          <w:szCs w:val="22"/>
        </w:rPr>
      </w:pPr>
    </w:p>
    <w:p w14:paraId="4E7C5DBB" w14:textId="29941B35" w:rsidR="00747C41" w:rsidRDefault="000B759F">
      <w:pPr>
        <w:pStyle w:val="Akapitzlist"/>
        <w:numPr>
          <w:ilvl w:val="0"/>
          <w:numId w:val="18"/>
        </w:numPr>
        <w:spacing w:line="360" w:lineRule="auto"/>
        <w:ind w:left="568" w:right="284" w:hanging="284"/>
        <w:rPr>
          <w:rFonts w:ascii="Lato" w:eastAsia="Calibri" w:hAnsi="Lato" w:cs="Calibri"/>
          <w:b/>
          <w:bCs/>
        </w:rPr>
      </w:pPr>
      <w:bookmarkStart w:id="247" w:name="_Toc225859124"/>
      <w:r w:rsidRPr="001D3C3C">
        <w:rPr>
          <w:rStyle w:val="Nagwek2Znak"/>
          <w:b/>
          <w:bCs/>
        </w:rPr>
        <w:t>Profilaktyka chorób nowotworowych</w:t>
      </w:r>
      <w:bookmarkEnd w:id="247"/>
      <w:r w:rsidRPr="001D3C3C">
        <w:rPr>
          <w:rFonts w:ascii="Lato" w:eastAsia="Calibri" w:hAnsi="Lato" w:cs="Calibri"/>
          <w:b/>
          <w:bCs/>
        </w:rPr>
        <w:t xml:space="preserve"> </w:t>
      </w:r>
    </w:p>
    <w:p w14:paraId="247F758B" w14:textId="77777777" w:rsidR="00F535EC" w:rsidRPr="00F535EC" w:rsidRDefault="00F535EC" w:rsidP="00F535EC">
      <w:pPr>
        <w:spacing w:line="360" w:lineRule="auto"/>
        <w:ind w:left="284" w:right="284"/>
        <w:rPr>
          <w:rFonts w:ascii="Lato" w:eastAsia="Calibri" w:hAnsi="Lato" w:cs="Calibri"/>
          <w:b/>
          <w:bCs/>
        </w:rPr>
      </w:pPr>
    </w:p>
    <w:p w14:paraId="344C2D58" w14:textId="5ACC0179" w:rsidR="000B759F" w:rsidRPr="0030499B" w:rsidRDefault="000B759F">
      <w:pPr>
        <w:pStyle w:val="Akapitzlist"/>
        <w:numPr>
          <w:ilvl w:val="1"/>
          <w:numId w:val="18"/>
        </w:numPr>
        <w:spacing w:line="360" w:lineRule="auto"/>
        <w:ind w:left="568" w:right="284" w:hanging="284"/>
        <w:rPr>
          <w:rStyle w:val="Nagwek3Znak"/>
          <w:rFonts w:eastAsia="Calibri" w:cs="Calibri"/>
          <w:b/>
          <w:bCs/>
          <w:color w:val="auto"/>
          <w:sz w:val="24"/>
          <w:szCs w:val="24"/>
        </w:rPr>
      </w:pPr>
      <w:bookmarkStart w:id="248" w:name="_Toc225859125"/>
      <w:r w:rsidRPr="00D0507A">
        <w:rPr>
          <w:rStyle w:val="Nagwek3Znak"/>
          <w:color w:val="auto"/>
          <w:szCs w:val="22"/>
        </w:rPr>
        <w:t>Program edukacyjny "Znamię! Znam je?"</w:t>
      </w:r>
      <w:bookmarkEnd w:id="248"/>
    </w:p>
    <w:p w14:paraId="29E71D2B" w14:textId="77777777" w:rsidR="0030499B" w:rsidRPr="0030499B" w:rsidRDefault="0030499B" w:rsidP="0030499B">
      <w:pPr>
        <w:spacing w:line="360" w:lineRule="auto"/>
        <w:ind w:right="284"/>
        <w:rPr>
          <w:rFonts w:ascii="Lato" w:eastAsia="Calibri" w:hAnsi="Lato" w:cs="Calibri"/>
          <w:b/>
          <w:bCs/>
          <w:sz w:val="22"/>
          <w:szCs w:val="22"/>
        </w:rPr>
      </w:pPr>
    </w:p>
    <w:p w14:paraId="69745459" w14:textId="1125169B" w:rsidR="000B759F" w:rsidRPr="00F70812" w:rsidRDefault="000B759F" w:rsidP="00750881">
      <w:pPr>
        <w:spacing w:line="360" w:lineRule="auto"/>
        <w:rPr>
          <w:rFonts w:ascii="Lato" w:eastAsia="Calibri" w:hAnsi="Lato" w:cs="Calibri"/>
          <w:sz w:val="22"/>
          <w:szCs w:val="22"/>
          <w:u w:val="single"/>
        </w:rPr>
      </w:pPr>
      <w:r w:rsidRPr="00F70812">
        <w:rPr>
          <w:rFonts w:ascii="Lato" w:eastAsia="Calibri" w:hAnsi="Lato" w:cs="Calibri"/>
          <w:sz w:val="22"/>
          <w:szCs w:val="22"/>
        </w:rPr>
        <w:t>Cel główny: upowszechnienie wiedzy na temat czerniaków</w:t>
      </w:r>
      <w:r w:rsidR="00413A9A">
        <w:rPr>
          <w:rFonts w:ascii="Lato" w:eastAsia="Calibri" w:hAnsi="Lato" w:cs="Calibri"/>
          <w:sz w:val="22"/>
          <w:szCs w:val="22"/>
        </w:rPr>
        <w:t xml:space="preserve"> </w:t>
      </w:r>
    </w:p>
    <w:p w14:paraId="2ED4C0D6" w14:textId="56E0F8F8"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Grupa docelowa: uczniowie ostatnich klas szkół podstawowych oraz szkół ponadpodstawowych, nauczyciele, pedagodzy</w:t>
      </w:r>
      <w:r w:rsidR="00413A9A">
        <w:rPr>
          <w:rFonts w:ascii="Lato" w:eastAsia="Calibri" w:hAnsi="Lato" w:cs="Calibri"/>
          <w:sz w:val="22"/>
          <w:szCs w:val="22"/>
        </w:rPr>
        <w:t xml:space="preserve"> </w:t>
      </w:r>
    </w:p>
    <w:p w14:paraId="32F697CD" w14:textId="0FBC38EF"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Liczba Odbiorców: 1994 osoby</w:t>
      </w:r>
      <w:r w:rsidR="00413A9A">
        <w:rPr>
          <w:rFonts w:ascii="Lato" w:eastAsia="Calibri" w:hAnsi="Lato" w:cs="Calibri"/>
          <w:sz w:val="22"/>
          <w:szCs w:val="22"/>
        </w:rPr>
        <w:t xml:space="preserve"> </w:t>
      </w:r>
    </w:p>
    <w:p w14:paraId="392A66F2" w14:textId="08BA6B12" w:rsidR="000B759F"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Główne działania: Państwowa Inspekcja Sanitarna współpracowała z  organizatorami programu</w:t>
      </w:r>
      <w:r w:rsidR="002B20B5">
        <w:rPr>
          <w:rFonts w:ascii="Lato" w:eastAsia="Calibri" w:hAnsi="Lato" w:cs="Calibri"/>
          <w:sz w:val="22"/>
          <w:szCs w:val="22"/>
        </w:rPr>
        <w:t xml:space="preserve"> -</w:t>
      </w:r>
      <w:r w:rsidRPr="00F70812">
        <w:rPr>
          <w:rFonts w:ascii="Lato" w:eastAsia="Calibri" w:hAnsi="Lato" w:cs="Calibri"/>
          <w:sz w:val="22"/>
          <w:szCs w:val="22"/>
        </w:rPr>
        <w:t xml:space="preserve"> Akademi</w:t>
      </w:r>
      <w:r w:rsidR="002B20B5">
        <w:rPr>
          <w:rFonts w:ascii="Lato" w:eastAsia="Calibri" w:hAnsi="Lato" w:cs="Calibri"/>
          <w:sz w:val="22"/>
          <w:szCs w:val="22"/>
        </w:rPr>
        <w:t>ą</w:t>
      </w:r>
      <w:r w:rsidRPr="00F70812">
        <w:rPr>
          <w:rFonts w:ascii="Lato" w:eastAsia="Calibri" w:hAnsi="Lato" w:cs="Calibri"/>
          <w:sz w:val="22"/>
          <w:szCs w:val="22"/>
        </w:rPr>
        <w:t xml:space="preserve"> Czerniaka stanowiąca sekcję naukową Polskiego Towarzystwa Chirurgii Onkologicznej, Centrum Onkologii Instytut im. Marii Skłodowskiej-Curie w Warszawie oraz Fundacj</w:t>
      </w:r>
      <w:r w:rsidR="002B20B5">
        <w:rPr>
          <w:rFonts w:ascii="Lato" w:eastAsia="Calibri" w:hAnsi="Lato" w:cs="Calibri"/>
          <w:sz w:val="22"/>
          <w:szCs w:val="22"/>
        </w:rPr>
        <w:t>ą</w:t>
      </w:r>
      <w:r w:rsidRPr="00F70812">
        <w:rPr>
          <w:rFonts w:ascii="Lato" w:eastAsia="Calibri" w:hAnsi="Lato" w:cs="Calibri"/>
          <w:sz w:val="22"/>
          <w:szCs w:val="22"/>
        </w:rPr>
        <w:t xml:space="preserve"> „Gwiazda Nadziei. Dodatkowo</w:t>
      </w:r>
      <w:r w:rsidR="002B20B5">
        <w:rPr>
          <w:rFonts w:ascii="Lato" w:eastAsia="Calibri" w:hAnsi="Lato" w:cs="Calibri"/>
          <w:sz w:val="22"/>
          <w:szCs w:val="22"/>
        </w:rPr>
        <w:t>,</w:t>
      </w:r>
      <w:r w:rsidRPr="00F70812">
        <w:rPr>
          <w:rFonts w:ascii="Lato" w:eastAsia="Calibri" w:hAnsi="Lato" w:cs="Calibri"/>
          <w:sz w:val="22"/>
          <w:szCs w:val="22"/>
        </w:rPr>
        <w:t xml:space="preserve"> w sezonie letnim prowadzono </w:t>
      </w:r>
      <w:r w:rsidR="002B20B5">
        <w:rPr>
          <w:rFonts w:ascii="Lato" w:eastAsia="Calibri" w:hAnsi="Lato" w:cs="Calibri"/>
          <w:sz w:val="22"/>
          <w:szCs w:val="22"/>
        </w:rPr>
        <w:t>działania edukacyjne dotyczące wpływu</w:t>
      </w:r>
      <w:r w:rsidRPr="00F70812">
        <w:rPr>
          <w:rFonts w:ascii="Lato" w:eastAsia="Calibri" w:hAnsi="Lato" w:cs="Calibri"/>
          <w:sz w:val="22"/>
          <w:szCs w:val="22"/>
        </w:rPr>
        <w:t xml:space="preserve"> promieniowania ultrafioletowego </w:t>
      </w:r>
      <w:r w:rsidR="00067A4E">
        <w:rPr>
          <w:rFonts w:ascii="Lato" w:eastAsia="Calibri" w:hAnsi="Lato" w:cs="Calibri"/>
          <w:sz w:val="22"/>
          <w:szCs w:val="22"/>
        </w:rPr>
        <w:t xml:space="preserve">na człowieka </w:t>
      </w:r>
      <w:r w:rsidR="002B20B5">
        <w:rPr>
          <w:rFonts w:ascii="Lato" w:eastAsia="Calibri" w:hAnsi="Lato" w:cs="Calibri"/>
          <w:sz w:val="22"/>
          <w:szCs w:val="22"/>
        </w:rPr>
        <w:t>(</w:t>
      </w:r>
      <w:r w:rsidRPr="00F70812">
        <w:rPr>
          <w:rFonts w:ascii="Lato" w:eastAsia="Calibri" w:hAnsi="Lato" w:cs="Calibri"/>
          <w:sz w:val="22"/>
          <w:szCs w:val="22"/>
        </w:rPr>
        <w:t>prelekcj</w:t>
      </w:r>
      <w:r w:rsidR="002B20B5">
        <w:rPr>
          <w:rFonts w:ascii="Lato" w:eastAsia="Calibri" w:hAnsi="Lato" w:cs="Calibri"/>
          <w:sz w:val="22"/>
          <w:szCs w:val="22"/>
        </w:rPr>
        <w:t>e,</w:t>
      </w:r>
      <w:r w:rsidRPr="00F70812">
        <w:rPr>
          <w:rFonts w:ascii="Lato" w:eastAsia="Calibri" w:hAnsi="Lato" w:cs="Calibri"/>
          <w:sz w:val="22"/>
          <w:szCs w:val="22"/>
        </w:rPr>
        <w:t xml:space="preserve"> stoisk</w:t>
      </w:r>
      <w:r w:rsidR="002B20B5">
        <w:rPr>
          <w:rFonts w:ascii="Lato" w:eastAsia="Calibri" w:hAnsi="Lato" w:cs="Calibri"/>
          <w:sz w:val="22"/>
          <w:szCs w:val="22"/>
        </w:rPr>
        <w:t>a</w:t>
      </w:r>
      <w:r w:rsidRPr="00F70812">
        <w:rPr>
          <w:rFonts w:ascii="Lato" w:eastAsia="Calibri" w:hAnsi="Lato" w:cs="Calibri"/>
          <w:sz w:val="22"/>
          <w:szCs w:val="22"/>
        </w:rPr>
        <w:t xml:space="preserve"> edukacyjn</w:t>
      </w:r>
      <w:r w:rsidR="002B20B5">
        <w:rPr>
          <w:rFonts w:ascii="Lato" w:eastAsia="Calibri" w:hAnsi="Lato" w:cs="Calibri"/>
          <w:sz w:val="22"/>
          <w:szCs w:val="22"/>
        </w:rPr>
        <w:t>e).</w:t>
      </w:r>
      <w:r w:rsidRPr="00F70812">
        <w:rPr>
          <w:rFonts w:ascii="Lato" w:eastAsia="Calibri" w:hAnsi="Lato" w:cs="Calibri"/>
          <w:sz w:val="22"/>
          <w:szCs w:val="22"/>
        </w:rPr>
        <w:t xml:space="preserve"> </w:t>
      </w:r>
    </w:p>
    <w:p w14:paraId="1EDD4F1E" w14:textId="77777777" w:rsidR="00053448" w:rsidRPr="00F70812" w:rsidRDefault="00053448" w:rsidP="00750881">
      <w:pPr>
        <w:spacing w:line="360" w:lineRule="auto"/>
        <w:rPr>
          <w:rFonts w:ascii="Lato" w:eastAsia="Calibri" w:hAnsi="Lato" w:cs="Calibri"/>
          <w:sz w:val="22"/>
          <w:szCs w:val="22"/>
        </w:rPr>
      </w:pPr>
    </w:p>
    <w:p w14:paraId="2ABC12BB" w14:textId="5306A12E" w:rsidR="000B759F" w:rsidRPr="0030499B" w:rsidRDefault="000B759F">
      <w:pPr>
        <w:pStyle w:val="Akapitzlist"/>
        <w:numPr>
          <w:ilvl w:val="1"/>
          <w:numId w:val="18"/>
        </w:numPr>
        <w:spacing w:line="360" w:lineRule="auto"/>
        <w:ind w:left="568" w:right="284" w:hanging="284"/>
        <w:rPr>
          <w:rStyle w:val="Nagwek3Znak"/>
          <w:rFonts w:eastAsia="Calibri" w:cs="Calibri"/>
          <w:b/>
          <w:bCs/>
          <w:color w:val="auto"/>
          <w:sz w:val="24"/>
          <w:szCs w:val="24"/>
        </w:rPr>
      </w:pPr>
      <w:bookmarkStart w:id="249" w:name="_Toc225859126"/>
      <w:r w:rsidRPr="00D0507A">
        <w:rPr>
          <w:rStyle w:val="Nagwek3Znak"/>
          <w:color w:val="auto"/>
          <w:szCs w:val="22"/>
        </w:rPr>
        <w:t>Kampania wojewódzka „Bądź swoją bohaterką, Bądź swoim bohaterem”</w:t>
      </w:r>
      <w:bookmarkEnd w:id="249"/>
    </w:p>
    <w:p w14:paraId="396EDEA4" w14:textId="77777777" w:rsidR="0030499B" w:rsidRPr="0030499B" w:rsidRDefault="0030499B" w:rsidP="0030499B">
      <w:pPr>
        <w:spacing w:line="360" w:lineRule="auto"/>
        <w:ind w:right="284"/>
        <w:rPr>
          <w:rFonts w:ascii="Lato" w:eastAsia="Calibri" w:hAnsi="Lato" w:cs="Calibri"/>
          <w:b/>
          <w:bCs/>
          <w:sz w:val="22"/>
          <w:szCs w:val="22"/>
        </w:rPr>
      </w:pPr>
    </w:p>
    <w:p w14:paraId="0C2747FC" w14:textId="5C5C19FD" w:rsidR="000B759F" w:rsidRPr="00F70812" w:rsidRDefault="000B759F" w:rsidP="00C60215">
      <w:pPr>
        <w:spacing w:line="360" w:lineRule="auto"/>
        <w:rPr>
          <w:rFonts w:ascii="Lato" w:eastAsia="Calibri" w:hAnsi="Lato" w:cs="Calibri"/>
          <w:sz w:val="22"/>
          <w:szCs w:val="22"/>
        </w:rPr>
      </w:pPr>
      <w:r w:rsidRPr="00F70812">
        <w:rPr>
          <w:rFonts w:ascii="Lato" w:eastAsia="Calibri" w:hAnsi="Lato" w:cs="Calibri"/>
          <w:sz w:val="22"/>
          <w:szCs w:val="22"/>
        </w:rPr>
        <w:t>Cel główny: podjęcie działań profilaktycznych wśród kobiet i mężczyzn ,aby zachęcić do</w:t>
      </w:r>
      <w:r w:rsidR="00C60215">
        <w:rPr>
          <w:rFonts w:ascii="Lato" w:eastAsia="Calibri" w:hAnsi="Lato" w:cs="Calibri"/>
          <w:sz w:val="22"/>
          <w:szCs w:val="22"/>
        </w:rPr>
        <w:t> </w:t>
      </w:r>
      <w:r w:rsidRPr="00F70812">
        <w:rPr>
          <w:rFonts w:ascii="Lato" w:eastAsia="Calibri" w:hAnsi="Lato" w:cs="Calibri"/>
          <w:sz w:val="22"/>
          <w:szCs w:val="22"/>
        </w:rPr>
        <w:t>regularnego samobadania, a w razie wątpliwości przeprowadzenia badań diagnostycznych.</w:t>
      </w:r>
    </w:p>
    <w:p w14:paraId="5A013CED" w14:textId="77777777" w:rsidR="000B759F" w:rsidRPr="00F70812" w:rsidRDefault="000B759F" w:rsidP="00C60215">
      <w:pPr>
        <w:spacing w:line="360" w:lineRule="auto"/>
        <w:rPr>
          <w:rFonts w:ascii="Lato" w:eastAsia="Calibri" w:hAnsi="Lato" w:cs="Calibri"/>
          <w:sz w:val="22"/>
          <w:szCs w:val="22"/>
        </w:rPr>
      </w:pPr>
      <w:r w:rsidRPr="00F70812">
        <w:rPr>
          <w:rFonts w:ascii="Lato" w:eastAsia="Calibri" w:hAnsi="Lato" w:cs="Calibri"/>
          <w:sz w:val="22"/>
          <w:szCs w:val="22"/>
        </w:rPr>
        <w:t>Grupa docelowa: uczniowie szkół ponadpodstawowych, studenci, członkinie klubów seniora, pracownicy zakładów pracy.</w:t>
      </w:r>
    </w:p>
    <w:p w14:paraId="7C8B3AA4" w14:textId="42E0DF72" w:rsidR="000B759F" w:rsidRPr="00F70812" w:rsidRDefault="000B759F" w:rsidP="00C60215">
      <w:pPr>
        <w:spacing w:line="360" w:lineRule="auto"/>
        <w:rPr>
          <w:rFonts w:ascii="Lato" w:eastAsia="Calibri" w:hAnsi="Lato" w:cs="Calibri"/>
          <w:sz w:val="22"/>
          <w:szCs w:val="22"/>
        </w:rPr>
      </w:pPr>
      <w:r w:rsidRPr="00F70812">
        <w:rPr>
          <w:rFonts w:ascii="Lato" w:eastAsia="Calibri" w:hAnsi="Lato" w:cs="Calibri"/>
          <w:sz w:val="22"/>
          <w:szCs w:val="22"/>
        </w:rPr>
        <w:t>Liczba odbiorców: 4063 osoby</w:t>
      </w:r>
      <w:r w:rsidR="00413A9A">
        <w:rPr>
          <w:rFonts w:ascii="Lato" w:eastAsia="Calibri" w:hAnsi="Lato" w:cs="Calibri"/>
          <w:sz w:val="22"/>
          <w:szCs w:val="22"/>
        </w:rPr>
        <w:t xml:space="preserve"> </w:t>
      </w:r>
      <w:r w:rsidRPr="00F70812">
        <w:rPr>
          <w:rFonts w:ascii="Lato" w:eastAsia="Calibri" w:hAnsi="Lato" w:cs="Calibri"/>
          <w:sz w:val="22"/>
          <w:szCs w:val="22"/>
        </w:rPr>
        <w:t xml:space="preserve"> </w:t>
      </w:r>
    </w:p>
    <w:p w14:paraId="0455B106" w14:textId="593050B6" w:rsidR="000B759F" w:rsidRDefault="000B759F" w:rsidP="00C60215">
      <w:pPr>
        <w:spacing w:line="360" w:lineRule="auto"/>
        <w:rPr>
          <w:rFonts w:ascii="Lato" w:hAnsi="Lato"/>
          <w:sz w:val="22"/>
          <w:szCs w:val="22"/>
        </w:rPr>
      </w:pPr>
      <w:bookmarkStart w:id="250" w:name="_2mx0oi4bqwih" w:colFirst="0" w:colLast="0"/>
      <w:bookmarkEnd w:id="250"/>
      <w:r w:rsidRPr="00F70812">
        <w:rPr>
          <w:rFonts w:ascii="Lato" w:eastAsia="Calibri" w:hAnsi="Lato" w:cs="Calibri"/>
          <w:sz w:val="22"/>
          <w:szCs w:val="22"/>
        </w:rPr>
        <w:t>Główne działania: W 2025 r. połączono kampanię „Bądź swoją bohaterką</w:t>
      </w:r>
      <w:r w:rsidR="00902E4A">
        <w:rPr>
          <w:rFonts w:ascii="Lato" w:eastAsia="Calibri" w:hAnsi="Lato" w:cs="Calibri"/>
          <w:sz w:val="22"/>
          <w:szCs w:val="22"/>
        </w:rPr>
        <w:t>”</w:t>
      </w:r>
      <w:r w:rsidRPr="00F70812">
        <w:rPr>
          <w:rFonts w:ascii="Lato" w:eastAsia="Calibri" w:hAnsi="Lato" w:cs="Calibri"/>
          <w:sz w:val="22"/>
          <w:szCs w:val="22"/>
        </w:rPr>
        <w:t xml:space="preserve"> i profilaktykę raka piersi z kampanią dotyczącą profilaktyki raka prostaty i jąder. Zachęc</w:t>
      </w:r>
      <w:r w:rsidR="00902E4A">
        <w:rPr>
          <w:rFonts w:ascii="Lato" w:eastAsia="Calibri" w:hAnsi="Lato" w:cs="Calibri"/>
          <w:sz w:val="22"/>
          <w:szCs w:val="22"/>
        </w:rPr>
        <w:t>ano</w:t>
      </w:r>
      <w:r w:rsidRPr="00F70812">
        <w:rPr>
          <w:rFonts w:ascii="Lato" w:eastAsia="Calibri" w:hAnsi="Lato" w:cs="Calibri"/>
          <w:sz w:val="22"/>
          <w:szCs w:val="22"/>
        </w:rPr>
        <w:t xml:space="preserve"> panie do wykonywania regularnych comiesięcznych samobadań piersi; korzystania z badań przesiewowych. tj. USG piersi  oraz mammografii , natomiast panów do regularnego samobadania jąder, </w:t>
      </w:r>
      <w:r w:rsidRPr="00F70812">
        <w:rPr>
          <w:rFonts w:ascii="Lato" w:eastAsia="Open Sans" w:hAnsi="Lato" w:cs="Open Sans"/>
          <w:sz w:val="22"/>
          <w:szCs w:val="22"/>
          <w:highlight w:val="white"/>
        </w:rPr>
        <w:t xml:space="preserve"> USG jąder, a także badania krwi określającego poziom PSA. Promowano Narodowy Portal Onkologiczny</w:t>
      </w:r>
      <w:r w:rsidRPr="00F70812">
        <w:rPr>
          <w:rFonts w:ascii="Lato" w:eastAsia="Open Sans" w:hAnsi="Lato" w:cs="Open Sans"/>
          <w:sz w:val="22"/>
          <w:szCs w:val="22"/>
        </w:rPr>
        <w:t>. Prowadzono liczne wykłady i prelekcje. Organizowano konferencje oraz naukę samobadania piersi i jąder. W</w:t>
      </w:r>
      <w:r w:rsidR="00C60215">
        <w:rPr>
          <w:rFonts w:ascii="Lato" w:eastAsia="Open Sans" w:hAnsi="Lato" w:cs="Open Sans"/>
          <w:sz w:val="22"/>
          <w:szCs w:val="22"/>
        </w:rPr>
        <w:t> </w:t>
      </w:r>
      <w:r w:rsidRPr="00F70812">
        <w:rPr>
          <w:rFonts w:ascii="Lato" w:eastAsia="Open Sans" w:hAnsi="Lato" w:cs="Open Sans"/>
          <w:sz w:val="22"/>
          <w:szCs w:val="22"/>
        </w:rPr>
        <w:t xml:space="preserve">Gryfinie </w:t>
      </w:r>
      <w:r w:rsidRPr="00F70812">
        <w:rPr>
          <w:rFonts w:ascii="Lato" w:hAnsi="Lato"/>
          <w:sz w:val="22"/>
          <w:szCs w:val="22"/>
        </w:rPr>
        <w:t xml:space="preserve"> zorganizowano stoisko edukacyjne podczas „Marszu Życia” zainicjowanym przez Stowarzyszanie Amazonek „EWA” z Gryfina. Przedstawiono również prelekcje dla pracowników administracji samorządowej na </w:t>
      </w:r>
      <w:r w:rsidRPr="00F70812">
        <w:rPr>
          <w:rFonts w:ascii="Lato" w:hAnsi="Lato"/>
          <w:sz w:val="22"/>
          <w:szCs w:val="22"/>
        </w:rPr>
        <w:lastRenderedPageBreak/>
        <w:t>terenie powiatu. Publikacje na stronach internetowych oraz w mediach społecznościowych (Facebook).</w:t>
      </w:r>
    </w:p>
    <w:p w14:paraId="472C1414" w14:textId="77777777" w:rsidR="00053448" w:rsidRPr="00F70812" w:rsidRDefault="00053448" w:rsidP="00C60215">
      <w:pPr>
        <w:rPr>
          <w:rFonts w:ascii="Lato" w:hAnsi="Lato"/>
          <w:sz w:val="22"/>
          <w:szCs w:val="22"/>
        </w:rPr>
      </w:pPr>
    </w:p>
    <w:p w14:paraId="6674E801" w14:textId="4864E796" w:rsidR="000B759F" w:rsidRPr="0030499B" w:rsidRDefault="000B759F">
      <w:pPr>
        <w:pStyle w:val="Akapitzlist"/>
        <w:numPr>
          <w:ilvl w:val="1"/>
          <w:numId w:val="18"/>
        </w:numPr>
        <w:spacing w:line="360" w:lineRule="auto"/>
        <w:ind w:left="568" w:right="284" w:hanging="284"/>
        <w:rPr>
          <w:rStyle w:val="Nagwek3Znak"/>
          <w:rFonts w:eastAsia="Times New Roman" w:cs="Times New Roman"/>
          <w:b/>
          <w:bCs/>
          <w:color w:val="auto"/>
          <w:sz w:val="24"/>
          <w:szCs w:val="24"/>
        </w:rPr>
      </w:pPr>
      <w:bookmarkStart w:id="251" w:name="_Toc225859127"/>
      <w:r w:rsidRPr="00D0507A">
        <w:rPr>
          <w:rStyle w:val="Nagwek3Znak"/>
          <w:color w:val="auto"/>
          <w:szCs w:val="22"/>
        </w:rPr>
        <w:t>Profilaktyka HPV</w:t>
      </w:r>
      <w:bookmarkEnd w:id="251"/>
    </w:p>
    <w:p w14:paraId="51802E12" w14:textId="77777777" w:rsidR="0030499B" w:rsidRPr="0030499B" w:rsidRDefault="0030499B" w:rsidP="0030499B">
      <w:pPr>
        <w:spacing w:line="360" w:lineRule="auto"/>
        <w:ind w:right="284"/>
        <w:rPr>
          <w:rFonts w:ascii="Lato" w:hAnsi="Lato"/>
          <w:b/>
          <w:bCs/>
          <w:sz w:val="22"/>
          <w:szCs w:val="22"/>
        </w:rPr>
      </w:pPr>
    </w:p>
    <w:p w14:paraId="2DF54A60" w14:textId="0ECE17FA" w:rsidR="000B759F" w:rsidRPr="00F70812" w:rsidRDefault="000B759F" w:rsidP="00750881">
      <w:pPr>
        <w:spacing w:line="360" w:lineRule="auto"/>
        <w:rPr>
          <w:rFonts w:ascii="Lato" w:hAnsi="Lato"/>
          <w:sz w:val="22"/>
          <w:szCs w:val="22"/>
        </w:rPr>
      </w:pPr>
      <w:r w:rsidRPr="00F70812">
        <w:rPr>
          <w:rFonts w:ascii="Lato" w:hAnsi="Lato"/>
          <w:sz w:val="22"/>
          <w:szCs w:val="22"/>
        </w:rPr>
        <w:t>Cel główny</w:t>
      </w:r>
      <w:r w:rsidRPr="00F70812">
        <w:rPr>
          <w:rFonts w:ascii="Lato" w:hAnsi="Lato"/>
          <w:b/>
          <w:bCs/>
          <w:sz w:val="22"/>
          <w:szCs w:val="22"/>
        </w:rPr>
        <w:t xml:space="preserve">: </w:t>
      </w:r>
      <w:r w:rsidRPr="00F70812">
        <w:rPr>
          <w:rFonts w:ascii="Lato" w:hAnsi="Lato"/>
          <w:sz w:val="22"/>
          <w:szCs w:val="22"/>
        </w:rPr>
        <w:t>zwiększenie wiedzy kobiet na temat profilaktyki raka szyjki</w:t>
      </w:r>
      <w:r w:rsidR="00902E4A">
        <w:rPr>
          <w:rFonts w:ascii="Lato" w:hAnsi="Lato"/>
          <w:sz w:val="22"/>
          <w:szCs w:val="22"/>
        </w:rPr>
        <w:t xml:space="preserve"> </w:t>
      </w:r>
      <w:proofErr w:type="spellStart"/>
      <w:r w:rsidR="00902E4A">
        <w:rPr>
          <w:rFonts w:ascii="Lato" w:hAnsi="Lato"/>
          <w:sz w:val="22"/>
          <w:szCs w:val="22"/>
        </w:rPr>
        <w:t>nacicy</w:t>
      </w:r>
      <w:proofErr w:type="spellEnd"/>
      <w:r w:rsidRPr="00F70812">
        <w:rPr>
          <w:rFonts w:ascii="Lato" w:hAnsi="Lato"/>
          <w:sz w:val="22"/>
          <w:szCs w:val="22"/>
        </w:rPr>
        <w:t>.</w:t>
      </w:r>
    </w:p>
    <w:p w14:paraId="363320D0" w14:textId="77777777" w:rsidR="000B759F" w:rsidRPr="00F70812" w:rsidRDefault="000B759F" w:rsidP="00750881">
      <w:pPr>
        <w:spacing w:line="360" w:lineRule="auto"/>
        <w:rPr>
          <w:rFonts w:ascii="Lato" w:hAnsi="Lato"/>
          <w:sz w:val="22"/>
          <w:szCs w:val="22"/>
        </w:rPr>
      </w:pPr>
      <w:r w:rsidRPr="00F70812">
        <w:rPr>
          <w:rFonts w:ascii="Lato" w:hAnsi="Lato"/>
          <w:sz w:val="22"/>
          <w:szCs w:val="22"/>
        </w:rPr>
        <w:t>Grupa docelowa: nauczyciele, pedagodzy, rodzice dzieci w wieku od 10 roku życia</w:t>
      </w:r>
    </w:p>
    <w:p w14:paraId="627EA088" w14:textId="682FA240" w:rsidR="000B759F" w:rsidRPr="00F70812" w:rsidRDefault="000B759F" w:rsidP="00750881">
      <w:pPr>
        <w:spacing w:line="360" w:lineRule="auto"/>
        <w:rPr>
          <w:rFonts w:ascii="Lato" w:hAnsi="Lato"/>
          <w:sz w:val="22"/>
          <w:szCs w:val="22"/>
        </w:rPr>
      </w:pPr>
      <w:r w:rsidRPr="00F70812">
        <w:rPr>
          <w:rFonts w:ascii="Lato" w:hAnsi="Lato"/>
          <w:sz w:val="22"/>
          <w:szCs w:val="22"/>
        </w:rPr>
        <w:t>Liczba odbiorców: 1684</w:t>
      </w:r>
      <w:r w:rsidR="00413A9A">
        <w:rPr>
          <w:rFonts w:ascii="Lato" w:hAnsi="Lato"/>
          <w:sz w:val="22"/>
          <w:szCs w:val="22"/>
        </w:rPr>
        <w:t xml:space="preserve"> osób.</w:t>
      </w:r>
    </w:p>
    <w:p w14:paraId="2EE15A7F" w14:textId="195A6509" w:rsidR="000B759F" w:rsidRDefault="000B759F" w:rsidP="00750881">
      <w:pPr>
        <w:spacing w:line="360" w:lineRule="auto"/>
        <w:rPr>
          <w:rFonts w:ascii="Lato" w:hAnsi="Lato"/>
          <w:sz w:val="22"/>
          <w:szCs w:val="22"/>
        </w:rPr>
      </w:pPr>
      <w:r w:rsidRPr="00F70812">
        <w:rPr>
          <w:rFonts w:ascii="Lato" w:hAnsi="Lato"/>
          <w:sz w:val="22"/>
          <w:szCs w:val="22"/>
        </w:rPr>
        <w:t xml:space="preserve">Główne działania: Promowano program szczepień przeciwko HPV </w:t>
      </w:r>
      <w:r w:rsidR="005629C1">
        <w:rPr>
          <w:rFonts w:ascii="Lato" w:hAnsi="Lato"/>
          <w:sz w:val="22"/>
          <w:szCs w:val="22"/>
        </w:rPr>
        <w:t>na</w:t>
      </w:r>
      <w:r w:rsidRPr="00F70812">
        <w:rPr>
          <w:rFonts w:ascii="Lato" w:hAnsi="Lato"/>
          <w:sz w:val="22"/>
          <w:szCs w:val="22"/>
        </w:rPr>
        <w:t xml:space="preserve"> spotkania</w:t>
      </w:r>
      <w:r w:rsidR="005629C1">
        <w:rPr>
          <w:rFonts w:ascii="Lato" w:hAnsi="Lato"/>
          <w:sz w:val="22"/>
          <w:szCs w:val="22"/>
        </w:rPr>
        <w:t>ch</w:t>
      </w:r>
      <w:r w:rsidRPr="00F70812">
        <w:rPr>
          <w:rFonts w:ascii="Lato" w:hAnsi="Lato"/>
          <w:sz w:val="22"/>
          <w:szCs w:val="22"/>
        </w:rPr>
        <w:t xml:space="preserve"> z</w:t>
      </w:r>
      <w:r w:rsidR="00AC1CB1">
        <w:rPr>
          <w:rFonts w:ascii="Lato" w:hAnsi="Lato"/>
          <w:sz w:val="22"/>
          <w:szCs w:val="22"/>
        </w:rPr>
        <w:t> </w:t>
      </w:r>
      <w:r w:rsidRPr="00F70812">
        <w:rPr>
          <w:rFonts w:ascii="Lato" w:hAnsi="Lato"/>
          <w:sz w:val="22"/>
          <w:szCs w:val="22"/>
        </w:rPr>
        <w:t>dyrektorami szkół,</w:t>
      </w:r>
      <w:r w:rsidR="005629C1">
        <w:rPr>
          <w:rFonts w:ascii="Lato" w:hAnsi="Lato"/>
          <w:sz w:val="22"/>
          <w:szCs w:val="22"/>
        </w:rPr>
        <w:t xml:space="preserve"> na których</w:t>
      </w:r>
      <w:r w:rsidRPr="00F70812">
        <w:rPr>
          <w:rFonts w:ascii="Lato" w:hAnsi="Lato"/>
          <w:sz w:val="22"/>
          <w:szCs w:val="22"/>
        </w:rPr>
        <w:t xml:space="preserve"> zachęca</w:t>
      </w:r>
      <w:r w:rsidR="005629C1">
        <w:rPr>
          <w:rFonts w:ascii="Lato" w:hAnsi="Lato"/>
          <w:sz w:val="22"/>
          <w:szCs w:val="22"/>
        </w:rPr>
        <w:t>no</w:t>
      </w:r>
      <w:r w:rsidRPr="00F70812">
        <w:rPr>
          <w:rFonts w:ascii="Lato" w:hAnsi="Lato"/>
          <w:sz w:val="22"/>
          <w:szCs w:val="22"/>
        </w:rPr>
        <w:t xml:space="preserve"> do organizowania szczepie</w:t>
      </w:r>
      <w:r w:rsidR="005629C1">
        <w:rPr>
          <w:rFonts w:ascii="Lato" w:hAnsi="Lato"/>
          <w:sz w:val="22"/>
          <w:szCs w:val="22"/>
        </w:rPr>
        <w:t>ń</w:t>
      </w:r>
      <w:r w:rsidRPr="00F70812">
        <w:rPr>
          <w:rFonts w:ascii="Lato" w:hAnsi="Lato"/>
          <w:sz w:val="22"/>
          <w:szCs w:val="22"/>
        </w:rPr>
        <w:t xml:space="preserve"> w  szkołach. Prowadzono spotkania z rodzicami, nagrywano krótkie tematyczne rolki w mediach społecznościowych oraz</w:t>
      </w:r>
      <w:r w:rsidR="00196FE6">
        <w:rPr>
          <w:rFonts w:ascii="Lato" w:hAnsi="Lato"/>
          <w:sz w:val="22"/>
          <w:szCs w:val="22"/>
        </w:rPr>
        <w:t> </w:t>
      </w:r>
      <w:r w:rsidRPr="00F70812">
        <w:rPr>
          <w:rFonts w:ascii="Lato" w:hAnsi="Lato"/>
          <w:sz w:val="22"/>
          <w:szCs w:val="22"/>
        </w:rPr>
        <w:t xml:space="preserve">rekomendowano program na stoiskach edukacyjnych. </w:t>
      </w:r>
    </w:p>
    <w:p w14:paraId="10F2A616" w14:textId="77777777" w:rsidR="00053448" w:rsidRPr="001D3C3C" w:rsidRDefault="00053448" w:rsidP="00750881">
      <w:pPr>
        <w:spacing w:line="360" w:lineRule="auto"/>
        <w:rPr>
          <w:rFonts w:ascii="Lato" w:hAnsi="Lato"/>
          <w:b/>
          <w:bCs/>
          <w:sz w:val="22"/>
          <w:szCs w:val="22"/>
        </w:rPr>
      </w:pPr>
    </w:p>
    <w:p w14:paraId="165992DB" w14:textId="3F5DE01E" w:rsidR="000B759F" w:rsidRDefault="000B759F">
      <w:pPr>
        <w:pStyle w:val="Akapitzlist"/>
        <w:numPr>
          <w:ilvl w:val="0"/>
          <w:numId w:val="18"/>
        </w:numPr>
        <w:spacing w:line="360" w:lineRule="auto"/>
        <w:ind w:left="568" w:right="284" w:hanging="284"/>
        <w:rPr>
          <w:rFonts w:ascii="Lato" w:eastAsia="Calibri" w:hAnsi="Lato" w:cs="Calibri"/>
          <w:b/>
          <w:bCs/>
        </w:rPr>
      </w:pPr>
      <w:bookmarkStart w:id="252" w:name="_Toc225859128"/>
      <w:r w:rsidRPr="001D3C3C">
        <w:rPr>
          <w:rStyle w:val="Nagwek2Znak"/>
          <w:b/>
          <w:bCs/>
        </w:rPr>
        <w:t>Promocja zdrowego stylu życia</w:t>
      </w:r>
      <w:bookmarkEnd w:id="252"/>
      <w:r w:rsidRPr="001D3C3C">
        <w:rPr>
          <w:rFonts w:ascii="Lato" w:eastAsia="Calibri" w:hAnsi="Lato" w:cs="Calibri"/>
          <w:b/>
          <w:bCs/>
        </w:rPr>
        <w:t xml:space="preserve"> </w:t>
      </w:r>
    </w:p>
    <w:p w14:paraId="49F01364" w14:textId="77777777" w:rsidR="00747C41" w:rsidRPr="0030499B" w:rsidRDefault="00747C41" w:rsidP="0030499B">
      <w:pPr>
        <w:spacing w:line="360" w:lineRule="auto"/>
        <w:ind w:right="284"/>
        <w:rPr>
          <w:rFonts w:ascii="Lato" w:eastAsia="Calibri" w:hAnsi="Lato" w:cs="Calibri"/>
          <w:b/>
          <w:bCs/>
          <w:sz w:val="22"/>
          <w:szCs w:val="22"/>
        </w:rPr>
      </w:pPr>
    </w:p>
    <w:p w14:paraId="05639170" w14:textId="6D81345B" w:rsidR="000B759F" w:rsidRPr="00D0507A" w:rsidRDefault="000B759F">
      <w:pPr>
        <w:pStyle w:val="Akapitzlist"/>
        <w:numPr>
          <w:ilvl w:val="1"/>
          <w:numId w:val="18"/>
        </w:numPr>
        <w:spacing w:line="360" w:lineRule="auto"/>
        <w:ind w:left="568" w:right="284" w:hanging="284"/>
        <w:rPr>
          <w:rFonts w:ascii="Lato" w:eastAsia="Calibri" w:hAnsi="Lato" w:cs="Calibri"/>
          <w:b/>
          <w:bCs/>
        </w:rPr>
      </w:pPr>
      <w:bookmarkStart w:id="253" w:name="_Toc225859129"/>
      <w:r w:rsidRPr="00D0507A">
        <w:rPr>
          <w:rStyle w:val="Nagwek3Znak"/>
          <w:color w:val="auto"/>
          <w:szCs w:val="22"/>
        </w:rPr>
        <w:t>Światowy Dzień Zdrowia</w:t>
      </w:r>
      <w:bookmarkEnd w:id="253"/>
      <w:r w:rsidRPr="00D0507A">
        <w:rPr>
          <w:rFonts w:ascii="Lato" w:eastAsia="Calibri" w:hAnsi="Lato" w:cs="Calibri"/>
          <w:b/>
          <w:bCs/>
        </w:rPr>
        <w:t xml:space="preserve">  </w:t>
      </w:r>
    </w:p>
    <w:p w14:paraId="57CF19CD" w14:textId="77777777" w:rsidR="000B759F" w:rsidRDefault="000B759F" w:rsidP="000B759F">
      <w:pPr>
        <w:spacing w:line="276" w:lineRule="auto"/>
        <w:rPr>
          <w:rFonts w:ascii="Lato" w:eastAsia="Calibri" w:hAnsi="Lato" w:cs="Calibri"/>
        </w:rPr>
      </w:pPr>
      <w:r>
        <w:rPr>
          <w:rFonts w:ascii="Lato" w:eastAsia="Calibri" w:hAnsi="Lato" w:cs="Calibri"/>
          <w:b/>
          <w:bCs/>
          <w:noProof/>
        </w:rPr>
        <w:drawing>
          <wp:inline distT="0" distB="0" distL="0" distR="0" wp14:anchorId="25F5C5CC" wp14:editId="085CF0F3">
            <wp:extent cx="1476375" cy="1476375"/>
            <wp:effectExtent l="0" t="0" r="9525" b="9525"/>
            <wp:docPr id="711850004" name="Obraz 6" descr="Zdjęcie 5. Stoisko edukacyjne w ZUW i Sądzie Rejonow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50004" name="Obraz 6" descr="Zdjęcie 5. Stoisko edukacyjne w ZUW i Sądzie Rejonowy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1093" cy="1481093"/>
                    </a:xfrm>
                    <a:prstGeom prst="rect">
                      <a:avLst/>
                    </a:prstGeom>
                    <a:noFill/>
                  </pic:spPr>
                </pic:pic>
              </a:graphicData>
            </a:graphic>
          </wp:inline>
        </w:drawing>
      </w:r>
      <w:r>
        <w:rPr>
          <w:rFonts w:ascii="Lato" w:eastAsia="Calibri" w:hAnsi="Lato" w:cs="Calibri"/>
        </w:rPr>
        <w:t xml:space="preserve">                                                    </w:t>
      </w:r>
      <w:r>
        <w:rPr>
          <w:rFonts w:ascii="Lato" w:eastAsia="Calibri" w:hAnsi="Lato" w:cs="Calibri"/>
          <w:noProof/>
        </w:rPr>
        <w:drawing>
          <wp:inline distT="0" distB="0" distL="0" distR="0" wp14:anchorId="257B9C62" wp14:editId="22C91331">
            <wp:extent cx="1721485" cy="1437888"/>
            <wp:effectExtent l="0" t="0" r="0" b="0"/>
            <wp:docPr id="1871991790" name="Obraz 8" descr="Zdjęcie 5. Stoisko edukacyjne w ZUW i Sądzie Rejonow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91790" name="Obraz 8" descr="Zdjęcie 5. Stoisko edukacyjne w ZUW i Sądzie Rejonowy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4059" cy="1473448"/>
                    </a:xfrm>
                    <a:prstGeom prst="rect">
                      <a:avLst/>
                    </a:prstGeom>
                    <a:noFill/>
                  </pic:spPr>
                </pic:pic>
              </a:graphicData>
            </a:graphic>
          </wp:inline>
        </w:drawing>
      </w:r>
    </w:p>
    <w:p w14:paraId="3F1DBC71" w14:textId="77777777" w:rsidR="000B759F" w:rsidRDefault="000B759F" w:rsidP="000B759F">
      <w:pPr>
        <w:spacing w:line="276" w:lineRule="auto"/>
        <w:rPr>
          <w:rFonts w:ascii="Lato" w:eastAsia="Calibri" w:hAnsi="Lato" w:cs="Calibri"/>
        </w:rPr>
      </w:pPr>
    </w:p>
    <w:p w14:paraId="72D31543" w14:textId="7CB54150" w:rsidR="000B759F" w:rsidRDefault="0030499B" w:rsidP="0030499B">
      <w:pPr>
        <w:pStyle w:val="Legenda"/>
        <w:jc w:val="center"/>
        <w:rPr>
          <w:rFonts w:ascii="Lato" w:hAnsi="Lato"/>
          <w:b w:val="0"/>
          <w:bCs w:val="0"/>
          <w:sz w:val="18"/>
          <w:szCs w:val="18"/>
        </w:rPr>
      </w:pPr>
      <w:bookmarkStart w:id="254" w:name="_Toc225859332"/>
      <w:r w:rsidRPr="0030499B">
        <w:rPr>
          <w:rFonts w:ascii="Lato" w:hAnsi="Lato"/>
          <w:b w:val="0"/>
          <w:bCs w:val="0"/>
          <w:sz w:val="18"/>
          <w:szCs w:val="18"/>
        </w:rPr>
        <w:t xml:space="preserve">Zdjęcie </w:t>
      </w:r>
      <w:r w:rsidRPr="0030499B">
        <w:rPr>
          <w:rFonts w:ascii="Lato" w:hAnsi="Lato"/>
          <w:b w:val="0"/>
          <w:bCs w:val="0"/>
          <w:sz w:val="18"/>
          <w:szCs w:val="18"/>
        </w:rPr>
        <w:fldChar w:fldCharType="begin"/>
      </w:r>
      <w:r w:rsidRPr="0030499B">
        <w:rPr>
          <w:rFonts w:ascii="Lato" w:hAnsi="Lato"/>
          <w:b w:val="0"/>
          <w:bCs w:val="0"/>
          <w:sz w:val="18"/>
          <w:szCs w:val="18"/>
        </w:rPr>
        <w:instrText xml:space="preserve"> SEQ zdjęcie \* ARABIC </w:instrText>
      </w:r>
      <w:r w:rsidRPr="0030499B">
        <w:rPr>
          <w:rFonts w:ascii="Lato" w:hAnsi="Lato"/>
          <w:b w:val="0"/>
          <w:bCs w:val="0"/>
          <w:sz w:val="18"/>
          <w:szCs w:val="18"/>
        </w:rPr>
        <w:fldChar w:fldCharType="separate"/>
      </w:r>
      <w:r w:rsidR="002A3179">
        <w:rPr>
          <w:rFonts w:ascii="Lato" w:hAnsi="Lato"/>
          <w:b w:val="0"/>
          <w:bCs w:val="0"/>
          <w:noProof/>
          <w:sz w:val="18"/>
          <w:szCs w:val="18"/>
        </w:rPr>
        <w:t>5</w:t>
      </w:r>
      <w:r w:rsidRPr="0030499B">
        <w:rPr>
          <w:rFonts w:ascii="Lato" w:hAnsi="Lato"/>
          <w:b w:val="0"/>
          <w:bCs w:val="0"/>
          <w:sz w:val="18"/>
          <w:szCs w:val="18"/>
        </w:rPr>
        <w:fldChar w:fldCharType="end"/>
      </w:r>
      <w:r w:rsidRPr="0030499B">
        <w:rPr>
          <w:rFonts w:ascii="Lato" w:hAnsi="Lato"/>
          <w:b w:val="0"/>
          <w:bCs w:val="0"/>
          <w:sz w:val="18"/>
          <w:szCs w:val="18"/>
        </w:rPr>
        <w:t>. Stoisko edukacyjne w ZUW i Sądzie Rejonowym.</w:t>
      </w:r>
      <w:bookmarkEnd w:id="254"/>
    </w:p>
    <w:p w14:paraId="41A46CBB" w14:textId="77777777" w:rsidR="0030499B" w:rsidRPr="0030499B" w:rsidRDefault="0030499B" w:rsidP="0030499B">
      <w:pPr>
        <w:rPr>
          <w:rFonts w:eastAsia="Calibri"/>
        </w:rPr>
      </w:pPr>
    </w:p>
    <w:p w14:paraId="26E39FDB" w14:textId="0670617F"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 xml:space="preserve">Cel główny: </w:t>
      </w:r>
      <w:r w:rsidRPr="00F70812">
        <w:rPr>
          <w:rFonts w:ascii="Lato" w:hAnsi="Lato"/>
          <w:color w:val="1B1B1B"/>
          <w:sz w:val="22"/>
          <w:szCs w:val="22"/>
          <w:shd w:val="clear" w:color="auto" w:fill="FFFFFF"/>
        </w:rPr>
        <w:t>promowanie całorocznej kampanii na rzecz zdrowia matek i noworodków. pt. „</w:t>
      </w:r>
      <w:r w:rsidRPr="00F70812">
        <w:rPr>
          <w:rStyle w:val="Uwydatnienie"/>
          <w:rFonts w:ascii="Lato" w:eastAsiaTheme="majorEastAsia" w:hAnsi="Lato"/>
          <w:color w:val="1B1B1B"/>
          <w:sz w:val="22"/>
          <w:szCs w:val="22"/>
          <w:shd w:val="clear" w:color="auto" w:fill="FFFFFF"/>
        </w:rPr>
        <w:t>Zdrowe początki, pełna nadziei </w:t>
      </w:r>
      <w:r w:rsidRPr="00F70812">
        <w:rPr>
          <w:rStyle w:val="Pogrubienie"/>
          <w:rFonts w:ascii="Lato" w:eastAsiaTheme="majorEastAsia" w:hAnsi="Lato"/>
          <w:color w:val="1B1B1B"/>
          <w:sz w:val="22"/>
          <w:szCs w:val="22"/>
          <w:shd w:val="clear" w:color="auto" w:fill="FFFFFF"/>
        </w:rPr>
        <w:t>przyszłość”</w:t>
      </w:r>
      <w:r w:rsidR="00413A9A">
        <w:rPr>
          <w:rStyle w:val="Pogrubienie"/>
          <w:rFonts w:ascii="Lato" w:eastAsiaTheme="majorEastAsia" w:hAnsi="Lato"/>
          <w:color w:val="1B1B1B"/>
          <w:sz w:val="22"/>
          <w:szCs w:val="22"/>
          <w:shd w:val="clear" w:color="auto" w:fill="FFFFFF"/>
        </w:rPr>
        <w:t>.</w:t>
      </w:r>
      <w:r w:rsidRPr="00F70812">
        <w:rPr>
          <w:rStyle w:val="Pogrubienie"/>
          <w:rFonts w:ascii="Lato" w:eastAsiaTheme="majorEastAsia" w:hAnsi="Lato"/>
          <w:color w:val="1B1B1B"/>
          <w:sz w:val="22"/>
          <w:szCs w:val="22"/>
          <w:shd w:val="clear" w:color="auto" w:fill="FFFFFF"/>
        </w:rPr>
        <w:t> </w:t>
      </w:r>
    </w:p>
    <w:p w14:paraId="0578596C" w14:textId="2058FC5C" w:rsidR="000B759F" w:rsidRPr="00F70812" w:rsidRDefault="000B759F" w:rsidP="00750881">
      <w:pPr>
        <w:spacing w:line="360" w:lineRule="auto"/>
        <w:rPr>
          <w:rFonts w:ascii="Lato" w:eastAsia="Calibri" w:hAnsi="Lato" w:cs="Calibri"/>
          <w:b/>
          <w:bCs/>
          <w:sz w:val="22"/>
          <w:szCs w:val="22"/>
        </w:rPr>
      </w:pPr>
      <w:r w:rsidRPr="00F70812">
        <w:rPr>
          <w:rFonts w:ascii="Lato" w:eastAsia="Calibri" w:hAnsi="Lato" w:cs="Calibri"/>
          <w:sz w:val="22"/>
          <w:szCs w:val="22"/>
        </w:rPr>
        <w:t>Grupa docelowa: społeczność lokalna, dzieci, młodzież, seniorzy, osoby pracujące</w:t>
      </w:r>
      <w:r w:rsidR="00413A9A">
        <w:rPr>
          <w:rFonts w:ascii="Lato" w:eastAsia="Calibri" w:hAnsi="Lato" w:cs="Calibri"/>
          <w:sz w:val="22"/>
          <w:szCs w:val="22"/>
        </w:rPr>
        <w:t>.</w:t>
      </w:r>
    </w:p>
    <w:p w14:paraId="750B34EF" w14:textId="10D62A3E"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Liczba odbiorców: 15 343 osoby</w:t>
      </w:r>
      <w:r w:rsidR="00413A9A">
        <w:rPr>
          <w:rFonts w:ascii="Lato" w:eastAsia="Calibri" w:hAnsi="Lato" w:cs="Calibri"/>
          <w:sz w:val="22"/>
          <w:szCs w:val="22"/>
        </w:rPr>
        <w:t>.</w:t>
      </w:r>
    </w:p>
    <w:p w14:paraId="49FAB793" w14:textId="77777777"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 xml:space="preserve">Główne działania:  Przeprowadzono prelekcje na temat zdrowia matki i  dziecka. </w:t>
      </w:r>
    </w:p>
    <w:p w14:paraId="32615AE5" w14:textId="41F48BA5"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Zdrowa kobieta w pracy to hasło dwóch wydarzeń jakie w 2025 roku zostały zorganizowane w</w:t>
      </w:r>
      <w:r w:rsidR="00C60215">
        <w:rPr>
          <w:rFonts w:ascii="Lato" w:eastAsia="Calibri" w:hAnsi="Lato" w:cs="Calibri"/>
          <w:sz w:val="22"/>
          <w:szCs w:val="22"/>
        </w:rPr>
        <w:t> </w:t>
      </w:r>
      <w:r w:rsidRPr="00F70812">
        <w:rPr>
          <w:rFonts w:ascii="Lato" w:eastAsia="Calibri" w:hAnsi="Lato" w:cs="Calibri"/>
          <w:sz w:val="22"/>
          <w:szCs w:val="22"/>
        </w:rPr>
        <w:t>ramach obchodów Światowego Dnia Zdrowia. Spotkano się z pracownikami Zachodniopomorskiego Urzędu Wojewódzkiego oraz Sądu Rejonowego w Szczecinie. Dla</w:t>
      </w:r>
      <w:r w:rsidR="00AC1CB1">
        <w:rPr>
          <w:rFonts w:ascii="Lato" w:eastAsia="Calibri" w:hAnsi="Lato" w:cs="Calibri"/>
          <w:sz w:val="22"/>
          <w:szCs w:val="22"/>
        </w:rPr>
        <w:t> </w:t>
      </w:r>
      <w:r w:rsidRPr="00F70812">
        <w:rPr>
          <w:rFonts w:ascii="Lato" w:eastAsia="Calibri" w:hAnsi="Lato" w:cs="Calibri"/>
          <w:sz w:val="22"/>
          <w:szCs w:val="22"/>
        </w:rPr>
        <w:t xml:space="preserve">pracowników Urzędu  przygotowano wykłady dotyczące aktywności fizycznej i jej wpływu na zdrowie kobiet, kobiecego balansu, czyli sztuki zdrowia i prewencji oraz wyzwań jakie stoją przed współczesnymi kobietami.  Na stoiskach edukacyjnych przygotowanych przez Wydział </w:t>
      </w:r>
      <w:r w:rsidRPr="00F70812">
        <w:rPr>
          <w:rFonts w:ascii="Lato" w:eastAsia="Calibri" w:hAnsi="Lato" w:cs="Calibri"/>
          <w:sz w:val="22"/>
          <w:szCs w:val="22"/>
        </w:rPr>
        <w:lastRenderedPageBreak/>
        <w:t>Kultury Fizycznej i Zdrowia Uniwersytetu Szczecińskiego, Wydział Nauk o Zdrowiu Pomorskiego Uniwersytetu Medycznego w Szczecinie oraz Oddziału Promocji Zdrowia WSSE w Szczecinie prowadzono instruktaże w ramach profilaktyki nowotworów piersi i jąder, gdzie uczestnicy mogli przeprowadzić samobadanie na fantomie i nauczyć się jak rozpoznawać niepokojące zmiany. Chętni mogli również przećwiczyć prawidłową technikę mycia rąk i</w:t>
      </w:r>
      <w:r w:rsidR="00AC1CB1">
        <w:rPr>
          <w:rFonts w:ascii="Lato" w:eastAsia="Calibri" w:hAnsi="Lato" w:cs="Calibri"/>
          <w:sz w:val="22"/>
          <w:szCs w:val="22"/>
        </w:rPr>
        <w:t> </w:t>
      </w:r>
      <w:r w:rsidRPr="00F70812">
        <w:rPr>
          <w:rFonts w:ascii="Lato" w:eastAsia="Calibri" w:hAnsi="Lato" w:cs="Calibri"/>
          <w:sz w:val="22"/>
          <w:szCs w:val="22"/>
        </w:rPr>
        <w:t xml:space="preserve">sprawdzić jej efekty z zastosowaniem lampy UV. </w:t>
      </w:r>
    </w:p>
    <w:p w14:paraId="5BE8CA86" w14:textId="77777777" w:rsidR="000B759F" w:rsidRPr="0030499B" w:rsidRDefault="000B759F" w:rsidP="00750881">
      <w:pPr>
        <w:spacing w:line="360" w:lineRule="auto"/>
        <w:rPr>
          <w:rFonts w:ascii="Lato" w:eastAsia="Calibri" w:hAnsi="Lato" w:cs="Calibri"/>
          <w:sz w:val="22"/>
          <w:szCs w:val="22"/>
        </w:rPr>
      </w:pPr>
    </w:p>
    <w:p w14:paraId="7029731F" w14:textId="77777777" w:rsidR="0030499B" w:rsidRPr="0030499B" w:rsidRDefault="000B759F">
      <w:pPr>
        <w:pStyle w:val="Akapitzlist"/>
        <w:numPr>
          <w:ilvl w:val="1"/>
          <w:numId w:val="18"/>
        </w:numPr>
        <w:spacing w:line="360" w:lineRule="auto"/>
        <w:ind w:left="568" w:right="284" w:hanging="284"/>
        <w:rPr>
          <w:rStyle w:val="Nagwek3Znak"/>
          <w:rFonts w:eastAsia="Calibri" w:cs="Calibri"/>
          <w:b/>
          <w:bCs/>
          <w:color w:val="auto"/>
          <w:sz w:val="24"/>
          <w:szCs w:val="24"/>
        </w:rPr>
      </w:pPr>
      <w:r w:rsidRPr="00D0507A">
        <w:rPr>
          <w:rStyle w:val="Nagwek3Znak"/>
          <w:color w:val="auto"/>
          <w:szCs w:val="22"/>
        </w:rPr>
        <w:t xml:space="preserve"> </w:t>
      </w:r>
      <w:bookmarkStart w:id="255" w:name="_Toc225859130"/>
      <w:r w:rsidRPr="00D0507A">
        <w:rPr>
          <w:rStyle w:val="Nagwek3Znak"/>
          <w:color w:val="auto"/>
          <w:szCs w:val="22"/>
        </w:rPr>
        <w:t>Dni Otwarte pod hasłem „Bezpieczeństwo zdrowotne – wspólna odpowiedzialność”</w:t>
      </w:r>
      <w:bookmarkEnd w:id="255"/>
    </w:p>
    <w:p w14:paraId="0CAE4D86" w14:textId="50D0AA7E" w:rsidR="000B759F" w:rsidRPr="00AC50AD" w:rsidRDefault="000B759F" w:rsidP="0030499B">
      <w:pPr>
        <w:spacing w:line="360" w:lineRule="auto"/>
        <w:ind w:right="284"/>
        <w:rPr>
          <w:rFonts w:ascii="Lato" w:eastAsia="Calibri" w:hAnsi="Lato" w:cs="Calibri"/>
          <w:b/>
          <w:bCs/>
          <w:sz w:val="22"/>
          <w:szCs w:val="22"/>
        </w:rPr>
      </w:pPr>
      <w:r w:rsidRPr="0030499B">
        <w:rPr>
          <w:rFonts w:ascii="Lato" w:eastAsia="Calibri" w:hAnsi="Lato" w:cs="Calibri"/>
          <w:b/>
          <w:bCs/>
        </w:rPr>
        <w:t xml:space="preserve">  </w:t>
      </w:r>
    </w:p>
    <w:p w14:paraId="15E0D52A" w14:textId="031F57AE" w:rsidR="000B759F" w:rsidRPr="00053448" w:rsidRDefault="000B759F" w:rsidP="00750881">
      <w:pPr>
        <w:spacing w:line="360" w:lineRule="auto"/>
        <w:rPr>
          <w:rFonts w:ascii="Lato" w:eastAsia="Calibri" w:hAnsi="Lato" w:cs="Calibri"/>
          <w:sz w:val="22"/>
          <w:szCs w:val="22"/>
        </w:rPr>
      </w:pPr>
      <w:r w:rsidRPr="00053448">
        <w:rPr>
          <w:rFonts w:ascii="Lato" w:eastAsia="Calibri" w:hAnsi="Lato" w:cs="Calibri"/>
          <w:sz w:val="22"/>
          <w:szCs w:val="22"/>
        </w:rPr>
        <w:t>Cel główny: promowanie działalności Państwowej Inspekcji Sanitarnej</w:t>
      </w:r>
      <w:r w:rsidR="00413A9A">
        <w:rPr>
          <w:rFonts w:ascii="Lato" w:eastAsia="Calibri" w:hAnsi="Lato" w:cs="Calibri"/>
          <w:sz w:val="22"/>
          <w:szCs w:val="22"/>
        </w:rPr>
        <w:t>.</w:t>
      </w:r>
    </w:p>
    <w:p w14:paraId="6D5E6AAC" w14:textId="647368CE" w:rsidR="000B759F" w:rsidRPr="00053448" w:rsidRDefault="000B759F" w:rsidP="00750881">
      <w:pPr>
        <w:spacing w:line="360" w:lineRule="auto"/>
        <w:rPr>
          <w:rFonts w:ascii="Lato" w:eastAsia="Calibri" w:hAnsi="Lato" w:cs="Calibri"/>
          <w:sz w:val="22"/>
          <w:szCs w:val="22"/>
        </w:rPr>
      </w:pPr>
      <w:r w:rsidRPr="00053448">
        <w:rPr>
          <w:rFonts w:ascii="Lato" w:eastAsia="Calibri" w:hAnsi="Lato" w:cs="Calibri"/>
          <w:sz w:val="22"/>
          <w:szCs w:val="22"/>
        </w:rPr>
        <w:t>Grupa docelowa: społeczność lokalna: w tym dzieci, młodzież, seniorzy</w:t>
      </w:r>
      <w:r w:rsidR="00413A9A">
        <w:rPr>
          <w:rFonts w:ascii="Lato" w:eastAsia="Calibri" w:hAnsi="Lato" w:cs="Calibri"/>
          <w:sz w:val="22"/>
          <w:szCs w:val="22"/>
        </w:rPr>
        <w:t>.</w:t>
      </w:r>
    </w:p>
    <w:p w14:paraId="5A2F2E16" w14:textId="1155F684" w:rsidR="000B759F" w:rsidRDefault="000B759F" w:rsidP="00750881">
      <w:pPr>
        <w:spacing w:line="360" w:lineRule="auto"/>
        <w:rPr>
          <w:rFonts w:ascii="Lato" w:eastAsia="Calibri" w:hAnsi="Lato" w:cs="Calibri"/>
          <w:sz w:val="22"/>
          <w:szCs w:val="22"/>
        </w:rPr>
      </w:pPr>
      <w:r w:rsidRPr="00053448">
        <w:rPr>
          <w:rFonts w:ascii="Lato" w:eastAsia="Calibri" w:hAnsi="Lato" w:cs="Calibri"/>
          <w:sz w:val="22"/>
          <w:szCs w:val="22"/>
        </w:rPr>
        <w:t>Główne działania: W dniach 7–11 kwietnia 2025 roku, odbyły się wydarzenia we wszystkich stacjach sanitarno-epidemiologicznych woj. zachodniopomorskiego dotyczące tematyki zdrowia publicznego. Można było  uczestniczyć w prelekcjach dotyczących profilaktyki zdrowotnej i bezpieczeństwa sanitarnego,</w:t>
      </w:r>
      <w:r w:rsidR="00053448">
        <w:rPr>
          <w:rFonts w:ascii="Lato" w:eastAsia="Calibri" w:hAnsi="Lato" w:cs="Calibri"/>
          <w:sz w:val="22"/>
          <w:szCs w:val="22"/>
        </w:rPr>
        <w:t xml:space="preserve"> </w:t>
      </w:r>
      <w:r w:rsidRPr="00053448">
        <w:rPr>
          <w:rFonts w:ascii="Lato" w:eastAsia="Calibri" w:hAnsi="Lato" w:cs="Calibri"/>
          <w:sz w:val="22"/>
          <w:szCs w:val="22"/>
        </w:rPr>
        <w:t>zwiedza</w:t>
      </w:r>
      <w:r w:rsidRPr="00053448">
        <w:rPr>
          <w:rFonts w:ascii="Lato" w:eastAsia="Calibri" w:hAnsi="Lato" w:cs="Lato"/>
          <w:sz w:val="22"/>
          <w:szCs w:val="22"/>
        </w:rPr>
        <w:t>ć</w:t>
      </w:r>
      <w:r w:rsidRPr="00053448">
        <w:rPr>
          <w:rFonts w:ascii="Lato" w:eastAsia="Calibri" w:hAnsi="Lato" w:cs="Calibri"/>
          <w:sz w:val="22"/>
          <w:szCs w:val="22"/>
        </w:rPr>
        <w:t xml:space="preserve"> laboratoria i poznawa</w:t>
      </w:r>
      <w:r w:rsidRPr="00053448">
        <w:rPr>
          <w:rFonts w:ascii="Lato" w:eastAsia="Calibri" w:hAnsi="Lato" w:cs="Lato"/>
          <w:sz w:val="22"/>
          <w:szCs w:val="22"/>
        </w:rPr>
        <w:t>ć</w:t>
      </w:r>
      <w:r w:rsidRPr="00053448">
        <w:rPr>
          <w:rFonts w:ascii="Lato" w:eastAsia="Calibri" w:hAnsi="Lato" w:cs="Calibri"/>
          <w:sz w:val="22"/>
          <w:szCs w:val="22"/>
        </w:rPr>
        <w:t xml:space="preserve"> metody badania wody oraz </w:t>
      </w:r>
      <w:r w:rsidRPr="00053448">
        <w:rPr>
          <w:rFonts w:ascii="Lato" w:eastAsia="Calibri" w:hAnsi="Lato" w:cs="Lato"/>
          <w:sz w:val="22"/>
          <w:szCs w:val="22"/>
        </w:rPr>
        <w:t>ż</w:t>
      </w:r>
      <w:r w:rsidRPr="00053448">
        <w:rPr>
          <w:rFonts w:ascii="Lato" w:eastAsia="Calibri" w:hAnsi="Lato" w:cs="Calibri"/>
          <w:sz w:val="22"/>
          <w:szCs w:val="22"/>
        </w:rPr>
        <w:t>ywno</w:t>
      </w:r>
      <w:r w:rsidRPr="00053448">
        <w:rPr>
          <w:rFonts w:ascii="Lato" w:eastAsia="Calibri" w:hAnsi="Lato" w:cs="Lato"/>
          <w:sz w:val="22"/>
          <w:szCs w:val="22"/>
        </w:rPr>
        <w:t>ś</w:t>
      </w:r>
      <w:r w:rsidRPr="00053448">
        <w:rPr>
          <w:rFonts w:ascii="Lato" w:eastAsia="Calibri" w:hAnsi="Lato" w:cs="Calibri"/>
          <w:sz w:val="22"/>
          <w:szCs w:val="22"/>
        </w:rPr>
        <w:t>ci, bra</w:t>
      </w:r>
      <w:r w:rsidRPr="00053448">
        <w:rPr>
          <w:rFonts w:ascii="Lato" w:eastAsia="Calibri" w:hAnsi="Lato" w:cs="Lato"/>
          <w:sz w:val="22"/>
          <w:szCs w:val="22"/>
        </w:rPr>
        <w:t>ć</w:t>
      </w:r>
      <w:r w:rsidRPr="00053448">
        <w:rPr>
          <w:rFonts w:ascii="Lato" w:eastAsia="Calibri" w:hAnsi="Lato" w:cs="Calibri"/>
          <w:sz w:val="22"/>
          <w:szCs w:val="22"/>
        </w:rPr>
        <w:t xml:space="preserve"> udzia</w:t>
      </w:r>
      <w:r w:rsidRPr="00053448">
        <w:rPr>
          <w:rFonts w:ascii="Lato" w:eastAsia="Calibri" w:hAnsi="Lato" w:cs="Lato"/>
          <w:sz w:val="22"/>
          <w:szCs w:val="22"/>
        </w:rPr>
        <w:t>ł</w:t>
      </w:r>
      <w:r w:rsidRPr="00053448">
        <w:rPr>
          <w:rFonts w:ascii="Lato" w:eastAsia="Calibri" w:hAnsi="Lato" w:cs="Calibri"/>
          <w:sz w:val="22"/>
          <w:szCs w:val="22"/>
        </w:rPr>
        <w:t xml:space="preserve"> w warsztatach edukacyjnych, takich jak nauka mycia r</w:t>
      </w:r>
      <w:r w:rsidRPr="00053448">
        <w:rPr>
          <w:rFonts w:ascii="Lato" w:eastAsia="Calibri" w:hAnsi="Lato" w:cs="Lato"/>
          <w:sz w:val="22"/>
          <w:szCs w:val="22"/>
        </w:rPr>
        <w:t>ą</w:t>
      </w:r>
      <w:r w:rsidRPr="00053448">
        <w:rPr>
          <w:rFonts w:ascii="Lato" w:eastAsia="Calibri" w:hAnsi="Lato" w:cs="Calibri"/>
          <w:sz w:val="22"/>
          <w:szCs w:val="22"/>
        </w:rPr>
        <w:t>k z</w:t>
      </w:r>
      <w:r w:rsidR="00AC1CB1">
        <w:rPr>
          <w:rFonts w:ascii="Lato" w:eastAsia="Calibri" w:hAnsi="Lato" w:cs="Calibri"/>
          <w:sz w:val="22"/>
          <w:szCs w:val="22"/>
        </w:rPr>
        <w:t> </w:t>
      </w:r>
      <w:r w:rsidRPr="00053448">
        <w:rPr>
          <w:rFonts w:ascii="Lato" w:eastAsia="Calibri" w:hAnsi="Lato" w:cs="Calibri"/>
          <w:sz w:val="22"/>
          <w:szCs w:val="22"/>
        </w:rPr>
        <w:t>u</w:t>
      </w:r>
      <w:r w:rsidRPr="00053448">
        <w:rPr>
          <w:rFonts w:ascii="Lato" w:eastAsia="Calibri" w:hAnsi="Lato" w:cs="Lato"/>
          <w:sz w:val="22"/>
          <w:szCs w:val="22"/>
        </w:rPr>
        <w:t>ż</w:t>
      </w:r>
      <w:r w:rsidRPr="00053448">
        <w:rPr>
          <w:rFonts w:ascii="Lato" w:eastAsia="Calibri" w:hAnsi="Lato" w:cs="Calibri"/>
          <w:sz w:val="22"/>
          <w:szCs w:val="22"/>
        </w:rPr>
        <w:t>yciem lampy UV czy symulacje w alkogoglach, korzysta</w:t>
      </w:r>
      <w:r w:rsidRPr="00053448">
        <w:rPr>
          <w:rFonts w:ascii="Lato" w:eastAsia="Calibri" w:hAnsi="Lato" w:cs="Lato"/>
          <w:sz w:val="22"/>
          <w:szCs w:val="22"/>
        </w:rPr>
        <w:t>ć</w:t>
      </w:r>
      <w:r w:rsidRPr="00053448">
        <w:rPr>
          <w:rFonts w:ascii="Lato" w:eastAsia="Calibri" w:hAnsi="Lato" w:cs="Calibri"/>
          <w:sz w:val="22"/>
          <w:szCs w:val="22"/>
        </w:rPr>
        <w:t xml:space="preserve"> z poradnictwa zdrowotnego i</w:t>
      </w:r>
      <w:r w:rsidR="00AC1CB1">
        <w:rPr>
          <w:rFonts w:ascii="Lato" w:eastAsia="Calibri" w:hAnsi="Lato" w:cs="Calibri"/>
          <w:sz w:val="22"/>
          <w:szCs w:val="22"/>
        </w:rPr>
        <w:t> </w:t>
      </w:r>
      <w:r w:rsidRPr="00053448">
        <w:rPr>
          <w:rFonts w:ascii="Lato" w:eastAsia="Calibri" w:hAnsi="Lato" w:cs="Calibri"/>
          <w:sz w:val="22"/>
          <w:szCs w:val="22"/>
        </w:rPr>
        <w:t>profilaktycznych pomiar</w:t>
      </w:r>
      <w:r w:rsidRPr="00053448">
        <w:rPr>
          <w:rFonts w:ascii="Lato" w:eastAsia="Calibri" w:hAnsi="Lato" w:cs="Lato"/>
          <w:sz w:val="22"/>
          <w:szCs w:val="22"/>
        </w:rPr>
        <w:t>ó</w:t>
      </w:r>
      <w:r w:rsidRPr="00053448">
        <w:rPr>
          <w:rFonts w:ascii="Lato" w:eastAsia="Calibri" w:hAnsi="Lato" w:cs="Calibri"/>
          <w:sz w:val="22"/>
          <w:szCs w:val="22"/>
        </w:rPr>
        <w:t>w, takich jak ci</w:t>
      </w:r>
      <w:r w:rsidRPr="00053448">
        <w:rPr>
          <w:rFonts w:ascii="Lato" w:eastAsia="Calibri" w:hAnsi="Lato" w:cs="Lato"/>
          <w:sz w:val="22"/>
          <w:szCs w:val="22"/>
        </w:rPr>
        <w:t>ś</w:t>
      </w:r>
      <w:r w:rsidRPr="00053448">
        <w:rPr>
          <w:rFonts w:ascii="Lato" w:eastAsia="Calibri" w:hAnsi="Lato" w:cs="Calibri"/>
          <w:sz w:val="22"/>
          <w:szCs w:val="22"/>
        </w:rPr>
        <w:t>nienie krwi czy analiza sk</w:t>
      </w:r>
      <w:r w:rsidRPr="00053448">
        <w:rPr>
          <w:rFonts w:ascii="Lato" w:eastAsia="Calibri" w:hAnsi="Lato" w:cs="Lato"/>
          <w:sz w:val="22"/>
          <w:szCs w:val="22"/>
        </w:rPr>
        <w:t>ł</w:t>
      </w:r>
      <w:r w:rsidRPr="00053448">
        <w:rPr>
          <w:rFonts w:ascii="Lato" w:eastAsia="Calibri" w:hAnsi="Lato" w:cs="Calibri"/>
          <w:sz w:val="22"/>
          <w:szCs w:val="22"/>
        </w:rPr>
        <w:t>adu masy cia</w:t>
      </w:r>
      <w:r w:rsidRPr="00053448">
        <w:rPr>
          <w:rFonts w:ascii="Lato" w:eastAsia="Calibri" w:hAnsi="Lato" w:cs="Lato"/>
          <w:sz w:val="22"/>
          <w:szCs w:val="22"/>
        </w:rPr>
        <w:t>ł</w:t>
      </w:r>
      <w:r w:rsidRPr="00053448">
        <w:rPr>
          <w:rFonts w:ascii="Lato" w:eastAsia="Calibri" w:hAnsi="Lato" w:cs="Calibri"/>
          <w:sz w:val="22"/>
          <w:szCs w:val="22"/>
        </w:rPr>
        <w:t>a. Dni Otwarte cieszy</w:t>
      </w:r>
      <w:r w:rsidRPr="00053448">
        <w:rPr>
          <w:rFonts w:ascii="Lato" w:eastAsia="Calibri" w:hAnsi="Lato" w:cs="Lato"/>
          <w:sz w:val="22"/>
          <w:szCs w:val="22"/>
        </w:rPr>
        <w:t>ł</w:t>
      </w:r>
      <w:r w:rsidRPr="00053448">
        <w:rPr>
          <w:rFonts w:ascii="Lato" w:eastAsia="Calibri" w:hAnsi="Lato" w:cs="Calibri"/>
          <w:sz w:val="22"/>
          <w:szCs w:val="22"/>
        </w:rPr>
        <w:t>y si</w:t>
      </w:r>
      <w:r w:rsidRPr="00053448">
        <w:rPr>
          <w:rFonts w:ascii="Lato" w:eastAsia="Calibri" w:hAnsi="Lato" w:cs="Lato"/>
          <w:sz w:val="22"/>
          <w:szCs w:val="22"/>
        </w:rPr>
        <w:t>ę</w:t>
      </w:r>
      <w:r w:rsidRPr="00053448">
        <w:rPr>
          <w:rFonts w:ascii="Lato" w:eastAsia="Calibri" w:hAnsi="Lato" w:cs="Calibri"/>
          <w:sz w:val="22"/>
          <w:szCs w:val="22"/>
        </w:rPr>
        <w:t xml:space="preserve"> du</w:t>
      </w:r>
      <w:r w:rsidRPr="00053448">
        <w:rPr>
          <w:rFonts w:ascii="Lato" w:eastAsia="Calibri" w:hAnsi="Lato" w:cs="Lato"/>
          <w:sz w:val="22"/>
          <w:szCs w:val="22"/>
        </w:rPr>
        <w:t>ż</w:t>
      </w:r>
      <w:r w:rsidRPr="00053448">
        <w:rPr>
          <w:rFonts w:ascii="Lato" w:eastAsia="Calibri" w:hAnsi="Lato" w:cs="Calibri"/>
          <w:sz w:val="22"/>
          <w:szCs w:val="22"/>
        </w:rPr>
        <w:t>ym zainteresowaniem, szczeg</w:t>
      </w:r>
      <w:r w:rsidRPr="00053448">
        <w:rPr>
          <w:rFonts w:ascii="Lato" w:eastAsia="Calibri" w:hAnsi="Lato" w:cs="Lato"/>
          <w:sz w:val="22"/>
          <w:szCs w:val="22"/>
        </w:rPr>
        <w:t>ó</w:t>
      </w:r>
      <w:r w:rsidRPr="00053448">
        <w:rPr>
          <w:rFonts w:ascii="Lato" w:eastAsia="Calibri" w:hAnsi="Lato" w:cs="Calibri"/>
          <w:sz w:val="22"/>
          <w:szCs w:val="22"/>
        </w:rPr>
        <w:t>lnie w</w:t>
      </w:r>
      <w:r w:rsidRPr="00053448">
        <w:rPr>
          <w:rFonts w:ascii="Lato" w:eastAsia="Calibri" w:hAnsi="Lato" w:cs="Lato"/>
          <w:sz w:val="22"/>
          <w:szCs w:val="22"/>
        </w:rPr>
        <w:t>ś</w:t>
      </w:r>
      <w:r w:rsidRPr="00053448">
        <w:rPr>
          <w:rFonts w:ascii="Lato" w:eastAsia="Calibri" w:hAnsi="Lato" w:cs="Calibri"/>
          <w:sz w:val="22"/>
          <w:szCs w:val="22"/>
        </w:rPr>
        <w:t>r</w:t>
      </w:r>
      <w:r w:rsidRPr="00053448">
        <w:rPr>
          <w:rFonts w:ascii="Lato" w:eastAsia="Calibri" w:hAnsi="Lato" w:cs="Lato"/>
          <w:sz w:val="22"/>
          <w:szCs w:val="22"/>
        </w:rPr>
        <w:t>ó</w:t>
      </w:r>
      <w:r w:rsidRPr="00053448">
        <w:rPr>
          <w:rFonts w:ascii="Lato" w:eastAsia="Calibri" w:hAnsi="Lato" w:cs="Calibri"/>
          <w:sz w:val="22"/>
          <w:szCs w:val="22"/>
        </w:rPr>
        <w:t>d dzieci i m</w:t>
      </w:r>
      <w:r w:rsidRPr="00053448">
        <w:rPr>
          <w:rFonts w:ascii="Lato" w:eastAsia="Calibri" w:hAnsi="Lato" w:cs="Lato"/>
          <w:sz w:val="22"/>
          <w:szCs w:val="22"/>
        </w:rPr>
        <w:t>ł</w:t>
      </w:r>
      <w:r w:rsidRPr="00053448">
        <w:rPr>
          <w:rFonts w:ascii="Lato" w:eastAsia="Calibri" w:hAnsi="Lato" w:cs="Calibri"/>
          <w:sz w:val="22"/>
          <w:szCs w:val="22"/>
        </w:rPr>
        <w:t>odzie</w:t>
      </w:r>
      <w:r w:rsidRPr="00053448">
        <w:rPr>
          <w:rFonts w:ascii="Lato" w:eastAsia="Calibri" w:hAnsi="Lato" w:cs="Lato"/>
          <w:sz w:val="22"/>
          <w:szCs w:val="22"/>
        </w:rPr>
        <w:t>ż</w:t>
      </w:r>
      <w:r w:rsidRPr="00053448">
        <w:rPr>
          <w:rFonts w:ascii="Lato" w:eastAsia="Calibri" w:hAnsi="Lato" w:cs="Calibri"/>
          <w:sz w:val="22"/>
          <w:szCs w:val="22"/>
        </w:rPr>
        <w:t>y, ale tak</w:t>
      </w:r>
      <w:r w:rsidRPr="00053448">
        <w:rPr>
          <w:rFonts w:ascii="Lato" w:eastAsia="Calibri" w:hAnsi="Lato" w:cs="Lato"/>
          <w:sz w:val="22"/>
          <w:szCs w:val="22"/>
        </w:rPr>
        <w:t>ż</w:t>
      </w:r>
      <w:r w:rsidRPr="00053448">
        <w:rPr>
          <w:rFonts w:ascii="Lato" w:eastAsia="Calibri" w:hAnsi="Lato" w:cs="Calibri"/>
          <w:sz w:val="22"/>
          <w:szCs w:val="22"/>
        </w:rPr>
        <w:t>e w</w:t>
      </w:r>
      <w:r w:rsidRPr="00053448">
        <w:rPr>
          <w:rFonts w:ascii="Lato" w:eastAsia="Calibri" w:hAnsi="Lato" w:cs="Lato"/>
          <w:sz w:val="22"/>
          <w:szCs w:val="22"/>
        </w:rPr>
        <w:t>ś</w:t>
      </w:r>
      <w:r w:rsidRPr="00053448">
        <w:rPr>
          <w:rFonts w:ascii="Lato" w:eastAsia="Calibri" w:hAnsi="Lato" w:cs="Calibri"/>
          <w:sz w:val="22"/>
          <w:szCs w:val="22"/>
        </w:rPr>
        <w:t>r</w:t>
      </w:r>
      <w:r w:rsidRPr="00053448">
        <w:rPr>
          <w:rFonts w:ascii="Lato" w:eastAsia="Calibri" w:hAnsi="Lato" w:cs="Lato"/>
          <w:sz w:val="22"/>
          <w:szCs w:val="22"/>
        </w:rPr>
        <w:t>ó</w:t>
      </w:r>
      <w:r w:rsidRPr="00053448">
        <w:rPr>
          <w:rFonts w:ascii="Lato" w:eastAsia="Calibri" w:hAnsi="Lato" w:cs="Calibri"/>
          <w:sz w:val="22"/>
          <w:szCs w:val="22"/>
        </w:rPr>
        <w:t>d os</w:t>
      </w:r>
      <w:r w:rsidRPr="00053448">
        <w:rPr>
          <w:rFonts w:ascii="Lato" w:eastAsia="Calibri" w:hAnsi="Lato" w:cs="Lato"/>
          <w:sz w:val="22"/>
          <w:szCs w:val="22"/>
        </w:rPr>
        <w:t>ó</w:t>
      </w:r>
      <w:r w:rsidRPr="00053448">
        <w:rPr>
          <w:rFonts w:ascii="Lato" w:eastAsia="Calibri" w:hAnsi="Lato" w:cs="Calibri"/>
          <w:sz w:val="22"/>
          <w:szCs w:val="22"/>
        </w:rPr>
        <w:t>b doros</w:t>
      </w:r>
      <w:r w:rsidRPr="00053448">
        <w:rPr>
          <w:rFonts w:ascii="Lato" w:eastAsia="Calibri" w:hAnsi="Lato" w:cs="Lato"/>
          <w:sz w:val="22"/>
          <w:szCs w:val="22"/>
        </w:rPr>
        <w:t>ł</w:t>
      </w:r>
      <w:r w:rsidRPr="00053448">
        <w:rPr>
          <w:rFonts w:ascii="Lato" w:eastAsia="Calibri" w:hAnsi="Lato" w:cs="Calibri"/>
          <w:sz w:val="22"/>
          <w:szCs w:val="22"/>
        </w:rPr>
        <w:t>ych.</w:t>
      </w:r>
    </w:p>
    <w:p w14:paraId="57123388" w14:textId="77777777" w:rsidR="00053448" w:rsidRPr="00053448" w:rsidRDefault="00053448" w:rsidP="00750881">
      <w:pPr>
        <w:spacing w:line="360" w:lineRule="auto"/>
        <w:rPr>
          <w:rFonts w:ascii="Lato" w:eastAsia="Calibri" w:hAnsi="Lato" w:cs="Calibri"/>
          <w:sz w:val="22"/>
          <w:szCs w:val="22"/>
        </w:rPr>
      </w:pPr>
    </w:p>
    <w:p w14:paraId="5F07E785" w14:textId="77777777" w:rsidR="000B759F" w:rsidRDefault="000B759F" w:rsidP="000B3940">
      <w:pPr>
        <w:pBdr>
          <w:top w:val="nil"/>
          <w:left w:val="nil"/>
          <w:bottom w:val="nil"/>
          <w:right w:val="nil"/>
          <w:between w:val="nil"/>
        </w:pBdr>
        <w:spacing w:line="276" w:lineRule="auto"/>
        <w:ind w:left="426"/>
        <w:jc w:val="center"/>
        <w:rPr>
          <w:rFonts w:ascii="Lato" w:eastAsia="Calibri" w:hAnsi="Lato" w:cs="Calibri"/>
          <w:color w:val="EE0000"/>
        </w:rPr>
      </w:pPr>
      <w:r>
        <w:rPr>
          <w:rFonts w:ascii="Lato" w:eastAsia="Calibri" w:hAnsi="Lato" w:cs="Calibri"/>
          <w:noProof/>
          <w:color w:val="EE0000"/>
        </w:rPr>
        <w:drawing>
          <wp:inline distT="0" distB="0" distL="0" distR="0" wp14:anchorId="1E748450" wp14:editId="74C6D571">
            <wp:extent cx="3251200" cy="1828800"/>
            <wp:effectExtent l="0" t="0" r="6350" b="0"/>
            <wp:docPr id="1619736948" name="Obraz 9" descr="Zdjęcie 6. Dni Otwarte Państwowej Inspekcji Sanitar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36948" name="Obraz 9" descr="Zdjęcie 6. Dni Otwarte Państwowej Inspekcji Sanitarnej."/>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63801" cy="1835888"/>
                    </a:xfrm>
                    <a:prstGeom prst="rect">
                      <a:avLst/>
                    </a:prstGeom>
                    <a:noFill/>
                  </pic:spPr>
                </pic:pic>
              </a:graphicData>
            </a:graphic>
          </wp:inline>
        </w:drawing>
      </w:r>
    </w:p>
    <w:p w14:paraId="4D49B7E0" w14:textId="57B8A483" w:rsidR="000B759F" w:rsidRPr="00AC50AD" w:rsidRDefault="00AC50AD" w:rsidP="00AC50AD">
      <w:pPr>
        <w:pStyle w:val="Legenda"/>
        <w:jc w:val="center"/>
        <w:rPr>
          <w:rFonts w:ascii="Lato" w:hAnsi="Lato"/>
          <w:b w:val="0"/>
          <w:bCs w:val="0"/>
          <w:sz w:val="18"/>
          <w:szCs w:val="18"/>
        </w:rPr>
      </w:pPr>
      <w:bookmarkStart w:id="256" w:name="_Toc225859333"/>
      <w:r w:rsidRPr="00AC50AD">
        <w:rPr>
          <w:rFonts w:ascii="Lato" w:hAnsi="Lato"/>
          <w:b w:val="0"/>
          <w:bCs w:val="0"/>
          <w:sz w:val="18"/>
          <w:szCs w:val="18"/>
        </w:rPr>
        <w:t xml:space="preserve">Zdjęcie </w:t>
      </w:r>
      <w:r w:rsidRPr="00AC50AD">
        <w:rPr>
          <w:rFonts w:ascii="Lato" w:hAnsi="Lato"/>
          <w:b w:val="0"/>
          <w:bCs w:val="0"/>
          <w:sz w:val="18"/>
          <w:szCs w:val="18"/>
        </w:rPr>
        <w:fldChar w:fldCharType="begin"/>
      </w:r>
      <w:r w:rsidRPr="00AC50AD">
        <w:rPr>
          <w:rFonts w:ascii="Lato" w:hAnsi="Lato"/>
          <w:b w:val="0"/>
          <w:bCs w:val="0"/>
          <w:sz w:val="18"/>
          <w:szCs w:val="18"/>
        </w:rPr>
        <w:instrText xml:space="preserve"> SEQ zdjęcie \* ARABIC </w:instrText>
      </w:r>
      <w:r w:rsidRPr="00AC50AD">
        <w:rPr>
          <w:rFonts w:ascii="Lato" w:hAnsi="Lato"/>
          <w:b w:val="0"/>
          <w:bCs w:val="0"/>
          <w:sz w:val="18"/>
          <w:szCs w:val="18"/>
        </w:rPr>
        <w:fldChar w:fldCharType="separate"/>
      </w:r>
      <w:r w:rsidR="002A3179">
        <w:rPr>
          <w:rFonts w:ascii="Lato" w:hAnsi="Lato"/>
          <w:b w:val="0"/>
          <w:bCs w:val="0"/>
          <w:noProof/>
          <w:sz w:val="18"/>
          <w:szCs w:val="18"/>
        </w:rPr>
        <w:t>6</w:t>
      </w:r>
      <w:r w:rsidRPr="00AC50AD">
        <w:rPr>
          <w:rFonts w:ascii="Lato" w:hAnsi="Lato"/>
          <w:b w:val="0"/>
          <w:bCs w:val="0"/>
          <w:sz w:val="18"/>
          <w:szCs w:val="18"/>
        </w:rPr>
        <w:fldChar w:fldCharType="end"/>
      </w:r>
      <w:r w:rsidRPr="00AC50AD">
        <w:rPr>
          <w:rFonts w:ascii="Lato" w:hAnsi="Lato"/>
          <w:b w:val="0"/>
          <w:bCs w:val="0"/>
          <w:sz w:val="18"/>
          <w:szCs w:val="18"/>
        </w:rPr>
        <w:t xml:space="preserve">. Dni </w:t>
      </w:r>
      <w:r w:rsidR="00647129">
        <w:rPr>
          <w:rFonts w:ascii="Lato" w:hAnsi="Lato"/>
          <w:b w:val="0"/>
          <w:bCs w:val="0"/>
          <w:sz w:val="18"/>
          <w:szCs w:val="18"/>
        </w:rPr>
        <w:t>O</w:t>
      </w:r>
      <w:r w:rsidRPr="00AC50AD">
        <w:rPr>
          <w:rFonts w:ascii="Lato" w:hAnsi="Lato"/>
          <w:b w:val="0"/>
          <w:bCs w:val="0"/>
          <w:sz w:val="18"/>
          <w:szCs w:val="18"/>
        </w:rPr>
        <w:t>twarte Państwowej Inspekcji Sanitarnej.</w:t>
      </w:r>
      <w:bookmarkEnd w:id="256"/>
    </w:p>
    <w:p w14:paraId="50507359" w14:textId="77777777" w:rsidR="00AC50AD" w:rsidRDefault="00AC50AD" w:rsidP="00AC50AD">
      <w:pPr>
        <w:rPr>
          <w:rFonts w:eastAsia="Calibri"/>
        </w:rPr>
      </w:pPr>
    </w:p>
    <w:p w14:paraId="57A91560" w14:textId="77777777" w:rsidR="00F535EC" w:rsidRDefault="00F535EC" w:rsidP="00AC50AD">
      <w:pPr>
        <w:rPr>
          <w:rFonts w:eastAsia="Calibri"/>
        </w:rPr>
      </w:pPr>
    </w:p>
    <w:p w14:paraId="29AF5C83" w14:textId="77777777" w:rsidR="00F535EC" w:rsidRDefault="00F535EC" w:rsidP="00AC50AD">
      <w:pPr>
        <w:rPr>
          <w:rFonts w:eastAsia="Calibri"/>
        </w:rPr>
      </w:pPr>
    </w:p>
    <w:p w14:paraId="25075DEC" w14:textId="77777777" w:rsidR="00F535EC" w:rsidRPr="00AC50AD" w:rsidRDefault="00F535EC" w:rsidP="00AC50AD">
      <w:pPr>
        <w:rPr>
          <w:rFonts w:eastAsia="Calibri"/>
        </w:rPr>
      </w:pPr>
    </w:p>
    <w:p w14:paraId="201FEF0F" w14:textId="17718EA1" w:rsidR="000B759F" w:rsidRPr="00AC50AD" w:rsidRDefault="000B759F">
      <w:pPr>
        <w:pStyle w:val="Akapitzlist"/>
        <w:numPr>
          <w:ilvl w:val="1"/>
          <w:numId w:val="18"/>
        </w:numPr>
        <w:spacing w:line="360" w:lineRule="auto"/>
        <w:ind w:left="568" w:right="284" w:hanging="284"/>
        <w:rPr>
          <w:rStyle w:val="Nagwek3Znak"/>
          <w:rFonts w:eastAsia="Calibri" w:cs="Calibri"/>
          <w:b/>
          <w:bCs/>
          <w:color w:val="auto"/>
          <w:sz w:val="24"/>
          <w:szCs w:val="24"/>
          <w:u w:val="single"/>
        </w:rPr>
      </w:pPr>
      <w:bookmarkStart w:id="257" w:name="_Toc225859131"/>
      <w:r w:rsidRPr="00326B5B">
        <w:rPr>
          <w:rStyle w:val="Nagwek3Znak"/>
          <w:color w:val="auto"/>
          <w:szCs w:val="22"/>
        </w:rPr>
        <w:t>Promocja bezpiecznego grzybobrania i profilaktyka zatruć grzybami</w:t>
      </w:r>
      <w:bookmarkEnd w:id="257"/>
    </w:p>
    <w:p w14:paraId="12E8B22B" w14:textId="77777777" w:rsidR="00AC50AD" w:rsidRPr="00326B5B" w:rsidRDefault="00AC50AD" w:rsidP="00AC50AD">
      <w:pPr>
        <w:pStyle w:val="Akapitzlist"/>
        <w:spacing w:line="360" w:lineRule="auto"/>
        <w:ind w:left="568" w:right="284"/>
        <w:rPr>
          <w:rFonts w:ascii="Lato" w:eastAsia="Calibri" w:hAnsi="Lato" w:cs="Calibri"/>
          <w:b/>
          <w:bCs/>
          <w:u w:val="single"/>
        </w:rPr>
      </w:pPr>
    </w:p>
    <w:p w14:paraId="0422CE65" w14:textId="77777777" w:rsidR="000B759F" w:rsidRPr="00F70812" w:rsidRDefault="000B759F" w:rsidP="00750881">
      <w:pPr>
        <w:pBdr>
          <w:top w:val="nil"/>
          <w:left w:val="nil"/>
          <w:bottom w:val="nil"/>
          <w:right w:val="nil"/>
          <w:between w:val="nil"/>
        </w:pBdr>
        <w:spacing w:line="360" w:lineRule="auto"/>
        <w:rPr>
          <w:rFonts w:ascii="Lato" w:eastAsia="Calibri" w:hAnsi="Lato" w:cs="Calibri"/>
          <w:color w:val="000000"/>
          <w:sz w:val="22"/>
          <w:szCs w:val="22"/>
        </w:rPr>
      </w:pPr>
      <w:r w:rsidRPr="00F70812">
        <w:rPr>
          <w:rFonts w:ascii="Lato" w:eastAsia="Calibri" w:hAnsi="Lato" w:cs="Calibri"/>
          <w:color w:val="000000"/>
          <w:sz w:val="22"/>
          <w:szCs w:val="22"/>
        </w:rPr>
        <w:t>Cel główny: promowanie bezpiecznego grzybobrania w środowisku lokalnym.</w:t>
      </w:r>
    </w:p>
    <w:p w14:paraId="4654B828" w14:textId="77777777" w:rsidR="000B759F" w:rsidRPr="00F70812" w:rsidRDefault="000B759F" w:rsidP="00750881">
      <w:pPr>
        <w:pBdr>
          <w:top w:val="nil"/>
          <w:left w:val="nil"/>
          <w:bottom w:val="nil"/>
          <w:right w:val="nil"/>
          <w:between w:val="nil"/>
        </w:pBdr>
        <w:spacing w:line="360" w:lineRule="auto"/>
        <w:rPr>
          <w:rFonts w:ascii="Lato" w:eastAsia="Calibri" w:hAnsi="Lato" w:cs="Calibri"/>
          <w:color w:val="000000"/>
          <w:sz w:val="22"/>
          <w:szCs w:val="22"/>
        </w:rPr>
      </w:pPr>
      <w:r w:rsidRPr="00F70812">
        <w:rPr>
          <w:rFonts w:ascii="Lato" w:eastAsia="Calibri" w:hAnsi="Lato" w:cs="Calibri"/>
          <w:color w:val="000000"/>
          <w:sz w:val="22"/>
          <w:szCs w:val="22"/>
        </w:rPr>
        <w:lastRenderedPageBreak/>
        <w:t>Grupa docelowa: mieszkańcy województwa zachodniopomorskiego tj. dzieci, młodzież, dorośli, seniorzy z terenu powiatów choszczeńskiego, łobeskiego stargardzkiego, sławieńskiego, szczecineckiego, świdwińskiego, białogardzkiego, gryfickiego, goleniowskiego oraz kamieńskiego i miasta Szczecin.</w:t>
      </w:r>
    </w:p>
    <w:p w14:paraId="3B29AA9A" w14:textId="5A7F0742" w:rsidR="000B759F" w:rsidRPr="00F70812" w:rsidRDefault="000B759F" w:rsidP="00750881">
      <w:pPr>
        <w:pBdr>
          <w:top w:val="nil"/>
          <w:left w:val="nil"/>
          <w:bottom w:val="nil"/>
          <w:right w:val="nil"/>
          <w:between w:val="nil"/>
        </w:pBdr>
        <w:spacing w:line="360" w:lineRule="auto"/>
        <w:rPr>
          <w:rFonts w:ascii="Lato" w:eastAsia="Calibri" w:hAnsi="Lato" w:cs="Calibri"/>
          <w:sz w:val="22"/>
          <w:szCs w:val="22"/>
        </w:rPr>
      </w:pPr>
      <w:bookmarkStart w:id="258" w:name="_zfl37djlvcef" w:colFirst="0" w:colLast="0"/>
      <w:bookmarkEnd w:id="258"/>
      <w:r w:rsidRPr="00F70812">
        <w:rPr>
          <w:rFonts w:ascii="Lato" w:eastAsia="Calibri" w:hAnsi="Lato" w:cs="Calibri"/>
          <w:sz w:val="22"/>
          <w:szCs w:val="22"/>
        </w:rPr>
        <w:t>Liczba odbiorców: 4229</w:t>
      </w:r>
      <w:r w:rsidR="00413A9A">
        <w:rPr>
          <w:rFonts w:ascii="Lato" w:eastAsia="Calibri" w:hAnsi="Lato" w:cs="Calibri"/>
          <w:sz w:val="22"/>
          <w:szCs w:val="22"/>
        </w:rPr>
        <w:t xml:space="preserve"> osób.</w:t>
      </w:r>
    </w:p>
    <w:p w14:paraId="577950E2" w14:textId="22EED039" w:rsidR="000B759F" w:rsidRPr="00F70812" w:rsidRDefault="000B759F" w:rsidP="00750881">
      <w:pPr>
        <w:pBdr>
          <w:top w:val="nil"/>
          <w:left w:val="nil"/>
          <w:bottom w:val="nil"/>
          <w:right w:val="nil"/>
          <w:between w:val="nil"/>
        </w:pBdr>
        <w:spacing w:line="360" w:lineRule="auto"/>
        <w:rPr>
          <w:rFonts w:ascii="Lato" w:eastAsia="Calibri" w:hAnsi="Lato" w:cs="Calibri"/>
          <w:color w:val="000000"/>
          <w:sz w:val="22"/>
          <w:szCs w:val="22"/>
        </w:rPr>
      </w:pPr>
      <w:r w:rsidRPr="00F70812">
        <w:rPr>
          <w:rFonts w:ascii="Lato" w:eastAsia="Calibri" w:hAnsi="Lato" w:cs="Calibri"/>
          <w:color w:val="000000"/>
          <w:sz w:val="22"/>
          <w:szCs w:val="22"/>
        </w:rPr>
        <w:t>Główne działania w ramach interwencji: W  Stargardzie podczas wrześniowych Targów w</w:t>
      </w:r>
      <w:r w:rsidR="00AC1CB1">
        <w:rPr>
          <w:rFonts w:ascii="Lato" w:eastAsia="Calibri" w:hAnsi="Lato" w:cs="Calibri"/>
          <w:color w:val="000000"/>
          <w:sz w:val="22"/>
          <w:szCs w:val="22"/>
        </w:rPr>
        <w:t> </w:t>
      </w:r>
      <w:r w:rsidRPr="00F70812">
        <w:rPr>
          <w:rFonts w:ascii="Lato" w:eastAsia="Calibri" w:hAnsi="Lato" w:cs="Calibri"/>
          <w:color w:val="000000"/>
          <w:sz w:val="22"/>
          <w:szCs w:val="22"/>
        </w:rPr>
        <w:t>Barzkowicach w namiocie edukacyjnym dla najmłodszych przygotowano wystawę grzybów jadalnych i trujących na tle imitacji naturalnego środowiska.. Sceneria sprzyjała nauce poprzez zabawę i pozwalała dzieciom poczuć atmosferę prawdziwego grzybobrania.</w:t>
      </w:r>
      <w:r w:rsidR="00413A9A">
        <w:rPr>
          <w:rFonts w:ascii="Lato" w:eastAsia="Calibri" w:hAnsi="Lato" w:cs="Calibri"/>
          <w:color w:val="000000"/>
          <w:sz w:val="22"/>
          <w:szCs w:val="22"/>
        </w:rPr>
        <w:t xml:space="preserve"> </w:t>
      </w:r>
      <w:r w:rsidRPr="00F70812">
        <w:rPr>
          <w:rFonts w:ascii="Lato" w:eastAsia="Calibri" w:hAnsi="Lato" w:cs="Calibri"/>
          <w:color w:val="000000"/>
          <w:sz w:val="22"/>
          <w:szCs w:val="22"/>
        </w:rPr>
        <w:t>Nad prawidłowym przebiegiem zabawy czuwali klasyfikatorzy grzybów, którzy wyjaśniali różnice między wybranymi gatunkami i przypominali, jak ważna jest ostrożność przy zbieraniu grzybów. Dzięki temu dzieci w przystępny sposób utrwalały wiedzę na temat rozpoznawania grzybów, zasad zachowania w lesie oraz ochrony przyrody.  W Choszcznie i Gryficach zorganizowano wystawę grzybów świeżych w siedzibie stacji.</w:t>
      </w:r>
    </w:p>
    <w:p w14:paraId="6420C5D7" w14:textId="574DA2F1" w:rsidR="000B759F" w:rsidRPr="00F70812" w:rsidRDefault="000B759F" w:rsidP="00750881">
      <w:pPr>
        <w:pBdr>
          <w:top w:val="nil"/>
          <w:left w:val="nil"/>
          <w:bottom w:val="nil"/>
          <w:right w:val="nil"/>
          <w:between w:val="nil"/>
        </w:pBdr>
        <w:spacing w:line="360" w:lineRule="auto"/>
        <w:rPr>
          <w:rFonts w:ascii="Lato" w:eastAsia="Calibri" w:hAnsi="Lato" w:cs="Calibri"/>
          <w:sz w:val="22"/>
          <w:szCs w:val="22"/>
        </w:rPr>
      </w:pPr>
      <w:r w:rsidRPr="00F70812">
        <w:rPr>
          <w:rFonts w:ascii="Lato" w:eastAsia="Calibri" w:hAnsi="Lato" w:cs="Calibri"/>
          <w:sz w:val="22"/>
          <w:szCs w:val="22"/>
        </w:rPr>
        <w:t>Jak co roku informowano i zachęcano do korzystania z</w:t>
      </w:r>
      <w:r w:rsidR="00AC1CB1">
        <w:rPr>
          <w:rFonts w:ascii="Lato" w:eastAsia="Calibri" w:hAnsi="Lato" w:cs="Calibri"/>
          <w:sz w:val="22"/>
          <w:szCs w:val="22"/>
        </w:rPr>
        <w:t> </w:t>
      </w:r>
      <w:r w:rsidRPr="00F70812">
        <w:rPr>
          <w:rFonts w:ascii="Lato" w:eastAsia="Calibri" w:hAnsi="Lato" w:cs="Calibri"/>
          <w:sz w:val="22"/>
          <w:szCs w:val="22"/>
        </w:rPr>
        <w:t xml:space="preserve">bezpłatnych konsultacji w zakresie oceny zebranych grzybów. </w:t>
      </w:r>
    </w:p>
    <w:p w14:paraId="5852BDD8" w14:textId="77777777" w:rsidR="000B759F" w:rsidRPr="00606675" w:rsidRDefault="000B759F" w:rsidP="00750881">
      <w:pPr>
        <w:pBdr>
          <w:top w:val="nil"/>
          <w:left w:val="nil"/>
          <w:bottom w:val="nil"/>
          <w:right w:val="nil"/>
          <w:between w:val="nil"/>
        </w:pBdr>
        <w:spacing w:line="360" w:lineRule="auto"/>
        <w:ind w:left="426"/>
        <w:jc w:val="center"/>
        <w:rPr>
          <w:rFonts w:ascii="Lato" w:eastAsia="Calibri" w:hAnsi="Lato" w:cs="Calibri"/>
          <w:color w:val="EE0000"/>
          <w:sz w:val="22"/>
          <w:szCs w:val="22"/>
        </w:rPr>
      </w:pPr>
    </w:p>
    <w:p w14:paraId="7949E128" w14:textId="64A456B1" w:rsidR="000B759F" w:rsidRPr="00747C41" w:rsidRDefault="000B759F">
      <w:pPr>
        <w:pStyle w:val="Akapitzlist"/>
        <w:numPr>
          <w:ilvl w:val="1"/>
          <w:numId w:val="18"/>
        </w:numPr>
        <w:spacing w:line="360" w:lineRule="auto"/>
        <w:ind w:left="568" w:right="284" w:hanging="284"/>
        <w:rPr>
          <w:rStyle w:val="Nagwek3Znak"/>
          <w:rFonts w:eastAsia="Calibri" w:cs="Calibri"/>
          <w:b/>
          <w:bCs/>
          <w:color w:val="auto"/>
          <w:sz w:val="24"/>
          <w:szCs w:val="24"/>
        </w:rPr>
      </w:pPr>
      <w:bookmarkStart w:id="259" w:name="_Toc225859132"/>
      <w:r w:rsidRPr="00326B5B">
        <w:rPr>
          <w:rStyle w:val="Nagwek3Znak"/>
          <w:color w:val="auto"/>
          <w:szCs w:val="22"/>
        </w:rPr>
        <w:t>Europejski i Światowy Dzień Wiedzy o Antybiotykach</w:t>
      </w:r>
      <w:bookmarkEnd w:id="259"/>
    </w:p>
    <w:p w14:paraId="4B570DB5" w14:textId="77777777" w:rsidR="00747C41" w:rsidRPr="00606675" w:rsidRDefault="00747C41" w:rsidP="00747C41">
      <w:pPr>
        <w:pStyle w:val="Akapitzlist"/>
        <w:spacing w:line="360" w:lineRule="auto"/>
        <w:ind w:left="568" w:right="284"/>
        <w:rPr>
          <w:rFonts w:ascii="Lato" w:eastAsia="Calibri" w:hAnsi="Lato" w:cs="Calibri"/>
          <w:b/>
          <w:bCs/>
          <w:sz w:val="22"/>
          <w:szCs w:val="22"/>
        </w:rPr>
      </w:pPr>
    </w:p>
    <w:p w14:paraId="224FA5A2" w14:textId="63AB9112" w:rsidR="000B759F" w:rsidRPr="00F70812" w:rsidRDefault="000B759F" w:rsidP="00750881">
      <w:pPr>
        <w:spacing w:line="360" w:lineRule="auto"/>
        <w:rPr>
          <w:rFonts w:ascii="Lato" w:eastAsia="Calibri" w:hAnsi="Lato" w:cs="Calibri"/>
          <w:sz w:val="22"/>
          <w:szCs w:val="22"/>
          <w:u w:val="single"/>
        </w:rPr>
      </w:pPr>
      <w:r w:rsidRPr="00F70812">
        <w:rPr>
          <w:rFonts w:ascii="Lato" w:eastAsia="Calibri" w:hAnsi="Lato" w:cs="Calibri"/>
          <w:sz w:val="22"/>
          <w:szCs w:val="22"/>
        </w:rPr>
        <w:t>Cel główny: zwiększanie świadomości społeczeństwa oraz pracowników ochrony zdrowia, weterynarii, ochrony środowiska i administracji państwowej na temat narastania i</w:t>
      </w:r>
      <w:r w:rsidR="00196FE6">
        <w:rPr>
          <w:rFonts w:ascii="Lato" w:eastAsia="Calibri" w:hAnsi="Lato" w:cs="Calibri"/>
          <w:b/>
          <w:bCs/>
          <w:sz w:val="22"/>
          <w:szCs w:val="22"/>
        </w:rPr>
        <w:t> </w:t>
      </w:r>
      <w:r w:rsidRPr="00F70812">
        <w:rPr>
          <w:rFonts w:ascii="Lato" w:eastAsia="Calibri" w:hAnsi="Lato" w:cs="Calibri"/>
          <w:sz w:val="22"/>
          <w:szCs w:val="22"/>
        </w:rPr>
        <w:t>rozprzestrzeniania się oporności na antybiotyki wśród drobnoustrojów wywołujących zakażenia u człowieka.</w:t>
      </w:r>
    </w:p>
    <w:p w14:paraId="6491F31E" w14:textId="3EB6DA8C"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Grupa docelowa: Społeczność lokalna, osoby dorosłe, pracownicy ochrony zdrowia</w:t>
      </w:r>
      <w:r w:rsidR="00413A9A">
        <w:rPr>
          <w:rFonts w:ascii="Lato" w:eastAsia="Calibri" w:hAnsi="Lato" w:cs="Calibri"/>
          <w:sz w:val="22"/>
          <w:szCs w:val="22"/>
        </w:rPr>
        <w:t>.</w:t>
      </w:r>
    </w:p>
    <w:p w14:paraId="4E28B9BD" w14:textId="07EAFD69"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Liczba odbiorców: 2193 osoby</w:t>
      </w:r>
      <w:r w:rsidR="00413A9A">
        <w:rPr>
          <w:rFonts w:ascii="Lato" w:eastAsia="Calibri" w:hAnsi="Lato" w:cs="Calibri"/>
          <w:sz w:val="22"/>
          <w:szCs w:val="22"/>
        </w:rPr>
        <w:t>.</w:t>
      </w:r>
    </w:p>
    <w:p w14:paraId="0B6A5A76" w14:textId="0F3D1EA0"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Główne działania: Państwowa Inspekcja Sanitarna woj. zachodniopomorskiego wraz z</w:t>
      </w:r>
      <w:r w:rsidR="00196FE6">
        <w:rPr>
          <w:rFonts w:ascii="Lato" w:eastAsia="Calibri" w:hAnsi="Lato" w:cs="Calibri"/>
          <w:sz w:val="22"/>
          <w:szCs w:val="22"/>
        </w:rPr>
        <w:t> </w:t>
      </w:r>
      <w:r w:rsidRPr="00F70812">
        <w:rPr>
          <w:rFonts w:ascii="Lato" w:eastAsia="Calibri" w:hAnsi="Lato" w:cs="Calibri"/>
          <w:sz w:val="22"/>
          <w:szCs w:val="22"/>
        </w:rPr>
        <w:t>Narodowym Instytutem Leków włączyła się aktywnie w kampanię poprzez pisma intencyjne do</w:t>
      </w:r>
      <w:r w:rsidR="00C60215">
        <w:rPr>
          <w:rFonts w:ascii="Lato" w:eastAsia="Calibri" w:hAnsi="Lato" w:cs="Calibri"/>
          <w:sz w:val="22"/>
          <w:szCs w:val="22"/>
        </w:rPr>
        <w:t> </w:t>
      </w:r>
      <w:r w:rsidRPr="00F70812">
        <w:rPr>
          <w:rFonts w:ascii="Lato" w:eastAsia="Calibri" w:hAnsi="Lato" w:cs="Calibri"/>
          <w:sz w:val="22"/>
          <w:szCs w:val="22"/>
        </w:rPr>
        <w:t>zakładów opieki zdrowotnej, samorządów lokalnych, prelekcje, dystrybucję materiałów edukacyjnych, a także treści w mediach społecznościowych i na stronach internetowych.</w:t>
      </w:r>
    </w:p>
    <w:p w14:paraId="0A1D0955" w14:textId="77777777" w:rsidR="000B759F" w:rsidRPr="001402BF" w:rsidRDefault="000B759F" w:rsidP="000B759F">
      <w:pPr>
        <w:spacing w:line="276" w:lineRule="auto"/>
        <w:rPr>
          <w:rFonts w:ascii="Lato" w:eastAsia="Calibri" w:hAnsi="Lato" w:cs="Calibri"/>
          <w:color w:val="EE0000"/>
        </w:rPr>
      </w:pPr>
    </w:p>
    <w:p w14:paraId="16FBB8A8" w14:textId="67BEF596" w:rsidR="000B759F" w:rsidRPr="00F535EC" w:rsidRDefault="000B759F">
      <w:pPr>
        <w:pStyle w:val="Akapitzlist"/>
        <w:numPr>
          <w:ilvl w:val="1"/>
          <w:numId w:val="18"/>
        </w:numPr>
        <w:spacing w:line="360" w:lineRule="auto"/>
        <w:ind w:left="568" w:right="284" w:hanging="284"/>
        <w:rPr>
          <w:rStyle w:val="Nagwek3Znak"/>
          <w:rFonts w:eastAsia="Calibri" w:cs="Calibri"/>
          <w:b/>
          <w:bCs/>
          <w:color w:val="auto"/>
          <w:sz w:val="24"/>
          <w:szCs w:val="24"/>
        </w:rPr>
      </w:pPr>
      <w:bookmarkStart w:id="260" w:name="_Toc225859133"/>
      <w:r w:rsidRPr="00326B5B">
        <w:rPr>
          <w:rStyle w:val="Nagwek3Znak"/>
          <w:color w:val="auto"/>
          <w:szCs w:val="22"/>
        </w:rPr>
        <w:t>Bezpieczeństwo dzieci podczas wypoczynku letniego i zimowego Bezpieczne Ferie i</w:t>
      </w:r>
      <w:r w:rsidR="00AC1CB1">
        <w:rPr>
          <w:rStyle w:val="Nagwek3Znak"/>
          <w:color w:val="auto"/>
          <w:szCs w:val="22"/>
        </w:rPr>
        <w:t> </w:t>
      </w:r>
      <w:r w:rsidRPr="00326B5B">
        <w:rPr>
          <w:rStyle w:val="Nagwek3Znak"/>
          <w:color w:val="auto"/>
          <w:szCs w:val="22"/>
        </w:rPr>
        <w:t>Wakacje</w:t>
      </w:r>
      <w:bookmarkEnd w:id="260"/>
    </w:p>
    <w:p w14:paraId="630BA3B7" w14:textId="77777777" w:rsidR="00F535EC" w:rsidRPr="00326B5B" w:rsidRDefault="00F535EC" w:rsidP="00F535EC">
      <w:pPr>
        <w:pStyle w:val="Akapitzlist"/>
        <w:spacing w:line="360" w:lineRule="auto"/>
        <w:ind w:left="568" w:right="284"/>
        <w:rPr>
          <w:rFonts w:ascii="Lato" w:eastAsia="Calibri" w:hAnsi="Lato" w:cs="Calibri"/>
          <w:b/>
          <w:bCs/>
        </w:rPr>
      </w:pPr>
    </w:p>
    <w:p w14:paraId="51E7B00A" w14:textId="5D0862BC"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Cel główny: promowanie zdrowego wypoczynku podczas ferii zimowych i wakacji</w:t>
      </w:r>
      <w:r w:rsidR="00413A9A">
        <w:rPr>
          <w:rFonts w:ascii="Lato" w:eastAsia="Calibri" w:hAnsi="Lato" w:cs="Calibri"/>
          <w:sz w:val="22"/>
          <w:szCs w:val="22"/>
        </w:rPr>
        <w:t>.</w:t>
      </w:r>
    </w:p>
    <w:p w14:paraId="40595383" w14:textId="25C0ABFA"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lastRenderedPageBreak/>
        <w:t>Grupa docelowa: dzieci i młodzież wypoczywająca na terenie województwa zachodniopomorskiego, organizatorzy i kierownicy wypoczynku, wczasowicze</w:t>
      </w:r>
      <w:r w:rsidR="00413A9A">
        <w:rPr>
          <w:rFonts w:ascii="Lato" w:eastAsia="Calibri" w:hAnsi="Lato" w:cs="Calibri"/>
          <w:sz w:val="22"/>
          <w:szCs w:val="22"/>
        </w:rPr>
        <w:t>.</w:t>
      </w:r>
    </w:p>
    <w:p w14:paraId="3DE5A74D" w14:textId="77777777"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Liczba odbiorców: 75 148 osób.</w:t>
      </w:r>
    </w:p>
    <w:p w14:paraId="2E4FFF3A" w14:textId="77777777" w:rsidR="000B759F" w:rsidRPr="002E2CC9" w:rsidRDefault="000B759F" w:rsidP="00750881">
      <w:pPr>
        <w:spacing w:line="360" w:lineRule="auto"/>
        <w:rPr>
          <w:rFonts w:ascii="Lato" w:eastAsia="Calibri" w:hAnsi="Lato" w:cs="Calibri"/>
          <w:sz w:val="22"/>
          <w:szCs w:val="22"/>
          <w:u w:val="single"/>
        </w:rPr>
      </w:pPr>
      <w:bookmarkStart w:id="261" w:name="_2sbl5kk4ouhf" w:colFirst="0" w:colLast="0"/>
      <w:bookmarkEnd w:id="261"/>
      <w:r w:rsidRPr="002E2CC9">
        <w:rPr>
          <w:rFonts w:ascii="Lato" w:eastAsia="Calibri" w:hAnsi="Lato" w:cs="Calibri"/>
          <w:sz w:val="22"/>
          <w:szCs w:val="22"/>
          <w:u w:val="single"/>
        </w:rPr>
        <w:t xml:space="preserve">Bezpieczne Ferie: </w:t>
      </w:r>
    </w:p>
    <w:p w14:paraId="4DFF2E22" w14:textId="6B925BF3" w:rsidR="000B759F" w:rsidRPr="00F70812" w:rsidRDefault="000B759F" w:rsidP="00750881">
      <w:pPr>
        <w:spacing w:line="360" w:lineRule="auto"/>
        <w:rPr>
          <w:rFonts w:ascii="Lato" w:eastAsia="Calibri" w:hAnsi="Lato" w:cs="Calibri"/>
          <w:sz w:val="22"/>
          <w:szCs w:val="22"/>
          <w:u w:val="single"/>
        </w:rPr>
      </w:pPr>
      <w:r w:rsidRPr="00F70812">
        <w:rPr>
          <w:rFonts w:ascii="Lato" w:eastAsia="Calibri" w:hAnsi="Lato" w:cs="Calibri"/>
          <w:sz w:val="22"/>
          <w:szCs w:val="22"/>
        </w:rPr>
        <w:t>Główne działania w ramach interwencji: prelekcje nt. higieny osobistej, profilaktyki chorób zakaźnych, zdrowego stylu życia i bezpieczeństwa podczas ferii zarówno w domu</w:t>
      </w:r>
      <w:r w:rsidR="00413A9A">
        <w:rPr>
          <w:rFonts w:ascii="Lato" w:eastAsia="Calibri" w:hAnsi="Lato" w:cs="Calibri"/>
          <w:sz w:val="22"/>
          <w:szCs w:val="22"/>
        </w:rPr>
        <w:t>,</w:t>
      </w:r>
      <w:r w:rsidRPr="00F70812">
        <w:rPr>
          <w:rFonts w:ascii="Lato" w:eastAsia="Calibri" w:hAnsi="Lato" w:cs="Calibri"/>
          <w:sz w:val="22"/>
          <w:szCs w:val="22"/>
        </w:rPr>
        <w:t xml:space="preserve"> jak i</w:t>
      </w:r>
      <w:r w:rsidR="00C60215">
        <w:rPr>
          <w:rFonts w:ascii="Lato" w:eastAsia="Calibri" w:hAnsi="Lato" w:cs="Calibri"/>
          <w:sz w:val="22"/>
          <w:szCs w:val="22"/>
        </w:rPr>
        <w:t> </w:t>
      </w:r>
      <w:r w:rsidRPr="00F70812">
        <w:rPr>
          <w:rFonts w:ascii="Lato" w:eastAsia="Calibri" w:hAnsi="Lato" w:cs="Calibri"/>
          <w:sz w:val="22"/>
          <w:szCs w:val="22"/>
        </w:rPr>
        <w:t>na</w:t>
      </w:r>
      <w:r w:rsidR="00AC1CB1">
        <w:rPr>
          <w:rFonts w:ascii="Lato" w:eastAsia="Calibri" w:hAnsi="Lato" w:cs="Calibri"/>
          <w:sz w:val="22"/>
          <w:szCs w:val="22"/>
        </w:rPr>
        <w:t> </w:t>
      </w:r>
      <w:r w:rsidR="004F266C">
        <w:rPr>
          <w:rFonts w:ascii="Lato" w:eastAsia="Calibri" w:hAnsi="Lato" w:cs="Calibri"/>
          <w:sz w:val="22"/>
          <w:szCs w:val="22"/>
        </w:rPr>
        <w:t xml:space="preserve">świeżym </w:t>
      </w:r>
      <w:r w:rsidRPr="00F70812">
        <w:rPr>
          <w:rFonts w:ascii="Lato" w:eastAsia="Calibri" w:hAnsi="Lato" w:cs="Calibri"/>
          <w:sz w:val="22"/>
          <w:szCs w:val="22"/>
        </w:rPr>
        <w:t>powietrzu.</w:t>
      </w:r>
      <w:r w:rsidRPr="00F70812">
        <w:rPr>
          <w:rFonts w:ascii="Lato" w:eastAsia="Calibri" w:hAnsi="Lato" w:cs="Calibri"/>
          <w:sz w:val="22"/>
          <w:szCs w:val="22"/>
          <w:u w:val="single"/>
        </w:rPr>
        <w:t xml:space="preserve"> </w:t>
      </w:r>
      <w:r w:rsidRPr="00F70812">
        <w:rPr>
          <w:rFonts w:ascii="Lato" w:eastAsia="Calibri" w:hAnsi="Lato" w:cs="Calibri"/>
          <w:sz w:val="22"/>
          <w:szCs w:val="22"/>
        </w:rPr>
        <w:t>Podobne działania prowadzili promotorzy zdrowia na terenie całego województwa zachodniopomorskiego.</w:t>
      </w:r>
    </w:p>
    <w:p w14:paraId="5199B4ED" w14:textId="77777777" w:rsidR="000B759F" w:rsidRPr="002E2CC9" w:rsidRDefault="000B759F" w:rsidP="00750881">
      <w:pPr>
        <w:spacing w:line="360" w:lineRule="auto"/>
        <w:rPr>
          <w:rFonts w:ascii="Lato" w:eastAsia="Calibri" w:hAnsi="Lato" w:cs="Calibri"/>
          <w:sz w:val="22"/>
          <w:szCs w:val="22"/>
          <w:u w:val="single"/>
        </w:rPr>
      </w:pPr>
      <w:bookmarkStart w:id="262" w:name="_str9kn3mfc83" w:colFirst="0" w:colLast="0"/>
      <w:bookmarkEnd w:id="262"/>
      <w:r w:rsidRPr="002E2CC9">
        <w:rPr>
          <w:rFonts w:ascii="Lato" w:eastAsia="Calibri" w:hAnsi="Lato" w:cs="Calibri"/>
          <w:sz w:val="22"/>
          <w:szCs w:val="22"/>
          <w:u w:val="single"/>
        </w:rPr>
        <w:t xml:space="preserve">Bezpieczne wakacje:  </w:t>
      </w:r>
    </w:p>
    <w:p w14:paraId="10BEDB7E" w14:textId="5DFBFE20"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 xml:space="preserve">Główne działania w ramach interwencji: działania edukacyjne podczas półkolonii na terenie całego województwa. Zorganizowano </w:t>
      </w:r>
      <w:proofErr w:type="spellStart"/>
      <w:r w:rsidRPr="00F70812">
        <w:rPr>
          <w:rFonts w:ascii="Lato" w:eastAsia="Calibri" w:hAnsi="Lato" w:cs="Calibri"/>
          <w:sz w:val="22"/>
          <w:szCs w:val="22"/>
        </w:rPr>
        <w:t>facebookowy</w:t>
      </w:r>
      <w:proofErr w:type="spellEnd"/>
      <w:r w:rsidRPr="00F70812">
        <w:rPr>
          <w:rFonts w:ascii="Lato" w:eastAsia="Calibri" w:hAnsi="Lato" w:cs="Calibri"/>
          <w:sz w:val="22"/>
          <w:szCs w:val="22"/>
        </w:rPr>
        <w:t xml:space="preserve"> konkurs wiedzy dla internautów dotyczący zarówno bezpiecznego wypoczynku</w:t>
      </w:r>
      <w:r w:rsidR="00A77C75">
        <w:rPr>
          <w:rFonts w:ascii="Lato" w:eastAsia="Calibri" w:hAnsi="Lato" w:cs="Calibri"/>
          <w:sz w:val="22"/>
          <w:szCs w:val="22"/>
        </w:rPr>
        <w:t>,</w:t>
      </w:r>
      <w:r w:rsidRPr="00F70812">
        <w:rPr>
          <w:rFonts w:ascii="Lato" w:eastAsia="Calibri" w:hAnsi="Lato" w:cs="Calibri"/>
          <w:sz w:val="22"/>
          <w:szCs w:val="22"/>
        </w:rPr>
        <w:t xml:space="preserve"> jak i ogólnie zasad zdrowego postepowania.</w:t>
      </w:r>
    </w:p>
    <w:p w14:paraId="04F719C3" w14:textId="77777777"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 xml:space="preserve">W ramach akcji „Z Inspekcją  Sanitarną się znam i bezpiecznie  wypoczywam” zorganizowano  stoisko edukacyjne w Strefie Pomorza Zachodniego na 31. Poland Rock Festiwal. Podczas wydarzenia wykonywano pomiary profilaktyczne ciśnienia tętniczego krwi, analizy składu masy ciała,  przeprowadzano warsztaty z </w:t>
      </w:r>
      <w:proofErr w:type="spellStart"/>
      <w:r w:rsidRPr="00F70812">
        <w:rPr>
          <w:rFonts w:ascii="Lato" w:eastAsia="Calibri" w:hAnsi="Lato" w:cs="Calibri"/>
          <w:sz w:val="22"/>
          <w:szCs w:val="22"/>
        </w:rPr>
        <w:t>narko</w:t>
      </w:r>
      <w:proofErr w:type="spellEnd"/>
      <w:r w:rsidRPr="00F70812">
        <w:rPr>
          <w:rFonts w:ascii="Lato" w:eastAsia="Calibri" w:hAnsi="Lato" w:cs="Calibri"/>
          <w:sz w:val="22"/>
          <w:szCs w:val="22"/>
        </w:rPr>
        <w:t xml:space="preserve"> i alkogoglami oraz gry i zabawy edukacyjne dla dzieci.</w:t>
      </w:r>
    </w:p>
    <w:p w14:paraId="2EE15A6F" w14:textId="77777777" w:rsidR="000B759F" w:rsidRPr="00606675" w:rsidRDefault="000B759F" w:rsidP="000B759F">
      <w:pPr>
        <w:spacing w:line="276" w:lineRule="auto"/>
        <w:rPr>
          <w:rFonts w:ascii="Lato" w:eastAsia="Calibri" w:hAnsi="Lato" w:cs="Calibri"/>
          <w:sz w:val="22"/>
          <w:szCs w:val="22"/>
        </w:rPr>
      </w:pPr>
    </w:p>
    <w:p w14:paraId="16571477" w14:textId="77777777" w:rsidR="000B759F" w:rsidRDefault="000B759F" w:rsidP="000B759F">
      <w:pPr>
        <w:spacing w:line="276" w:lineRule="auto"/>
        <w:rPr>
          <w:rFonts w:ascii="Lato" w:eastAsia="Calibri" w:hAnsi="Lato" w:cs="Calibri"/>
          <w:color w:val="EE0000"/>
        </w:rPr>
      </w:pPr>
      <w:r>
        <w:rPr>
          <w:rFonts w:ascii="Lato" w:eastAsia="Calibri" w:hAnsi="Lato" w:cs="Calibri"/>
          <w:noProof/>
          <w:color w:val="EE0000"/>
        </w:rPr>
        <w:t xml:space="preserve">     </w:t>
      </w:r>
      <w:r>
        <w:rPr>
          <w:rFonts w:ascii="Lato" w:eastAsia="Calibri" w:hAnsi="Lato" w:cs="Calibri"/>
          <w:noProof/>
          <w:color w:val="EE0000"/>
        </w:rPr>
        <w:drawing>
          <wp:inline distT="0" distB="0" distL="0" distR="0" wp14:anchorId="08F24AC1" wp14:editId="621DDD80">
            <wp:extent cx="2345949" cy="1395434"/>
            <wp:effectExtent l="0" t="0" r="0" b="0"/>
            <wp:docPr id="782489822" name="Obraz 1" descr="Zdjęcie 7. Stoisko na 31. Poland Rock Festi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89822" name="Obraz 1" descr="Zdjęcie 7. Stoisko na 31. Poland Rock Festiw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0279" cy="1421802"/>
                    </a:xfrm>
                    <a:prstGeom prst="rect">
                      <a:avLst/>
                    </a:prstGeom>
                    <a:noFill/>
                  </pic:spPr>
                </pic:pic>
              </a:graphicData>
            </a:graphic>
          </wp:inline>
        </w:drawing>
      </w:r>
      <w:r>
        <w:rPr>
          <w:rFonts w:ascii="Lato" w:eastAsia="Calibri" w:hAnsi="Lato" w:cs="Calibri"/>
          <w:noProof/>
          <w:color w:val="EE0000"/>
        </w:rPr>
        <w:t xml:space="preserve">               </w:t>
      </w:r>
      <w:r>
        <w:rPr>
          <w:rFonts w:ascii="Lato" w:eastAsia="Calibri" w:hAnsi="Lato" w:cs="Calibri"/>
          <w:noProof/>
          <w:color w:val="EE0000"/>
        </w:rPr>
        <w:drawing>
          <wp:inline distT="0" distB="0" distL="0" distR="0" wp14:anchorId="466C307D" wp14:editId="01BC7827">
            <wp:extent cx="2853181" cy="1516501"/>
            <wp:effectExtent l="0" t="0" r="4445" b="7620"/>
            <wp:docPr id="988795913" name="Obraz 11" descr="Zdjęcie 7. Stoisko na 31. Poland Rock Festi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95913" name="Obraz 11" descr="Zdjęcie 7. Stoisko na 31. Poland Rock Festiw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5381" cy="1538931"/>
                    </a:xfrm>
                    <a:prstGeom prst="rect">
                      <a:avLst/>
                    </a:prstGeom>
                    <a:noFill/>
                  </pic:spPr>
                </pic:pic>
              </a:graphicData>
            </a:graphic>
          </wp:inline>
        </w:drawing>
      </w:r>
    </w:p>
    <w:p w14:paraId="07F45830" w14:textId="508DB6E9" w:rsidR="000B759F" w:rsidRDefault="00606675" w:rsidP="00606675">
      <w:pPr>
        <w:pStyle w:val="Legenda"/>
        <w:rPr>
          <w:rFonts w:ascii="Lato" w:hAnsi="Lato"/>
          <w:b w:val="0"/>
          <w:bCs w:val="0"/>
          <w:sz w:val="18"/>
          <w:szCs w:val="18"/>
        </w:rPr>
      </w:pPr>
      <w:bookmarkStart w:id="263" w:name="_Toc225859334"/>
      <w:r>
        <w:rPr>
          <w:rFonts w:ascii="Lato" w:hAnsi="Lato"/>
          <w:b w:val="0"/>
          <w:bCs w:val="0"/>
          <w:sz w:val="18"/>
          <w:szCs w:val="18"/>
        </w:rPr>
        <w:t>Z</w:t>
      </w:r>
      <w:r w:rsidRPr="00606675">
        <w:rPr>
          <w:rFonts w:ascii="Lato" w:hAnsi="Lato"/>
          <w:b w:val="0"/>
          <w:bCs w:val="0"/>
          <w:sz w:val="18"/>
          <w:szCs w:val="18"/>
        </w:rPr>
        <w:t xml:space="preserve">djęcie </w:t>
      </w:r>
      <w:r w:rsidRPr="00606675">
        <w:rPr>
          <w:rFonts w:ascii="Lato" w:hAnsi="Lato"/>
          <w:b w:val="0"/>
          <w:bCs w:val="0"/>
          <w:sz w:val="18"/>
          <w:szCs w:val="18"/>
        </w:rPr>
        <w:fldChar w:fldCharType="begin"/>
      </w:r>
      <w:r w:rsidRPr="00606675">
        <w:rPr>
          <w:rFonts w:ascii="Lato" w:hAnsi="Lato"/>
          <w:b w:val="0"/>
          <w:bCs w:val="0"/>
          <w:sz w:val="18"/>
          <w:szCs w:val="18"/>
        </w:rPr>
        <w:instrText xml:space="preserve"> SEQ zdjęcie \* ARABIC </w:instrText>
      </w:r>
      <w:r w:rsidRPr="00606675">
        <w:rPr>
          <w:rFonts w:ascii="Lato" w:hAnsi="Lato"/>
          <w:b w:val="0"/>
          <w:bCs w:val="0"/>
          <w:sz w:val="18"/>
          <w:szCs w:val="18"/>
        </w:rPr>
        <w:fldChar w:fldCharType="separate"/>
      </w:r>
      <w:r w:rsidR="002A3179">
        <w:rPr>
          <w:rFonts w:ascii="Lato" w:hAnsi="Lato"/>
          <w:b w:val="0"/>
          <w:bCs w:val="0"/>
          <w:noProof/>
          <w:sz w:val="18"/>
          <w:szCs w:val="18"/>
        </w:rPr>
        <w:t>7</w:t>
      </w:r>
      <w:r w:rsidRPr="00606675">
        <w:rPr>
          <w:rFonts w:ascii="Lato" w:hAnsi="Lato"/>
          <w:b w:val="0"/>
          <w:bCs w:val="0"/>
          <w:sz w:val="18"/>
          <w:szCs w:val="18"/>
        </w:rPr>
        <w:fldChar w:fldCharType="end"/>
      </w:r>
      <w:r w:rsidRPr="00606675">
        <w:rPr>
          <w:rFonts w:ascii="Lato" w:hAnsi="Lato"/>
          <w:b w:val="0"/>
          <w:bCs w:val="0"/>
          <w:sz w:val="18"/>
          <w:szCs w:val="18"/>
        </w:rPr>
        <w:t>. Stoisko na 31. Poland Rock Festiwal.</w:t>
      </w:r>
      <w:bookmarkEnd w:id="263"/>
    </w:p>
    <w:p w14:paraId="63CDC007" w14:textId="77777777" w:rsidR="002E2CC9" w:rsidRDefault="002E2CC9" w:rsidP="002E2CC9">
      <w:pPr>
        <w:rPr>
          <w:rFonts w:eastAsia="Calibri"/>
        </w:rPr>
      </w:pPr>
    </w:p>
    <w:p w14:paraId="034FC700" w14:textId="77777777" w:rsidR="002E2CC9" w:rsidRDefault="002E2CC9" w:rsidP="002E2CC9">
      <w:pPr>
        <w:rPr>
          <w:rFonts w:eastAsia="Calibri"/>
        </w:rPr>
      </w:pPr>
    </w:p>
    <w:p w14:paraId="4A83187E" w14:textId="77777777" w:rsidR="002E2CC9" w:rsidRDefault="002E2CC9" w:rsidP="002E2CC9">
      <w:pPr>
        <w:rPr>
          <w:rFonts w:eastAsia="Calibri"/>
        </w:rPr>
      </w:pPr>
    </w:p>
    <w:p w14:paraId="5F21280A" w14:textId="77777777" w:rsidR="002E2CC9" w:rsidRDefault="002E2CC9" w:rsidP="002E2CC9">
      <w:pPr>
        <w:rPr>
          <w:rFonts w:eastAsia="Calibri"/>
        </w:rPr>
      </w:pPr>
    </w:p>
    <w:p w14:paraId="16017AC7" w14:textId="77777777" w:rsidR="002E2CC9" w:rsidRDefault="002E2CC9" w:rsidP="002E2CC9">
      <w:pPr>
        <w:rPr>
          <w:rFonts w:eastAsia="Calibri"/>
        </w:rPr>
      </w:pPr>
    </w:p>
    <w:p w14:paraId="2CA11D3C" w14:textId="77777777" w:rsidR="002E2CC9" w:rsidRPr="002E2CC9" w:rsidRDefault="002E2CC9" w:rsidP="002E2CC9">
      <w:pPr>
        <w:rPr>
          <w:rFonts w:eastAsia="Calibri"/>
        </w:rPr>
      </w:pPr>
    </w:p>
    <w:p w14:paraId="5C07CC24" w14:textId="77777777" w:rsidR="00A47D55" w:rsidRDefault="00A47D55" w:rsidP="000B759F">
      <w:pPr>
        <w:spacing w:line="276" w:lineRule="auto"/>
        <w:rPr>
          <w:rFonts w:ascii="Lato" w:eastAsia="Calibri" w:hAnsi="Lato" w:cs="Calibri"/>
          <w:b/>
          <w:bCs/>
        </w:rPr>
      </w:pPr>
    </w:p>
    <w:p w14:paraId="305AD6F5" w14:textId="2CF95908" w:rsidR="000B759F" w:rsidRPr="00DB41AC" w:rsidRDefault="000B759F">
      <w:pPr>
        <w:pStyle w:val="Akapitzlist"/>
        <w:numPr>
          <w:ilvl w:val="1"/>
          <w:numId w:val="18"/>
        </w:numPr>
        <w:spacing w:line="360" w:lineRule="auto"/>
        <w:ind w:left="568" w:right="284" w:hanging="284"/>
        <w:rPr>
          <w:rFonts w:ascii="Lato" w:eastAsia="Calibri" w:hAnsi="Lato" w:cs="Calibri"/>
          <w:b/>
          <w:bCs/>
        </w:rPr>
      </w:pPr>
      <w:bookmarkStart w:id="264" w:name="_Toc225859134"/>
      <w:r w:rsidRPr="001F5A7E">
        <w:rPr>
          <w:rStyle w:val="Nagwek3Znak"/>
          <w:color w:val="auto"/>
          <w:szCs w:val="22"/>
        </w:rPr>
        <w:lastRenderedPageBreak/>
        <w:t>Zdrowy Senior</w:t>
      </w:r>
      <w:bookmarkEnd w:id="264"/>
    </w:p>
    <w:p w14:paraId="27F5499A" w14:textId="68DE7A14" w:rsidR="000B759F" w:rsidRPr="00A47D55" w:rsidRDefault="000B759F" w:rsidP="00750881">
      <w:pPr>
        <w:spacing w:line="360" w:lineRule="auto"/>
        <w:rPr>
          <w:rFonts w:ascii="Lato" w:eastAsia="Calibri" w:hAnsi="Lato" w:cs="Calibri"/>
          <w:sz w:val="22"/>
          <w:szCs w:val="22"/>
        </w:rPr>
      </w:pPr>
      <w:r w:rsidRPr="00A47D55">
        <w:rPr>
          <w:rFonts w:ascii="Lato" w:eastAsia="Calibri" w:hAnsi="Lato" w:cs="Calibri"/>
          <w:sz w:val="22"/>
          <w:szCs w:val="22"/>
        </w:rPr>
        <w:t xml:space="preserve">Cel główny: promowanie </w:t>
      </w:r>
      <w:r w:rsidR="00A77C75">
        <w:rPr>
          <w:rFonts w:ascii="Lato" w:eastAsia="Calibri" w:hAnsi="Lato" w:cs="Calibri"/>
          <w:sz w:val="22"/>
          <w:szCs w:val="22"/>
        </w:rPr>
        <w:t xml:space="preserve">i pogłębianie wiedzy na temat </w:t>
      </w:r>
      <w:r w:rsidRPr="00A47D55">
        <w:rPr>
          <w:rFonts w:ascii="Lato" w:eastAsia="Calibri" w:hAnsi="Lato" w:cs="Calibri"/>
          <w:sz w:val="22"/>
          <w:szCs w:val="22"/>
        </w:rPr>
        <w:t>zdrowego stylu życia wśród seniorów</w:t>
      </w:r>
      <w:r w:rsidR="00413A9A">
        <w:rPr>
          <w:rFonts w:ascii="Lato" w:eastAsia="Calibri" w:hAnsi="Lato" w:cs="Calibri"/>
          <w:sz w:val="22"/>
          <w:szCs w:val="22"/>
        </w:rPr>
        <w:t>.</w:t>
      </w:r>
    </w:p>
    <w:p w14:paraId="08154F32" w14:textId="77777777" w:rsidR="000B759F" w:rsidRPr="00A47D55" w:rsidRDefault="000B759F" w:rsidP="00750881">
      <w:pPr>
        <w:spacing w:line="360" w:lineRule="auto"/>
        <w:rPr>
          <w:rFonts w:ascii="Lato" w:eastAsia="Calibri" w:hAnsi="Lato" w:cs="Calibri"/>
          <w:color w:val="EE0000"/>
          <w:sz w:val="22"/>
          <w:szCs w:val="22"/>
        </w:rPr>
      </w:pPr>
      <w:r w:rsidRPr="00A47D55">
        <w:rPr>
          <w:rFonts w:ascii="Lato" w:eastAsia="Calibri" w:hAnsi="Lato" w:cs="Calibri"/>
          <w:sz w:val="22"/>
          <w:szCs w:val="22"/>
        </w:rPr>
        <w:t>Grupa docelowa: seniorzy z terenu powiatu białogardzkiego, goleniowskiego, łobeskiego, drawskiego, gryfickiego ,gryfińskiego, kamieńskiego, kołobrzeskiego, myśliborskiego, sławieńskiego, świdwińskiego oraz polickiego.</w:t>
      </w:r>
    </w:p>
    <w:p w14:paraId="348BF81F" w14:textId="6E341979" w:rsidR="000B759F" w:rsidRPr="00A47D55" w:rsidRDefault="000B759F" w:rsidP="00750881">
      <w:pPr>
        <w:spacing w:line="360" w:lineRule="auto"/>
        <w:rPr>
          <w:rFonts w:ascii="Lato" w:eastAsia="Calibri" w:hAnsi="Lato" w:cs="Calibri"/>
          <w:sz w:val="22"/>
          <w:szCs w:val="22"/>
        </w:rPr>
      </w:pPr>
      <w:r w:rsidRPr="00A47D55">
        <w:rPr>
          <w:rFonts w:ascii="Lato" w:eastAsia="Calibri" w:hAnsi="Lato" w:cs="Calibri"/>
          <w:sz w:val="22"/>
          <w:szCs w:val="22"/>
        </w:rPr>
        <w:t>Liczba odbiorców: 1366</w:t>
      </w:r>
      <w:bookmarkStart w:id="265" w:name="_z0o9z51nwe" w:colFirst="0" w:colLast="0"/>
      <w:bookmarkEnd w:id="265"/>
      <w:r w:rsidR="00413A9A">
        <w:rPr>
          <w:rFonts w:ascii="Lato" w:eastAsia="Calibri" w:hAnsi="Lato" w:cs="Calibri"/>
          <w:sz w:val="22"/>
          <w:szCs w:val="22"/>
        </w:rPr>
        <w:t xml:space="preserve"> osób.</w:t>
      </w:r>
    </w:p>
    <w:p w14:paraId="78BA979F" w14:textId="5FC220FB" w:rsidR="000B759F" w:rsidRPr="00A47D55" w:rsidRDefault="000B759F" w:rsidP="00750881">
      <w:pPr>
        <w:spacing w:line="360" w:lineRule="auto"/>
        <w:rPr>
          <w:rFonts w:ascii="Lato" w:eastAsia="Calibri" w:hAnsi="Lato" w:cs="Calibri"/>
          <w:b/>
          <w:bCs/>
          <w:sz w:val="22"/>
          <w:szCs w:val="22"/>
        </w:rPr>
      </w:pPr>
      <w:r w:rsidRPr="00053448">
        <w:rPr>
          <w:rFonts w:ascii="Lato" w:eastAsia="Calibri" w:hAnsi="Lato" w:cs="Calibri"/>
          <w:sz w:val="22"/>
          <w:szCs w:val="22"/>
        </w:rPr>
        <w:t>Główne działania:</w:t>
      </w:r>
      <w:r w:rsidRPr="00A47D55">
        <w:rPr>
          <w:rFonts w:ascii="Lato" w:eastAsia="Calibri" w:hAnsi="Lato" w:cs="Calibri"/>
          <w:b/>
          <w:bCs/>
          <w:sz w:val="22"/>
          <w:szCs w:val="22"/>
        </w:rPr>
        <w:t xml:space="preserve"> </w:t>
      </w:r>
      <w:r w:rsidRPr="00A47D55">
        <w:rPr>
          <w:rFonts w:ascii="Lato" w:eastAsia="Calibri" w:hAnsi="Lato" w:cs="Calibri"/>
          <w:sz w:val="22"/>
          <w:szCs w:val="22"/>
        </w:rPr>
        <w:t>Prelekcje, wykłady, stoiska na temat zdrowego stylu życia</w:t>
      </w:r>
      <w:r w:rsidR="00A77C75">
        <w:rPr>
          <w:rFonts w:ascii="Lato" w:eastAsia="Calibri" w:hAnsi="Lato" w:cs="Calibri"/>
          <w:sz w:val="22"/>
          <w:szCs w:val="22"/>
        </w:rPr>
        <w:t>,</w:t>
      </w:r>
      <w:r w:rsidRPr="00A47D55">
        <w:rPr>
          <w:rFonts w:ascii="Lato" w:eastAsia="Calibri" w:hAnsi="Lato" w:cs="Calibri"/>
          <w:sz w:val="22"/>
          <w:szCs w:val="22"/>
        </w:rPr>
        <w:t xml:space="preserve"> w tym racjonalnego odżywiania, aktywności fizycznej oraz szczepień</w:t>
      </w:r>
      <w:r w:rsidR="00413A9A">
        <w:rPr>
          <w:rFonts w:ascii="Lato" w:eastAsia="Calibri" w:hAnsi="Lato" w:cs="Calibri"/>
          <w:sz w:val="22"/>
          <w:szCs w:val="22"/>
        </w:rPr>
        <w:t>.</w:t>
      </w:r>
    </w:p>
    <w:p w14:paraId="24364799" w14:textId="74D9499E" w:rsidR="000B759F" w:rsidRDefault="000B759F" w:rsidP="00750881">
      <w:pPr>
        <w:spacing w:line="360" w:lineRule="auto"/>
        <w:rPr>
          <w:rFonts w:ascii="Lato" w:eastAsia="Calibri" w:hAnsi="Lato" w:cs="Calibri"/>
          <w:sz w:val="22"/>
          <w:szCs w:val="22"/>
        </w:rPr>
      </w:pPr>
      <w:r w:rsidRPr="00A47D55">
        <w:rPr>
          <w:rFonts w:ascii="Lato" w:eastAsia="Calibri" w:hAnsi="Lato" w:cs="Calibri"/>
          <w:color w:val="EE0000"/>
          <w:sz w:val="22"/>
          <w:szCs w:val="22"/>
        </w:rPr>
        <w:t xml:space="preserve"> </w:t>
      </w:r>
      <w:r w:rsidRPr="00A47D55">
        <w:rPr>
          <w:rFonts w:ascii="Lato" w:eastAsia="Calibri" w:hAnsi="Lato" w:cs="Calibri"/>
          <w:sz w:val="22"/>
          <w:szCs w:val="22"/>
        </w:rPr>
        <w:t>W Myśliborzu zorganizowano  spotkanie edukacyjne dla mieszkańców Domu Pomocy Społecznej we współpracy z Policją, poświęcone zagrożeniom w sieci oraz cyberprzemocy. Podczas prelekcji omówiono najczęstsze oszustwa internetowe, zasady bezpiecznego korzystania z Internetu oraz sposoby reagowania w sytuacjach zagrożenia.</w:t>
      </w:r>
    </w:p>
    <w:p w14:paraId="7E677471" w14:textId="77777777" w:rsidR="00053448" w:rsidRPr="001D3C3C" w:rsidRDefault="00053448" w:rsidP="00750881">
      <w:pPr>
        <w:spacing w:line="360" w:lineRule="auto"/>
        <w:rPr>
          <w:rFonts w:ascii="Lato" w:eastAsia="Calibri" w:hAnsi="Lato" w:cs="Calibri"/>
          <w:b/>
          <w:bCs/>
          <w:sz w:val="22"/>
          <w:szCs w:val="22"/>
        </w:rPr>
      </w:pPr>
    </w:p>
    <w:p w14:paraId="51659066" w14:textId="41B1C0A8" w:rsidR="000B759F" w:rsidRPr="001D3C3C" w:rsidRDefault="000B759F">
      <w:pPr>
        <w:pStyle w:val="Akapitzlist"/>
        <w:numPr>
          <w:ilvl w:val="0"/>
          <w:numId w:val="18"/>
        </w:numPr>
        <w:spacing w:line="360" w:lineRule="auto"/>
        <w:ind w:left="568" w:right="284" w:hanging="284"/>
        <w:rPr>
          <w:rFonts w:ascii="Lato" w:eastAsia="Calibri" w:hAnsi="Lato" w:cs="Calibri"/>
          <w:b/>
          <w:bCs/>
        </w:rPr>
      </w:pPr>
      <w:bookmarkStart w:id="266" w:name="_Toc225859135"/>
      <w:r w:rsidRPr="001D3C3C">
        <w:rPr>
          <w:rStyle w:val="Nagwek2Znak"/>
          <w:b/>
          <w:bCs/>
        </w:rPr>
        <w:t>Inne działania:</w:t>
      </w:r>
      <w:bookmarkEnd w:id="266"/>
    </w:p>
    <w:p w14:paraId="74D5149F" w14:textId="03D7ACDB" w:rsidR="000B759F" w:rsidRPr="00A47D55" w:rsidRDefault="000B759F">
      <w:pPr>
        <w:pStyle w:val="Nagwek3"/>
        <w:numPr>
          <w:ilvl w:val="1"/>
          <w:numId w:val="18"/>
        </w:numPr>
        <w:spacing w:before="0" w:after="0" w:line="360" w:lineRule="auto"/>
        <w:ind w:left="568" w:right="284" w:hanging="284"/>
        <w:rPr>
          <w:rFonts w:eastAsia="Calibri"/>
          <w:color w:val="auto"/>
        </w:rPr>
      </w:pPr>
      <w:bookmarkStart w:id="267" w:name="_Toc225859136"/>
      <w:r w:rsidRPr="00A47D55">
        <w:rPr>
          <w:rFonts w:eastAsia="Calibri"/>
          <w:color w:val="auto"/>
        </w:rPr>
        <w:t>Obchody Światowego Dnia Wody 2025, w tym wojewódzki konkurs</w:t>
      </w:r>
      <w:r w:rsidR="00A47D55">
        <w:rPr>
          <w:rFonts w:eastAsia="Calibri"/>
          <w:color w:val="auto"/>
        </w:rPr>
        <w:t xml:space="preserve"> </w:t>
      </w:r>
      <w:r w:rsidRPr="00A47D55">
        <w:rPr>
          <w:color w:val="auto"/>
        </w:rPr>
        <w:t>na rolkę „Woda życiowym viralem</w:t>
      </w:r>
      <w:r w:rsidR="00A77C75">
        <w:rPr>
          <w:color w:val="auto"/>
        </w:rPr>
        <w:t>”</w:t>
      </w:r>
      <w:r w:rsidRPr="00A47D55">
        <w:rPr>
          <w:color w:val="auto"/>
        </w:rPr>
        <w:t xml:space="preserve"> dla młodzieży szkół ponadpodstawowych.</w:t>
      </w:r>
      <w:bookmarkEnd w:id="267"/>
    </w:p>
    <w:p w14:paraId="17B3597E" w14:textId="77777777" w:rsidR="00A47D55" w:rsidRDefault="00A47D55" w:rsidP="000B759F">
      <w:pPr>
        <w:rPr>
          <w:rFonts w:ascii="Lato" w:hAnsi="Lato"/>
          <w:b/>
          <w:bCs/>
        </w:rPr>
      </w:pPr>
    </w:p>
    <w:p w14:paraId="107B7334" w14:textId="77777777" w:rsidR="00A47D55" w:rsidRDefault="00A47D55" w:rsidP="000B759F">
      <w:pPr>
        <w:rPr>
          <w:rFonts w:ascii="Lato" w:hAnsi="Lato"/>
          <w:b/>
          <w:bCs/>
        </w:rPr>
      </w:pPr>
    </w:p>
    <w:p w14:paraId="2D85023C" w14:textId="77777777" w:rsidR="000B759F" w:rsidRDefault="000B759F" w:rsidP="00F70812">
      <w:pPr>
        <w:jc w:val="center"/>
        <w:rPr>
          <w:rFonts w:ascii="Lato" w:hAnsi="Lato"/>
          <w:b/>
          <w:bCs/>
        </w:rPr>
      </w:pPr>
      <w:r>
        <w:rPr>
          <w:noProof/>
        </w:rPr>
        <w:drawing>
          <wp:inline distT="0" distB="0" distL="0" distR="0" wp14:anchorId="213FEC37" wp14:editId="62620406">
            <wp:extent cx="2770505" cy="1600200"/>
            <wp:effectExtent l="0" t="0" r="0" b="0"/>
            <wp:docPr id="100197487" name="Grafika 1" descr="Zdjęcie 8. Konkurs Woda życiowym vir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487" name="Grafika 1" descr="Zdjęcie 8. Konkurs Woda życiowym viralem."/>
                    <pic:cNvPicPr/>
                  </pic:nvPicPr>
                  <pic:blipFill>
                    <a:blip r:embed="rId36">
                      <a:extLst>
                        <a:ext uri="{96DAC541-7B7A-43D3-8B79-37D633B846F1}">
                          <asvg:svgBlip xmlns:asvg="http://schemas.microsoft.com/office/drawing/2016/SVG/main" r:embed="rId37"/>
                        </a:ext>
                      </a:extLst>
                    </a:blip>
                    <a:stretch>
                      <a:fillRect/>
                    </a:stretch>
                  </pic:blipFill>
                  <pic:spPr>
                    <a:xfrm>
                      <a:off x="0" y="0"/>
                      <a:ext cx="2803442" cy="1619224"/>
                    </a:xfrm>
                    <a:prstGeom prst="rect">
                      <a:avLst/>
                    </a:prstGeom>
                  </pic:spPr>
                </pic:pic>
              </a:graphicData>
            </a:graphic>
          </wp:inline>
        </w:drawing>
      </w:r>
    </w:p>
    <w:p w14:paraId="5BFF9C7F" w14:textId="77777777" w:rsidR="00747C41" w:rsidRDefault="00747C41" w:rsidP="00F70812">
      <w:pPr>
        <w:jc w:val="center"/>
        <w:rPr>
          <w:rFonts w:ascii="Lato" w:hAnsi="Lato"/>
          <w:b/>
          <w:bCs/>
        </w:rPr>
      </w:pPr>
    </w:p>
    <w:p w14:paraId="62B395FB" w14:textId="1ABB8D49" w:rsidR="000B759F" w:rsidRPr="000434EC" w:rsidRDefault="004C6E61" w:rsidP="004C6E61">
      <w:pPr>
        <w:pStyle w:val="Legenda"/>
        <w:jc w:val="center"/>
        <w:rPr>
          <w:rFonts w:ascii="Lato" w:hAnsi="Lato"/>
          <w:b w:val="0"/>
          <w:bCs w:val="0"/>
          <w:sz w:val="18"/>
          <w:szCs w:val="18"/>
        </w:rPr>
      </w:pPr>
      <w:bookmarkStart w:id="268" w:name="_Toc225859335"/>
      <w:r w:rsidRPr="000434EC">
        <w:rPr>
          <w:rFonts w:ascii="Lato" w:hAnsi="Lato"/>
          <w:b w:val="0"/>
          <w:bCs w:val="0"/>
          <w:sz w:val="18"/>
          <w:szCs w:val="18"/>
        </w:rPr>
        <w:t xml:space="preserve">Zdjęcie </w:t>
      </w:r>
      <w:r w:rsidRPr="000434EC">
        <w:rPr>
          <w:rFonts w:ascii="Lato" w:hAnsi="Lato"/>
          <w:b w:val="0"/>
          <w:bCs w:val="0"/>
          <w:sz w:val="18"/>
          <w:szCs w:val="18"/>
        </w:rPr>
        <w:fldChar w:fldCharType="begin"/>
      </w:r>
      <w:r w:rsidRPr="000434EC">
        <w:rPr>
          <w:rFonts w:ascii="Lato" w:hAnsi="Lato"/>
          <w:b w:val="0"/>
          <w:bCs w:val="0"/>
          <w:sz w:val="18"/>
          <w:szCs w:val="18"/>
        </w:rPr>
        <w:instrText xml:space="preserve"> SEQ zdjęcie \* ARABIC </w:instrText>
      </w:r>
      <w:r w:rsidRPr="000434EC">
        <w:rPr>
          <w:rFonts w:ascii="Lato" w:hAnsi="Lato"/>
          <w:b w:val="0"/>
          <w:bCs w:val="0"/>
          <w:sz w:val="18"/>
          <w:szCs w:val="18"/>
        </w:rPr>
        <w:fldChar w:fldCharType="separate"/>
      </w:r>
      <w:r w:rsidR="002A3179">
        <w:rPr>
          <w:rFonts w:ascii="Lato" w:hAnsi="Lato"/>
          <w:b w:val="0"/>
          <w:bCs w:val="0"/>
          <w:noProof/>
          <w:sz w:val="18"/>
          <w:szCs w:val="18"/>
        </w:rPr>
        <w:t>8</w:t>
      </w:r>
      <w:r w:rsidRPr="000434EC">
        <w:rPr>
          <w:rFonts w:ascii="Lato" w:hAnsi="Lato"/>
          <w:b w:val="0"/>
          <w:bCs w:val="0"/>
          <w:sz w:val="18"/>
          <w:szCs w:val="18"/>
        </w:rPr>
        <w:fldChar w:fldCharType="end"/>
      </w:r>
      <w:r w:rsidRPr="000434EC">
        <w:rPr>
          <w:rFonts w:ascii="Lato" w:hAnsi="Lato"/>
          <w:b w:val="0"/>
          <w:bCs w:val="0"/>
          <w:sz w:val="18"/>
          <w:szCs w:val="18"/>
        </w:rPr>
        <w:t>. Konkurs Woda życiowym viralem.</w:t>
      </w:r>
      <w:bookmarkEnd w:id="268"/>
    </w:p>
    <w:p w14:paraId="6BBD1145" w14:textId="77777777" w:rsidR="000434EC" w:rsidRPr="000434EC" w:rsidRDefault="000434EC" w:rsidP="000434EC"/>
    <w:p w14:paraId="1E8DA463" w14:textId="77777777" w:rsidR="000B759F" w:rsidRPr="00F70812" w:rsidRDefault="000B759F" w:rsidP="00750881">
      <w:pPr>
        <w:spacing w:line="360" w:lineRule="auto"/>
        <w:rPr>
          <w:rFonts w:ascii="Lato" w:hAnsi="Lato"/>
          <w:sz w:val="22"/>
          <w:szCs w:val="22"/>
        </w:rPr>
      </w:pPr>
      <w:r w:rsidRPr="00F70812">
        <w:rPr>
          <w:rFonts w:ascii="Lato" w:hAnsi="Lato"/>
          <w:sz w:val="22"/>
          <w:szCs w:val="22"/>
        </w:rPr>
        <w:t>Cel główny: wzmocnienie świadomości o roli i wartości wody w naszym codziennym życiu.</w:t>
      </w:r>
    </w:p>
    <w:p w14:paraId="3AE83A83" w14:textId="77777777" w:rsidR="000B759F" w:rsidRPr="00F70812" w:rsidRDefault="000B759F" w:rsidP="00750881">
      <w:pPr>
        <w:spacing w:line="360" w:lineRule="auto"/>
        <w:rPr>
          <w:rFonts w:ascii="Lato" w:hAnsi="Lato"/>
          <w:sz w:val="22"/>
          <w:szCs w:val="22"/>
        </w:rPr>
      </w:pPr>
      <w:r w:rsidRPr="00F70812">
        <w:rPr>
          <w:rFonts w:ascii="Lato" w:hAnsi="Lato"/>
          <w:sz w:val="22"/>
          <w:szCs w:val="22"/>
        </w:rPr>
        <w:t>Grupa docelowa</w:t>
      </w:r>
      <w:r w:rsidRPr="00F70812">
        <w:rPr>
          <w:rFonts w:ascii="Lato" w:hAnsi="Lato"/>
          <w:b/>
          <w:bCs/>
          <w:sz w:val="22"/>
          <w:szCs w:val="22"/>
        </w:rPr>
        <w:t xml:space="preserve">: </w:t>
      </w:r>
      <w:r w:rsidRPr="00F70812">
        <w:rPr>
          <w:rFonts w:ascii="Lato" w:hAnsi="Lato"/>
          <w:sz w:val="22"/>
          <w:szCs w:val="22"/>
        </w:rPr>
        <w:t xml:space="preserve">uczniowie klas I </w:t>
      </w:r>
      <w:proofErr w:type="spellStart"/>
      <w:r w:rsidRPr="00F70812">
        <w:rPr>
          <w:rFonts w:ascii="Lato" w:hAnsi="Lato"/>
          <w:sz w:val="22"/>
          <w:szCs w:val="22"/>
        </w:rPr>
        <w:t>i</w:t>
      </w:r>
      <w:proofErr w:type="spellEnd"/>
      <w:r w:rsidRPr="00F70812">
        <w:rPr>
          <w:rFonts w:ascii="Lato" w:hAnsi="Lato"/>
          <w:sz w:val="22"/>
          <w:szCs w:val="22"/>
        </w:rPr>
        <w:t xml:space="preserve"> II szkół ponadpodstawowych województwa zachodniopomorskiego.</w:t>
      </w:r>
    </w:p>
    <w:p w14:paraId="7A19978A" w14:textId="5B3A914C" w:rsidR="000B759F" w:rsidRPr="00F70812" w:rsidRDefault="000B759F" w:rsidP="00750881">
      <w:pPr>
        <w:spacing w:line="360" w:lineRule="auto"/>
        <w:rPr>
          <w:rFonts w:ascii="Lato" w:hAnsi="Lato"/>
          <w:sz w:val="22"/>
          <w:szCs w:val="22"/>
        </w:rPr>
      </w:pPr>
      <w:r w:rsidRPr="00F70812">
        <w:rPr>
          <w:rFonts w:ascii="Lato" w:hAnsi="Lato"/>
          <w:sz w:val="22"/>
          <w:szCs w:val="22"/>
        </w:rPr>
        <w:t>Liczba odbiorców: 8 placówek</w:t>
      </w:r>
      <w:r w:rsidR="00413A9A">
        <w:rPr>
          <w:rFonts w:ascii="Lato" w:hAnsi="Lato"/>
          <w:sz w:val="22"/>
          <w:szCs w:val="22"/>
        </w:rPr>
        <w:t>.</w:t>
      </w:r>
    </w:p>
    <w:p w14:paraId="42D7952D" w14:textId="66FFE570" w:rsidR="000B759F" w:rsidRDefault="000B759F" w:rsidP="00750881">
      <w:pPr>
        <w:spacing w:line="360" w:lineRule="auto"/>
        <w:rPr>
          <w:rFonts w:ascii="Lato" w:hAnsi="Lato"/>
          <w:sz w:val="22"/>
          <w:szCs w:val="22"/>
        </w:rPr>
      </w:pPr>
      <w:r w:rsidRPr="00F70812">
        <w:rPr>
          <w:rFonts w:ascii="Lato" w:hAnsi="Lato"/>
          <w:sz w:val="22"/>
          <w:szCs w:val="22"/>
        </w:rPr>
        <w:t xml:space="preserve">Przedmiotem konkursu było stworzenie krótkiego utworu multimedialnego typu rolka, nawiązującego do racjonalnego korzystania z zasobów wodnych, ochrony środowisk wodnych oraz walorów zdrowotnych wynikających ze spożywania wody przez człowieka. Rolka miała przedstawiać rolę i wartość wody w naszym codziennym życiu. Konkurs przebiegł dwuetapowo – najlepsze rolki z etapu powiatowego rywalizowały na poziomie wojewódzkim. </w:t>
      </w:r>
    </w:p>
    <w:p w14:paraId="03684886" w14:textId="77777777" w:rsidR="00DB41AC" w:rsidRPr="00F70812" w:rsidRDefault="00DB41AC" w:rsidP="000B759F">
      <w:pPr>
        <w:rPr>
          <w:rFonts w:ascii="Lato" w:hAnsi="Lato"/>
          <w:sz w:val="22"/>
          <w:szCs w:val="22"/>
        </w:rPr>
      </w:pPr>
    </w:p>
    <w:p w14:paraId="261619FF" w14:textId="5392AF2E" w:rsidR="000B759F" w:rsidRPr="00F535EC" w:rsidRDefault="000B759F">
      <w:pPr>
        <w:pStyle w:val="Akapitzlist"/>
        <w:numPr>
          <w:ilvl w:val="1"/>
          <w:numId w:val="18"/>
        </w:numPr>
        <w:spacing w:line="276" w:lineRule="auto"/>
        <w:ind w:left="568" w:right="284" w:hanging="284"/>
        <w:rPr>
          <w:rStyle w:val="Nagwek3Znak"/>
          <w:rFonts w:eastAsia="Calibri" w:cs="Calibri"/>
          <w:b/>
          <w:bCs/>
          <w:color w:val="auto"/>
          <w:sz w:val="24"/>
          <w:szCs w:val="24"/>
        </w:rPr>
      </w:pPr>
      <w:bookmarkStart w:id="269" w:name="_Toc225859137"/>
      <w:r w:rsidRPr="00A47D55">
        <w:rPr>
          <w:rStyle w:val="Nagwek3Znak"/>
          <w:color w:val="auto"/>
        </w:rPr>
        <w:t>Powiatowy Program Edukacyjny „Zero Papierosów Setki Możliwości” PPIS w</w:t>
      </w:r>
      <w:r w:rsidR="00C60215">
        <w:rPr>
          <w:rStyle w:val="Nagwek3Znak"/>
          <w:color w:val="auto"/>
        </w:rPr>
        <w:t> </w:t>
      </w:r>
      <w:r w:rsidRPr="00A47D55">
        <w:rPr>
          <w:rStyle w:val="Nagwek3Znak"/>
          <w:color w:val="auto"/>
        </w:rPr>
        <w:t>Gryficach na terenie powiatu gryfickiego</w:t>
      </w:r>
      <w:bookmarkEnd w:id="269"/>
    </w:p>
    <w:p w14:paraId="5986280B" w14:textId="77777777" w:rsidR="00F535EC" w:rsidRPr="00DB41AC" w:rsidRDefault="00F535EC" w:rsidP="00F535EC">
      <w:pPr>
        <w:pStyle w:val="Akapitzlist"/>
        <w:spacing w:line="276" w:lineRule="auto"/>
        <w:ind w:left="568" w:right="284"/>
        <w:rPr>
          <w:rFonts w:ascii="Lato" w:eastAsia="Calibri" w:hAnsi="Lato" w:cs="Calibri"/>
          <w:b/>
          <w:bCs/>
        </w:rPr>
      </w:pPr>
    </w:p>
    <w:p w14:paraId="38F00435" w14:textId="77777777"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 xml:space="preserve">Cel główny: zwiększenie świadomości uczniów na temat skutków ubocznych używania papierosów elektronicznych. </w:t>
      </w:r>
    </w:p>
    <w:p w14:paraId="6ADE4469" w14:textId="70E50545"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Grupa docelowa: uczniowie szkół średnich z terenu powiatu gryfickiego</w:t>
      </w:r>
      <w:r w:rsidR="00413A9A">
        <w:rPr>
          <w:rFonts w:ascii="Lato" w:eastAsia="Calibri" w:hAnsi="Lato" w:cs="Calibri"/>
          <w:sz w:val="22"/>
          <w:szCs w:val="22"/>
        </w:rPr>
        <w:t>.</w:t>
      </w:r>
    </w:p>
    <w:p w14:paraId="6BF36435" w14:textId="1D082127"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 xml:space="preserve"> Liczba odbiorców: 147 osób</w:t>
      </w:r>
      <w:r w:rsidR="00413A9A">
        <w:rPr>
          <w:rFonts w:ascii="Lato" w:eastAsia="Calibri" w:hAnsi="Lato" w:cs="Calibri"/>
          <w:sz w:val="22"/>
          <w:szCs w:val="22"/>
        </w:rPr>
        <w:t>.</w:t>
      </w:r>
    </w:p>
    <w:p w14:paraId="18C4556A" w14:textId="0A340BEC"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Główne działania w ramach interwencji: program realizowany w 5 szkołach średnich powiatu, przy wsparciu przedstawiciela Komendy Powiatowej Policji w</w:t>
      </w:r>
      <w:r w:rsidR="00DB4154">
        <w:rPr>
          <w:rFonts w:ascii="Lato" w:eastAsia="Calibri" w:hAnsi="Lato" w:cs="Calibri"/>
          <w:sz w:val="22"/>
          <w:szCs w:val="22"/>
        </w:rPr>
        <w:t xml:space="preserve"> </w:t>
      </w:r>
      <w:r w:rsidRPr="00F70812">
        <w:rPr>
          <w:rFonts w:ascii="Lato" w:eastAsia="Calibri" w:hAnsi="Lato" w:cs="Calibri"/>
          <w:sz w:val="22"/>
          <w:szCs w:val="22"/>
        </w:rPr>
        <w:t>Gryficach, przeprowadzono 5 prelekcji dla uczniów nt. „Papierosy –Pułapka dla zdrowia”. Informacje odnośnie tematyki oraz podejmowanych działań zamieszczano na stronie</w:t>
      </w:r>
      <w:r w:rsidR="00AC1CB1">
        <w:rPr>
          <w:rFonts w:ascii="Lato" w:eastAsia="Calibri" w:hAnsi="Lato" w:cs="Calibri"/>
          <w:sz w:val="22"/>
          <w:szCs w:val="22"/>
        </w:rPr>
        <w:t> </w:t>
      </w:r>
      <w:r w:rsidRPr="00F70812">
        <w:rPr>
          <w:rFonts w:ascii="Lato" w:eastAsia="Calibri" w:hAnsi="Lato" w:cs="Calibri"/>
          <w:sz w:val="22"/>
          <w:szCs w:val="22"/>
        </w:rPr>
        <w:t xml:space="preserve">internetowej i </w:t>
      </w:r>
      <w:proofErr w:type="spellStart"/>
      <w:r w:rsidRPr="00F70812">
        <w:rPr>
          <w:rFonts w:ascii="Lato" w:eastAsia="Calibri" w:hAnsi="Lato" w:cs="Calibri"/>
          <w:sz w:val="22"/>
          <w:szCs w:val="22"/>
        </w:rPr>
        <w:t>fb</w:t>
      </w:r>
      <w:proofErr w:type="spellEnd"/>
      <w:r w:rsidRPr="00F70812">
        <w:rPr>
          <w:rFonts w:ascii="Lato" w:eastAsia="Calibri" w:hAnsi="Lato" w:cs="Calibri"/>
          <w:sz w:val="22"/>
          <w:szCs w:val="22"/>
        </w:rPr>
        <w:t xml:space="preserve"> PSSE Gryfice.</w:t>
      </w:r>
    </w:p>
    <w:p w14:paraId="42FE64C7" w14:textId="77777777" w:rsidR="003E3861" w:rsidRPr="004C6E61" w:rsidRDefault="003E3861" w:rsidP="000B759F">
      <w:pPr>
        <w:spacing w:line="276" w:lineRule="auto"/>
        <w:rPr>
          <w:rFonts w:ascii="Lato" w:eastAsia="Calibri" w:hAnsi="Lato" w:cs="Calibri"/>
          <w:color w:val="EE0000"/>
          <w:sz w:val="22"/>
          <w:szCs w:val="22"/>
        </w:rPr>
      </w:pPr>
    </w:p>
    <w:p w14:paraId="03B4268C" w14:textId="25DD9474" w:rsidR="000B759F" w:rsidRDefault="000B759F">
      <w:pPr>
        <w:pStyle w:val="Akapitzlist"/>
        <w:numPr>
          <w:ilvl w:val="1"/>
          <w:numId w:val="18"/>
        </w:numPr>
        <w:spacing w:line="360" w:lineRule="auto"/>
        <w:ind w:left="568" w:right="284" w:hanging="284"/>
        <w:rPr>
          <w:rFonts w:ascii="Lato" w:eastAsia="Calibri" w:hAnsi="Lato" w:cs="Calibri"/>
          <w:b/>
          <w:bCs/>
        </w:rPr>
      </w:pPr>
      <w:bookmarkStart w:id="270" w:name="_Toc225859138"/>
      <w:r w:rsidRPr="00A47D55">
        <w:rPr>
          <w:rStyle w:val="Nagwek3Znak"/>
          <w:color w:val="auto"/>
        </w:rPr>
        <w:t>Pierwsza pomoc przedmedyczna</w:t>
      </w:r>
      <w:bookmarkEnd w:id="270"/>
      <w:r w:rsidRPr="00A47D55">
        <w:rPr>
          <w:rFonts w:ascii="Lato" w:eastAsia="Calibri" w:hAnsi="Lato" w:cs="Calibri"/>
          <w:b/>
          <w:bCs/>
        </w:rPr>
        <w:t xml:space="preserve">  </w:t>
      </w:r>
    </w:p>
    <w:p w14:paraId="1F3C4A15" w14:textId="77777777" w:rsidR="004C6E61" w:rsidRPr="004C6E61" w:rsidRDefault="004C6E61" w:rsidP="004C6E61">
      <w:pPr>
        <w:spacing w:line="360" w:lineRule="auto"/>
        <w:ind w:right="284"/>
        <w:rPr>
          <w:rFonts w:ascii="Lato" w:eastAsia="Calibri" w:hAnsi="Lato" w:cs="Calibri"/>
          <w:b/>
          <w:bCs/>
          <w:sz w:val="22"/>
          <w:szCs w:val="22"/>
        </w:rPr>
      </w:pPr>
    </w:p>
    <w:p w14:paraId="31378E05" w14:textId="77777777"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Cel główny: zwiększenie świadomości społeczeństwa na temat udzielania pierwszej pomocy</w:t>
      </w:r>
    </w:p>
    <w:p w14:paraId="3B502265" w14:textId="30291534"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Grupa docelowa: dzieci, młodzież, dorośli z miasta Szczecin, powiatu polickiego oraz białogardzkiego</w:t>
      </w:r>
      <w:r w:rsidR="00413A9A">
        <w:rPr>
          <w:rFonts w:ascii="Lato" w:eastAsia="Calibri" w:hAnsi="Lato" w:cs="Calibri"/>
          <w:sz w:val="22"/>
          <w:szCs w:val="22"/>
        </w:rPr>
        <w:t>.</w:t>
      </w:r>
    </w:p>
    <w:p w14:paraId="0C444899" w14:textId="331F468E"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Liczba odbiorców działań: 1235 osób</w:t>
      </w:r>
      <w:r w:rsidR="00413A9A">
        <w:rPr>
          <w:rFonts w:ascii="Lato" w:eastAsia="Calibri" w:hAnsi="Lato" w:cs="Calibri"/>
          <w:sz w:val="22"/>
          <w:szCs w:val="22"/>
        </w:rPr>
        <w:t>.</w:t>
      </w:r>
    </w:p>
    <w:p w14:paraId="27133119" w14:textId="62AA0906" w:rsidR="000B759F"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Główne działania: W ramach akcji przeprowadzono prelekcje z elementami warsztatowymi</w:t>
      </w:r>
      <w:r w:rsidR="00413A9A">
        <w:rPr>
          <w:rFonts w:ascii="Lato" w:eastAsia="Calibri" w:hAnsi="Lato" w:cs="Calibri"/>
          <w:sz w:val="22"/>
          <w:szCs w:val="22"/>
        </w:rPr>
        <w:t xml:space="preserve"> </w:t>
      </w:r>
      <w:r w:rsidRPr="00F70812">
        <w:rPr>
          <w:rFonts w:ascii="Lato" w:eastAsia="Calibri" w:hAnsi="Lato" w:cs="Calibri"/>
          <w:sz w:val="22"/>
          <w:szCs w:val="22"/>
        </w:rPr>
        <w:t>na</w:t>
      </w:r>
      <w:r w:rsidR="00413A9A">
        <w:rPr>
          <w:rFonts w:ascii="Lato" w:eastAsia="Calibri" w:hAnsi="Lato" w:cs="Calibri"/>
          <w:sz w:val="22"/>
          <w:szCs w:val="22"/>
        </w:rPr>
        <w:t> </w:t>
      </w:r>
      <w:r w:rsidRPr="00F70812">
        <w:rPr>
          <w:rFonts w:ascii="Lato" w:eastAsia="Calibri" w:hAnsi="Lato" w:cs="Calibri"/>
          <w:sz w:val="22"/>
          <w:szCs w:val="22"/>
        </w:rPr>
        <w:t>fantomie z zakresu udzielania pierwszej pomocy przedmedycznej z AED,</w:t>
      </w:r>
      <w:r w:rsidR="00413A9A">
        <w:rPr>
          <w:rFonts w:ascii="Lato" w:eastAsia="Calibri" w:hAnsi="Lato" w:cs="Calibri"/>
          <w:sz w:val="22"/>
          <w:szCs w:val="22"/>
        </w:rPr>
        <w:t xml:space="preserve"> </w:t>
      </w:r>
      <w:r w:rsidRPr="00F70812">
        <w:rPr>
          <w:rFonts w:ascii="Lato" w:eastAsia="Calibri" w:hAnsi="Lato" w:cs="Calibri"/>
          <w:sz w:val="22"/>
          <w:szCs w:val="22"/>
        </w:rPr>
        <w:t>skutecznego wzywania pomocy oraz postępowania w przypadkach zagrożeń utraty</w:t>
      </w:r>
      <w:r w:rsidR="00413A9A">
        <w:rPr>
          <w:rFonts w:ascii="Lato" w:eastAsia="Calibri" w:hAnsi="Lato" w:cs="Calibri"/>
          <w:sz w:val="22"/>
          <w:szCs w:val="22"/>
        </w:rPr>
        <w:t xml:space="preserve"> </w:t>
      </w:r>
      <w:r w:rsidRPr="00F70812">
        <w:rPr>
          <w:rFonts w:ascii="Lato" w:eastAsia="Calibri" w:hAnsi="Lato" w:cs="Calibri"/>
          <w:sz w:val="22"/>
          <w:szCs w:val="22"/>
        </w:rPr>
        <w:t>zdrowia i życia człowieka. Współpracowano również w tym zakresie z WOPR.</w:t>
      </w:r>
    </w:p>
    <w:p w14:paraId="5AF6D5B5" w14:textId="77777777" w:rsidR="00053448" w:rsidRPr="00F70812" w:rsidRDefault="00053448" w:rsidP="000B759F">
      <w:pPr>
        <w:spacing w:line="276" w:lineRule="auto"/>
        <w:rPr>
          <w:rFonts w:ascii="Lato" w:eastAsia="Calibri" w:hAnsi="Lato" w:cs="Calibri"/>
          <w:sz w:val="22"/>
          <w:szCs w:val="22"/>
        </w:rPr>
      </w:pPr>
    </w:p>
    <w:p w14:paraId="2919FD20" w14:textId="49DF1A3E" w:rsidR="00A47D55" w:rsidRPr="00A4556F" w:rsidRDefault="000B759F">
      <w:pPr>
        <w:pStyle w:val="Akapitzlist"/>
        <w:numPr>
          <w:ilvl w:val="1"/>
          <w:numId w:val="18"/>
        </w:numPr>
        <w:spacing w:line="360" w:lineRule="auto"/>
        <w:ind w:left="568" w:right="284" w:hanging="284"/>
        <w:jc w:val="both"/>
        <w:rPr>
          <w:rStyle w:val="Nagwek3Znak"/>
          <w:rFonts w:eastAsia="Calibri" w:cs="Calibri"/>
          <w:color w:val="auto"/>
          <w:sz w:val="24"/>
          <w:szCs w:val="24"/>
        </w:rPr>
      </w:pPr>
      <w:bookmarkStart w:id="271" w:name="_Toc225859139"/>
      <w:r w:rsidRPr="00A47D55">
        <w:rPr>
          <w:rStyle w:val="Nagwek3Znak"/>
          <w:color w:val="auto"/>
        </w:rPr>
        <w:t xml:space="preserve">Akcja </w:t>
      </w:r>
      <w:proofErr w:type="spellStart"/>
      <w:r w:rsidRPr="00A47D55">
        <w:rPr>
          <w:rStyle w:val="Nagwek3Znak"/>
          <w:color w:val="auto"/>
        </w:rPr>
        <w:t>Movember</w:t>
      </w:r>
      <w:bookmarkEnd w:id="271"/>
      <w:proofErr w:type="spellEnd"/>
    </w:p>
    <w:p w14:paraId="5F7EA90E" w14:textId="77777777" w:rsidR="00A4556F" w:rsidRPr="00A4556F" w:rsidRDefault="00A4556F" w:rsidP="00A4556F">
      <w:pPr>
        <w:spacing w:line="360" w:lineRule="auto"/>
        <w:ind w:left="284" w:right="284"/>
        <w:jc w:val="both"/>
        <w:rPr>
          <w:rFonts w:ascii="Lato" w:eastAsia="Calibri" w:hAnsi="Lato" w:cs="Calibri"/>
          <w:sz w:val="22"/>
          <w:szCs w:val="22"/>
        </w:rPr>
      </w:pPr>
    </w:p>
    <w:p w14:paraId="4C625ECC" w14:textId="7A432C4B" w:rsidR="000B759F" w:rsidRPr="00F70812" w:rsidRDefault="000B759F" w:rsidP="00196FE6">
      <w:pPr>
        <w:spacing w:line="360" w:lineRule="auto"/>
        <w:rPr>
          <w:rFonts w:ascii="Lato" w:eastAsia="Calibri" w:hAnsi="Lato" w:cs="Calibri"/>
          <w:sz w:val="22"/>
          <w:szCs w:val="22"/>
        </w:rPr>
      </w:pPr>
      <w:r w:rsidRPr="00F70812">
        <w:rPr>
          <w:rFonts w:ascii="Lato" w:eastAsia="Calibri" w:hAnsi="Lato" w:cs="Calibri"/>
          <w:sz w:val="22"/>
          <w:szCs w:val="22"/>
        </w:rPr>
        <w:t>Cel główny: zwiększenie świadomości na temat zdrowia mężczyzn</w:t>
      </w:r>
      <w:r w:rsidR="00F12EA3">
        <w:rPr>
          <w:rFonts w:ascii="Lato" w:eastAsia="Calibri" w:hAnsi="Lato" w:cs="Calibri"/>
          <w:sz w:val="22"/>
          <w:szCs w:val="22"/>
        </w:rPr>
        <w:t xml:space="preserve">, </w:t>
      </w:r>
      <w:r w:rsidRPr="00F70812">
        <w:rPr>
          <w:rFonts w:ascii="Lato" w:eastAsia="Calibri" w:hAnsi="Lato" w:cs="Calibri"/>
          <w:sz w:val="22"/>
          <w:szCs w:val="22"/>
        </w:rPr>
        <w:t>przede wszystkim profilaktyki nowotworów prostaty i jąder, a także ogólnej troski o zdrowie oraz zachęcania do</w:t>
      </w:r>
      <w:r w:rsidR="00AC1CB1">
        <w:rPr>
          <w:rFonts w:ascii="Lato" w:eastAsia="Calibri" w:hAnsi="Lato" w:cs="Calibri"/>
          <w:sz w:val="22"/>
          <w:szCs w:val="22"/>
        </w:rPr>
        <w:t> </w:t>
      </w:r>
      <w:r w:rsidRPr="00F70812">
        <w:rPr>
          <w:rFonts w:ascii="Lato" w:eastAsia="Calibri" w:hAnsi="Lato" w:cs="Calibri"/>
          <w:sz w:val="22"/>
          <w:szCs w:val="22"/>
        </w:rPr>
        <w:t>regularnych badań.</w:t>
      </w:r>
      <w:r w:rsidR="00F12EA3">
        <w:rPr>
          <w:rFonts w:ascii="Lato" w:eastAsia="Calibri" w:hAnsi="Lato" w:cs="Calibri"/>
          <w:sz w:val="22"/>
          <w:szCs w:val="22"/>
        </w:rPr>
        <w:t xml:space="preserve"> Program realizowano na terenie powiatu stargardzkiego.</w:t>
      </w:r>
    </w:p>
    <w:p w14:paraId="74DB9ADD" w14:textId="77777777" w:rsidR="000B759F" w:rsidRPr="00F70812" w:rsidRDefault="000B759F" w:rsidP="00196FE6">
      <w:pPr>
        <w:spacing w:line="360" w:lineRule="auto"/>
        <w:rPr>
          <w:rFonts w:ascii="Lato" w:eastAsia="Calibri" w:hAnsi="Lato" w:cs="Calibri"/>
          <w:sz w:val="22"/>
          <w:szCs w:val="22"/>
        </w:rPr>
      </w:pPr>
      <w:r w:rsidRPr="00F70812">
        <w:rPr>
          <w:rFonts w:ascii="Lato" w:eastAsia="Calibri" w:hAnsi="Lato" w:cs="Calibri"/>
          <w:sz w:val="22"/>
          <w:szCs w:val="22"/>
        </w:rPr>
        <w:t xml:space="preserve">Główne działania: Pracownicy Powiatowej Stacji Sanitarno-Epidemiologicznej w Stargardzie przez cały listopad aktywnie promowali profilaktykę zdrowia mężczyzn w ramach akcji </w:t>
      </w:r>
      <w:proofErr w:type="spellStart"/>
      <w:r w:rsidRPr="00F70812">
        <w:rPr>
          <w:rFonts w:ascii="Lato" w:eastAsia="Calibri" w:hAnsi="Lato" w:cs="Calibri"/>
          <w:sz w:val="22"/>
          <w:szCs w:val="22"/>
        </w:rPr>
        <w:t>Movember</w:t>
      </w:r>
      <w:proofErr w:type="spellEnd"/>
      <w:r w:rsidRPr="00F70812">
        <w:rPr>
          <w:rFonts w:ascii="Lato" w:eastAsia="Calibri" w:hAnsi="Lato" w:cs="Calibri"/>
          <w:sz w:val="22"/>
          <w:szCs w:val="22"/>
        </w:rPr>
        <w:t xml:space="preserve"> w mediach społecznościowych, publikowano tematyczne rolki. Na potrzeby akcji stworzono plakat z portretami ambasadorów akcji, promujący wydarzenie. Zorganizowano również stoisko edukacyjne na terenie Bazaru Stargard. Zorganizowano konferencję poświęconą profilaktyce zdrowia mężczyzn, nowotworom prostaty i jąder oraz budowaniu świadomości w zakresie regularnych badań i dbania o zdrowie.</w:t>
      </w:r>
    </w:p>
    <w:p w14:paraId="60421558" w14:textId="7482AD73" w:rsidR="000B759F" w:rsidRDefault="000B759F" w:rsidP="00196FE6">
      <w:pPr>
        <w:spacing w:line="360" w:lineRule="auto"/>
        <w:rPr>
          <w:rFonts w:ascii="Lato" w:eastAsia="Calibri" w:hAnsi="Lato" w:cs="Calibri"/>
          <w:sz w:val="22"/>
          <w:szCs w:val="22"/>
        </w:rPr>
      </w:pPr>
      <w:r w:rsidRPr="00F70812">
        <w:rPr>
          <w:rFonts w:ascii="Lato" w:eastAsia="Calibri" w:hAnsi="Lato" w:cs="Calibri"/>
          <w:sz w:val="22"/>
          <w:szCs w:val="22"/>
        </w:rPr>
        <w:lastRenderedPageBreak/>
        <w:t>W spotkaniu udział wzięli studenci Pomorskiego Uniwersytetu Medycznego w Szczecinie, którzy wykonywali przesiewowe testy PSA. Zorganizowano również przemarsz</w:t>
      </w:r>
      <w:r w:rsidR="00F12EA3">
        <w:rPr>
          <w:rFonts w:ascii="Lato" w:eastAsia="Calibri" w:hAnsi="Lato" w:cs="Calibri"/>
          <w:sz w:val="22"/>
          <w:szCs w:val="22"/>
        </w:rPr>
        <w:t xml:space="preserve"> </w:t>
      </w:r>
      <w:r w:rsidRPr="00F70812">
        <w:rPr>
          <w:rFonts w:ascii="Lato" w:eastAsia="Calibri" w:hAnsi="Lato" w:cs="Calibri"/>
          <w:sz w:val="22"/>
          <w:szCs w:val="22"/>
        </w:rPr>
        <w:t xml:space="preserve">lokalnych władz ulicami Stargardu, aby okazać wsparcie wszystkim mężczyznom. Hasłem przewodnim marszu było „Z wąsem po zdrowie”. </w:t>
      </w:r>
    </w:p>
    <w:p w14:paraId="60F912B4" w14:textId="77777777" w:rsidR="00053448" w:rsidRDefault="00053448" w:rsidP="00196FE6">
      <w:pPr>
        <w:spacing w:line="276" w:lineRule="auto"/>
        <w:rPr>
          <w:rFonts w:ascii="Lato" w:eastAsia="Calibri" w:hAnsi="Lato" w:cs="Calibri"/>
          <w:sz w:val="22"/>
          <w:szCs w:val="22"/>
        </w:rPr>
      </w:pPr>
    </w:p>
    <w:p w14:paraId="03994CF5" w14:textId="77777777" w:rsidR="00A4556F" w:rsidRPr="00F70812" w:rsidRDefault="00A4556F" w:rsidP="00196FE6">
      <w:pPr>
        <w:spacing w:line="276" w:lineRule="auto"/>
        <w:rPr>
          <w:rFonts w:ascii="Lato" w:eastAsia="Calibri" w:hAnsi="Lato" w:cs="Calibri"/>
          <w:sz w:val="22"/>
          <w:szCs w:val="22"/>
        </w:rPr>
      </w:pPr>
    </w:p>
    <w:p w14:paraId="6239C1E2" w14:textId="653A0460" w:rsidR="000B759F" w:rsidRDefault="000B759F">
      <w:pPr>
        <w:pStyle w:val="Akapitzlist"/>
        <w:numPr>
          <w:ilvl w:val="1"/>
          <w:numId w:val="18"/>
        </w:numPr>
        <w:spacing w:line="360" w:lineRule="auto"/>
        <w:ind w:left="568" w:right="284" w:hanging="284"/>
        <w:rPr>
          <w:rStyle w:val="Nagwek3Znak"/>
          <w:color w:val="auto"/>
        </w:rPr>
      </w:pPr>
      <w:bookmarkStart w:id="272" w:name="_Toc225859140"/>
      <w:r w:rsidRPr="00A47D55">
        <w:rPr>
          <w:rStyle w:val="Nagwek3Znak"/>
          <w:color w:val="auto"/>
        </w:rPr>
        <w:t>Zdrowie psychiczne – depresja</w:t>
      </w:r>
      <w:bookmarkEnd w:id="272"/>
    </w:p>
    <w:p w14:paraId="04396607" w14:textId="77777777" w:rsidR="00A4556F" w:rsidRPr="00A4556F" w:rsidRDefault="00A4556F" w:rsidP="00A4556F">
      <w:pPr>
        <w:spacing w:line="360" w:lineRule="auto"/>
        <w:ind w:left="284" w:right="284"/>
        <w:rPr>
          <w:rStyle w:val="Nagwek3Znak"/>
          <w:color w:val="auto"/>
        </w:rPr>
      </w:pPr>
    </w:p>
    <w:p w14:paraId="5CCFF10A" w14:textId="77777777" w:rsidR="000B759F" w:rsidRPr="00F70812" w:rsidRDefault="000B759F" w:rsidP="00750881">
      <w:pPr>
        <w:spacing w:line="360" w:lineRule="auto"/>
        <w:rPr>
          <w:rFonts w:ascii="Lato" w:eastAsia="Calibri" w:hAnsi="Lato" w:cs="Calibri"/>
          <w:color w:val="000000"/>
          <w:sz w:val="22"/>
          <w:szCs w:val="22"/>
        </w:rPr>
      </w:pPr>
      <w:r w:rsidRPr="00F70812">
        <w:rPr>
          <w:rFonts w:ascii="Lato" w:eastAsia="Calibri" w:hAnsi="Lato" w:cs="Calibri"/>
          <w:color w:val="000000"/>
          <w:sz w:val="22"/>
          <w:szCs w:val="22"/>
        </w:rPr>
        <w:t>Cel główny: zwiększenie świadomości młodzieży na temat coraz częściej występującego problemu jakim są zaburzenia depresyjne.</w:t>
      </w:r>
    </w:p>
    <w:p w14:paraId="305EE2BA" w14:textId="51E2872F" w:rsidR="000B759F" w:rsidRPr="00F70812" w:rsidRDefault="000B759F" w:rsidP="00750881">
      <w:pPr>
        <w:spacing w:line="360" w:lineRule="auto"/>
        <w:rPr>
          <w:rFonts w:ascii="Lato" w:eastAsia="Calibri" w:hAnsi="Lato" w:cs="Calibri"/>
          <w:color w:val="000000"/>
          <w:sz w:val="22"/>
          <w:szCs w:val="22"/>
        </w:rPr>
      </w:pPr>
      <w:r w:rsidRPr="00F70812">
        <w:rPr>
          <w:rFonts w:ascii="Lato" w:eastAsia="Calibri" w:hAnsi="Lato" w:cs="Calibri"/>
          <w:color w:val="000000"/>
          <w:sz w:val="22"/>
          <w:szCs w:val="22"/>
        </w:rPr>
        <w:t>Grupa docelowa: Uczniowie Szkoły Podstawowej nr 8 w Policach</w:t>
      </w:r>
      <w:r w:rsidR="00413A9A">
        <w:rPr>
          <w:rFonts w:ascii="Lato" w:eastAsia="Calibri" w:hAnsi="Lato" w:cs="Calibri"/>
          <w:color w:val="000000"/>
          <w:sz w:val="22"/>
          <w:szCs w:val="22"/>
        </w:rPr>
        <w:t>.</w:t>
      </w:r>
    </w:p>
    <w:p w14:paraId="432CC818" w14:textId="7A68E87E" w:rsidR="000B759F" w:rsidRPr="00F70812" w:rsidRDefault="000B759F" w:rsidP="00750881">
      <w:pPr>
        <w:spacing w:line="360" w:lineRule="auto"/>
        <w:rPr>
          <w:rFonts w:ascii="Lato" w:eastAsia="Calibri" w:hAnsi="Lato" w:cs="Calibri"/>
          <w:color w:val="000000"/>
          <w:sz w:val="22"/>
          <w:szCs w:val="22"/>
        </w:rPr>
      </w:pPr>
      <w:r w:rsidRPr="00F70812">
        <w:rPr>
          <w:rFonts w:ascii="Lato" w:eastAsia="Calibri" w:hAnsi="Lato" w:cs="Calibri"/>
          <w:color w:val="000000"/>
          <w:sz w:val="22"/>
          <w:szCs w:val="22"/>
        </w:rPr>
        <w:t>Liczba odbiorców: 257 osób</w:t>
      </w:r>
      <w:r w:rsidR="00413A9A">
        <w:rPr>
          <w:rFonts w:ascii="Lato" w:eastAsia="Calibri" w:hAnsi="Lato" w:cs="Calibri"/>
          <w:color w:val="000000"/>
          <w:sz w:val="22"/>
          <w:szCs w:val="22"/>
        </w:rPr>
        <w:t>.</w:t>
      </w:r>
    </w:p>
    <w:p w14:paraId="5751C5FC" w14:textId="7FFC4602" w:rsidR="000B759F" w:rsidRDefault="000B759F" w:rsidP="00750881">
      <w:pPr>
        <w:spacing w:line="360" w:lineRule="auto"/>
        <w:rPr>
          <w:rFonts w:ascii="Lato" w:eastAsia="Calibri" w:hAnsi="Lato" w:cs="Calibri"/>
          <w:color w:val="000000"/>
          <w:sz w:val="22"/>
          <w:szCs w:val="22"/>
        </w:rPr>
      </w:pPr>
      <w:r w:rsidRPr="00F70812">
        <w:rPr>
          <w:rFonts w:ascii="Lato" w:eastAsia="Calibri" w:hAnsi="Lato" w:cs="Calibri"/>
          <w:color w:val="000000"/>
          <w:sz w:val="22"/>
          <w:szCs w:val="22"/>
        </w:rPr>
        <w:t>Główne działania: Poprowadzono prelekcje na temat depresji i hejtu. Omówiono</w:t>
      </w:r>
      <w:r w:rsidR="00F12EA3">
        <w:rPr>
          <w:rFonts w:ascii="Lato" w:eastAsia="Calibri" w:hAnsi="Lato" w:cs="Calibri"/>
          <w:color w:val="000000"/>
          <w:sz w:val="22"/>
          <w:szCs w:val="22"/>
        </w:rPr>
        <w:t>,</w:t>
      </w:r>
      <w:r w:rsidRPr="00F70812">
        <w:rPr>
          <w:rFonts w:ascii="Lato" w:eastAsia="Calibri" w:hAnsi="Lato" w:cs="Calibri"/>
          <w:color w:val="000000"/>
          <w:sz w:val="22"/>
          <w:szCs w:val="22"/>
        </w:rPr>
        <w:t xml:space="preserve"> czym jest depresja, jakie objawy jej towarzyszą, jak wzmacniać</w:t>
      </w:r>
      <w:r w:rsidR="00F12EA3">
        <w:rPr>
          <w:rFonts w:ascii="Lato" w:eastAsia="Calibri" w:hAnsi="Lato" w:cs="Calibri"/>
          <w:color w:val="000000"/>
          <w:sz w:val="22"/>
          <w:szCs w:val="22"/>
        </w:rPr>
        <w:t xml:space="preserve"> </w:t>
      </w:r>
      <w:r w:rsidRPr="00F70812">
        <w:rPr>
          <w:rFonts w:ascii="Lato" w:eastAsia="Calibri" w:hAnsi="Lato" w:cs="Calibri"/>
          <w:color w:val="000000"/>
          <w:sz w:val="22"/>
          <w:szCs w:val="22"/>
        </w:rPr>
        <w:t>zdrowie psychiczne. Przedstawiono także, czym jest hejt i konstruktywna krytyka, kim jest</w:t>
      </w:r>
      <w:r w:rsidR="00F12EA3">
        <w:rPr>
          <w:rFonts w:ascii="Lato" w:eastAsia="Calibri" w:hAnsi="Lato" w:cs="Calibri"/>
          <w:color w:val="000000"/>
          <w:sz w:val="22"/>
          <w:szCs w:val="22"/>
        </w:rPr>
        <w:t xml:space="preserve"> </w:t>
      </w:r>
      <w:proofErr w:type="spellStart"/>
      <w:r w:rsidRPr="00F70812">
        <w:rPr>
          <w:rFonts w:ascii="Lato" w:eastAsia="Calibri" w:hAnsi="Lato" w:cs="Calibri"/>
          <w:color w:val="000000"/>
          <w:sz w:val="22"/>
          <w:szCs w:val="22"/>
        </w:rPr>
        <w:t>hejter</w:t>
      </w:r>
      <w:proofErr w:type="spellEnd"/>
      <w:r w:rsidRPr="00F70812">
        <w:rPr>
          <w:rFonts w:ascii="Lato" w:eastAsia="Calibri" w:hAnsi="Lato" w:cs="Calibri"/>
          <w:color w:val="000000"/>
          <w:sz w:val="22"/>
          <w:szCs w:val="22"/>
        </w:rPr>
        <w:t>, w jakich sytuacjach mierzymy się z tym zjawiskiem. Dzieci obejrzały film „Dodaj</w:t>
      </w:r>
      <w:r w:rsidR="00F12EA3">
        <w:rPr>
          <w:rFonts w:ascii="Lato" w:eastAsia="Calibri" w:hAnsi="Lato" w:cs="Calibri"/>
          <w:color w:val="000000"/>
          <w:sz w:val="22"/>
          <w:szCs w:val="22"/>
        </w:rPr>
        <w:t xml:space="preserve"> </w:t>
      </w:r>
      <w:r w:rsidRPr="00F70812">
        <w:rPr>
          <w:rFonts w:ascii="Lato" w:eastAsia="Calibri" w:hAnsi="Lato" w:cs="Calibri"/>
          <w:color w:val="000000"/>
          <w:sz w:val="22"/>
          <w:szCs w:val="22"/>
        </w:rPr>
        <w:t>znajomego”, na podstawie którego pracowały w</w:t>
      </w:r>
      <w:r w:rsidR="00F12EA3">
        <w:rPr>
          <w:rFonts w:ascii="Lato" w:eastAsia="Calibri" w:hAnsi="Lato" w:cs="Calibri"/>
          <w:color w:val="000000"/>
          <w:sz w:val="22"/>
          <w:szCs w:val="22"/>
        </w:rPr>
        <w:t> </w:t>
      </w:r>
      <w:r w:rsidRPr="00F70812">
        <w:rPr>
          <w:rFonts w:ascii="Lato" w:eastAsia="Calibri" w:hAnsi="Lato" w:cs="Calibri"/>
          <w:color w:val="000000"/>
          <w:sz w:val="22"/>
          <w:szCs w:val="22"/>
        </w:rPr>
        <w:t>grupach i opracowywały odpowiedzi na</w:t>
      </w:r>
      <w:r w:rsidR="00F12EA3">
        <w:rPr>
          <w:rFonts w:ascii="Lato" w:eastAsia="Calibri" w:hAnsi="Lato" w:cs="Calibri"/>
          <w:color w:val="000000"/>
          <w:sz w:val="22"/>
          <w:szCs w:val="22"/>
        </w:rPr>
        <w:t xml:space="preserve"> </w:t>
      </w:r>
      <w:r w:rsidRPr="00F70812">
        <w:rPr>
          <w:rFonts w:ascii="Lato" w:eastAsia="Calibri" w:hAnsi="Lato" w:cs="Calibri"/>
          <w:color w:val="000000"/>
          <w:sz w:val="22"/>
          <w:szCs w:val="22"/>
        </w:rPr>
        <w:t>pytania. Na zakończenie przedstawiono numery telefonów zaufania oraz zaprezentowano</w:t>
      </w:r>
      <w:r w:rsidR="00F12EA3">
        <w:rPr>
          <w:rFonts w:ascii="Lato" w:eastAsia="Calibri" w:hAnsi="Lato" w:cs="Calibri"/>
          <w:color w:val="000000"/>
          <w:sz w:val="22"/>
          <w:szCs w:val="22"/>
        </w:rPr>
        <w:t xml:space="preserve"> </w:t>
      </w:r>
      <w:r w:rsidRPr="00F70812">
        <w:rPr>
          <w:rFonts w:ascii="Lato" w:eastAsia="Calibri" w:hAnsi="Lato" w:cs="Calibri"/>
          <w:color w:val="000000"/>
          <w:sz w:val="22"/>
          <w:szCs w:val="22"/>
        </w:rPr>
        <w:t>strony internetowe, z których warto korzystać.</w:t>
      </w:r>
    </w:p>
    <w:p w14:paraId="150C667C" w14:textId="77777777" w:rsidR="00053448" w:rsidRPr="00DB41AC" w:rsidRDefault="00053448" w:rsidP="000B759F">
      <w:pPr>
        <w:spacing w:line="276" w:lineRule="auto"/>
        <w:rPr>
          <w:rFonts w:ascii="Lato" w:eastAsia="Calibri" w:hAnsi="Lato" w:cs="Calibri"/>
          <w:color w:val="000000"/>
          <w:sz w:val="22"/>
          <w:szCs w:val="22"/>
        </w:rPr>
      </w:pPr>
    </w:p>
    <w:p w14:paraId="77254B28" w14:textId="29BA07E5" w:rsidR="000B759F" w:rsidRPr="00A4556F" w:rsidRDefault="000B759F">
      <w:pPr>
        <w:pStyle w:val="Akapitzlist"/>
        <w:numPr>
          <w:ilvl w:val="1"/>
          <w:numId w:val="18"/>
        </w:numPr>
        <w:spacing w:line="360" w:lineRule="auto"/>
        <w:ind w:left="568" w:right="284" w:hanging="284"/>
        <w:rPr>
          <w:rStyle w:val="Nagwek3Znak"/>
          <w:rFonts w:eastAsia="Calibri" w:cs="Calibri"/>
          <w:b/>
          <w:bCs/>
          <w:color w:val="auto"/>
          <w:sz w:val="24"/>
          <w:szCs w:val="24"/>
        </w:rPr>
      </w:pPr>
      <w:bookmarkStart w:id="273" w:name="_Toc225859141"/>
      <w:r w:rsidRPr="00A47D55">
        <w:rPr>
          <w:rStyle w:val="Nagwek3Znak"/>
          <w:color w:val="auto"/>
        </w:rPr>
        <w:t>Program edukacyjny dla dzieci w wieku przedszkolnym, ich rodziców i opiekunów pt. „Czyste powietrze wokół nas”</w:t>
      </w:r>
      <w:bookmarkEnd w:id="273"/>
    </w:p>
    <w:p w14:paraId="017A9547" w14:textId="77777777" w:rsidR="00A4556F" w:rsidRPr="00A4556F" w:rsidRDefault="00A4556F" w:rsidP="00A4556F">
      <w:pPr>
        <w:spacing w:line="360" w:lineRule="auto"/>
        <w:ind w:right="284"/>
        <w:rPr>
          <w:rFonts w:ascii="Lato" w:eastAsia="Calibri" w:hAnsi="Lato" w:cs="Calibri"/>
          <w:b/>
          <w:bCs/>
          <w:sz w:val="22"/>
          <w:szCs w:val="22"/>
        </w:rPr>
      </w:pPr>
    </w:p>
    <w:p w14:paraId="6CC12BF9" w14:textId="1474FAD6"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Cel główny: uświadomienie dzieciom przedszkolnym szkodliwości dymu papierosowego i</w:t>
      </w:r>
      <w:r w:rsidR="00AC1CB1">
        <w:rPr>
          <w:rFonts w:ascii="Lato" w:eastAsia="Calibri" w:hAnsi="Lato" w:cs="Calibri"/>
          <w:sz w:val="22"/>
          <w:szCs w:val="22"/>
        </w:rPr>
        <w:t> </w:t>
      </w:r>
      <w:r w:rsidRPr="00F70812">
        <w:rPr>
          <w:rFonts w:ascii="Lato" w:eastAsia="Calibri" w:hAnsi="Lato" w:cs="Calibri"/>
          <w:sz w:val="22"/>
          <w:szCs w:val="22"/>
        </w:rPr>
        <w:t>zagrożeń wynikających z palenia biernego.</w:t>
      </w:r>
    </w:p>
    <w:p w14:paraId="49C0E5C5" w14:textId="25AC227C"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 xml:space="preserve">Grupa docelowa: dzieci przedszkolne </w:t>
      </w:r>
      <w:r w:rsidR="00413A9A">
        <w:rPr>
          <w:rFonts w:ascii="Lato" w:eastAsia="Calibri" w:hAnsi="Lato" w:cs="Calibri"/>
          <w:sz w:val="22"/>
          <w:szCs w:val="22"/>
        </w:rPr>
        <w:t>.</w:t>
      </w:r>
    </w:p>
    <w:p w14:paraId="083B8937" w14:textId="3F7E591A"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Liczba odbiorców: 840 (dzieci przedszkolne i ich rodzice  z powiatów  pyrzyckiego, sławnieńskiego oraz szczecineckiego)</w:t>
      </w:r>
      <w:r w:rsidR="00413A9A">
        <w:rPr>
          <w:rFonts w:ascii="Lato" w:eastAsia="Calibri" w:hAnsi="Lato" w:cs="Calibri"/>
          <w:sz w:val="22"/>
          <w:szCs w:val="22"/>
        </w:rPr>
        <w:t>.</w:t>
      </w:r>
    </w:p>
    <w:p w14:paraId="6F0BC3DE" w14:textId="115778A6" w:rsidR="000B759F"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Główne działania: prelekcje z prezentacjami zagrożeń wynikających z wdychania dymu papierosowego przez dzieci (tzw. bierne palenie), konkursy dla dzieci, których celem było kształtowanie postaw asertywnych związanych z biernym paleniem, działalność internetowa w</w:t>
      </w:r>
      <w:r w:rsidR="00AC1CB1">
        <w:rPr>
          <w:rFonts w:ascii="Lato" w:eastAsia="Calibri" w:hAnsi="Lato" w:cs="Calibri"/>
          <w:sz w:val="22"/>
          <w:szCs w:val="22"/>
        </w:rPr>
        <w:t> </w:t>
      </w:r>
      <w:r w:rsidRPr="00F70812">
        <w:rPr>
          <w:rFonts w:ascii="Lato" w:eastAsia="Calibri" w:hAnsi="Lato" w:cs="Calibri"/>
          <w:sz w:val="22"/>
          <w:szCs w:val="22"/>
        </w:rPr>
        <w:t xml:space="preserve">mediach społecznościowych, listy intencyjne do placówek przedszkolnych, dystrybucja materiałów edukacyjnych. </w:t>
      </w:r>
    </w:p>
    <w:p w14:paraId="25DB0E96" w14:textId="77777777" w:rsidR="00053448" w:rsidRDefault="00053448" w:rsidP="00750881">
      <w:pPr>
        <w:spacing w:line="360" w:lineRule="auto"/>
        <w:rPr>
          <w:rFonts w:ascii="Lato" w:eastAsia="Calibri" w:hAnsi="Lato" w:cs="Calibri"/>
          <w:sz w:val="22"/>
          <w:szCs w:val="22"/>
        </w:rPr>
      </w:pPr>
    </w:p>
    <w:p w14:paraId="4AC25123" w14:textId="77777777" w:rsidR="00FB7644" w:rsidRDefault="00FB7644" w:rsidP="00750881">
      <w:pPr>
        <w:spacing w:line="360" w:lineRule="auto"/>
        <w:rPr>
          <w:rFonts w:ascii="Lato" w:eastAsia="Calibri" w:hAnsi="Lato" w:cs="Calibri"/>
          <w:sz w:val="22"/>
          <w:szCs w:val="22"/>
        </w:rPr>
      </w:pPr>
    </w:p>
    <w:p w14:paraId="382BD553" w14:textId="77777777" w:rsidR="00FB7644" w:rsidRDefault="00FB7644" w:rsidP="00750881">
      <w:pPr>
        <w:spacing w:line="360" w:lineRule="auto"/>
        <w:rPr>
          <w:rFonts w:ascii="Lato" w:eastAsia="Calibri" w:hAnsi="Lato" w:cs="Calibri"/>
          <w:sz w:val="22"/>
          <w:szCs w:val="22"/>
        </w:rPr>
      </w:pPr>
    </w:p>
    <w:p w14:paraId="16F4B7AA" w14:textId="77777777" w:rsidR="00FB7644" w:rsidRPr="00F70812" w:rsidRDefault="00FB7644" w:rsidP="00750881">
      <w:pPr>
        <w:spacing w:line="360" w:lineRule="auto"/>
        <w:rPr>
          <w:rFonts w:ascii="Lato" w:eastAsia="Calibri" w:hAnsi="Lato" w:cs="Calibri"/>
          <w:sz w:val="22"/>
          <w:szCs w:val="22"/>
        </w:rPr>
      </w:pPr>
    </w:p>
    <w:p w14:paraId="31660107" w14:textId="682F061E" w:rsidR="000B759F" w:rsidRPr="00A4556F" w:rsidRDefault="000B759F">
      <w:pPr>
        <w:pStyle w:val="Akapitzlist"/>
        <w:numPr>
          <w:ilvl w:val="1"/>
          <w:numId w:val="18"/>
        </w:numPr>
        <w:spacing w:line="360" w:lineRule="auto"/>
        <w:ind w:left="568" w:right="284" w:hanging="284"/>
        <w:rPr>
          <w:rStyle w:val="Nagwek3Znak"/>
          <w:rFonts w:eastAsia="Calibri" w:cs="Calibri"/>
          <w:b/>
          <w:bCs/>
          <w:color w:val="auto"/>
          <w:sz w:val="24"/>
          <w:szCs w:val="24"/>
        </w:rPr>
      </w:pPr>
      <w:r w:rsidRPr="00A47D55">
        <w:rPr>
          <w:rFonts w:ascii="Lato" w:eastAsia="Calibri" w:hAnsi="Lato" w:cs="Calibri"/>
          <w:b/>
          <w:bCs/>
        </w:rPr>
        <w:lastRenderedPageBreak/>
        <w:t xml:space="preserve"> </w:t>
      </w:r>
      <w:bookmarkStart w:id="274" w:name="_Toc225859142"/>
      <w:r w:rsidRPr="00A47D55">
        <w:rPr>
          <w:rStyle w:val="Nagwek3Znak"/>
          <w:color w:val="auto"/>
        </w:rPr>
        <w:t>„Nie pal przy mnie, proszę!”</w:t>
      </w:r>
      <w:bookmarkEnd w:id="274"/>
    </w:p>
    <w:p w14:paraId="36B91A16" w14:textId="77777777" w:rsidR="00A4556F" w:rsidRPr="00A4556F" w:rsidRDefault="00A4556F" w:rsidP="00A4556F">
      <w:pPr>
        <w:spacing w:line="360" w:lineRule="auto"/>
        <w:ind w:right="284"/>
        <w:rPr>
          <w:rFonts w:ascii="Lato" w:eastAsia="Calibri" w:hAnsi="Lato" w:cs="Calibri"/>
          <w:b/>
          <w:bCs/>
          <w:sz w:val="22"/>
          <w:szCs w:val="22"/>
        </w:rPr>
      </w:pPr>
    </w:p>
    <w:p w14:paraId="31423A3E" w14:textId="77777777" w:rsidR="000B759F" w:rsidRPr="00F70812" w:rsidRDefault="000B759F" w:rsidP="00750881">
      <w:pPr>
        <w:spacing w:line="360" w:lineRule="auto"/>
        <w:rPr>
          <w:rFonts w:ascii="Lato" w:eastAsia="Calibri" w:hAnsi="Lato" w:cs="Calibri"/>
          <w:b/>
          <w:bCs/>
          <w:sz w:val="22"/>
          <w:szCs w:val="22"/>
        </w:rPr>
      </w:pPr>
      <w:r w:rsidRPr="00F70812">
        <w:rPr>
          <w:rFonts w:ascii="Lato" w:eastAsia="Calibri" w:hAnsi="Lato" w:cs="Calibri"/>
          <w:sz w:val="22"/>
          <w:szCs w:val="22"/>
        </w:rPr>
        <w:t>Cel główny:</w:t>
      </w:r>
      <w:r w:rsidRPr="00F70812">
        <w:rPr>
          <w:rFonts w:ascii="Lato" w:eastAsia="Calibri" w:hAnsi="Lato" w:cs="Calibri"/>
          <w:b/>
          <w:bCs/>
          <w:sz w:val="22"/>
          <w:szCs w:val="22"/>
        </w:rPr>
        <w:t xml:space="preserve"> </w:t>
      </w:r>
      <w:r w:rsidRPr="00F70812">
        <w:rPr>
          <w:rFonts w:ascii="Lato" w:eastAsia="Calibri" w:hAnsi="Lato" w:cs="Calibri"/>
          <w:sz w:val="22"/>
          <w:szCs w:val="22"/>
        </w:rPr>
        <w:t>uświadomienie dzieciom szkolnym szkodliwości dymu papierosowego i zagrożeń wynikających z palenia biernego.</w:t>
      </w:r>
    </w:p>
    <w:p w14:paraId="54C1280D" w14:textId="6D2D1E2C"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Grupa docelowa: koordynatorzy szkolni programu z powiatu pyrzyckiego</w:t>
      </w:r>
      <w:r w:rsidR="00413A9A">
        <w:rPr>
          <w:rFonts w:ascii="Lato" w:eastAsia="Calibri" w:hAnsi="Lato" w:cs="Calibri"/>
          <w:sz w:val="22"/>
          <w:szCs w:val="22"/>
        </w:rPr>
        <w:t>.</w:t>
      </w:r>
    </w:p>
    <w:p w14:paraId="112A5829" w14:textId="41F8F8E8"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Liczba odbiorców: 11 osób</w:t>
      </w:r>
      <w:r w:rsidR="00413A9A">
        <w:rPr>
          <w:rFonts w:ascii="Lato" w:eastAsia="Calibri" w:hAnsi="Lato" w:cs="Calibri"/>
          <w:sz w:val="22"/>
          <w:szCs w:val="22"/>
        </w:rPr>
        <w:t>.</w:t>
      </w:r>
    </w:p>
    <w:p w14:paraId="2084E3C7" w14:textId="77777777" w:rsidR="000B759F"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Główne działania: list intencyjny do placówek szkolnych, szkolenie dla koordynatorów programu.</w:t>
      </w:r>
    </w:p>
    <w:p w14:paraId="216891FE" w14:textId="77777777" w:rsidR="00053448" w:rsidRPr="00F70812" w:rsidRDefault="00053448" w:rsidP="000B759F">
      <w:pPr>
        <w:spacing w:line="276" w:lineRule="auto"/>
        <w:rPr>
          <w:rFonts w:ascii="Lato" w:eastAsia="Calibri" w:hAnsi="Lato" w:cs="Calibri"/>
          <w:sz w:val="22"/>
          <w:szCs w:val="22"/>
        </w:rPr>
      </w:pPr>
    </w:p>
    <w:p w14:paraId="25231CB1" w14:textId="7057BD7A" w:rsidR="000B759F" w:rsidRDefault="000B759F">
      <w:pPr>
        <w:pStyle w:val="Akapitzlist"/>
        <w:numPr>
          <w:ilvl w:val="1"/>
          <w:numId w:val="18"/>
        </w:numPr>
        <w:spacing w:line="360" w:lineRule="auto"/>
        <w:ind w:left="568" w:right="284" w:hanging="284"/>
        <w:rPr>
          <w:rStyle w:val="Nagwek3Znak"/>
          <w:color w:val="auto"/>
        </w:rPr>
      </w:pPr>
      <w:bookmarkStart w:id="275" w:name="_Toc225859143"/>
      <w:r w:rsidRPr="00A47D55">
        <w:rPr>
          <w:rStyle w:val="Nagwek3Znak"/>
          <w:color w:val="auto"/>
        </w:rPr>
        <w:t>Program „Bieg po zdrowie”</w:t>
      </w:r>
      <w:bookmarkEnd w:id="275"/>
    </w:p>
    <w:p w14:paraId="5EFF4C72" w14:textId="77777777" w:rsidR="00A4556F" w:rsidRPr="00A4556F" w:rsidRDefault="00A4556F" w:rsidP="00A4556F">
      <w:pPr>
        <w:spacing w:line="360" w:lineRule="auto"/>
        <w:ind w:right="284"/>
        <w:rPr>
          <w:rStyle w:val="Nagwek3Znak"/>
          <w:color w:val="auto"/>
        </w:rPr>
      </w:pPr>
    </w:p>
    <w:p w14:paraId="4F106C25" w14:textId="0771C39C"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Cel główny: opóźnienie inicjacji papierosowej oraz uwrażliwienie na szkodliwość biernego palenia</w:t>
      </w:r>
      <w:r w:rsidR="00413A9A">
        <w:rPr>
          <w:rFonts w:ascii="Lato" w:eastAsia="Calibri" w:hAnsi="Lato" w:cs="Calibri"/>
          <w:sz w:val="22"/>
          <w:szCs w:val="22"/>
        </w:rPr>
        <w:t>.</w:t>
      </w:r>
    </w:p>
    <w:p w14:paraId="4411A9F9" w14:textId="3269FDA8"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Grupa docelowa: uczniowie klas IV szkół podstawowych</w:t>
      </w:r>
      <w:r w:rsidR="00FB7644">
        <w:rPr>
          <w:rFonts w:ascii="Lato" w:eastAsia="Calibri" w:hAnsi="Lato" w:cs="Calibri"/>
          <w:sz w:val="22"/>
          <w:szCs w:val="22"/>
        </w:rPr>
        <w:t xml:space="preserve"> z powiatu pyrzyckiego</w:t>
      </w:r>
      <w:r w:rsidR="00413A9A">
        <w:rPr>
          <w:rFonts w:ascii="Lato" w:eastAsia="Calibri" w:hAnsi="Lato" w:cs="Calibri"/>
          <w:sz w:val="22"/>
          <w:szCs w:val="22"/>
        </w:rPr>
        <w:t>.</w:t>
      </w:r>
    </w:p>
    <w:p w14:paraId="74B289D3" w14:textId="2734E289"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Liczba odbiorców: 71 osób</w:t>
      </w:r>
      <w:r w:rsidR="00413A9A">
        <w:rPr>
          <w:rFonts w:ascii="Lato" w:eastAsia="Calibri" w:hAnsi="Lato" w:cs="Calibri"/>
          <w:sz w:val="22"/>
          <w:szCs w:val="22"/>
        </w:rPr>
        <w:t>.</w:t>
      </w:r>
    </w:p>
    <w:p w14:paraId="005E51BA" w14:textId="77777777"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Główne działania w ramach interwencji: narada, list intencyjny do placówek szkolnych, prelekcje, dystrybucja materiałów edukacyjno-informacyjnych, szkolenie.</w:t>
      </w:r>
    </w:p>
    <w:p w14:paraId="3D71F99A" w14:textId="77777777" w:rsidR="000B759F" w:rsidRPr="00A4556F" w:rsidRDefault="000B759F" w:rsidP="000B759F">
      <w:pPr>
        <w:spacing w:line="276" w:lineRule="auto"/>
        <w:rPr>
          <w:rFonts w:ascii="Lato" w:eastAsia="Calibri" w:hAnsi="Lato" w:cs="Calibri"/>
          <w:sz w:val="22"/>
          <w:szCs w:val="22"/>
        </w:rPr>
      </w:pPr>
    </w:p>
    <w:p w14:paraId="58816927" w14:textId="4748ED4D" w:rsidR="000B759F" w:rsidRPr="00A4556F" w:rsidRDefault="000B759F">
      <w:pPr>
        <w:pStyle w:val="Akapitzlist"/>
        <w:numPr>
          <w:ilvl w:val="1"/>
          <w:numId w:val="18"/>
        </w:numPr>
        <w:spacing w:line="360" w:lineRule="auto"/>
        <w:ind w:left="568" w:right="284" w:hanging="284"/>
        <w:rPr>
          <w:rStyle w:val="Nagwek3Znak"/>
          <w:rFonts w:eastAsia="Calibri" w:cs="Calibri"/>
          <w:b/>
          <w:bCs/>
          <w:color w:val="auto"/>
          <w:sz w:val="24"/>
          <w:szCs w:val="24"/>
        </w:rPr>
      </w:pPr>
      <w:bookmarkStart w:id="276" w:name="_Toc225859144"/>
      <w:r w:rsidRPr="00A47D55">
        <w:rPr>
          <w:rStyle w:val="Nagwek3Znak"/>
          <w:color w:val="auto"/>
        </w:rPr>
        <w:t>Profilaktyka wszawicy</w:t>
      </w:r>
      <w:bookmarkEnd w:id="276"/>
    </w:p>
    <w:p w14:paraId="0B66725F" w14:textId="77777777" w:rsidR="00A4556F" w:rsidRPr="00A4556F" w:rsidRDefault="00A4556F" w:rsidP="00A4556F">
      <w:pPr>
        <w:spacing w:line="360" w:lineRule="auto"/>
        <w:ind w:left="284" w:right="284"/>
        <w:rPr>
          <w:rFonts w:ascii="Lato" w:eastAsia="Calibri" w:hAnsi="Lato" w:cs="Calibri"/>
          <w:sz w:val="22"/>
          <w:szCs w:val="22"/>
        </w:rPr>
      </w:pPr>
    </w:p>
    <w:p w14:paraId="77ABEE15" w14:textId="4FED657C"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Cel główny: edukacja w zakresie profilaktyki wszawicy wśród dzieci i młodzieży, w miejscu zamieszkania</w:t>
      </w:r>
      <w:r w:rsidR="00FB7644">
        <w:rPr>
          <w:rFonts w:ascii="Lato" w:eastAsia="Calibri" w:hAnsi="Lato" w:cs="Calibri"/>
          <w:sz w:val="22"/>
          <w:szCs w:val="22"/>
        </w:rPr>
        <w:t>,</w:t>
      </w:r>
      <w:r w:rsidRPr="00F70812">
        <w:rPr>
          <w:rFonts w:ascii="Lato" w:eastAsia="Calibri" w:hAnsi="Lato" w:cs="Calibri"/>
          <w:sz w:val="22"/>
          <w:szCs w:val="22"/>
        </w:rPr>
        <w:t xml:space="preserve"> w placówkach oświatowo-wychowawczych i edukacyjnych (żłobki, przedszkola, szkoły, ośrodki wychowawcze i opiekuńcze).</w:t>
      </w:r>
    </w:p>
    <w:p w14:paraId="19D99192" w14:textId="32E366B4"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Liczba odbiorców: 3 962 osoby</w:t>
      </w:r>
      <w:r w:rsidR="00413A9A">
        <w:rPr>
          <w:rFonts w:ascii="Lato" w:eastAsia="Calibri" w:hAnsi="Lato" w:cs="Calibri"/>
          <w:sz w:val="22"/>
          <w:szCs w:val="22"/>
        </w:rPr>
        <w:t>.</w:t>
      </w:r>
    </w:p>
    <w:p w14:paraId="4AB23DEB" w14:textId="53595EDD"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Grupa docelowa: Rodzice dzieci przedszkolnych i szkolnych, pracownicy oświaty</w:t>
      </w:r>
      <w:r w:rsidR="00413A9A">
        <w:rPr>
          <w:rFonts w:ascii="Lato" w:eastAsia="Calibri" w:hAnsi="Lato" w:cs="Calibri"/>
          <w:sz w:val="22"/>
          <w:szCs w:val="22"/>
        </w:rPr>
        <w:t>.</w:t>
      </w:r>
    </w:p>
    <w:p w14:paraId="32FE3CD5" w14:textId="5414DDFA"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Główne działania w ramach interwencji: prelekcje, stoiska i spotkania dla rodziców, podczas których poruszano problematykę wszawicy</w:t>
      </w:r>
      <w:r w:rsidR="00FB7644">
        <w:rPr>
          <w:rFonts w:ascii="Lato" w:eastAsia="Calibri" w:hAnsi="Lato" w:cs="Calibri"/>
          <w:sz w:val="22"/>
          <w:szCs w:val="22"/>
        </w:rPr>
        <w:t xml:space="preserve"> -</w:t>
      </w:r>
      <w:r w:rsidRPr="00F70812">
        <w:rPr>
          <w:rFonts w:ascii="Lato" w:eastAsia="Calibri" w:hAnsi="Lato" w:cs="Calibri"/>
          <w:sz w:val="22"/>
          <w:szCs w:val="22"/>
        </w:rPr>
        <w:t xml:space="preserve"> przebieg leczenia i profilaktykę.</w:t>
      </w:r>
      <w:r w:rsidRPr="00F70812">
        <w:rPr>
          <w:sz w:val="22"/>
          <w:szCs w:val="22"/>
        </w:rPr>
        <w:t xml:space="preserve"> </w:t>
      </w:r>
      <w:r w:rsidRPr="00F70812">
        <w:rPr>
          <w:rFonts w:ascii="Lato" w:eastAsia="Calibri" w:hAnsi="Lato" w:cs="Calibri"/>
          <w:sz w:val="22"/>
          <w:szCs w:val="22"/>
        </w:rPr>
        <w:t>Realizacja działań odbywała się we współpracy z dyrektorami placówek po wystąpieniu przypadków wszawicy.</w:t>
      </w:r>
    </w:p>
    <w:p w14:paraId="5E7096C3" w14:textId="6A2760FC" w:rsidR="000B759F" w:rsidRPr="00A47D55" w:rsidRDefault="000B759F">
      <w:pPr>
        <w:pStyle w:val="Akapitzlist"/>
        <w:numPr>
          <w:ilvl w:val="1"/>
          <w:numId w:val="18"/>
        </w:numPr>
        <w:spacing w:line="360" w:lineRule="auto"/>
        <w:ind w:left="568" w:right="284" w:hanging="284"/>
        <w:rPr>
          <w:rFonts w:ascii="Lato" w:eastAsia="Calibri" w:hAnsi="Lato" w:cs="Calibri"/>
          <w:b/>
          <w:bCs/>
        </w:rPr>
      </w:pPr>
      <w:bookmarkStart w:id="277" w:name="_Toc225859145"/>
      <w:r w:rsidRPr="00A47D55">
        <w:rPr>
          <w:rStyle w:val="Nagwek3Znak"/>
          <w:color w:val="auto"/>
        </w:rPr>
        <w:t>„Uwaga - kleszcz! Uwaga - borelioza!”, Profilaktyka chorób</w:t>
      </w:r>
      <w:bookmarkEnd w:id="277"/>
      <w:r w:rsidRPr="00A47D55">
        <w:rPr>
          <w:rFonts w:ascii="Lato" w:eastAsia="Calibri" w:hAnsi="Lato" w:cs="Calibri"/>
          <w:b/>
          <w:bCs/>
        </w:rPr>
        <w:t xml:space="preserve"> </w:t>
      </w:r>
    </w:p>
    <w:p w14:paraId="20549973" w14:textId="697B7A2C"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Cel główny: podniesienie wiedzy społeczeństwa dotyczącej chorób wywołanych przez kleszcze</w:t>
      </w:r>
      <w:r w:rsidR="002F0F3E">
        <w:rPr>
          <w:rFonts w:ascii="Lato" w:eastAsia="Calibri" w:hAnsi="Lato" w:cs="Calibri"/>
          <w:sz w:val="22"/>
          <w:szCs w:val="22"/>
        </w:rPr>
        <w:t>.</w:t>
      </w:r>
    </w:p>
    <w:p w14:paraId="688F85C0" w14:textId="26991D14"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Grupa docelowa: lokalna społeczność, uczestnicy spotkań edukacyjnych osoby dorosłe, aktywne zawodowo z wybranych grup społecznych i zawodowych z powiatów: białogardzkiego, stargardzkiego, koszalińskiego i szczecineckiego.</w:t>
      </w:r>
    </w:p>
    <w:p w14:paraId="650B00B2" w14:textId="41510988"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Liczba odbiorców: 2269 osób</w:t>
      </w:r>
      <w:r w:rsidR="00413A9A">
        <w:rPr>
          <w:rFonts w:ascii="Lato" w:eastAsia="Calibri" w:hAnsi="Lato" w:cs="Calibri"/>
          <w:sz w:val="22"/>
          <w:szCs w:val="22"/>
        </w:rPr>
        <w:t>.</w:t>
      </w:r>
    </w:p>
    <w:p w14:paraId="7226A6B8" w14:textId="77777777"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lastRenderedPageBreak/>
        <w:t xml:space="preserve">Główne działania: stoiska informacyjno-edukacyjne, prelekcje. </w:t>
      </w:r>
    </w:p>
    <w:p w14:paraId="4FD6DCED" w14:textId="79F4CA60"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 xml:space="preserve">Omówiono obszary </w:t>
      </w:r>
      <w:r w:rsidR="00FB7644">
        <w:rPr>
          <w:rFonts w:ascii="Lato" w:eastAsia="Calibri" w:hAnsi="Lato" w:cs="Calibri"/>
          <w:sz w:val="22"/>
          <w:szCs w:val="22"/>
        </w:rPr>
        <w:t xml:space="preserve">i miejsca </w:t>
      </w:r>
      <w:r w:rsidRPr="00F70812">
        <w:rPr>
          <w:rFonts w:ascii="Lato" w:eastAsia="Calibri" w:hAnsi="Lato" w:cs="Calibri"/>
          <w:sz w:val="22"/>
          <w:szCs w:val="22"/>
        </w:rPr>
        <w:t>występowania kleszczy, choroby przenoszone przez kleszcze, zapobieganie, a także szczepienia ochronne.</w:t>
      </w:r>
    </w:p>
    <w:p w14:paraId="1C845B50" w14:textId="77777777" w:rsidR="000B759F" w:rsidRPr="00A4556F" w:rsidRDefault="000B759F" w:rsidP="000B759F">
      <w:pPr>
        <w:spacing w:line="276" w:lineRule="auto"/>
        <w:rPr>
          <w:rFonts w:ascii="Lato" w:eastAsia="Calibri" w:hAnsi="Lato" w:cs="Calibri"/>
          <w:sz w:val="22"/>
          <w:szCs w:val="22"/>
        </w:rPr>
      </w:pPr>
    </w:p>
    <w:p w14:paraId="1CAFC5B0" w14:textId="3E96D759" w:rsidR="000B759F" w:rsidRPr="00A4556F" w:rsidRDefault="000B759F">
      <w:pPr>
        <w:pStyle w:val="Akapitzlist"/>
        <w:numPr>
          <w:ilvl w:val="1"/>
          <w:numId w:val="18"/>
        </w:numPr>
        <w:spacing w:line="360" w:lineRule="auto"/>
        <w:ind w:left="568" w:right="284" w:hanging="284"/>
        <w:rPr>
          <w:rStyle w:val="Nagwek3Znak"/>
          <w:rFonts w:eastAsia="Calibri" w:cs="Calibri"/>
          <w:b/>
          <w:bCs/>
          <w:color w:val="auto"/>
          <w:sz w:val="24"/>
          <w:szCs w:val="24"/>
        </w:rPr>
      </w:pPr>
      <w:bookmarkStart w:id="278" w:name="_Toc225859146"/>
      <w:r w:rsidRPr="00A47D55">
        <w:rPr>
          <w:rStyle w:val="Nagwek3Znak"/>
          <w:color w:val="auto"/>
        </w:rPr>
        <w:t>Festiwal Piosenki o Zdrowiu</w:t>
      </w:r>
      <w:bookmarkEnd w:id="278"/>
    </w:p>
    <w:p w14:paraId="1CE53A76" w14:textId="77777777" w:rsidR="00A4556F" w:rsidRPr="00A4556F" w:rsidRDefault="00A4556F" w:rsidP="00A4556F">
      <w:pPr>
        <w:spacing w:line="360" w:lineRule="auto"/>
        <w:ind w:left="284" w:right="284"/>
        <w:rPr>
          <w:rFonts w:ascii="Lato" w:eastAsia="Calibri" w:hAnsi="Lato" w:cs="Calibri"/>
          <w:b/>
          <w:bCs/>
          <w:sz w:val="22"/>
          <w:szCs w:val="22"/>
        </w:rPr>
      </w:pPr>
    </w:p>
    <w:p w14:paraId="1E3FA3B4" w14:textId="7CA4FCA2"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Cel główny: promowanie twórczości artystycznej dzieci powiatu goleniowskiego z</w:t>
      </w:r>
      <w:r w:rsidR="00AC1CB1">
        <w:rPr>
          <w:rFonts w:ascii="Lato" w:eastAsia="Calibri" w:hAnsi="Lato" w:cs="Calibri"/>
          <w:sz w:val="22"/>
          <w:szCs w:val="22"/>
        </w:rPr>
        <w:t> </w:t>
      </w:r>
      <w:r w:rsidRPr="00F70812">
        <w:rPr>
          <w:rFonts w:ascii="Lato" w:eastAsia="Calibri" w:hAnsi="Lato" w:cs="Calibri"/>
          <w:sz w:val="22"/>
          <w:szCs w:val="22"/>
        </w:rPr>
        <w:t>uwzględnieniem treści prozdrowotnych</w:t>
      </w:r>
      <w:r w:rsidR="002F0F3E">
        <w:rPr>
          <w:rFonts w:ascii="Lato" w:eastAsia="Calibri" w:hAnsi="Lato" w:cs="Calibri"/>
          <w:sz w:val="22"/>
          <w:szCs w:val="22"/>
        </w:rPr>
        <w:t>.</w:t>
      </w:r>
    </w:p>
    <w:p w14:paraId="0A77F969" w14:textId="607CCB7C" w:rsidR="000B759F" w:rsidRPr="00F70812" w:rsidRDefault="000B759F" w:rsidP="00750881">
      <w:pPr>
        <w:spacing w:line="360" w:lineRule="auto"/>
        <w:rPr>
          <w:rFonts w:ascii="Lato" w:eastAsia="Calibri" w:hAnsi="Lato" w:cs="Calibri"/>
          <w:sz w:val="22"/>
          <w:szCs w:val="22"/>
        </w:rPr>
      </w:pPr>
      <w:bookmarkStart w:id="279" w:name="_7qwqi355wph1" w:colFirst="0" w:colLast="0"/>
      <w:bookmarkEnd w:id="279"/>
      <w:r w:rsidRPr="00F70812">
        <w:rPr>
          <w:rFonts w:ascii="Lato" w:eastAsia="Calibri" w:hAnsi="Lato" w:cs="Calibri"/>
          <w:sz w:val="22"/>
          <w:szCs w:val="22"/>
        </w:rPr>
        <w:t>Grupa docelowa: Dzieci w wieku 5-9 lat z powiatu goleniowskiego</w:t>
      </w:r>
      <w:r w:rsidR="002F0F3E">
        <w:rPr>
          <w:rFonts w:ascii="Lato" w:eastAsia="Calibri" w:hAnsi="Lato" w:cs="Calibri"/>
          <w:sz w:val="22"/>
          <w:szCs w:val="22"/>
        </w:rPr>
        <w:t>.</w:t>
      </w:r>
    </w:p>
    <w:p w14:paraId="37A7F824" w14:textId="69CD2561"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Liczba odbiorców:260</w:t>
      </w:r>
      <w:r w:rsidR="00413A9A">
        <w:rPr>
          <w:rFonts w:ascii="Lato" w:eastAsia="Calibri" w:hAnsi="Lato" w:cs="Calibri"/>
          <w:sz w:val="22"/>
          <w:szCs w:val="22"/>
        </w:rPr>
        <w:t xml:space="preserve"> osób.</w:t>
      </w:r>
    </w:p>
    <w:p w14:paraId="41E747BF" w14:textId="77777777"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Główne działania: W  grudniu 2025 roku w Rampie Kultura odbył się Finał VI Festiwalu Piosenki o Zdrowiu, zorganizowany przez Państwowego Powiatowego Instruktora Sanitarnego w Goleniowie. Uczestnikami Festiwalu były dzieci przedszkolne występujące jako soliści lub zespoły liczące do 5 osób.</w:t>
      </w:r>
    </w:p>
    <w:p w14:paraId="60B83144" w14:textId="77777777" w:rsidR="000B759F" w:rsidRPr="00A4556F" w:rsidRDefault="000B759F" w:rsidP="000B759F">
      <w:pPr>
        <w:spacing w:line="276" w:lineRule="auto"/>
        <w:rPr>
          <w:rFonts w:ascii="Lato" w:eastAsia="Calibri" w:hAnsi="Lato" w:cs="Calibri"/>
          <w:sz w:val="22"/>
          <w:szCs w:val="22"/>
        </w:rPr>
      </w:pPr>
    </w:p>
    <w:p w14:paraId="1546F777" w14:textId="137FBF4C" w:rsidR="000B759F" w:rsidRPr="00A4556F" w:rsidRDefault="000B759F">
      <w:pPr>
        <w:pStyle w:val="Akapitzlist"/>
        <w:numPr>
          <w:ilvl w:val="1"/>
          <w:numId w:val="18"/>
        </w:numPr>
        <w:spacing w:line="360" w:lineRule="auto"/>
        <w:ind w:left="568" w:right="284" w:hanging="284"/>
        <w:rPr>
          <w:rStyle w:val="Nagwek3Znak"/>
          <w:rFonts w:eastAsia="Calibri" w:cs="Calibri"/>
          <w:b/>
          <w:bCs/>
          <w:color w:val="auto"/>
          <w:sz w:val="24"/>
          <w:szCs w:val="24"/>
        </w:rPr>
      </w:pPr>
      <w:bookmarkStart w:id="280" w:name="_Toc225859147"/>
      <w:r w:rsidRPr="00A47D55">
        <w:rPr>
          <w:rStyle w:val="Nagwek3Znak"/>
          <w:color w:val="auto"/>
        </w:rPr>
        <w:t>Profilaktyka FAS</w:t>
      </w:r>
      <w:bookmarkEnd w:id="280"/>
    </w:p>
    <w:p w14:paraId="44FA7B7B" w14:textId="77777777" w:rsidR="00A4556F" w:rsidRPr="00A4556F" w:rsidRDefault="00A4556F" w:rsidP="00A4556F">
      <w:pPr>
        <w:spacing w:line="360" w:lineRule="auto"/>
        <w:ind w:left="284" w:right="284"/>
        <w:rPr>
          <w:rFonts w:ascii="Lato" w:eastAsia="Calibri" w:hAnsi="Lato" w:cs="Calibri"/>
          <w:b/>
          <w:bCs/>
          <w:sz w:val="22"/>
          <w:szCs w:val="22"/>
        </w:rPr>
      </w:pPr>
    </w:p>
    <w:p w14:paraId="5E904A13" w14:textId="77777777"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Cel główny:  promowanie działań nastawionych na opóźnianie wieku inicjacji alkoholowej,</w:t>
      </w:r>
    </w:p>
    <w:p w14:paraId="60769D6E" w14:textId="273A27E1"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Grupa docelowa: mieszkańcy powiatu szczecineckiego</w:t>
      </w:r>
      <w:r w:rsidR="00413A9A">
        <w:rPr>
          <w:rFonts w:ascii="Lato" w:eastAsia="Calibri" w:hAnsi="Lato" w:cs="Calibri"/>
          <w:sz w:val="22"/>
          <w:szCs w:val="22"/>
        </w:rPr>
        <w:t>.</w:t>
      </w:r>
    </w:p>
    <w:p w14:paraId="41827FB2" w14:textId="34168458"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Liczba odbiorców: 828 osób</w:t>
      </w:r>
      <w:r w:rsidR="00413A9A">
        <w:rPr>
          <w:rFonts w:ascii="Lato" w:eastAsia="Calibri" w:hAnsi="Lato" w:cs="Calibri"/>
          <w:sz w:val="22"/>
          <w:szCs w:val="22"/>
        </w:rPr>
        <w:t>.</w:t>
      </w:r>
    </w:p>
    <w:p w14:paraId="60F57B60" w14:textId="7EDBFCB6" w:rsidR="00A4556F"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Główne działania: zorganizowano prelekcje, wykłady</w:t>
      </w:r>
      <w:r w:rsidR="00C432BD">
        <w:rPr>
          <w:rFonts w:ascii="Lato" w:eastAsia="Calibri" w:hAnsi="Lato" w:cs="Calibri"/>
          <w:sz w:val="22"/>
          <w:szCs w:val="22"/>
        </w:rPr>
        <w:t>, u</w:t>
      </w:r>
      <w:r w:rsidRPr="00F70812">
        <w:rPr>
          <w:rFonts w:ascii="Lato" w:eastAsia="Calibri" w:hAnsi="Lato" w:cs="Calibri"/>
          <w:sz w:val="22"/>
          <w:szCs w:val="22"/>
        </w:rPr>
        <w:t>mieszczano informacje na stronie internetowej i w mediach społecznościowych.</w:t>
      </w:r>
    </w:p>
    <w:p w14:paraId="402054A5" w14:textId="77777777" w:rsidR="00A4556F" w:rsidRPr="00F70812" w:rsidRDefault="00A4556F" w:rsidP="00750881">
      <w:pPr>
        <w:spacing w:line="360" w:lineRule="auto"/>
        <w:rPr>
          <w:rFonts w:ascii="Lato" w:eastAsia="Calibri" w:hAnsi="Lato" w:cs="Calibri"/>
          <w:sz w:val="22"/>
          <w:szCs w:val="22"/>
        </w:rPr>
      </w:pPr>
    </w:p>
    <w:p w14:paraId="5BE0EAD5" w14:textId="001C97DD" w:rsidR="000B759F" w:rsidRDefault="000B759F">
      <w:pPr>
        <w:pStyle w:val="Akapitzlist"/>
        <w:numPr>
          <w:ilvl w:val="1"/>
          <w:numId w:val="18"/>
        </w:numPr>
        <w:spacing w:line="360" w:lineRule="auto"/>
        <w:ind w:left="568" w:right="284" w:hanging="284"/>
        <w:rPr>
          <w:rFonts w:ascii="Lato" w:eastAsia="Calibri" w:hAnsi="Lato" w:cs="Calibri"/>
          <w:b/>
          <w:bCs/>
        </w:rPr>
      </w:pPr>
      <w:bookmarkStart w:id="281" w:name="_Toc225859148"/>
      <w:r w:rsidRPr="00A47D55">
        <w:rPr>
          <w:rStyle w:val="Nagwek3Znak"/>
          <w:color w:val="auto"/>
        </w:rPr>
        <w:t>Kampania EFSA</w:t>
      </w:r>
      <w:bookmarkEnd w:id="281"/>
      <w:r w:rsidRPr="00A47D55">
        <w:rPr>
          <w:rFonts w:ascii="Lato" w:eastAsia="Calibri" w:hAnsi="Lato" w:cs="Calibri"/>
          <w:b/>
          <w:bCs/>
        </w:rPr>
        <w:t xml:space="preserve"> </w:t>
      </w:r>
    </w:p>
    <w:p w14:paraId="6E260F8B" w14:textId="77777777" w:rsidR="00A4556F" w:rsidRPr="00A4556F" w:rsidRDefault="00A4556F" w:rsidP="00A4556F">
      <w:pPr>
        <w:spacing w:line="360" w:lineRule="auto"/>
        <w:ind w:left="284" w:right="284"/>
        <w:rPr>
          <w:rFonts w:ascii="Lato" w:eastAsia="Calibri" w:hAnsi="Lato" w:cs="Calibri"/>
          <w:b/>
          <w:bCs/>
          <w:sz w:val="22"/>
          <w:szCs w:val="22"/>
        </w:rPr>
      </w:pPr>
    </w:p>
    <w:p w14:paraId="5E9DC69E" w14:textId="7B2869E9" w:rsidR="000B759F" w:rsidRPr="00F70812" w:rsidRDefault="000B759F" w:rsidP="00750881">
      <w:pPr>
        <w:spacing w:line="360" w:lineRule="auto"/>
        <w:rPr>
          <w:rFonts w:ascii="Lato" w:eastAsia="Calibri" w:hAnsi="Lato" w:cs="Calibri"/>
          <w:b/>
          <w:bCs/>
          <w:sz w:val="22"/>
          <w:szCs w:val="22"/>
        </w:rPr>
      </w:pPr>
      <w:r w:rsidRPr="00F70812">
        <w:rPr>
          <w:rFonts w:ascii="Lato" w:eastAsia="Calibri" w:hAnsi="Lato" w:cs="Calibri"/>
          <w:sz w:val="22"/>
          <w:szCs w:val="22"/>
        </w:rPr>
        <w:t>Cel główny</w:t>
      </w:r>
      <w:r w:rsidRPr="00F70812">
        <w:rPr>
          <w:rFonts w:ascii="Lato" w:eastAsia="Calibri" w:hAnsi="Lato" w:cs="Calibri"/>
          <w:b/>
          <w:bCs/>
          <w:sz w:val="22"/>
          <w:szCs w:val="22"/>
        </w:rPr>
        <w:t xml:space="preserve">: </w:t>
      </w:r>
      <w:r w:rsidRPr="00F70812">
        <w:rPr>
          <w:rFonts w:ascii="Lato" w:eastAsia="Calibri" w:hAnsi="Lato" w:cs="Calibri"/>
          <w:sz w:val="22"/>
          <w:szCs w:val="22"/>
        </w:rPr>
        <w:t xml:space="preserve">zwiększanie świadomości na temat bezpieczeństwa żywności w Europie oraz zrozumienie, jak podejmować świadome decyzje dotyczące tego, jaką żywność kupować, spożywać oraz z jakich produktów spożywczych korzystać w bezpieczny i zdrowy sposób każdego dnia. Drugą równorzędnie prowadzoną kampanią EFSA i </w:t>
      </w:r>
      <w:proofErr w:type="spellStart"/>
      <w:r w:rsidRPr="00F70812">
        <w:rPr>
          <w:rFonts w:ascii="Lato" w:eastAsia="Calibri" w:hAnsi="Lato" w:cs="Calibri"/>
          <w:sz w:val="22"/>
          <w:szCs w:val="22"/>
        </w:rPr>
        <w:t>PIORiN</w:t>
      </w:r>
      <w:proofErr w:type="spellEnd"/>
      <w:r w:rsidRPr="00F70812">
        <w:rPr>
          <w:rFonts w:ascii="Lato" w:eastAsia="Calibri" w:hAnsi="Lato" w:cs="Calibri"/>
          <w:sz w:val="22"/>
          <w:szCs w:val="22"/>
        </w:rPr>
        <w:t xml:space="preserve"> była wieloletnia kampania PlantHealth4Life opracowana na wniosek Komisji Europejskiej</w:t>
      </w:r>
      <w:r w:rsidR="00C432BD">
        <w:rPr>
          <w:rFonts w:ascii="Lato" w:eastAsia="Calibri" w:hAnsi="Lato" w:cs="Calibri"/>
          <w:sz w:val="22"/>
          <w:szCs w:val="22"/>
        </w:rPr>
        <w:t>,</w:t>
      </w:r>
      <w:r w:rsidRPr="00F70812">
        <w:rPr>
          <w:rFonts w:ascii="Lato" w:eastAsia="Calibri" w:hAnsi="Lato" w:cs="Calibri"/>
          <w:sz w:val="22"/>
          <w:szCs w:val="22"/>
        </w:rPr>
        <w:t xml:space="preserve"> oparta na analizie poglądów oraz zachowa</w:t>
      </w:r>
      <w:r w:rsidR="00C432BD">
        <w:rPr>
          <w:rFonts w:ascii="Lato" w:eastAsia="Calibri" w:hAnsi="Lato" w:cs="Calibri"/>
          <w:sz w:val="22"/>
          <w:szCs w:val="22"/>
        </w:rPr>
        <w:t>ń</w:t>
      </w:r>
      <w:r w:rsidRPr="00F70812">
        <w:rPr>
          <w:rFonts w:ascii="Lato" w:eastAsia="Calibri" w:hAnsi="Lato" w:cs="Calibri"/>
          <w:sz w:val="22"/>
          <w:szCs w:val="22"/>
        </w:rPr>
        <w:t xml:space="preserve"> związanych ze zdrowiem roślin w całej Unii Europejskiej.</w:t>
      </w:r>
    </w:p>
    <w:p w14:paraId="65D9820C" w14:textId="5EDFE155"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Grupa docelowa: konsument w wieku 25-45 lat, ze szczególnym uwzględnieniem kobiet i</w:t>
      </w:r>
      <w:r w:rsidR="00AC1CB1">
        <w:rPr>
          <w:rFonts w:ascii="Lato" w:eastAsia="Calibri" w:hAnsi="Lato" w:cs="Calibri"/>
          <w:sz w:val="22"/>
          <w:szCs w:val="22"/>
        </w:rPr>
        <w:t> </w:t>
      </w:r>
      <w:r w:rsidRPr="00F70812">
        <w:rPr>
          <w:rFonts w:ascii="Lato" w:eastAsia="Calibri" w:hAnsi="Lato" w:cs="Calibri"/>
          <w:sz w:val="22"/>
          <w:szCs w:val="22"/>
        </w:rPr>
        <w:t>młodych rodziców</w:t>
      </w:r>
      <w:r w:rsidR="00413A9A">
        <w:rPr>
          <w:rFonts w:ascii="Lato" w:eastAsia="Calibri" w:hAnsi="Lato" w:cs="Calibri"/>
          <w:sz w:val="22"/>
          <w:szCs w:val="22"/>
        </w:rPr>
        <w:t>.</w:t>
      </w:r>
    </w:p>
    <w:p w14:paraId="645F00B7" w14:textId="4DD47104"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t>Liczba odbiorców: 12 526 osób</w:t>
      </w:r>
      <w:r w:rsidR="00413A9A">
        <w:rPr>
          <w:rFonts w:ascii="Lato" w:eastAsia="Calibri" w:hAnsi="Lato" w:cs="Calibri"/>
          <w:sz w:val="22"/>
          <w:szCs w:val="22"/>
        </w:rPr>
        <w:t>.</w:t>
      </w:r>
    </w:p>
    <w:p w14:paraId="2BAB5E13" w14:textId="77777777" w:rsidR="000B759F" w:rsidRPr="00F70812" w:rsidRDefault="000B759F" w:rsidP="00750881">
      <w:pPr>
        <w:spacing w:line="360" w:lineRule="auto"/>
        <w:rPr>
          <w:rFonts w:ascii="Lato" w:eastAsia="Calibri" w:hAnsi="Lato" w:cs="Calibri"/>
          <w:sz w:val="22"/>
          <w:szCs w:val="22"/>
        </w:rPr>
      </w:pPr>
      <w:r w:rsidRPr="00F70812">
        <w:rPr>
          <w:rFonts w:ascii="Lato" w:eastAsia="Calibri" w:hAnsi="Lato" w:cs="Calibri"/>
          <w:sz w:val="22"/>
          <w:szCs w:val="22"/>
        </w:rPr>
        <w:lastRenderedPageBreak/>
        <w:t xml:space="preserve">Główne działania: Obie kampanie informacyjne miały swój główny przekaz w przestrzeni medialnej oraz </w:t>
      </w:r>
      <w:proofErr w:type="spellStart"/>
      <w:r w:rsidRPr="00F70812">
        <w:rPr>
          <w:rFonts w:ascii="Lato" w:eastAsia="Calibri" w:hAnsi="Lato" w:cs="Calibri"/>
          <w:sz w:val="22"/>
          <w:szCs w:val="22"/>
        </w:rPr>
        <w:t>social</w:t>
      </w:r>
      <w:proofErr w:type="spellEnd"/>
      <w:r w:rsidRPr="00F70812">
        <w:rPr>
          <w:rFonts w:ascii="Lato" w:eastAsia="Calibri" w:hAnsi="Lato" w:cs="Calibri"/>
          <w:sz w:val="22"/>
          <w:szCs w:val="22"/>
        </w:rPr>
        <w:t xml:space="preserve"> mediach. Przeprowadzano bezpośrednie zajęcia edukacyjne dla wybranych grup docelowych.</w:t>
      </w:r>
    </w:p>
    <w:p w14:paraId="6844C076" w14:textId="77777777" w:rsidR="000B759F" w:rsidRPr="00A4556F" w:rsidRDefault="000B759F" w:rsidP="00750881">
      <w:pPr>
        <w:spacing w:line="360" w:lineRule="auto"/>
        <w:rPr>
          <w:rFonts w:ascii="Lato" w:eastAsia="Calibri" w:hAnsi="Lato" w:cs="Calibri"/>
          <w:sz w:val="22"/>
          <w:szCs w:val="22"/>
        </w:rPr>
      </w:pPr>
    </w:p>
    <w:p w14:paraId="30986C99" w14:textId="77777777" w:rsidR="000B759F" w:rsidRPr="00F535EC" w:rsidRDefault="000B759F" w:rsidP="00750881">
      <w:pPr>
        <w:spacing w:line="360" w:lineRule="auto"/>
        <w:rPr>
          <w:rFonts w:ascii="Lato" w:eastAsia="Calibri" w:hAnsi="Lato" w:cs="Calibri"/>
          <w:color w:val="000000"/>
          <w:sz w:val="22"/>
          <w:szCs w:val="22"/>
          <w:u w:val="single"/>
        </w:rPr>
      </w:pPr>
      <w:r w:rsidRPr="00F535EC">
        <w:rPr>
          <w:rFonts w:ascii="Lato" w:eastAsia="Calibri" w:hAnsi="Lato" w:cs="Calibri"/>
          <w:color w:val="000000"/>
          <w:sz w:val="22"/>
          <w:szCs w:val="22"/>
          <w:u w:val="single"/>
        </w:rPr>
        <w:t>Podsumowanie</w:t>
      </w:r>
    </w:p>
    <w:p w14:paraId="628AFB7A" w14:textId="549279C7" w:rsidR="000B759F" w:rsidRPr="00F70812" w:rsidRDefault="000B759F" w:rsidP="00750881">
      <w:pPr>
        <w:spacing w:line="360" w:lineRule="auto"/>
        <w:rPr>
          <w:rFonts w:ascii="Lato" w:eastAsia="Calibri" w:hAnsi="Lato" w:cs="Calibri"/>
          <w:color w:val="000000"/>
          <w:sz w:val="22"/>
          <w:szCs w:val="22"/>
        </w:rPr>
      </w:pPr>
      <w:r w:rsidRPr="00F70812">
        <w:rPr>
          <w:rFonts w:ascii="Lato" w:eastAsia="Calibri" w:hAnsi="Lato" w:cs="Calibri"/>
          <w:color w:val="000000"/>
          <w:sz w:val="22"/>
          <w:szCs w:val="22"/>
        </w:rPr>
        <w:t>Zakres działalności oświatowo-zdrowotnej i promocji zdrowia w 2025 roku skupiony był na</w:t>
      </w:r>
      <w:r w:rsidR="00C60215">
        <w:rPr>
          <w:rFonts w:ascii="Lato" w:eastAsia="Calibri" w:hAnsi="Lato" w:cs="Calibri"/>
          <w:color w:val="000000"/>
          <w:sz w:val="22"/>
          <w:szCs w:val="22"/>
        </w:rPr>
        <w:t> </w:t>
      </w:r>
      <w:r w:rsidRPr="00F70812">
        <w:rPr>
          <w:rFonts w:ascii="Lato" w:eastAsia="Calibri" w:hAnsi="Lato" w:cs="Calibri"/>
          <w:color w:val="000000"/>
          <w:sz w:val="22"/>
          <w:szCs w:val="22"/>
        </w:rPr>
        <w:t>realizacji wojewódzkich programów oraz na działaniach akcyjnych wynikających z</w:t>
      </w:r>
      <w:r w:rsidR="00C60215">
        <w:rPr>
          <w:rFonts w:ascii="Lato" w:eastAsia="Calibri" w:hAnsi="Lato" w:cs="Calibri"/>
          <w:color w:val="000000"/>
          <w:sz w:val="22"/>
          <w:szCs w:val="22"/>
        </w:rPr>
        <w:t> </w:t>
      </w:r>
      <w:r w:rsidRPr="00F70812">
        <w:rPr>
          <w:rFonts w:ascii="Lato" w:eastAsia="Calibri" w:hAnsi="Lato" w:cs="Calibri"/>
          <w:color w:val="000000"/>
          <w:sz w:val="22"/>
          <w:szCs w:val="22"/>
        </w:rPr>
        <w:t>aktualnych potrzeb epidemiologicznych społeczności kraju i województwa. Działania adresowano do szerokiej grupy odbiorców</w:t>
      </w:r>
      <w:r w:rsidR="00C432BD">
        <w:rPr>
          <w:rFonts w:ascii="Lato" w:eastAsia="Calibri" w:hAnsi="Lato" w:cs="Calibri"/>
          <w:color w:val="000000"/>
          <w:sz w:val="22"/>
          <w:szCs w:val="22"/>
        </w:rPr>
        <w:t>,</w:t>
      </w:r>
      <w:r w:rsidRPr="00F70812">
        <w:rPr>
          <w:rFonts w:ascii="Lato" w:eastAsia="Calibri" w:hAnsi="Lato" w:cs="Calibri"/>
          <w:color w:val="000000"/>
          <w:sz w:val="22"/>
          <w:szCs w:val="22"/>
        </w:rPr>
        <w:t xml:space="preserve"> tj. dzieci w wieku przedszkolnym, szkolnym, młodzieży, osób dorosłych mieszkających na terenie województwa oraz przybywających na</w:t>
      </w:r>
      <w:r w:rsidR="00196FE6">
        <w:rPr>
          <w:rFonts w:ascii="Lato" w:eastAsia="Calibri" w:hAnsi="Lato" w:cs="Calibri"/>
          <w:color w:val="000000"/>
          <w:sz w:val="22"/>
          <w:szCs w:val="22"/>
        </w:rPr>
        <w:t> </w:t>
      </w:r>
      <w:r w:rsidRPr="00F70812">
        <w:rPr>
          <w:rFonts w:ascii="Lato" w:eastAsia="Calibri" w:hAnsi="Lato" w:cs="Calibri"/>
          <w:color w:val="000000"/>
          <w:sz w:val="22"/>
          <w:szCs w:val="22"/>
        </w:rPr>
        <w:t>wypoczynek. W zakresie działań edukacyjnych i promocyjnych  współpracowano z:  Ministerstwem Zdrowia, Zachodniopomorskim Urzędem Wojewódzkim, Kuratorium Oświaty w Szczecinie, Pomorskim Uniwersytetem Medycznym, Uniwersytetem Szczecińskim, urzędami miast i gmin</w:t>
      </w:r>
      <w:r w:rsidR="00C432BD">
        <w:rPr>
          <w:rFonts w:ascii="Lato" w:eastAsia="Calibri" w:hAnsi="Lato" w:cs="Calibri"/>
          <w:color w:val="000000"/>
          <w:sz w:val="22"/>
          <w:szCs w:val="22"/>
        </w:rPr>
        <w:t>,</w:t>
      </w:r>
      <w:r w:rsidRPr="00F70812">
        <w:rPr>
          <w:rFonts w:ascii="Lato" w:eastAsia="Calibri" w:hAnsi="Lato" w:cs="Calibri"/>
          <w:color w:val="000000"/>
          <w:sz w:val="22"/>
          <w:szCs w:val="22"/>
        </w:rPr>
        <w:t xml:space="preserve"> zachodniopomorską policją, strażą pożarną  i</w:t>
      </w:r>
      <w:r w:rsidR="00C60215">
        <w:rPr>
          <w:rFonts w:ascii="Lato" w:eastAsia="Calibri" w:hAnsi="Lato" w:cs="Calibri"/>
          <w:color w:val="000000"/>
          <w:sz w:val="22"/>
          <w:szCs w:val="22"/>
        </w:rPr>
        <w:t> </w:t>
      </w:r>
      <w:r w:rsidRPr="00F70812">
        <w:rPr>
          <w:rFonts w:ascii="Lato" w:eastAsia="Calibri" w:hAnsi="Lato" w:cs="Calibri"/>
          <w:color w:val="000000"/>
          <w:sz w:val="22"/>
          <w:szCs w:val="22"/>
        </w:rPr>
        <w:t>stowarzyszeniami na terenie całego województwa</w:t>
      </w:r>
      <w:r w:rsidR="00C432BD">
        <w:rPr>
          <w:rFonts w:ascii="Lato" w:eastAsia="Calibri" w:hAnsi="Lato" w:cs="Calibri"/>
          <w:color w:val="000000"/>
          <w:sz w:val="22"/>
          <w:szCs w:val="22"/>
        </w:rPr>
        <w:t>,</w:t>
      </w:r>
      <w:r w:rsidRPr="00F70812">
        <w:rPr>
          <w:rFonts w:ascii="Lato" w:eastAsia="Calibri" w:hAnsi="Lato" w:cs="Calibri"/>
          <w:color w:val="000000"/>
          <w:sz w:val="22"/>
          <w:szCs w:val="22"/>
        </w:rPr>
        <w:t xml:space="preserve"> m.in. Stowarzyszeniem Walki z Rakiem Płuca, Legionem HDK Honorowych Dawców Krwi.</w:t>
      </w:r>
    </w:p>
    <w:p w14:paraId="683B392E" w14:textId="77777777" w:rsidR="000B759F" w:rsidRDefault="000B759F" w:rsidP="0034170C"/>
    <w:p w14:paraId="115312E4" w14:textId="77777777" w:rsidR="003C357A" w:rsidRDefault="003C357A" w:rsidP="0034170C"/>
    <w:p w14:paraId="4D70C02E" w14:textId="77777777" w:rsidR="003C357A" w:rsidRDefault="003C357A" w:rsidP="0034170C"/>
    <w:p w14:paraId="29C60489" w14:textId="77777777" w:rsidR="003C357A" w:rsidRDefault="003C357A" w:rsidP="0034170C"/>
    <w:p w14:paraId="621DAA1A" w14:textId="77777777" w:rsidR="003C357A" w:rsidRDefault="003C357A" w:rsidP="0034170C"/>
    <w:p w14:paraId="377823F6" w14:textId="77777777" w:rsidR="003C357A" w:rsidRDefault="003C357A" w:rsidP="0034170C"/>
    <w:p w14:paraId="384246E5" w14:textId="77777777" w:rsidR="003C357A" w:rsidRDefault="003C357A" w:rsidP="0034170C"/>
    <w:p w14:paraId="4CEDF4BC" w14:textId="77777777" w:rsidR="003C357A" w:rsidRDefault="003C357A" w:rsidP="0034170C"/>
    <w:p w14:paraId="32FAAE2D" w14:textId="77777777" w:rsidR="003C357A" w:rsidRDefault="003C357A" w:rsidP="0034170C"/>
    <w:p w14:paraId="44869F0F" w14:textId="77777777" w:rsidR="003C357A" w:rsidRDefault="003C357A" w:rsidP="0034170C"/>
    <w:p w14:paraId="7EF85935" w14:textId="77777777" w:rsidR="003C357A" w:rsidRDefault="003C357A" w:rsidP="0034170C"/>
    <w:p w14:paraId="7E63D18F" w14:textId="77777777" w:rsidR="003C357A" w:rsidRDefault="003C357A" w:rsidP="0034170C"/>
    <w:p w14:paraId="6F07DF53" w14:textId="77777777" w:rsidR="003C357A" w:rsidRDefault="003C357A" w:rsidP="0034170C"/>
    <w:p w14:paraId="1592F55C" w14:textId="77777777" w:rsidR="003C357A" w:rsidRDefault="003C357A" w:rsidP="0034170C"/>
    <w:p w14:paraId="1F6DB037" w14:textId="77777777" w:rsidR="003C357A" w:rsidRDefault="003C357A" w:rsidP="0034170C"/>
    <w:p w14:paraId="09CAC66C" w14:textId="77777777" w:rsidR="003C357A" w:rsidRDefault="003C357A" w:rsidP="0034170C"/>
    <w:p w14:paraId="5F672754" w14:textId="77777777" w:rsidR="003C357A" w:rsidRDefault="003C357A" w:rsidP="0034170C"/>
    <w:p w14:paraId="62E6220C" w14:textId="77777777" w:rsidR="003C357A" w:rsidRDefault="003C357A" w:rsidP="0034170C"/>
    <w:p w14:paraId="0B3C6F04" w14:textId="77777777" w:rsidR="003C357A" w:rsidRDefault="003C357A" w:rsidP="0034170C"/>
    <w:p w14:paraId="2C3A0209" w14:textId="77777777" w:rsidR="003C357A" w:rsidRDefault="003C357A" w:rsidP="0034170C"/>
    <w:p w14:paraId="14C5C8E0" w14:textId="77777777" w:rsidR="003C357A" w:rsidRDefault="003C357A" w:rsidP="0034170C"/>
    <w:p w14:paraId="64E69A4A" w14:textId="77777777" w:rsidR="003C357A" w:rsidRDefault="003C357A" w:rsidP="0034170C"/>
    <w:p w14:paraId="6035D0A1" w14:textId="77777777" w:rsidR="003C357A" w:rsidRDefault="003C357A" w:rsidP="0034170C"/>
    <w:p w14:paraId="6BCA6F49" w14:textId="77777777" w:rsidR="003C357A" w:rsidRDefault="003C357A" w:rsidP="0034170C"/>
    <w:p w14:paraId="6553B97D" w14:textId="77777777" w:rsidR="003C357A" w:rsidRDefault="003C357A" w:rsidP="0034170C"/>
    <w:p w14:paraId="0F237B34" w14:textId="77777777" w:rsidR="003C357A" w:rsidRDefault="003C357A" w:rsidP="0034170C"/>
    <w:p w14:paraId="57EDC9AB" w14:textId="77777777" w:rsidR="003C357A" w:rsidRDefault="003C357A" w:rsidP="0034170C"/>
    <w:p w14:paraId="4859DF53" w14:textId="77777777" w:rsidR="003C357A" w:rsidRPr="00E31F11" w:rsidRDefault="003C357A" w:rsidP="0034170C">
      <w:pPr>
        <w:rPr>
          <w:rFonts w:ascii="Calibri" w:hAnsi="Calibri" w:cs="Calibri"/>
        </w:rPr>
      </w:pPr>
    </w:p>
    <w:p w14:paraId="59FDC9BF" w14:textId="7E7C514A" w:rsidR="003C357A" w:rsidRPr="00DD5957" w:rsidRDefault="003C357A" w:rsidP="0034170C">
      <w:pPr>
        <w:rPr>
          <w:rFonts w:ascii="Lato" w:hAnsi="Lato" w:cs="Calibri"/>
          <w:sz w:val="20"/>
        </w:rPr>
      </w:pPr>
      <w:r w:rsidRPr="00DD5957">
        <w:rPr>
          <w:rFonts w:ascii="Lato" w:hAnsi="Lato" w:cs="Calibri"/>
          <w:sz w:val="20"/>
        </w:rPr>
        <w:t>SPIS TABEL:</w:t>
      </w:r>
    </w:p>
    <w:p w14:paraId="36730F42" w14:textId="77777777" w:rsidR="003C357A" w:rsidRPr="00DD5957" w:rsidRDefault="003C357A" w:rsidP="0034170C">
      <w:pPr>
        <w:rPr>
          <w:rFonts w:ascii="Lato" w:hAnsi="Lato" w:cs="Calibri"/>
          <w:sz w:val="20"/>
        </w:rPr>
      </w:pPr>
    </w:p>
    <w:p w14:paraId="7F38D5D9" w14:textId="18129049" w:rsidR="00000BD1" w:rsidRDefault="003C357A" w:rsidP="00000BD1">
      <w:pPr>
        <w:pStyle w:val="Spisilustracji"/>
        <w:tabs>
          <w:tab w:val="right" w:leader="dot" w:pos="9060"/>
        </w:tabs>
        <w:ind w:left="851" w:hanging="851"/>
        <w:rPr>
          <w:rFonts w:asciiTheme="minorHAnsi" w:eastAsiaTheme="minorEastAsia" w:hAnsiTheme="minorHAnsi" w:cstheme="minorBidi"/>
          <w:noProof/>
          <w:kern w:val="2"/>
          <w:sz w:val="24"/>
          <w:szCs w:val="24"/>
          <w14:ligatures w14:val="standardContextual"/>
        </w:rPr>
      </w:pPr>
      <w:r w:rsidRPr="00DD5957">
        <w:rPr>
          <w:rFonts w:cs="Calibri"/>
        </w:rPr>
        <w:fldChar w:fldCharType="begin"/>
      </w:r>
      <w:r w:rsidRPr="00DD5957">
        <w:rPr>
          <w:rFonts w:cs="Calibri"/>
        </w:rPr>
        <w:instrText xml:space="preserve"> TOC \h \z \c "Tabela" </w:instrText>
      </w:r>
      <w:r w:rsidRPr="00DD5957">
        <w:rPr>
          <w:rFonts w:cs="Calibri"/>
        </w:rPr>
        <w:fldChar w:fldCharType="separate"/>
      </w:r>
      <w:hyperlink w:anchor="_Toc225859357" w:history="1">
        <w:r w:rsidR="00000BD1" w:rsidRPr="00D831B7">
          <w:rPr>
            <w:rStyle w:val="Hipercze"/>
            <w:rFonts w:eastAsiaTheme="majorEastAsia"/>
            <w:noProof/>
          </w:rPr>
          <w:t>Tabela 1.Wybrane dane epidemiologiczne dotyczące chorób zakaźnych przenoszonych drogą pokarmową w Polsce i woj. zachodniopomorskim w 2025 r.</w:t>
        </w:r>
        <w:r w:rsidR="00000BD1">
          <w:rPr>
            <w:noProof/>
            <w:webHidden/>
          </w:rPr>
          <w:tab/>
        </w:r>
        <w:r w:rsidR="00000BD1">
          <w:rPr>
            <w:noProof/>
            <w:webHidden/>
          </w:rPr>
          <w:fldChar w:fldCharType="begin"/>
        </w:r>
        <w:r w:rsidR="00000BD1">
          <w:rPr>
            <w:noProof/>
            <w:webHidden/>
          </w:rPr>
          <w:instrText xml:space="preserve"> PAGEREF _Toc225859357 \h </w:instrText>
        </w:r>
        <w:r w:rsidR="00000BD1">
          <w:rPr>
            <w:noProof/>
            <w:webHidden/>
          </w:rPr>
        </w:r>
        <w:r w:rsidR="00000BD1">
          <w:rPr>
            <w:noProof/>
            <w:webHidden/>
          </w:rPr>
          <w:fldChar w:fldCharType="separate"/>
        </w:r>
        <w:r w:rsidR="00E53DE8">
          <w:rPr>
            <w:noProof/>
            <w:webHidden/>
          </w:rPr>
          <w:t>9</w:t>
        </w:r>
        <w:r w:rsidR="00000BD1">
          <w:rPr>
            <w:noProof/>
            <w:webHidden/>
          </w:rPr>
          <w:fldChar w:fldCharType="end"/>
        </w:r>
      </w:hyperlink>
    </w:p>
    <w:p w14:paraId="4270DB78" w14:textId="00C724D6" w:rsidR="00000BD1" w:rsidRDefault="00000BD1" w:rsidP="00000BD1">
      <w:pPr>
        <w:pStyle w:val="Spisilustracji"/>
        <w:tabs>
          <w:tab w:val="right" w:leader="dot" w:pos="9060"/>
        </w:tabs>
        <w:ind w:left="851" w:hanging="851"/>
        <w:rPr>
          <w:rFonts w:asciiTheme="minorHAnsi" w:eastAsiaTheme="minorEastAsia" w:hAnsiTheme="minorHAnsi" w:cstheme="minorBidi"/>
          <w:noProof/>
          <w:kern w:val="2"/>
          <w:sz w:val="24"/>
          <w:szCs w:val="24"/>
          <w14:ligatures w14:val="standardContextual"/>
        </w:rPr>
      </w:pPr>
      <w:hyperlink w:anchor="_Toc225859358" w:history="1">
        <w:r w:rsidRPr="00D831B7">
          <w:rPr>
            <w:rStyle w:val="Hipercze"/>
            <w:rFonts w:eastAsiaTheme="majorEastAsia"/>
            <w:noProof/>
          </w:rPr>
          <w:t>Tabela 2. Zestawienie liczby ognisk zbiorowych zachorowań na choroby przenoszone drogą pokarmową oraz liczby narażonych i chorych, w tym dzieci do 14 roku życia na terenie woj. zachodniopomorskiego w latach 2021 – 2025.</w:t>
        </w:r>
        <w:r>
          <w:rPr>
            <w:noProof/>
            <w:webHidden/>
          </w:rPr>
          <w:tab/>
        </w:r>
        <w:r>
          <w:rPr>
            <w:noProof/>
            <w:webHidden/>
          </w:rPr>
          <w:fldChar w:fldCharType="begin"/>
        </w:r>
        <w:r>
          <w:rPr>
            <w:noProof/>
            <w:webHidden/>
          </w:rPr>
          <w:instrText xml:space="preserve"> PAGEREF _Toc225859358 \h </w:instrText>
        </w:r>
        <w:r>
          <w:rPr>
            <w:noProof/>
            <w:webHidden/>
          </w:rPr>
        </w:r>
        <w:r>
          <w:rPr>
            <w:noProof/>
            <w:webHidden/>
          </w:rPr>
          <w:fldChar w:fldCharType="separate"/>
        </w:r>
        <w:r w:rsidR="00E53DE8">
          <w:rPr>
            <w:noProof/>
            <w:webHidden/>
          </w:rPr>
          <w:t>9</w:t>
        </w:r>
        <w:r>
          <w:rPr>
            <w:noProof/>
            <w:webHidden/>
          </w:rPr>
          <w:fldChar w:fldCharType="end"/>
        </w:r>
      </w:hyperlink>
    </w:p>
    <w:p w14:paraId="7EA06B53" w14:textId="1F2C9802" w:rsidR="00000BD1" w:rsidRDefault="00000BD1" w:rsidP="00000BD1">
      <w:pPr>
        <w:pStyle w:val="Spisilustracji"/>
        <w:tabs>
          <w:tab w:val="right" w:leader="dot" w:pos="9060"/>
        </w:tabs>
        <w:ind w:left="851" w:hanging="851"/>
        <w:rPr>
          <w:rFonts w:asciiTheme="minorHAnsi" w:eastAsiaTheme="minorEastAsia" w:hAnsiTheme="minorHAnsi" w:cstheme="minorBidi"/>
          <w:noProof/>
          <w:kern w:val="2"/>
          <w:sz w:val="24"/>
          <w:szCs w:val="24"/>
          <w14:ligatures w14:val="standardContextual"/>
        </w:rPr>
      </w:pPr>
      <w:hyperlink w:anchor="_Toc225859359" w:history="1">
        <w:r w:rsidRPr="00D831B7">
          <w:rPr>
            <w:rStyle w:val="Hipercze"/>
            <w:rFonts w:eastAsiaTheme="majorEastAsia"/>
            <w:noProof/>
          </w:rPr>
          <w:t>Tabela 3. Liczba zachorowań i współczynnik zapadalności na wirusowe zapalenie wątroby typu A w Polsce i na terenie woj. zachodniopomorskiego w latach 2021-2025.</w:t>
        </w:r>
        <w:r>
          <w:rPr>
            <w:noProof/>
            <w:webHidden/>
          </w:rPr>
          <w:tab/>
        </w:r>
        <w:r>
          <w:rPr>
            <w:noProof/>
            <w:webHidden/>
          </w:rPr>
          <w:fldChar w:fldCharType="begin"/>
        </w:r>
        <w:r>
          <w:rPr>
            <w:noProof/>
            <w:webHidden/>
          </w:rPr>
          <w:instrText xml:space="preserve"> PAGEREF _Toc225859359 \h </w:instrText>
        </w:r>
        <w:r>
          <w:rPr>
            <w:noProof/>
            <w:webHidden/>
          </w:rPr>
        </w:r>
        <w:r>
          <w:rPr>
            <w:noProof/>
            <w:webHidden/>
          </w:rPr>
          <w:fldChar w:fldCharType="separate"/>
        </w:r>
        <w:r w:rsidR="00E53DE8">
          <w:rPr>
            <w:noProof/>
            <w:webHidden/>
          </w:rPr>
          <w:t>11</w:t>
        </w:r>
        <w:r>
          <w:rPr>
            <w:noProof/>
            <w:webHidden/>
          </w:rPr>
          <w:fldChar w:fldCharType="end"/>
        </w:r>
      </w:hyperlink>
    </w:p>
    <w:p w14:paraId="6B423C19" w14:textId="2DE8D375" w:rsidR="00000BD1" w:rsidRDefault="00000BD1" w:rsidP="00000BD1">
      <w:pPr>
        <w:pStyle w:val="Spisilustracji"/>
        <w:tabs>
          <w:tab w:val="right" w:leader="dot" w:pos="9060"/>
        </w:tabs>
        <w:ind w:left="709" w:hanging="709"/>
        <w:rPr>
          <w:rFonts w:asciiTheme="minorHAnsi" w:eastAsiaTheme="minorEastAsia" w:hAnsiTheme="minorHAnsi" w:cstheme="minorBidi"/>
          <w:noProof/>
          <w:kern w:val="2"/>
          <w:sz w:val="24"/>
          <w:szCs w:val="24"/>
          <w14:ligatures w14:val="standardContextual"/>
        </w:rPr>
      </w:pPr>
      <w:hyperlink w:anchor="_Toc225859360" w:history="1">
        <w:r w:rsidRPr="00D831B7">
          <w:rPr>
            <w:rStyle w:val="Hipercze"/>
            <w:rFonts w:eastAsiaTheme="majorEastAsia"/>
            <w:noProof/>
          </w:rPr>
          <w:t>Tabela 4. Liczba zachorowań i współczynnik zapadalności na wirusowe zapalenie wątroby typu B w latach 2021-2025 w Polsce i woj. zachodniopomorskim.</w:t>
        </w:r>
        <w:r>
          <w:rPr>
            <w:noProof/>
            <w:webHidden/>
          </w:rPr>
          <w:tab/>
        </w:r>
        <w:r>
          <w:rPr>
            <w:noProof/>
            <w:webHidden/>
          </w:rPr>
          <w:fldChar w:fldCharType="begin"/>
        </w:r>
        <w:r>
          <w:rPr>
            <w:noProof/>
            <w:webHidden/>
          </w:rPr>
          <w:instrText xml:space="preserve"> PAGEREF _Toc225859360 \h </w:instrText>
        </w:r>
        <w:r>
          <w:rPr>
            <w:noProof/>
            <w:webHidden/>
          </w:rPr>
        </w:r>
        <w:r>
          <w:rPr>
            <w:noProof/>
            <w:webHidden/>
          </w:rPr>
          <w:fldChar w:fldCharType="separate"/>
        </w:r>
        <w:r w:rsidR="00E53DE8">
          <w:rPr>
            <w:noProof/>
            <w:webHidden/>
          </w:rPr>
          <w:t>11</w:t>
        </w:r>
        <w:r>
          <w:rPr>
            <w:noProof/>
            <w:webHidden/>
          </w:rPr>
          <w:fldChar w:fldCharType="end"/>
        </w:r>
      </w:hyperlink>
    </w:p>
    <w:p w14:paraId="6708691D" w14:textId="51532886" w:rsidR="00000BD1" w:rsidRDefault="00000BD1" w:rsidP="00000BD1">
      <w:pPr>
        <w:pStyle w:val="Spisilustracji"/>
        <w:tabs>
          <w:tab w:val="right" w:leader="dot" w:pos="9060"/>
        </w:tabs>
        <w:ind w:left="851" w:hanging="851"/>
        <w:rPr>
          <w:rFonts w:asciiTheme="minorHAnsi" w:eastAsiaTheme="minorEastAsia" w:hAnsiTheme="minorHAnsi" w:cstheme="minorBidi"/>
          <w:noProof/>
          <w:kern w:val="2"/>
          <w:sz w:val="24"/>
          <w:szCs w:val="24"/>
          <w14:ligatures w14:val="standardContextual"/>
        </w:rPr>
      </w:pPr>
      <w:hyperlink w:anchor="_Toc225859361" w:history="1">
        <w:r w:rsidRPr="00D831B7">
          <w:rPr>
            <w:rStyle w:val="Hipercze"/>
            <w:rFonts w:eastAsiaTheme="majorEastAsia"/>
            <w:noProof/>
          </w:rPr>
          <w:t>Tabela 5.  Liczba zachorowań i współczynnik zapadalności na wirusowe zapalenie wątroby typu C w latach 2021-2025 w Polsce i woj. zachodniopomorskim.</w:t>
        </w:r>
        <w:r>
          <w:rPr>
            <w:noProof/>
            <w:webHidden/>
          </w:rPr>
          <w:tab/>
        </w:r>
        <w:r>
          <w:rPr>
            <w:noProof/>
            <w:webHidden/>
          </w:rPr>
          <w:fldChar w:fldCharType="begin"/>
        </w:r>
        <w:r>
          <w:rPr>
            <w:noProof/>
            <w:webHidden/>
          </w:rPr>
          <w:instrText xml:space="preserve"> PAGEREF _Toc225859361 \h </w:instrText>
        </w:r>
        <w:r>
          <w:rPr>
            <w:noProof/>
            <w:webHidden/>
          </w:rPr>
        </w:r>
        <w:r>
          <w:rPr>
            <w:noProof/>
            <w:webHidden/>
          </w:rPr>
          <w:fldChar w:fldCharType="separate"/>
        </w:r>
        <w:r w:rsidR="00E53DE8">
          <w:rPr>
            <w:noProof/>
            <w:webHidden/>
          </w:rPr>
          <w:t>12</w:t>
        </w:r>
        <w:r>
          <w:rPr>
            <w:noProof/>
            <w:webHidden/>
          </w:rPr>
          <w:fldChar w:fldCharType="end"/>
        </w:r>
      </w:hyperlink>
    </w:p>
    <w:p w14:paraId="48B57C3D" w14:textId="71011531" w:rsidR="00000BD1" w:rsidRDefault="00000BD1" w:rsidP="00000BD1">
      <w:pPr>
        <w:pStyle w:val="Spisilustracji"/>
        <w:tabs>
          <w:tab w:val="right" w:leader="dot" w:pos="9060"/>
        </w:tabs>
        <w:ind w:left="709" w:hanging="709"/>
        <w:rPr>
          <w:rFonts w:asciiTheme="minorHAnsi" w:eastAsiaTheme="minorEastAsia" w:hAnsiTheme="minorHAnsi" w:cstheme="minorBidi"/>
          <w:noProof/>
          <w:kern w:val="2"/>
          <w:sz w:val="24"/>
          <w:szCs w:val="24"/>
          <w14:ligatures w14:val="standardContextual"/>
        </w:rPr>
      </w:pPr>
      <w:hyperlink w:anchor="_Toc225859362" w:history="1">
        <w:r w:rsidRPr="00D831B7">
          <w:rPr>
            <w:rStyle w:val="Hipercze"/>
            <w:rFonts w:eastAsiaTheme="majorEastAsia"/>
            <w:noProof/>
          </w:rPr>
          <w:t>Tabela 6. Liczba zachorowań (współczynnik zapadalności na 100 tys.) na zakażenia SARS-CoV-2 w Polsce i woj. zachodniopomorskim w latach 2023-2025.</w:t>
        </w:r>
        <w:r>
          <w:rPr>
            <w:noProof/>
            <w:webHidden/>
          </w:rPr>
          <w:tab/>
        </w:r>
        <w:r>
          <w:rPr>
            <w:noProof/>
            <w:webHidden/>
          </w:rPr>
          <w:fldChar w:fldCharType="begin"/>
        </w:r>
        <w:r>
          <w:rPr>
            <w:noProof/>
            <w:webHidden/>
          </w:rPr>
          <w:instrText xml:space="preserve"> PAGEREF _Toc225859362 \h </w:instrText>
        </w:r>
        <w:r>
          <w:rPr>
            <w:noProof/>
            <w:webHidden/>
          </w:rPr>
        </w:r>
        <w:r>
          <w:rPr>
            <w:noProof/>
            <w:webHidden/>
          </w:rPr>
          <w:fldChar w:fldCharType="separate"/>
        </w:r>
        <w:r w:rsidR="00E53DE8">
          <w:rPr>
            <w:noProof/>
            <w:webHidden/>
          </w:rPr>
          <w:t>13</w:t>
        </w:r>
        <w:r>
          <w:rPr>
            <w:noProof/>
            <w:webHidden/>
          </w:rPr>
          <w:fldChar w:fldCharType="end"/>
        </w:r>
      </w:hyperlink>
    </w:p>
    <w:p w14:paraId="756C0FEA" w14:textId="260F81CE" w:rsidR="00000BD1" w:rsidRDefault="00000BD1" w:rsidP="00000BD1">
      <w:pPr>
        <w:pStyle w:val="Spisilustracji"/>
        <w:tabs>
          <w:tab w:val="right" w:leader="dot" w:pos="9060"/>
        </w:tabs>
        <w:ind w:left="851" w:hanging="851"/>
        <w:rPr>
          <w:rFonts w:asciiTheme="minorHAnsi" w:eastAsiaTheme="minorEastAsia" w:hAnsiTheme="minorHAnsi" w:cstheme="minorBidi"/>
          <w:noProof/>
          <w:kern w:val="2"/>
          <w:sz w:val="24"/>
          <w:szCs w:val="24"/>
          <w14:ligatures w14:val="standardContextual"/>
        </w:rPr>
      </w:pPr>
      <w:hyperlink w:anchor="_Toc225859363" w:history="1">
        <w:r w:rsidRPr="00D831B7">
          <w:rPr>
            <w:rStyle w:val="Hipercze"/>
            <w:rFonts w:eastAsiaTheme="majorEastAsia"/>
            <w:noProof/>
          </w:rPr>
          <w:t>Tabela 7.  Liczba zachorowań na krztusiec wg definicji przypadku w latach 2021-2025 w woj. zachodniopomorskim.</w:t>
        </w:r>
        <w:r>
          <w:rPr>
            <w:noProof/>
            <w:webHidden/>
          </w:rPr>
          <w:tab/>
        </w:r>
        <w:r>
          <w:rPr>
            <w:noProof/>
            <w:webHidden/>
          </w:rPr>
          <w:fldChar w:fldCharType="begin"/>
        </w:r>
        <w:r>
          <w:rPr>
            <w:noProof/>
            <w:webHidden/>
          </w:rPr>
          <w:instrText xml:space="preserve"> PAGEREF _Toc225859363 \h </w:instrText>
        </w:r>
        <w:r>
          <w:rPr>
            <w:noProof/>
            <w:webHidden/>
          </w:rPr>
        </w:r>
        <w:r>
          <w:rPr>
            <w:noProof/>
            <w:webHidden/>
          </w:rPr>
          <w:fldChar w:fldCharType="separate"/>
        </w:r>
        <w:r w:rsidR="00E53DE8">
          <w:rPr>
            <w:noProof/>
            <w:webHidden/>
          </w:rPr>
          <w:t>16</w:t>
        </w:r>
        <w:r>
          <w:rPr>
            <w:noProof/>
            <w:webHidden/>
          </w:rPr>
          <w:fldChar w:fldCharType="end"/>
        </w:r>
      </w:hyperlink>
    </w:p>
    <w:p w14:paraId="4DAB8974" w14:textId="07102A12" w:rsidR="00000BD1" w:rsidRDefault="00000BD1" w:rsidP="00000BD1">
      <w:pPr>
        <w:pStyle w:val="Spisilustracji"/>
        <w:tabs>
          <w:tab w:val="right" w:leader="dot" w:pos="9060"/>
        </w:tabs>
        <w:ind w:left="851" w:hanging="851"/>
        <w:rPr>
          <w:rFonts w:asciiTheme="minorHAnsi" w:eastAsiaTheme="minorEastAsia" w:hAnsiTheme="minorHAnsi" w:cstheme="minorBidi"/>
          <w:noProof/>
          <w:kern w:val="2"/>
          <w:sz w:val="24"/>
          <w:szCs w:val="24"/>
          <w14:ligatures w14:val="standardContextual"/>
        </w:rPr>
      </w:pPr>
      <w:hyperlink w:anchor="_Toc225859364" w:history="1">
        <w:r w:rsidRPr="00D831B7">
          <w:rPr>
            <w:rStyle w:val="Hipercze"/>
            <w:rFonts w:eastAsiaTheme="majorEastAsia"/>
            <w:noProof/>
          </w:rPr>
          <w:t>Tabela 8.  Liczba zachorowań i współczynnik zapadalności na bakteryjne zapalenie opon mózgowych i/lub mózgu w Polsce i woj. zachodniopomorskim w latach 2024-2025.</w:t>
        </w:r>
        <w:r>
          <w:rPr>
            <w:noProof/>
            <w:webHidden/>
          </w:rPr>
          <w:tab/>
        </w:r>
        <w:r>
          <w:rPr>
            <w:noProof/>
            <w:webHidden/>
          </w:rPr>
          <w:fldChar w:fldCharType="begin"/>
        </w:r>
        <w:r>
          <w:rPr>
            <w:noProof/>
            <w:webHidden/>
          </w:rPr>
          <w:instrText xml:space="preserve"> PAGEREF _Toc225859364 \h </w:instrText>
        </w:r>
        <w:r>
          <w:rPr>
            <w:noProof/>
            <w:webHidden/>
          </w:rPr>
        </w:r>
        <w:r>
          <w:rPr>
            <w:noProof/>
            <w:webHidden/>
          </w:rPr>
          <w:fldChar w:fldCharType="separate"/>
        </w:r>
        <w:r w:rsidR="00E53DE8">
          <w:rPr>
            <w:noProof/>
            <w:webHidden/>
          </w:rPr>
          <w:t>18</w:t>
        </w:r>
        <w:r>
          <w:rPr>
            <w:noProof/>
            <w:webHidden/>
          </w:rPr>
          <w:fldChar w:fldCharType="end"/>
        </w:r>
      </w:hyperlink>
    </w:p>
    <w:p w14:paraId="48C51450" w14:textId="0B623D46" w:rsidR="00000BD1" w:rsidRDefault="00000BD1" w:rsidP="00000BD1">
      <w:pPr>
        <w:pStyle w:val="Spisilustracji"/>
        <w:tabs>
          <w:tab w:val="right" w:leader="dot" w:pos="9060"/>
        </w:tabs>
        <w:ind w:left="851" w:hanging="851"/>
        <w:rPr>
          <w:rFonts w:asciiTheme="minorHAnsi" w:eastAsiaTheme="minorEastAsia" w:hAnsiTheme="minorHAnsi" w:cstheme="minorBidi"/>
          <w:noProof/>
          <w:kern w:val="2"/>
          <w:sz w:val="24"/>
          <w:szCs w:val="24"/>
          <w14:ligatures w14:val="standardContextual"/>
        </w:rPr>
      </w:pPr>
      <w:hyperlink w:anchor="_Toc225859365" w:history="1">
        <w:r w:rsidRPr="00D831B7">
          <w:rPr>
            <w:rStyle w:val="Hipercze"/>
            <w:rFonts w:eastAsiaTheme="majorEastAsia"/>
            <w:noProof/>
          </w:rPr>
          <w:t>Tabela 9. Liczba zachorowań na inwazyjną chorobę meningokokową w latach 2021-2025 ze względu na etiologię.</w:t>
        </w:r>
        <w:r>
          <w:rPr>
            <w:noProof/>
            <w:webHidden/>
          </w:rPr>
          <w:tab/>
        </w:r>
        <w:r>
          <w:rPr>
            <w:noProof/>
            <w:webHidden/>
          </w:rPr>
          <w:fldChar w:fldCharType="begin"/>
        </w:r>
        <w:r>
          <w:rPr>
            <w:noProof/>
            <w:webHidden/>
          </w:rPr>
          <w:instrText xml:space="preserve"> PAGEREF _Toc225859365 \h </w:instrText>
        </w:r>
        <w:r>
          <w:rPr>
            <w:noProof/>
            <w:webHidden/>
          </w:rPr>
        </w:r>
        <w:r>
          <w:rPr>
            <w:noProof/>
            <w:webHidden/>
          </w:rPr>
          <w:fldChar w:fldCharType="separate"/>
        </w:r>
        <w:r w:rsidR="00E53DE8">
          <w:rPr>
            <w:noProof/>
            <w:webHidden/>
          </w:rPr>
          <w:t>19</w:t>
        </w:r>
        <w:r>
          <w:rPr>
            <w:noProof/>
            <w:webHidden/>
          </w:rPr>
          <w:fldChar w:fldCharType="end"/>
        </w:r>
      </w:hyperlink>
    </w:p>
    <w:p w14:paraId="4BA90D7D" w14:textId="5CF295F2" w:rsidR="00000BD1" w:rsidRDefault="00000BD1" w:rsidP="00000BD1">
      <w:pPr>
        <w:pStyle w:val="Spisilustracji"/>
        <w:tabs>
          <w:tab w:val="right" w:leader="dot" w:pos="9060"/>
        </w:tabs>
        <w:ind w:left="993" w:hanging="993"/>
        <w:rPr>
          <w:rFonts w:asciiTheme="minorHAnsi" w:eastAsiaTheme="minorEastAsia" w:hAnsiTheme="minorHAnsi" w:cstheme="minorBidi"/>
          <w:noProof/>
          <w:kern w:val="2"/>
          <w:sz w:val="24"/>
          <w:szCs w:val="24"/>
          <w14:ligatures w14:val="standardContextual"/>
        </w:rPr>
      </w:pPr>
      <w:hyperlink w:anchor="_Toc225859366" w:history="1">
        <w:r w:rsidRPr="00D831B7">
          <w:rPr>
            <w:rStyle w:val="Hipercze"/>
            <w:rFonts w:eastAsiaTheme="majorEastAsia"/>
            <w:noProof/>
          </w:rPr>
          <w:t>Tabela 10.  Liczba zachorowań i współczynnik zapadalności na kiłę w Polsce i woj. zachodniopomorskim w latach 2021-2025.</w:t>
        </w:r>
        <w:r>
          <w:rPr>
            <w:noProof/>
            <w:webHidden/>
          </w:rPr>
          <w:tab/>
        </w:r>
        <w:r>
          <w:rPr>
            <w:noProof/>
            <w:webHidden/>
          </w:rPr>
          <w:fldChar w:fldCharType="begin"/>
        </w:r>
        <w:r>
          <w:rPr>
            <w:noProof/>
            <w:webHidden/>
          </w:rPr>
          <w:instrText xml:space="preserve"> PAGEREF _Toc225859366 \h </w:instrText>
        </w:r>
        <w:r>
          <w:rPr>
            <w:noProof/>
            <w:webHidden/>
          </w:rPr>
        </w:r>
        <w:r>
          <w:rPr>
            <w:noProof/>
            <w:webHidden/>
          </w:rPr>
          <w:fldChar w:fldCharType="separate"/>
        </w:r>
        <w:r w:rsidR="00E53DE8">
          <w:rPr>
            <w:noProof/>
            <w:webHidden/>
          </w:rPr>
          <w:t>21</w:t>
        </w:r>
        <w:r>
          <w:rPr>
            <w:noProof/>
            <w:webHidden/>
          </w:rPr>
          <w:fldChar w:fldCharType="end"/>
        </w:r>
      </w:hyperlink>
    </w:p>
    <w:p w14:paraId="2F7758BE" w14:textId="04769BE6" w:rsidR="00000BD1" w:rsidRDefault="00000BD1" w:rsidP="00000BD1">
      <w:pPr>
        <w:pStyle w:val="Spisilustracji"/>
        <w:tabs>
          <w:tab w:val="right" w:leader="dot" w:pos="9060"/>
        </w:tabs>
        <w:ind w:left="993" w:hanging="993"/>
        <w:rPr>
          <w:rFonts w:asciiTheme="minorHAnsi" w:eastAsiaTheme="minorEastAsia" w:hAnsiTheme="minorHAnsi" w:cstheme="minorBidi"/>
          <w:noProof/>
          <w:kern w:val="2"/>
          <w:sz w:val="24"/>
          <w:szCs w:val="24"/>
          <w14:ligatures w14:val="standardContextual"/>
        </w:rPr>
      </w:pPr>
      <w:hyperlink w:anchor="_Toc225859367" w:history="1">
        <w:r w:rsidRPr="00D831B7">
          <w:rPr>
            <w:rStyle w:val="Hipercze"/>
            <w:rFonts w:eastAsiaTheme="majorEastAsia"/>
            <w:noProof/>
          </w:rPr>
          <w:t>Tabela 11. Liczba zachorowań i współczynnik zapadalności na inne choroby przenoszone drogą płciową w Polsce i woj. zachodniopomorskim w latach 2021-2025.</w:t>
        </w:r>
        <w:r>
          <w:rPr>
            <w:noProof/>
            <w:webHidden/>
          </w:rPr>
          <w:tab/>
        </w:r>
        <w:r>
          <w:rPr>
            <w:noProof/>
            <w:webHidden/>
          </w:rPr>
          <w:fldChar w:fldCharType="begin"/>
        </w:r>
        <w:r>
          <w:rPr>
            <w:noProof/>
            <w:webHidden/>
          </w:rPr>
          <w:instrText xml:space="preserve"> PAGEREF _Toc225859367 \h </w:instrText>
        </w:r>
        <w:r>
          <w:rPr>
            <w:noProof/>
            <w:webHidden/>
          </w:rPr>
        </w:r>
        <w:r>
          <w:rPr>
            <w:noProof/>
            <w:webHidden/>
          </w:rPr>
          <w:fldChar w:fldCharType="separate"/>
        </w:r>
        <w:r w:rsidR="00E53DE8">
          <w:rPr>
            <w:noProof/>
            <w:webHidden/>
          </w:rPr>
          <w:t>22</w:t>
        </w:r>
        <w:r>
          <w:rPr>
            <w:noProof/>
            <w:webHidden/>
          </w:rPr>
          <w:fldChar w:fldCharType="end"/>
        </w:r>
      </w:hyperlink>
    </w:p>
    <w:p w14:paraId="10942CD2" w14:textId="34A259BD" w:rsidR="00000BD1" w:rsidRDefault="00000BD1" w:rsidP="00000BD1">
      <w:pPr>
        <w:pStyle w:val="Spisilustracji"/>
        <w:tabs>
          <w:tab w:val="right" w:leader="dot" w:pos="9060"/>
        </w:tabs>
        <w:ind w:left="993" w:hanging="993"/>
        <w:rPr>
          <w:rFonts w:asciiTheme="minorHAnsi" w:eastAsiaTheme="minorEastAsia" w:hAnsiTheme="minorHAnsi" w:cstheme="minorBidi"/>
          <w:noProof/>
          <w:kern w:val="2"/>
          <w:sz w:val="24"/>
          <w:szCs w:val="24"/>
          <w14:ligatures w14:val="standardContextual"/>
        </w:rPr>
      </w:pPr>
      <w:hyperlink w:anchor="_Toc225859368" w:history="1">
        <w:r w:rsidRPr="00D831B7">
          <w:rPr>
            <w:rStyle w:val="Hipercze"/>
            <w:rFonts w:eastAsiaTheme="majorEastAsia"/>
            <w:noProof/>
          </w:rPr>
          <w:t>Tabela 12. Liczba zachorowań na gruźlicę w woj. zachodniopomorskim w 2025 r. wg płci, grupy wiekowej oraz miejsca zamieszkania.</w:t>
        </w:r>
        <w:r>
          <w:rPr>
            <w:noProof/>
            <w:webHidden/>
          </w:rPr>
          <w:tab/>
        </w:r>
        <w:r>
          <w:rPr>
            <w:noProof/>
            <w:webHidden/>
          </w:rPr>
          <w:fldChar w:fldCharType="begin"/>
        </w:r>
        <w:r>
          <w:rPr>
            <w:noProof/>
            <w:webHidden/>
          </w:rPr>
          <w:instrText xml:space="preserve"> PAGEREF _Toc225859368 \h </w:instrText>
        </w:r>
        <w:r>
          <w:rPr>
            <w:noProof/>
            <w:webHidden/>
          </w:rPr>
        </w:r>
        <w:r>
          <w:rPr>
            <w:noProof/>
            <w:webHidden/>
          </w:rPr>
          <w:fldChar w:fldCharType="separate"/>
        </w:r>
        <w:r w:rsidR="00E53DE8">
          <w:rPr>
            <w:noProof/>
            <w:webHidden/>
          </w:rPr>
          <w:t>22</w:t>
        </w:r>
        <w:r>
          <w:rPr>
            <w:noProof/>
            <w:webHidden/>
          </w:rPr>
          <w:fldChar w:fldCharType="end"/>
        </w:r>
      </w:hyperlink>
    </w:p>
    <w:p w14:paraId="1F8825D2" w14:textId="2BFABAFA" w:rsidR="00000BD1" w:rsidRDefault="00000BD1" w:rsidP="00000BD1">
      <w:pPr>
        <w:pStyle w:val="Spisilustracji"/>
        <w:tabs>
          <w:tab w:val="right" w:leader="dot" w:pos="9060"/>
        </w:tabs>
        <w:ind w:left="993" w:hanging="993"/>
        <w:rPr>
          <w:rFonts w:asciiTheme="minorHAnsi" w:eastAsiaTheme="minorEastAsia" w:hAnsiTheme="minorHAnsi" w:cstheme="minorBidi"/>
          <w:noProof/>
          <w:kern w:val="2"/>
          <w:sz w:val="24"/>
          <w:szCs w:val="24"/>
          <w14:ligatures w14:val="standardContextual"/>
        </w:rPr>
      </w:pPr>
      <w:hyperlink w:anchor="_Toc225859369" w:history="1">
        <w:r w:rsidRPr="00D831B7">
          <w:rPr>
            <w:rStyle w:val="Hipercze"/>
            <w:rFonts w:eastAsiaTheme="majorEastAsia"/>
            <w:noProof/>
          </w:rPr>
          <w:t>Tabela 13. Liczba zakażeń HIV, zachorowań na AIDS i zgonów w woj. zachodniopomorskim w latach 1985-2025.</w:t>
        </w:r>
        <w:r>
          <w:rPr>
            <w:noProof/>
            <w:webHidden/>
          </w:rPr>
          <w:tab/>
        </w:r>
        <w:r>
          <w:rPr>
            <w:noProof/>
            <w:webHidden/>
          </w:rPr>
          <w:fldChar w:fldCharType="begin"/>
        </w:r>
        <w:r>
          <w:rPr>
            <w:noProof/>
            <w:webHidden/>
          </w:rPr>
          <w:instrText xml:space="preserve"> PAGEREF _Toc225859369 \h </w:instrText>
        </w:r>
        <w:r>
          <w:rPr>
            <w:noProof/>
            <w:webHidden/>
          </w:rPr>
        </w:r>
        <w:r>
          <w:rPr>
            <w:noProof/>
            <w:webHidden/>
          </w:rPr>
          <w:fldChar w:fldCharType="separate"/>
        </w:r>
        <w:r w:rsidR="00E53DE8">
          <w:rPr>
            <w:noProof/>
            <w:webHidden/>
          </w:rPr>
          <w:t>23</w:t>
        </w:r>
        <w:r>
          <w:rPr>
            <w:noProof/>
            <w:webHidden/>
          </w:rPr>
          <w:fldChar w:fldCharType="end"/>
        </w:r>
      </w:hyperlink>
    </w:p>
    <w:p w14:paraId="451F9F3D" w14:textId="58AA168C" w:rsidR="00000BD1" w:rsidRDefault="00000BD1" w:rsidP="00000BD1">
      <w:pPr>
        <w:pStyle w:val="Spisilustracji"/>
        <w:tabs>
          <w:tab w:val="right" w:leader="dot" w:pos="9060"/>
        </w:tabs>
        <w:ind w:left="993" w:hanging="993"/>
        <w:rPr>
          <w:rFonts w:asciiTheme="minorHAnsi" w:eastAsiaTheme="minorEastAsia" w:hAnsiTheme="minorHAnsi" w:cstheme="minorBidi"/>
          <w:noProof/>
          <w:kern w:val="2"/>
          <w:sz w:val="24"/>
          <w:szCs w:val="24"/>
          <w14:ligatures w14:val="standardContextual"/>
        </w:rPr>
      </w:pPr>
      <w:hyperlink w:anchor="_Toc225859370" w:history="1">
        <w:r w:rsidRPr="00D831B7">
          <w:rPr>
            <w:rStyle w:val="Hipercze"/>
            <w:rFonts w:eastAsiaTheme="majorEastAsia"/>
            <w:noProof/>
          </w:rPr>
          <w:t>Tabela 14. Liczba zachorowań i zapadalność na wybrane choroby zakaźne, zakażenia i zatrucia w woj. zachodniopomorskim w 2025 roku w porównaniu do 2024 roku.</w:t>
        </w:r>
        <w:r>
          <w:rPr>
            <w:noProof/>
            <w:webHidden/>
          </w:rPr>
          <w:tab/>
        </w:r>
        <w:r>
          <w:rPr>
            <w:noProof/>
            <w:webHidden/>
          </w:rPr>
          <w:fldChar w:fldCharType="begin"/>
        </w:r>
        <w:r>
          <w:rPr>
            <w:noProof/>
            <w:webHidden/>
          </w:rPr>
          <w:instrText xml:space="preserve"> PAGEREF _Toc225859370 \h </w:instrText>
        </w:r>
        <w:r>
          <w:rPr>
            <w:noProof/>
            <w:webHidden/>
          </w:rPr>
        </w:r>
        <w:r>
          <w:rPr>
            <w:noProof/>
            <w:webHidden/>
          </w:rPr>
          <w:fldChar w:fldCharType="separate"/>
        </w:r>
        <w:r w:rsidR="00E53DE8">
          <w:rPr>
            <w:noProof/>
            <w:webHidden/>
          </w:rPr>
          <w:t>25</w:t>
        </w:r>
        <w:r>
          <w:rPr>
            <w:noProof/>
            <w:webHidden/>
          </w:rPr>
          <w:fldChar w:fldCharType="end"/>
        </w:r>
      </w:hyperlink>
    </w:p>
    <w:p w14:paraId="692CB89B" w14:textId="161D49EB" w:rsidR="00000BD1" w:rsidRDefault="00000BD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225859371" w:history="1">
        <w:r w:rsidRPr="00D831B7">
          <w:rPr>
            <w:rStyle w:val="Hipercze"/>
            <w:rFonts w:eastAsiaTheme="majorEastAsia"/>
            <w:noProof/>
          </w:rPr>
          <w:t>Tabela 15. Stan uodpornienia dzieci i młodzieży w rocznikach podlegających szczepieniom w 2025 r.</w:t>
        </w:r>
        <w:r>
          <w:rPr>
            <w:noProof/>
            <w:webHidden/>
          </w:rPr>
          <w:tab/>
        </w:r>
        <w:r>
          <w:rPr>
            <w:noProof/>
            <w:webHidden/>
          </w:rPr>
          <w:fldChar w:fldCharType="begin"/>
        </w:r>
        <w:r>
          <w:rPr>
            <w:noProof/>
            <w:webHidden/>
          </w:rPr>
          <w:instrText xml:space="preserve"> PAGEREF _Toc225859371 \h </w:instrText>
        </w:r>
        <w:r>
          <w:rPr>
            <w:noProof/>
            <w:webHidden/>
          </w:rPr>
        </w:r>
        <w:r>
          <w:rPr>
            <w:noProof/>
            <w:webHidden/>
          </w:rPr>
          <w:fldChar w:fldCharType="separate"/>
        </w:r>
        <w:r w:rsidR="00E53DE8">
          <w:rPr>
            <w:noProof/>
            <w:webHidden/>
          </w:rPr>
          <w:t>29</w:t>
        </w:r>
        <w:r>
          <w:rPr>
            <w:noProof/>
            <w:webHidden/>
          </w:rPr>
          <w:fldChar w:fldCharType="end"/>
        </w:r>
      </w:hyperlink>
    </w:p>
    <w:p w14:paraId="73B2FD27" w14:textId="0B48C89A" w:rsidR="00000BD1" w:rsidRDefault="00000BD1" w:rsidP="00000BD1">
      <w:pPr>
        <w:pStyle w:val="Spisilustracji"/>
        <w:tabs>
          <w:tab w:val="right" w:leader="dot" w:pos="9060"/>
        </w:tabs>
        <w:ind w:left="993" w:hanging="993"/>
        <w:rPr>
          <w:rFonts w:asciiTheme="minorHAnsi" w:eastAsiaTheme="minorEastAsia" w:hAnsiTheme="minorHAnsi" w:cstheme="minorBidi"/>
          <w:noProof/>
          <w:kern w:val="2"/>
          <w:sz w:val="24"/>
          <w:szCs w:val="24"/>
          <w14:ligatures w14:val="standardContextual"/>
        </w:rPr>
      </w:pPr>
      <w:hyperlink w:anchor="_Toc225859372" w:history="1">
        <w:r w:rsidRPr="00D831B7">
          <w:rPr>
            <w:rStyle w:val="Hipercze"/>
            <w:rFonts w:eastAsiaTheme="majorEastAsia"/>
            <w:noProof/>
          </w:rPr>
          <w:t>Tabela 16. Liczba szczepień u osób narażonych w sposób szczególny na zakażenie w roku 2025 na terenie woj. zachodniopomorskiego.</w:t>
        </w:r>
        <w:r>
          <w:rPr>
            <w:noProof/>
            <w:webHidden/>
          </w:rPr>
          <w:tab/>
        </w:r>
        <w:r>
          <w:rPr>
            <w:noProof/>
            <w:webHidden/>
          </w:rPr>
          <w:fldChar w:fldCharType="begin"/>
        </w:r>
        <w:r>
          <w:rPr>
            <w:noProof/>
            <w:webHidden/>
          </w:rPr>
          <w:instrText xml:space="preserve"> PAGEREF _Toc225859372 \h </w:instrText>
        </w:r>
        <w:r>
          <w:rPr>
            <w:noProof/>
            <w:webHidden/>
          </w:rPr>
        </w:r>
        <w:r>
          <w:rPr>
            <w:noProof/>
            <w:webHidden/>
          </w:rPr>
          <w:fldChar w:fldCharType="separate"/>
        </w:r>
        <w:r w:rsidR="00E53DE8">
          <w:rPr>
            <w:noProof/>
            <w:webHidden/>
          </w:rPr>
          <w:t>30</w:t>
        </w:r>
        <w:r>
          <w:rPr>
            <w:noProof/>
            <w:webHidden/>
          </w:rPr>
          <w:fldChar w:fldCharType="end"/>
        </w:r>
      </w:hyperlink>
    </w:p>
    <w:p w14:paraId="34A6C21F" w14:textId="17D20422" w:rsidR="00000BD1" w:rsidRDefault="00000BD1" w:rsidP="00000BD1">
      <w:pPr>
        <w:pStyle w:val="Spisilustracji"/>
        <w:tabs>
          <w:tab w:val="right" w:leader="dot" w:pos="9060"/>
        </w:tabs>
        <w:ind w:left="993" w:hanging="967"/>
        <w:rPr>
          <w:rFonts w:asciiTheme="minorHAnsi" w:eastAsiaTheme="minorEastAsia" w:hAnsiTheme="minorHAnsi" w:cstheme="minorBidi"/>
          <w:noProof/>
          <w:kern w:val="2"/>
          <w:sz w:val="24"/>
          <w:szCs w:val="24"/>
          <w14:ligatures w14:val="standardContextual"/>
        </w:rPr>
      </w:pPr>
      <w:hyperlink w:anchor="_Toc225859373" w:history="1">
        <w:r w:rsidRPr="00D831B7">
          <w:rPr>
            <w:rStyle w:val="Hipercze"/>
            <w:rFonts w:eastAsiaTheme="majorEastAsia"/>
            <w:noProof/>
          </w:rPr>
          <w:t>Tabela 17. Nadzór nad stanem sanitarnym podmiotów działalności leczniczej wykonujących stacjonarne i ambulatoryjne świadczenia zdrowotne w woj. zachodniopomorskim w 2025 r.</w:t>
        </w:r>
        <w:r>
          <w:rPr>
            <w:noProof/>
            <w:webHidden/>
          </w:rPr>
          <w:tab/>
        </w:r>
        <w:r>
          <w:rPr>
            <w:noProof/>
            <w:webHidden/>
          </w:rPr>
          <w:fldChar w:fldCharType="begin"/>
        </w:r>
        <w:r>
          <w:rPr>
            <w:noProof/>
            <w:webHidden/>
          </w:rPr>
          <w:instrText xml:space="preserve"> PAGEREF _Toc225859373 \h </w:instrText>
        </w:r>
        <w:r>
          <w:rPr>
            <w:noProof/>
            <w:webHidden/>
          </w:rPr>
        </w:r>
        <w:r>
          <w:rPr>
            <w:noProof/>
            <w:webHidden/>
          </w:rPr>
          <w:fldChar w:fldCharType="separate"/>
        </w:r>
        <w:r w:rsidR="00E53DE8">
          <w:rPr>
            <w:noProof/>
            <w:webHidden/>
          </w:rPr>
          <w:t>35</w:t>
        </w:r>
        <w:r>
          <w:rPr>
            <w:noProof/>
            <w:webHidden/>
          </w:rPr>
          <w:fldChar w:fldCharType="end"/>
        </w:r>
      </w:hyperlink>
    </w:p>
    <w:p w14:paraId="7C71E9F6" w14:textId="50F21873" w:rsidR="00000BD1" w:rsidRDefault="00000BD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225859374" w:history="1">
        <w:r w:rsidRPr="00D831B7">
          <w:rPr>
            <w:rStyle w:val="Hipercze"/>
            <w:rFonts w:eastAsiaTheme="majorEastAsia"/>
            <w:noProof/>
          </w:rPr>
          <w:t>Tabela 18. Monitoring procesów sterylizacji w 2025 r. w szpitalach woj. zachodniopomorskiego.</w:t>
        </w:r>
        <w:r>
          <w:rPr>
            <w:noProof/>
            <w:webHidden/>
          </w:rPr>
          <w:tab/>
        </w:r>
        <w:r>
          <w:rPr>
            <w:noProof/>
            <w:webHidden/>
          </w:rPr>
          <w:fldChar w:fldCharType="begin"/>
        </w:r>
        <w:r>
          <w:rPr>
            <w:noProof/>
            <w:webHidden/>
          </w:rPr>
          <w:instrText xml:space="preserve"> PAGEREF _Toc225859374 \h </w:instrText>
        </w:r>
        <w:r>
          <w:rPr>
            <w:noProof/>
            <w:webHidden/>
          </w:rPr>
        </w:r>
        <w:r>
          <w:rPr>
            <w:noProof/>
            <w:webHidden/>
          </w:rPr>
          <w:fldChar w:fldCharType="separate"/>
        </w:r>
        <w:r w:rsidR="00E53DE8">
          <w:rPr>
            <w:noProof/>
            <w:webHidden/>
          </w:rPr>
          <w:t>41</w:t>
        </w:r>
        <w:r>
          <w:rPr>
            <w:noProof/>
            <w:webHidden/>
          </w:rPr>
          <w:fldChar w:fldCharType="end"/>
        </w:r>
      </w:hyperlink>
    </w:p>
    <w:p w14:paraId="3929863E" w14:textId="1F222AE2" w:rsidR="00000BD1" w:rsidRDefault="00000BD1" w:rsidP="00000BD1">
      <w:pPr>
        <w:pStyle w:val="Spisilustracji"/>
        <w:tabs>
          <w:tab w:val="right" w:leader="dot" w:pos="9060"/>
        </w:tabs>
        <w:ind w:left="993" w:hanging="993"/>
        <w:rPr>
          <w:rFonts w:asciiTheme="minorHAnsi" w:eastAsiaTheme="minorEastAsia" w:hAnsiTheme="minorHAnsi" w:cstheme="minorBidi"/>
          <w:noProof/>
          <w:kern w:val="2"/>
          <w:sz w:val="24"/>
          <w:szCs w:val="24"/>
          <w14:ligatures w14:val="standardContextual"/>
        </w:rPr>
      </w:pPr>
      <w:hyperlink w:anchor="_Toc225859375" w:history="1">
        <w:r w:rsidRPr="00D831B7">
          <w:rPr>
            <w:rStyle w:val="Hipercze"/>
            <w:rFonts w:eastAsiaTheme="majorEastAsia"/>
            <w:noProof/>
          </w:rPr>
          <w:t>Tabela 19. Zestawienie liczbowe obiektów i urządzeń zaopatrujących ludność w wodę do spożycia na terenie woj. zachodniopomorskiego w 2025 r. - wodociągi w ewidencji organów Państwowej Inspekcji Sanitarnej.</w:t>
        </w:r>
        <w:r>
          <w:rPr>
            <w:noProof/>
            <w:webHidden/>
          </w:rPr>
          <w:tab/>
        </w:r>
        <w:r>
          <w:rPr>
            <w:noProof/>
            <w:webHidden/>
          </w:rPr>
          <w:fldChar w:fldCharType="begin"/>
        </w:r>
        <w:r>
          <w:rPr>
            <w:noProof/>
            <w:webHidden/>
          </w:rPr>
          <w:instrText xml:space="preserve"> PAGEREF _Toc225859375 \h </w:instrText>
        </w:r>
        <w:r>
          <w:rPr>
            <w:noProof/>
            <w:webHidden/>
          </w:rPr>
        </w:r>
        <w:r>
          <w:rPr>
            <w:noProof/>
            <w:webHidden/>
          </w:rPr>
          <w:fldChar w:fldCharType="separate"/>
        </w:r>
        <w:r w:rsidR="00E53DE8">
          <w:rPr>
            <w:noProof/>
            <w:webHidden/>
          </w:rPr>
          <w:t>53</w:t>
        </w:r>
        <w:r>
          <w:rPr>
            <w:noProof/>
            <w:webHidden/>
          </w:rPr>
          <w:fldChar w:fldCharType="end"/>
        </w:r>
      </w:hyperlink>
    </w:p>
    <w:p w14:paraId="090FC661" w14:textId="6596A45E" w:rsidR="00000BD1" w:rsidRDefault="00000BD1" w:rsidP="00000BD1">
      <w:pPr>
        <w:pStyle w:val="Spisilustracji"/>
        <w:tabs>
          <w:tab w:val="right" w:leader="dot" w:pos="9060"/>
        </w:tabs>
        <w:ind w:left="993" w:hanging="993"/>
        <w:rPr>
          <w:rFonts w:asciiTheme="minorHAnsi" w:eastAsiaTheme="minorEastAsia" w:hAnsiTheme="minorHAnsi" w:cstheme="minorBidi"/>
          <w:noProof/>
          <w:kern w:val="2"/>
          <w:sz w:val="24"/>
          <w:szCs w:val="24"/>
          <w14:ligatures w14:val="standardContextual"/>
        </w:rPr>
      </w:pPr>
      <w:hyperlink w:anchor="_Toc225859376" w:history="1">
        <w:r w:rsidRPr="00D831B7">
          <w:rPr>
            <w:rStyle w:val="Hipercze"/>
            <w:rFonts w:eastAsiaTheme="majorEastAsia"/>
            <w:noProof/>
          </w:rPr>
          <w:t>Tabela 20. Tymczasowy brak przydatności wody do spożycia przez ludzi, w woj. zachodniopomorskim w 2025 roku z uwzględnieniem produkcji dobowej wodociągów.</w:t>
        </w:r>
        <w:r>
          <w:rPr>
            <w:noProof/>
            <w:webHidden/>
          </w:rPr>
          <w:tab/>
        </w:r>
        <w:r>
          <w:rPr>
            <w:noProof/>
            <w:webHidden/>
          </w:rPr>
          <w:fldChar w:fldCharType="begin"/>
        </w:r>
        <w:r>
          <w:rPr>
            <w:noProof/>
            <w:webHidden/>
          </w:rPr>
          <w:instrText xml:space="preserve"> PAGEREF _Toc225859376 \h </w:instrText>
        </w:r>
        <w:r>
          <w:rPr>
            <w:noProof/>
            <w:webHidden/>
          </w:rPr>
        </w:r>
        <w:r>
          <w:rPr>
            <w:noProof/>
            <w:webHidden/>
          </w:rPr>
          <w:fldChar w:fldCharType="separate"/>
        </w:r>
        <w:r w:rsidR="00E53DE8">
          <w:rPr>
            <w:noProof/>
            <w:webHidden/>
          </w:rPr>
          <w:t>54</w:t>
        </w:r>
        <w:r>
          <w:rPr>
            <w:noProof/>
            <w:webHidden/>
          </w:rPr>
          <w:fldChar w:fldCharType="end"/>
        </w:r>
      </w:hyperlink>
    </w:p>
    <w:p w14:paraId="3D3A2026" w14:textId="4B62C07A" w:rsidR="00000BD1" w:rsidRDefault="00000BD1" w:rsidP="00000BD1">
      <w:pPr>
        <w:pStyle w:val="Spisilustracji"/>
        <w:tabs>
          <w:tab w:val="right" w:leader="dot" w:pos="9060"/>
        </w:tabs>
        <w:ind w:left="993" w:hanging="993"/>
        <w:rPr>
          <w:rFonts w:asciiTheme="minorHAnsi" w:eastAsiaTheme="minorEastAsia" w:hAnsiTheme="minorHAnsi" w:cstheme="minorBidi"/>
          <w:noProof/>
          <w:kern w:val="2"/>
          <w:sz w:val="24"/>
          <w:szCs w:val="24"/>
          <w14:ligatures w14:val="standardContextual"/>
        </w:rPr>
      </w:pPr>
      <w:hyperlink w:anchor="_Toc225859377" w:history="1">
        <w:r w:rsidRPr="00D831B7">
          <w:rPr>
            <w:rStyle w:val="Hipercze"/>
            <w:rFonts w:eastAsiaTheme="majorEastAsia"/>
            <w:noProof/>
          </w:rPr>
          <w:t>Tabela 21. Tymczasowy brak przydatności wody do spożycia przez ludzi, decyzje w woj. zachodniopomorskim w 2025 roku z uwzględnieniem przekroczonego parametru.</w:t>
        </w:r>
        <w:r>
          <w:rPr>
            <w:noProof/>
            <w:webHidden/>
          </w:rPr>
          <w:tab/>
        </w:r>
        <w:r>
          <w:rPr>
            <w:noProof/>
            <w:webHidden/>
          </w:rPr>
          <w:fldChar w:fldCharType="begin"/>
        </w:r>
        <w:r>
          <w:rPr>
            <w:noProof/>
            <w:webHidden/>
          </w:rPr>
          <w:instrText xml:space="preserve"> PAGEREF _Toc225859377 \h </w:instrText>
        </w:r>
        <w:r>
          <w:rPr>
            <w:noProof/>
            <w:webHidden/>
          </w:rPr>
        </w:r>
        <w:r>
          <w:rPr>
            <w:noProof/>
            <w:webHidden/>
          </w:rPr>
          <w:fldChar w:fldCharType="separate"/>
        </w:r>
        <w:r w:rsidR="00E53DE8">
          <w:rPr>
            <w:noProof/>
            <w:webHidden/>
          </w:rPr>
          <w:t>55</w:t>
        </w:r>
        <w:r>
          <w:rPr>
            <w:noProof/>
            <w:webHidden/>
          </w:rPr>
          <w:fldChar w:fldCharType="end"/>
        </w:r>
      </w:hyperlink>
    </w:p>
    <w:p w14:paraId="79F03262" w14:textId="6C6C53ED" w:rsidR="00000BD1" w:rsidRDefault="00000BD1" w:rsidP="00000BD1">
      <w:pPr>
        <w:pStyle w:val="Spisilustracji"/>
        <w:tabs>
          <w:tab w:val="right" w:leader="dot" w:pos="9060"/>
        </w:tabs>
        <w:ind w:left="993" w:hanging="993"/>
        <w:rPr>
          <w:rFonts w:asciiTheme="minorHAnsi" w:eastAsiaTheme="minorEastAsia" w:hAnsiTheme="minorHAnsi" w:cstheme="minorBidi"/>
          <w:noProof/>
          <w:kern w:val="2"/>
          <w:sz w:val="24"/>
          <w:szCs w:val="24"/>
          <w14:ligatures w14:val="standardContextual"/>
        </w:rPr>
      </w:pPr>
      <w:hyperlink w:anchor="_Toc225859378" w:history="1">
        <w:r w:rsidRPr="00D831B7">
          <w:rPr>
            <w:rStyle w:val="Hipercze"/>
            <w:rFonts w:eastAsiaTheme="majorEastAsia"/>
            <w:noProof/>
          </w:rPr>
          <w:t>Tabela 22. Liczba aparatów rentgenowskich w województwie zachodniopomorskim (stan na 31 grudnia 2025 roku).</w:t>
        </w:r>
        <w:r>
          <w:rPr>
            <w:noProof/>
            <w:webHidden/>
          </w:rPr>
          <w:tab/>
        </w:r>
        <w:r>
          <w:rPr>
            <w:noProof/>
            <w:webHidden/>
          </w:rPr>
          <w:fldChar w:fldCharType="begin"/>
        </w:r>
        <w:r>
          <w:rPr>
            <w:noProof/>
            <w:webHidden/>
          </w:rPr>
          <w:instrText xml:space="preserve"> PAGEREF _Toc225859378 \h </w:instrText>
        </w:r>
        <w:r>
          <w:rPr>
            <w:noProof/>
            <w:webHidden/>
          </w:rPr>
        </w:r>
        <w:r>
          <w:rPr>
            <w:noProof/>
            <w:webHidden/>
          </w:rPr>
          <w:fldChar w:fldCharType="separate"/>
        </w:r>
        <w:r w:rsidR="00E53DE8">
          <w:rPr>
            <w:noProof/>
            <w:webHidden/>
          </w:rPr>
          <w:t>79</w:t>
        </w:r>
        <w:r>
          <w:rPr>
            <w:noProof/>
            <w:webHidden/>
          </w:rPr>
          <w:fldChar w:fldCharType="end"/>
        </w:r>
      </w:hyperlink>
    </w:p>
    <w:p w14:paraId="64040975" w14:textId="0EC9DEFA" w:rsidR="003C357A" w:rsidRPr="00DD5957" w:rsidRDefault="003C357A" w:rsidP="0034170C">
      <w:pPr>
        <w:rPr>
          <w:rFonts w:ascii="Lato" w:hAnsi="Lato" w:cs="Calibri"/>
          <w:sz w:val="22"/>
        </w:rPr>
      </w:pPr>
      <w:r w:rsidRPr="00DD5957">
        <w:rPr>
          <w:rFonts w:ascii="Lato" w:hAnsi="Lato" w:cs="Calibri"/>
          <w:sz w:val="20"/>
        </w:rPr>
        <w:fldChar w:fldCharType="end"/>
      </w:r>
    </w:p>
    <w:p w14:paraId="628E5F80" w14:textId="77777777" w:rsidR="00E31F11" w:rsidRDefault="00E31F11" w:rsidP="0034170C">
      <w:pPr>
        <w:rPr>
          <w:rFonts w:ascii="Lato" w:hAnsi="Lato" w:cs="Calibri"/>
          <w:sz w:val="20"/>
          <w:u w:val="single"/>
        </w:rPr>
      </w:pPr>
    </w:p>
    <w:p w14:paraId="727668F7" w14:textId="77777777" w:rsidR="008E267F" w:rsidRDefault="008E267F" w:rsidP="0034170C">
      <w:pPr>
        <w:rPr>
          <w:rFonts w:ascii="Lato" w:hAnsi="Lato" w:cs="Calibri"/>
          <w:sz w:val="20"/>
          <w:u w:val="single"/>
        </w:rPr>
      </w:pPr>
    </w:p>
    <w:p w14:paraId="478DE407" w14:textId="77777777" w:rsidR="008E267F" w:rsidRDefault="008E267F" w:rsidP="0034170C">
      <w:pPr>
        <w:rPr>
          <w:rFonts w:ascii="Lato" w:hAnsi="Lato" w:cs="Calibri"/>
          <w:sz w:val="20"/>
          <w:u w:val="single"/>
        </w:rPr>
      </w:pPr>
    </w:p>
    <w:p w14:paraId="09224922" w14:textId="77777777" w:rsidR="008E267F" w:rsidRDefault="008E267F" w:rsidP="0034170C">
      <w:pPr>
        <w:rPr>
          <w:rFonts w:ascii="Lato" w:hAnsi="Lato" w:cs="Calibri"/>
          <w:sz w:val="20"/>
          <w:u w:val="single"/>
        </w:rPr>
      </w:pPr>
    </w:p>
    <w:p w14:paraId="08677D40" w14:textId="77777777" w:rsidR="008E267F" w:rsidRDefault="008E267F" w:rsidP="0034170C">
      <w:pPr>
        <w:rPr>
          <w:rFonts w:ascii="Lato" w:hAnsi="Lato" w:cs="Calibri"/>
          <w:sz w:val="20"/>
          <w:u w:val="single"/>
        </w:rPr>
      </w:pPr>
    </w:p>
    <w:p w14:paraId="059F4E8C" w14:textId="77777777" w:rsidR="008E267F" w:rsidRDefault="008E267F" w:rsidP="0034170C">
      <w:pPr>
        <w:rPr>
          <w:rFonts w:ascii="Lato" w:hAnsi="Lato" w:cs="Calibri"/>
          <w:sz w:val="20"/>
          <w:u w:val="single"/>
        </w:rPr>
      </w:pPr>
    </w:p>
    <w:p w14:paraId="2E6F8D71" w14:textId="77777777" w:rsidR="008E267F" w:rsidRDefault="008E267F" w:rsidP="0034170C">
      <w:pPr>
        <w:rPr>
          <w:rFonts w:ascii="Lato" w:hAnsi="Lato" w:cs="Calibri"/>
          <w:sz w:val="20"/>
          <w:u w:val="single"/>
        </w:rPr>
      </w:pPr>
    </w:p>
    <w:p w14:paraId="62EC8A2E" w14:textId="77777777" w:rsidR="008E267F" w:rsidRDefault="008E267F" w:rsidP="0034170C">
      <w:pPr>
        <w:rPr>
          <w:rFonts w:ascii="Lato" w:hAnsi="Lato" w:cs="Calibri"/>
          <w:sz w:val="20"/>
          <w:u w:val="single"/>
        </w:rPr>
      </w:pPr>
    </w:p>
    <w:p w14:paraId="27F8FAE6" w14:textId="77777777" w:rsidR="008E267F" w:rsidRDefault="008E267F" w:rsidP="0034170C">
      <w:pPr>
        <w:rPr>
          <w:rFonts w:ascii="Lato" w:hAnsi="Lato" w:cs="Calibri"/>
          <w:sz w:val="20"/>
          <w:u w:val="single"/>
        </w:rPr>
      </w:pPr>
    </w:p>
    <w:p w14:paraId="375B6E27" w14:textId="77777777" w:rsidR="008E267F" w:rsidRDefault="008E267F" w:rsidP="0034170C">
      <w:pPr>
        <w:rPr>
          <w:rFonts w:ascii="Lato" w:hAnsi="Lato" w:cs="Calibri"/>
          <w:sz w:val="20"/>
          <w:u w:val="single"/>
        </w:rPr>
      </w:pPr>
    </w:p>
    <w:p w14:paraId="3F998E07" w14:textId="77777777" w:rsidR="008E267F" w:rsidRPr="007969CD" w:rsidRDefault="008E267F" w:rsidP="0034170C">
      <w:pPr>
        <w:rPr>
          <w:rFonts w:ascii="Lato" w:hAnsi="Lato" w:cs="Calibri"/>
          <w:sz w:val="20"/>
          <w:u w:val="single"/>
        </w:rPr>
      </w:pPr>
    </w:p>
    <w:p w14:paraId="41D3942B" w14:textId="26F365A0" w:rsidR="003C357A" w:rsidRPr="007969CD" w:rsidRDefault="003C357A" w:rsidP="0034170C">
      <w:pPr>
        <w:rPr>
          <w:rFonts w:ascii="Lato" w:hAnsi="Lato" w:cs="Calibri"/>
          <w:sz w:val="20"/>
          <w:u w:val="single"/>
        </w:rPr>
      </w:pPr>
      <w:r w:rsidRPr="007969CD">
        <w:rPr>
          <w:rFonts w:ascii="Lato" w:hAnsi="Lato" w:cs="Calibri"/>
          <w:sz w:val="20"/>
          <w:u w:val="single"/>
        </w:rPr>
        <w:t>SPIS WYKRESÓW:</w:t>
      </w:r>
    </w:p>
    <w:p w14:paraId="3AE7B411" w14:textId="58C6A10C" w:rsidR="0003454D" w:rsidRDefault="00F7280F" w:rsidP="0003454D">
      <w:pPr>
        <w:pStyle w:val="Spisilustracji"/>
        <w:tabs>
          <w:tab w:val="right" w:leader="dot" w:pos="9060"/>
        </w:tabs>
        <w:ind w:left="0" w:firstLine="0"/>
        <w:rPr>
          <w:noProof/>
        </w:rPr>
      </w:pPr>
      <w:r w:rsidRPr="00DD5957">
        <w:rPr>
          <w:rFonts w:cs="Calibri"/>
        </w:rPr>
        <w:fldChar w:fldCharType="begin"/>
      </w:r>
      <w:r w:rsidRPr="00DD5957">
        <w:rPr>
          <w:rFonts w:cs="Calibri"/>
        </w:rPr>
        <w:instrText xml:space="preserve"> TOC \h \z \c "Wykres " </w:instrText>
      </w:r>
      <w:r w:rsidRPr="00DD5957">
        <w:rPr>
          <w:rFonts w:cs="Calibri"/>
        </w:rPr>
        <w:fldChar w:fldCharType="separate"/>
      </w:r>
    </w:p>
    <w:p w14:paraId="65F3D51A" w14:textId="0E21DC30" w:rsidR="0003454D" w:rsidRDefault="0003454D" w:rsidP="0003454D">
      <w:pPr>
        <w:pStyle w:val="Spisilustracji"/>
        <w:tabs>
          <w:tab w:val="right" w:leader="dot" w:pos="9060"/>
        </w:tabs>
        <w:ind w:left="993" w:hanging="993"/>
        <w:rPr>
          <w:rFonts w:asciiTheme="minorHAnsi" w:eastAsiaTheme="minorEastAsia" w:hAnsiTheme="minorHAnsi" w:cstheme="minorBidi"/>
          <w:noProof/>
          <w:kern w:val="2"/>
          <w:sz w:val="24"/>
          <w:szCs w:val="24"/>
          <w14:ligatures w14:val="standardContextual"/>
        </w:rPr>
      </w:pPr>
      <w:hyperlink w:anchor="_Toc225922346" w:history="1">
        <w:r w:rsidRPr="002F4B86">
          <w:rPr>
            <w:rStyle w:val="Hipercze"/>
            <w:rFonts w:eastAsiaTheme="majorEastAsia"/>
            <w:noProof/>
          </w:rPr>
          <w:t>Wykres  1. Liczba potwierdzonych zachorowań na SARS-CoV-2 z podziałem na miesiące w woj. zachodniopomorskim w latach 2024-2025 (dane zbierane w systemie dwutygodniowym z meldunków MZ-56).</w:t>
        </w:r>
        <w:r>
          <w:rPr>
            <w:noProof/>
            <w:webHidden/>
          </w:rPr>
          <w:tab/>
        </w:r>
        <w:r>
          <w:rPr>
            <w:noProof/>
            <w:webHidden/>
          </w:rPr>
          <w:fldChar w:fldCharType="begin"/>
        </w:r>
        <w:r>
          <w:rPr>
            <w:noProof/>
            <w:webHidden/>
          </w:rPr>
          <w:instrText xml:space="preserve"> PAGEREF _Toc225922346 \h </w:instrText>
        </w:r>
        <w:r>
          <w:rPr>
            <w:noProof/>
            <w:webHidden/>
          </w:rPr>
        </w:r>
        <w:r>
          <w:rPr>
            <w:noProof/>
            <w:webHidden/>
          </w:rPr>
          <w:fldChar w:fldCharType="separate"/>
        </w:r>
        <w:r w:rsidR="00E53DE8">
          <w:rPr>
            <w:noProof/>
            <w:webHidden/>
          </w:rPr>
          <w:t>13</w:t>
        </w:r>
        <w:r>
          <w:rPr>
            <w:noProof/>
            <w:webHidden/>
          </w:rPr>
          <w:fldChar w:fldCharType="end"/>
        </w:r>
      </w:hyperlink>
    </w:p>
    <w:p w14:paraId="564339FC" w14:textId="1547C57B" w:rsidR="0003454D" w:rsidRDefault="0003454D" w:rsidP="0003454D">
      <w:pPr>
        <w:pStyle w:val="Spisilustracji"/>
        <w:tabs>
          <w:tab w:val="right" w:leader="dot" w:pos="9060"/>
        </w:tabs>
        <w:ind w:left="993" w:hanging="993"/>
        <w:rPr>
          <w:rFonts w:asciiTheme="minorHAnsi" w:eastAsiaTheme="minorEastAsia" w:hAnsiTheme="minorHAnsi" w:cstheme="minorBidi"/>
          <w:noProof/>
          <w:kern w:val="2"/>
          <w:sz w:val="24"/>
          <w:szCs w:val="24"/>
          <w14:ligatures w14:val="standardContextual"/>
        </w:rPr>
      </w:pPr>
      <w:hyperlink w:anchor="_Toc225922347" w:history="1">
        <w:r w:rsidRPr="002F4B86">
          <w:rPr>
            <w:rStyle w:val="Hipercze"/>
            <w:rFonts w:eastAsiaTheme="majorEastAsia"/>
            <w:noProof/>
          </w:rPr>
          <w:t>Wykres  2.  Zachorowania na grypę w latach 2023- 2025 w woj. zachodniopomorskim z uwzględnieniem liczby i przypadków diagnozowanych testem molekularnym (PCR) oraz antygenowym.</w:t>
        </w:r>
        <w:r>
          <w:rPr>
            <w:noProof/>
            <w:webHidden/>
          </w:rPr>
          <w:tab/>
        </w:r>
        <w:r>
          <w:rPr>
            <w:noProof/>
            <w:webHidden/>
          </w:rPr>
          <w:fldChar w:fldCharType="begin"/>
        </w:r>
        <w:r>
          <w:rPr>
            <w:noProof/>
            <w:webHidden/>
          </w:rPr>
          <w:instrText xml:space="preserve"> PAGEREF _Toc225922347 \h </w:instrText>
        </w:r>
        <w:r>
          <w:rPr>
            <w:noProof/>
            <w:webHidden/>
          </w:rPr>
        </w:r>
        <w:r>
          <w:rPr>
            <w:noProof/>
            <w:webHidden/>
          </w:rPr>
          <w:fldChar w:fldCharType="separate"/>
        </w:r>
        <w:r w:rsidR="00E53DE8">
          <w:rPr>
            <w:noProof/>
            <w:webHidden/>
          </w:rPr>
          <w:t>14</w:t>
        </w:r>
        <w:r>
          <w:rPr>
            <w:noProof/>
            <w:webHidden/>
          </w:rPr>
          <w:fldChar w:fldCharType="end"/>
        </w:r>
      </w:hyperlink>
    </w:p>
    <w:p w14:paraId="6C1455D5" w14:textId="096B9032" w:rsidR="0003454D" w:rsidRDefault="0003454D" w:rsidP="0003454D">
      <w:pPr>
        <w:pStyle w:val="Spisilustracji"/>
        <w:tabs>
          <w:tab w:val="right" w:leader="dot" w:pos="9060"/>
        </w:tabs>
        <w:ind w:left="993" w:hanging="993"/>
        <w:rPr>
          <w:rFonts w:asciiTheme="minorHAnsi" w:eastAsiaTheme="minorEastAsia" w:hAnsiTheme="minorHAnsi" w:cstheme="minorBidi"/>
          <w:noProof/>
          <w:kern w:val="2"/>
          <w:sz w:val="24"/>
          <w:szCs w:val="24"/>
          <w14:ligatures w14:val="standardContextual"/>
        </w:rPr>
      </w:pPr>
      <w:hyperlink w:anchor="_Toc225922348" w:history="1">
        <w:r w:rsidRPr="002F4B86">
          <w:rPr>
            <w:rStyle w:val="Hipercze"/>
            <w:rFonts w:eastAsiaTheme="majorEastAsia"/>
            <w:noProof/>
          </w:rPr>
          <w:t>Wykres  3. Współczynnik zapadalności na ICHM w Polsce i w woj. zachodniopomorskim w latach 2021-2025.</w:t>
        </w:r>
        <w:r>
          <w:rPr>
            <w:noProof/>
            <w:webHidden/>
          </w:rPr>
          <w:tab/>
        </w:r>
        <w:r>
          <w:rPr>
            <w:noProof/>
            <w:webHidden/>
          </w:rPr>
          <w:fldChar w:fldCharType="begin"/>
        </w:r>
        <w:r>
          <w:rPr>
            <w:noProof/>
            <w:webHidden/>
          </w:rPr>
          <w:instrText xml:space="preserve"> PAGEREF _Toc225922348 \h </w:instrText>
        </w:r>
        <w:r>
          <w:rPr>
            <w:noProof/>
            <w:webHidden/>
          </w:rPr>
        </w:r>
        <w:r>
          <w:rPr>
            <w:noProof/>
            <w:webHidden/>
          </w:rPr>
          <w:fldChar w:fldCharType="separate"/>
        </w:r>
        <w:r w:rsidR="00E53DE8">
          <w:rPr>
            <w:noProof/>
            <w:webHidden/>
          </w:rPr>
          <w:t>19</w:t>
        </w:r>
        <w:r>
          <w:rPr>
            <w:noProof/>
            <w:webHidden/>
          </w:rPr>
          <w:fldChar w:fldCharType="end"/>
        </w:r>
      </w:hyperlink>
    </w:p>
    <w:p w14:paraId="632DABB0" w14:textId="44931B82" w:rsidR="0003454D" w:rsidRDefault="0003454D" w:rsidP="0003454D">
      <w:pPr>
        <w:pStyle w:val="Spisilustracji"/>
        <w:tabs>
          <w:tab w:val="right" w:leader="dot" w:pos="9060"/>
        </w:tabs>
        <w:ind w:left="993" w:hanging="993"/>
        <w:rPr>
          <w:rFonts w:asciiTheme="minorHAnsi" w:eastAsiaTheme="minorEastAsia" w:hAnsiTheme="minorHAnsi" w:cstheme="minorBidi"/>
          <w:noProof/>
          <w:kern w:val="2"/>
          <w:sz w:val="24"/>
          <w:szCs w:val="24"/>
          <w14:ligatures w14:val="standardContextual"/>
        </w:rPr>
      </w:pPr>
      <w:hyperlink w:anchor="_Toc225922349" w:history="1">
        <w:r w:rsidRPr="002F4B86">
          <w:rPr>
            <w:rStyle w:val="Hipercze"/>
            <w:rFonts w:eastAsiaTheme="majorEastAsia"/>
            <w:noProof/>
          </w:rPr>
          <w:t>Wykres  4. Liczba zachorowań i hospitalizacji z powodu boreliozy w woj. zachodniopomorskim w latach 2021 – 2025.</w:t>
        </w:r>
        <w:r>
          <w:rPr>
            <w:noProof/>
            <w:webHidden/>
          </w:rPr>
          <w:tab/>
        </w:r>
        <w:r>
          <w:rPr>
            <w:noProof/>
            <w:webHidden/>
          </w:rPr>
          <w:fldChar w:fldCharType="begin"/>
        </w:r>
        <w:r>
          <w:rPr>
            <w:noProof/>
            <w:webHidden/>
          </w:rPr>
          <w:instrText xml:space="preserve"> PAGEREF _Toc225922349 \h </w:instrText>
        </w:r>
        <w:r>
          <w:rPr>
            <w:noProof/>
            <w:webHidden/>
          </w:rPr>
        </w:r>
        <w:r>
          <w:rPr>
            <w:noProof/>
            <w:webHidden/>
          </w:rPr>
          <w:fldChar w:fldCharType="separate"/>
        </w:r>
        <w:r w:rsidR="00E53DE8">
          <w:rPr>
            <w:noProof/>
            <w:webHidden/>
          </w:rPr>
          <w:t>20</w:t>
        </w:r>
        <w:r>
          <w:rPr>
            <w:noProof/>
            <w:webHidden/>
          </w:rPr>
          <w:fldChar w:fldCharType="end"/>
        </w:r>
      </w:hyperlink>
    </w:p>
    <w:p w14:paraId="6A205A93" w14:textId="1FC26073" w:rsidR="0003454D" w:rsidRDefault="0003454D" w:rsidP="0003454D">
      <w:pPr>
        <w:pStyle w:val="Spisilustracji"/>
        <w:tabs>
          <w:tab w:val="left" w:pos="851"/>
          <w:tab w:val="right" w:leader="dot" w:pos="9060"/>
        </w:tabs>
        <w:ind w:left="993" w:hanging="993"/>
        <w:rPr>
          <w:rFonts w:asciiTheme="minorHAnsi" w:eastAsiaTheme="minorEastAsia" w:hAnsiTheme="minorHAnsi" w:cstheme="minorBidi"/>
          <w:noProof/>
          <w:kern w:val="2"/>
          <w:sz w:val="24"/>
          <w:szCs w:val="24"/>
          <w14:ligatures w14:val="standardContextual"/>
        </w:rPr>
      </w:pPr>
      <w:hyperlink w:anchor="_Toc225922350" w:history="1">
        <w:r w:rsidRPr="002F4B86">
          <w:rPr>
            <w:rStyle w:val="Hipercze"/>
            <w:rFonts w:eastAsiaTheme="majorEastAsia"/>
            <w:noProof/>
          </w:rPr>
          <w:t>Wykres  5. Liczba ognisk zakażeń szpitalnych w woj. zachodniopomorskim zgłoszonych do Państwowej Inspekcji Sanitarnej w latach 2021 -2025.</w:t>
        </w:r>
        <w:r>
          <w:rPr>
            <w:noProof/>
            <w:webHidden/>
          </w:rPr>
          <w:tab/>
        </w:r>
        <w:r>
          <w:rPr>
            <w:noProof/>
            <w:webHidden/>
          </w:rPr>
          <w:fldChar w:fldCharType="begin"/>
        </w:r>
        <w:r>
          <w:rPr>
            <w:noProof/>
            <w:webHidden/>
          </w:rPr>
          <w:instrText xml:space="preserve"> PAGEREF _Toc225922350 \h </w:instrText>
        </w:r>
        <w:r>
          <w:rPr>
            <w:noProof/>
            <w:webHidden/>
          </w:rPr>
        </w:r>
        <w:r>
          <w:rPr>
            <w:noProof/>
            <w:webHidden/>
          </w:rPr>
          <w:fldChar w:fldCharType="separate"/>
        </w:r>
        <w:r w:rsidR="00E53DE8">
          <w:rPr>
            <w:noProof/>
            <w:webHidden/>
          </w:rPr>
          <w:t>33</w:t>
        </w:r>
        <w:r>
          <w:rPr>
            <w:noProof/>
            <w:webHidden/>
          </w:rPr>
          <w:fldChar w:fldCharType="end"/>
        </w:r>
      </w:hyperlink>
    </w:p>
    <w:p w14:paraId="763F98DC" w14:textId="4235C0A5" w:rsidR="0003454D" w:rsidRDefault="0003454D" w:rsidP="0003454D">
      <w:pPr>
        <w:pStyle w:val="Spisilustracji"/>
        <w:tabs>
          <w:tab w:val="right" w:leader="dot" w:pos="9060"/>
        </w:tabs>
        <w:ind w:left="993" w:hanging="993"/>
        <w:rPr>
          <w:rFonts w:asciiTheme="minorHAnsi" w:eastAsiaTheme="minorEastAsia" w:hAnsiTheme="minorHAnsi" w:cstheme="minorBidi"/>
          <w:noProof/>
          <w:kern w:val="2"/>
          <w:sz w:val="24"/>
          <w:szCs w:val="24"/>
          <w14:ligatures w14:val="standardContextual"/>
        </w:rPr>
      </w:pPr>
      <w:hyperlink w:anchor="_Toc225922351" w:history="1">
        <w:r w:rsidRPr="002F4B86">
          <w:rPr>
            <w:rStyle w:val="Hipercze"/>
            <w:rFonts w:eastAsiaTheme="majorEastAsia"/>
            <w:noProof/>
          </w:rPr>
          <w:t>Wykres  6. Zakłady żywności i żywienia ujęte w rejestrach Państwowej Inspekcji Sanitarnej w województwie zachodniopomorskim.</w:t>
        </w:r>
        <w:r>
          <w:rPr>
            <w:noProof/>
            <w:webHidden/>
          </w:rPr>
          <w:tab/>
        </w:r>
        <w:r>
          <w:rPr>
            <w:noProof/>
            <w:webHidden/>
          </w:rPr>
          <w:fldChar w:fldCharType="begin"/>
        </w:r>
        <w:r>
          <w:rPr>
            <w:noProof/>
            <w:webHidden/>
          </w:rPr>
          <w:instrText xml:space="preserve"> PAGEREF _Toc225922351 \h </w:instrText>
        </w:r>
        <w:r>
          <w:rPr>
            <w:noProof/>
            <w:webHidden/>
          </w:rPr>
        </w:r>
        <w:r>
          <w:rPr>
            <w:noProof/>
            <w:webHidden/>
          </w:rPr>
          <w:fldChar w:fldCharType="separate"/>
        </w:r>
        <w:r w:rsidR="00E53DE8">
          <w:rPr>
            <w:noProof/>
            <w:webHidden/>
          </w:rPr>
          <w:t>46</w:t>
        </w:r>
        <w:r>
          <w:rPr>
            <w:noProof/>
            <w:webHidden/>
          </w:rPr>
          <w:fldChar w:fldCharType="end"/>
        </w:r>
      </w:hyperlink>
    </w:p>
    <w:p w14:paraId="00D81980" w14:textId="6CF7EB80" w:rsidR="0003454D" w:rsidRDefault="0003454D">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225922352" w:history="1">
        <w:r w:rsidRPr="002F4B86">
          <w:rPr>
            <w:rStyle w:val="Hipercze"/>
            <w:rFonts w:eastAsiaTheme="majorEastAsia"/>
            <w:noProof/>
          </w:rPr>
          <w:t>Wykres  7. Liczba i rodzaj kąpielisk w latach 2018-2025.</w:t>
        </w:r>
        <w:r>
          <w:rPr>
            <w:noProof/>
            <w:webHidden/>
          </w:rPr>
          <w:tab/>
        </w:r>
        <w:r>
          <w:rPr>
            <w:noProof/>
            <w:webHidden/>
          </w:rPr>
          <w:fldChar w:fldCharType="begin"/>
        </w:r>
        <w:r>
          <w:rPr>
            <w:noProof/>
            <w:webHidden/>
          </w:rPr>
          <w:instrText xml:space="preserve"> PAGEREF _Toc225922352 \h </w:instrText>
        </w:r>
        <w:r>
          <w:rPr>
            <w:noProof/>
            <w:webHidden/>
          </w:rPr>
        </w:r>
        <w:r>
          <w:rPr>
            <w:noProof/>
            <w:webHidden/>
          </w:rPr>
          <w:fldChar w:fldCharType="separate"/>
        </w:r>
        <w:r w:rsidR="00E53DE8">
          <w:rPr>
            <w:noProof/>
            <w:webHidden/>
          </w:rPr>
          <w:t>60</w:t>
        </w:r>
        <w:r>
          <w:rPr>
            <w:noProof/>
            <w:webHidden/>
          </w:rPr>
          <w:fldChar w:fldCharType="end"/>
        </w:r>
      </w:hyperlink>
    </w:p>
    <w:p w14:paraId="7D56F46D" w14:textId="20BF1078" w:rsidR="0003454D" w:rsidRDefault="0003454D">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225922353" w:history="1">
        <w:r w:rsidRPr="002F4B86">
          <w:rPr>
            <w:rStyle w:val="Hipercze"/>
            <w:rFonts w:eastAsiaTheme="majorEastAsia"/>
            <w:noProof/>
          </w:rPr>
          <w:t>Wykres  8. Liczba i rodzaj miejsc okazjonalnie wykorzystywanych do kąpieli w latach 2018-2025.</w:t>
        </w:r>
        <w:r>
          <w:rPr>
            <w:noProof/>
            <w:webHidden/>
          </w:rPr>
          <w:tab/>
        </w:r>
        <w:r>
          <w:rPr>
            <w:noProof/>
            <w:webHidden/>
          </w:rPr>
          <w:fldChar w:fldCharType="begin"/>
        </w:r>
        <w:r>
          <w:rPr>
            <w:noProof/>
            <w:webHidden/>
          </w:rPr>
          <w:instrText xml:space="preserve"> PAGEREF _Toc225922353 \h </w:instrText>
        </w:r>
        <w:r>
          <w:rPr>
            <w:noProof/>
            <w:webHidden/>
          </w:rPr>
        </w:r>
        <w:r>
          <w:rPr>
            <w:noProof/>
            <w:webHidden/>
          </w:rPr>
          <w:fldChar w:fldCharType="separate"/>
        </w:r>
        <w:r w:rsidR="00E53DE8">
          <w:rPr>
            <w:noProof/>
            <w:webHidden/>
          </w:rPr>
          <w:t>62</w:t>
        </w:r>
        <w:r>
          <w:rPr>
            <w:noProof/>
            <w:webHidden/>
          </w:rPr>
          <w:fldChar w:fldCharType="end"/>
        </w:r>
      </w:hyperlink>
    </w:p>
    <w:p w14:paraId="0BEBEAE5" w14:textId="294236D8" w:rsidR="0003454D" w:rsidRDefault="0003454D" w:rsidP="0003454D">
      <w:pPr>
        <w:pStyle w:val="Spisilustracji"/>
        <w:tabs>
          <w:tab w:val="right" w:leader="dot" w:pos="9060"/>
        </w:tabs>
        <w:ind w:left="993" w:hanging="993"/>
        <w:rPr>
          <w:rFonts w:asciiTheme="minorHAnsi" w:eastAsiaTheme="minorEastAsia" w:hAnsiTheme="minorHAnsi" w:cstheme="minorBidi"/>
          <w:noProof/>
          <w:kern w:val="2"/>
          <w:sz w:val="24"/>
          <w:szCs w:val="24"/>
          <w14:ligatures w14:val="standardContextual"/>
        </w:rPr>
      </w:pPr>
      <w:hyperlink w:anchor="_Toc225922354" w:history="1">
        <w:r w:rsidRPr="002F4B86">
          <w:rPr>
            <w:rStyle w:val="Hipercze"/>
            <w:rFonts w:eastAsiaTheme="majorEastAsia"/>
            <w:noProof/>
          </w:rPr>
          <w:t>Wykres  9 Liczba pracowników pracujących w przekroczeniach NDS/NDN czynników szkodliwych w środowisku pracy w roku 2025.</w:t>
        </w:r>
        <w:r>
          <w:rPr>
            <w:noProof/>
            <w:webHidden/>
          </w:rPr>
          <w:tab/>
        </w:r>
        <w:r>
          <w:rPr>
            <w:noProof/>
            <w:webHidden/>
          </w:rPr>
          <w:fldChar w:fldCharType="begin"/>
        </w:r>
        <w:r>
          <w:rPr>
            <w:noProof/>
            <w:webHidden/>
          </w:rPr>
          <w:instrText xml:space="preserve"> PAGEREF _Toc225922354 \h </w:instrText>
        </w:r>
        <w:r>
          <w:rPr>
            <w:noProof/>
            <w:webHidden/>
          </w:rPr>
        </w:r>
        <w:r>
          <w:rPr>
            <w:noProof/>
            <w:webHidden/>
          </w:rPr>
          <w:fldChar w:fldCharType="separate"/>
        </w:r>
        <w:r w:rsidR="00E53DE8">
          <w:rPr>
            <w:noProof/>
            <w:webHidden/>
          </w:rPr>
          <w:t>73</w:t>
        </w:r>
        <w:r>
          <w:rPr>
            <w:noProof/>
            <w:webHidden/>
          </w:rPr>
          <w:fldChar w:fldCharType="end"/>
        </w:r>
      </w:hyperlink>
    </w:p>
    <w:p w14:paraId="749F046B" w14:textId="5A444B95" w:rsidR="0003454D" w:rsidRDefault="0003454D" w:rsidP="0003454D">
      <w:pPr>
        <w:pStyle w:val="Spisilustracji"/>
        <w:tabs>
          <w:tab w:val="right" w:leader="dot" w:pos="9060"/>
        </w:tabs>
        <w:ind w:left="993" w:hanging="993"/>
        <w:rPr>
          <w:rFonts w:asciiTheme="minorHAnsi" w:eastAsiaTheme="minorEastAsia" w:hAnsiTheme="minorHAnsi" w:cstheme="minorBidi"/>
          <w:noProof/>
          <w:kern w:val="2"/>
          <w:sz w:val="24"/>
          <w:szCs w:val="24"/>
          <w14:ligatures w14:val="standardContextual"/>
        </w:rPr>
      </w:pPr>
      <w:hyperlink w:anchor="_Toc225922355" w:history="1">
        <w:r w:rsidRPr="002F4B86">
          <w:rPr>
            <w:rStyle w:val="Hipercze"/>
            <w:rFonts w:eastAsiaTheme="majorEastAsia"/>
            <w:noProof/>
          </w:rPr>
          <w:t>Wykres  10. Branże, w których udział pracowników zatrudnionych w warunkach przekroczenia NDS/NDN był największy.</w:t>
        </w:r>
        <w:r>
          <w:rPr>
            <w:noProof/>
            <w:webHidden/>
          </w:rPr>
          <w:tab/>
        </w:r>
        <w:r>
          <w:rPr>
            <w:noProof/>
            <w:webHidden/>
          </w:rPr>
          <w:fldChar w:fldCharType="begin"/>
        </w:r>
        <w:r>
          <w:rPr>
            <w:noProof/>
            <w:webHidden/>
          </w:rPr>
          <w:instrText xml:space="preserve"> PAGEREF _Toc225922355 \h </w:instrText>
        </w:r>
        <w:r>
          <w:rPr>
            <w:noProof/>
            <w:webHidden/>
          </w:rPr>
        </w:r>
        <w:r>
          <w:rPr>
            <w:noProof/>
            <w:webHidden/>
          </w:rPr>
          <w:fldChar w:fldCharType="separate"/>
        </w:r>
        <w:r w:rsidR="00E53DE8">
          <w:rPr>
            <w:noProof/>
            <w:webHidden/>
          </w:rPr>
          <w:t>74</w:t>
        </w:r>
        <w:r>
          <w:rPr>
            <w:noProof/>
            <w:webHidden/>
          </w:rPr>
          <w:fldChar w:fldCharType="end"/>
        </w:r>
      </w:hyperlink>
    </w:p>
    <w:p w14:paraId="50D88C94" w14:textId="07BF0248" w:rsidR="0085213D" w:rsidRPr="00DD5957" w:rsidRDefault="00F7280F" w:rsidP="0034170C">
      <w:pPr>
        <w:rPr>
          <w:rFonts w:ascii="Calibri" w:hAnsi="Calibri" w:cs="Calibri"/>
          <w:sz w:val="20"/>
        </w:rPr>
      </w:pPr>
      <w:r w:rsidRPr="00DD5957">
        <w:rPr>
          <w:rFonts w:ascii="Lato" w:hAnsi="Lato" w:cs="Calibri"/>
          <w:sz w:val="20"/>
        </w:rPr>
        <w:fldChar w:fldCharType="end"/>
      </w:r>
    </w:p>
    <w:p w14:paraId="7AC49AE3" w14:textId="6B949F0D" w:rsidR="0085213D" w:rsidRDefault="0085213D" w:rsidP="0034170C">
      <w:pPr>
        <w:rPr>
          <w:rFonts w:ascii="Lato" w:hAnsi="Lato" w:cs="Calibri"/>
          <w:sz w:val="20"/>
          <w:u w:val="single"/>
        </w:rPr>
      </w:pPr>
      <w:r w:rsidRPr="00DD5957">
        <w:rPr>
          <w:rFonts w:ascii="Lato" w:hAnsi="Lato" w:cs="Calibri"/>
          <w:sz w:val="20"/>
          <w:u w:val="single"/>
        </w:rPr>
        <w:t>SPIS ZDJĘĆ:</w:t>
      </w:r>
    </w:p>
    <w:p w14:paraId="51DC743F" w14:textId="77777777" w:rsidR="00942F22" w:rsidRPr="00DD5957" w:rsidRDefault="00942F22" w:rsidP="0034170C">
      <w:pPr>
        <w:rPr>
          <w:rFonts w:ascii="Lato" w:hAnsi="Lato" w:cs="Calibri"/>
          <w:sz w:val="20"/>
          <w:u w:val="single"/>
        </w:rPr>
      </w:pPr>
    </w:p>
    <w:p w14:paraId="291323D6" w14:textId="16F30E09" w:rsidR="00000BD1" w:rsidRDefault="0085213D">
      <w:pPr>
        <w:pStyle w:val="Spisilustracji"/>
        <w:tabs>
          <w:tab w:val="right" w:leader="dot" w:pos="9060"/>
        </w:tabs>
        <w:rPr>
          <w:rFonts w:asciiTheme="minorHAnsi" w:eastAsiaTheme="minorEastAsia" w:hAnsiTheme="minorHAnsi" w:cstheme="minorBidi"/>
          <w:noProof/>
          <w:kern w:val="2"/>
          <w:sz w:val="24"/>
          <w:szCs w:val="24"/>
          <w14:ligatures w14:val="standardContextual"/>
        </w:rPr>
      </w:pPr>
      <w:r w:rsidRPr="00DD5957">
        <w:rPr>
          <w:rFonts w:cs="Calibri"/>
          <w:szCs w:val="24"/>
        </w:rPr>
        <w:fldChar w:fldCharType="begin"/>
      </w:r>
      <w:r w:rsidRPr="00DD5957">
        <w:rPr>
          <w:rFonts w:cs="Calibri"/>
          <w:szCs w:val="24"/>
        </w:rPr>
        <w:instrText xml:space="preserve"> TOC \h \z \c "zdjęcie" </w:instrText>
      </w:r>
      <w:r w:rsidRPr="00DD5957">
        <w:rPr>
          <w:rFonts w:cs="Calibri"/>
          <w:szCs w:val="24"/>
        </w:rPr>
        <w:fldChar w:fldCharType="separate"/>
      </w:r>
      <w:hyperlink w:anchor="_Toc225859328" w:history="1">
        <w:r w:rsidR="00000BD1" w:rsidRPr="000F088B">
          <w:rPr>
            <w:rStyle w:val="Hipercze"/>
            <w:rFonts w:eastAsiaTheme="majorEastAsia"/>
            <w:noProof/>
          </w:rPr>
          <w:t>Zdjęcie 1. Zdjęcie warsztatowe- Projekt Społecznik.</w:t>
        </w:r>
        <w:r w:rsidR="00000BD1">
          <w:rPr>
            <w:noProof/>
            <w:webHidden/>
          </w:rPr>
          <w:tab/>
        </w:r>
        <w:r w:rsidR="00000BD1">
          <w:rPr>
            <w:noProof/>
            <w:webHidden/>
          </w:rPr>
          <w:fldChar w:fldCharType="begin"/>
        </w:r>
        <w:r w:rsidR="00000BD1">
          <w:rPr>
            <w:noProof/>
            <w:webHidden/>
          </w:rPr>
          <w:instrText xml:space="preserve"> PAGEREF _Toc225859328 \h </w:instrText>
        </w:r>
        <w:r w:rsidR="00000BD1">
          <w:rPr>
            <w:noProof/>
            <w:webHidden/>
          </w:rPr>
        </w:r>
        <w:r w:rsidR="00000BD1">
          <w:rPr>
            <w:noProof/>
            <w:webHidden/>
          </w:rPr>
          <w:fldChar w:fldCharType="separate"/>
        </w:r>
        <w:r w:rsidR="00E53DE8">
          <w:rPr>
            <w:noProof/>
            <w:webHidden/>
          </w:rPr>
          <w:t>90</w:t>
        </w:r>
        <w:r w:rsidR="00000BD1">
          <w:rPr>
            <w:noProof/>
            <w:webHidden/>
          </w:rPr>
          <w:fldChar w:fldCharType="end"/>
        </w:r>
      </w:hyperlink>
    </w:p>
    <w:p w14:paraId="5E5297CA" w14:textId="7F7C0834" w:rsidR="00000BD1" w:rsidRDefault="00000BD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225859329" w:history="1">
        <w:r w:rsidRPr="000F088B">
          <w:rPr>
            <w:rStyle w:val="Hipercze"/>
            <w:rFonts w:eastAsiaTheme="majorEastAsia"/>
            <w:noProof/>
          </w:rPr>
          <w:t>Zdjęcie 2. II edycja konkursu „Artystycznie o uzależnieniach".</w:t>
        </w:r>
        <w:r>
          <w:rPr>
            <w:noProof/>
            <w:webHidden/>
          </w:rPr>
          <w:tab/>
        </w:r>
        <w:r>
          <w:rPr>
            <w:noProof/>
            <w:webHidden/>
          </w:rPr>
          <w:fldChar w:fldCharType="begin"/>
        </w:r>
        <w:r>
          <w:rPr>
            <w:noProof/>
            <w:webHidden/>
          </w:rPr>
          <w:instrText xml:space="preserve"> PAGEREF _Toc225859329 \h </w:instrText>
        </w:r>
        <w:r>
          <w:rPr>
            <w:noProof/>
            <w:webHidden/>
          </w:rPr>
        </w:r>
        <w:r>
          <w:rPr>
            <w:noProof/>
            <w:webHidden/>
          </w:rPr>
          <w:fldChar w:fldCharType="separate"/>
        </w:r>
        <w:r w:rsidR="00E53DE8">
          <w:rPr>
            <w:noProof/>
            <w:webHidden/>
          </w:rPr>
          <w:t>91</w:t>
        </w:r>
        <w:r>
          <w:rPr>
            <w:noProof/>
            <w:webHidden/>
          </w:rPr>
          <w:fldChar w:fldCharType="end"/>
        </w:r>
      </w:hyperlink>
    </w:p>
    <w:p w14:paraId="2196126D" w14:textId="69FD6650" w:rsidR="00000BD1" w:rsidRDefault="00000BD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225859330" w:history="1">
        <w:r w:rsidRPr="000F088B">
          <w:rPr>
            <w:rStyle w:val="Hipercze"/>
            <w:rFonts w:eastAsiaTheme="majorEastAsia"/>
            <w:noProof/>
          </w:rPr>
          <w:t>Zdjęcie 3. Logo Programu.</w:t>
        </w:r>
        <w:r>
          <w:rPr>
            <w:noProof/>
            <w:webHidden/>
          </w:rPr>
          <w:tab/>
        </w:r>
        <w:r>
          <w:rPr>
            <w:noProof/>
            <w:webHidden/>
          </w:rPr>
          <w:fldChar w:fldCharType="begin"/>
        </w:r>
        <w:r>
          <w:rPr>
            <w:noProof/>
            <w:webHidden/>
          </w:rPr>
          <w:instrText xml:space="preserve"> PAGEREF _Toc225859330 \h </w:instrText>
        </w:r>
        <w:r>
          <w:rPr>
            <w:noProof/>
            <w:webHidden/>
          </w:rPr>
        </w:r>
        <w:r>
          <w:rPr>
            <w:noProof/>
            <w:webHidden/>
          </w:rPr>
          <w:fldChar w:fldCharType="separate"/>
        </w:r>
        <w:r w:rsidR="00E53DE8">
          <w:rPr>
            <w:noProof/>
            <w:webHidden/>
          </w:rPr>
          <w:t>92</w:t>
        </w:r>
        <w:r>
          <w:rPr>
            <w:noProof/>
            <w:webHidden/>
          </w:rPr>
          <w:fldChar w:fldCharType="end"/>
        </w:r>
      </w:hyperlink>
    </w:p>
    <w:p w14:paraId="154DA49C" w14:textId="78D30AFC" w:rsidR="00000BD1" w:rsidRDefault="00000BD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225859331" w:history="1">
        <w:r w:rsidRPr="000F088B">
          <w:rPr>
            <w:rStyle w:val="Hipercze"/>
            <w:rFonts w:eastAsiaTheme="majorEastAsia"/>
            <w:noProof/>
          </w:rPr>
          <w:t>Zdjęcie 4. Konkurs moje czyste rączki.</w:t>
        </w:r>
        <w:r>
          <w:rPr>
            <w:noProof/>
            <w:webHidden/>
          </w:rPr>
          <w:tab/>
        </w:r>
        <w:r>
          <w:rPr>
            <w:noProof/>
            <w:webHidden/>
          </w:rPr>
          <w:fldChar w:fldCharType="begin"/>
        </w:r>
        <w:r>
          <w:rPr>
            <w:noProof/>
            <w:webHidden/>
          </w:rPr>
          <w:instrText xml:space="preserve"> PAGEREF _Toc225859331 \h </w:instrText>
        </w:r>
        <w:r>
          <w:rPr>
            <w:noProof/>
            <w:webHidden/>
          </w:rPr>
        </w:r>
        <w:r>
          <w:rPr>
            <w:noProof/>
            <w:webHidden/>
          </w:rPr>
          <w:fldChar w:fldCharType="separate"/>
        </w:r>
        <w:r w:rsidR="00E53DE8">
          <w:rPr>
            <w:noProof/>
            <w:webHidden/>
          </w:rPr>
          <w:t>93</w:t>
        </w:r>
        <w:r>
          <w:rPr>
            <w:noProof/>
            <w:webHidden/>
          </w:rPr>
          <w:fldChar w:fldCharType="end"/>
        </w:r>
      </w:hyperlink>
    </w:p>
    <w:p w14:paraId="5EB0B34F" w14:textId="1C9CBA8A" w:rsidR="00000BD1" w:rsidRDefault="00000BD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225859332" w:history="1">
        <w:r w:rsidRPr="000F088B">
          <w:rPr>
            <w:rStyle w:val="Hipercze"/>
            <w:rFonts w:eastAsiaTheme="majorEastAsia"/>
            <w:noProof/>
          </w:rPr>
          <w:t>Zdjęcie 5. Stoisko edukacyjne w ZUW i Sądzie Rejonowym.</w:t>
        </w:r>
        <w:r>
          <w:rPr>
            <w:noProof/>
            <w:webHidden/>
          </w:rPr>
          <w:tab/>
        </w:r>
        <w:r>
          <w:rPr>
            <w:noProof/>
            <w:webHidden/>
          </w:rPr>
          <w:fldChar w:fldCharType="begin"/>
        </w:r>
        <w:r>
          <w:rPr>
            <w:noProof/>
            <w:webHidden/>
          </w:rPr>
          <w:instrText xml:space="preserve"> PAGEREF _Toc225859332 \h </w:instrText>
        </w:r>
        <w:r>
          <w:rPr>
            <w:noProof/>
            <w:webHidden/>
          </w:rPr>
        </w:r>
        <w:r>
          <w:rPr>
            <w:noProof/>
            <w:webHidden/>
          </w:rPr>
          <w:fldChar w:fldCharType="separate"/>
        </w:r>
        <w:r w:rsidR="00E53DE8">
          <w:rPr>
            <w:noProof/>
            <w:webHidden/>
          </w:rPr>
          <w:t>95</w:t>
        </w:r>
        <w:r>
          <w:rPr>
            <w:noProof/>
            <w:webHidden/>
          </w:rPr>
          <w:fldChar w:fldCharType="end"/>
        </w:r>
      </w:hyperlink>
    </w:p>
    <w:p w14:paraId="3BDBD835" w14:textId="3D6CDB3C" w:rsidR="00000BD1" w:rsidRDefault="00000BD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225859333" w:history="1">
        <w:r w:rsidRPr="000F088B">
          <w:rPr>
            <w:rStyle w:val="Hipercze"/>
            <w:rFonts w:eastAsiaTheme="majorEastAsia"/>
            <w:noProof/>
          </w:rPr>
          <w:t>Zdjęcie 6. Dni Otwarte Państwowej Inspekcji Sanitarnej.</w:t>
        </w:r>
        <w:r>
          <w:rPr>
            <w:noProof/>
            <w:webHidden/>
          </w:rPr>
          <w:tab/>
        </w:r>
        <w:r>
          <w:rPr>
            <w:noProof/>
            <w:webHidden/>
          </w:rPr>
          <w:fldChar w:fldCharType="begin"/>
        </w:r>
        <w:r>
          <w:rPr>
            <w:noProof/>
            <w:webHidden/>
          </w:rPr>
          <w:instrText xml:space="preserve"> PAGEREF _Toc225859333 \h </w:instrText>
        </w:r>
        <w:r>
          <w:rPr>
            <w:noProof/>
            <w:webHidden/>
          </w:rPr>
        </w:r>
        <w:r>
          <w:rPr>
            <w:noProof/>
            <w:webHidden/>
          </w:rPr>
          <w:fldChar w:fldCharType="separate"/>
        </w:r>
        <w:r w:rsidR="00E53DE8">
          <w:rPr>
            <w:noProof/>
            <w:webHidden/>
          </w:rPr>
          <w:t>96</w:t>
        </w:r>
        <w:r>
          <w:rPr>
            <w:noProof/>
            <w:webHidden/>
          </w:rPr>
          <w:fldChar w:fldCharType="end"/>
        </w:r>
      </w:hyperlink>
    </w:p>
    <w:p w14:paraId="7C02426A" w14:textId="35678F0D" w:rsidR="00000BD1" w:rsidRDefault="00000BD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225859334" w:history="1">
        <w:r w:rsidRPr="000F088B">
          <w:rPr>
            <w:rStyle w:val="Hipercze"/>
            <w:rFonts w:eastAsiaTheme="majorEastAsia"/>
            <w:noProof/>
          </w:rPr>
          <w:t>Zdjęcie 7. Stoisko na 31. Poland Rock Festiwal.</w:t>
        </w:r>
        <w:r>
          <w:rPr>
            <w:noProof/>
            <w:webHidden/>
          </w:rPr>
          <w:tab/>
        </w:r>
        <w:r>
          <w:rPr>
            <w:noProof/>
            <w:webHidden/>
          </w:rPr>
          <w:fldChar w:fldCharType="begin"/>
        </w:r>
        <w:r>
          <w:rPr>
            <w:noProof/>
            <w:webHidden/>
          </w:rPr>
          <w:instrText xml:space="preserve"> PAGEREF _Toc225859334 \h </w:instrText>
        </w:r>
        <w:r>
          <w:rPr>
            <w:noProof/>
            <w:webHidden/>
          </w:rPr>
        </w:r>
        <w:r>
          <w:rPr>
            <w:noProof/>
            <w:webHidden/>
          </w:rPr>
          <w:fldChar w:fldCharType="separate"/>
        </w:r>
        <w:r w:rsidR="00E53DE8">
          <w:rPr>
            <w:noProof/>
            <w:webHidden/>
          </w:rPr>
          <w:t>98</w:t>
        </w:r>
        <w:r>
          <w:rPr>
            <w:noProof/>
            <w:webHidden/>
          </w:rPr>
          <w:fldChar w:fldCharType="end"/>
        </w:r>
      </w:hyperlink>
    </w:p>
    <w:p w14:paraId="7DBAE28D" w14:textId="26C9E528" w:rsidR="00000BD1" w:rsidRDefault="00000BD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225859335" w:history="1">
        <w:r w:rsidRPr="000F088B">
          <w:rPr>
            <w:rStyle w:val="Hipercze"/>
            <w:rFonts w:eastAsiaTheme="majorEastAsia"/>
            <w:noProof/>
          </w:rPr>
          <w:t>Zdjęcie 8. Konkurs Woda życiowym viralem.</w:t>
        </w:r>
        <w:r>
          <w:rPr>
            <w:noProof/>
            <w:webHidden/>
          </w:rPr>
          <w:tab/>
        </w:r>
        <w:r>
          <w:rPr>
            <w:noProof/>
            <w:webHidden/>
          </w:rPr>
          <w:fldChar w:fldCharType="begin"/>
        </w:r>
        <w:r>
          <w:rPr>
            <w:noProof/>
            <w:webHidden/>
          </w:rPr>
          <w:instrText xml:space="preserve"> PAGEREF _Toc225859335 \h </w:instrText>
        </w:r>
        <w:r>
          <w:rPr>
            <w:noProof/>
            <w:webHidden/>
          </w:rPr>
        </w:r>
        <w:r>
          <w:rPr>
            <w:noProof/>
            <w:webHidden/>
          </w:rPr>
          <w:fldChar w:fldCharType="separate"/>
        </w:r>
        <w:r w:rsidR="00E53DE8">
          <w:rPr>
            <w:noProof/>
            <w:webHidden/>
          </w:rPr>
          <w:t>99</w:t>
        </w:r>
        <w:r>
          <w:rPr>
            <w:noProof/>
            <w:webHidden/>
          </w:rPr>
          <w:fldChar w:fldCharType="end"/>
        </w:r>
      </w:hyperlink>
    </w:p>
    <w:p w14:paraId="7750D16E" w14:textId="059239C8" w:rsidR="0085213D" w:rsidRPr="00DD5957" w:rsidRDefault="0085213D" w:rsidP="0034170C">
      <w:pPr>
        <w:rPr>
          <w:sz w:val="20"/>
        </w:rPr>
      </w:pPr>
      <w:r w:rsidRPr="00DD5957">
        <w:rPr>
          <w:rFonts w:ascii="Lato" w:hAnsi="Lato" w:cs="Calibri"/>
          <w:sz w:val="20"/>
        </w:rPr>
        <w:fldChar w:fldCharType="end"/>
      </w:r>
    </w:p>
    <w:sectPr w:rsidR="0085213D" w:rsidRPr="00DD5957" w:rsidSect="0034170C">
      <w:footerReference w:type="even" r:id="rId38"/>
      <w:footerReference w:type="default" r:id="rId3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F796E" w14:textId="77777777" w:rsidR="00CD504C" w:rsidRDefault="00CD504C">
      <w:r>
        <w:separator/>
      </w:r>
    </w:p>
  </w:endnote>
  <w:endnote w:type="continuationSeparator" w:id="0">
    <w:p w14:paraId="2C01F1B9" w14:textId="77777777" w:rsidR="00CD504C" w:rsidRDefault="00CD5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EE"/>
    <w:family w:val="swiss"/>
    <w:pitch w:val="variable"/>
    <w:sig w:usb0="800000AF" w:usb1="4000604A"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tarSymbol">
    <w:altName w:val="Segoe UI Symbol"/>
    <w:charset w:val="02"/>
    <w:family w:val="auto"/>
    <w:pitch w:val="default"/>
  </w:font>
  <w:font w:name="Albany">
    <w:altName w:val="Arial"/>
    <w:charset w:val="00"/>
    <w:family w:val="swiss"/>
    <w:pitch w:val="variable"/>
  </w:font>
  <w:font w:name="HG Mincho Light J">
    <w:altName w:val="Times New Roman"/>
    <w:charset w:val="00"/>
    <w:family w:val="auto"/>
    <w:pitch w:val="variable"/>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98396" w14:textId="683377F8" w:rsidR="0034170C" w:rsidRDefault="0034170C" w:rsidP="00096A5C">
    <w:pPr>
      <w:pStyle w:val="Stopka"/>
      <w:framePr w:wrap="around" w:vAnchor="text" w:hAnchor="margin" w:xAlign="right"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separate"/>
    </w:r>
    <w:r w:rsidR="00BF45B9">
      <w:rPr>
        <w:rStyle w:val="Numerstrony"/>
        <w:rFonts w:eastAsiaTheme="majorEastAsia"/>
        <w:noProof/>
      </w:rPr>
      <w:t>11</w:t>
    </w:r>
    <w:r>
      <w:rPr>
        <w:rStyle w:val="Numerstrony"/>
        <w:rFonts w:eastAsiaTheme="majorEastAsia"/>
      </w:rPr>
      <w:fldChar w:fldCharType="end"/>
    </w:r>
  </w:p>
  <w:p w14:paraId="2D99DCDF" w14:textId="77777777" w:rsidR="0034170C" w:rsidRDefault="0034170C" w:rsidP="00096A5C">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13EB6" w14:textId="77777777" w:rsidR="0034170C" w:rsidRPr="00180A48" w:rsidRDefault="0034170C" w:rsidP="00EC31A6">
    <w:pPr>
      <w:pStyle w:val="Stopka"/>
      <w:framePr w:wrap="around" w:vAnchor="text" w:hAnchor="margin" w:xAlign="right" w:y="1"/>
      <w:rPr>
        <w:rStyle w:val="Numerstrony"/>
        <w:rFonts w:asciiTheme="minorHAnsi" w:eastAsiaTheme="majorEastAsia" w:hAnsiTheme="minorHAnsi" w:cstheme="minorHAnsi"/>
      </w:rPr>
    </w:pPr>
    <w:r w:rsidRPr="00180A48">
      <w:rPr>
        <w:rStyle w:val="Numerstrony"/>
        <w:rFonts w:asciiTheme="minorHAnsi" w:eastAsiaTheme="majorEastAsia" w:hAnsiTheme="minorHAnsi" w:cstheme="minorHAnsi"/>
      </w:rPr>
      <w:fldChar w:fldCharType="begin"/>
    </w:r>
    <w:r w:rsidRPr="00180A48">
      <w:rPr>
        <w:rStyle w:val="Numerstrony"/>
        <w:rFonts w:asciiTheme="minorHAnsi" w:eastAsiaTheme="majorEastAsia" w:hAnsiTheme="minorHAnsi" w:cstheme="minorHAnsi"/>
      </w:rPr>
      <w:instrText xml:space="preserve">PAGE  </w:instrText>
    </w:r>
    <w:r w:rsidRPr="00180A48">
      <w:rPr>
        <w:rStyle w:val="Numerstrony"/>
        <w:rFonts w:asciiTheme="minorHAnsi" w:eastAsiaTheme="majorEastAsia" w:hAnsiTheme="minorHAnsi" w:cstheme="minorHAnsi"/>
      </w:rPr>
      <w:fldChar w:fldCharType="separate"/>
    </w:r>
    <w:r>
      <w:rPr>
        <w:rStyle w:val="Numerstrony"/>
        <w:rFonts w:asciiTheme="minorHAnsi" w:eastAsiaTheme="majorEastAsia" w:hAnsiTheme="minorHAnsi" w:cstheme="minorHAnsi"/>
        <w:noProof/>
      </w:rPr>
      <w:t>2</w:t>
    </w:r>
    <w:r w:rsidRPr="00180A48">
      <w:rPr>
        <w:rStyle w:val="Numerstrony"/>
        <w:rFonts w:asciiTheme="minorHAnsi" w:eastAsiaTheme="majorEastAsia" w:hAnsiTheme="minorHAnsi" w:cstheme="minorHAnsi"/>
      </w:rPr>
      <w:fldChar w:fldCharType="end"/>
    </w:r>
  </w:p>
  <w:p w14:paraId="708FC520" w14:textId="77777777" w:rsidR="0034170C" w:rsidRDefault="0034170C" w:rsidP="00096A5C">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68F50" w14:textId="77777777" w:rsidR="00CD504C" w:rsidRDefault="00CD504C">
      <w:r>
        <w:separator/>
      </w:r>
    </w:p>
  </w:footnote>
  <w:footnote w:type="continuationSeparator" w:id="0">
    <w:p w14:paraId="0C88133A" w14:textId="77777777" w:rsidR="00CD504C" w:rsidRDefault="00CD50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7CC0"/>
    <w:multiLevelType w:val="hybridMultilevel"/>
    <w:tmpl w:val="5564410A"/>
    <w:lvl w:ilvl="0" w:tplc="56906CCC">
      <w:start w:val="1"/>
      <w:numFmt w:val="bullet"/>
      <w:lvlText w:val=""/>
      <w:lvlJc w:val="left"/>
      <w:pPr>
        <w:ind w:left="360" w:hanging="360"/>
      </w:pPr>
      <w:rPr>
        <w:rFonts w:ascii="Symbol" w:hAnsi="Symbol" w:hint="default"/>
        <w:b w:val="0"/>
        <w:bCs/>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0EB712A"/>
    <w:multiLevelType w:val="multilevel"/>
    <w:tmpl w:val="F0DCE966"/>
    <w:lvl w:ilvl="0">
      <w:start w:val="2"/>
      <w:numFmt w:val="decimal"/>
      <w:lvlText w:val="%1."/>
      <w:lvlJc w:val="left"/>
      <w:pPr>
        <w:ind w:left="284" w:firstLine="0"/>
      </w:pPr>
      <w:rPr>
        <w:rFonts w:hint="default"/>
      </w:rPr>
    </w:lvl>
    <w:lvl w:ilvl="1">
      <w:start w:val="3"/>
      <w:numFmt w:val="decimal"/>
      <w:suff w:val="space"/>
      <w:lvlText w:val="%1.%2."/>
      <w:lvlJc w:val="left"/>
      <w:pPr>
        <w:ind w:left="568" w:firstLine="0"/>
      </w:pPr>
      <w:rPr>
        <w:rFonts w:hint="default"/>
      </w:rPr>
    </w:lvl>
    <w:lvl w:ilvl="2">
      <w:start w:val="1"/>
      <w:numFmt w:val="decimal"/>
      <w:lvlText w:val="%1.%2.%3."/>
      <w:lvlJc w:val="left"/>
      <w:pPr>
        <w:ind w:left="852" w:firstLine="0"/>
      </w:pPr>
      <w:rPr>
        <w:rFonts w:hint="default"/>
      </w:rPr>
    </w:lvl>
    <w:lvl w:ilvl="3">
      <w:start w:val="1"/>
      <w:numFmt w:val="decimal"/>
      <w:lvlText w:val="%1.%2.%3.%4."/>
      <w:lvlJc w:val="left"/>
      <w:pPr>
        <w:ind w:left="1136" w:firstLine="0"/>
      </w:pPr>
      <w:rPr>
        <w:rFonts w:hint="default"/>
      </w:rPr>
    </w:lvl>
    <w:lvl w:ilvl="4">
      <w:start w:val="1"/>
      <w:numFmt w:val="decimal"/>
      <w:lvlText w:val="%1.%2.%3.%4.%5."/>
      <w:lvlJc w:val="left"/>
      <w:pPr>
        <w:ind w:left="1420" w:firstLine="0"/>
      </w:pPr>
      <w:rPr>
        <w:rFonts w:hint="default"/>
      </w:rPr>
    </w:lvl>
    <w:lvl w:ilvl="5">
      <w:start w:val="1"/>
      <w:numFmt w:val="decimal"/>
      <w:lvlText w:val="%1.%2.%3.%4.%5.%6."/>
      <w:lvlJc w:val="left"/>
      <w:pPr>
        <w:ind w:left="1704" w:firstLine="0"/>
      </w:pPr>
      <w:rPr>
        <w:rFonts w:hint="default"/>
      </w:rPr>
    </w:lvl>
    <w:lvl w:ilvl="6">
      <w:start w:val="1"/>
      <w:numFmt w:val="decimal"/>
      <w:lvlText w:val="%1.%2.%3.%4.%5.%6.%7."/>
      <w:lvlJc w:val="left"/>
      <w:pPr>
        <w:ind w:left="1988" w:firstLine="0"/>
      </w:pPr>
      <w:rPr>
        <w:rFonts w:hint="default"/>
      </w:rPr>
    </w:lvl>
    <w:lvl w:ilvl="7">
      <w:start w:val="1"/>
      <w:numFmt w:val="decimal"/>
      <w:lvlText w:val="%1.%2.%3.%4.%5.%6.%7.%8."/>
      <w:lvlJc w:val="left"/>
      <w:pPr>
        <w:ind w:left="2272" w:firstLine="0"/>
      </w:pPr>
      <w:rPr>
        <w:rFonts w:hint="default"/>
      </w:rPr>
    </w:lvl>
    <w:lvl w:ilvl="8">
      <w:start w:val="1"/>
      <w:numFmt w:val="decimal"/>
      <w:lvlText w:val="%1.%2.%3.%4.%5.%6.%7.%8.%9."/>
      <w:lvlJc w:val="left"/>
      <w:pPr>
        <w:ind w:left="2556" w:firstLine="0"/>
      </w:pPr>
      <w:rPr>
        <w:rFonts w:hint="default"/>
      </w:rPr>
    </w:lvl>
  </w:abstractNum>
  <w:abstractNum w:abstractNumId="2" w15:restartNumberingAfterBreak="0">
    <w:nsid w:val="01652A4E"/>
    <w:multiLevelType w:val="hybridMultilevel"/>
    <w:tmpl w:val="70F4BE60"/>
    <w:lvl w:ilvl="0" w:tplc="157E015E">
      <w:start w:val="1"/>
      <w:numFmt w:val="decimal"/>
      <w:pStyle w:val="Styl6"/>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3255E28"/>
    <w:multiLevelType w:val="multilevel"/>
    <w:tmpl w:val="0415001F"/>
    <w:styleLink w:val="Styl2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045966F5"/>
    <w:multiLevelType w:val="hybridMultilevel"/>
    <w:tmpl w:val="45A43B9E"/>
    <w:lvl w:ilvl="0" w:tplc="56906CC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2F7F30"/>
    <w:multiLevelType w:val="hybridMultilevel"/>
    <w:tmpl w:val="54000FE6"/>
    <w:lvl w:ilvl="0" w:tplc="56906CC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EE6314B"/>
    <w:multiLevelType w:val="hybridMultilevel"/>
    <w:tmpl w:val="04EABCA2"/>
    <w:lvl w:ilvl="0" w:tplc="56906CC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0151F7A"/>
    <w:multiLevelType w:val="hybridMultilevel"/>
    <w:tmpl w:val="DE8C2912"/>
    <w:lvl w:ilvl="0" w:tplc="56906CC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71037C"/>
    <w:multiLevelType w:val="multilevel"/>
    <w:tmpl w:val="D2386412"/>
    <w:lvl w:ilvl="0">
      <w:start w:val="1"/>
      <w:numFmt w:val="decimal"/>
      <w:suff w:val="space"/>
      <w:lvlText w:val="%1."/>
      <w:lvlJc w:val="left"/>
      <w:pPr>
        <w:ind w:left="284" w:firstLine="0"/>
      </w:pPr>
      <w:rPr>
        <w:rFonts w:hint="default"/>
        <w:b/>
        <w:bCs/>
      </w:rPr>
    </w:lvl>
    <w:lvl w:ilvl="1">
      <w:start w:val="1"/>
      <w:numFmt w:val="decimal"/>
      <w:isLgl/>
      <w:suff w:val="space"/>
      <w:lvlText w:val="%1.%2."/>
      <w:lvlJc w:val="left"/>
      <w:pPr>
        <w:ind w:left="284" w:firstLine="0"/>
      </w:pPr>
      <w:rPr>
        <w:rFonts w:ascii="Lato" w:hAnsi="Lato" w:hint="default"/>
        <w:color w:val="auto"/>
        <w:sz w:val="22"/>
        <w:szCs w:val="22"/>
      </w:rPr>
    </w:lvl>
    <w:lvl w:ilvl="2">
      <w:start w:val="1"/>
      <w:numFmt w:val="decimal"/>
      <w:isLgl/>
      <w:lvlText w:val="%1.%2.%3."/>
      <w:lvlJc w:val="left"/>
      <w:pPr>
        <w:ind w:left="852" w:firstLine="0"/>
      </w:pPr>
      <w:rPr>
        <w:rFonts w:hint="default"/>
      </w:rPr>
    </w:lvl>
    <w:lvl w:ilvl="3">
      <w:start w:val="1"/>
      <w:numFmt w:val="decimal"/>
      <w:isLgl/>
      <w:lvlText w:val="%1.%2.%3.%4."/>
      <w:lvlJc w:val="left"/>
      <w:pPr>
        <w:ind w:left="1136" w:firstLine="0"/>
      </w:pPr>
      <w:rPr>
        <w:rFonts w:hint="default"/>
      </w:rPr>
    </w:lvl>
    <w:lvl w:ilvl="4">
      <w:start w:val="1"/>
      <w:numFmt w:val="decimal"/>
      <w:isLgl/>
      <w:lvlText w:val="%1.%2.%3.%4.%5."/>
      <w:lvlJc w:val="left"/>
      <w:pPr>
        <w:ind w:left="1420" w:firstLine="0"/>
      </w:pPr>
      <w:rPr>
        <w:rFonts w:hint="default"/>
      </w:rPr>
    </w:lvl>
    <w:lvl w:ilvl="5">
      <w:start w:val="1"/>
      <w:numFmt w:val="decimal"/>
      <w:isLgl/>
      <w:lvlText w:val="%1.%2.%3.%4.%5.%6."/>
      <w:lvlJc w:val="left"/>
      <w:pPr>
        <w:ind w:left="1704" w:firstLine="0"/>
      </w:pPr>
      <w:rPr>
        <w:rFonts w:hint="default"/>
      </w:rPr>
    </w:lvl>
    <w:lvl w:ilvl="6">
      <w:start w:val="1"/>
      <w:numFmt w:val="decimal"/>
      <w:isLgl/>
      <w:lvlText w:val="%1.%2.%3.%4.%5.%6.%7."/>
      <w:lvlJc w:val="left"/>
      <w:pPr>
        <w:ind w:left="1988" w:firstLine="0"/>
      </w:pPr>
      <w:rPr>
        <w:rFonts w:hint="default"/>
      </w:rPr>
    </w:lvl>
    <w:lvl w:ilvl="7">
      <w:start w:val="1"/>
      <w:numFmt w:val="decimal"/>
      <w:isLgl/>
      <w:lvlText w:val="%1.%2.%3.%4.%5.%6.%7.%8."/>
      <w:lvlJc w:val="left"/>
      <w:pPr>
        <w:ind w:left="2272" w:firstLine="0"/>
      </w:pPr>
      <w:rPr>
        <w:rFonts w:hint="default"/>
      </w:rPr>
    </w:lvl>
    <w:lvl w:ilvl="8">
      <w:start w:val="1"/>
      <w:numFmt w:val="decimal"/>
      <w:isLgl/>
      <w:lvlText w:val="%1.%2.%3.%4.%5.%6.%7.%8.%9."/>
      <w:lvlJc w:val="left"/>
      <w:pPr>
        <w:ind w:left="2556" w:firstLine="0"/>
      </w:pPr>
      <w:rPr>
        <w:rFonts w:hint="default"/>
      </w:rPr>
    </w:lvl>
  </w:abstractNum>
  <w:abstractNum w:abstractNumId="9" w15:restartNumberingAfterBreak="0">
    <w:nsid w:val="1198352E"/>
    <w:multiLevelType w:val="hybridMultilevel"/>
    <w:tmpl w:val="56E29E12"/>
    <w:lvl w:ilvl="0" w:tplc="C3CAD5B2">
      <w:start w:val="1"/>
      <w:numFmt w:val="decimal"/>
      <w:pStyle w:val="Styl5"/>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2132196"/>
    <w:multiLevelType w:val="hybridMultilevel"/>
    <w:tmpl w:val="8174A5A0"/>
    <w:lvl w:ilvl="0" w:tplc="56906C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2230252"/>
    <w:multiLevelType w:val="hybridMultilevel"/>
    <w:tmpl w:val="60809F9C"/>
    <w:lvl w:ilvl="0" w:tplc="56906CC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5FE6439"/>
    <w:multiLevelType w:val="hybridMultilevel"/>
    <w:tmpl w:val="D78EF0BA"/>
    <w:lvl w:ilvl="0" w:tplc="56906CCC">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81F01C1"/>
    <w:multiLevelType w:val="hybridMultilevel"/>
    <w:tmpl w:val="D1D4681C"/>
    <w:lvl w:ilvl="0" w:tplc="0415000F">
      <w:start w:val="1"/>
      <w:numFmt w:val="decimal"/>
      <w:pStyle w:val="Listapunktowana2"/>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FF6439"/>
    <w:multiLevelType w:val="hybridMultilevel"/>
    <w:tmpl w:val="769CB2F2"/>
    <w:lvl w:ilvl="0" w:tplc="8E526C40">
      <w:start w:val="1"/>
      <w:numFmt w:val="decimal"/>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264A13FD"/>
    <w:multiLevelType w:val="hybridMultilevel"/>
    <w:tmpl w:val="F712059E"/>
    <w:lvl w:ilvl="0" w:tplc="56906CC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15:restartNumberingAfterBreak="0">
    <w:nsid w:val="2A5C4261"/>
    <w:multiLevelType w:val="hybridMultilevel"/>
    <w:tmpl w:val="8062CB7E"/>
    <w:lvl w:ilvl="0" w:tplc="56906C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A8E4E7B"/>
    <w:multiLevelType w:val="multilevel"/>
    <w:tmpl w:val="35B4CA2C"/>
    <w:lvl w:ilvl="0">
      <w:start w:val="3"/>
      <w:numFmt w:val="decimal"/>
      <w:suff w:val="space"/>
      <w:lvlText w:val="%1."/>
      <w:lvlJc w:val="left"/>
      <w:pPr>
        <w:ind w:left="284" w:firstLine="0"/>
      </w:pPr>
      <w:rPr>
        <w:rFonts w:hint="default"/>
        <w:b/>
        <w:bCs/>
      </w:rPr>
    </w:lvl>
    <w:lvl w:ilvl="1">
      <w:start w:val="1"/>
      <w:numFmt w:val="decimal"/>
      <w:suff w:val="space"/>
      <w:lvlText w:val="%1.%2."/>
      <w:lvlJc w:val="left"/>
      <w:pPr>
        <w:ind w:left="284" w:firstLine="0"/>
      </w:pPr>
      <w:rPr>
        <w:rFonts w:hint="default"/>
        <w:b w:val="0"/>
        <w:bCs w:val="0"/>
      </w:rPr>
    </w:lvl>
    <w:lvl w:ilvl="2">
      <w:start w:val="1"/>
      <w:numFmt w:val="decimal"/>
      <w:lvlText w:val="%1.%2.%3."/>
      <w:lvlJc w:val="left"/>
      <w:pPr>
        <w:ind w:left="852" w:firstLine="0"/>
      </w:pPr>
      <w:rPr>
        <w:rFonts w:hint="default"/>
      </w:rPr>
    </w:lvl>
    <w:lvl w:ilvl="3">
      <w:start w:val="1"/>
      <w:numFmt w:val="decimal"/>
      <w:lvlText w:val="%1.%2.%3.%4."/>
      <w:lvlJc w:val="left"/>
      <w:pPr>
        <w:ind w:left="1136" w:firstLine="0"/>
      </w:pPr>
      <w:rPr>
        <w:rFonts w:hint="default"/>
      </w:rPr>
    </w:lvl>
    <w:lvl w:ilvl="4">
      <w:start w:val="1"/>
      <w:numFmt w:val="decimal"/>
      <w:lvlText w:val="%1.%2.%3.%4.%5."/>
      <w:lvlJc w:val="left"/>
      <w:pPr>
        <w:ind w:left="1420" w:firstLine="0"/>
      </w:pPr>
      <w:rPr>
        <w:rFonts w:hint="default"/>
      </w:rPr>
    </w:lvl>
    <w:lvl w:ilvl="5">
      <w:start w:val="1"/>
      <w:numFmt w:val="decimal"/>
      <w:lvlText w:val="%1.%2.%3.%4.%5.%6."/>
      <w:lvlJc w:val="left"/>
      <w:pPr>
        <w:ind w:left="1704" w:firstLine="0"/>
      </w:pPr>
      <w:rPr>
        <w:rFonts w:hint="default"/>
      </w:rPr>
    </w:lvl>
    <w:lvl w:ilvl="6">
      <w:start w:val="1"/>
      <w:numFmt w:val="decimal"/>
      <w:lvlText w:val="%1.%2.%3.%4.%5.%6.%7."/>
      <w:lvlJc w:val="left"/>
      <w:pPr>
        <w:ind w:left="1988" w:firstLine="0"/>
      </w:pPr>
      <w:rPr>
        <w:rFonts w:hint="default"/>
      </w:rPr>
    </w:lvl>
    <w:lvl w:ilvl="7">
      <w:start w:val="1"/>
      <w:numFmt w:val="decimal"/>
      <w:lvlText w:val="%1.%2.%3.%4.%5.%6.%7.%8."/>
      <w:lvlJc w:val="left"/>
      <w:pPr>
        <w:ind w:left="2272" w:firstLine="0"/>
      </w:pPr>
      <w:rPr>
        <w:rFonts w:hint="default"/>
      </w:rPr>
    </w:lvl>
    <w:lvl w:ilvl="8">
      <w:start w:val="1"/>
      <w:numFmt w:val="decimal"/>
      <w:lvlText w:val="%1.%2.%3.%4.%5.%6.%7.%8.%9."/>
      <w:lvlJc w:val="left"/>
      <w:pPr>
        <w:ind w:left="2556" w:firstLine="0"/>
      </w:pPr>
      <w:rPr>
        <w:rFonts w:hint="default"/>
      </w:rPr>
    </w:lvl>
  </w:abstractNum>
  <w:abstractNum w:abstractNumId="18" w15:restartNumberingAfterBreak="0">
    <w:nsid w:val="2C40420B"/>
    <w:multiLevelType w:val="hybridMultilevel"/>
    <w:tmpl w:val="6B8A2886"/>
    <w:lvl w:ilvl="0" w:tplc="56906CC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E506B5E"/>
    <w:multiLevelType w:val="multilevel"/>
    <w:tmpl w:val="38DA5DFE"/>
    <w:lvl w:ilvl="0">
      <w:start w:val="1"/>
      <w:numFmt w:val="decimal"/>
      <w:suff w:val="space"/>
      <w:lvlText w:val="%1."/>
      <w:lvlJc w:val="left"/>
      <w:pPr>
        <w:ind w:left="284" w:firstLine="0"/>
      </w:pPr>
      <w:rPr>
        <w:rFonts w:hint="default"/>
      </w:rPr>
    </w:lvl>
    <w:lvl w:ilvl="1">
      <w:start w:val="1"/>
      <w:numFmt w:val="decimal"/>
      <w:isLgl/>
      <w:suff w:val="space"/>
      <w:lvlText w:val="%1.%2."/>
      <w:lvlJc w:val="left"/>
      <w:pPr>
        <w:ind w:left="568" w:firstLine="0"/>
      </w:pPr>
      <w:rPr>
        <w:rFonts w:hint="default"/>
      </w:rPr>
    </w:lvl>
    <w:lvl w:ilvl="2">
      <w:start w:val="1"/>
      <w:numFmt w:val="decimal"/>
      <w:isLgl/>
      <w:lvlText w:val="%1.%2.%3."/>
      <w:lvlJc w:val="left"/>
      <w:pPr>
        <w:ind w:left="852" w:firstLine="0"/>
      </w:pPr>
      <w:rPr>
        <w:rFonts w:hint="default"/>
      </w:rPr>
    </w:lvl>
    <w:lvl w:ilvl="3">
      <w:start w:val="1"/>
      <w:numFmt w:val="decimal"/>
      <w:isLgl/>
      <w:lvlText w:val="%1.%2.%3.%4."/>
      <w:lvlJc w:val="left"/>
      <w:pPr>
        <w:ind w:left="1136" w:firstLine="0"/>
      </w:pPr>
      <w:rPr>
        <w:rFonts w:hint="default"/>
      </w:rPr>
    </w:lvl>
    <w:lvl w:ilvl="4">
      <w:start w:val="1"/>
      <w:numFmt w:val="decimal"/>
      <w:isLgl/>
      <w:lvlText w:val="%1.%2.%3.%4.%5."/>
      <w:lvlJc w:val="left"/>
      <w:pPr>
        <w:ind w:left="1420" w:firstLine="0"/>
      </w:pPr>
      <w:rPr>
        <w:rFonts w:hint="default"/>
      </w:rPr>
    </w:lvl>
    <w:lvl w:ilvl="5">
      <w:start w:val="1"/>
      <w:numFmt w:val="decimal"/>
      <w:isLgl/>
      <w:lvlText w:val="%1.%2.%3.%4.%5.%6."/>
      <w:lvlJc w:val="left"/>
      <w:pPr>
        <w:ind w:left="1704" w:firstLine="0"/>
      </w:pPr>
      <w:rPr>
        <w:rFonts w:hint="default"/>
      </w:rPr>
    </w:lvl>
    <w:lvl w:ilvl="6">
      <w:start w:val="1"/>
      <w:numFmt w:val="decimal"/>
      <w:isLgl/>
      <w:lvlText w:val="%1.%2.%3.%4.%5.%6.%7."/>
      <w:lvlJc w:val="left"/>
      <w:pPr>
        <w:ind w:left="1988" w:firstLine="0"/>
      </w:pPr>
      <w:rPr>
        <w:rFonts w:hint="default"/>
      </w:rPr>
    </w:lvl>
    <w:lvl w:ilvl="7">
      <w:start w:val="1"/>
      <w:numFmt w:val="decimal"/>
      <w:isLgl/>
      <w:lvlText w:val="%1.%2.%3.%4.%5.%6.%7.%8."/>
      <w:lvlJc w:val="left"/>
      <w:pPr>
        <w:ind w:left="2272" w:firstLine="0"/>
      </w:pPr>
      <w:rPr>
        <w:rFonts w:hint="default"/>
      </w:rPr>
    </w:lvl>
    <w:lvl w:ilvl="8">
      <w:start w:val="1"/>
      <w:numFmt w:val="decimal"/>
      <w:isLgl/>
      <w:lvlText w:val="%1.%2.%3.%4.%5.%6.%7.%8.%9."/>
      <w:lvlJc w:val="left"/>
      <w:pPr>
        <w:ind w:left="2556" w:firstLine="0"/>
      </w:pPr>
      <w:rPr>
        <w:rFonts w:hint="default"/>
      </w:rPr>
    </w:lvl>
  </w:abstractNum>
  <w:abstractNum w:abstractNumId="20" w15:restartNumberingAfterBreak="0">
    <w:nsid w:val="344026D7"/>
    <w:multiLevelType w:val="hybridMultilevel"/>
    <w:tmpl w:val="036462E6"/>
    <w:lvl w:ilvl="0" w:tplc="56906CC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4DD4DE4"/>
    <w:multiLevelType w:val="hybridMultilevel"/>
    <w:tmpl w:val="21308222"/>
    <w:lvl w:ilvl="0" w:tplc="4B9860AE">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7852B71"/>
    <w:multiLevelType w:val="hybridMultilevel"/>
    <w:tmpl w:val="56BA8174"/>
    <w:lvl w:ilvl="0" w:tplc="BA68C13E">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9413D99"/>
    <w:multiLevelType w:val="hybridMultilevel"/>
    <w:tmpl w:val="012A0B7E"/>
    <w:styleLink w:val="11111111"/>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C168F1"/>
    <w:multiLevelType w:val="hybridMultilevel"/>
    <w:tmpl w:val="A482B91E"/>
    <w:styleLink w:val="Styl2"/>
    <w:lvl w:ilvl="0" w:tplc="FFFFFFFF">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0385544"/>
    <w:multiLevelType w:val="hybridMultilevel"/>
    <w:tmpl w:val="6CA0AB0C"/>
    <w:lvl w:ilvl="0" w:tplc="55F4EC16">
      <w:start w:val="1"/>
      <w:numFmt w:val="upperRoman"/>
      <w:suff w:val="space"/>
      <w:lvlText w:val="%1."/>
      <w:lvlJc w:val="left"/>
      <w:pPr>
        <w:ind w:left="284" w:firstLine="0"/>
      </w:pPr>
      <w:rPr>
        <w:rFonts w:hint="default"/>
        <w:color w:val="153D63" w:themeColor="text2" w:themeTint="E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08F6474"/>
    <w:multiLevelType w:val="hybridMultilevel"/>
    <w:tmpl w:val="E3BC5CC4"/>
    <w:lvl w:ilvl="0" w:tplc="56906CC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2A9042B"/>
    <w:multiLevelType w:val="hybridMultilevel"/>
    <w:tmpl w:val="A9E8B3C6"/>
    <w:lvl w:ilvl="0" w:tplc="56906CCC">
      <w:start w:val="1"/>
      <w:numFmt w:val="bullet"/>
      <w:lvlText w:val=""/>
      <w:lvlJc w:val="left"/>
      <w:pPr>
        <w:ind w:left="780" w:hanging="360"/>
      </w:pPr>
      <w:rPr>
        <w:rFonts w:ascii="Symbol" w:hAnsi="Symbol" w:hint="default"/>
        <w:color w:val="auto"/>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8" w15:restartNumberingAfterBreak="0">
    <w:nsid w:val="454064D6"/>
    <w:multiLevelType w:val="multilevel"/>
    <w:tmpl w:val="D3B08A52"/>
    <w:lvl w:ilvl="0">
      <w:start w:val="1"/>
      <w:numFmt w:val="decimal"/>
      <w:suff w:val="space"/>
      <w:lvlText w:val="%1."/>
      <w:lvlJc w:val="left"/>
      <w:pPr>
        <w:ind w:left="284" w:firstLine="0"/>
      </w:pPr>
      <w:rPr>
        <w:rFonts w:ascii="Lato" w:hAnsi="Lato" w:hint="default"/>
        <w:b/>
        <w:bCs w:val="0"/>
        <w:i w:val="0"/>
        <w:color w:val="auto"/>
        <w:sz w:val="24"/>
      </w:rPr>
    </w:lvl>
    <w:lvl w:ilvl="1">
      <w:start w:val="1"/>
      <w:numFmt w:val="decimal"/>
      <w:isLgl/>
      <w:suff w:val="space"/>
      <w:lvlText w:val="%1.%2."/>
      <w:lvlJc w:val="left"/>
      <w:pPr>
        <w:ind w:left="284" w:firstLine="0"/>
      </w:pPr>
      <w:rPr>
        <w:rFonts w:hint="default"/>
        <w:b w:val="0"/>
        <w:bCs w:val="0"/>
        <w:sz w:val="22"/>
        <w:szCs w:val="22"/>
      </w:rPr>
    </w:lvl>
    <w:lvl w:ilvl="2">
      <w:start w:val="1"/>
      <w:numFmt w:val="decimal"/>
      <w:isLgl/>
      <w:lvlText w:val="%1.%2.%3."/>
      <w:lvlJc w:val="left"/>
      <w:pPr>
        <w:ind w:left="852" w:firstLine="0"/>
      </w:pPr>
      <w:rPr>
        <w:rFonts w:hint="default"/>
      </w:rPr>
    </w:lvl>
    <w:lvl w:ilvl="3">
      <w:start w:val="1"/>
      <w:numFmt w:val="decimal"/>
      <w:isLgl/>
      <w:lvlText w:val="%1.%2.%3.%4."/>
      <w:lvlJc w:val="left"/>
      <w:pPr>
        <w:ind w:left="1136" w:firstLine="0"/>
      </w:pPr>
      <w:rPr>
        <w:rFonts w:hint="default"/>
      </w:rPr>
    </w:lvl>
    <w:lvl w:ilvl="4">
      <w:start w:val="1"/>
      <w:numFmt w:val="decimal"/>
      <w:isLgl/>
      <w:lvlText w:val="%1.%2.%3.%4.%5."/>
      <w:lvlJc w:val="left"/>
      <w:pPr>
        <w:ind w:left="1420" w:firstLine="0"/>
      </w:pPr>
      <w:rPr>
        <w:rFonts w:hint="default"/>
      </w:rPr>
    </w:lvl>
    <w:lvl w:ilvl="5">
      <w:start w:val="1"/>
      <w:numFmt w:val="decimal"/>
      <w:isLgl/>
      <w:lvlText w:val="%1.%2.%3.%4.%5.%6."/>
      <w:lvlJc w:val="left"/>
      <w:pPr>
        <w:ind w:left="1704" w:firstLine="0"/>
      </w:pPr>
      <w:rPr>
        <w:rFonts w:hint="default"/>
      </w:rPr>
    </w:lvl>
    <w:lvl w:ilvl="6">
      <w:start w:val="1"/>
      <w:numFmt w:val="decimal"/>
      <w:isLgl/>
      <w:lvlText w:val="%1.%2.%3.%4.%5.%6.%7."/>
      <w:lvlJc w:val="left"/>
      <w:pPr>
        <w:ind w:left="1988" w:firstLine="0"/>
      </w:pPr>
      <w:rPr>
        <w:rFonts w:hint="default"/>
      </w:rPr>
    </w:lvl>
    <w:lvl w:ilvl="7">
      <w:start w:val="1"/>
      <w:numFmt w:val="decimal"/>
      <w:isLgl/>
      <w:lvlText w:val="%1.%2.%3.%4.%5.%6.%7.%8."/>
      <w:lvlJc w:val="left"/>
      <w:pPr>
        <w:ind w:left="2272" w:firstLine="0"/>
      </w:pPr>
      <w:rPr>
        <w:rFonts w:hint="default"/>
      </w:rPr>
    </w:lvl>
    <w:lvl w:ilvl="8">
      <w:start w:val="1"/>
      <w:numFmt w:val="decimal"/>
      <w:isLgl/>
      <w:lvlText w:val="%1.%2.%3.%4.%5.%6.%7.%8.%9."/>
      <w:lvlJc w:val="left"/>
      <w:pPr>
        <w:ind w:left="2556" w:firstLine="0"/>
      </w:pPr>
      <w:rPr>
        <w:rFonts w:hint="default"/>
      </w:rPr>
    </w:lvl>
  </w:abstractNum>
  <w:abstractNum w:abstractNumId="29" w15:restartNumberingAfterBreak="0">
    <w:nsid w:val="49493DD7"/>
    <w:multiLevelType w:val="hybridMultilevel"/>
    <w:tmpl w:val="30B4C880"/>
    <w:lvl w:ilvl="0" w:tplc="56906C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D2B3B60"/>
    <w:multiLevelType w:val="hybridMultilevel"/>
    <w:tmpl w:val="F6E44C64"/>
    <w:lvl w:ilvl="0" w:tplc="97307CE4">
      <w:start w:val="1"/>
      <w:numFmt w:val="decimal"/>
      <w:suff w:val="space"/>
      <w:lvlText w:val="%1."/>
      <w:lvlJc w:val="left"/>
      <w:pPr>
        <w:ind w:left="284"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30F3473"/>
    <w:multiLevelType w:val="multilevel"/>
    <w:tmpl w:val="CC4036AC"/>
    <w:styleLink w:val="WWNum8"/>
    <w:lvl w:ilvl="0">
      <w:start w:val="1"/>
      <w:numFmt w:val="decimal"/>
      <w:lvlText w:val="%1."/>
      <w:lvlJc w:val="left"/>
      <w:pPr>
        <w:ind w:left="540" w:hanging="540"/>
      </w:pPr>
      <w:rPr>
        <w:b/>
        <w:bCs w:val="0"/>
        <w:sz w:val="24"/>
        <w:szCs w:val="24"/>
      </w:r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59462D31"/>
    <w:multiLevelType w:val="hybridMultilevel"/>
    <w:tmpl w:val="115A283E"/>
    <w:lvl w:ilvl="0" w:tplc="56906CC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9E56198"/>
    <w:multiLevelType w:val="hybridMultilevel"/>
    <w:tmpl w:val="DFFC6952"/>
    <w:lvl w:ilvl="0" w:tplc="56906CC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F033060"/>
    <w:multiLevelType w:val="hybridMultilevel"/>
    <w:tmpl w:val="B046F9B0"/>
    <w:styleLink w:val="Styl21"/>
    <w:lvl w:ilvl="0" w:tplc="A074177A">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FBB4E33"/>
    <w:multiLevelType w:val="hybridMultilevel"/>
    <w:tmpl w:val="CC9CF262"/>
    <w:lvl w:ilvl="0" w:tplc="56906CC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2B505FC"/>
    <w:multiLevelType w:val="hybridMultilevel"/>
    <w:tmpl w:val="42A8A644"/>
    <w:lvl w:ilvl="0" w:tplc="56906CC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3DA6B96"/>
    <w:multiLevelType w:val="multilevel"/>
    <w:tmpl w:val="0415001F"/>
    <w:styleLink w:val="Styl2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8" w15:restartNumberingAfterBreak="0">
    <w:nsid w:val="64AE2D37"/>
    <w:multiLevelType w:val="hybridMultilevel"/>
    <w:tmpl w:val="9FD6857C"/>
    <w:lvl w:ilvl="0" w:tplc="56906CC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9" w15:restartNumberingAfterBreak="0">
    <w:nsid w:val="6527542D"/>
    <w:multiLevelType w:val="hybridMultilevel"/>
    <w:tmpl w:val="9F1224D6"/>
    <w:styleLink w:val="1111111"/>
    <w:lvl w:ilvl="0" w:tplc="6D3ADEA2">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62265EC"/>
    <w:multiLevelType w:val="hybridMultilevel"/>
    <w:tmpl w:val="D7EAE242"/>
    <w:lvl w:ilvl="0" w:tplc="88300FEA">
      <w:start w:val="1"/>
      <w:numFmt w:val="decimal"/>
      <w:suff w:val="space"/>
      <w:lvlText w:val="%1."/>
      <w:lvlJc w:val="left"/>
      <w:pPr>
        <w:ind w:left="284"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67B52C5"/>
    <w:multiLevelType w:val="hybridMultilevel"/>
    <w:tmpl w:val="0A8CE0DE"/>
    <w:lvl w:ilvl="0" w:tplc="56906CC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72074BC"/>
    <w:multiLevelType w:val="hybridMultilevel"/>
    <w:tmpl w:val="15EE8C2C"/>
    <w:lvl w:ilvl="0" w:tplc="9AE8255E">
      <w:start w:val="1"/>
      <w:numFmt w:val="decimal"/>
      <w:suff w:val="space"/>
      <w:lvlText w:val="%1."/>
      <w:lvlJc w:val="left"/>
      <w:pPr>
        <w:ind w:left="284" w:firstLine="0"/>
      </w:pPr>
      <w:rPr>
        <w:rFonts w:ascii="Lato" w:hAnsi="Lato" w:hint="default"/>
        <w:b/>
        <w:bCs w:val="0"/>
        <w:i w:val="0"/>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75C0309"/>
    <w:multiLevelType w:val="hybridMultilevel"/>
    <w:tmpl w:val="4F1EAB4A"/>
    <w:lvl w:ilvl="0" w:tplc="56906CC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2D81E4E"/>
    <w:multiLevelType w:val="hybridMultilevel"/>
    <w:tmpl w:val="39C0FB4E"/>
    <w:lvl w:ilvl="0" w:tplc="AD4E1764">
      <w:start w:val="1"/>
      <w:numFmt w:val="decimal"/>
      <w:suff w:val="space"/>
      <w:lvlText w:val="%1."/>
      <w:lvlJc w:val="left"/>
      <w:pPr>
        <w:ind w:left="284"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2DC3AEF"/>
    <w:multiLevelType w:val="hybridMultilevel"/>
    <w:tmpl w:val="7D20A898"/>
    <w:lvl w:ilvl="0" w:tplc="E2103470">
      <w:start w:val="1"/>
      <w:numFmt w:val="decimal"/>
      <w:suff w:val="space"/>
      <w:lvlText w:val="%1."/>
      <w:lvlJc w:val="left"/>
      <w:pPr>
        <w:ind w:left="284" w:firstLine="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6D34199"/>
    <w:multiLevelType w:val="hybridMultilevel"/>
    <w:tmpl w:val="5EC4DAE2"/>
    <w:lvl w:ilvl="0" w:tplc="3BA8ECCA">
      <w:start w:val="1"/>
      <w:numFmt w:val="decimal"/>
      <w:suff w:val="space"/>
      <w:lvlText w:val="%1."/>
      <w:lvlJc w:val="left"/>
      <w:pPr>
        <w:ind w:left="284"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AE97DED"/>
    <w:multiLevelType w:val="hybridMultilevel"/>
    <w:tmpl w:val="A0123FCC"/>
    <w:lvl w:ilvl="0" w:tplc="56906CC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B204960"/>
    <w:multiLevelType w:val="hybridMultilevel"/>
    <w:tmpl w:val="EE5283AC"/>
    <w:lvl w:ilvl="0" w:tplc="56906CC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E473B89"/>
    <w:multiLevelType w:val="multilevel"/>
    <w:tmpl w:val="ECB8F8DA"/>
    <w:lvl w:ilvl="0">
      <w:start w:val="1"/>
      <w:numFmt w:val="decimal"/>
      <w:suff w:val="space"/>
      <w:lvlText w:val="%1."/>
      <w:lvlJc w:val="left"/>
      <w:pPr>
        <w:ind w:left="284" w:firstLine="0"/>
      </w:pPr>
      <w:rPr>
        <w:rFonts w:hint="default"/>
      </w:rPr>
    </w:lvl>
    <w:lvl w:ilvl="1">
      <w:start w:val="1"/>
      <w:numFmt w:val="decimal"/>
      <w:suff w:val="space"/>
      <w:lvlText w:val="%1.%2."/>
      <w:lvlJc w:val="left"/>
      <w:pPr>
        <w:ind w:left="284" w:firstLine="0"/>
      </w:pPr>
      <w:rPr>
        <w:rFonts w:ascii="Lato" w:hAnsi="Lato" w:hint="default"/>
        <w:b w:val="0"/>
        <w:i w:val="0"/>
        <w:sz w:val="22"/>
      </w:rPr>
    </w:lvl>
    <w:lvl w:ilvl="2">
      <w:start w:val="1"/>
      <w:numFmt w:val="decimal"/>
      <w:lvlText w:val="%1.%2.%3."/>
      <w:lvlJc w:val="left"/>
      <w:pPr>
        <w:ind w:left="852" w:firstLine="0"/>
      </w:pPr>
      <w:rPr>
        <w:rFonts w:hint="default"/>
      </w:rPr>
    </w:lvl>
    <w:lvl w:ilvl="3">
      <w:start w:val="1"/>
      <w:numFmt w:val="decimal"/>
      <w:lvlText w:val="%1.%2.%3.%4."/>
      <w:lvlJc w:val="left"/>
      <w:pPr>
        <w:ind w:left="1136" w:firstLine="0"/>
      </w:pPr>
      <w:rPr>
        <w:rFonts w:hint="default"/>
      </w:rPr>
    </w:lvl>
    <w:lvl w:ilvl="4">
      <w:start w:val="1"/>
      <w:numFmt w:val="decimal"/>
      <w:lvlText w:val="%1.%2.%3.%4.%5."/>
      <w:lvlJc w:val="left"/>
      <w:pPr>
        <w:ind w:left="1420" w:firstLine="0"/>
      </w:pPr>
      <w:rPr>
        <w:rFonts w:hint="default"/>
      </w:rPr>
    </w:lvl>
    <w:lvl w:ilvl="5">
      <w:start w:val="1"/>
      <w:numFmt w:val="decimal"/>
      <w:lvlText w:val="%1.%2.%3.%4.%5.%6."/>
      <w:lvlJc w:val="left"/>
      <w:pPr>
        <w:ind w:left="1704" w:firstLine="0"/>
      </w:pPr>
      <w:rPr>
        <w:rFonts w:hint="default"/>
      </w:rPr>
    </w:lvl>
    <w:lvl w:ilvl="6">
      <w:start w:val="1"/>
      <w:numFmt w:val="decimal"/>
      <w:lvlText w:val="%1.%2.%3.%4.%5.%6.%7."/>
      <w:lvlJc w:val="left"/>
      <w:pPr>
        <w:ind w:left="1988" w:firstLine="0"/>
      </w:pPr>
      <w:rPr>
        <w:rFonts w:hint="default"/>
      </w:rPr>
    </w:lvl>
    <w:lvl w:ilvl="7">
      <w:start w:val="1"/>
      <w:numFmt w:val="decimal"/>
      <w:lvlText w:val="%1.%2.%3.%4.%5.%6.%7.%8."/>
      <w:lvlJc w:val="left"/>
      <w:pPr>
        <w:ind w:left="2272" w:firstLine="0"/>
      </w:pPr>
      <w:rPr>
        <w:rFonts w:hint="default"/>
      </w:rPr>
    </w:lvl>
    <w:lvl w:ilvl="8">
      <w:start w:val="1"/>
      <w:numFmt w:val="decimal"/>
      <w:lvlText w:val="%1.%2.%3.%4.%5.%6.%7.%8.%9."/>
      <w:lvlJc w:val="left"/>
      <w:pPr>
        <w:ind w:left="2556" w:firstLine="0"/>
      </w:pPr>
      <w:rPr>
        <w:rFonts w:hint="default"/>
      </w:rPr>
    </w:lvl>
  </w:abstractNum>
  <w:abstractNum w:abstractNumId="50" w15:restartNumberingAfterBreak="0">
    <w:nsid w:val="7EA6760A"/>
    <w:multiLevelType w:val="hybridMultilevel"/>
    <w:tmpl w:val="9E2C807C"/>
    <w:lvl w:ilvl="0" w:tplc="56906CCC">
      <w:start w:val="1"/>
      <w:numFmt w:val="bullet"/>
      <w:lvlText w:val=""/>
      <w:lvlJc w:val="left"/>
      <w:pPr>
        <w:ind w:left="-306" w:hanging="360"/>
      </w:pPr>
      <w:rPr>
        <w:rFonts w:ascii="Symbol" w:hAnsi="Symbol" w:hint="default"/>
      </w:rPr>
    </w:lvl>
    <w:lvl w:ilvl="1" w:tplc="FFFFFFFF" w:tentative="1">
      <w:start w:val="1"/>
      <w:numFmt w:val="lowerLetter"/>
      <w:lvlText w:val="%2."/>
      <w:lvlJc w:val="left"/>
      <w:pPr>
        <w:ind w:left="414" w:hanging="360"/>
      </w:pPr>
    </w:lvl>
    <w:lvl w:ilvl="2" w:tplc="FFFFFFFF" w:tentative="1">
      <w:start w:val="1"/>
      <w:numFmt w:val="lowerRoman"/>
      <w:lvlText w:val="%3."/>
      <w:lvlJc w:val="right"/>
      <w:pPr>
        <w:ind w:left="1134" w:hanging="180"/>
      </w:pPr>
    </w:lvl>
    <w:lvl w:ilvl="3" w:tplc="FFFFFFFF" w:tentative="1">
      <w:start w:val="1"/>
      <w:numFmt w:val="decimal"/>
      <w:lvlText w:val="%4."/>
      <w:lvlJc w:val="left"/>
      <w:pPr>
        <w:ind w:left="1854" w:hanging="360"/>
      </w:pPr>
    </w:lvl>
    <w:lvl w:ilvl="4" w:tplc="FFFFFFFF" w:tentative="1">
      <w:start w:val="1"/>
      <w:numFmt w:val="lowerLetter"/>
      <w:lvlText w:val="%5."/>
      <w:lvlJc w:val="left"/>
      <w:pPr>
        <w:ind w:left="2574" w:hanging="360"/>
      </w:pPr>
    </w:lvl>
    <w:lvl w:ilvl="5" w:tplc="FFFFFFFF" w:tentative="1">
      <w:start w:val="1"/>
      <w:numFmt w:val="lowerRoman"/>
      <w:lvlText w:val="%6."/>
      <w:lvlJc w:val="right"/>
      <w:pPr>
        <w:ind w:left="3294" w:hanging="180"/>
      </w:pPr>
    </w:lvl>
    <w:lvl w:ilvl="6" w:tplc="FFFFFFFF" w:tentative="1">
      <w:start w:val="1"/>
      <w:numFmt w:val="decimal"/>
      <w:lvlText w:val="%7."/>
      <w:lvlJc w:val="left"/>
      <w:pPr>
        <w:ind w:left="4014" w:hanging="360"/>
      </w:pPr>
    </w:lvl>
    <w:lvl w:ilvl="7" w:tplc="FFFFFFFF" w:tentative="1">
      <w:start w:val="1"/>
      <w:numFmt w:val="lowerLetter"/>
      <w:lvlText w:val="%8."/>
      <w:lvlJc w:val="left"/>
      <w:pPr>
        <w:ind w:left="4734" w:hanging="360"/>
      </w:pPr>
    </w:lvl>
    <w:lvl w:ilvl="8" w:tplc="FFFFFFFF" w:tentative="1">
      <w:start w:val="1"/>
      <w:numFmt w:val="lowerRoman"/>
      <w:lvlText w:val="%9."/>
      <w:lvlJc w:val="right"/>
      <w:pPr>
        <w:ind w:left="5454" w:hanging="180"/>
      </w:pPr>
    </w:lvl>
  </w:abstractNum>
  <w:num w:numId="1" w16cid:durableId="1880318009">
    <w:abstractNumId w:val="42"/>
  </w:num>
  <w:num w:numId="2" w16cid:durableId="1431007644">
    <w:abstractNumId w:val="40"/>
  </w:num>
  <w:num w:numId="3" w16cid:durableId="1862818214">
    <w:abstractNumId w:val="45"/>
  </w:num>
  <w:num w:numId="4" w16cid:durableId="1392268931">
    <w:abstractNumId w:val="44"/>
  </w:num>
  <w:num w:numId="5" w16cid:durableId="1926065643">
    <w:abstractNumId w:val="13"/>
  </w:num>
  <w:num w:numId="6" w16cid:durableId="1352146941">
    <w:abstractNumId w:val="39"/>
  </w:num>
  <w:num w:numId="7" w16cid:durableId="1953634267">
    <w:abstractNumId w:val="34"/>
  </w:num>
  <w:num w:numId="8" w16cid:durableId="639381913">
    <w:abstractNumId w:val="24"/>
  </w:num>
  <w:num w:numId="9" w16cid:durableId="1783956516">
    <w:abstractNumId w:val="49"/>
  </w:num>
  <w:num w:numId="10" w16cid:durableId="2107537483">
    <w:abstractNumId w:val="17"/>
  </w:num>
  <w:num w:numId="11" w16cid:durableId="1085688370">
    <w:abstractNumId w:val="23"/>
  </w:num>
  <w:num w:numId="12" w16cid:durableId="710154628">
    <w:abstractNumId w:val="3"/>
  </w:num>
  <w:num w:numId="13" w16cid:durableId="140000001">
    <w:abstractNumId w:val="37"/>
  </w:num>
  <w:num w:numId="14" w16cid:durableId="1007950656">
    <w:abstractNumId w:val="14"/>
  </w:num>
  <w:num w:numId="15" w16cid:durableId="1982928819">
    <w:abstractNumId w:val="31"/>
  </w:num>
  <w:num w:numId="16" w16cid:durableId="1811747081">
    <w:abstractNumId w:val="25"/>
  </w:num>
  <w:num w:numId="17" w16cid:durableId="2146116580">
    <w:abstractNumId w:val="8"/>
  </w:num>
  <w:num w:numId="18" w16cid:durableId="1362778816">
    <w:abstractNumId w:val="28"/>
  </w:num>
  <w:num w:numId="19" w16cid:durableId="1978947629">
    <w:abstractNumId w:val="19"/>
  </w:num>
  <w:num w:numId="20" w16cid:durableId="1041631545">
    <w:abstractNumId w:val="9"/>
  </w:num>
  <w:num w:numId="21" w16cid:durableId="333345340">
    <w:abstractNumId w:val="30"/>
  </w:num>
  <w:num w:numId="22" w16cid:durableId="161971725">
    <w:abstractNumId w:val="1"/>
  </w:num>
  <w:num w:numId="23" w16cid:durableId="1682315398">
    <w:abstractNumId w:val="2"/>
  </w:num>
  <w:num w:numId="24" w16cid:durableId="396320044">
    <w:abstractNumId w:val="46"/>
  </w:num>
  <w:num w:numId="25" w16cid:durableId="1380939107">
    <w:abstractNumId w:val="22"/>
  </w:num>
  <w:num w:numId="26" w16cid:durableId="1951432135">
    <w:abstractNumId w:val="21"/>
  </w:num>
  <w:num w:numId="27" w16cid:durableId="252714281">
    <w:abstractNumId w:val="27"/>
  </w:num>
  <w:num w:numId="28" w16cid:durableId="456872721">
    <w:abstractNumId w:val="41"/>
  </w:num>
  <w:num w:numId="29" w16cid:durableId="726416335">
    <w:abstractNumId w:val="43"/>
  </w:num>
  <w:num w:numId="30" w16cid:durableId="888146541">
    <w:abstractNumId w:val="5"/>
  </w:num>
  <w:num w:numId="31" w16cid:durableId="1254238707">
    <w:abstractNumId w:val="6"/>
  </w:num>
  <w:num w:numId="32" w16cid:durableId="62679578">
    <w:abstractNumId w:val="4"/>
  </w:num>
  <w:num w:numId="33" w16cid:durableId="1497067698">
    <w:abstractNumId w:val="18"/>
  </w:num>
  <w:num w:numId="34" w16cid:durableId="758713655">
    <w:abstractNumId w:val="0"/>
  </w:num>
  <w:num w:numId="35" w16cid:durableId="1107039808">
    <w:abstractNumId w:val="47"/>
  </w:num>
  <w:num w:numId="36" w16cid:durableId="972060380">
    <w:abstractNumId w:val="36"/>
  </w:num>
  <w:num w:numId="37" w16cid:durableId="1972325691">
    <w:abstractNumId w:val="32"/>
  </w:num>
  <w:num w:numId="38" w16cid:durableId="1294024805">
    <w:abstractNumId w:val="10"/>
  </w:num>
  <w:num w:numId="39" w16cid:durableId="861699499">
    <w:abstractNumId w:val="50"/>
  </w:num>
  <w:num w:numId="40" w16cid:durableId="831674613">
    <w:abstractNumId w:val="7"/>
  </w:num>
  <w:num w:numId="41" w16cid:durableId="835923203">
    <w:abstractNumId w:val="20"/>
  </w:num>
  <w:num w:numId="42" w16cid:durableId="1221674715">
    <w:abstractNumId w:val="33"/>
  </w:num>
  <w:num w:numId="43" w16cid:durableId="480273417">
    <w:abstractNumId w:val="48"/>
  </w:num>
  <w:num w:numId="44" w16cid:durableId="2114520106">
    <w:abstractNumId w:val="26"/>
  </w:num>
  <w:num w:numId="45" w16cid:durableId="784428674">
    <w:abstractNumId w:val="11"/>
  </w:num>
  <w:num w:numId="46" w16cid:durableId="1039623600">
    <w:abstractNumId w:val="12"/>
  </w:num>
  <w:num w:numId="47" w16cid:durableId="1139028622">
    <w:abstractNumId w:val="16"/>
  </w:num>
  <w:num w:numId="48" w16cid:durableId="1935431766">
    <w:abstractNumId w:val="15"/>
  </w:num>
  <w:num w:numId="49" w16cid:durableId="1305156775">
    <w:abstractNumId w:val="35"/>
  </w:num>
  <w:num w:numId="50" w16cid:durableId="71121535">
    <w:abstractNumId w:val="38"/>
  </w:num>
  <w:num w:numId="51" w16cid:durableId="1564828713">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70C"/>
    <w:rsid w:val="00000BD1"/>
    <w:rsid w:val="00003470"/>
    <w:rsid w:val="00006B89"/>
    <w:rsid w:val="00007991"/>
    <w:rsid w:val="000147CF"/>
    <w:rsid w:val="00022502"/>
    <w:rsid w:val="0003359E"/>
    <w:rsid w:val="0003454D"/>
    <w:rsid w:val="00041FB7"/>
    <w:rsid w:val="000434EC"/>
    <w:rsid w:val="0004358B"/>
    <w:rsid w:val="0004472E"/>
    <w:rsid w:val="00050E2B"/>
    <w:rsid w:val="00053448"/>
    <w:rsid w:val="0005388A"/>
    <w:rsid w:val="00054655"/>
    <w:rsid w:val="000604A2"/>
    <w:rsid w:val="00064411"/>
    <w:rsid w:val="00064DBB"/>
    <w:rsid w:val="00067A4E"/>
    <w:rsid w:val="0007169F"/>
    <w:rsid w:val="00075DC1"/>
    <w:rsid w:val="00076DEF"/>
    <w:rsid w:val="00077DA5"/>
    <w:rsid w:val="00080A2E"/>
    <w:rsid w:val="000847CF"/>
    <w:rsid w:val="0008748D"/>
    <w:rsid w:val="0009185E"/>
    <w:rsid w:val="000A612A"/>
    <w:rsid w:val="000B30AF"/>
    <w:rsid w:val="000B3940"/>
    <w:rsid w:val="000B473D"/>
    <w:rsid w:val="000B759F"/>
    <w:rsid w:val="000C003D"/>
    <w:rsid w:val="000C07E2"/>
    <w:rsid w:val="000C2377"/>
    <w:rsid w:val="000C7A64"/>
    <w:rsid w:val="000E4AF9"/>
    <w:rsid w:val="000F1F19"/>
    <w:rsid w:val="000F4681"/>
    <w:rsid w:val="000F6B71"/>
    <w:rsid w:val="0011760D"/>
    <w:rsid w:val="00130F95"/>
    <w:rsid w:val="00130FC8"/>
    <w:rsid w:val="0013412A"/>
    <w:rsid w:val="001342AA"/>
    <w:rsid w:val="00134CB6"/>
    <w:rsid w:val="00146F44"/>
    <w:rsid w:val="00154A69"/>
    <w:rsid w:val="001565CF"/>
    <w:rsid w:val="00162AA4"/>
    <w:rsid w:val="00164776"/>
    <w:rsid w:val="00170BC6"/>
    <w:rsid w:val="00182ADB"/>
    <w:rsid w:val="00190AB6"/>
    <w:rsid w:val="00191A59"/>
    <w:rsid w:val="00191DC3"/>
    <w:rsid w:val="00196FE6"/>
    <w:rsid w:val="00197934"/>
    <w:rsid w:val="001A07E0"/>
    <w:rsid w:val="001A18F2"/>
    <w:rsid w:val="001A5FD0"/>
    <w:rsid w:val="001B3A58"/>
    <w:rsid w:val="001C532D"/>
    <w:rsid w:val="001D1B17"/>
    <w:rsid w:val="001D3C3C"/>
    <w:rsid w:val="001E187C"/>
    <w:rsid w:val="001E2C1D"/>
    <w:rsid w:val="001F31D1"/>
    <w:rsid w:val="001F49B7"/>
    <w:rsid w:val="001F5A7E"/>
    <w:rsid w:val="002060E8"/>
    <w:rsid w:val="00207F26"/>
    <w:rsid w:val="00216B3F"/>
    <w:rsid w:val="00220845"/>
    <w:rsid w:val="00225539"/>
    <w:rsid w:val="00234B27"/>
    <w:rsid w:val="00241110"/>
    <w:rsid w:val="00242F8C"/>
    <w:rsid w:val="00245ED6"/>
    <w:rsid w:val="00247299"/>
    <w:rsid w:val="002523BF"/>
    <w:rsid w:val="002612C4"/>
    <w:rsid w:val="00261508"/>
    <w:rsid w:val="0026222F"/>
    <w:rsid w:val="00272867"/>
    <w:rsid w:val="00273B45"/>
    <w:rsid w:val="00285FE4"/>
    <w:rsid w:val="002A3179"/>
    <w:rsid w:val="002A494C"/>
    <w:rsid w:val="002A5F45"/>
    <w:rsid w:val="002B20B5"/>
    <w:rsid w:val="002B6034"/>
    <w:rsid w:val="002B7836"/>
    <w:rsid w:val="002C4275"/>
    <w:rsid w:val="002D163F"/>
    <w:rsid w:val="002D3F3F"/>
    <w:rsid w:val="002E2CC9"/>
    <w:rsid w:val="002E6C80"/>
    <w:rsid w:val="002F0F3E"/>
    <w:rsid w:val="00301A64"/>
    <w:rsid w:val="0030499B"/>
    <w:rsid w:val="003141C3"/>
    <w:rsid w:val="0032245C"/>
    <w:rsid w:val="00326187"/>
    <w:rsid w:val="00326B5B"/>
    <w:rsid w:val="00337A5E"/>
    <w:rsid w:val="0034110A"/>
    <w:rsid w:val="0034170C"/>
    <w:rsid w:val="0034611B"/>
    <w:rsid w:val="003467D1"/>
    <w:rsid w:val="00356205"/>
    <w:rsid w:val="00356C26"/>
    <w:rsid w:val="003573F2"/>
    <w:rsid w:val="0035744C"/>
    <w:rsid w:val="00362D01"/>
    <w:rsid w:val="0036671B"/>
    <w:rsid w:val="00373DED"/>
    <w:rsid w:val="00377D16"/>
    <w:rsid w:val="00380507"/>
    <w:rsid w:val="003818A5"/>
    <w:rsid w:val="00383E25"/>
    <w:rsid w:val="003863D1"/>
    <w:rsid w:val="003879C9"/>
    <w:rsid w:val="00391E19"/>
    <w:rsid w:val="00396EA9"/>
    <w:rsid w:val="003A377E"/>
    <w:rsid w:val="003A488D"/>
    <w:rsid w:val="003A709A"/>
    <w:rsid w:val="003B1658"/>
    <w:rsid w:val="003B1844"/>
    <w:rsid w:val="003B1AC6"/>
    <w:rsid w:val="003B3B27"/>
    <w:rsid w:val="003B5B49"/>
    <w:rsid w:val="003B5BD9"/>
    <w:rsid w:val="003C1E8A"/>
    <w:rsid w:val="003C357A"/>
    <w:rsid w:val="003E3861"/>
    <w:rsid w:val="003E3D53"/>
    <w:rsid w:val="003E40A3"/>
    <w:rsid w:val="003E5239"/>
    <w:rsid w:val="003F268C"/>
    <w:rsid w:val="003F5C36"/>
    <w:rsid w:val="003F7523"/>
    <w:rsid w:val="003F7B79"/>
    <w:rsid w:val="004049DB"/>
    <w:rsid w:val="004108D0"/>
    <w:rsid w:val="00413A9A"/>
    <w:rsid w:val="004168D4"/>
    <w:rsid w:val="004211D4"/>
    <w:rsid w:val="00422030"/>
    <w:rsid w:val="0042581C"/>
    <w:rsid w:val="00431005"/>
    <w:rsid w:val="00431E4C"/>
    <w:rsid w:val="0043208A"/>
    <w:rsid w:val="00444248"/>
    <w:rsid w:val="00446DF3"/>
    <w:rsid w:val="00447265"/>
    <w:rsid w:val="00457897"/>
    <w:rsid w:val="00462003"/>
    <w:rsid w:val="00474549"/>
    <w:rsid w:val="0048231A"/>
    <w:rsid w:val="00483713"/>
    <w:rsid w:val="00487D7F"/>
    <w:rsid w:val="00491357"/>
    <w:rsid w:val="004922F3"/>
    <w:rsid w:val="00496D6C"/>
    <w:rsid w:val="004A046E"/>
    <w:rsid w:val="004A1952"/>
    <w:rsid w:val="004A50D9"/>
    <w:rsid w:val="004A6388"/>
    <w:rsid w:val="004A6990"/>
    <w:rsid w:val="004B10CA"/>
    <w:rsid w:val="004B4A59"/>
    <w:rsid w:val="004C0190"/>
    <w:rsid w:val="004C6E61"/>
    <w:rsid w:val="004D0C85"/>
    <w:rsid w:val="004D2252"/>
    <w:rsid w:val="004D2547"/>
    <w:rsid w:val="004D3372"/>
    <w:rsid w:val="004D4338"/>
    <w:rsid w:val="004D5BF8"/>
    <w:rsid w:val="004D5CBE"/>
    <w:rsid w:val="004E29A0"/>
    <w:rsid w:val="004E36A5"/>
    <w:rsid w:val="004F266C"/>
    <w:rsid w:val="004F4122"/>
    <w:rsid w:val="00500F04"/>
    <w:rsid w:val="00502A2C"/>
    <w:rsid w:val="00512B3C"/>
    <w:rsid w:val="005170BB"/>
    <w:rsid w:val="00521CB1"/>
    <w:rsid w:val="00532263"/>
    <w:rsid w:val="00546F21"/>
    <w:rsid w:val="00547532"/>
    <w:rsid w:val="0055608A"/>
    <w:rsid w:val="005561E4"/>
    <w:rsid w:val="0055623C"/>
    <w:rsid w:val="00560DE7"/>
    <w:rsid w:val="005629C1"/>
    <w:rsid w:val="00570435"/>
    <w:rsid w:val="005848D3"/>
    <w:rsid w:val="00584B82"/>
    <w:rsid w:val="005922A9"/>
    <w:rsid w:val="00592CB6"/>
    <w:rsid w:val="00595281"/>
    <w:rsid w:val="00595F99"/>
    <w:rsid w:val="005B0F05"/>
    <w:rsid w:val="005B25C1"/>
    <w:rsid w:val="005C2F5A"/>
    <w:rsid w:val="005C41E0"/>
    <w:rsid w:val="005C7ADC"/>
    <w:rsid w:val="005D1F63"/>
    <w:rsid w:val="005D4FBE"/>
    <w:rsid w:val="005D5FA4"/>
    <w:rsid w:val="005D60DD"/>
    <w:rsid w:val="005E084E"/>
    <w:rsid w:val="005E2964"/>
    <w:rsid w:val="005E716D"/>
    <w:rsid w:val="005F4BC4"/>
    <w:rsid w:val="00602AF1"/>
    <w:rsid w:val="006062A3"/>
    <w:rsid w:val="00606675"/>
    <w:rsid w:val="00620A44"/>
    <w:rsid w:val="006236FE"/>
    <w:rsid w:val="00624BD6"/>
    <w:rsid w:val="0062716A"/>
    <w:rsid w:val="0063187D"/>
    <w:rsid w:val="00634C38"/>
    <w:rsid w:val="006354BD"/>
    <w:rsid w:val="006364AB"/>
    <w:rsid w:val="00641BC9"/>
    <w:rsid w:val="0064416A"/>
    <w:rsid w:val="006446AC"/>
    <w:rsid w:val="00647129"/>
    <w:rsid w:val="006501E6"/>
    <w:rsid w:val="00655B78"/>
    <w:rsid w:val="00656E80"/>
    <w:rsid w:val="00665EA1"/>
    <w:rsid w:val="0067268A"/>
    <w:rsid w:val="00675814"/>
    <w:rsid w:val="0068094A"/>
    <w:rsid w:val="006828BB"/>
    <w:rsid w:val="006848B0"/>
    <w:rsid w:val="0068623C"/>
    <w:rsid w:val="00686535"/>
    <w:rsid w:val="00691D2F"/>
    <w:rsid w:val="00697EC6"/>
    <w:rsid w:val="006A5558"/>
    <w:rsid w:val="006A6B38"/>
    <w:rsid w:val="006B03F8"/>
    <w:rsid w:val="006B0F0A"/>
    <w:rsid w:val="006B2511"/>
    <w:rsid w:val="006C0297"/>
    <w:rsid w:val="006C2513"/>
    <w:rsid w:val="006C5839"/>
    <w:rsid w:val="006E1CA6"/>
    <w:rsid w:val="006E5B85"/>
    <w:rsid w:val="006E791B"/>
    <w:rsid w:val="006F3A27"/>
    <w:rsid w:val="0070148A"/>
    <w:rsid w:val="0070151D"/>
    <w:rsid w:val="007057ED"/>
    <w:rsid w:val="0070701E"/>
    <w:rsid w:val="0071103A"/>
    <w:rsid w:val="007124C7"/>
    <w:rsid w:val="0071411F"/>
    <w:rsid w:val="007149EF"/>
    <w:rsid w:val="00720D4E"/>
    <w:rsid w:val="007216B6"/>
    <w:rsid w:val="0072675B"/>
    <w:rsid w:val="00727D03"/>
    <w:rsid w:val="00732EBA"/>
    <w:rsid w:val="007330DD"/>
    <w:rsid w:val="00735FF4"/>
    <w:rsid w:val="00737B47"/>
    <w:rsid w:val="00746397"/>
    <w:rsid w:val="00747C41"/>
    <w:rsid w:val="00750881"/>
    <w:rsid w:val="00760CEE"/>
    <w:rsid w:val="0076284B"/>
    <w:rsid w:val="0076381A"/>
    <w:rsid w:val="00766557"/>
    <w:rsid w:val="0077038F"/>
    <w:rsid w:val="00774CF2"/>
    <w:rsid w:val="00780ECC"/>
    <w:rsid w:val="00786204"/>
    <w:rsid w:val="00796561"/>
    <w:rsid w:val="007969CD"/>
    <w:rsid w:val="00796E44"/>
    <w:rsid w:val="007A0BDE"/>
    <w:rsid w:val="007A5E92"/>
    <w:rsid w:val="007B3CB4"/>
    <w:rsid w:val="007C03DB"/>
    <w:rsid w:val="007C1314"/>
    <w:rsid w:val="007C5390"/>
    <w:rsid w:val="007E0E0F"/>
    <w:rsid w:val="007E2B79"/>
    <w:rsid w:val="007E4C5E"/>
    <w:rsid w:val="007E575D"/>
    <w:rsid w:val="007E5B40"/>
    <w:rsid w:val="00804AA5"/>
    <w:rsid w:val="00805754"/>
    <w:rsid w:val="00811189"/>
    <w:rsid w:val="00817479"/>
    <w:rsid w:val="00823B8A"/>
    <w:rsid w:val="00830FE5"/>
    <w:rsid w:val="0083312F"/>
    <w:rsid w:val="00835A9A"/>
    <w:rsid w:val="00837CA7"/>
    <w:rsid w:val="0084517C"/>
    <w:rsid w:val="00847CB2"/>
    <w:rsid w:val="008508D2"/>
    <w:rsid w:val="0085213D"/>
    <w:rsid w:val="00853004"/>
    <w:rsid w:val="00853027"/>
    <w:rsid w:val="00853514"/>
    <w:rsid w:val="008572E6"/>
    <w:rsid w:val="00861843"/>
    <w:rsid w:val="00861C50"/>
    <w:rsid w:val="008675AB"/>
    <w:rsid w:val="00885F34"/>
    <w:rsid w:val="008918A8"/>
    <w:rsid w:val="00892F8A"/>
    <w:rsid w:val="008A1704"/>
    <w:rsid w:val="008A5441"/>
    <w:rsid w:val="008B49FA"/>
    <w:rsid w:val="008B7C39"/>
    <w:rsid w:val="008C1ABA"/>
    <w:rsid w:val="008D0491"/>
    <w:rsid w:val="008E267F"/>
    <w:rsid w:val="008E3AEE"/>
    <w:rsid w:val="008F08FC"/>
    <w:rsid w:val="008F207F"/>
    <w:rsid w:val="008F28F3"/>
    <w:rsid w:val="008F7D58"/>
    <w:rsid w:val="00902E4A"/>
    <w:rsid w:val="0090516C"/>
    <w:rsid w:val="0090654F"/>
    <w:rsid w:val="00911610"/>
    <w:rsid w:val="00912D12"/>
    <w:rsid w:val="00913D9B"/>
    <w:rsid w:val="00922A73"/>
    <w:rsid w:val="00922D30"/>
    <w:rsid w:val="009241B8"/>
    <w:rsid w:val="00925AF0"/>
    <w:rsid w:val="00927094"/>
    <w:rsid w:val="00942F22"/>
    <w:rsid w:val="00946DEB"/>
    <w:rsid w:val="0094702F"/>
    <w:rsid w:val="009476ED"/>
    <w:rsid w:val="00956A23"/>
    <w:rsid w:val="00973441"/>
    <w:rsid w:val="00977329"/>
    <w:rsid w:val="00983F34"/>
    <w:rsid w:val="00985C80"/>
    <w:rsid w:val="00986DE0"/>
    <w:rsid w:val="0098791B"/>
    <w:rsid w:val="009905A3"/>
    <w:rsid w:val="00994543"/>
    <w:rsid w:val="00996055"/>
    <w:rsid w:val="009A48FA"/>
    <w:rsid w:val="009A6E43"/>
    <w:rsid w:val="009B162D"/>
    <w:rsid w:val="009B2C5E"/>
    <w:rsid w:val="009C3251"/>
    <w:rsid w:val="009D71E3"/>
    <w:rsid w:val="009E38FA"/>
    <w:rsid w:val="009E63CB"/>
    <w:rsid w:val="009F0C3D"/>
    <w:rsid w:val="009F15CD"/>
    <w:rsid w:val="009F2B60"/>
    <w:rsid w:val="009F310E"/>
    <w:rsid w:val="00A01EAE"/>
    <w:rsid w:val="00A022F6"/>
    <w:rsid w:val="00A0275A"/>
    <w:rsid w:val="00A04F6E"/>
    <w:rsid w:val="00A109F2"/>
    <w:rsid w:val="00A14D69"/>
    <w:rsid w:val="00A22F4E"/>
    <w:rsid w:val="00A379E0"/>
    <w:rsid w:val="00A4060A"/>
    <w:rsid w:val="00A4441F"/>
    <w:rsid w:val="00A4556F"/>
    <w:rsid w:val="00A47D55"/>
    <w:rsid w:val="00A51377"/>
    <w:rsid w:val="00A53E3D"/>
    <w:rsid w:val="00A572AF"/>
    <w:rsid w:val="00A619C4"/>
    <w:rsid w:val="00A63DEE"/>
    <w:rsid w:val="00A64850"/>
    <w:rsid w:val="00A70535"/>
    <w:rsid w:val="00A748E8"/>
    <w:rsid w:val="00A75E1E"/>
    <w:rsid w:val="00A77C75"/>
    <w:rsid w:val="00A9310D"/>
    <w:rsid w:val="00AB310C"/>
    <w:rsid w:val="00AC1CA3"/>
    <w:rsid w:val="00AC1CB1"/>
    <w:rsid w:val="00AC203C"/>
    <w:rsid w:val="00AC4E3A"/>
    <w:rsid w:val="00AC50AD"/>
    <w:rsid w:val="00AC5D37"/>
    <w:rsid w:val="00AD4E46"/>
    <w:rsid w:val="00AD5556"/>
    <w:rsid w:val="00AE2F48"/>
    <w:rsid w:val="00AF2B78"/>
    <w:rsid w:val="00B15A90"/>
    <w:rsid w:val="00B16793"/>
    <w:rsid w:val="00B2243B"/>
    <w:rsid w:val="00B22464"/>
    <w:rsid w:val="00B327E0"/>
    <w:rsid w:val="00B34BE1"/>
    <w:rsid w:val="00B409AF"/>
    <w:rsid w:val="00B4716C"/>
    <w:rsid w:val="00B62D2A"/>
    <w:rsid w:val="00B65EF5"/>
    <w:rsid w:val="00B66B49"/>
    <w:rsid w:val="00B74DAD"/>
    <w:rsid w:val="00B80FB3"/>
    <w:rsid w:val="00B83A5B"/>
    <w:rsid w:val="00BA2854"/>
    <w:rsid w:val="00BA30E7"/>
    <w:rsid w:val="00BA30F8"/>
    <w:rsid w:val="00BA7006"/>
    <w:rsid w:val="00BA7929"/>
    <w:rsid w:val="00BB2201"/>
    <w:rsid w:val="00BB4998"/>
    <w:rsid w:val="00BC1A56"/>
    <w:rsid w:val="00BC4EFB"/>
    <w:rsid w:val="00BC5103"/>
    <w:rsid w:val="00BD257C"/>
    <w:rsid w:val="00BD49DD"/>
    <w:rsid w:val="00BD7BB8"/>
    <w:rsid w:val="00BE64C2"/>
    <w:rsid w:val="00BF1424"/>
    <w:rsid w:val="00BF45B9"/>
    <w:rsid w:val="00BF55CE"/>
    <w:rsid w:val="00C00C7F"/>
    <w:rsid w:val="00C02285"/>
    <w:rsid w:val="00C02718"/>
    <w:rsid w:val="00C02B20"/>
    <w:rsid w:val="00C03C32"/>
    <w:rsid w:val="00C13D5F"/>
    <w:rsid w:val="00C15E02"/>
    <w:rsid w:val="00C2168A"/>
    <w:rsid w:val="00C274AF"/>
    <w:rsid w:val="00C31AFF"/>
    <w:rsid w:val="00C31ECB"/>
    <w:rsid w:val="00C42434"/>
    <w:rsid w:val="00C432BD"/>
    <w:rsid w:val="00C50335"/>
    <w:rsid w:val="00C516BB"/>
    <w:rsid w:val="00C55726"/>
    <w:rsid w:val="00C60215"/>
    <w:rsid w:val="00C62F30"/>
    <w:rsid w:val="00C66301"/>
    <w:rsid w:val="00C719E9"/>
    <w:rsid w:val="00C7590E"/>
    <w:rsid w:val="00C80602"/>
    <w:rsid w:val="00C8080D"/>
    <w:rsid w:val="00C91DF8"/>
    <w:rsid w:val="00C92B81"/>
    <w:rsid w:val="00C9497A"/>
    <w:rsid w:val="00CA07D9"/>
    <w:rsid w:val="00CA3B63"/>
    <w:rsid w:val="00CA5D10"/>
    <w:rsid w:val="00CA70AD"/>
    <w:rsid w:val="00CB0FE3"/>
    <w:rsid w:val="00CB2CA2"/>
    <w:rsid w:val="00CB4472"/>
    <w:rsid w:val="00CC39AE"/>
    <w:rsid w:val="00CC4406"/>
    <w:rsid w:val="00CC55E6"/>
    <w:rsid w:val="00CC6CBB"/>
    <w:rsid w:val="00CC7D61"/>
    <w:rsid w:val="00CD2A03"/>
    <w:rsid w:val="00CD4386"/>
    <w:rsid w:val="00CD504C"/>
    <w:rsid w:val="00CD7E3D"/>
    <w:rsid w:val="00CE5372"/>
    <w:rsid w:val="00CE751C"/>
    <w:rsid w:val="00CF01B8"/>
    <w:rsid w:val="00CF32EE"/>
    <w:rsid w:val="00CF3312"/>
    <w:rsid w:val="00D0507A"/>
    <w:rsid w:val="00D06436"/>
    <w:rsid w:val="00D06EBD"/>
    <w:rsid w:val="00D20125"/>
    <w:rsid w:val="00D24A33"/>
    <w:rsid w:val="00D41677"/>
    <w:rsid w:val="00D444A6"/>
    <w:rsid w:val="00D46046"/>
    <w:rsid w:val="00D515E1"/>
    <w:rsid w:val="00D706DB"/>
    <w:rsid w:val="00D73DF2"/>
    <w:rsid w:val="00D745FB"/>
    <w:rsid w:val="00D90FB9"/>
    <w:rsid w:val="00DA76DA"/>
    <w:rsid w:val="00DB07EC"/>
    <w:rsid w:val="00DB3C4E"/>
    <w:rsid w:val="00DB4154"/>
    <w:rsid w:val="00DB41AC"/>
    <w:rsid w:val="00DB7ECB"/>
    <w:rsid w:val="00DC11F1"/>
    <w:rsid w:val="00DD3FD7"/>
    <w:rsid w:val="00DD43B9"/>
    <w:rsid w:val="00DD5957"/>
    <w:rsid w:val="00DD7F88"/>
    <w:rsid w:val="00DE526F"/>
    <w:rsid w:val="00DE6F2E"/>
    <w:rsid w:val="00DE7B8C"/>
    <w:rsid w:val="00DF5471"/>
    <w:rsid w:val="00DF7DE8"/>
    <w:rsid w:val="00E01061"/>
    <w:rsid w:val="00E13B1E"/>
    <w:rsid w:val="00E20A14"/>
    <w:rsid w:val="00E21014"/>
    <w:rsid w:val="00E2135B"/>
    <w:rsid w:val="00E31B5B"/>
    <w:rsid w:val="00E31F11"/>
    <w:rsid w:val="00E31F50"/>
    <w:rsid w:val="00E32284"/>
    <w:rsid w:val="00E353EE"/>
    <w:rsid w:val="00E439FD"/>
    <w:rsid w:val="00E46B66"/>
    <w:rsid w:val="00E53DE8"/>
    <w:rsid w:val="00E5412B"/>
    <w:rsid w:val="00E57177"/>
    <w:rsid w:val="00E63792"/>
    <w:rsid w:val="00E63C92"/>
    <w:rsid w:val="00E67A74"/>
    <w:rsid w:val="00E85F44"/>
    <w:rsid w:val="00E86E49"/>
    <w:rsid w:val="00E96C76"/>
    <w:rsid w:val="00EA0E18"/>
    <w:rsid w:val="00EA310A"/>
    <w:rsid w:val="00EA7038"/>
    <w:rsid w:val="00EB4D36"/>
    <w:rsid w:val="00EC00AF"/>
    <w:rsid w:val="00EC073F"/>
    <w:rsid w:val="00EC55CE"/>
    <w:rsid w:val="00ED2B44"/>
    <w:rsid w:val="00ED45D3"/>
    <w:rsid w:val="00ED6B79"/>
    <w:rsid w:val="00ED764F"/>
    <w:rsid w:val="00EE55F5"/>
    <w:rsid w:val="00EF731A"/>
    <w:rsid w:val="00F0018B"/>
    <w:rsid w:val="00F040E7"/>
    <w:rsid w:val="00F059C1"/>
    <w:rsid w:val="00F12EA3"/>
    <w:rsid w:val="00F17075"/>
    <w:rsid w:val="00F21E82"/>
    <w:rsid w:val="00F37ABA"/>
    <w:rsid w:val="00F45A42"/>
    <w:rsid w:val="00F46CE1"/>
    <w:rsid w:val="00F535EC"/>
    <w:rsid w:val="00F54205"/>
    <w:rsid w:val="00F70812"/>
    <w:rsid w:val="00F71E98"/>
    <w:rsid w:val="00F7280F"/>
    <w:rsid w:val="00F72D7A"/>
    <w:rsid w:val="00F83304"/>
    <w:rsid w:val="00F839C8"/>
    <w:rsid w:val="00F9431F"/>
    <w:rsid w:val="00F96297"/>
    <w:rsid w:val="00F971D9"/>
    <w:rsid w:val="00FA116A"/>
    <w:rsid w:val="00FA72A2"/>
    <w:rsid w:val="00FA7CAE"/>
    <w:rsid w:val="00FB7644"/>
    <w:rsid w:val="00FC04D0"/>
    <w:rsid w:val="00FC2D36"/>
    <w:rsid w:val="00FC3CF8"/>
    <w:rsid w:val="00FC3D1E"/>
    <w:rsid w:val="00FD31AE"/>
    <w:rsid w:val="00FE3EEE"/>
    <w:rsid w:val="00FE7AAE"/>
    <w:rsid w:val="00FF0792"/>
    <w:rsid w:val="00FF33A4"/>
    <w:rsid w:val="00FF7C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18038"/>
  <w15:chartTrackingRefBased/>
  <w15:docId w15:val="{912F66F5-1D36-488E-9D2A-2780085B1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4170C"/>
    <w:pPr>
      <w:spacing w:after="0" w:line="240" w:lineRule="auto"/>
    </w:pPr>
    <w:rPr>
      <w:rFonts w:ascii="Times New Roman" w:eastAsia="Times New Roman" w:hAnsi="Times New Roman" w:cs="Times New Roman"/>
      <w:kern w:val="0"/>
      <w:lang w:eastAsia="pl-PL"/>
      <w14:ligatures w14:val="none"/>
    </w:rPr>
  </w:style>
  <w:style w:type="paragraph" w:styleId="Nagwek1">
    <w:name w:val="heading 1"/>
    <w:aliases w:val="Nagłówek 1 Znak Znak"/>
    <w:basedOn w:val="Normalny"/>
    <w:next w:val="Normalny"/>
    <w:link w:val="Nagwek1Znak"/>
    <w:qFormat/>
    <w:rsid w:val="00811189"/>
    <w:pPr>
      <w:keepNext/>
      <w:keepLines/>
      <w:spacing w:before="360" w:after="80"/>
      <w:outlineLvl w:val="0"/>
    </w:pPr>
    <w:rPr>
      <w:rFonts w:ascii="Lato" w:eastAsiaTheme="majorEastAsia" w:hAnsi="Lato" w:cstheme="majorBidi"/>
      <w:color w:val="4C94D8" w:themeColor="text2" w:themeTint="80"/>
      <w:sz w:val="32"/>
      <w:szCs w:val="40"/>
    </w:rPr>
  </w:style>
  <w:style w:type="paragraph" w:styleId="Nagwek2">
    <w:name w:val="heading 2"/>
    <w:basedOn w:val="Normalny"/>
    <w:next w:val="Normalny"/>
    <w:link w:val="Nagwek2Znak"/>
    <w:unhideWhenUsed/>
    <w:qFormat/>
    <w:rsid w:val="003B1844"/>
    <w:pPr>
      <w:keepNext/>
      <w:keepLines/>
      <w:spacing w:before="160" w:after="80"/>
      <w:outlineLvl w:val="1"/>
    </w:pPr>
    <w:rPr>
      <w:rFonts w:ascii="Lato" w:eastAsiaTheme="majorEastAsia" w:hAnsi="Lato" w:cstheme="majorBidi"/>
      <w:szCs w:val="32"/>
    </w:rPr>
  </w:style>
  <w:style w:type="paragraph" w:styleId="Nagwek3">
    <w:name w:val="heading 3"/>
    <w:basedOn w:val="Normalny"/>
    <w:next w:val="Normalny"/>
    <w:link w:val="Nagwek3Znak"/>
    <w:unhideWhenUsed/>
    <w:qFormat/>
    <w:rsid w:val="001F5A7E"/>
    <w:pPr>
      <w:keepNext/>
      <w:keepLines/>
      <w:spacing w:before="160" w:after="80"/>
      <w:outlineLvl w:val="2"/>
    </w:pPr>
    <w:rPr>
      <w:rFonts w:ascii="Lato" w:eastAsiaTheme="majorEastAsia" w:hAnsi="Lato" w:cstheme="majorBidi"/>
      <w:color w:val="0F4761" w:themeColor="accent1" w:themeShade="BF"/>
      <w:sz w:val="22"/>
      <w:szCs w:val="28"/>
    </w:rPr>
  </w:style>
  <w:style w:type="paragraph" w:styleId="Nagwek4">
    <w:name w:val="heading 4"/>
    <w:basedOn w:val="Normalny"/>
    <w:next w:val="Normalny"/>
    <w:link w:val="Nagwek4Znak"/>
    <w:unhideWhenUsed/>
    <w:qFormat/>
    <w:rsid w:val="0034170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nhideWhenUsed/>
    <w:qFormat/>
    <w:rsid w:val="0034170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nhideWhenUsed/>
    <w:qFormat/>
    <w:rsid w:val="0034170C"/>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nhideWhenUsed/>
    <w:qFormat/>
    <w:rsid w:val="0034170C"/>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nhideWhenUsed/>
    <w:qFormat/>
    <w:rsid w:val="0034170C"/>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nhideWhenUsed/>
    <w:qFormat/>
    <w:rsid w:val="0034170C"/>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1 Znak Znak Znak"/>
    <w:basedOn w:val="Domylnaczcionkaakapitu"/>
    <w:link w:val="Nagwek1"/>
    <w:rsid w:val="00811189"/>
    <w:rPr>
      <w:rFonts w:ascii="Lato" w:eastAsiaTheme="majorEastAsia" w:hAnsi="Lato" w:cstheme="majorBidi"/>
      <w:color w:val="4C94D8" w:themeColor="text2" w:themeTint="80"/>
      <w:kern w:val="0"/>
      <w:sz w:val="32"/>
      <w:szCs w:val="40"/>
      <w:lang w:eastAsia="pl-PL"/>
      <w14:ligatures w14:val="none"/>
    </w:rPr>
  </w:style>
  <w:style w:type="character" w:customStyle="1" w:styleId="Nagwek2Znak">
    <w:name w:val="Nagłówek 2 Znak"/>
    <w:basedOn w:val="Domylnaczcionkaakapitu"/>
    <w:link w:val="Nagwek2"/>
    <w:rsid w:val="003B1844"/>
    <w:rPr>
      <w:rFonts w:ascii="Lato" w:eastAsiaTheme="majorEastAsia" w:hAnsi="Lato" w:cstheme="majorBidi"/>
      <w:kern w:val="0"/>
      <w:szCs w:val="32"/>
      <w:lang w:eastAsia="pl-PL"/>
      <w14:ligatures w14:val="none"/>
    </w:rPr>
  </w:style>
  <w:style w:type="character" w:customStyle="1" w:styleId="Nagwek3Znak">
    <w:name w:val="Nagłówek 3 Znak"/>
    <w:basedOn w:val="Domylnaczcionkaakapitu"/>
    <w:link w:val="Nagwek3"/>
    <w:rsid w:val="001F5A7E"/>
    <w:rPr>
      <w:rFonts w:ascii="Lato" w:eastAsiaTheme="majorEastAsia" w:hAnsi="Lato" w:cstheme="majorBidi"/>
      <w:color w:val="0F4761" w:themeColor="accent1" w:themeShade="BF"/>
      <w:kern w:val="0"/>
      <w:sz w:val="22"/>
      <w:szCs w:val="28"/>
      <w:lang w:eastAsia="pl-PL"/>
      <w14:ligatures w14:val="none"/>
    </w:rPr>
  </w:style>
  <w:style w:type="character" w:customStyle="1" w:styleId="Nagwek4Znak">
    <w:name w:val="Nagłówek 4 Znak"/>
    <w:basedOn w:val="Domylnaczcionkaakapitu"/>
    <w:link w:val="Nagwek4"/>
    <w:rsid w:val="0034170C"/>
    <w:rPr>
      <w:rFonts w:eastAsiaTheme="majorEastAsia" w:cstheme="majorBidi"/>
      <w:i/>
      <w:iCs/>
      <w:color w:val="0F4761" w:themeColor="accent1" w:themeShade="BF"/>
    </w:rPr>
  </w:style>
  <w:style w:type="character" w:customStyle="1" w:styleId="Nagwek5Znak">
    <w:name w:val="Nagłówek 5 Znak"/>
    <w:basedOn w:val="Domylnaczcionkaakapitu"/>
    <w:link w:val="Nagwek5"/>
    <w:rsid w:val="0034170C"/>
    <w:rPr>
      <w:rFonts w:eastAsiaTheme="majorEastAsia" w:cstheme="majorBidi"/>
      <w:color w:val="0F4761" w:themeColor="accent1" w:themeShade="BF"/>
    </w:rPr>
  </w:style>
  <w:style w:type="character" w:customStyle="1" w:styleId="Nagwek6Znak">
    <w:name w:val="Nagłówek 6 Znak"/>
    <w:basedOn w:val="Domylnaczcionkaakapitu"/>
    <w:link w:val="Nagwek6"/>
    <w:rsid w:val="0034170C"/>
    <w:rPr>
      <w:rFonts w:eastAsiaTheme="majorEastAsia" w:cstheme="majorBidi"/>
      <w:i/>
      <w:iCs/>
      <w:color w:val="595959" w:themeColor="text1" w:themeTint="A6"/>
    </w:rPr>
  </w:style>
  <w:style w:type="character" w:customStyle="1" w:styleId="Nagwek7Znak">
    <w:name w:val="Nagłówek 7 Znak"/>
    <w:basedOn w:val="Domylnaczcionkaakapitu"/>
    <w:link w:val="Nagwek7"/>
    <w:rsid w:val="0034170C"/>
    <w:rPr>
      <w:rFonts w:eastAsiaTheme="majorEastAsia" w:cstheme="majorBidi"/>
      <w:color w:val="595959" w:themeColor="text1" w:themeTint="A6"/>
    </w:rPr>
  </w:style>
  <w:style w:type="character" w:customStyle="1" w:styleId="Nagwek8Znak">
    <w:name w:val="Nagłówek 8 Znak"/>
    <w:basedOn w:val="Domylnaczcionkaakapitu"/>
    <w:link w:val="Nagwek8"/>
    <w:rsid w:val="0034170C"/>
    <w:rPr>
      <w:rFonts w:eastAsiaTheme="majorEastAsia" w:cstheme="majorBidi"/>
      <w:i/>
      <w:iCs/>
      <w:color w:val="272727" w:themeColor="text1" w:themeTint="D8"/>
    </w:rPr>
  </w:style>
  <w:style w:type="character" w:customStyle="1" w:styleId="Nagwek9Znak">
    <w:name w:val="Nagłówek 9 Znak"/>
    <w:basedOn w:val="Domylnaczcionkaakapitu"/>
    <w:link w:val="Nagwek9"/>
    <w:rsid w:val="0034170C"/>
    <w:rPr>
      <w:rFonts w:eastAsiaTheme="majorEastAsia" w:cstheme="majorBidi"/>
      <w:color w:val="272727" w:themeColor="text1" w:themeTint="D8"/>
    </w:rPr>
  </w:style>
  <w:style w:type="paragraph" w:styleId="Tytu">
    <w:name w:val="Title"/>
    <w:basedOn w:val="Normalny"/>
    <w:next w:val="Normalny"/>
    <w:link w:val="TytuZnak"/>
    <w:qFormat/>
    <w:rsid w:val="0034170C"/>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34170C"/>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qFormat/>
    <w:rsid w:val="0034170C"/>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rsid w:val="0034170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34170C"/>
    <w:pPr>
      <w:spacing w:before="160"/>
      <w:jc w:val="center"/>
    </w:pPr>
    <w:rPr>
      <w:i/>
      <w:iCs/>
      <w:color w:val="404040" w:themeColor="text1" w:themeTint="BF"/>
    </w:rPr>
  </w:style>
  <w:style w:type="character" w:customStyle="1" w:styleId="CytatZnak">
    <w:name w:val="Cytat Znak"/>
    <w:basedOn w:val="Domylnaczcionkaakapitu"/>
    <w:link w:val="Cytat"/>
    <w:uiPriority w:val="29"/>
    <w:rsid w:val="0034170C"/>
    <w:rPr>
      <w:i/>
      <w:iCs/>
      <w:color w:val="404040" w:themeColor="text1" w:themeTint="BF"/>
    </w:rPr>
  </w:style>
  <w:style w:type="paragraph" w:styleId="Akapitzlist">
    <w:name w:val="List Paragraph"/>
    <w:basedOn w:val="Normalny"/>
    <w:link w:val="AkapitzlistZnak"/>
    <w:uiPriority w:val="34"/>
    <w:qFormat/>
    <w:rsid w:val="0034170C"/>
    <w:pPr>
      <w:ind w:left="720"/>
      <w:contextualSpacing/>
    </w:pPr>
  </w:style>
  <w:style w:type="character" w:styleId="Wyrnienieintensywne">
    <w:name w:val="Intense Emphasis"/>
    <w:basedOn w:val="Domylnaczcionkaakapitu"/>
    <w:uiPriority w:val="21"/>
    <w:qFormat/>
    <w:rsid w:val="0034170C"/>
    <w:rPr>
      <w:i/>
      <w:iCs/>
      <w:color w:val="0F4761" w:themeColor="accent1" w:themeShade="BF"/>
    </w:rPr>
  </w:style>
  <w:style w:type="paragraph" w:styleId="Cytatintensywny">
    <w:name w:val="Intense Quote"/>
    <w:basedOn w:val="Normalny"/>
    <w:next w:val="Normalny"/>
    <w:link w:val="CytatintensywnyZnak"/>
    <w:uiPriority w:val="30"/>
    <w:qFormat/>
    <w:rsid w:val="003417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34170C"/>
    <w:rPr>
      <w:i/>
      <w:iCs/>
      <w:color w:val="0F4761" w:themeColor="accent1" w:themeShade="BF"/>
    </w:rPr>
  </w:style>
  <w:style w:type="character" w:styleId="Odwoanieintensywne">
    <w:name w:val="Intense Reference"/>
    <w:basedOn w:val="Domylnaczcionkaakapitu"/>
    <w:uiPriority w:val="32"/>
    <w:qFormat/>
    <w:rsid w:val="0034170C"/>
    <w:rPr>
      <w:b/>
      <w:bCs/>
      <w:smallCaps/>
      <w:color w:val="0F4761" w:themeColor="accent1" w:themeShade="BF"/>
      <w:spacing w:val="5"/>
    </w:rPr>
  </w:style>
  <w:style w:type="paragraph" w:styleId="Stopka">
    <w:name w:val="footer"/>
    <w:basedOn w:val="Normalny"/>
    <w:link w:val="StopkaZnak"/>
    <w:uiPriority w:val="99"/>
    <w:rsid w:val="0034170C"/>
    <w:pPr>
      <w:tabs>
        <w:tab w:val="center" w:pos="4536"/>
        <w:tab w:val="right" w:pos="9072"/>
      </w:tabs>
    </w:pPr>
  </w:style>
  <w:style w:type="character" w:customStyle="1" w:styleId="StopkaZnak">
    <w:name w:val="Stopka Znak"/>
    <w:basedOn w:val="Domylnaczcionkaakapitu"/>
    <w:link w:val="Stopka"/>
    <w:uiPriority w:val="99"/>
    <w:rsid w:val="0034170C"/>
    <w:rPr>
      <w:rFonts w:ascii="Times New Roman" w:eastAsia="Times New Roman" w:hAnsi="Times New Roman" w:cs="Times New Roman"/>
      <w:kern w:val="0"/>
      <w:lang w:eastAsia="pl-PL"/>
      <w14:ligatures w14:val="none"/>
    </w:rPr>
  </w:style>
  <w:style w:type="character" w:styleId="Numerstrony">
    <w:name w:val="page number"/>
    <w:basedOn w:val="Domylnaczcionkaakapitu"/>
    <w:rsid w:val="0034170C"/>
  </w:style>
  <w:style w:type="paragraph" w:styleId="Legenda">
    <w:name w:val="caption"/>
    <w:basedOn w:val="Normalny"/>
    <w:next w:val="Normalny"/>
    <w:uiPriority w:val="35"/>
    <w:qFormat/>
    <w:rsid w:val="0034170C"/>
    <w:rPr>
      <w:b/>
      <w:bCs/>
      <w:sz w:val="20"/>
      <w:szCs w:val="20"/>
    </w:rPr>
  </w:style>
  <w:style w:type="paragraph" w:styleId="Tekstpodstawowy3">
    <w:name w:val="Body Text 3"/>
    <w:basedOn w:val="Normalny"/>
    <w:link w:val="Tekstpodstawowy3Znak"/>
    <w:rsid w:val="0034170C"/>
    <w:pPr>
      <w:spacing w:after="120"/>
    </w:pPr>
    <w:rPr>
      <w:sz w:val="16"/>
      <w:szCs w:val="16"/>
    </w:rPr>
  </w:style>
  <w:style w:type="character" w:customStyle="1" w:styleId="Tekstpodstawowy3Znak">
    <w:name w:val="Tekst podstawowy 3 Znak"/>
    <w:basedOn w:val="Domylnaczcionkaakapitu"/>
    <w:link w:val="Tekstpodstawowy3"/>
    <w:rsid w:val="0034170C"/>
    <w:rPr>
      <w:rFonts w:ascii="Times New Roman" w:eastAsia="Times New Roman" w:hAnsi="Times New Roman" w:cs="Times New Roman"/>
      <w:kern w:val="0"/>
      <w:sz w:val="16"/>
      <w:szCs w:val="16"/>
      <w:lang w:eastAsia="pl-PL"/>
      <w14:ligatures w14:val="none"/>
    </w:rPr>
  </w:style>
  <w:style w:type="character" w:customStyle="1" w:styleId="AkapitzlistZnak">
    <w:name w:val="Akapit z listą Znak"/>
    <w:basedOn w:val="Domylnaczcionkaakapitu"/>
    <w:link w:val="Akapitzlist"/>
    <w:uiPriority w:val="34"/>
    <w:rsid w:val="0034170C"/>
  </w:style>
  <w:style w:type="paragraph" w:styleId="Nagwekspisutreci">
    <w:name w:val="TOC Heading"/>
    <w:basedOn w:val="Nagwek1"/>
    <w:next w:val="Normalny"/>
    <w:uiPriority w:val="39"/>
    <w:unhideWhenUsed/>
    <w:qFormat/>
    <w:rsid w:val="00811189"/>
    <w:pPr>
      <w:spacing w:before="240" w:after="0" w:line="259" w:lineRule="auto"/>
      <w:outlineLvl w:val="9"/>
    </w:pPr>
    <w:rPr>
      <w:rFonts w:asciiTheme="majorHAnsi" w:hAnsiTheme="majorHAnsi"/>
      <w:color w:val="0F4761" w:themeColor="accent1" w:themeShade="BF"/>
      <w:szCs w:val="32"/>
    </w:rPr>
  </w:style>
  <w:style w:type="paragraph" w:styleId="Spistreci1">
    <w:name w:val="toc 1"/>
    <w:basedOn w:val="Normalny"/>
    <w:next w:val="Normalny"/>
    <w:autoRedefine/>
    <w:uiPriority w:val="39"/>
    <w:unhideWhenUsed/>
    <w:rsid w:val="004A1952"/>
    <w:pPr>
      <w:tabs>
        <w:tab w:val="right" w:leader="dot" w:pos="9062"/>
      </w:tabs>
      <w:spacing w:after="100"/>
      <w:ind w:left="426"/>
    </w:pPr>
    <w:rPr>
      <w:rFonts w:ascii="Lato" w:hAnsi="Lato" w:cs="Calibri"/>
      <w:noProof/>
      <w:color w:val="153D63" w:themeColor="text2" w:themeTint="E6"/>
    </w:rPr>
  </w:style>
  <w:style w:type="paragraph" w:styleId="Spistreci2">
    <w:name w:val="toc 2"/>
    <w:basedOn w:val="Normalny"/>
    <w:next w:val="Normalny"/>
    <w:autoRedefine/>
    <w:uiPriority w:val="39"/>
    <w:unhideWhenUsed/>
    <w:rsid w:val="0071411F"/>
    <w:pPr>
      <w:tabs>
        <w:tab w:val="right" w:leader="dot" w:pos="9062"/>
      </w:tabs>
      <w:spacing w:after="100"/>
      <w:ind w:left="709" w:hanging="283"/>
    </w:pPr>
  </w:style>
  <w:style w:type="character" w:styleId="Hipercze">
    <w:name w:val="Hyperlink"/>
    <w:basedOn w:val="Domylnaczcionkaakapitu"/>
    <w:uiPriority w:val="99"/>
    <w:unhideWhenUsed/>
    <w:rsid w:val="00811189"/>
    <w:rPr>
      <w:color w:val="467886" w:themeColor="hyperlink"/>
      <w:u w:val="single"/>
    </w:rPr>
  </w:style>
  <w:style w:type="paragraph" w:styleId="NormalnyWeb">
    <w:name w:val="Normal (Web)"/>
    <w:basedOn w:val="Normalny"/>
    <w:link w:val="NormalnyWebZnak"/>
    <w:qFormat/>
    <w:rsid w:val="000C7A64"/>
    <w:pPr>
      <w:spacing w:before="100" w:beforeAutospacing="1" w:after="100" w:afterAutospacing="1"/>
    </w:pPr>
  </w:style>
  <w:style w:type="character" w:customStyle="1" w:styleId="NormalnyWebZnak">
    <w:name w:val="Normalny (Web) Znak"/>
    <w:link w:val="NormalnyWeb"/>
    <w:uiPriority w:val="99"/>
    <w:locked/>
    <w:rsid w:val="000C7A64"/>
    <w:rPr>
      <w:rFonts w:ascii="Times New Roman" w:eastAsia="Times New Roman" w:hAnsi="Times New Roman" w:cs="Times New Roman"/>
      <w:kern w:val="0"/>
      <w:lang w:eastAsia="pl-PL"/>
      <w14:ligatures w14:val="none"/>
    </w:rPr>
  </w:style>
  <w:style w:type="paragraph" w:styleId="Spistreci3">
    <w:name w:val="toc 3"/>
    <w:basedOn w:val="Normalny"/>
    <w:next w:val="Normalny"/>
    <w:autoRedefine/>
    <w:uiPriority w:val="39"/>
    <w:unhideWhenUsed/>
    <w:rsid w:val="0071411F"/>
    <w:pPr>
      <w:tabs>
        <w:tab w:val="right" w:leader="dot" w:pos="9062"/>
      </w:tabs>
      <w:spacing w:after="100"/>
      <w:ind w:left="851" w:hanging="425"/>
    </w:pPr>
  </w:style>
  <w:style w:type="paragraph" w:styleId="Nagwek">
    <w:name w:val="header"/>
    <w:basedOn w:val="Normalny"/>
    <w:link w:val="NagwekZnak"/>
    <w:unhideWhenUsed/>
    <w:rsid w:val="00986DE0"/>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rsid w:val="00986DE0"/>
    <w:rPr>
      <w:kern w:val="0"/>
      <w:sz w:val="22"/>
      <w:szCs w:val="22"/>
      <w14:ligatures w14:val="none"/>
    </w:rPr>
  </w:style>
  <w:style w:type="paragraph" w:customStyle="1" w:styleId="Styl1">
    <w:name w:val="Styl1"/>
    <w:basedOn w:val="Normalny"/>
    <w:link w:val="Styl1Znak"/>
    <w:qFormat/>
    <w:rsid w:val="00986DE0"/>
    <w:pPr>
      <w:spacing w:before="120" w:after="240" w:line="276" w:lineRule="auto"/>
      <w:ind w:firstLine="567"/>
      <w:jc w:val="both"/>
    </w:pPr>
    <w:rPr>
      <w:rFonts w:asciiTheme="minorHAnsi" w:eastAsiaTheme="minorHAnsi" w:hAnsiTheme="minorHAnsi" w:cstheme="minorBidi"/>
      <w:lang w:eastAsia="en-US"/>
    </w:rPr>
  </w:style>
  <w:style w:type="character" w:customStyle="1" w:styleId="Styl1Znak">
    <w:name w:val="Styl1 Znak"/>
    <w:basedOn w:val="Domylnaczcionkaakapitu"/>
    <w:link w:val="Styl1"/>
    <w:rsid w:val="00986DE0"/>
    <w:rPr>
      <w:kern w:val="0"/>
      <w14:ligatures w14:val="none"/>
    </w:rPr>
  </w:style>
  <w:style w:type="paragraph" w:styleId="Bezodstpw">
    <w:name w:val="No Spacing"/>
    <w:uiPriority w:val="1"/>
    <w:qFormat/>
    <w:rsid w:val="00986DE0"/>
    <w:pPr>
      <w:spacing w:after="0" w:line="240" w:lineRule="auto"/>
    </w:pPr>
    <w:rPr>
      <w:kern w:val="0"/>
      <w:sz w:val="22"/>
      <w:szCs w:val="22"/>
      <w14:ligatures w14:val="none"/>
    </w:rPr>
  </w:style>
  <w:style w:type="table" w:styleId="Tabela-Siatka">
    <w:name w:val="Table Grid"/>
    <w:basedOn w:val="Standardowy"/>
    <w:uiPriority w:val="59"/>
    <w:rsid w:val="00986DE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omylnaczcionkaakapitu"/>
    <w:rsid w:val="00986DE0"/>
  </w:style>
  <w:style w:type="character" w:customStyle="1" w:styleId="lrzxr">
    <w:name w:val="lrzxr"/>
    <w:basedOn w:val="Domylnaczcionkaakapitu"/>
    <w:rsid w:val="00986DE0"/>
  </w:style>
  <w:style w:type="table" w:styleId="Zwykatabela2">
    <w:name w:val="Plain Table 2"/>
    <w:basedOn w:val="Standardowy"/>
    <w:uiPriority w:val="42"/>
    <w:rsid w:val="00986DE0"/>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Bezlisty1">
    <w:name w:val="Bez listy1"/>
    <w:next w:val="Bezlisty"/>
    <w:uiPriority w:val="99"/>
    <w:semiHidden/>
    <w:rsid w:val="00986DE0"/>
  </w:style>
  <w:style w:type="paragraph" w:styleId="Tekstpodstawowy">
    <w:name w:val="Body Text"/>
    <w:basedOn w:val="Normalny"/>
    <w:link w:val="TekstpodstawowyZnak1"/>
    <w:rsid w:val="00986DE0"/>
    <w:pPr>
      <w:tabs>
        <w:tab w:val="left" w:pos="567"/>
      </w:tabs>
      <w:spacing w:line="380" w:lineRule="atLeast"/>
      <w:jc w:val="both"/>
    </w:pPr>
    <w:rPr>
      <w:b/>
      <w:szCs w:val="20"/>
    </w:rPr>
  </w:style>
  <w:style w:type="character" w:customStyle="1" w:styleId="TekstpodstawowyZnak">
    <w:name w:val="Tekst podstawowy Znak"/>
    <w:basedOn w:val="Domylnaczcionkaakapitu"/>
    <w:uiPriority w:val="99"/>
    <w:semiHidden/>
    <w:rsid w:val="00986DE0"/>
    <w:rPr>
      <w:rFonts w:ascii="Times New Roman" w:eastAsia="Times New Roman" w:hAnsi="Times New Roman" w:cs="Times New Roman"/>
      <w:kern w:val="0"/>
      <w:lang w:eastAsia="pl-PL"/>
      <w14:ligatures w14:val="none"/>
    </w:rPr>
  </w:style>
  <w:style w:type="character" w:customStyle="1" w:styleId="TekstpodstawowyZnak1">
    <w:name w:val="Tekst podstawowy Znak1"/>
    <w:link w:val="Tekstpodstawowy"/>
    <w:rsid w:val="00986DE0"/>
    <w:rPr>
      <w:rFonts w:ascii="Times New Roman" w:eastAsia="Times New Roman" w:hAnsi="Times New Roman" w:cs="Times New Roman"/>
      <w:b/>
      <w:kern w:val="0"/>
      <w:szCs w:val="20"/>
      <w:lang w:eastAsia="pl-PL"/>
      <w14:ligatures w14:val="none"/>
    </w:rPr>
  </w:style>
  <w:style w:type="paragraph" w:customStyle="1" w:styleId="aStyl1">
    <w:name w:val="aStyl1"/>
    <w:basedOn w:val="Normalny"/>
    <w:uiPriority w:val="99"/>
    <w:rsid w:val="00986DE0"/>
    <w:pPr>
      <w:jc w:val="center"/>
    </w:pPr>
    <w:rPr>
      <w:sz w:val="20"/>
      <w:szCs w:val="20"/>
    </w:rPr>
  </w:style>
  <w:style w:type="paragraph" w:styleId="Tekstpodstawowywcity">
    <w:name w:val="Body Text Indent"/>
    <w:basedOn w:val="Normalny"/>
    <w:link w:val="TekstpodstawowywcityZnak"/>
    <w:rsid w:val="00986DE0"/>
    <w:pPr>
      <w:spacing w:line="380" w:lineRule="atLeast"/>
      <w:ind w:left="426"/>
      <w:jc w:val="center"/>
    </w:pPr>
    <w:rPr>
      <w:b/>
      <w:bCs/>
      <w:smallCaps/>
      <w:sz w:val="36"/>
      <w:szCs w:val="20"/>
    </w:rPr>
  </w:style>
  <w:style w:type="character" w:customStyle="1" w:styleId="TekstpodstawowywcityZnak">
    <w:name w:val="Tekst podstawowy wcięty Znak"/>
    <w:basedOn w:val="Domylnaczcionkaakapitu"/>
    <w:link w:val="Tekstpodstawowywcity"/>
    <w:rsid w:val="00986DE0"/>
    <w:rPr>
      <w:rFonts w:ascii="Times New Roman" w:eastAsia="Times New Roman" w:hAnsi="Times New Roman" w:cs="Times New Roman"/>
      <w:b/>
      <w:bCs/>
      <w:smallCaps/>
      <w:kern w:val="0"/>
      <w:sz w:val="36"/>
      <w:szCs w:val="20"/>
      <w:lang w:eastAsia="pl-PL"/>
      <w14:ligatures w14:val="none"/>
    </w:rPr>
  </w:style>
  <w:style w:type="paragraph" w:styleId="Tekstpodstawowywcity3">
    <w:name w:val="Body Text Indent 3"/>
    <w:basedOn w:val="Normalny"/>
    <w:link w:val="Tekstpodstawowywcity3Znak"/>
    <w:rsid w:val="00986DE0"/>
    <w:pPr>
      <w:spacing w:line="360" w:lineRule="auto"/>
      <w:ind w:firstLine="709"/>
      <w:jc w:val="both"/>
    </w:pPr>
    <w:rPr>
      <w:szCs w:val="20"/>
    </w:rPr>
  </w:style>
  <w:style w:type="character" w:customStyle="1" w:styleId="Tekstpodstawowywcity3Znak">
    <w:name w:val="Tekst podstawowy wcięty 3 Znak"/>
    <w:basedOn w:val="Domylnaczcionkaakapitu"/>
    <w:link w:val="Tekstpodstawowywcity3"/>
    <w:rsid w:val="00986DE0"/>
    <w:rPr>
      <w:rFonts w:ascii="Times New Roman" w:eastAsia="Times New Roman" w:hAnsi="Times New Roman" w:cs="Times New Roman"/>
      <w:kern w:val="0"/>
      <w:szCs w:val="20"/>
      <w:lang w:eastAsia="pl-PL"/>
      <w14:ligatures w14:val="none"/>
    </w:rPr>
  </w:style>
  <w:style w:type="paragraph" w:styleId="Tekstpodstawowy2">
    <w:name w:val="Body Text 2"/>
    <w:basedOn w:val="Normalny"/>
    <w:link w:val="Tekstpodstawowy2Znak"/>
    <w:rsid w:val="00986DE0"/>
    <w:pPr>
      <w:jc w:val="center"/>
    </w:pPr>
    <w:rPr>
      <w:b/>
      <w:bCs/>
      <w:smallCaps/>
      <w:sz w:val="40"/>
      <w:szCs w:val="20"/>
    </w:rPr>
  </w:style>
  <w:style w:type="character" w:customStyle="1" w:styleId="Tekstpodstawowy2Znak">
    <w:name w:val="Tekst podstawowy 2 Znak"/>
    <w:basedOn w:val="Domylnaczcionkaakapitu"/>
    <w:link w:val="Tekstpodstawowy2"/>
    <w:rsid w:val="00986DE0"/>
    <w:rPr>
      <w:rFonts w:ascii="Times New Roman" w:eastAsia="Times New Roman" w:hAnsi="Times New Roman" w:cs="Times New Roman"/>
      <w:b/>
      <w:bCs/>
      <w:smallCaps/>
      <w:kern w:val="0"/>
      <w:sz w:val="40"/>
      <w:szCs w:val="20"/>
      <w:lang w:eastAsia="pl-PL"/>
      <w14:ligatures w14:val="none"/>
    </w:rPr>
  </w:style>
  <w:style w:type="paragraph" w:customStyle="1" w:styleId="Tekstpodstawowywcity31">
    <w:name w:val="Tekst podstawowy wcięty 31"/>
    <w:basedOn w:val="Normalny"/>
    <w:rsid w:val="00986DE0"/>
    <w:pPr>
      <w:spacing w:line="360" w:lineRule="auto"/>
      <w:ind w:firstLine="709"/>
      <w:jc w:val="both"/>
    </w:pPr>
    <w:rPr>
      <w:szCs w:val="20"/>
    </w:rPr>
  </w:style>
  <w:style w:type="paragraph" w:styleId="Tekstblokowy">
    <w:name w:val="Block Text"/>
    <w:basedOn w:val="Normalny"/>
    <w:rsid w:val="00986DE0"/>
    <w:pPr>
      <w:ind w:left="360" w:right="-567"/>
    </w:pPr>
    <w:rPr>
      <w:sz w:val="28"/>
      <w:szCs w:val="20"/>
    </w:rPr>
  </w:style>
  <w:style w:type="paragraph" w:styleId="Tekstpodstawowywcity2">
    <w:name w:val="Body Text Indent 2"/>
    <w:basedOn w:val="Normalny"/>
    <w:link w:val="Tekstpodstawowywcity2Znak"/>
    <w:rsid w:val="00986DE0"/>
    <w:pPr>
      <w:spacing w:line="420" w:lineRule="atLeast"/>
      <w:ind w:right="-284" w:firstLine="993"/>
      <w:jc w:val="both"/>
    </w:pPr>
    <w:rPr>
      <w:szCs w:val="20"/>
    </w:rPr>
  </w:style>
  <w:style w:type="character" w:customStyle="1" w:styleId="Tekstpodstawowywcity2Znak">
    <w:name w:val="Tekst podstawowy wcięty 2 Znak"/>
    <w:basedOn w:val="Domylnaczcionkaakapitu"/>
    <w:link w:val="Tekstpodstawowywcity2"/>
    <w:rsid w:val="00986DE0"/>
    <w:rPr>
      <w:rFonts w:ascii="Times New Roman" w:eastAsia="Times New Roman" w:hAnsi="Times New Roman" w:cs="Times New Roman"/>
      <w:kern w:val="0"/>
      <w:szCs w:val="20"/>
      <w:lang w:eastAsia="pl-PL"/>
      <w14:ligatures w14:val="none"/>
    </w:rPr>
  </w:style>
  <w:style w:type="paragraph" w:customStyle="1" w:styleId="FR1">
    <w:name w:val="FR1"/>
    <w:rsid w:val="00986DE0"/>
    <w:pPr>
      <w:widowControl w:val="0"/>
      <w:spacing w:before="200" w:after="0" w:line="300" w:lineRule="auto"/>
      <w:ind w:left="80" w:firstLine="840"/>
      <w:jc w:val="both"/>
    </w:pPr>
    <w:rPr>
      <w:rFonts w:ascii="Arial" w:eastAsia="Times New Roman" w:hAnsi="Arial" w:cs="Times New Roman"/>
      <w:kern w:val="0"/>
      <w:sz w:val="22"/>
      <w:szCs w:val="20"/>
      <w:lang w:eastAsia="pl-PL"/>
      <w14:ligatures w14:val="none"/>
    </w:rPr>
  </w:style>
  <w:style w:type="paragraph" w:customStyle="1" w:styleId="Tekstpodstawowy21">
    <w:name w:val="Tekst podstawowy 21"/>
    <w:basedOn w:val="Normalny"/>
    <w:rsid w:val="00986DE0"/>
    <w:pPr>
      <w:ind w:firstLine="360"/>
      <w:jc w:val="both"/>
    </w:pPr>
    <w:rPr>
      <w:szCs w:val="20"/>
    </w:rPr>
  </w:style>
  <w:style w:type="table" w:customStyle="1" w:styleId="Tabela-Siatka1">
    <w:name w:val="Tabela - Siatka1"/>
    <w:basedOn w:val="Standardowy"/>
    <w:next w:val="Tabela-Siatka"/>
    <w:uiPriority w:val="59"/>
    <w:rsid w:val="00986DE0"/>
    <w:pPr>
      <w:spacing w:after="0" w:line="240" w:lineRule="auto"/>
    </w:pPr>
    <w:rPr>
      <w:rFonts w:ascii="Times New Roman" w:eastAsia="Times New Roman" w:hAnsi="Times New Roman" w:cs="Times New Roman"/>
      <w:kern w:val="0"/>
      <w:sz w:val="20"/>
      <w:szCs w:val="20"/>
      <w:lang w:eastAsia="pl-PL"/>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wartotabeliZnakZnak">
    <w:name w:val="Zawartość tabeli Znak Znak"/>
    <w:basedOn w:val="Tekstpodstawowy"/>
    <w:link w:val="ZawartotabeliZnakZnakZnak"/>
    <w:rsid w:val="00986DE0"/>
    <w:pPr>
      <w:suppressLineNumbers/>
      <w:tabs>
        <w:tab w:val="clear" w:pos="567"/>
      </w:tabs>
      <w:suppressAutoHyphens/>
      <w:spacing w:line="240" w:lineRule="auto"/>
      <w:jc w:val="left"/>
    </w:pPr>
    <w:rPr>
      <w:sz w:val="28"/>
      <w:u w:val="single"/>
    </w:rPr>
  </w:style>
  <w:style w:type="character" w:customStyle="1" w:styleId="ZawartotabeliZnakZnakZnak">
    <w:name w:val="Zawartość tabeli Znak Znak Znak"/>
    <w:link w:val="ZawartotabeliZnakZnak"/>
    <w:rsid w:val="00986DE0"/>
    <w:rPr>
      <w:rFonts w:ascii="Times New Roman" w:eastAsia="Times New Roman" w:hAnsi="Times New Roman" w:cs="Times New Roman"/>
      <w:b/>
      <w:kern w:val="0"/>
      <w:sz w:val="28"/>
      <w:szCs w:val="20"/>
      <w:u w:val="single"/>
      <w:lang w:eastAsia="pl-PL"/>
      <w14:ligatures w14:val="none"/>
    </w:rPr>
  </w:style>
  <w:style w:type="paragraph" w:customStyle="1" w:styleId="TytutabeliZnakZnak">
    <w:name w:val="Tytuł tabeli Znak Znak"/>
    <w:basedOn w:val="ZawartotabeliZnakZnak"/>
    <w:link w:val="TytutabeliZnakZnakZnak"/>
    <w:rsid w:val="00986DE0"/>
    <w:pPr>
      <w:jc w:val="center"/>
    </w:pPr>
    <w:rPr>
      <w:i/>
    </w:rPr>
  </w:style>
  <w:style w:type="character" w:customStyle="1" w:styleId="TytutabeliZnakZnakZnak">
    <w:name w:val="Tytuł tabeli Znak Znak Znak"/>
    <w:link w:val="TytutabeliZnakZnak"/>
    <w:rsid w:val="00986DE0"/>
    <w:rPr>
      <w:rFonts w:ascii="Times New Roman" w:eastAsia="Times New Roman" w:hAnsi="Times New Roman" w:cs="Times New Roman"/>
      <w:b/>
      <w:i/>
      <w:kern w:val="0"/>
      <w:sz w:val="28"/>
      <w:szCs w:val="20"/>
      <w:u w:val="single"/>
      <w:lang w:eastAsia="pl-PL"/>
      <w14:ligatures w14:val="none"/>
    </w:rPr>
  </w:style>
  <w:style w:type="paragraph" w:styleId="Tekstprzypisudolnego">
    <w:name w:val="footnote text"/>
    <w:basedOn w:val="Normalny"/>
    <w:link w:val="TekstprzypisudolnegoZnak"/>
    <w:semiHidden/>
    <w:rsid w:val="00986DE0"/>
    <w:rPr>
      <w:sz w:val="20"/>
      <w:szCs w:val="20"/>
    </w:rPr>
  </w:style>
  <w:style w:type="character" w:customStyle="1" w:styleId="TekstprzypisudolnegoZnak">
    <w:name w:val="Tekst przypisu dolnego Znak"/>
    <w:basedOn w:val="Domylnaczcionkaakapitu"/>
    <w:link w:val="Tekstprzypisudolnego"/>
    <w:semiHidden/>
    <w:rsid w:val="00986DE0"/>
    <w:rPr>
      <w:rFonts w:ascii="Times New Roman" w:eastAsia="Times New Roman" w:hAnsi="Times New Roman" w:cs="Times New Roman"/>
      <w:kern w:val="0"/>
      <w:sz w:val="20"/>
      <w:szCs w:val="20"/>
      <w:lang w:eastAsia="pl-PL"/>
      <w14:ligatures w14:val="none"/>
    </w:rPr>
  </w:style>
  <w:style w:type="paragraph" w:styleId="Zwykytekst">
    <w:name w:val="Plain Text"/>
    <w:basedOn w:val="Normalny"/>
    <w:link w:val="ZwykytekstZnak"/>
    <w:rsid w:val="00986DE0"/>
    <w:rPr>
      <w:rFonts w:ascii="Courier New" w:hAnsi="Courier New"/>
      <w:sz w:val="20"/>
      <w:szCs w:val="20"/>
    </w:rPr>
  </w:style>
  <w:style w:type="character" w:customStyle="1" w:styleId="ZwykytekstZnak">
    <w:name w:val="Zwykły tekst Znak"/>
    <w:basedOn w:val="Domylnaczcionkaakapitu"/>
    <w:link w:val="Zwykytekst"/>
    <w:rsid w:val="00986DE0"/>
    <w:rPr>
      <w:rFonts w:ascii="Courier New" w:eastAsia="Times New Roman" w:hAnsi="Courier New" w:cs="Times New Roman"/>
      <w:kern w:val="0"/>
      <w:sz w:val="20"/>
      <w:szCs w:val="20"/>
      <w:lang w:eastAsia="pl-PL"/>
      <w14:ligatures w14:val="none"/>
    </w:rPr>
  </w:style>
  <w:style w:type="character" w:customStyle="1" w:styleId="WW-Domylnaczcionkaakapitu">
    <w:name w:val="WW-Domyślna czcionka akapitu"/>
    <w:rsid w:val="00986DE0"/>
  </w:style>
  <w:style w:type="paragraph" w:styleId="Tekstdymka">
    <w:name w:val="Balloon Text"/>
    <w:basedOn w:val="Normalny"/>
    <w:link w:val="TekstdymkaZnak"/>
    <w:semiHidden/>
    <w:rsid w:val="00986DE0"/>
    <w:rPr>
      <w:rFonts w:ascii="Tahoma" w:hAnsi="Tahoma" w:cs="Tahoma"/>
      <w:sz w:val="16"/>
      <w:szCs w:val="16"/>
    </w:rPr>
  </w:style>
  <w:style w:type="character" w:customStyle="1" w:styleId="TekstdymkaZnak">
    <w:name w:val="Tekst dymka Znak"/>
    <w:basedOn w:val="Domylnaczcionkaakapitu"/>
    <w:link w:val="Tekstdymka"/>
    <w:semiHidden/>
    <w:rsid w:val="00986DE0"/>
    <w:rPr>
      <w:rFonts w:ascii="Tahoma" w:eastAsia="Times New Roman" w:hAnsi="Tahoma" w:cs="Tahoma"/>
      <w:kern w:val="0"/>
      <w:sz w:val="16"/>
      <w:szCs w:val="16"/>
      <w:lang w:eastAsia="pl-PL"/>
      <w14:ligatures w14:val="none"/>
    </w:rPr>
  </w:style>
  <w:style w:type="paragraph" w:customStyle="1" w:styleId="WW-Tekstpodstawowy2">
    <w:name w:val="WW-Tekst podstawowy 2"/>
    <w:basedOn w:val="Normalny"/>
    <w:rsid w:val="00986DE0"/>
    <w:pPr>
      <w:suppressAutoHyphens/>
      <w:spacing w:after="120" w:line="480" w:lineRule="auto"/>
    </w:pPr>
    <w:rPr>
      <w:szCs w:val="20"/>
    </w:rPr>
  </w:style>
  <w:style w:type="paragraph" w:customStyle="1" w:styleId="WW-NormalnyWeb">
    <w:name w:val="WW-Normalny (Web)"/>
    <w:basedOn w:val="Normalny"/>
    <w:rsid w:val="00986DE0"/>
    <w:pPr>
      <w:suppressAutoHyphens/>
      <w:spacing w:before="280" w:after="119"/>
    </w:pPr>
    <w:rPr>
      <w:lang w:eastAsia="ar-SA"/>
    </w:rPr>
  </w:style>
  <w:style w:type="character" w:customStyle="1" w:styleId="WW8Num3z0">
    <w:name w:val="WW8Num3z0"/>
    <w:rsid w:val="00986DE0"/>
    <w:rPr>
      <w:rFonts w:ascii="StarSymbol" w:eastAsia="StarSymbol" w:hAnsi="StarSymbol"/>
      <w:sz w:val="18"/>
    </w:rPr>
  </w:style>
  <w:style w:type="character" w:styleId="UyteHipercze">
    <w:name w:val="FollowedHyperlink"/>
    <w:rsid w:val="00986DE0"/>
    <w:rPr>
      <w:color w:val="800000"/>
      <w:u w:val="single"/>
    </w:rPr>
  </w:style>
  <w:style w:type="paragraph" w:customStyle="1" w:styleId="Tytu1">
    <w:name w:val="Tytuł1"/>
    <w:basedOn w:val="Normalny"/>
    <w:next w:val="Tekstpodstawowy"/>
    <w:rsid w:val="00986DE0"/>
    <w:pPr>
      <w:keepNext/>
      <w:suppressAutoHyphens/>
      <w:spacing w:before="240" w:after="120"/>
    </w:pPr>
    <w:rPr>
      <w:rFonts w:ascii="Albany" w:eastAsia="HG Mincho Light J" w:hAnsi="Albany"/>
      <w:sz w:val="28"/>
      <w:szCs w:val="20"/>
    </w:rPr>
  </w:style>
  <w:style w:type="paragraph" w:customStyle="1" w:styleId="WW-Tekstdymka">
    <w:name w:val="WW-Tekst dymka"/>
    <w:basedOn w:val="Normalny"/>
    <w:rsid w:val="00986DE0"/>
    <w:pPr>
      <w:suppressAutoHyphens/>
    </w:pPr>
    <w:rPr>
      <w:rFonts w:ascii="Tahoma" w:hAnsi="Tahoma"/>
      <w:sz w:val="16"/>
      <w:szCs w:val="20"/>
    </w:rPr>
  </w:style>
  <w:style w:type="paragraph" w:customStyle="1" w:styleId="Zawartoramki">
    <w:name w:val="Zawartość ramki"/>
    <w:basedOn w:val="Tekstpodstawowy"/>
    <w:rsid w:val="00986DE0"/>
    <w:pPr>
      <w:tabs>
        <w:tab w:val="clear" w:pos="567"/>
      </w:tabs>
      <w:suppressAutoHyphens/>
      <w:spacing w:after="120" w:line="240" w:lineRule="auto"/>
      <w:jc w:val="left"/>
    </w:pPr>
    <w:rPr>
      <w:b w:val="0"/>
      <w:sz w:val="20"/>
    </w:rPr>
  </w:style>
  <w:style w:type="paragraph" w:customStyle="1" w:styleId="Zawartotabeli">
    <w:name w:val="Zawartość tabeli"/>
    <w:basedOn w:val="Tekstpodstawowy"/>
    <w:rsid w:val="00986DE0"/>
    <w:pPr>
      <w:suppressLineNumbers/>
      <w:tabs>
        <w:tab w:val="clear" w:pos="567"/>
      </w:tabs>
      <w:suppressAutoHyphens/>
      <w:spacing w:after="120" w:line="240" w:lineRule="auto"/>
      <w:jc w:val="left"/>
    </w:pPr>
    <w:rPr>
      <w:b w:val="0"/>
      <w:sz w:val="20"/>
    </w:rPr>
  </w:style>
  <w:style w:type="paragraph" w:customStyle="1" w:styleId="Tytutabeli">
    <w:name w:val="Tytuł tabeli"/>
    <w:basedOn w:val="Zawartotabeli"/>
    <w:uiPriority w:val="99"/>
    <w:rsid w:val="00986DE0"/>
    <w:pPr>
      <w:jc w:val="center"/>
    </w:pPr>
    <w:rPr>
      <w:b/>
      <w:i/>
    </w:rPr>
  </w:style>
  <w:style w:type="paragraph" w:styleId="Tekstprzypisukocowego">
    <w:name w:val="endnote text"/>
    <w:basedOn w:val="Normalny"/>
    <w:link w:val="TekstprzypisukocowegoZnak"/>
    <w:semiHidden/>
    <w:rsid w:val="00986DE0"/>
    <w:rPr>
      <w:sz w:val="20"/>
      <w:szCs w:val="20"/>
    </w:rPr>
  </w:style>
  <w:style w:type="character" w:customStyle="1" w:styleId="TekstprzypisukocowegoZnak">
    <w:name w:val="Tekst przypisu końcowego Znak"/>
    <w:basedOn w:val="Domylnaczcionkaakapitu"/>
    <w:link w:val="Tekstprzypisukocowego"/>
    <w:semiHidden/>
    <w:rsid w:val="00986DE0"/>
    <w:rPr>
      <w:rFonts w:ascii="Times New Roman" w:eastAsia="Times New Roman" w:hAnsi="Times New Roman" w:cs="Times New Roman"/>
      <w:kern w:val="0"/>
      <w:sz w:val="20"/>
      <w:szCs w:val="20"/>
      <w:lang w:eastAsia="pl-PL"/>
      <w14:ligatures w14:val="none"/>
    </w:rPr>
  </w:style>
  <w:style w:type="character" w:styleId="Odwoanieprzypisukocowego">
    <w:name w:val="endnote reference"/>
    <w:semiHidden/>
    <w:rsid w:val="00986DE0"/>
    <w:rPr>
      <w:vertAlign w:val="superscript"/>
    </w:rPr>
  </w:style>
  <w:style w:type="character" w:styleId="Pogrubienie">
    <w:name w:val="Strong"/>
    <w:uiPriority w:val="22"/>
    <w:qFormat/>
    <w:rsid w:val="00986DE0"/>
    <w:rPr>
      <w:b/>
      <w:bCs/>
      <w:color w:val="000000"/>
      <w:sz w:val="20"/>
      <w:szCs w:val="20"/>
    </w:rPr>
  </w:style>
  <w:style w:type="paragraph" w:customStyle="1" w:styleId="3">
    <w:name w:val="3"/>
    <w:basedOn w:val="Normalny"/>
    <w:next w:val="Mapadokumentu"/>
    <w:link w:val="PlandokumentuZnak"/>
    <w:rsid w:val="00986DE0"/>
    <w:pPr>
      <w:shd w:val="clear" w:color="auto" w:fill="000080"/>
    </w:pPr>
    <w:rPr>
      <w:rFonts w:ascii="Tahoma" w:eastAsiaTheme="minorHAnsi" w:hAnsi="Tahoma" w:cs="Tahoma"/>
      <w:sz w:val="22"/>
      <w:szCs w:val="22"/>
      <w:lang w:eastAsia="en-US"/>
    </w:rPr>
  </w:style>
  <w:style w:type="paragraph" w:customStyle="1" w:styleId="text">
    <w:name w:val="text"/>
    <w:basedOn w:val="Normalny"/>
    <w:rsid w:val="00986DE0"/>
    <w:pPr>
      <w:spacing w:before="100" w:beforeAutospacing="1" w:after="100" w:afterAutospacing="1"/>
      <w:ind w:left="150" w:right="75"/>
    </w:pPr>
    <w:rPr>
      <w:rFonts w:ascii="Verdana" w:hAnsi="Verdana"/>
      <w:sz w:val="18"/>
      <w:szCs w:val="18"/>
    </w:rPr>
  </w:style>
  <w:style w:type="character" w:customStyle="1" w:styleId="tytul">
    <w:name w:val="tytul"/>
    <w:basedOn w:val="Domylnaczcionkaakapitu"/>
    <w:rsid w:val="00986DE0"/>
  </w:style>
  <w:style w:type="numbering" w:styleId="111111">
    <w:name w:val="Outline List 2"/>
    <w:basedOn w:val="Bezlisty"/>
    <w:rsid w:val="00986DE0"/>
  </w:style>
  <w:style w:type="numbering" w:customStyle="1" w:styleId="Styl2">
    <w:name w:val="Styl2"/>
    <w:basedOn w:val="Bezlisty"/>
    <w:rsid w:val="00986DE0"/>
    <w:pPr>
      <w:numPr>
        <w:numId w:val="8"/>
      </w:numPr>
    </w:pPr>
  </w:style>
  <w:style w:type="character" w:customStyle="1" w:styleId="klinika1">
    <w:name w:val="klinika1"/>
    <w:rsid w:val="00986DE0"/>
    <w:rPr>
      <w:rFonts w:ascii="Verdana" w:hAnsi="Verdana" w:hint="default"/>
      <w:sz w:val="18"/>
      <w:szCs w:val="18"/>
    </w:rPr>
  </w:style>
  <w:style w:type="table" w:styleId="Tabela-Elegancki">
    <w:name w:val="Table Elegant"/>
    <w:basedOn w:val="Standardowy"/>
    <w:rsid w:val="00986DE0"/>
    <w:pPr>
      <w:spacing w:after="0" w:line="240" w:lineRule="auto"/>
    </w:pPr>
    <w:rPr>
      <w:rFonts w:ascii="Times New Roman" w:eastAsia="Times New Roman" w:hAnsi="Times New Roman" w:cs="Times New Roman"/>
      <w:kern w:val="0"/>
      <w:sz w:val="20"/>
      <w:szCs w:val="20"/>
      <w:lang w:eastAsia="pl-PL"/>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Odwoanieprzypisudolnego">
    <w:name w:val="footnote reference"/>
    <w:semiHidden/>
    <w:rsid w:val="00986DE0"/>
    <w:rPr>
      <w:vertAlign w:val="superscript"/>
    </w:rPr>
  </w:style>
  <w:style w:type="paragraph" w:customStyle="1" w:styleId="2">
    <w:name w:val="2"/>
    <w:basedOn w:val="Normalny"/>
    <w:next w:val="Nagwek"/>
    <w:rsid w:val="00986DE0"/>
    <w:pPr>
      <w:tabs>
        <w:tab w:val="center" w:pos="4536"/>
        <w:tab w:val="right" w:pos="9072"/>
      </w:tabs>
    </w:pPr>
    <w:rPr>
      <w:sz w:val="20"/>
      <w:szCs w:val="20"/>
    </w:rPr>
  </w:style>
  <w:style w:type="paragraph" w:customStyle="1" w:styleId="ZawartotabeliZnak">
    <w:name w:val="Zawartość tabeli Znak"/>
    <w:basedOn w:val="Tekstpodstawowy"/>
    <w:rsid w:val="00986DE0"/>
    <w:pPr>
      <w:suppressLineNumbers/>
      <w:tabs>
        <w:tab w:val="clear" w:pos="567"/>
      </w:tabs>
      <w:suppressAutoHyphens/>
      <w:spacing w:line="240" w:lineRule="auto"/>
      <w:jc w:val="left"/>
    </w:pPr>
    <w:rPr>
      <w:sz w:val="28"/>
      <w:u w:val="single"/>
    </w:rPr>
  </w:style>
  <w:style w:type="paragraph" w:customStyle="1" w:styleId="1">
    <w:name w:val="1"/>
    <w:basedOn w:val="Normalny"/>
    <w:next w:val="Nagwek"/>
    <w:rsid w:val="00986DE0"/>
    <w:pPr>
      <w:tabs>
        <w:tab w:val="center" w:pos="4536"/>
        <w:tab w:val="right" w:pos="9072"/>
      </w:tabs>
    </w:pPr>
    <w:rPr>
      <w:sz w:val="20"/>
      <w:szCs w:val="20"/>
    </w:rPr>
  </w:style>
  <w:style w:type="paragraph" w:customStyle="1" w:styleId="Styl4">
    <w:name w:val="Styl4"/>
    <w:basedOn w:val="Nagwek3"/>
    <w:next w:val="Tekstpodstawowy"/>
    <w:autoRedefine/>
    <w:rsid w:val="00986DE0"/>
    <w:pPr>
      <w:keepLines w:val="0"/>
      <w:tabs>
        <w:tab w:val="num" w:pos="1440"/>
      </w:tabs>
      <w:spacing w:before="0" w:after="0"/>
      <w:ind w:left="1224" w:hanging="504"/>
      <w:jc w:val="center"/>
    </w:pPr>
    <w:rPr>
      <w:rFonts w:ascii="Arial" w:eastAsia="Times New Roman" w:hAnsi="Arial" w:cs="Times New Roman"/>
      <w:color w:val="auto"/>
      <w:szCs w:val="20"/>
    </w:rPr>
  </w:style>
  <w:style w:type="paragraph" w:customStyle="1" w:styleId="bgmodul1">
    <w:name w:val="bgmodul1"/>
    <w:basedOn w:val="Normalny"/>
    <w:rsid w:val="00986DE0"/>
    <w:pPr>
      <w:shd w:val="clear" w:color="auto" w:fill="FFFFFF"/>
      <w:spacing w:before="100" w:beforeAutospacing="1" w:after="100" w:afterAutospacing="1"/>
    </w:pPr>
  </w:style>
  <w:style w:type="paragraph" w:customStyle="1" w:styleId="Tekstpodstawowywcity21">
    <w:name w:val="Tekst podstawowy wcięty 21"/>
    <w:basedOn w:val="Normalny"/>
    <w:rsid w:val="00986DE0"/>
    <w:pPr>
      <w:ind w:firstLine="426"/>
      <w:jc w:val="both"/>
    </w:pPr>
    <w:rPr>
      <w:szCs w:val="20"/>
    </w:rPr>
  </w:style>
  <w:style w:type="paragraph" w:customStyle="1" w:styleId="DomylnaczcionkaakapituAkapitZnak">
    <w:name w:val="Domyślna czcionka akapitu Akapit Znak"/>
    <w:basedOn w:val="Normalny"/>
    <w:rsid w:val="00986DE0"/>
  </w:style>
  <w:style w:type="paragraph" w:customStyle="1" w:styleId="Tekstpodstawowy211">
    <w:name w:val="Tekst podstawowy 211"/>
    <w:basedOn w:val="Normalny"/>
    <w:rsid w:val="00986DE0"/>
    <w:pPr>
      <w:suppressAutoHyphens/>
      <w:jc w:val="both"/>
    </w:pPr>
    <w:rPr>
      <w:lang w:eastAsia="ar-SA"/>
    </w:rPr>
  </w:style>
  <w:style w:type="paragraph" w:customStyle="1" w:styleId="DomylnaczcionkaakapituAkapitZnakZnakZnakZnakZnakZnak1Znak">
    <w:name w:val="Domyślna czcionka akapitu Akapit Znak Znak Znak Znak Znak Znak1 Znak"/>
    <w:basedOn w:val="Normalny"/>
    <w:link w:val="DomylnaczcionkaakapituAkapitZnakZnakZnakZnakZnakZnak1ZnakZnak"/>
    <w:rsid w:val="00986DE0"/>
  </w:style>
  <w:style w:type="character" w:customStyle="1" w:styleId="DomylnaczcionkaakapituAkapitZnakZnakZnakZnakZnakZnak1ZnakZnak">
    <w:name w:val="Domyślna czcionka akapitu Akapit Znak Znak Znak Znak Znak Znak1 Znak Znak"/>
    <w:link w:val="DomylnaczcionkaakapituAkapitZnakZnakZnakZnakZnakZnak1Znak"/>
    <w:rsid w:val="00986DE0"/>
    <w:rPr>
      <w:rFonts w:ascii="Times New Roman" w:eastAsia="Times New Roman" w:hAnsi="Times New Roman" w:cs="Times New Roman"/>
      <w:kern w:val="0"/>
      <w:lang w:eastAsia="pl-PL"/>
      <w14:ligatures w14:val="none"/>
    </w:rPr>
  </w:style>
  <w:style w:type="paragraph" w:styleId="Adreszwrotnynakopercie">
    <w:name w:val="envelope return"/>
    <w:basedOn w:val="Normalny"/>
    <w:rsid w:val="00986DE0"/>
    <w:pPr>
      <w:suppressAutoHyphens/>
    </w:pPr>
    <w:rPr>
      <w:sz w:val="28"/>
      <w:szCs w:val="20"/>
      <w:lang w:eastAsia="en-US"/>
    </w:rPr>
  </w:style>
  <w:style w:type="paragraph" w:customStyle="1" w:styleId="Standard">
    <w:name w:val="Standard"/>
    <w:rsid w:val="00986DE0"/>
    <w:pPr>
      <w:spacing w:after="0" w:line="240" w:lineRule="auto"/>
    </w:pPr>
    <w:rPr>
      <w:rFonts w:ascii="Times New Roman" w:eastAsia="Times New Roman" w:hAnsi="Times New Roman" w:cs="Times New Roman"/>
      <w:kern w:val="0"/>
      <w:szCs w:val="20"/>
      <w:lang w:eastAsia="pl-PL"/>
      <w14:ligatures w14:val="none"/>
    </w:rPr>
  </w:style>
  <w:style w:type="paragraph" w:customStyle="1" w:styleId="Domylnie">
    <w:name w:val="Domyślnie"/>
    <w:rsid w:val="00986DE0"/>
    <w:pPr>
      <w:widowControl w:val="0"/>
      <w:autoSpaceDE w:val="0"/>
      <w:autoSpaceDN w:val="0"/>
      <w:spacing w:after="0" w:line="240" w:lineRule="auto"/>
    </w:pPr>
    <w:rPr>
      <w:rFonts w:ascii="Times New Roman" w:eastAsia="Times New Roman" w:hAnsi="Times New Roman" w:cs="Times New Roman"/>
      <w:kern w:val="0"/>
      <w:sz w:val="20"/>
      <w:szCs w:val="20"/>
      <w:lang w:eastAsia="pl-PL"/>
      <w14:ligatures w14:val="none"/>
    </w:rPr>
  </w:style>
  <w:style w:type="paragraph" w:customStyle="1" w:styleId="Tekstblokowy1">
    <w:name w:val="Tekst blokowy1"/>
    <w:basedOn w:val="Normalny"/>
    <w:rsid w:val="00986DE0"/>
    <w:pPr>
      <w:suppressAutoHyphens/>
      <w:ind w:left="720" w:right="-567"/>
    </w:pPr>
    <w:rPr>
      <w:sz w:val="28"/>
      <w:szCs w:val="20"/>
      <w:lang w:eastAsia="ar-SA"/>
    </w:rPr>
  </w:style>
  <w:style w:type="paragraph" w:styleId="Tekstpodstawowyzwciciem">
    <w:name w:val="Body Text First Indent"/>
    <w:basedOn w:val="Tekstpodstawowy"/>
    <w:link w:val="TekstpodstawowyzwciciemZnak"/>
    <w:rsid w:val="00986DE0"/>
    <w:pPr>
      <w:tabs>
        <w:tab w:val="clear" w:pos="567"/>
      </w:tabs>
      <w:spacing w:after="120" w:line="240" w:lineRule="auto"/>
      <w:ind w:firstLine="210"/>
      <w:jc w:val="left"/>
    </w:pPr>
    <w:rPr>
      <w:b w:val="0"/>
      <w:szCs w:val="24"/>
    </w:rPr>
  </w:style>
  <w:style w:type="character" w:customStyle="1" w:styleId="TekstpodstawowyzwciciemZnak">
    <w:name w:val="Tekst podstawowy z wcięciem Znak"/>
    <w:basedOn w:val="TekstpodstawowyZnak"/>
    <w:link w:val="Tekstpodstawowyzwciciem"/>
    <w:rsid w:val="00986DE0"/>
    <w:rPr>
      <w:rFonts w:ascii="Times New Roman" w:eastAsia="Times New Roman" w:hAnsi="Times New Roman" w:cs="Times New Roman"/>
      <w:kern w:val="0"/>
      <w:lang w:eastAsia="pl-PL"/>
      <w14:ligatures w14:val="none"/>
    </w:rPr>
  </w:style>
  <w:style w:type="paragraph" w:customStyle="1" w:styleId="Tekstpodstawowywcity211">
    <w:name w:val="Tekst podstawowy wcięty 211"/>
    <w:basedOn w:val="Normalny"/>
    <w:uiPriority w:val="99"/>
    <w:rsid w:val="00986DE0"/>
    <w:pPr>
      <w:suppressAutoHyphens/>
      <w:ind w:left="780"/>
      <w:jc w:val="both"/>
    </w:pPr>
    <w:rPr>
      <w:sz w:val="28"/>
      <w:szCs w:val="20"/>
      <w:lang w:eastAsia="ar-SA"/>
    </w:rPr>
  </w:style>
  <w:style w:type="paragraph" w:styleId="Listapunktowana2">
    <w:name w:val="List Bullet 2"/>
    <w:basedOn w:val="Normalny"/>
    <w:rsid w:val="00986DE0"/>
    <w:pPr>
      <w:numPr>
        <w:numId w:val="5"/>
      </w:numPr>
      <w:ind w:left="0" w:firstLine="0"/>
    </w:pPr>
    <w:rPr>
      <w:rFonts w:ascii="Calibri" w:eastAsia="Calibri" w:hAnsi="Calibri"/>
      <w:sz w:val="22"/>
      <w:szCs w:val="22"/>
      <w:lang w:eastAsia="en-US"/>
    </w:rPr>
  </w:style>
  <w:style w:type="paragraph" w:customStyle="1" w:styleId="Tekstpodstawowywcity311">
    <w:name w:val="Tekst podstawowy wcięty 311"/>
    <w:basedOn w:val="Normalny"/>
    <w:rsid w:val="00986DE0"/>
    <w:pPr>
      <w:suppressAutoHyphens/>
      <w:ind w:left="720" w:firstLine="709"/>
      <w:jc w:val="both"/>
    </w:pPr>
    <w:rPr>
      <w:sz w:val="28"/>
      <w:szCs w:val="20"/>
      <w:lang w:eastAsia="ar-SA"/>
    </w:rPr>
  </w:style>
  <w:style w:type="paragraph" w:customStyle="1" w:styleId="Tekstpodstawowy22">
    <w:name w:val="Tekst podstawowy 22"/>
    <w:basedOn w:val="Normalny"/>
    <w:rsid w:val="00986DE0"/>
    <w:pPr>
      <w:suppressAutoHyphens/>
      <w:spacing w:after="120" w:line="480" w:lineRule="auto"/>
    </w:pPr>
    <w:rPr>
      <w:sz w:val="20"/>
      <w:szCs w:val="20"/>
      <w:lang w:eastAsia="ar-SA"/>
    </w:rPr>
  </w:style>
  <w:style w:type="paragraph" w:customStyle="1" w:styleId="ZnakZnakZnak">
    <w:name w:val="Znak Znak Znak"/>
    <w:basedOn w:val="Normalny"/>
    <w:rsid w:val="00986DE0"/>
    <w:pPr>
      <w:suppressAutoHyphens/>
    </w:pPr>
    <w:rPr>
      <w:lang w:eastAsia="ar-SA"/>
    </w:rPr>
  </w:style>
  <w:style w:type="paragraph" w:customStyle="1" w:styleId="DomylnaczcionkaakapituAkapitZnakZnakZnakZnak">
    <w:name w:val="Domyślna czcionka akapitu Akapit Znak Znak Znak Znak"/>
    <w:basedOn w:val="Normalny"/>
    <w:rsid w:val="00986DE0"/>
  </w:style>
  <w:style w:type="paragraph" w:customStyle="1" w:styleId="menu">
    <w:name w:val="menu"/>
    <w:basedOn w:val="Normalny"/>
    <w:rsid w:val="00986DE0"/>
    <w:pPr>
      <w:spacing w:before="100" w:beforeAutospacing="1" w:after="100" w:afterAutospacing="1"/>
    </w:pPr>
    <w:rPr>
      <w:rFonts w:ascii="Verdana" w:hAnsi="Verdana"/>
      <w:color w:val="003366"/>
      <w:sz w:val="13"/>
      <w:szCs w:val="13"/>
    </w:rPr>
  </w:style>
  <w:style w:type="paragraph" w:styleId="Listapunktowana">
    <w:name w:val="List Bullet"/>
    <w:basedOn w:val="Normalny"/>
    <w:rsid w:val="00986DE0"/>
    <w:pPr>
      <w:overflowPunct w:val="0"/>
      <w:autoSpaceDE w:val="0"/>
      <w:autoSpaceDN w:val="0"/>
      <w:adjustRightInd w:val="0"/>
      <w:ind w:left="283" w:hanging="283"/>
      <w:textAlignment w:val="baseline"/>
    </w:pPr>
    <w:rPr>
      <w:sz w:val="20"/>
      <w:szCs w:val="20"/>
    </w:rPr>
  </w:style>
  <w:style w:type="paragraph" w:customStyle="1" w:styleId="WW-Tekstpodstawowy3">
    <w:name w:val="WW-Tekst podstawowy 3"/>
    <w:basedOn w:val="Normalny"/>
    <w:rsid w:val="00986DE0"/>
    <w:pPr>
      <w:suppressAutoHyphens/>
      <w:jc w:val="both"/>
    </w:pPr>
    <w:rPr>
      <w:rFonts w:ascii="Arial" w:hAnsi="Arial"/>
      <w:sz w:val="22"/>
      <w:szCs w:val="20"/>
      <w:lang w:eastAsia="en-US"/>
    </w:rPr>
  </w:style>
  <w:style w:type="paragraph" w:customStyle="1" w:styleId="ZnakZnakZnakZnak">
    <w:name w:val="Znak Znak Znak Znak"/>
    <w:basedOn w:val="Normalny"/>
    <w:rsid w:val="00986DE0"/>
  </w:style>
  <w:style w:type="paragraph" w:customStyle="1" w:styleId="western">
    <w:name w:val="western"/>
    <w:basedOn w:val="Normalny"/>
    <w:rsid w:val="00986DE0"/>
    <w:pPr>
      <w:suppressAutoHyphens/>
      <w:spacing w:before="100" w:after="119"/>
    </w:pPr>
    <w:rPr>
      <w:szCs w:val="20"/>
    </w:rPr>
  </w:style>
  <w:style w:type="paragraph" w:styleId="Spisilustracji">
    <w:name w:val="table of figures"/>
    <w:aliases w:val="Spis tabel"/>
    <w:basedOn w:val="Normalny"/>
    <w:next w:val="Normalny"/>
    <w:uiPriority w:val="99"/>
    <w:rsid w:val="007969CD"/>
    <w:pPr>
      <w:ind w:left="400" w:hanging="400"/>
    </w:pPr>
    <w:rPr>
      <w:rFonts w:ascii="Lato" w:hAnsi="Lato"/>
      <w:sz w:val="20"/>
      <w:szCs w:val="20"/>
    </w:rPr>
  </w:style>
  <w:style w:type="paragraph" w:customStyle="1" w:styleId="Nagwektabeli">
    <w:name w:val="Nagłówek tabeli"/>
    <w:basedOn w:val="Zawartotabeli"/>
    <w:rsid w:val="00986DE0"/>
    <w:pPr>
      <w:jc w:val="center"/>
    </w:pPr>
    <w:rPr>
      <w:b/>
      <w:bCs/>
      <w:i/>
      <w:iCs/>
    </w:rPr>
  </w:style>
  <w:style w:type="paragraph" w:customStyle="1" w:styleId="Nagwek114pt">
    <w:name w:val="Nagłówek 1 + 14 pt"/>
    <w:aliases w:val="Nie Kapitaliki,Zagęszczone o  1 pt"/>
    <w:basedOn w:val="Normalny"/>
    <w:rsid w:val="00986DE0"/>
    <w:pPr>
      <w:spacing w:line="360" w:lineRule="auto"/>
      <w:ind w:left="567" w:hanging="567"/>
      <w:jc w:val="both"/>
    </w:pPr>
    <w:rPr>
      <w:b/>
      <w:smallCaps/>
      <w:sz w:val="28"/>
      <w:szCs w:val="28"/>
    </w:rPr>
  </w:style>
  <w:style w:type="paragraph" w:customStyle="1" w:styleId="msonormalcxspdrugie">
    <w:name w:val="msonormalcxspdrugie"/>
    <w:basedOn w:val="Normalny"/>
    <w:rsid w:val="00986DE0"/>
    <w:pPr>
      <w:spacing w:before="100" w:beforeAutospacing="1" w:after="100" w:afterAutospacing="1"/>
    </w:pPr>
    <w:rPr>
      <w:lang w:bidi="pa-IN"/>
    </w:rPr>
  </w:style>
  <w:style w:type="paragraph" w:styleId="Lista">
    <w:name w:val="List"/>
    <w:basedOn w:val="Normalny"/>
    <w:rsid w:val="00986DE0"/>
    <w:pPr>
      <w:spacing w:after="200" w:line="276" w:lineRule="auto"/>
      <w:ind w:left="283" w:hanging="283"/>
      <w:contextualSpacing/>
    </w:pPr>
    <w:rPr>
      <w:rFonts w:ascii="Calibri" w:hAnsi="Calibri"/>
      <w:sz w:val="22"/>
      <w:szCs w:val="22"/>
      <w:lang w:val="en-US" w:eastAsia="en-US" w:bidi="en-US"/>
    </w:rPr>
  </w:style>
  <w:style w:type="character" w:customStyle="1" w:styleId="style3">
    <w:name w:val="style3"/>
    <w:basedOn w:val="Domylnaczcionkaakapitu"/>
    <w:rsid w:val="00986DE0"/>
  </w:style>
  <w:style w:type="character" w:customStyle="1" w:styleId="style7">
    <w:name w:val="style7"/>
    <w:basedOn w:val="Domylnaczcionkaakapitu"/>
    <w:rsid w:val="00986DE0"/>
  </w:style>
  <w:style w:type="character" w:customStyle="1" w:styleId="ZnakZnak">
    <w:name w:val="Znak Znak"/>
    <w:rsid w:val="00986DE0"/>
    <w:rPr>
      <w:b/>
      <w:sz w:val="24"/>
      <w:lang w:val="pl-PL" w:eastAsia="pl-PL" w:bidi="ar-SA"/>
    </w:rPr>
  </w:style>
  <w:style w:type="character" w:customStyle="1" w:styleId="TytutabeliZnak">
    <w:name w:val="Tytuł tabeli Znak"/>
    <w:rsid w:val="00986DE0"/>
    <w:rPr>
      <w:b/>
      <w:i/>
      <w:sz w:val="28"/>
      <w:u w:val="single"/>
      <w:lang w:val="pl-PL" w:eastAsia="pl-PL" w:bidi="ar-SA"/>
    </w:rPr>
  </w:style>
  <w:style w:type="character" w:customStyle="1" w:styleId="Znak">
    <w:name w:val="Znak"/>
    <w:rsid w:val="00986DE0"/>
    <w:rPr>
      <w:b/>
      <w:sz w:val="24"/>
      <w:lang w:val="pl-PL" w:eastAsia="pl-PL" w:bidi="ar-SA"/>
    </w:rPr>
  </w:style>
  <w:style w:type="character" w:customStyle="1" w:styleId="t31">
    <w:name w:val="t31"/>
    <w:rsid w:val="00986DE0"/>
    <w:rPr>
      <w:rFonts w:ascii="Courier New" w:hAnsi="Courier New" w:cs="Courier New" w:hint="default"/>
    </w:rPr>
  </w:style>
  <w:style w:type="character" w:customStyle="1" w:styleId="tw4winTerm">
    <w:name w:val="tw4winTerm"/>
    <w:rsid w:val="00986DE0"/>
    <w:rPr>
      <w:color w:val="0000FF"/>
    </w:rPr>
  </w:style>
  <w:style w:type="paragraph" w:styleId="Tekstkomentarza">
    <w:name w:val="annotation text"/>
    <w:basedOn w:val="Normalny"/>
    <w:link w:val="TekstkomentarzaZnak"/>
    <w:uiPriority w:val="99"/>
    <w:rsid w:val="00986DE0"/>
    <w:rPr>
      <w:sz w:val="20"/>
      <w:szCs w:val="20"/>
    </w:rPr>
  </w:style>
  <w:style w:type="character" w:customStyle="1" w:styleId="TekstkomentarzaZnak">
    <w:name w:val="Tekst komentarza Znak"/>
    <w:basedOn w:val="Domylnaczcionkaakapitu"/>
    <w:link w:val="Tekstkomentarza"/>
    <w:uiPriority w:val="99"/>
    <w:rsid w:val="00986DE0"/>
    <w:rPr>
      <w:rFonts w:ascii="Times New Roman" w:eastAsia="Times New Roman" w:hAnsi="Times New Roman" w:cs="Times New Roman"/>
      <w:kern w:val="0"/>
      <w:sz w:val="20"/>
      <w:szCs w:val="20"/>
      <w:lang w:eastAsia="pl-PL"/>
      <w14:ligatures w14:val="none"/>
    </w:rPr>
  </w:style>
  <w:style w:type="character" w:styleId="Odwoaniedokomentarza">
    <w:name w:val="annotation reference"/>
    <w:uiPriority w:val="99"/>
    <w:semiHidden/>
    <w:rsid w:val="00986DE0"/>
    <w:rPr>
      <w:sz w:val="16"/>
      <w:szCs w:val="16"/>
    </w:rPr>
  </w:style>
  <w:style w:type="paragraph" w:styleId="Tematkomentarza">
    <w:name w:val="annotation subject"/>
    <w:basedOn w:val="Tekstkomentarza"/>
    <w:next w:val="Tekstkomentarza"/>
    <w:link w:val="TematkomentarzaZnak"/>
    <w:semiHidden/>
    <w:rsid w:val="00986DE0"/>
    <w:rPr>
      <w:b/>
      <w:bCs/>
    </w:rPr>
  </w:style>
  <w:style w:type="character" w:customStyle="1" w:styleId="TematkomentarzaZnak">
    <w:name w:val="Temat komentarza Znak"/>
    <w:basedOn w:val="TekstkomentarzaZnak"/>
    <w:link w:val="Tematkomentarza"/>
    <w:semiHidden/>
    <w:rsid w:val="00986DE0"/>
    <w:rPr>
      <w:rFonts w:ascii="Times New Roman" w:eastAsia="Times New Roman" w:hAnsi="Times New Roman" w:cs="Times New Roman"/>
      <w:b/>
      <w:bCs/>
      <w:kern w:val="0"/>
      <w:sz w:val="20"/>
      <w:szCs w:val="20"/>
      <w:lang w:eastAsia="pl-PL"/>
      <w14:ligatures w14:val="none"/>
    </w:rPr>
  </w:style>
  <w:style w:type="character" w:customStyle="1" w:styleId="st">
    <w:name w:val="st"/>
    <w:basedOn w:val="Domylnaczcionkaakapitu"/>
    <w:rsid w:val="00986DE0"/>
  </w:style>
  <w:style w:type="character" w:customStyle="1" w:styleId="PlandokumentuZnak">
    <w:name w:val="Plan dokumentu Znak"/>
    <w:link w:val="3"/>
    <w:rsid w:val="00986DE0"/>
    <w:rPr>
      <w:rFonts w:ascii="Tahoma" w:hAnsi="Tahoma" w:cs="Tahoma"/>
      <w:kern w:val="0"/>
      <w:sz w:val="22"/>
      <w:szCs w:val="22"/>
      <w:shd w:val="clear" w:color="auto" w:fill="000080"/>
      <w14:ligatures w14:val="none"/>
    </w:rPr>
  </w:style>
  <w:style w:type="paragraph" w:customStyle="1" w:styleId="ZnakZnakZnak1">
    <w:name w:val="Znak Znak Znak1"/>
    <w:basedOn w:val="Normalny"/>
    <w:rsid w:val="00986DE0"/>
    <w:pPr>
      <w:suppressAutoHyphens/>
    </w:pPr>
    <w:rPr>
      <w:lang w:eastAsia="ar-SA"/>
    </w:rPr>
  </w:style>
  <w:style w:type="character" w:customStyle="1" w:styleId="ZnakZnak1">
    <w:name w:val="Znak Znak1"/>
    <w:rsid w:val="00986DE0"/>
    <w:rPr>
      <w:b/>
      <w:sz w:val="24"/>
      <w:lang w:val="pl-PL" w:eastAsia="pl-PL" w:bidi="ar-SA"/>
    </w:rPr>
  </w:style>
  <w:style w:type="character" w:customStyle="1" w:styleId="Znak1">
    <w:name w:val="Znak1"/>
    <w:rsid w:val="00986DE0"/>
    <w:rPr>
      <w:b/>
      <w:sz w:val="24"/>
      <w:lang w:val="pl-PL" w:eastAsia="pl-PL" w:bidi="ar-SA"/>
    </w:rPr>
  </w:style>
  <w:style w:type="character" w:customStyle="1" w:styleId="Teksttreci">
    <w:name w:val="Tekst treści"/>
    <w:rsid w:val="00986DE0"/>
    <w:rPr>
      <w:rFonts w:ascii="Garamond" w:eastAsia="Garamond" w:hAnsi="Garamond" w:cs="Garamond"/>
      <w:spacing w:val="0"/>
      <w:sz w:val="22"/>
      <w:szCs w:val="22"/>
    </w:rPr>
  </w:style>
  <w:style w:type="character" w:customStyle="1" w:styleId="Nagwek1Znak1">
    <w:name w:val="Nagłówek 1 Znak1"/>
    <w:aliases w:val="Nagłówek 1 Znak Znak Znak1"/>
    <w:rsid w:val="00986DE0"/>
    <w:rPr>
      <w:rFonts w:ascii="Cambria" w:eastAsia="Times New Roman" w:hAnsi="Cambria" w:cs="Times New Roman"/>
      <w:b/>
      <w:bCs/>
      <w:color w:val="365F91"/>
      <w:sz w:val="28"/>
      <w:szCs w:val="28"/>
    </w:rPr>
  </w:style>
  <w:style w:type="paragraph" w:customStyle="1" w:styleId="Akapitzlist1">
    <w:name w:val="Akapit z listą1"/>
    <w:basedOn w:val="Normalny"/>
    <w:rsid w:val="00986DE0"/>
    <w:pPr>
      <w:spacing w:after="200" w:line="276" w:lineRule="auto"/>
      <w:ind w:left="720"/>
      <w:contextualSpacing/>
    </w:pPr>
    <w:rPr>
      <w:rFonts w:ascii="Calibri" w:hAnsi="Calibri"/>
      <w:sz w:val="22"/>
      <w:szCs w:val="22"/>
      <w:lang w:eastAsia="en-US"/>
    </w:rPr>
  </w:style>
  <w:style w:type="numbering" w:customStyle="1" w:styleId="Bezlisty11">
    <w:name w:val="Bez listy11"/>
    <w:next w:val="Bezlisty"/>
    <w:uiPriority w:val="99"/>
    <w:semiHidden/>
    <w:unhideWhenUsed/>
    <w:rsid w:val="00986DE0"/>
  </w:style>
  <w:style w:type="numbering" w:customStyle="1" w:styleId="Bezlisty111">
    <w:name w:val="Bez listy111"/>
    <w:next w:val="Bezlisty"/>
    <w:uiPriority w:val="99"/>
    <w:semiHidden/>
    <w:rsid w:val="00986DE0"/>
  </w:style>
  <w:style w:type="numbering" w:customStyle="1" w:styleId="1111111">
    <w:name w:val="1 / 1.1 / 1.1.11"/>
    <w:basedOn w:val="Bezlisty"/>
    <w:next w:val="111111"/>
    <w:rsid w:val="00986DE0"/>
    <w:pPr>
      <w:numPr>
        <w:numId w:val="6"/>
      </w:numPr>
    </w:pPr>
  </w:style>
  <w:style w:type="numbering" w:customStyle="1" w:styleId="Styl21">
    <w:name w:val="Styl21"/>
    <w:basedOn w:val="Bezlisty"/>
    <w:rsid w:val="00986DE0"/>
    <w:pPr>
      <w:numPr>
        <w:numId w:val="7"/>
      </w:numPr>
    </w:pPr>
  </w:style>
  <w:style w:type="table" w:customStyle="1" w:styleId="Tabela-Elegancki1">
    <w:name w:val="Tabela - Elegancki1"/>
    <w:basedOn w:val="Standardowy"/>
    <w:next w:val="Tabela-Elegancki"/>
    <w:rsid w:val="00986DE0"/>
    <w:pPr>
      <w:spacing w:after="0" w:line="240" w:lineRule="auto"/>
    </w:pPr>
    <w:rPr>
      <w:rFonts w:ascii="Times New Roman" w:eastAsia="Times New Roman" w:hAnsi="Times New Roman" w:cs="Times New Roman"/>
      <w:kern w:val="0"/>
      <w:sz w:val="20"/>
      <w:szCs w:val="20"/>
      <w:lang w:eastAsia="pl-PL"/>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MapadokumentuZnak">
    <w:name w:val="Mapa dokumentu Znak"/>
    <w:uiPriority w:val="99"/>
    <w:semiHidden/>
    <w:rsid w:val="00986DE0"/>
    <w:rPr>
      <w:rFonts w:ascii="Tahoma" w:hAnsi="Tahoma" w:cs="Tahoma"/>
      <w:sz w:val="16"/>
      <w:szCs w:val="16"/>
    </w:rPr>
  </w:style>
  <w:style w:type="numbering" w:customStyle="1" w:styleId="Bezlisty2">
    <w:name w:val="Bez listy2"/>
    <w:next w:val="Bezlisty"/>
    <w:uiPriority w:val="99"/>
    <w:semiHidden/>
    <w:unhideWhenUsed/>
    <w:rsid w:val="00986DE0"/>
  </w:style>
  <w:style w:type="numbering" w:customStyle="1" w:styleId="Bezlisty12">
    <w:name w:val="Bez listy12"/>
    <w:next w:val="Bezlisty"/>
    <w:uiPriority w:val="99"/>
    <w:semiHidden/>
    <w:unhideWhenUsed/>
    <w:rsid w:val="00986DE0"/>
  </w:style>
  <w:style w:type="table" w:customStyle="1" w:styleId="Tabela-Siatka2">
    <w:name w:val="Tabela - Siatka2"/>
    <w:basedOn w:val="Standardowy"/>
    <w:next w:val="Tabela-Siatka"/>
    <w:uiPriority w:val="59"/>
    <w:rsid w:val="00986DE0"/>
    <w:pPr>
      <w:spacing w:after="0" w:line="240" w:lineRule="auto"/>
    </w:pPr>
    <w:rPr>
      <w:rFonts w:ascii="Times New Roman" w:eastAsia="Times New Roman" w:hAnsi="Times New Roman" w:cs="Times New Roman"/>
      <w:kern w:val="0"/>
      <w:sz w:val="20"/>
      <w:szCs w:val="20"/>
      <w:lang w:eastAsia="pl-PL"/>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Bezlisty"/>
    <w:next w:val="111111"/>
    <w:rsid w:val="00986DE0"/>
  </w:style>
  <w:style w:type="numbering" w:customStyle="1" w:styleId="Styl22">
    <w:name w:val="Styl22"/>
    <w:basedOn w:val="Bezlisty"/>
    <w:rsid w:val="00986DE0"/>
    <w:pPr>
      <w:numPr>
        <w:numId w:val="13"/>
      </w:numPr>
    </w:pPr>
  </w:style>
  <w:style w:type="table" w:customStyle="1" w:styleId="Tabela-Elegancki2">
    <w:name w:val="Tabela - Elegancki2"/>
    <w:basedOn w:val="Standardowy"/>
    <w:next w:val="Tabela-Elegancki"/>
    <w:rsid w:val="00986DE0"/>
    <w:pPr>
      <w:spacing w:after="0" w:line="240" w:lineRule="auto"/>
    </w:pPr>
    <w:rPr>
      <w:rFonts w:ascii="Times New Roman" w:eastAsia="Times New Roman" w:hAnsi="Times New Roman" w:cs="Times New Roman"/>
      <w:kern w:val="0"/>
      <w:sz w:val="20"/>
      <w:szCs w:val="20"/>
      <w:lang w:eastAsia="pl-PL"/>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Bezlisty1111">
    <w:name w:val="Bez listy1111"/>
    <w:next w:val="Bezlisty"/>
    <w:uiPriority w:val="99"/>
    <w:semiHidden/>
    <w:unhideWhenUsed/>
    <w:rsid w:val="00986DE0"/>
  </w:style>
  <w:style w:type="numbering" w:customStyle="1" w:styleId="Bezlisty11111">
    <w:name w:val="Bez listy11111"/>
    <w:next w:val="Bezlisty"/>
    <w:uiPriority w:val="99"/>
    <w:semiHidden/>
    <w:rsid w:val="00986DE0"/>
  </w:style>
  <w:style w:type="table" w:customStyle="1" w:styleId="Tabela-Siatka11">
    <w:name w:val="Tabela - Siatka11"/>
    <w:basedOn w:val="Standardowy"/>
    <w:next w:val="Tabela-Siatka"/>
    <w:uiPriority w:val="59"/>
    <w:rsid w:val="00986DE0"/>
    <w:pPr>
      <w:spacing w:after="0" w:line="240" w:lineRule="auto"/>
    </w:pPr>
    <w:rPr>
      <w:rFonts w:ascii="Times New Roman" w:eastAsia="Times New Roman" w:hAnsi="Times New Roman" w:cs="Times New Roman"/>
      <w:kern w:val="0"/>
      <w:sz w:val="20"/>
      <w:szCs w:val="20"/>
      <w:lang w:eastAsia="pl-PL"/>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Bezlisty"/>
    <w:next w:val="111111"/>
    <w:rsid w:val="00986DE0"/>
    <w:pPr>
      <w:numPr>
        <w:numId w:val="11"/>
      </w:numPr>
    </w:pPr>
  </w:style>
  <w:style w:type="numbering" w:customStyle="1" w:styleId="Styl211">
    <w:name w:val="Styl211"/>
    <w:basedOn w:val="Bezlisty"/>
    <w:rsid w:val="00986DE0"/>
    <w:pPr>
      <w:numPr>
        <w:numId w:val="12"/>
      </w:numPr>
    </w:pPr>
  </w:style>
  <w:style w:type="table" w:customStyle="1" w:styleId="Tabela-Elegancki11">
    <w:name w:val="Tabela - Elegancki11"/>
    <w:basedOn w:val="Standardowy"/>
    <w:next w:val="Tabela-Elegancki"/>
    <w:rsid w:val="00986DE0"/>
    <w:pPr>
      <w:spacing w:after="0" w:line="240" w:lineRule="auto"/>
    </w:pPr>
    <w:rPr>
      <w:rFonts w:ascii="Times New Roman" w:eastAsia="Times New Roman" w:hAnsi="Times New Roman" w:cs="Times New Roman"/>
      <w:kern w:val="0"/>
      <w:sz w:val="20"/>
      <w:szCs w:val="20"/>
      <w:lang w:eastAsia="pl-PL"/>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MapadokumentuZnak1">
    <w:name w:val="Mapa dokumentu Znak1"/>
    <w:uiPriority w:val="99"/>
    <w:semiHidden/>
    <w:rsid w:val="00986DE0"/>
    <w:rPr>
      <w:rFonts w:ascii="Tahoma" w:eastAsia="Times New Roman" w:hAnsi="Tahoma" w:cs="Tahoma"/>
      <w:sz w:val="16"/>
      <w:szCs w:val="16"/>
      <w:lang w:eastAsia="pl-PL"/>
    </w:rPr>
  </w:style>
  <w:style w:type="character" w:styleId="Uwydatnienie">
    <w:name w:val="Emphasis"/>
    <w:uiPriority w:val="20"/>
    <w:qFormat/>
    <w:rsid w:val="00986DE0"/>
    <w:rPr>
      <w:i/>
      <w:iCs/>
    </w:rPr>
  </w:style>
  <w:style w:type="character" w:styleId="Nierozpoznanawzmianka">
    <w:name w:val="Unresolved Mention"/>
    <w:uiPriority w:val="99"/>
    <w:semiHidden/>
    <w:unhideWhenUsed/>
    <w:rsid w:val="00986DE0"/>
    <w:rPr>
      <w:color w:val="605E5C"/>
      <w:shd w:val="clear" w:color="auto" w:fill="E1DFDD"/>
    </w:rPr>
  </w:style>
  <w:style w:type="table" w:customStyle="1" w:styleId="Tabela-Siatka3">
    <w:name w:val="Tabela - Siatka3"/>
    <w:basedOn w:val="Standardowy"/>
    <w:next w:val="Tabela-Siatka"/>
    <w:uiPriority w:val="39"/>
    <w:rsid w:val="00986DE0"/>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5ciemnaakcent5">
    <w:name w:val="Grid Table 5 Dark Accent 5"/>
    <w:basedOn w:val="Standardowy"/>
    <w:uiPriority w:val="50"/>
    <w:rsid w:val="00986DE0"/>
    <w:pPr>
      <w:spacing w:after="0" w:line="240" w:lineRule="auto"/>
    </w:pPr>
    <w:rPr>
      <w:rFonts w:ascii="Calibri" w:eastAsia="Calibri" w:hAnsi="Calibri" w:cs="Times New Roman"/>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Mapadokumentu">
    <w:name w:val="Document Map"/>
    <w:basedOn w:val="Normalny"/>
    <w:link w:val="MapadokumentuZnak2"/>
    <w:uiPriority w:val="99"/>
    <w:semiHidden/>
    <w:unhideWhenUsed/>
    <w:rsid w:val="00986DE0"/>
    <w:rPr>
      <w:rFonts w:ascii="Segoe UI" w:eastAsiaTheme="minorHAnsi" w:hAnsi="Segoe UI" w:cs="Segoe UI"/>
      <w:sz w:val="16"/>
      <w:szCs w:val="16"/>
      <w:lang w:eastAsia="en-US"/>
    </w:rPr>
  </w:style>
  <w:style w:type="character" w:customStyle="1" w:styleId="MapadokumentuZnak2">
    <w:name w:val="Mapa dokumentu Znak2"/>
    <w:basedOn w:val="Domylnaczcionkaakapitu"/>
    <w:link w:val="Mapadokumentu"/>
    <w:uiPriority w:val="99"/>
    <w:semiHidden/>
    <w:rsid w:val="00986DE0"/>
    <w:rPr>
      <w:rFonts w:ascii="Segoe UI" w:hAnsi="Segoe UI" w:cs="Segoe UI"/>
      <w:kern w:val="0"/>
      <w:sz w:val="16"/>
      <w:szCs w:val="16"/>
      <w14:ligatures w14:val="none"/>
    </w:rPr>
  </w:style>
  <w:style w:type="character" w:styleId="Tekstzastpczy">
    <w:name w:val="Placeholder Text"/>
    <w:basedOn w:val="Domylnaczcionkaakapitu"/>
    <w:uiPriority w:val="99"/>
    <w:semiHidden/>
    <w:rsid w:val="00986DE0"/>
    <w:rPr>
      <w:color w:val="808080"/>
    </w:rPr>
  </w:style>
  <w:style w:type="character" w:customStyle="1" w:styleId="normaltextrun">
    <w:name w:val="normaltextrun"/>
    <w:basedOn w:val="Domylnaczcionkaakapitu"/>
    <w:qFormat/>
    <w:rsid w:val="00986DE0"/>
  </w:style>
  <w:style w:type="paragraph" w:customStyle="1" w:styleId="Textbody">
    <w:name w:val="Text body"/>
    <w:basedOn w:val="Normalny"/>
    <w:rsid w:val="00986DE0"/>
    <w:pPr>
      <w:suppressAutoHyphens/>
      <w:autoSpaceDN w:val="0"/>
      <w:spacing w:after="120"/>
      <w:textAlignment w:val="baseline"/>
    </w:pPr>
    <w:rPr>
      <w:kern w:val="3"/>
    </w:rPr>
  </w:style>
  <w:style w:type="character" w:customStyle="1" w:styleId="Internetlink">
    <w:name w:val="Internet link"/>
    <w:basedOn w:val="Domylnaczcionkaakapitu"/>
    <w:rsid w:val="00986DE0"/>
    <w:rPr>
      <w:color w:val="0563C1"/>
      <w:u w:val="single"/>
    </w:rPr>
  </w:style>
  <w:style w:type="numbering" w:customStyle="1" w:styleId="WWNum8">
    <w:name w:val="WWNum8"/>
    <w:basedOn w:val="Bezlisty"/>
    <w:rsid w:val="00986DE0"/>
    <w:pPr>
      <w:numPr>
        <w:numId w:val="15"/>
      </w:numPr>
    </w:pPr>
  </w:style>
  <w:style w:type="character" w:customStyle="1" w:styleId="7uhw9">
    <w:name w:val="_7uhw9"/>
    <w:basedOn w:val="Domylnaczcionkaakapitu"/>
    <w:rsid w:val="00986DE0"/>
  </w:style>
  <w:style w:type="paragraph" w:styleId="Spistreci4">
    <w:name w:val="toc 4"/>
    <w:basedOn w:val="Normalny"/>
    <w:next w:val="Normalny"/>
    <w:autoRedefine/>
    <w:uiPriority w:val="39"/>
    <w:unhideWhenUsed/>
    <w:rsid w:val="00A0275A"/>
    <w:pPr>
      <w:spacing w:after="100" w:line="278" w:lineRule="auto"/>
      <w:ind w:left="720"/>
    </w:pPr>
    <w:rPr>
      <w:rFonts w:asciiTheme="minorHAnsi" w:eastAsiaTheme="minorEastAsia" w:hAnsiTheme="minorHAnsi" w:cstheme="minorBidi"/>
      <w:kern w:val="2"/>
      <w14:ligatures w14:val="standardContextual"/>
    </w:rPr>
  </w:style>
  <w:style w:type="paragraph" w:styleId="Spistreci5">
    <w:name w:val="toc 5"/>
    <w:basedOn w:val="Normalny"/>
    <w:next w:val="Normalny"/>
    <w:autoRedefine/>
    <w:uiPriority w:val="39"/>
    <w:unhideWhenUsed/>
    <w:rsid w:val="00A0275A"/>
    <w:pPr>
      <w:spacing w:after="100" w:line="278" w:lineRule="auto"/>
      <w:ind w:left="960"/>
    </w:pPr>
    <w:rPr>
      <w:rFonts w:asciiTheme="minorHAnsi" w:eastAsiaTheme="minorEastAsia" w:hAnsiTheme="minorHAnsi" w:cstheme="minorBidi"/>
      <w:kern w:val="2"/>
      <w14:ligatures w14:val="standardContextual"/>
    </w:rPr>
  </w:style>
  <w:style w:type="paragraph" w:styleId="Spistreci6">
    <w:name w:val="toc 6"/>
    <w:basedOn w:val="Normalny"/>
    <w:next w:val="Normalny"/>
    <w:autoRedefine/>
    <w:uiPriority w:val="39"/>
    <w:unhideWhenUsed/>
    <w:rsid w:val="00A0275A"/>
    <w:pPr>
      <w:spacing w:after="100" w:line="278" w:lineRule="auto"/>
      <w:ind w:left="1200"/>
    </w:pPr>
    <w:rPr>
      <w:rFonts w:asciiTheme="minorHAnsi" w:eastAsiaTheme="minorEastAsia" w:hAnsiTheme="minorHAnsi" w:cstheme="minorBidi"/>
      <w:kern w:val="2"/>
      <w14:ligatures w14:val="standardContextual"/>
    </w:rPr>
  </w:style>
  <w:style w:type="paragraph" w:styleId="Spistreci7">
    <w:name w:val="toc 7"/>
    <w:basedOn w:val="Normalny"/>
    <w:next w:val="Normalny"/>
    <w:autoRedefine/>
    <w:uiPriority w:val="39"/>
    <w:unhideWhenUsed/>
    <w:rsid w:val="00A0275A"/>
    <w:pPr>
      <w:spacing w:after="100" w:line="278" w:lineRule="auto"/>
      <w:ind w:left="1440"/>
    </w:pPr>
    <w:rPr>
      <w:rFonts w:asciiTheme="minorHAnsi" w:eastAsiaTheme="minorEastAsia" w:hAnsiTheme="minorHAnsi" w:cstheme="minorBidi"/>
      <w:kern w:val="2"/>
      <w14:ligatures w14:val="standardContextual"/>
    </w:rPr>
  </w:style>
  <w:style w:type="paragraph" w:styleId="Spistreci8">
    <w:name w:val="toc 8"/>
    <w:basedOn w:val="Normalny"/>
    <w:next w:val="Normalny"/>
    <w:autoRedefine/>
    <w:uiPriority w:val="39"/>
    <w:unhideWhenUsed/>
    <w:rsid w:val="00A0275A"/>
    <w:pPr>
      <w:spacing w:after="100" w:line="278" w:lineRule="auto"/>
      <w:ind w:left="1680"/>
    </w:pPr>
    <w:rPr>
      <w:rFonts w:asciiTheme="minorHAnsi" w:eastAsiaTheme="minorEastAsia" w:hAnsiTheme="minorHAnsi" w:cstheme="minorBidi"/>
      <w:kern w:val="2"/>
      <w14:ligatures w14:val="standardContextual"/>
    </w:rPr>
  </w:style>
  <w:style w:type="paragraph" w:styleId="Spistreci9">
    <w:name w:val="toc 9"/>
    <w:basedOn w:val="Normalny"/>
    <w:next w:val="Normalny"/>
    <w:autoRedefine/>
    <w:uiPriority w:val="39"/>
    <w:unhideWhenUsed/>
    <w:rsid w:val="00A0275A"/>
    <w:pPr>
      <w:spacing w:after="100" w:line="278" w:lineRule="auto"/>
      <w:ind w:left="1920"/>
    </w:pPr>
    <w:rPr>
      <w:rFonts w:asciiTheme="minorHAnsi" w:eastAsiaTheme="minorEastAsia" w:hAnsiTheme="minorHAnsi" w:cstheme="minorBidi"/>
      <w:kern w:val="2"/>
      <w14:ligatures w14:val="standardContextual"/>
    </w:rPr>
  </w:style>
  <w:style w:type="paragraph" w:customStyle="1" w:styleId="Stylnastroninternet">
    <w:name w:val="Styl na stronę internet."/>
    <w:basedOn w:val="Normalny"/>
    <w:link w:val="StylnastroninternetZnak"/>
    <w:qFormat/>
    <w:rsid w:val="00162AA4"/>
    <w:pPr>
      <w:spacing w:line="276" w:lineRule="auto"/>
      <w:ind w:firstLine="709"/>
    </w:pPr>
    <w:rPr>
      <w:rFonts w:asciiTheme="minorHAnsi" w:eastAsiaTheme="minorHAnsi" w:hAnsiTheme="minorHAnsi" w:cstheme="minorBidi"/>
      <w:szCs w:val="22"/>
      <w:lang w:eastAsia="en-US"/>
    </w:rPr>
  </w:style>
  <w:style w:type="character" w:customStyle="1" w:styleId="StylnastroninternetZnak">
    <w:name w:val="Styl na stronę internet. Znak"/>
    <w:basedOn w:val="Domylnaczcionkaakapitu"/>
    <w:link w:val="Stylnastroninternet"/>
    <w:rsid w:val="00162AA4"/>
    <w:rPr>
      <w:kern w:val="0"/>
      <w:szCs w:val="22"/>
      <w14:ligatures w14:val="none"/>
    </w:rPr>
  </w:style>
  <w:style w:type="character" w:customStyle="1" w:styleId="markedcontent">
    <w:name w:val="markedcontent"/>
    <w:basedOn w:val="Domylnaczcionkaakapitu"/>
    <w:rsid w:val="0070701E"/>
  </w:style>
  <w:style w:type="paragraph" w:customStyle="1" w:styleId="Styl5">
    <w:name w:val="Styl5"/>
    <w:basedOn w:val="Normalny"/>
    <w:link w:val="Styl5Znak"/>
    <w:qFormat/>
    <w:rsid w:val="009F0C3D"/>
    <w:pPr>
      <w:keepNext/>
      <w:numPr>
        <w:numId w:val="20"/>
      </w:numPr>
      <w:jc w:val="both"/>
      <w:outlineLvl w:val="2"/>
    </w:pPr>
    <w:rPr>
      <w:rFonts w:ascii="Calibri" w:hAnsi="Calibri" w:cs="Calibri"/>
      <w:b/>
      <w:bCs/>
    </w:rPr>
  </w:style>
  <w:style w:type="character" w:customStyle="1" w:styleId="Styl5Znak">
    <w:name w:val="Styl5 Znak"/>
    <w:link w:val="Styl5"/>
    <w:rsid w:val="009F0C3D"/>
    <w:rPr>
      <w:rFonts w:ascii="Calibri" w:eastAsia="Times New Roman" w:hAnsi="Calibri" w:cs="Calibri"/>
      <w:b/>
      <w:bCs/>
      <w:kern w:val="0"/>
      <w:lang w:eastAsia="pl-PL"/>
      <w14:ligatures w14:val="none"/>
    </w:rPr>
  </w:style>
  <w:style w:type="paragraph" w:customStyle="1" w:styleId="Styl6">
    <w:name w:val="Styl6"/>
    <w:basedOn w:val="Normalny"/>
    <w:link w:val="Styl6Znak"/>
    <w:qFormat/>
    <w:rsid w:val="00D41677"/>
    <w:pPr>
      <w:keepNext/>
      <w:numPr>
        <w:numId w:val="23"/>
      </w:numPr>
      <w:tabs>
        <w:tab w:val="left" w:pos="357"/>
      </w:tabs>
      <w:jc w:val="both"/>
      <w:outlineLvl w:val="2"/>
    </w:pPr>
    <w:rPr>
      <w:rFonts w:asciiTheme="minorHAnsi" w:hAnsiTheme="minorHAnsi" w:cstheme="minorHAnsi"/>
      <w:b/>
      <w:bCs/>
    </w:rPr>
  </w:style>
  <w:style w:type="character" w:customStyle="1" w:styleId="Styl6Znak">
    <w:name w:val="Styl6 Znak"/>
    <w:basedOn w:val="Domylnaczcionkaakapitu"/>
    <w:link w:val="Styl6"/>
    <w:rsid w:val="00D41677"/>
    <w:rPr>
      <w:rFonts w:eastAsia="Times New Roman" w:cstheme="minorHAnsi"/>
      <w:b/>
      <w:bCs/>
      <w:kern w:val="0"/>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footer" Target="footer2.xml"/><Relationship Id="rId21" Type="http://schemas.openxmlformats.org/officeDocument/2006/relationships/hyperlink" Target="https://www.gov.pl/web/wsse-szczecin" TargetMode="External"/><Relationship Id="rId34" Type="http://schemas.openxmlformats.org/officeDocument/2006/relationships/image" Target="media/image1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pl/web/wsse-szczecin/oddzial-epidemiologii-szczepienia-ochronne" TargetMode="External"/><Relationship Id="rId20" Type="http://schemas.openxmlformats.org/officeDocument/2006/relationships/hyperlink" Target="http://sk.gis.gov.pl"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chart" Target="charts/chart9.xml"/><Relationship Id="rId32" Type="http://schemas.openxmlformats.org/officeDocument/2006/relationships/image" Target="media/image10.png"/><Relationship Id="rId37" Type="http://schemas.openxmlformats.org/officeDocument/2006/relationships/image" Target="media/image15.sv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wsseszczecin\dokumenty\Szczecin\NHK\_WSP\dokumentacja%20woda\2025\K&#261;pieliska\BAZA_kapieliska_2005,2010-20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wsseszczecin\dokumenty\Szczecin\NHK\_WSP\dokumentacja%20woda\2025\K&#261;pieliska\BAZA_kapieliska_2005,2010-20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2024</c:v>
                </c:pt>
              </c:strCache>
            </c:strRef>
          </c:tx>
          <c:spPr>
            <a:solidFill>
              <a:srgbClr val="064B9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General</c:formatCode>
                <c:ptCount val="12"/>
                <c:pt idx="0">
                  <c:v>1321</c:v>
                </c:pt>
                <c:pt idx="1">
                  <c:v>353</c:v>
                </c:pt>
                <c:pt idx="2">
                  <c:v>83</c:v>
                </c:pt>
                <c:pt idx="3">
                  <c:v>36</c:v>
                </c:pt>
                <c:pt idx="4">
                  <c:v>37</c:v>
                </c:pt>
                <c:pt idx="5">
                  <c:v>66</c:v>
                </c:pt>
                <c:pt idx="6">
                  <c:v>353</c:v>
                </c:pt>
                <c:pt idx="7">
                  <c:v>1433</c:v>
                </c:pt>
                <c:pt idx="8">
                  <c:v>2858</c:v>
                </c:pt>
                <c:pt idx="9">
                  <c:v>1471</c:v>
                </c:pt>
                <c:pt idx="10">
                  <c:v>424</c:v>
                </c:pt>
                <c:pt idx="11">
                  <c:v>340</c:v>
                </c:pt>
              </c:numCache>
            </c:numRef>
          </c:val>
          <c:extLst>
            <c:ext xmlns:c16="http://schemas.microsoft.com/office/drawing/2014/chart" uri="{C3380CC4-5D6E-409C-BE32-E72D297353CC}">
              <c16:uniqueId val="{00000000-AB17-4CFF-BAFC-1547BF001746}"/>
            </c:ext>
          </c:extLst>
        </c:ser>
        <c:ser>
          <c:idx val="1"/>
          <c:order val="1"/>
          <c:tx>
            <c:strRef>
              <c:f>Arkusz1!$C$1</c:f>
              <c:strCache>
                <c:ptCount val="1"/>
                <c:pt idx="0">
                  <c:v>2025</c:v>
                </c:pt>
              </c:strCache>
            </c:strRef>
          </c:tx>
          <c:spPr>
            <a:solidFill>
              <a:srgbClr val="E5322D"/>
            </a:solidFill>
            <a:ln>
              <a:noFill/>
            </a:ln>
            <a:effectLst/>
            <a:sp3d/>
          </c:spPr>
          <c:invertIfNegative val="0"/>
          <c:dLbls>
            <c:dLbl>
              <c:idx val="2"/>
              <c:layout>
                <c:manualLayout>
                  <c:x val="7.5346594333936109E-3"/>
                  <c:y val="-1.618640021856200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17-4CFF-BAFC-1547BF001746}"/>
                </c:ext>
              </c:extLst>
            </c:dLbl>
            <c:dLbl>
              <c:idx val="3"/>
              <c:layout>
                <c:manualLayout>
                  <c:x val="1.05485232067510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17-4CFF-BAFC-1547BF001746}"/>
                </c:ext>
              </c:extLst>
            </c:dLbl>
            <c:dLbl>
              <c:idx val="4"/>
              <c:layout>
                <c:manualLayout>
                  <c:x val="9.041591320072305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17-4CFF-BAFC-1547BF001746}"/>
                </c:ext>
              </c:extLst>
            </c:dLbl>
            <c:dLbl>
              <c:idx val="5"/>
              <c:layout>
                <c:manualLayout>
                  <c:x val="7.534659433393610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17-4CFF-BAFC-1547BF001746}"/>
                </c:ext>
              </c:extLst>
            </c:dLbl>
            <c:dLbl>
              <c:idx val="6"/>
              <c:layout>
                <c:manualLayout>
                  <c:x val="6.02772754671488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17-4CFF-BAFC-1547BF001746}"/>
                </c:ext>
              </c:extLst>
            </c:dLbl>
            <c:dLbl>
              <c:idx val="7"/>
              <c:layout>
                <c:manualLayout>
                  <c:x val="9.0415913200723331E-3"/>
                  <c:y val="-1.618640021856200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B17-4CFF-BAFC-1547BF001746}"/>
                </c:ext>
              </c:extLst>
            </c:dLbl>
            <c:dLbl>
              <c:idx val="8"/>
              <c:layout>
                <c:manualLayout>
                  <c:x val="9.041591320072333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17-4CFF-BAFC-1547BF001746}"/>
                </c:ext>
              </c:extLst>
            </c:dLbl>
            <c:dLbl>
              <c:idx val="9"/>
              <c:layout>
                <c:manualLayout>
                  <c:x val="9.041591320072277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B17-4CFF-BAFC-1547BF001746}"/>
                </c:ext>
              </c:extLst>
            </c:dLbl>
            <c:dLbl>
              <c:idx val="10"/>
              <c:layout>
                <c:manualLayout>
                  <c:x val="9.041591320072222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B17-4CFF-BAFC-1547BF001746}"/>
                </c:ext>
              </c:extLst>
            </c:dLbl>
            <c:dLbl>
              <c:idx val="11"/>
              <c:layout>
                <c:manualLayout>
                  <c:x val="1.054852320675105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B17-4CFF-BAFC-1547BF00174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C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Arkusz1!$C$2:$C$13</c:f>
              <c:numCache>
                <c:formatCode>General</c:formatCode>
                <c:ptCount val="12"/>
                <c:pt idx="0">
                  <c:v>264</c:v>
                </c:pt>
                <c:pt idx="1">
                  <c:v>296</c:v>
                </c:pt>
                <c:pt idx="2">
                  <c:v>207</c:v>
                </c:pt>
                <c:pt idx="3">
                  <c:v>214</c:v>
                </c:pt>
                <c:pt idx="4">
                  <c:v>166</c:v>
                </c:pt>
                <c:pt idx="5">
                  <c:v>161</c:v>
                </c:pt>
                <c:pt idx="6">
                  <c:v>126</c:v>
                </c:pt>
                <c:pt idx="7">
                  <c:v>353</c:v>
                </c:pt>
                <c:pt idx="8">
                  <c:v>2043</c:v>
                </c:pt>
                <c:pt idx="9">
                  <c:v>1796</c:v>
                </c:pt>
                <c:pt idx="10">
                  <c:v>624</c:v>
                </c:pt>
                <c:pt idx="11">
                  <c:v>606</c:v>
                </c:pt>
              </c:numCache>
            </c:numRef>
          </c:val>
          <c:extLst>
            <c:ext xmlns:c16="http://schemas.microsoft.com/office/drawing/2014/chart" uri="{C3380CC4-5D6E-409C-BE32-E72D297353CC}">
              <c16:uniqueId val="{0000000B-AB17-4CFF-BAFC-1547BF001746}"/>
            </c:ext>
          </c:extLst>
        </c:ser>
        <c:dLbls>
          <c:showLegendKey val="0"/>
          <c:showVal val="0"/>
          <c:showCatName val="0"/>
          <c:showSerName val="0"/>
          <c:showPercent val="0"/>
          <c:showBubbleSize val="0"/>
        </c:dLbls>
        <c:gapWidth val="150"/>
        <c:shape val="box"/>
        <c:axId val="988898591"/>
        <c:axId val="988910591"/>
        <c:axId val="0"/>
      </c:bar3DChart>
      <c:catAx>
        <c:axId val="9888985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8910591"/>
        <c:crosses val="autoZero"/>
        <c:auto val="1"/>
        <c:lblAlgn val="ctr"/>
        <c:lblOffset val="100"/>
        <c:noMultiLvlLbl val="0"/>
      </c:catAx>
      <c:valAx>
        <c:axId val="988910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8898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PCR</c:v>
                </c:pt>
              </c:strCache>
            </c:strRef>
          </c:tx>
          <c:spPr>
            <a:solidFill>
              <a:srgbClr val="064B93"/>
            </a:solidFill>
            <a:ln>
              <a:noFill/>
            </a:ln>
            <a:effectLst/>
            <a:sp3d/>
          </c:spPr>
          <c:invertIfNegative val="0"/>
          <c:dLbls>
            <c:dLbl>
              <c:idx val="1"/>
              <c:tx>
                <c:rich>
                  <a:bodyPr/>
                  <a:lstStyle/>
                  <a:p>
                    <a:fld id="{7E3C1571-2098-43DD-8880-0506DA904AFE}" type="VALUE">
                      <a:rPr lang="en-US"/>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33B-4C7F-A1B0-860BAFF8ED95}"/>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2023</c:v>
                </c:pt>
                <c:pt idx="1">
                  <c:v>2024</c:v>
                </c:pt>
                <c:pt idx="2">
                  <c:v>2025</c:v>
                </c:pt>
              </c:numCache>
            </c:numRef>
          </c:cat>
          <c:val>
            <c:numRef>
              <c:f>Arkusz1!$B$2:$B$4</c:f>
              <c:numCache>
                <c:formatCode>General</c:formatCode>
                <c:ptCount val="3"/>
                <c:pt idx="0">
                  <c:v>388</c:v>
                </c:pt>
                <c:pt idx="1">
                  <c:v>128</c:v>
                </c:pt>
                <c:pt idx="2">
                  <c:v>181</c:v>
                </c:pt>
              </c:numCache>
            </c:numRef>
          </c:val>
          <c:extLst>
            <c:ext xmlns:c16="http://schemas.microsoft.com/office/drawing/2014/chart" uri="{C3380CC4-5D6E-409C-BE32-E72D297353CC}">
              <c16:uniqueId val="{00000001-633B-4C7F-A1B0-860BAFF8ED95}"/>
            </c:ext>
          </c:extLst>
        </c:ser>
        <c:ser>
          <c:idx val="1"/>
          <c:order val="1"/>
          <c:tx>
            <c:strRef>
              <c:f>Arkusz1!$C$1</c:f>
              <c:strCache>
                <c:ptCount val="1"/>
                <c:pt idx="0">
                  <c:v>Antygen</c:v>
                </c:pt>
              </c:strCache>
            </c:strRef>
          </c:tx>
          <c:spPr>
            <a:solidFill>
              <a:srgbClr val="E5322D"/>
            </a:solidFill>
            <a:ln>
              <a:noFill/>
            </a:ln>
            <a:effectLst/>
            <a:sp3d/>
          </c:spPr>
          <c:invertIfNegative val="0"/>
          <c:dLbls>
            <c:spPr>
              <a:solidFill>
                <a:schemeClr val="accent4"/>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2023</c:v>
                </c:pt>
                <c:pt idx="1">
                  <c:v>2024</c:v>
                </c:pt>
                <c:pt idx="2">
                  <c:v>2025</c:v>
                </c:pt>
              </c:numCache>
            </c:numRef>
          </c:cat>
          <c:val>
            <c:numRef>
              <c:f>Arkusz1!$C$2:$C$4</c:f>
              <c:numCache>
                <c:formatCode>General</c:formatCode>
                <c:ptCount val="3"/>
                <c:pt idx="0">
                  <c:v>1967</c:v>
                </c:pt>
                <c:pt idx="1">
                  <c:v>4950</c:v>
                </c:pt>
                <c:pt idx="2">
                  <c:v>20596</c:v>
                </c:pt>
              </c:numCache>
            </c:numRef>
          </c:val>
          <c:extLst>
            <c:ext xmlns:c16="http://schemas.microsoft.com/office/drawing/2014/chart" uri="{C3380CC4-5D6E-409C-BE32-E72D297353CC}">
              <c16:uniqueId val="{00000002-633B-4C7F-A1B0-860BAFF8ED95}"/>
            </c:ext>
          </c:extLst>
        </c:ser>
        <c:dLbls>
          <c:showLegendKey val="0"/>
          <c:showVal val="0"/>
          <c:showCatName val="0"/>
          <c:showSerName val="0"/>
          <c:showPercent val="0"/>
          <c:showBubbleSize val="0"/>
        </c:dLbls>
        <c:gapWidth val="150"/>
        <c:shape val="box"/>
        <c:axId val="368981647"/>
        <c:axId val="635228384"/>
        <c:axId val="0"/>
      </c:bar3DChart>
      <c:catAx>
        <c:axId val="3689816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35228384"/>
        <c:crosses val="autoZero"/>
        <c:auto val="1"/>
        <c:lblAlgn val="ctr"/>
        <c:lblOffset val="100"/>
        <c:noMultiLvlLbl val="0"/>
      </c:catAx>
      <c:valAx>
        <c:axId val="635228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8981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Arkusz3!$B$3</c:f>
              <c:strCache>
                <c:ptCount val="1"/>
                <c:pt idx="0">
                  <c:v>Polska</c:v>
                </c:pt>
              </c:strCache>
            </c:strRef>
          </c:tx>
          <c:spPr>
            <a:solidFill>
              <a:srgbClr val="064B9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Arkusz3!$C$2:$G$2</c:f>
              <c:strCache>
                <c:ptCount val="5"/>
                <c:pt idx="0">
                  <c:v>2021 r.</c:v>
                </c:pt>
                <c:pt idx="1">
                  <c:v>2022 r.</c:v>
                </c:pt>
                <c:pt idx="2">
                  <c:v>2023 r.</c:v>
                </c:pt>
                <c:pt idx="3">
                  <c:v>2024 r.</c:v>
                </c:pt>
                <c:pt idx="4">
                  <c:v>2025 r.</c:v>
                </c:pt>
              </c:strCache>
            </c:strRef>
          </c:cat>
          <c:val>
            <c:numRef>
              <c:f>Arkusz3!$C$3:$G$3</c:f>
              <c:numCache>
                <c:formatCode>General</c:formatCode>
                <c:ptCount val="5"/>
                <c:pt idx="0">
                  <c:v>0.28000000000000003</c:v>
                </c:pt>
                <c:pt idx="1">
                  <c:v>0.31</c:v>
                </c:pt>
                <c:pt idx="2">
                  <c:v>0.41</c:v>
                </c:pt>
                <c:pt idx="3">
                  <c:v>0.42</c:v>
                </c:pt>
                <c:pt idx="4">
                  <c:v>0.51</c:v>
                </c:pt>
              </c:numCache>
            </c:numRef>
          </c:val>
          <c:extLst>
            <c:ext xmlns:c16="http://schemas.microsoft.com/office/drawing/2014/chart" uri="{C3380CC4-5D6E-409C-BE32-E72D297353CC}">
              <c16:uniqueId val="{00000000-392A-4A3A-9294-D432C3C84392}"/>
            </c:ext>
          </c:extLst>
        </c:ser>
        <c:ser>
          <c:idx val="1"/>
          <c:order val="1"/>
          <c:tx>
            <c:strRef>
              <c:f>Arkusz3!$B$4</c:f>
              <c:strCache>
                <c:ptCount val="1"/>
                <c:pt idx="0">
                  <c:v>woj. zachodniopomorskie</c:v>
                </c:pt>
              </c:strCache>
            </c:strRef>
          </c:tx>
          <c:spPr>
            <a:solidFill>
              <a:srgbClr val="E532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Arkusz3!$C$2:$G$2</c:f>
              <c:strCache>
                <c:ptCount val="5"/>
                <c:pt idx="0">
                  <c:v>2021 r.</c:v>
                </c:pt>
                <c:pt idx="1">
                  <c:v>2022 r.</c:v>
                </c:pt>
                <c:pt idx="2">
                  <c:v>2023 r.</c:v>
                </c:pt>
                <c:pt idx="3">
                  <c:v>2024 r.</c:v>
                </c:pt>
                <c:pt idx="4">
                  <c:v>2025 r.</c:v>
                </c:pt>
              </c:strCache>
            </c:strRef>
          </c:cat>
          <c:val>
            <c:numRef>
              <c:f>Arkusz3!$C$4:$G$4</c:f>
              <c:numCache>
                <c:formatCode>General</c:formatCode>
                <c:ptCount val="5"/>
                <c:pt idx="0">
                  <c:v>0.77</c:v>
                </c:pt>
                <c:pt idx="1">
                  <c:v>0.24</c:v>
                </c:pt>
                <c:pt idx="2">
                  <c:v>0.98</c:v>
                </c:pt>
                <c:pt idx="3">
                  <c:v>0.92</c:v>
                </c:pt>
                <c:pt idx="4">
                  <c:v>1.3</c:v>
                </c:pt>
              </c:numCache>
            </c:numRef>
          </c:val>
          <c:extLst>
            <c:ext xmlns:c16="http://schemas.microsoft.com/office/drawing/2014/chart" uri="{C3380CC4-5D6E-409C-BE32-E72D297353CC}">
              <c16:uniqueId val="{00000001-392A-4A3A-9294-D432C3C84392}"/>
            </c:ext>
          </c:extLst>
        </c:ser>
        <c:dLbls>
          <c:showLegendKey val="0"/>
          <c:showVal val="0"/>
          <c:showCatName val="0"/>
          <c:showSerName val="0"/>
          <c:showPercent val="0"/>
          <c:showBubbleSize val="0"/>
        </c:dLbls>
        <c:gapWidth val="100"/>
        <c:axId val="1847203760"/>
        <c:axId val="1847872144"/>
      </c:barChart>
      <c:catAx>
        <c:axId val="18472037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847872144"/>
        <c:crosses val="autoZero"/>
        <c:auto val="1"/>
        <c:lblAlgn val="ctr"/>
        <c:lblOffset val="100"/>
        <c:noMultiLvlLbl val="0"/>
      </c:catAx>
      <c:valAx>
        <c:axId val="184787214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84720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Liczba zachorowań</c:v>
                </c:pt>
              </c:strCache>
            </c:strRef>
          </c:tx>
          <c:spPr>
            <a:solidFill>
              <a:srgbClr val="064B93"/>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2021</c:v>
                </c:pt>
                <c:pt idx="1">
                  <c:v>2022</c:v>
                </c:pt>
                <c:pt idx="2">
                  <c:v>2023</c:v>
                </c:pt>
                <c:pt idx="3">
                  <c:v>2024</c:v>
                </c:pt>
                <c:pt idx="4">
                  <c:v>2025</c:v>
                </c:pt>
              </c:numCache>
            </c:numRef>
          </c:cat>
          <c:val>
            <c:numRef>
              <c:f>Arkusz1!$B$2:$B$6</c:f>
              <c:numCache>
                <c:formatCode>General</c:formatCode>
                <c:ptCount val="5"/>
                <c:pt idx="0">
                  <c:v>641</c:v>
                </c:pt>
                <c:pt idx="1">
                  <c:v>672</c:v>
                </c:pt>
                <c:pt idx="2">
                  <c:v>1064</c:v>
                </c:pt>
                <c:pt idx="3">
                  <c:v>1111</c:v>
                </c:pt>
                <c:pt idx="4">
                  <c:v>1578</c:v>
                </c:pt>
              </c:numCache>
            </c:numRef>
          </c:val>
          <c:extLst>
            <c:ext xmlns:c16="http://schemas.microsoft.com/office/drawing/2014/chart" uri="{C3380CC4-5D6E-409C-BE32-E72D297353CC}">
              <c16:uniqueId val="{00000000-F87C-486E-A6E3-5891492DE26E}"/>
            </c:ext>
          </c:extLst>
        </c:ser>
        <c:dLbls>
          <c:showLegendKey val="0"/>
          <c:showVal val="0"/>
          <c:showCatName val="0"/>
          <c:showSerName val="0"/>
          <c:showPercent val="0"/>
          <c:showBubbleSize val="0"/>
        </c:dLbls>
        <c:gapWidth val="219"/>
        <c:overlap val="-27"/>
        <c:axId val="924472367"/>
        <c:axId val="924471887"/>
      </c:barChart>
      <c:lineChart>
        <c:grouping val="standard"/>
        <c:varyColors val="0"/>
        <c:ser>
          <c:idx val="1"/>
          <c:order val="1"/>
          <c:tx>
            <c:strRef>
              <c:f>Arkusz1!$C$1</c:f>
              <c:strCache>
                <c:ptCount val="1"/>
                <c:pt idx="0">
                  <c:v>Hospitalizacje</c:v>
                </c:pt>
              </c:strCache>
            </c:strRef>
          </c:tx>
          <c:spPr>
            <a:ln w="28575" cap="rnd">
              <a:solidFill>
                <a:srgbClr val="E5322D"/>
              </a:solidFill>
              <a:round/>
            </a:ln>
            <a:effectLst/>
          </c:spPr>
          <c:marker>
            <c:symbol val="circle"/>
            <c:size val="5"/>
            <c:spPr>
              <a:solidFill>
                <a:srgbClr val="E5322D"/>
              </a:solidFill>
              <a:ln w="9525">
                <a:solidFill>
                  <a:schemeClr val="accent2"/>
                </a:solidFill>
              </a:ln>
              <a:effectLst/>
            </c:spPr>
          </c:marker>
          <c:dPt>
            <c:idx val="0"/>
            <c:marker>
              <c:symbol val="circle"/>
              <c:size val="5"/>
              <c:spPr>
                <a:solidFill>
                  <a:srgbClr val="E5322D"/>
                </a:solidFill>
                <a:ln w="9525">
                  <a:solidFill>
                    <a:srgbClr val="E5322D"/>
                  </a:solidFill>
                </a:ln>
                <a:effectLst/>
              </c:spPr>
            </c:marker>
            <c:bubble3D val="0"/>
            <c:extLst>
              <c:ext xmlns:c16="http://schemas.microsoft.com/office/drawing/2014/chart" uri="{C3380CC4-5D6E-409C-BE32-E72D297353CC}">
                <c16:uniqueId val="{00000001-F87C-486E-A6E3-5891492DE26E}"/>
              </c:ext>
            </c:extLst>
          </c:dPt>
          <c:dPt>
            <c:idx val="1"/>
            <c:marker>
              <c:symbol val="circle"/>
              <c:size val="5"/>
              <c:spPr>
                <a:solidFill>
                  <a:srgbClr val="E5322D"/>
                </a:solidFill>
                <a:ln w="9525">
                  <a:solidFill>
                    <a:srgbClr val="E5322D"/>
                  </a:solidFill>
                </a:ln>
                <a:effectLst/>
              </c:spPr>
            </c:marker>
            <c:bubble3D val="0"/>
            <c:extLst>
              <c:ext xmlns:c16="http://schemas.microsoft.com/office/drawing/2014/chart" uri="{C3380CC4-5D6E-409C-BE32-E72D297353CC}">
                <c16:uniqueId val="{00000002-F87C-486E-A6E3-5891492DE26E}"/>
              </c:ext>
            </c:extLst>
          </c:dPt>
          <c:dPt>
            <c:idx val="2"/>
            <c:marker>
              <c:symbol val="circle"/>
              <c:size val="5"/>
              <c:spPr>
                <a:solidFill>
                  <a:srgbClr val="E5322D"/>
                </a:solidFill>
                <a:ln w="9525">
                  <a:solidFill>
                    <a:srgbClr val="E5322D"/>
                  </a:solidFill>
                </a:ln>
                <a:effectLst/>
              </c:spPr>
            </c:marker>
            <c:bubble3D val="0"/>
            <c:extLst>
              <c:ext xmlns:c16="http://schemas.microsoft.com/office/drawing/2014/chart" uri="{C3380CC4-5D6E-409C-BE32-E72D297353CC}">
                <c16:uniqueId val="{00000003-F87C-486E-A6E3-5891492DE26E}"/>
              </c:ext>
            </c:extLst>
          </c:dPt>
          <c:dPt>
            <c:idx val="3"/>
            <c:marker>
              <c:symbol val="circle"/>
              <c:size val="5"/>
              <c:spPr>
                <a:solidFill>
                  <a:srgbClr val="E5322D"/>
                </a:solidFill>
                <a:ln w="9525">
                  <a:solidFill>
                    <a:srgbClr val="E5322D"/>
                  </a:solidFill>
                </a:ln>
                <a:effectLst/>
              </c:spPr>
            </c:marker>
            <c:bubble3D val="0"/>
            <c:extLst>
              <c:ext xmlns:c16="http://schemas.microsoft.com/office/drawing/2014/chart" uri="{C3380CC4-5D6E-409C-BE32-E72D297353CC}">
                <c16:uniqueId val="{00000004-F87C-486E-A6E3-5891492DE26E}"/>
              </c:ext>
            </c:extLst>
          </c:dPt>
          <c:dPt>
            <c:idx val="4"/>
            <c:marker>
              <c:symbol val="circle"/>
              <c:size val="5"/>
              <c:spPr>
                <a:solidFill>
                  <a:srgbClr val="E5322D"/>
                </a:solidFill>
                <a:ln w="9525">
                  <a:solidFill>
                    <a:srgbClr val="E5322D"/>
                  </a:solidFill>
                </a:ln>
                <a:effectLst/>
              </c:spPr>
            </c:marker>
            <c:bubble3D val="0"/>
            <c:extLst>
              <c:ext xmlns:c16="http://schemas.microsoft.com/office/drawing/2014/chart" uri="{C3380CC4-5D6E-409C-BE32-E72D297353CC}">
                <c16:uniqueId val="{00000005-F87C-486E-A6E3-5891492DE26E}"/>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FFFF00"/>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2021</c:v>
                </c:pt>
                <c:pt idx="1">
                  <c:v>2022</c:v>
                </c:pt>
                <c:pt idx="2">
                  <c:v>2023</c:v>
                </c:pt>
                <c:pt idx="3">
                  <c:v>2024</c:v>
                </c:pt>
                <c:pt idx="4">
                  <c:v>2025</c:v>
                </c:pt>
              </c:numCache>
            </c:numRef>
          </c:cat>
          <c:val>
            <c:numRef>
              <c:f>Arkusz1!$C$2:$C$6</c:f>
              <c:numCache>
                <c:formatCode>General</c:formatCode>
                <c:ptCount val="5"/>
                <c:pt idx="0">
                  <c:v>15</c:v>
                </c:pt>
                <c:pt idx="1">
                  <c:v>25</c:v>
                </c:pt>
                <c:pt idx="2">
                  <c:v>31</c:v>
                </c:pt>
                <c:pt idx="3">
                  <c:v>30</c:v>
                </c:pt>
                <c:pt idx="4">
                  <c:v>38</c:v>
                </c:pt>
              </c:numCache>
            </c:numRef>
          </c:val>
          <c:smooth val="0"/>
          <c:extLst>
            <c:ext xmlns:c16="http://schemas.microsoft.com/office/drawing/2014/chart" uri="{C3380CC4-5D6E-409C-BE32-E72D297353CC}">
              <c16:uniqueId val="{00000006-F87C-486E-A6E3-5891492DE26E}"/>
            </c:ext>
          </c:extLst>
        </c:ser>
        <c:dLbls>
          <c:showLegendKey val="0"/>
          <c:showVal val="0"/>
          <c:showCatName val="0"/>
          <c:showSerName val="0"/>
          <c:showPercent val="0"/>
          <c:showBubbleSize val="0"/>
        </c:dLbls>
        <c:marker val="1"/>
        <c:smooth val="0"/>
        <c:axId val="924472367"/>
        <c:axId val="924471887"/>
      </c:lineChart>
      <c:valAx>
        <c:axId val="924471887"/>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24472367"/>
        <c:crosses val="max"/>
        <c:crossBetween val="between"/>
      </c:valAx>
      <c:catAx>
        <c:axId val="92447236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2447188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Arkusz1!$C$2</c:f>
              <c:strCache>
                <c:ptCount val="1"/>
                <c:pt idx="0">
                  <c:v>Ogółem</c:v>
                </c:pt>
              </c:strCache>
            </c:strRef>
          </c:tx>
          <c:spPr>
            <a:solidFill>
              <a:srgbClr val="064B93"/>
            </a:solidFill>
            <a:ln>
              <a:solidFill>
                <a:srgbClr val="0070C0"/>
              </a:solidFill>
            </a:ln>
            <a:effectLst/>
          </c:spPr>
          <c:invertIfNegative val="0"/>
          <c:dPt>
            <c:idx val="0"/>
            <c:invertIfNegative val="0"/>
            <c:bubble3D val="0"/>
            <c:extLst>
              <c:ext xmlns:c16="http://schemas.microsoft.com/office/drawing/2014/chart" uri="{C3380CC4-5D6E-409C-BE32-E72D297353CC}">
                <c16:uniqueId val="{00000000-E0A3-4C75-9F09-414997A7E6CA}"/>
              </c:ext>
            </c:extLst>
          </c:dPt>
          <c:dPt>
            <c:idx val="2"/>
            <c:invertIfNegative val="0"/>
            <c:bubble3D val="0"/>
            <c:extLst>
              <c:ext xmlns:c16="http://schemas.microsoft.com/office/drawing/2014/chart" uri="{C3380CC4-5D6E-409C-BE32-E72D297353CC}">
                <c16:uniqueId val="{00000001-E0A3-4C75-9F09-414997A7E6CA}"/>
              </c:ext>
            </c:extLst>
          </c:dPt>
          <c:dPt>
            <c:idx val="4"/>
            <c:invertIfNegative val="0"/>
            <c:bubble3D val="0"/>
            <c:extLst>
              <c:ext xmlns:c16="http://schemas.microsoft.com/office/drawing/2014/chart" uri="{C3380CC4-5D6E-409C-BE32-E72D297353CC}">
                <c16:uniqueId val="{00000002-E0A3-4C75-9F09-414997A7E6CA}"/>
              </c:ext>
            </c:extLst>
          </c:dPt>
          <c:dPt>
            <c:idx val="6"/>
            <c:invertIfNegative val="0"/>
            <c:bubble3D val="0"/>
            <c:extLst>
              <c:ext xmlns:c16="http://schemas.microsoft.com/office/drawing/2014/chart" uri="{C3380CC4-5D6E-409C-BE32-E72D297353CC}">
                <c16:uniqueId val="{00000003-E0A3-4C75-9F09-414997A7E6CA}"/>
              </c:ext>
            </c:extLst>
          </c:dPt>
          <c:dPt>
            <c:idx val="7"/>
            <c:invertIfNegative val="0"/>
            <c:bubble3D val="0"/>
            <c:extLst>
              <c:ext xmlns:c16="http://schemas.microsoft.com/office/drawing/2014/chart" uri="{C3380CC4-5D6E-409C-BE32-E72D297353CC}">
                <c16:uniqueId val="{00000004-E0A3-4C75-9F09-414997A7E6CA}"/>
              </c:ext>
            </c:extLst>
          </c:dPt>
          <c:dLbls>
            <c:dLbl>
              <c:idx val="0"/>
              <c:tx>
                <c:rich>
                  <a:bodyPr/>
                  <a:lstStyle/>
                  <a:p>
                    <a:r>
                      <a:rPr lang="en-US"/>
                      <a:t>199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0A3-4C75-9F09-414997A7E6CA}"/>
                </c:ext>
              </c:extLst>
            </c:dLbl>
            <c:dLbl>
              <c:idx val="7"/>
              <c:tx>
                <c:rich>
                  <a:bodyPr/>
                  <a:lstStyle/>
                  <a:p>
                    <a:r>
                      <a:rPr lang="en-US" b="0">
                        <a:solidFill>
                          <a:schemeClr val="bg1"/>
                        </a:solidFill>
                      </a:rPr>
                      <a:t>199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0A3-4C75-9F09-414997A7E6CA}"/>
                </c:ext>
              </c:extLst>
            </c:dLbl>
            <c:spPr>
              <a:solidFill>
                <a:srgbClr val="064B93"/>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Arkusz1!$B$3:$B$7</c:f>
              <c:strCache>
                <c:ptCount val="5"/>
                <c:pt idx="0">
                  <c:v>2021</c:v>
                </c:pt>
                <c:pt idx="1">
                  <c:v>2022</c:v>
                </c:pt>
                <c:pt idx="2">
                  <c:v>2023</c:v>
                </c:pt>
                <c:pt idx="3">
                  <c:v>2024</c:v>
                </c:pt>
                <c:pt idx="4">
                  <c:v>2025*</c:v>
                </c:pt>
              </c:strCache>
            </c:strRef>
          </c:cat>
          <c:val>
            <c:numRef>
              <c:f>Arkusz1!$C$3:$C$7</c:f>
              <c:numCache>
                <c:formatCode>General</c:formatCode>
                <c:ptCount val="5"/>
                <c:pt idx="0">
                  <c:v>198</c:v>
                </c:pt>
                <c:pt idx="1">
                  <c:v>264</c:v>
                </c:pt>
                <c:pt idx="2">
                  <c:v>158</c:v>
                </c:pt>
                <c:pt idx="3">
                  <c:v>126</c:v>
                </c:pt>
                <c:pt idx="4">
                  <c:v>104</c:v>
                </c:pt>
              </c:numCache>
            </c:numRef>
          </c:val>
          <c:extLst>
            <c:ext xmlns:c16="http://schemas.microsoft.com/office/drawing/2014/chart" uri="{C3380CC4-5D6E-409C-BE32-E72D297353CC}">
              <c16:uniqueId val="{00000005-E0A3-4C75-9F09-414997A7E6CA}"/>
            </c:ext>
          </c:extLst>
        </c:ser>
        <c:dLbls>
          <c:showLegendKey val="0"/>
          <c:showVal val="1"/>
          <c:showCatName val="0"/>
          <c:showSerName val="0"/>
          <c:showPercent val="0"/>
          <c:showBubbleSize val="0"/>
        </c:dLbls>
        <c:gapWidth val="405"/>
        <c:axId val="286945448"/>
        <c:axId val="286947016"/>
      </c:barChart>
      <c:lineChart>
        <c:grouping val="standard"/>
        <c:varyColors val="0"/>
        <c:ser>
          <c:idx val="1"/>
          <c:order val="1"/>
          <c:tx>
            <c:strRef>
              <c:f>Arkusz1!$D$2</c:f>
              <c:strCache>
                <c:ptCount val="1"/>
                <c:pt idx="0">
                  <c:v>w tym SARS-CoV-2</c:v>
                </c:pt>
              </c:strCache>
            </c:strRef>
          </c:tx>
          <c:spPr>
            <a:ln w="28575" cap="rnd">
              <a:solidFill>
                <a:srgbClr val="E5322D"/>
              </a:solidFill>
              <a:round/>
            </a:ln>
            <a:effectLst/>
          </c:spPr>
          <c:marker>
            <c:symbol val="none"/>
          </c:marker>
          <c:dLbls>
            <c:dLbl>
              <c:idx val="6"/>
              <c:layout>
                <c:manualLayout>
                  <c:x val="0"/>
                  <c:y val="1.211232454773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A3-4C75-9F09-414997A7E6CA}"/>
                </c:ext>
              </c:extLst>
            </c:dLbl>
            <c:dLbl>
              <c:idx val="7"/>
              <c:layout>
                <c:manualLayout>
                  <c:x val="-1.3648597221537382E-2"/>
                  <c:y val="2.4224649095466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0A3-4C75-9F09-414997A7E6CA}"/>
                </c:ext>
              </c:extLst>
            </c:dLbl>
            <c:spPr>
              <a:solidFill>
                <a:srgbClr val="E5322D"/>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Arkusz1!$B$3:$B$7</c:f>
              <c:strCache>
                <c:ptCount val="5"/>
                <c:pt idx="0">
                  <c:v>2021</c:v>
                </c:pt>
                <c:pt idx="1">
                  <c:v>2022</c:v>
                </c:pt>
                <c:pt idx="2">
                  <c:v>2023</c:v>
                </c:pt>
                <c:pt idx="3">
                  <c:v>2024</c:v>
                </c:pt>
                <c:pt idx="4">
                  <c:v>2025*</c:v>
                </c:pt>
              </c:strCache>
            </c:strRef>
          </c:cat>
          <c:val>
            <c:numRef>
              <c:f>Arkusz1!$D$3:$D$7</c:f>
              <c:numCache>
                <c:formatCode>General</c:formatCode>
                <c:ptCount val="5"/>
                <c:pt idx="0">
                  <c:v>133</c:v>
                </c:pt>
                <c:pt idx="1">
                  <c:v>207</c:v>
                </c:pt>
                <c:pt idx="2">
                  <c:v>92</c:v>
                </c:pt>
                <c:pt idx="3">
                  <c:v>50</c:v>
                </c:pt>
                <c:pt idx="4">
                  <c:v>25</c:v>
                </c:pt>
              </c:numCache>
            </c:numRef>
          </c:val>
          <c:smooth val="0"/>
          <c:extLst>
            <c:ext xmlns:c16="http://schemas.microsoft.com/office/drawing/2014/chart" uri="{C3380CC4-5D6E-409C-BE32-E72D297353CC}">
              <c16:uniqueId val="{00000008-E0A3-4C75-9F09-414997A7E6CA}"/>
            </c:ext>
          </c:extLst>
        </c:ser>
        <c:dLbls>
          <c:showLegendKey val="0"/>
          <c:showVal val="1"/>
          <c:showCatName val="0"/>
          <c:showSerName val="0"/>
          <c:showPercent val="0"/>
          <c:showBubbleSize val="0"/>
        </c:dLbls>
        <c:marker val="1"/>
        <c:smooth val="0"/>
        <c:axId val="286945448"/>
        <c:axId val="286947016"/>
      </c:lineChart>
      <c:catAx>
        <c:axId val="28694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6947016"/>
        <c:crosses val="autoZero"/>
        <c:auto val="1"/>
        <c:lblAlgn val="ctr"/>
        <c:lblOffset val="100"/>
        <c:noMultiLvlLbl val="0"/>
      </c:catAx>
      <c:valAx>
        <c:axId val="286947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6945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b="0" i="0" u="none" strike="noStrike" kern="1200" spc="0" baseline="0">
                <a:solidFill>
                  <a:schemeClr val="tx1"/>
                </a:solidFill>
                <a:effectLst/>
                <a:latin typeface="Lato" panose="020F0502020204030203" pitchFamily="34" charset="-18"/>
              </a:rPr>
              <a:t>Liczba i rodzaj kąpielisk w latach 2018-2025</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barChart>
        <c:barDir val="col"/>
        <c:grouping val="clustered"/>
        <c:varyColors val="0"/>
        <c:ser>
          <c:idx val="0"/>
          <c:order val="0"/>
          <c:tx>
            <c:v>śródlądowe</c:v>
          </c:tx>
          <c:spPr>
            <a:solidFill>
              <a:srgbClr val="064B9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'Kąpieliska, MWDK - Liczby'!$AF$50:$AM$50</c:f>
              <c:numCache>
                <c:formatCode>General</c:formatCode>
                <c:ptCount val="8"/>
                <c:pt idx="0">
                  <c:v>2018</c:v>
                </c:pt>
                <c:pt idx="1">
                  <c:v>2019</c:v>
                </c:pt>
                <c:pt idx="2">
                  <c:v>2020</c:v>
                </c:pt>
                <c:pt idx="3">
                  <c:v>2021</c:v>
                </c:pt>
                <c:pt idx="4">
                  <c:v>2022</c:v>
                </c:pt>
                <c:pt idx="5">
                  <c:v>2023</c:v>
                </c:pt>
                <c:pt idx="6">
                  <c:v>2024</c:v>
                </c:pt>
                <c:pt idx="7">
                  <c:v>2025</c:v>
                </c:pt>
              </c:numCache>
            </c:numRef>
          </c:cat>
          <c:val>
            <c:numRef>
              <c:f>'Kąpieliska, MWDK - Liczby'!$AF$51:$AM$51</c:f>
              <c:numCache>
                <c:formatCode>General</c:formatCode>
                <c:ptCount val="8"/>
                <c:pt idx="0">
                  <c:v>34</c:v>
                </c:pt>
                <c:pt idx="1">
                  <c:v>37</c:v>
                </c:pt>
                <c:pt idx="2">
                  <c:v>32</c:v>
                </c:pt>
                <c:pt idx="3">
                  <c:v>36</c:v>
                </c:pt>
                <c:pt idx="4">
                  <c:v>36</c:v>
                </c:pt>
                <c:pt idx="5">
                  <c:v>38</c:v>
                </c:pt>
                <c:pt idx="6">
                  <c:v>41</c:v>
                </c:pt>
                <c:pt idx="7">
                  <c:v>40</c:v>
                </c:pt>
              </c:numCache>
            </c:numRef>
          </c:val>
          <c:extLst>
            <c:ext xmlns:c16="http://schemas.microsoft.com/office/drawing/2014/chart" uri="{C3380CC4-5D6E-409C-BE32-E72D297353CC}">
              <c16:uniqueId val="{00000000-323C-44E8-9763-77E2FF50AB50}"/>
            </c:ext>
          </c:extLst>
        </c:ser>
        <c:ser>
          <c:idx val="1"/>
          <c:order val="1"/>
          <c:tx>
            <c:v>morskie</c:v>
          </c:tx>
          <c:spPr>
            <a:solidFill>
              <a:srgbClr val="E532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'Kąpieliska, MWDK - Liczby'!$AF$50:$AM$50</c:f>
              <c:numCache>
                <c:formatCode>General</c:formatCode>
                <c:ptCount val="8"/>
                <c:pt idx="0">
                  <c:v>2018</c:v>
                </c:pt>
                <c:pt idx="1">
                  <c:v>2019</c:v>
                </c:pt>
                <c:pt idx="2">
                  <c:v>2020</c:v>
                </c:pt>
                <c:pt idx="3">
                  <c:v>2021</c:v>
                </c:pt>
                <c:pt idx="4">
                  <c:v>2022</c:v>
                </c:pt>
                <c:pt idx="5">
                  <c:v>2023</c:v>
                </c:pt>
                <c:pt idx="6">
                  <c:v>2024</c:v>
                </c:pt>
                <c:pt idx="7">
                  <c:v>2025</c:v>
                </c:pt>
              </c:numCache>
            </c:numRef>
          </c:cat>
          <c:val>
            <c:numRef>
              <c:f>'Kąpieliska, MWDK - Liczby'!$AF$52:$AM$52</c:f>
              <c:numCache>
                <c:formatCode>General</c:formatCode>
                <c:ptCount val="8"/>
                <c:pt idx="0">
                  <c:v>71</c:v>
                </c:pt>
                <c:pt idx="1">
                  <c:v>83</c:v>
                </c:pt>
                <c:pt idx="2">
                  <c:v>87</c:v>
                </c:pt>
                <c:pt idx="3">
                  <c:v>95</c:v>
                </c:pt>
                <c:pt idx="4">
                  <c:v>100</c:v>
                </c:pt>
                <c:pt idx="5">
                  <c:v>103</c:v>
                </c:pt>
                <c:pt idx="6">
                  <c:v>104</c:v>
                </c:pt>
                <c:pt idx="7">
                  <c:v>104</c:v>
                </c:pt>
              </c:numCache>
            </c:numRef>
          </c:val>
          <c:extLst>
            <c:ext xmlns:c16="http://schemas.microsoft.com/office/drawing/2014/chart" uri="{C3380CC4-5D6E-409C-BE32-E72D297353CC}">
              <c16:uniqueId val="{00000001-323C-44E8-9763-77E2FF50AB50}"/>
            </c:ext>
          </c:extLst>
        </c:ser>
        <c:dLbls>
          <c:showLegendKey val="0"/>
          <c:showVal val="0"/>
          <c:showCatName val="0"/>
          <c:showSerName val="0"/>
          <c:showPercent val="0"/>
          <c:showBubbleSize val="0"/>
        </c:dLbls>
        <c:gapWidth val="219"/>
        <c:overlap val="-27"/>
        <c:axId val="1526238640"/>
        <c:axId val="1526253040"/>
      </c:barChart>
      <c:catAx>
        <c:axId val="152623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6253040"/>
        <c:crosses val="autoZero"/>
        <c:auto val="1"/>
        <c:lblAlgn val="ctr"/>
        <c:lblOffset val="100"/>
        <c:noMultiLvlLbl val="0"/>
      </c:catAx>
      <c:valAx>
        <c:axId val="152625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623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i="0">
                <a:solidFill>
                  <a:schemeClr val="tx1"/>
                </a:solidFill>
                <a:effectLst/>
                <a:latin typeface="Lato" panose="020F0502020204030203" pitchFamily="34" charset="-18"/>
              </a:rPr>
              <a:t>Liczba i rodzaj mowdk w latach 2018-2025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v>śródlądowe</c:v>
          </c:tx>
          <c:spPr>
            <a:solidFill>
              <a:srgbClr val="064B9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'Kąpieliska, MWDK - Liczby'!$AF$50:$AM$50</c:f>
              <c:numCache>
                <c:formatCode>General</c:formatCode>
                <c:ptCount val="8"/>
                <c:pt idx="0">
                  <c:v>2018</c:v>
                </c:pt>
                <c:pt idx="1">
                  <c:v>2019</c:v>
                </c:pt>
                <c:pt idx="2">
                  <c:v>2020</c:v>
                </c:pt>
                <c:pt idx="3">
                  <c:v>2021</c:v>
                </c:pt>
                <c:pt idx="4">
                  <c:v>2022</c:v>
                </c:pt>
                <c:pt idx="5">
                  <c:v>2023</c:v>
                </c:pt>
                <c:pt idx="6">
                  <c:v>2024</c:v>
                </c:pt>
                <c:pt idx="7">
                  <c:v>2025</c:v>
                </c:pt>
              </c:numCache>
            </c:numRef>
          </c:cat>
          <c:val>
            <c:numRef>
              <c:f>'Kąpieliska, MWDK - Liczby'!$AF$89:$AM$89</c:f>
              <c:numCache>
                <c:formatCode>General</c:formatCode>
                <c:ptCount val="8"/>
                <c:pt idx="0">
                  <c:v>16</c:v>
                </c:pt>
                <c:pt idx="1">
                  <c:v>14</c:v>
                </c:pt>
                <c:pt idx="2">
                  <c:v>5</c:v>
                </c:pt>
                <c:pt idx="3">
                  <c:v>14</c:v>
                </c:pt>
                <c:pt idx="4">
                  <c:v>14</c:v>
                </c:pt>
                <c:pt idx="5">
                  <c:v>17</c:v>
                </c:pt>
                <c:pt idx="6">
                  <c:v>15</c:v>
                </c:pt>
                <c:pt idx="7">
                  <c:v>19</c:v>
                </c:pt>
              </c:numCache>
            </c:numRef>
          </c:val>
          <c:extLst>
            <c:ext xmlns:c16="http://schemas.microsoft.com/office/drawing/2014/chart" uri="{C3380CC4-5D6E-409C-BE32-E72D297353CC}">
              <c16:uniqueId val="{00000000-D9DF-4A69-8D2D-A41C2E0A696A}"/>
            </c:ext>
          </c:extLst>
        </c:ser>
        <c:ser>
          <c:idx val="1"/>
          <c:order val="1"/>
          <c:tx>
            <c:v>morskie</c:v>
          </c:tx>
          <c:spPr>
            <a:solidFill>
              <a:srgbClr val="E532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'Kąpieliska, MWDK - Liczby'!$AF$50:$AM$50</c:f>
              <c:numCache>
                <c:formatCode>General</c:formatCode>
                <c:ptCount val="8"/>
                <c:pt idx="0">
                  <c:v>2018</c:v>
                </c:pt>
                <c:pt idx="1">
                  <c:v>2019</c:v>
                </c:pt>
                <c:pt idx="2">
                  <c:v>2020</c:v>
                </c:pt>
                <c:pt idx="3">
                  <c:v>2021</c:v>
                </c:pt>
                <c:pt idx="4">
                  <c:v>2022</c:v>
                </c:pt>
                <c:pt idx="5">
                  <c:v>2023</c:v>
                </c:pt>
                <c:pt idx="6">
                  <c:v>2024</c:v>
                </c:pt>
                <c:pt idx="7">
                  <c:v>2025</c:v>
                </c:pt>
              </c:numCache>
            </c:numRef>
          </c:cat>
          <c:val>
            <c:numRef>
              <c:f>'Kąpieliska, MWDK - Liczby'!$AF$90:$AM$90</c:f>
              <c:numCache>
                <c:formatCode>General</c:formatCode>
                <c:ptCount val="8"/>
                <c:pt idx="0">
                  <c:v>6</c:v>
                </c:pt>
                <c:pt idx="1">
                  <c:v>2</c:v>
                </c:pt>
                <c:pt idx="2">
                  <c:v>2</c:v>
                </c:pt>
                <c:pt idx="3">
                  <c:v>5</c:v>
                </c:pt>
                <c:pt idx="4">
                  <c:v>2</c:v>
                </c:pt>
                <c:pt idx="5">
                  <c:v>5</c:v>
                </c:pt>
                <c:pt idx="6">
                  <c:v>4</c:v>
                </c:pt>
                <c:pt idx="7">
                  <c:v>3</c:v>
                </c:pt>
              </c:numCache>
            </c:numRef>
          </c:val>
          <c:extLst>
            <c:ext xmlns:c16="http://schemas.microsoft.com/office/drawing/2014/chart" uri="{C3380CC4-5D6E-409C-BE32-E72D297353CC}">
              <c16:uniqueId val="{00000001-D9DF-4A69-8D2D-A41C2E0A696A}"/>
            </c:ext>
          </c:extLst>
        </c:ser>
        <c:dLbls>
          <c:showLegendKey val="0"/>
          <c:showVal val="0"/>
          <c:showCatName val="0"/>
          <c:showSerName val="0"/>
          <c:showPercent val="0"/>
          <c:showBubbleSize val="0"/>
        </c:dLbls>
        <c:gapWidth val="219"/>
        <c:overlap val="-27"/>
        <c:axId val="1526238640"/>
        <c:axId val="1526253040"/>
      </c:barChart>
      <c:catAx>
        <c:axId val="152623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6253040"/>
        <c:crosses val="autoZero"/>
        <c:auto val="1"/>
        <c:lblAlgn val="ctr"/>
        <c:lblOffset val="100"/>
        <c:noMultiLvlLbl val="0"/>
      </c:catAx>
      <c:valAx>
        <c:axId val="152625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623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5025573318486704"/>
          <c:y val="7.9745876136343888E-2"/>
          <c:w val="0.51090940905114135"/>
          <c:h val="0.83741774000104297"/>
        </c:manualLayout>
      </c:layout>
      <c:pieChart>
        <c:varyColors val="1"/>
        <c:ser>
          <c:idx val="0"/>
          <c:order val="0"/>
          <c:tx>
            <c:strRef>
              <c:f>całoroczne!$E$36</c:f>
              <c:strCache>
                <c:ptCount val="1"/>
                <c:pt idx="0">
                  <c:v>2025</c:v>
                </c:pt>
              </c:strCache>
            </c:strRef>
          </c:tx>
          <c:dPt>
            <c:idx val="0"/>
            <c:bubble3D val="0"/>
            <c:spPr>
              <a:solidFill>
                <a:srgbClr val="FF0000"/>
              </a:solidFill>
              <a:ln>
                <a:solidFill>
                  <a:srgbClr val="FF0000"/>
                </a:solidFill>
              </a:ln>
            </c:spPr>
            <c:extLst>
              <c:ext xmlns:c16="http://schemas.microsoft.com/office/drawing/2014/chart" uri="{C3380CC4-5D6E-409C-BE32-E72D297353CC}">
                <c16:uniqueId val="{00000001-B1D7-46D8-94F2-27EC2096801F}"/>
              </c:ext>
            </c:extLst>
          </c:dPt>
          <c:dPt>
            <c:idx val="1"/>
            <c:bubble3D val="0"/>
            <c:spPr>
              <a:solidFill>
                <a:srgbClr val="0070C0"/>
              </a:solidFill>
              <a:ln>
                <a:solidFill>
                  <a:srgbClr val="0070C0"/>
                </a:solidFill>
              </a:ln>
            </c:spPr>
            <c:extLst>
              <c:ext xmlns:c16="http://schemas.microsoft.com/office/drawing/2014/chart" uri="{C3380CC4-5D6E-409C-BE32-E72D297353CC}">
                <c16:uniqueId val="{00000003-B1D7-46D8-94F2-27EC2096801F}"/>
              </c:ext>
            </c:extLst>
          </c:dPt>
          <c:dPt>
            <c:idx val="2"/>
            <c:bubble3D val="0"/>
            <c:explosion val="2"/>
            <c:spPr>
              <a:solidFill>
                <a:srgbClr val="FFC000"/>
              </a:solidFill>
              <a:ln>
                <a:solidFill>
                  <a:schemeClr val="accent5">
                    <a:lumMod val="60000"/>
                    <a:lumOff val="40000"/>
                  </a:schemeClr>
                </a:solidFill>
              </a:ln>
            </c:spPr>
            <c:extLst>
              <c:ext xmlns:c16="http://schemas.microsoft.com/office/drawing/2014/chart" uri="{C3380CC4-5D6E-409C-BE32-E72D297353CC}">
                <c16:uniqueId val="{00000005-B1D7-46D8-94F2-27EC2096801F}"/>
              </c:ext>
            </c:extLst>
          </c:dPt>
          <c:dLbls>
            <c:dLbl>
              <c:idx val="0"/>
              <c:layout>
                <c:manualLayout>
                  <c:x val="0"/>
                  <c:y val="-3.9735099337748346E-2"/>
                </c:manualLayout>
              </c:layout>
              <c:spPr>
                <a:solidFill>
                  <a:srgbClr val="FF0000"/>
                </a:solidFill>
                <a:ln>
                  <a:noFill/>
                </a:ln>
              </c:spPr>
              <c:txPr>
                <a:bodyPr/>
                <a:lstStyle/>
                <a:p>
                  <a:pPr>
                    <a:defRPr sz="1050">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D7-46D8-94F2-27EC2096801F}"/>
                </c:ext>
              </c:extLst>
            </c:dLbl>
            <c:dLbl>
              <c:idx val="1"/>
              <c:layout>
                <c:manualLayout>
                  <c:x val="4.3056544909573932E-2"/>
                  <c:y val="5.7395143487858707E-2"/>
                </c:manualLayout>
              </c:layout>
              <c:spPr>
                <a:solidFill>
                  <a:srgbClr val="0070C0"/>
                </a:solidFill>
                <a:ln>
                  <a:noFill/>
                </a:ln>
              </c:spPr>
              <c:txPr>
                <a:bodyPr/>
                <a:lstStyle/>
                <a:p>
                  <a:pPr>
                    <a:defRPr sz="1050">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D7-46D8-94F2-27EC2096801F}"/>
                </c:ext>
              </c:extLst>
            </c:dLbl>
            <c:dLbl>
              <c:idx val="2"/>
              <c:layout>
                <c:manualLayout>
                  <c:x val="-2.9749830966869506E-2"/>
                  <c:y val="-0.24834437086092714"/>
                </c:manualLayout>
              </c:layout>
              <c:showLegendKey val="0"/>
              <c:showVal val="1"/>
              <c:showCatName val="0"/>
              <c:showSerName val="0"/>
              <c:showPercent val="0"/>
              <c:showBubbleSize val="0"/>
              <c:extLst>
                <c:ext xmlns:c15="http://schemas.microsoft.com/office/drawing/2012/chart" uri="{CE6537A1-D6FC-4f65-9D91-7224C49458BB}">
                  <c15:layout>
                    <c:manualLayout>
                      <c:w val="0.23056118999323869"/>
                      <c:h val="0.17549668874172186"/>
                    </c:manualLayout>
                  </c15:layout>
                </c:ext>
                <c:ext xmlns:c16="http://schemas.microsoft.com/office/drawing/2014/chart" uri="{C3380CC4-5D6E-409C-BE32-E72D297353CC}">
                  <c16:uniqueId val="{00000005-B1D7-46D8-94F2-27EC2096801F}"/>
                </c:ext>
              </c:extLst>
            </c:dLbl>
            <c:spPr>
              <a:noFill/>
              <a:ln>
                <a:noFill/>
              </a:ln>
              <a:effectLst/>
            </c:spPr>
            <c:txPr>
              <a:bodyPr/>
              <a:lstStyle/>
              <a:p>
                <a:pPr>
                  <a:defRPr sz="1050">
                    <a:solidFill>
                      <a:schemeClr val="bg1"/>
                    </a:solidFil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całoroczne!$A$37:$A$39</c:f>
              <c:strCache>
                <c:ptCount val="3"/>
                <c:pt idx="0">
                  <c:v>czynniki chemiczne </c:v>
                </c:pt>
                <c:pt idx="1">
                  <c:v>pyły</c:v>
                </c:pt>
                <c:pt idx="2">
                  <c:v>czynniki fizyczne</c:v>
                </c:pt>
              </c:strCache>
            </c:strRef>
          </c:cat>
          <c:val>
            <c:numRef>
              <c:f>całoroczne!$E$37:$E$39</c:f>
              <c:numCache>
                <c:formatCode>General</c:formatCode>
                <c:ptCount val="3"/>
                <c:pt idx="0">
                  <c:v>290</c:v>
                </c:pt>
                <c:pt idx="1">
                  <c:v>323</c:v>
                </c:pt>
                <c:pt idx="2">
                  <c:v>13869</c:v>
                </c:pt>
              </c:numCache>
            </c:numRef>
          </c:val>
          <c:extLst>
            <c:ext xmlns:c16="http://schemas.microsoft.com/office/drawing/2014/chart" uri="{C3380CC4-5D6E-409C-BE32-E72D297353CC}">
              <c16:uniqueId val="{00000006-B1D7-46D8-94F2-27EC2096801F}"/>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 (2)'!$B$71</c:f>
              <c:strCache>
                <c:ptCount val="1"/>
                <c:pt idx="0">
                  <c:v>PKD 16 - Produkcja wyrobów z drewna oraz korka, z wyłączeniem mebli (...)</c:v>
                </c:pt>
              </c:strCache>
            </c:strRef>
          </c:tx>
          <c:spPr>
            <a:solidFill>
              <a:srgbClr val="FF0000"/>
            </a:solidFill>
            <a:ln>
              <a:solidFill>
                <a:schemeClr val="tx1"/>
              </a:solidFill>
            </a:ln>
          </c:spPr>
          <c:invertIfNegative val="0"/>
          <c:dLbls>
            <c:dLbl>
              <c:idx val="7"/>
              <c:layout>
                <c:manualLayout>
                  <c:x val="-3.657028453910275E-2"/>
                  <c:y val="-9.93779504803761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3D-4D26-8017-81FADB442FBC}"/>
                </c:ext>
              </c:extLst>
            </c:dLbl>
            <c:spPr>
              <a:solidFill>
                <a:srgbClr val="FF0000"/>
              </a:solidFill>
              <a:ln>
                <a:solidFill>
                  <a:schemeClr val="tx1"/>
                </a:solidFill>
              </a:ln>
            </c:spPr>
            <c:txPr>
              <a:bodyPr/>
              <a:lstStyle/>
              <a:p>
                <a:pPr>
                  <a:defRPr sz="1100">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(2)'!$S$70:$U$70</c:f>
              <c:numCache>
                <c:formatCode>General</c:formatCode>
                <c:ptCount val="3"/>
                <c:pt idx="0">
                  <c:v>2023</c:v>
                </c:pt>
                <c:pt idx="1">
                  <c:v>2024</c:v>
                </c:pt>
                <c:pt idx="2">
                  <c:v>2025</c:v>
                </c:pt>
              </c:numCache>
            </c:numRef>
          </c:cat>
          <c:val>
            <c:numRef>
              <c:f>'Arkusz1 (2)'!$S$71:$U$71</c:f>
              <c:numCache>
                <c:formatCode>General</c:formatCode>
                <c:ptCount val="3"/>
                <c:pt idx="0">
                  <c:v>2778</c:v>
                </c:pt>
                <c:pt idx="1">
                  <c:v>2614</c:v>
                </c:pt>
                <c:pt idx="2">
                  <c:v>2456</c:v>
                </c:pt>
              </c:numCache>
            </c:numRef>
          </c:val>
          <c:extLst>
            <c:ext xmlns:c16="http://schemas.microsoft.com/office/drawing/2014/chart" uri="{C3380CC4-5D6E-409C-BE32-E72D297353CC}">
              <c16:uniqueId val="{00000001-643D-4D26-8017-81FADB442FBC}"/>
            </c:ext>
          </c:extLst>
        </c:ser>
        <c:ser>
          <c:idx val="2"/>
          <c:order val="1"/>
          <c:tx>
            <c:strRef>
              <c:f>'Arkusz1 (2)'!$B$72</c:f>
              <c:strCache>
                <c:ptCount val="1"/>
                <c:pt idx="0">
                  <c:v>PKD 31 - Produkcja mebli</c:v>
                </c:pt>
              </c:strCache>
            </c:strRef>
          </c:tx>
          <c:spPr>
            <a:solidFill>
              <a:schemeClr val="bg1">
                <a:lumMod val="75000"/>
              </a:schemeClr>
            </a:solidFill>
            <a:ln>
              <a:solidFill>
                <a:schemeClr val="tx1"/>
              </a:solidFill>
            </a:ln>
          </c:spPr>
          <c:invertIfNegative val="0"/>
          <c:dLbls>
            <c:dLbl>
              <c:idx val="0"/>
              <c:layout>
                <c:manualLayout>
                  <c:x val="-1.2571100346012657E-3"/>
                  <c:y val="-7.09317486790365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3D-4D26-8017-81FADB442FBC}"/>
                </c:ext>
              </c:extLst>
            </c:dLbl>
            <c:dLbl>
              <c:idx val="1"/>
              <c:layout>
                <c:manualLayout>
                  <c:x val="-3.4971606703142568E-3"/>
                  <c:y val="-2.02569958475094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3D-4D26-8017-81FADB442FBC}"/>
                </c:ext>
              </c:extLst>
            </c:dLbl>
            <c:dLbl>
              <c:idx val="2"/>
              <c:layout>
                <c:manualLayout>
                  <c:x val="6.5065837258982946E-4"/>
                  <c:y val="-1.01478558514068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3D-4D26-8017-81FADB442FBC}"/>
                </c:ext>
              </c:extLst>
            </c:dLbl>
            <c:dLbl>
              <c:idx val="3"/>
              <c:layout>
                <c:manualLayout>
                  <c:x val="-3.1445258153919568E-2"/>
                  <c:y val="1.7067316687247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3D-4D26-8017-81FADB442FBC}"/>
                </c:ext>
              </c:extLst>
            </c:dLbl>
            <c:dLbl>
              <c:idx val="4"/>
              <c:layout>
                <c:manualLayout>
                  <c:x val="-3.657028453910275E-2"/>
                  <c:y val="-4.58764680259142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3D-4D26-8017-81FADB442FBC}"/>
                </c:ext>
              </c:extLst>
            </c:dLbl>
            <c:dLbl>
              <c:idx val="5"/>
              <c:layout>
                <c:manualLayout>
                  <c:x val="-2.7938944449822423E-2"/>
                  <c:y val="3.57061671245530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3D-4D26-8017-81FADB442FBC}"/>
                </c:ext>
              </c:extLst>
            </c:dLbl>
            <c:dLbl>
              <c:idx val="7"/>
              <c:layout>
                <c:manualLayout>
                  <c:x val="-3.4709201356451211E-2"/>
                  <c:y val="-3.0188106157051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3D-4D26-8017-81FADB442FBC}"/>
                </c:ext>
              </c:extLst>
            </c:dLbl>
            <c:dLbl>
              <c:idx val="8"/>
              <c:layout>
                <c:manualLayout>
                  <c:x val="-3.6643356643356641E-2"/>
                  <c:y val="-2.36658808687611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3D-4D26-8017-81FADB442FBC}"/>
                </c:ext>
              </c:extLst>
            </c:dLbl>
            <c:dLbl>
              <c:idx val="9"/>
              <c:layout>
                <c:manualLayout>
                  <c:x val="-3.3216378176792058E-2"/>
                  <c:y val="2.7439309519135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43D-4D26-8017-81FADB442FBC}"/>
                </c:ext>
              </c:extLst>
            </c:dLbl>
            <c:dLbl>
              <c:idx val="10"/>
              <c:layout>
                <c:manualLayout>
                  <c:x val="-2.4064831345564607E-2"/>
                  <c:y val="1.8802400910620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43D-4D26-8017-81FADB442FBC}"/>
                </c:ext>
              </c:extLst>
            </c:dLbl>
            <c:spPr>
              <a:solidFill>
                <a:srgbClr val="B9BDC2"/>
              </a:solidFill>
              <a:ln>
                <a:solidFill>
                  <a:schemeClr val="tx1"/>
                </a:solidFill>
              </a:ln>
            </c:spPr>
            <c:txPr>
              <a:bodyPr/>
              <a:lstStyle/>
              <a:p>
                <a:pPr>
                  <a:defRPr sz="1100">
                    <a:solidFill>
                      <a:schemeClr val="tx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(2)'!$S$70:$U$70</c:f>
              <c:numCache>
                <c:formatCode>General</c:formatCode>
                <c:ptCount val="3"/>
                <c:pt idx="0">
                  <c:v>2023</c:v>
                </c:pt>
                <c:pt idx="1">
                  <c:v>2024</c:v>
                </c:pt>
                <c:pt idx="2">
                  <c:v>2025</c:v>
                </c:pt>
              </c:numCache>
            </c:numRef>
          </c:cat>
          <c:val>
            <c:numRef>
              <c:f>'Arkusz1 (2)'!$S$72:$U$72</c:f>
              <c:numCache>
                <c:formatCode>General</c:formatCode>
                <c:ptCount val="3"/>
                <c:pt idx="0">
                  <c:v>987</c:v>
                </c:pt>
                <c:pt idx="1">
                  <c:v>924</c:v>
                </c:pt>
                <c:pt idx="2">
                  <c:v>932</c:v>
                </c:pt>
              </c:numCache>
            </c:numRef>
          </c:val>
          <c:extLst>
            <c:ext xmlns:c16="http://schemas.microsoft.com/office/drawing/2014/chart" uri="{C3380CC4-5D6E-409C-BE32-E72D297353CC}">
              <c16:uniqueId val="{0000000C-643D-4D26-8017-81FADB442FBC}"/>
            </c:ext>
          </c:extLst>
        </c:ser>
        <c:ser>
          <c:idx val="3"/>
          <c:order val="2"/>
          <c:tx>
            <c:strRef>
              <c:f>'Arkusz1 (2)'!$B$73</c:f>
              <c:strCache>
                <c:ptCount val="1"/>
                <c:pt idx="0">
                  <c:v>PKD 25 - Produkcja metalowych wyrobów gotowych z wyłączeniem maszyn i urządzeń</c:v>
                </c:pt>
              </c:strCache>
            </c:strRef>
          </c:tx>
          <c:spPr>
            <a:solidFill>
              <a:srgbClr val="FFC000"/>
            </a:solidFill>
            <a:ln>
              <a:solidFill>
                <a:schemeClr val="tx1"/>
              </a:solidFill>
            </a:ln>
          </c:spPr>
          <c:invertIfNegative val="0"/>
          <c:dLbls>
            <c:dLbl>
              <c:idx val="0"/>
              <c:layout>
                <c:manualLayout>
                  <c:x val="-6.8341817996581148E-3"/>
                  <c:y val="-3.21126510940025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43D-4D26-8017-81FADB442FBC}"/>
                </c:ext>
              </c:extLst>
            </c:dLbl>
            <c:dLbl>
              <c:idx val="1"/>
              <c:layout>
                <c:manualLayout>
                  <c:x val="-1.2480198467637389E-2"/>
                  <c:y val="-7.220507014237540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43D-4D26-8017-81FADB442FBC}"/>
                </c:ext>
              </c:extLst>
            </c:dLbl>
            <c:dLbl>
              <c:idx val="2"/>
              <c:layout>
                <c:manualLayout>
                  <c:x val="-1.30131674517993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43D-4D26-8017-81FADB442FBC}"/>
                </c:ext>
              </c:extLst>
            </c:dLbl>
            <c:dLbl>
              <c:idx val="3"/>
              <c:layout>
                <c:manualLayout>
                  <c:x val="-3.3963488770178164E-2"/>
                  <c:y val="-3.06113362605392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43D-4D26-8017-81FADB442FBC}"/>
                </c:ext>
              </c:extLst>
            </c:dLbl>
            <c:dLbl>
              <c:idx val="4"/>
              <c:layout>
                <c:manualLayout>
                  <c:x val="-3.657028453910275E-2"/>
                  <c:y val="-3.43736492982037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43D-4D26-8017-81FADB442FBC}"/>
                </c:ext>
              </c:extLst>
            </c:dLbl>
            <c:dLbl>
              <c:idx val="5"/>
              <c:layout>
                <c:manualLayout>
                  <c:x val="-3.8511819270358676E-2"/>
                  <c:y val="9.4813473611130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43D-4D26-8017-81FADB442FBC}"/>
                </c:ext>
              </c:extLst>
            </c:dLbl>
            <c:dLbl>
              <c:idx val="6"/>
              <c:layout>
                <c:manualLayout>
                  <c:x val="-3.6643356643356641E-2"/>
                  <c:y val="-1.2803694853825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43D-4D26-8017-81FADB442FBC}"/>
                </c:ext>
              </c:extLst>
            </c:dLbl>
            <c:dLbl>
              <c:idx val="7"/>
              <c:layout>
                <c:manualLayout>
                  <c:x val="-3.8431367721754289E-2"/>
                  <c:y val="-3.8213328525221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43D-4D26-8017-81FADB442FBC}"/>
                </c:ext>
              </c:extLst>
            </c:dLbl>
            <c:dLbl>
              <c:idx val="8"/>
              <c:layout>
                <c:manualLayout>
                  <c:x val="-3.6388888888888887E-2"/>
                  <c:y val="1.022370544911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43D-4D26-8017-81FADB442FBC}"/>
                </c:ext>
              </c:extLst>
            </c:dLbl>
            <c:spPr>
              <a:solidFill>
                <a:srgbClr val="FFC000"/>
              </a:solidFill>
              <a:ln>
                <a:solidFill>
                  <a:schemeClr val="tx1"/>
                </a:solidFill>
              </a:ln>
            </c:spPr>
            <c:txPr>
              <a:bodyPr/>
              <a:lstStyle/>
              <a:p>
                <a:pPr>
                  <a:defRPr sz="1100">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(2)'!$S$70:$U$70</c:f>
              <c:numCache>
                <c:formatCode>General</c:formatCode>
                <c:ptCount val="3"/>
                <c:pt idx="0">
                  <c:v>2023</c:v>
                </c:pt>
                <c:pt idx="1">
                  <c:v>2024</c:v>
                </c:pt>
                <c:pt idx="2">
                  <c:v>2025</c:v>
                </c:pt>
              </c:numCache>
            </c:numRef>
          </c:cat>
          <c:val>
            <c:numRef>
              <c:f>'Arkusz1 (2)'!$S$73:$U$73</c:f>
              <c:numCache>
                <c:formatCode>General</c:formatCode>
                <c:ptCount val="3"/>
                <c:pt idx="0">
                  <c:v>2201</c:v>
                </c:pt>
                <c:pt idx="1">
                  <c:v>2258</c:v>
                </c:pt>
                <c:pt idx="2">
                  <c:v>1727</c:v>
                </c:pt>
              </c:numCache>
            </c:numRef>
          </c:val>
          <c:extLst>
            <c:ext xmlns:c16="http://schemas.microsoft.com/office/drawing/2014/chart" uri="{C3380CC4-5D6E-409C-BE32-E72D297353CC}">
              <c16:uniqueId val="{00000016-643D-4D26-8017-81FADB442FBC}"/>
            </c:ext>
          </c:extLst>
        </c:ser>
        <c:ser>
          <c:idx val="4"/>
          <c:order val="3"/>
          <c:tx>
            <c:strRef>
              <c:f>'Arkusz1 (2)'!$B$74</c:f>
              <c:strCache>
                <c:ptCount val="1"/>
                <c:pt idx="0">
                  <c:v>PKD 10 - Produkcja artykułów spożywczych</c:v>
                </c:pt>
              </c:strCache>
            </c:strRef>
          </c:tx>
          <c:spPr>
            <a:solidFill>
              <a:srgbClr val="0070C0"/>
            </a:solidFill>
            <a:ln>
              <a:solidFill>
                <a:schemeClr val="tx1"/>
              </a:solidFill>
            </a:ln>
          </c:spPr>
          <c:invertIfNegative val="0"/>
          <c:dLbls>
            <c:dLbl>
              <c:idx val="0"/>
              <c:layout>
                <c:manualLayout>
                  <c:x val="5.1979479889024071E-4"/>
                  <c:y val="-7.45301723414790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43D-4D26-8017-81FADB442FBC}"/>
                </c:ext>
              </c:extLst>
            </c:dLbl>
            <c:dLbl>
              <c:idx val="1"/>
              <c:layout>
                <c:manualLayout>
                  <c:x val="-6.8163423032126464E-17"/>
                  <c:y val="-1.3658093398989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43D-4D26-8017-81FADB442FBC}"/>
                </c:ext>
              </c:extLst>
            </c:dLbl>
            <c:dLbl>
              <c:idx val="2"/>
              <c:layout>
                <c:manualLayout>
                  <c:x val="0"/>
                  <c:y val="-1.092647471919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43D-4D26-8017-81FADB442FBC}"/>
                </c:ext>
              </c:extLst>
            </c:dLbl>
            <c:dLbl>
              <c:idx val="3"/>
              <c:layout>
                <c:manualLayout>
                  <c:x val="-3.5327016945808205E-2"/>
                  <c:y val="-3.27598511418381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43D-4D26-8017-81FADB442FBC}"/>
                </c:ext>
              </c:extLst>
            </c:dLbl>
            <c:dLbl>
              <c:idx val="4"/>
              <c:layout>
                <c:manualLayout>
                  <c:x val="-4.2237762237762239E-2"/>
                  <c:y val="-2.0950334365027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43D-4D26-8017-81FADB442FBC}"/>
                </c:ext>
              </c:extLst>
            </c:dLbl>
            <c:dLbl>
              <c:idx val="5"/>
              <c:layout>
                <c:manualLayout>
                  <c:x val="-3.6643356643356578E-2"/>
                  <c:y val="2.9097187698788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43D-4D26-8017-81FADB442FBC}"/>
                </c:ext>
              </c:extLst>
            </c:dLbl>
            <c:dLbl>
              <c:idx val="6"/>
              <c:layout>
                <c:manualLayout>
                  <c:x val="-4.7832099985625431E-2"/>
                  <c:y val="-4.1667724183084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43D-4D26-8017-81FADB442FBC}"/>
                </c:ext>
              </c:extLst>
            </c:dLbl>
            <c:spPr>
              <a:solidFill>
                <a:srgbClr val="0070C0"/>
              </a:solidFill>
              <a:ln>
                <a:solidFill>
                  <a:schemeClr val="tx1"/>
                </a:solidFill>
              </a:ln>
            </c:spPr>
            <c:txPr>
              <a:bodyPr/>
              <a:lstStyle/>
              <a:p>
                <a:pPr>
                  <a:defRPr sz="1100">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(2)'!$S$70:$U$70</c:f>
              <c:numCache>
                <c:formatCode>General</c:formatCode>
                <c:ptCount val="3"/>
                <c:pt idx="0">
                  <c:v>2023</c:v>
                </c:pt>
                <c:pt idx="1">
                  <c:v>2024</c:v>
                </c:pt>
                <c:pt idx="2">
                  <c:v>2025</c:v>
                </c:pt>
              </c:numCache>
            </c:numRef>
          </c:cat>
          <c:val>
            <c:numRef>
              <c:f>'Arkusz1 (2)'!$S$74:$U$74</c:f>
              <c:numCache>
                <c:formatCode>General</c:formatCode>
                <c:ptCount val="3"/>
                <c:pt idx="0">
                  <c:v>3645</c:v>
                </c:pt>
                <c:pt idx="1">
                  <c:v>3966</c:v>
                </c:pt>
                <c:pt idx="2">
                  <c:v>3247</c:v>
                </c:pt>
              </c:numCache>
            </c:numRef>
          </c:val>
          <c:extLst>
            <c:ext xmlns:c16="http://schemas.microsoft.com/office/drawing/2014/chart" uri="{C3380CC4-5D6E-409C-BE32-E72D297353CC}">
              <c16:uniqueId val="{0000001E-643D-4D26-8017-81FADB442FBC}"/>
            </c:ext>
          </c:extLst>
        </c:ser>
        <c:ser>
          <c:idx val="0"/>
          <c:order val="4"/>
          <c:tx>
            <c:strRef>
              <c:f>'Arkusz1 (2)'!$B$75</c:f>
              <c:strCache>
                <c:ptCount val="1"/>
                <c:pt idx="0">
                  <c:v>PKD 22 - Produkcja wyrobów z gumy i tworzyw sztucznych</c:v>
                </c:pt>
              </c:strCache>
            </c:strRef>
          </c:tx>
          <c:spPr>
            <a:solidFill>
              <a:srgbClr val="CCECFF"/>
            </a:solidFill>
            <a:ln>
              <a:solidFill>
                <a:schemeClr val="tx1"/>
              </a:solidFill>
            </a:ln>
          </c:spPr>
          <c:invertIfNegative val="0"/>
          <c:dLbls>
            <c:dLbl>
              <c:idx val="0"/>
              <c:layout>
                <c:manualLayout>
                  <c:x val="7.3949629527272171E-3"/>
                  <c:y val="-2.5619141807144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43D-4D26-8017-81FADB442FBC}"/>
                </c:ext>
              </c:extLst>
            </c:dLbl>
            <c:dLbl>
              <c:idx val="1"/>
              <c:layout>
                <c:manualLayout>
                  <c:x val="9.2662827806665026E-3"/>
                  <c:y val="-2.67505051343676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43D-4D26-8017-81FADB442FBC}"/>
                </c:ext>
              </c:extLst>
            </c:dLbl>
            <c:dLbl>
              <c:idx val="2"/>
              <c:layout>
                <c:manualLayout>
                  <c:x val="3.687161697900572E-3"/>
                  <c:y val="-1.131363327223898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43D-4D26-8017-81FADB442FBC}"/>
                </c:ext>
              </c:extLst>
            </c:dLbl>
            <c:dLbl>
              <c:idx val="3"/>
              <c:layout>
                <c:manualLayout>
                  <c:x val="-2.0471915009166935E-2"/>
                  <c:y val="8.0252223681693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643D-4D26-8017-81FADB442FBC}"/>
                </c:ext>
              </c:extLst>
            </c:dLbl>
            <c:dLbl>
              <c:idx val="4"/>
              <c:layout>
                <c:manualLayout>
                  <c:x val="-2.233299819181854E-2"/>
                  <c:y val="5.35014824544616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43D-4D26-8017-81FADB442FBC}"/>
                </c:ext>
              </c:extLst>
            </c:dLbl>
            <c:dLbl>
              <c:idx val="5"/>
              <c:layout>
                <c:manualLayout>
                  <c:x val="-1.8610831826515396E-2"/>
                  <c:y val="1.0700296490892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643D-4D26-8017-81FADB442FBC}"/>
                </c:ext>
              </c:extLst>
            </c:dLbl>
            <c:dLbl>
              <c:idx val="6"/>
              <c:layout>
                <c:manualLayout>
                  <c:x val="-2.4194081374470013E-2"/>
                  <c:y val="-9.80849180811712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643D-4D26-8017-81FADB442FBC}"/>
                </c:ext>
              </c:extLst>
            </c:dLbl>
            <c:dLbl>
              <c:idx val="7"/>
              <c:layout>
                <c:manualLayout>
                  <c:x val="-2.7916247739773227E-2"/>
                  <c:y val="2.2554245026679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643D-4D26-8017-81FADB442FBC}"/>
                </c:ext>
              </c:extLst>
            </c:dLbl>
            <c:dLbl>
              <c:idx val="8"/>
              <c:layout>
                <c:manualLayout>
                  <c:x val="-2.9777330922424631E-2"/>
                  <c:y val="1.6050444736338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643D-4D26-8017-81FADB442FBC}"/>
                </c:ext>
              </c:extLst>
            </c:dLbl>
            <c:dLbl>
              <c:idx val="9"/>
              <c:layout>
                <c:manualLayout>
                  <c:x val="-3.3499497287727845E-2"/>
                  <c:y val="-3.1331858321334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643D-4D26-8017-81FADB442FBC}"/>
                </c:ext>
              </c:extLst>
            </c:dLbl>
            <c:dLbl>
              <c:idx val="10"/>
              <c:layout>
                <c:manualLayout>
                  <c:x val="-2.5907450238372518E-2"/>
                  <c:y val="-1.7127004093916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643D-4D26-8017-81FADB442FBC}"/>
                </c:ext>
              </c:extLst>
            </c:dLbl>
            <c:spPr>
              <a:solidFill>
                <a:srgbClr val="CCECFF"/>
              </a:solidFill>
              <a:ln>
                <a:solidFill>
                  <a:schemeClr val="tx1"/>
                </a:solidFill>
              </a:ln>
              <a:effectLst/>
            </c:spPr>
            <c:txPr>
              <a:bodyPr wrap="square" lIns="38100" tIns="19050" rIns="38100" bIns="19050" anchor="ctr">
                <a:spAutoFit/>
              </a:bodyPr>
              <a:lstStyle/>
              <a:p>
                <a:pPr>
                  <a:defRPr>
                    <a:solidFill>
                      <a:schemeClr val="tx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 (2)'!$S$70:$U$70</c:f>
              <c:numCache>
                <c:formatCode>General</c:formatCode>
                <c:ptCount val="3"/>
                <c:pt idx="0">
                  <c:v>2023</c:v>
                </c:pt>
                <c:pt idx="1">
                  <c:v>2024</c:v>
                </c:pt>
                <c:pt idx="2">
                  <c:v>2025</c:v>
                </c:pt>
              </c:numCache>
            </c:numRef>
          </c:cat>
          <c:val>
            <c:numRef>
              <c:f>'Arkusz1 (2)'!$S$75:$U$75</c:f>
              <c:numCache>
                <c:formatCode>General</c:formatCode>
                <c:ptCount val="3"/>
                <c:pt idx="0">
                  <c:v>1006</c:v>
                </c:pt>
                <c:pt idx="1">
                  <c:v>1059</c:v>
                </c:pt>
                <c:pt idx="2">
                  <c:v>991</c:v>
                </c:pt>
              </c:numCache>
            </c:numRef>
          </c:val>
          <c:extLst>
            <c:ext xmlns:c16="http://schemas.microsoft.com/office/drawing/2014/chart" uri="{C3380CC4-5D6E-409C-BE32-E72D297353CC}">
              <c16:uniqueId val="{0000002A-643D-4D26-8017-81FADB442FBC}"/>
            </c:ext>
          </c:extLst>
        </c:ser>
        <c:dLbls>
          <c:showLegendKey val="0"/>
          <c:showVal val="1"/>
          <c:showCatName val="0"/>
          <c:showSerName val="0"/>
          <c:showPercent val="0"/>
          <c:showBubbleSize val="0"/>
        </c:dLbls>
        <c:gapWidth val="150"/>
        <c:axId val="388934160"/>
        <c:axId val="388934720"/>
      </c:barChart>
      <c:catAx>
        <c:axId val="388934160"/>
        <c:scaling>
          <c:orientation val="minMax"/>
        </c:scaling>
        <c:delete val="0"/>
        <c:axPos val="b"/>
        <c:title>
          <c:tx>
            <c:rich>
              <a:bodyPr/>
              <a:lstStyle/>
              <a:p>
                <a:pPr>
                  <a:defRPr b="0"/>
                </a:pPr>
                <a:r>
                  <a:rPr lang="pl-PL" b="0"/>
                  <a:t>Lata</a:t>
                </a:r>
              </a:p>
            </c:rich>
          </c:tx>
          <c:overlay val="0"/>
        </c:title>
        <c:numFmt formatCode="General" sourceLinked="1"/>
        <c:majorTickMark val="none"/>
        <c:minorTickMark val="none"/>
        <c:tickLblPos val="nextTo"/>
        <c:crossAx val="388934720"/>
        <c:crosses val="autoZero"/>
        <c:auto val="1"/>
        <c:lblAlgn val="ctr"/>
        <c:lblOffset val="100"/>
        <c:noMultiLvlLbl val="0"/>
      </c:catAx>
      <c:valAx>
        <c:axId val="388934720"/>
        <c:scaling>
          <c:orientation val="minMax"/>
        </c:scaling>
        <c:delete val="0"/>
        <c:axPos val="l"/>
        <c:majorGridlines/>
        <c:title>
          <c:tx>
            <c:rich>
              <a:bodyPr/>
              <a:lstStyle/>
              <a:p>
                <a:pPr>
                  <a:defRPr b="0">
                    <a:latin typeface="Lato" panose="020F0502020204030203" pitchFamily="34" charset="-18"/>
                  </a:defRPr>
                </a:pPr>
                <a:r>
                  <a:rPr lang="pl-PL" b="0">
                    <a:latin typeface="Lato" panose="020F0502020204030203" pitchFamily="34" charset="-18"/>
                  </a:rPr>
                  <a:t>Liczba</a:t>
                </a:r>
                <a:r>
                  <a:rPr lang="pl-PL" b="0" baseline="0">
                    <a:latin typeface="Lato" panose="020F0502020204030203" pitchFamily="34" charset="-18"/>
                  </a:rPr>
                  <a:t> pracowników zatrudnionych w zakładach z przepkroczeniami NDS/NDN</a:t>
                </a:r>
                <a:endParaRPr lang="pl-PL" b="0">
                  <a:latin typeface="Lato" panose="020F0502020204030203" pitchFamily="34" charset="-18"/>
                </a:endParaRPr>
              </a:p>
            </c:rich>
          </c:tx>
          <c:layout>
            <c:manualLayout>
              <c:xMode val="edge"/>
              <c:yMode val="edge"/>
              <c:x val="0"/>
              <c:y val="0.12536614173228347"/>
            </c:manualLayout>
          </c:layout>
          <c:overlay val="0"/>
        </c:title>
        <c:numFmt formatCode="General" sourceLinked="1"/>
        <c:majorTickMark val="none"/>
        <c:minorTickMark val="none"/>
        <c:tickLblPos val="nextTo"/>
        <c:spPr>
          <a:ln w="9525">
            <a:noFill/>
          </a:ln>
        </c:spPr>
        <c:crossAx val="388934160"/>
        <c:crosses val="autoZero"/>
        <c:crossBetween val="between"/>
      </c:valAx>
    </c:plotArea>
    <c:legend>
      <c:legendPos val="b"/>
      <c:layout>
        <c:manualLayout>
          <c:xMode val="edge"/>
          <c:yMode val="edge"/>
          <c:x val="0.12403528114663727"/>
          <c:y val="0.66464285714285709"/>
          <c:w val="0.86218302094818078"/>
          <c:h val="0.31392857142857145"/>
        </c:manualLayout>
      </c:layout>
      <c:overlay val="0"/>
      <c:txPr>
        <a:bodyPr/>
        <a:lstStyle/>
        <a:p>
          <a:pPr>
            <a:defRPr>
              <a:latin typeface="Lato" panose="020F0502020204030203" pitchFamily="34" charset="-18"/>
            </a:defRPr>
          </a:pPr>
          <a:endParaRPr lang="pl-PL"/>
        </a:p>
      </c:txPr>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07F565D76580498BA4966B8783EC42" ma:contentTypeVersion="8" ma:contentTypeDescription="Create a new document." ma:contentTypeScope="" ma:versionID="ce0bb54fe000ebb76b72a1367de6fb0d">
  <xsd:schema xmlns:xsd="http://www.w3.org/2001/XMLSchema" xmlns:xs="http://www.w3.org/2001/XMLSchema" xmlns:p="http://schemas.microsoft.com/office/2006/metadata/properties" xmlns:ns3="31249900-ed0e-4fa3-8b8c-cc1da5a1b8e7" xmlns:ns4="de09de79-4fde-4178-a275-196f68d4423e" targetNamespace="http://schemas.microsoft.com/office/2006/metadata/properties" ma:root="true" ma:fieldsID="54a23223d45638ce20fa21e75f265054" ns3:_="" ns4:_="">
    <xsd:import namespace="31249900-ed0e-4fa3-8b8c-cc1da5a1b8e7"/>
    <xsd:import namespace="de09de79-4fde-4178-a275-196f68d4423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249900-ed0e-4fa3-8b8c-cc1da5a1b8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09de79-4fde-4178-a275-196f68d442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31249900-ed0e-4fa3-8b8c-cc1da5a1b8e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305C9-A6F6-469B-B60F-B0B64C18E3B1}">
  <ds:schemaRefs>
    <ds:schemaRef ds:uri="http://schemas.microsoft.com/sharepoint/v3/contenttype/forms"/>
  </ds:schemaRefs>
</ds:datastoreItem>
</file>

<file path=customXml/itemProps2.xml><?xml version="1.0" encoding="utf-8"?>
<ds:datastoreItem xmlns:ds="http://schemas.openxmlformats.org/officeDocument/2006/customXml" ds:itemID="{94A4CC26-9D92-4F61-AA79-208DF20DE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249900-ed0e-4fa3-8b8c-cc1da5a1b8e7"/>
    <ds:schemaRef ds:uri="de09de79-4fde-4178-a275-196f68d442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A28253-A381-4BEE-865B-FBF5C02B7A26}">
  <ds:schemaRefs>
    <ds:schemaRef ds:uri="http://schemas.microsoft.com/office/2006/metadata/properties"/>
    <ds:schemaRef ds:uri="http://schemas.microsoft.com/office/infopath/2007/PartnerControls"/>
    <ds:schemaRef ds:uri="31249900-ed0e-4fa3-8b8c-cc1da5a1b8e7"/>
  </ds:schemaRefs>
</ds:datastoreItem>
</file>

<file path=customXml/itemProps4.xml><?xml version="1.0" encoding="utf-8"?>
<ds:datastoreItem xmlns:ds="http://schemas.openxmlformats.org/officeDocument/2006/customXml" ds:itemID="{6ED91C89-C80E-4A10-8F5A-EA8B8CAF2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27224</Words>
  <Characters>182132</Characters>
  <Application>Microsoft Office Word</Application>
  <DocSecurity>0</DocSecurity>
  <Lines>5356</Lines>
  <Paragraphs>3220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WSSE Szczecin - Małgorzata Trocha</dc:creator>
  <cp:keywords/>
  <dc:description/>
  <cp:lastModifiedBy>WSSE Szczecin - Małgorzata Trocha</cp:lastModifiedBy>
  <cp:revision>10</cp:revision>
  <cp:lastPrinted>2026-03-31T11:20:00Z</cp:lastPrinted>
  <dcterms:created xsi:type="dcterms:W3CDTF">2026-04-01T05:41:00Z</dcterms:created>
  <dcterms:modified xsi:type="dcterms:W3CDTF">2026-04-01T07:17:00Z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0x0101006B07F565D76580498BA4966B8783EC42</vt:lpwstr>
  </property>
</Properties>
</file>