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CE2" w:rsidRPr="00DB412F" w:rsidRDefault="00173E07" w:rsidP="0050008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hyperlink r:id="rId7" w:history="1">
        <w:r w:rsidR="00693693" w:rsidRPr="00DB412F">
          <w:rPr>
            <w:rFonts w:ascii="Times New Roman" w:hAnsi="Times New Roman" w:cs="Times New Roman"/>
            <w:b/>
            <w:sz w:val="26"/>
            <w:szCs w:val="26"/>
          </w:rPr>
          <w:t xml:space="preserve">Szacowanie wartości zamówienia na </w:t>
        </w:r>
        <w:r w:rsidR="00D34E92" w:rsidRPr="00DB412F">
          <w:rPr>
            <w:rFonts w:ascii="Times New Roman" w:hAnsi="Times New Roman" w:cs="Times New Roman"/>
            <w:b/>
            <w:sz w:val="26"/>
            <w:szCs w:val="26"/>
          </w:rPr>
          <w:t xml:space="preserve">przeprowadzenie </w:t>
        </w:r>
        <w:r w:rsidR="00693693" w:rsidRPr="00DB412F">
          <w:rPr>
            <w:rFonts w:ascii="Times New Roman" w:hAnsi="Times New Roman" w:cs="Times New Roman"/>
            <w:b/>
            <w:sz w:val="26"/>
            <w:szCs w:val="26"/>
          </w:rPr>
          <w:t xml:space="preserve">szkoleń </w:t>
        </w:r>
      </w:hyperlink>
      <w:r w:rsidR="00F82548" w:rsidRPr="00DB412F">
        <w:rPr>
          <w:rFonts w:ascii="Times New Roman" w:hAnsi="Times New Roman" w:cs="Times New Roman"/>
          <w:b/>
          <w:sz w:val="26"/>
          <w:szCs w:val="26"/>
        </w:rPr>
        <w:t xml:space="preserve">dla prokuratorów </w:t>
      </w:r>
      <w:r w:rsidR="00500084" w:rsidRPr="00DB412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z zakresu </w:t>
      </w:r>
      <w:r w:rsidR="00715472" w:rsidRPr="00DB412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zarządzania procesem pozyskiwania i przetwarzania informacji oraz komunikacji związanej z prowadzeniem postępowań w sprawach gospodarczych</w:t>
      </w:r>
    </w:p>
    <w:p w:rsidR="00693693" w:rsidRPr="00DB412F" w:rsidRDefault="00693693">
      <w:pPr>
        <w:rPr>
          <w:rFonts w:ascii="Times New Roman" w:hAnsi="Times New Roman" w:cs="Times New Roman"/>
          <w:color w:val="262625"/>
          <w:sz w:val="26"/>
          <w:szCs w:val="26"/>
        </w:rPr>
      </w:pPr>
    </w:p>
    <w:p w:rsidR="00693693" w:rsidRPr="00DB412F" w:rsidRDefault="00693693" w:rsidP="00FE0272">
      <w:pPr>
        <w:shd w:val="clear" w:color="auto" w:fill="FFFFFF"/>
        <w:spacing w:after="135" w:line="270" w:lineRule="atLeast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B412F">
        <w:rPr>
          <w:rFonts w:ascii="Times New Roman" w:eastAsia="Times New Roman" w:hAnsi="Times New Roman" w:cs="Times New Roman"/>
          <w:sz w:val="26"/>
          <w:szCs w:val="26"/>
          <w:lang w:eastAsia="pl-PL"/>
        </w:rPr>
        <w:t>W zw</w:t>
      </w:r>
      <w:r w:rsidR="00FE0272" w:rsidRPr="00DB412F">
        <w:rPr>
          <w:rFonts w:ascii="Times New Roman" w:eastAsia="Times New Roman" w:hAnsi="Times New Roman" w:cs="Times New Roman"/>
          <w:sz w:val="26"/>
          <w:szCs w:val="26"/>
          <w:lang w:eastAsia="pl-PL"/>
        </w:rPr>
        <w:t>iązku z koniecznością o</w:t>
      </w:r>
      <w:r w:rsidRPr="00DB412F">
        <w:rPr>
          <w:rFonts w:ascii="Times New Roman" w:eastAsia="Times New Roman" w:hAnsi="Times New Roman" w:cs="Times New Roman"/>
          <w:sz w:val="26"/>
          <w:szCs w:val="26"/>
          <w:lang w:eastAsia="pl-PL"/>
        </w:rPr>
        <w:t>szacowania wartości zamówienia w ramach projektu pozakonkursowego</w:t>
      </w:r>
      <w:r w:rsidR="006E1CC8" w:rsidRPr="00DB412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„Budowa systemu wsparcia pracy prokuratora na etapie postępowania przygotowawczego i sądowego poprzez opracowanie metodyk pracy w określonych kategoriach spraw” (POWER 1)</w:t>
      </w:r>
      <w:r w:rsidR="00FE0272" w:rsidRPr="00DB412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współfinansowanego ze środków Europejskiego Funduszu Społecznego w ramach Programu Operacyjnego Wiedza Edukacja Rozwój </w:t>
      </w:r>
      <w:r w:rsidRPr="00DB412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realizowanego przez </w:t>
      </w:r>
      <w:r w:rsidR="007C788D" w:rsidRPr="00DB412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Prokuraturę Krajową proszę o </w:t>
      </w:r>
      <w:r w:rsidRPr="00DB412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oszacowanie kosztu </w:t>
      </w:r>
      <w:r w:rsidR="00514234" w:rsidRPr="00DB412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usługi 1 godziny </w:t>
      </w:r>
      <w:r w:rsidR="000022F9">
        <w:rPr>
          <w:rFonts w:ascii="Times New Roman" w:eastAsia="Times New Roman" w:hAnsi="Times New Roman" w:cs="Times New Roman"/>
          <w:sz w:val="26"/>
          <w:szCs w:val="26"/>
          <w:lang w:eastAsia="pl-PL"/>
        </w:rPr>
        <w:t>dydaktycznej (45 minut)</w:t>
      </w:r>
      <w:r w:rsidR="00514234" w:rsidRPr="00DB412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szkolenia z</w:t>
      </w:r>
      <w:r w:rsidR="000022F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e wskazanej </w:t>
      </w:r>
      <w:r w:rsidR="00514234" w:rsidRPr="00DB412F">
        <w:rPr>
          <w:rFonts w:ascii="Times New Roman" w:eastAsia="Times New Roman" w:hAnsi="Times New Roman" w:cs="Times New Roman"/>
          <w:sz w:val="26"/>
          <w:szCs w:val="26"/>
          <w:lang w:eastAsia="pl-PL"/>
        </w:rPr>
        <w:t>tematyki.</w:t>
      </w:r>
      <w:r w:rsidRPr="00DB412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:rsidR="00DB412F" w:rsidRPr="00DB412F" w:rsidRDefault="00693693" w:rsidP="00610FAF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bCs/>
          <w:color w:val="262625"/>
          <w:sz w:val="26"/>
          <w:szCs w:val="26"/>
          <w:lang w:eastAsia="pl-PL"/>
        </w:rPr>
      </w:pPr>
      <w:r w:rsidRPr="00DB412F">
        <w:rPr>
          <w:rFonts w:ascii="Times New Roman" w:eastAsia="Times New Roman" w:hAnsi="Times New Roman" w:cs="Times New Roman"/>
          <w:b/>
          <w:bCs/>
          <w:color w:val="262625"/>
          <w:sz w:val="26"/>
          <w:szCs w:val="26"/>
          <w:lang w:eastAsia="pl-PL"/>
        </w:rPr>
        <w:t>Zakres usługi:</w:t>
      </w:r>
    </w:p>
    <w:p w:rsidR="00664101" w:rsidRPr="00580F9C" w:rsidRDefault="00514234" w:rsidP="00580F9C">
      <w:pPr>
        <w:pStyle w:val="Akapitzlist"/>
        <w:numPr>
          <w:ilvl w:val="0"/>
          <w:numId w:val="6"/>
        </w:num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262625"/>
          <w:sz w:val="26"/>
          <w:szCs w:val="26"/>
          <w:lang w:eastAsia="pl-PL"/>
        </w:rPr>
      </w:pPr>
      <w:r w:rsidRPr="00DB412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Przeprowadzenie </w:t>
      </w:r>
      <w:r w:rsidR="006E1CC8" w:rsidRPr="00DB412F">
        <w:rPr>
          <w:rFonts w:ascii="Times New Roman" w:eastAsia="Times New Roman" w:hAnsi="Times New Roman" w:cs="Times New Roman"/>
          <w:sz w:val="26"/>
          <w:szCs w:val="26"/>
          <w:lang w:eastAsia="pl-PL"/>
        </w:rPr>
        <w:t>szkoleń dla prokuratorów z zakresu zarządzania procesem pozyskiwania i przetwarzania informacji oraz komunikacji związanej z prowadzeniem postępowań w sprawach gospodarczych</w:t>
      </w:r>
      <w:r w:rsidR="007D2E35" w:rsidRPr="00DB412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 wykorzystaniem Systemu Wsparcia Prokuratora (SWP)</w:t>
      </w:r>
      <w:r w:rsidR="003D7C70" w:rsidRPr="00DB412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</w:t>
      </w:r>
    </w:p>
    <w:p w:rsidR="00DB412F" w:rsidRPr="00306571" w:rsidRDefault="000B3EA3" w:rsidP="00306571">
      <w:pPr>
        <w:pStyle w:val="Akapitzlist"/>
        <w:numPr>
          <w:ilvl w:val="0"/>
          <w:numId w:val="6"/>
        </w:num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262625"/>
          <w:sz w:val="26"/>
          <w:szCs w:val="26"/>
          <w:lang w:eastAsia="pl-PL"/>
        </w:rPr>
      </w:pPr>
      <w:r w:rsidRPr="00DB412F">
        <w:rPr>
          <w:rFonts w:ascii="Times New Roman" w:eastAsia="Times New Roman" w:hAnsi="Times New Roman" w:cs="Times New Roman"/>
          <w:sz w:val="26"/>
          <w:szCs w:val="26"/>
          <w:lang w:eastAsia="pl-PL"/>
        </w:rPr>
        <w:t>Szkolenia będą prowadzone w 1</w:t>
      </w:r>
      <w:r w:rsidR="007D2E35" w:rsidRPr="00DB412F">
        <w:rPr>
          <w:rFonts w:ascii="Times New Roman" w:eastAsia="Times New Roman" w:hAnsi="Times New Roman" w:cs="Times New Roman"/>
          <w:sz w:val="26"/>
          <w:szCs w:val="26"/>
          <w:lang w:eastAsia="pl-PL"/>
        </w:rPr>
        <w:t>3</w:t>
      </w:r>
      <w:r w:rsidRPr="00DB412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lokalizacjach na terenie kraju tj. w Białymstoku, </w:t>
      </w:r>
      <w:r w:rsidR="007D2E35" w:rsidRPr="00DB412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Bydgoszczy, </w:t>
      </w:r>
      <w:r w:rsidRPr="00DB412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Gdańsku, Katowicach, Krakowie, Lublinie, Łodzi, </w:t>
      </w:r>
      <w:r w:rsidR="007D2E35" w:rsidRPr="00DB412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Olsztynie, </w:t>
      </w:r>
      <w:r w:rsidR="00F9786E" w:rsidRPr="00DB412F">
        <w:rPr>
          <w:rFonts w:ascii="Times New Roman" w:eastAsia="Times New Roman" w:hAnsi="Times New Roman" w:cs="Times New Roman"/>
          <w:sz w:val="26"/>
          <w:szCs w:val="26"/>
          <w:lang w:eastAsia="pl-PL"/>
        </w:rPr>
        <w:t>Poznaniu, Rzeszowie, Szczecinie</w:t>
      </w:r>
      <w:r w:rsidR="007D2E35" w:rsidRPr="00DB412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="00DB412F" w:rsidRPr="00DB412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Warszawie i </w:t>
      </w:r>
      <w:r w:rsidR="00DB412F">
        <w:rPr>
          <w:rFonts w:ascii="Times New Roman" w:eastAsia="Times New Roman" w:hAnsi="Times New Roman" w:cs="Times New Roman"/>
          <w:sz w:val="26"/>
          <w:szCs w:val="26"/>
          <w:lang w:eastAsia="pl-PL"/>
        </w:rPr>
        <w:t>Wrocławiu</w:t>
      </w:r>
      <w:r w:rsidR="00F9786E" w:rsidRPr="00DB412F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="00F669E4" w:rsidRPr="0030657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:rsidR="00306571" w:rsidRPr="00580F9C" w:rsidRDefault="00F669E4" w:rsidP="00580F9C">
      <w:pPr>
        <w:pStyle w:val="Akapitzlist"/>
        <w:numPr>
          <w:ilvl w:val="0"/>
          <w:numId w:val="6"/>
        </w:num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B412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Jedna edycja szkolenia będzie trwała </w:t>
      </w:r>
      <w:r w:rsidR="00DB412F" w:rsidRPr="00DB412F">
        <w:rPr>
          <w:rFonts w:ascii="Times New Roman" w:eastAsia="Times New Roman" w:hAnsi="Times New Roman" w:cs="Times New Roman"/>
          <w:sz w:val="26"/>
          <w:szCs w:val="26"/>
          <w:lang w:eastAsia="pl-PL"/>
        </w:rPr>
        <w:t>3</w:t>
      </w:r>
      <w:r w:rsidRPr="00DB412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dni. Każdego dnia 8 godzin </w:t>
      </w:r>
      <w:r w:rsidR="000022F9">
        <w:rPr>
          <w:rFonts w:ascii="Times New Roman" w:eastAsia="Times New Roman" w:hAnsi="Times New Roman" w:cs="Times New Roman"/>
          <w:sz w:val="26"/>
          <w:szCs w:val="26"/>
          <w:lang w:eastAsia="pl-PL"/>
        </w:rPr>
        <w:t>dydaktycznych</w:t>
      </w:r>
      <w:r w:rsidRPr="00DB412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(45 minut) – łącznie </w:t>
      </w:r>
      <w:r w:rsidR="00DB412F" w:rsidRPr="00DB412F">
        <w:rPr>
          <w:rFonts w:ascii="Times New Roman" w:eastAsia="Times New Roman" w:hAnsi="Times New Roman" w:cs="Times New Roman"/>
          <w:sz w:val="26"/>
          <w:szCs w:val="26"/>
          <w:lang w:eastAsia="pl-PL"/>
        </w:rPr>
        <w:t>24</w:t>
      </w:r>
      <w:r w:rsidRPr="00DB412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godzin</w:t>
      </w:r>
      <w:r w:rsidR="000022F9">
        <w:rPr>
          <w:rFonts w:ascii="Times New Roman" w:eastAsia="Times New Roman" w:hAnsi="Times New Roman" w:cs="Times New Roman"/>
          <w:sz w:val="26"/>
          <w:szCs w:val="26"/>
          <w:lang w:eastAsia="pl-PL"/>
        </w:rPr>
        <w:t>y</w:t>
      </w:r>
      <w:r w:rsidRPr="00DB412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szkoleniow</w:t>
      </w:r>
      <w:r w:rsidR="000022F9">
        <w:rPr>
          <w:rFonts w:ascii="Times New Roman" w:eastAsia="Times New Roman" w:hAnsi="Times New Roman" w:cs="Times New Roman"/>
          <w:sz w:val="26"/>
          <w:szCs w:val="26"/>
          <w:lang w:eastAsia="pl-PL"/>
        </w:rPr>
        <w:t>e</w:t>
      </w:r>
      <w:r w:rsidRPr="00DB412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podczas jednej edycji.</w:t>
      </w:r>
      <w:r w:rsidR="0090621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:rsidR="00306571" w:rsidRPr="00306571" w:rsidRDefault="00F82548" w:rsidP="00306571">
      <w:pPr>
        <w:pStyle w:val="Akapitzlist"/>
        <w:numPr>
          <w:ilvl w:val="0"/>
          <w:numId w:val="6"/>
        </w:num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06211">
        <w:rPr>
          <w:rFonts w:ascii="Times New Roman" w:eastAsia="Times New Roman" w:hAnsi="Times New Roman" w:cs="Times New Roman"/>
          <w:sz w:val="26"/>
          <w:szCs w:val="26"/>
          <w:lang w:eastAsia="pl-PL"/>
        </w:rPr>
        <w:t>Szkolenia będą prowadzone w dedykowanych salach szkoleniowych.</w:t>
      </w:r>
    </w:p>
    <w:p w:rsidR="00306571" w:rsidRPr="00580F9C" w:rsidRDefault="000C3297" w:rsidP="00580F9C">
      <w:pPr>
        <w:pStyle w:val="Akapitzlist"/>
        <w:numPr>
          <w:ilvl w:val="0"/>
          <w:numId w:val="6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Wykonawcami szkoleń (t</w:t>
      </w:r>
      <w:r w:rsidR="006B7E12" w:rsidRPr="001B0146">
        <w:rPr>
          <w:rFonts w:ascii="Times New Roman" w:eastAsia="Times New Roman" w:hAnsi="Times New Roman" w:cs="Times New Roman"/>
          <w:sz w:val="26"/>
          <w:szCs w:val="26"/>
          <w:lang w:eastAsia="pl-PL"/>
        </w:rPr>
        <w:t>renerami) z zakresu</w:t>
      </w:r>
      <w:r w:rsidR="001B014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1B0146" w:rsidRPr="001B0146">
        <w:rPr>
          <w:rFonts w:ascii="Times New Roman" w:eastAsia="Times New Roman" w:hAnsi="Times New Roman" w:cs="Times New Roman"/>
          <w:sz w:val="26"/>
          <w:szCs w:val="26"/>
          <w:lang w:eastAsia="pl-PL"/>
        </w:rPr>
        <w:t>zarządzania procesem pozyskiwania i przetwarzania informacji oraz komunikacji związanej z prowadzeniem postępowań w sprawach gospodarczych z wykorzystaniem Systemu Wsparcia Prokuratora (SWP)</w:t>
      </w:r>
      <w:r w:rsidR="006B7E12" w:rsidRPr="001B014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mogą być prokuratorzy </w:t>
      </w:r>
      <w:r w:rsidR="001B0146">
        <w:rPr>
          <w:rFonts w:ascii="Times New Roman" w:eastAsia="Times New Roman" w:hAnsi="Times New Roman" w:cs="Times New Roman"/>
          <w:sz w:val="26"/>
          <w:szCs w:val="26"/>
          <w:lang w:eastAsia="pl-PL"/>
        </w:rPr>
        <w:t>oraz analitycy kryminalni</w:t>
      </w:r>
      <w:r w:rsidR="000E5797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="000E5797" w:rsidRPr="000E5797">
        <w:t xml:space="preserve"> </w:t>
      </w:r>
    </w:p>
    <w:p w:rsidR="00207436" w:rsidRPr="00207436" w:rsidRDefault="00CF651B" w:rsidP="00207436">
      <w:pPr>
        <w:pStyle w:val="Akapitzlist"/>
        <w:numPr>
          <w:ilvl w:val="0"/>
          <w:numId w:val="6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Ze względu na </w:t>
      </w:r>
      <w:r w:rsidR="00B810BF">
        <w:rPr>
          <w:rFonts w:ascii="Times New Roman" w:eastAsia="Times New Roman" w:hAnsi="Times New Roman" w:cs="Times New Roman"/>
          <w:sz w:val="26"/>
          <w:szCs w:val="26"/>
          <w:lang w:eastAsia="pl-PL"/>
        </w:rPr>
        <w:t>planowaną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tematykę szkolenia</w:t>
      </w:r>
      <w:r w:rsidRPr="000E579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0E5797" w:rsidRPr="000E5797">
        <w:rPr>
          <w:rFonts w:ascii="Times New Roman" w:eastAsia="Times New Roman" w:hAnsi="Times New Roman" w:cs="Times New Roman"/>
          <w:sz w:val="26"/>
          <w:szCs w:val="26"/>
          <w:lang w:eastAsia="pl-PL"/>
        </w:rPr>
        <w:t>Zamawiający wymaga odmiennych kwalifikacji zawodowych od oferentów</w:t>
      </w:r>
      <w:r w:rsidR="00207436">
        <w:rPr>
          <w:rFonts w:ascii="Times New Roman" w:eastAsia="Times New Roman" w:hAnsi="Times New Roman" w:cs="Times New Roman"/>
          <w:sz w:val="26"/>
          <w:szCs w:val="26"/>
          <w:lang w:eastAsia="pl-PL"/>
        </w:rPr>
        <w:t>:</w:t>
      </w:r>
    </w:p>
    <w:p w:rsidR="000E5797" w:rsidRPr="00A96801" w:rsidRDefault="00306571" w:rsidP="00207436">
      <w:pPr>
        <w:pStyle w:val="Akapitzlist"/>
        <w:numPr>
          <w:ilvl w:val="0"/>
          <w:numId w:val="9"/>
        </w:numPr>
        <w:shd w:val="clear" w:color="auto" w:fill="FFFFFF"/>
        <w:spacing w:after="135" w:line="270" w:lineRule="atLeast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A9680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 ramach szkoleń dla prokuratorów:</w:t>
      </w:r>
    </w:p>
    <w:p w:rsidR="000E5797" w:rsidRPr="000E5797" w:rsidRDefault="000E5797" w:rsidP="000E5797">
      <w:pPr>
        <w:pStyle w:val="Akapitzlist"/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E579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 dzień </w:t>
      </w:r>
      <w:r w:rsidR="00CF651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(wtorek) </w:t>
      </w:r>
      <w:r w:rsidRPr="000E579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– wykonawca </w:t>
      </w:r>
      <w:r w:rsidR="00B810BF">
        <w:rPr>
          <w:rFonts w:ascii="Times New Roman" w:eastAsia="Times New Roman" w:hAnsi="Times New Roman" w:cs="Times New Roman"/>
          <w:sz w:val="26"/>
          <w:szCs w:val="26"/>
          <w:lang w:eastAsia="pl-PL"/>
        </w:rPr>
        <w:t>(trener)</w:t>
      </w:r>
      <w:r w:rsidR="000C329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0E5797">
        <w:rPr>
          <w:rFonts w:ascii="Times New Roman" w:eastAsia="Times New Roman" w:hAnsi="Times New Roman" w:cs="Times New Roman"/>
          <w:sz w:val="26"/>
          <w:szCs w:val="26"/>
          <w:lang w:eastAsia="pl-PL"/>
        </w:rPr>
        <w:t>- prokurator,</w:t>
      </w:r>
    </w:p>
    <w:p w:rsidR="000E5797" w:rsidRPr="000E5797" w:rsidRDefault="000E5797" w:rsidP="000E5797">
      <w:pPr>
        <w:pStyle w:val="Akapitzlist"/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E579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II dzień </w:t>
      </w:r>
      <w:r w:rsidR="00CF651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(środa) - </w:t>
      </w:r>
      <w:r w:rsidRPr="000E579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wykonawca </w:t>
      </w:r>
      <w:r w:rsidR="00B810BF">
        <w:rPr>
          <w:rFonts w:ascii="Times New Roman" w:eastAsia="Times New Roman" w:hAnsi="Times New Roman" w:cs="Times New Roman"/>
          <w:sz w:val="26"/>
          <w:szCs w:val="26"/>
          <w:lang w:eastAsia="pl-PL"/>
        </w:rPr>
        <w:t>(trener)</w:t>
      </w:r>
      <w:r w:rsidR="000C329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0E5797">
        <w:rPr>
          <w:rFonts w:ascii="Times New Roman" w:eastAsia="Times New Roman" w:hAnsi="Times New Roman" w:cs="Times New Roman"/>
          <w:sz w:val="26"/>
          <w:szCs w:val="26"/>
          <w:lang w:eastAsia="pl-PL"/>
        </w:rPr>
        <w:t>- prokurator lub analityk kryminalny,</w:t>
      </w:r>
    </w:p>
    <w:p w:rsidR="00207436" w:rsidRPr="00207436" w:rsidRDefault="000E5797" w:rsidP="00207436">
      <w:pPr>
        <w:pStyle w:val="Akapitzlist"/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E579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III dzień </w:t>
      </w:r>
      <w:r w:rsidR="00CF651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(czwartek) </w:t>
      </w:r>
      <w:r w:rsidR="00B810BF">
        <w:rPr>
          <w:rFonts w:ascii="Times New Roman" w:eastAsia="Times New Roman" w:hAnsi="Times New Roman" w:cs="Times New Roman"/>
          <w:sz w:val="26"/>
          <w:szCs w:val="26"/>
          <w:lang w:eastAsia="pl-PL"/>
        </w:rPr>
        <w:t>–</w:t>
      </w:r>
      <w:r w:rsidR="00CF651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207436">
        <w:rPr>
          <w:rFonts w:ascii="Times New Roman" w:eastAsia="Times New Roman" w:hAnsi="Times New Roman" w:cs="Times New Roman"/>
          <w:sz w:val="26"/>
          <w:szCs w:val="26"/>
          <w:lang w:eastAsia="pl-PL"/>
        </w:rPr>
        <w:t>wykonawca</w:t>
      </w:r>
      <w:r w:rsidR="00B810B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B810BF">
        <w:rPr>
          <w:rFonts w:ascii="Times New Roman" w:eastAsia="Times New Roman" w:hAnsi="Times New Roman" w:cs="Times New Roman"/>
          <w:sz w:val="26"/>
          <w:szCs w:val="26"/>
          <w:lang w:eastAsia="pl-PL"/>
        </w:rPr>
        <w:t>(trener)</w:t>
      </w:r>
      <w:r w:rsidR="00207436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– analityk kryminalny,</w:t>
      </w:r>
    </w:p>
    <w:p w:rsidR="00306571" w:rsidRPr="00A96801" w:rsidRDefault="00306571" w:rsidP="00207436">
      <w:pPr>
        <w:pStyle w:val="Akapitzlist"/>
        <w:numPr>
          <w:ilvl w:val="0"/>
          <w:numId w:val="9"/>
        </w:numPr>
        <w:shd w:val="clear" w:color="auto" w:fill="FFFFFF"/>
        <w:spacing w:after="135" w:line="270" w:lineRule="atLeast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A9680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 ramach szkoleń dla analityków kryminalnych:</w:t>
      </w:r>
    </w:p>
    <w:p w:rsidR="00306571" w:rsidRPr="00306571" w:rsidRDefault="00306571" w:rsidP="00306571">
      <w:pPr>
        <w:pStyle w:val="Akapitzlist"/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0657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 dzień (wtorek) – wykonawca </w:t>
      </w:r>
      <w:r w:rsidR="00B810BF">
        <w:rPr>
          <w:rFonts w:ascii="Times New Roman" w:eastAsia="Times New Roman" w:hAnsi="Times New Roman" w:cs="Times New Roman"/>
          <w:sz w:val="26"/>
          <w:szCs w:val="26"/>
          <w:lang w:eastAsia="pl-PL"/>
        </w:rPr>
        <w:t>(trener)</w:t>
      </w:r>
      <w:r w:rsidR="000C329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306571">
        <w:rPr>
          <w:rFonts w:ascii="Times New Roman" w:eastAsia="Times New Roman" w:hAnsi="Times New Roman" w:cs="Times New Roman"/>
          <w:sz w:val="26"/>
          <w:szCs w:val="26"/>
          <w:lang w:eastAsia="pl-PL"/>
        </w:rPr>
        <w:t>- prokurator,</w:t>
      </w:r>
    </w:p>
    <w:p w:rsidR="00306571" w:rsidRPr="00306571" w:rsidRDefault="00306571" w:rsidP="00306571">
      <w:pPr>
        <w:pStyle w:val="Akapitzlist"/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0657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II dzień (środa) - wykonawca </w:t>
      </w:r>
      <w:r w:rsidR="00B810BF">
        <w:rPr>
          <w:rFonts w:ascii="Times New Roman" w:eastAsia="Times New Roman" w:hAnsi="Times New Roman" w:cs="Times New Roman"/>
          <w:sz w:val="26"/>
          <w:szCs w:val="26"/>
          <w:lang w:eastAsia="pl-PL"/>
        </w:rPr>
        <w:t>(trener)</w:t>
      </w:r>
      <w:r w:rsidR="000C329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–</w:t>
      </w:r>
      <w:r w:rsidRPr="0030657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prokurator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,</w:t>
      </w:r>
    </w:p>
    <w:p w:rsidR="00306571" w:rsidRDefault="00306571" w:rsidP="00306571">
      <w:pPr>
        <w:pStyle w:val="Akapitzlist"/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0657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III dzień (czwartek) - wykonawca </w:t>
      </w:r>
      <w:r w:rsidR="00B810BF">
        <w:rPr>
          <w:rFonts w:ascii="Times New Roman" w:eastAsia="Times New Roman" w:hAnsi="Times New Roman" w:cs="Times New Roman"/>
          <w:sz w:val="26"/>
          <w:szCs w:val="26"/>
          <w:lang w:eastAsia="pl-PL"/>
        </w:rPr>
        <w:t>(trener)</w:t>
      </w:r>
      <w:r w:rsidR="000C329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306571">
        <w:rPr>
          <w:rFonts w:ascii="Times New Roman" w:eastAsia="Times New Roman" w:hAnsi="Times New Roman" w:cs="Times New Roman"/>
          <w:sz w:val="26"/>
          <w:szCs w:val="26"/>
          <w:lang w:eastAsia="pl-PL"/>
        </w:rPr>
        <w:t>– analityk kryminalny.</w:t>
      </w:r>
    </w:p>
    <w:p w:rsidR="000D7E8F" w:rsidRPr="00580F9C" w:rsidRDefault="000767FB" w:rsidP="00580F9C">
      <w:pPr>
        <w:pStyle w:val="Akapitzlist"/>
        <w:numPr>
          <w:ilvl w:val="0"/>
          <w:numId w:val="6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Każda grupa szkoleniowa</w:t>
      </w:r>
      <w:r w:rsidR="00CF651B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której uczestnikami będą prokuratorzy </w:t>
      </w:r>
      <w:r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będzie </w:t>
      </w:r>
      <w:r w:rsidR="00CF651B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liczyła 14 osób.</w:t>
      </w:r>
    </w:p>
    <w:p w:rsidR="000D7E8F" w:rsidRPr="00580F9C" w:rsidRDefault="00CF651B" w:rsidP="00580F9C">
      <w:pPr>
        <w:pStyle w:val="Akapitzlist"/>
        <w:numPr>
          <w:ilvl w:val="0"/>
          <w:numId w:val="6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Każda grupa szkoleniowa, której uczestnikami będą analitycy kryminalni będzie liczyła 15 osób</w:t>
      </w:r>
      <w:r w:rsid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:rsidR="000D7E8F" w:rsidRPr="00580F9C" w:rsidRDefault="00693693" w:rsidP="00580F9C">
      <w:pPr>
        <w:pStyle w:val="Akapitzlist"/>
        <w:numPr>
          <w:ilvl w:val="0"/>
          <w:numId w:val="6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Planowane </w:t>
      </w:r>
      <w:r w:rsidR="00CA626E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jest </w:t>
      </w:r>
      <w:r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przeprowadzenie </w:t>
      </w:r>
      <w:r w:rsidR="008676A8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1</w:t>
      </w:r>
      <w:r w:rsidR="00115F43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43</w:t>
      </w:r>
      <w:r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0E6825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edycji </w:t>
      </w:r>
      <w:r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szkoleń – </w:t>
      </w:r>
      <w:r w:rsidR="00115F43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3</w:t>
      </w:r>
      <w:r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dniowych </w:t>
      </w:r>
      <w:r w:rsidR="004C74C6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8</w:t>
      </w:r>
      <w:r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-godzinnych, w </w:t>
      </w:r>
      <w:r w:rsidR="004C74C6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okresie od </w:t>
      </w:r>
      <w:r w:rsidR="00115F43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22</w:t>
      </w:r>
      <w:r w:rsidR="004C74C6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="00115F43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10</w:t>
      </w:r>
      <w:r w:rsidR="004C74C6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.20</w:t>
      </w:r>
      <w:r w:rsidR="00292E33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1</w:t>
      </w:r>
      <w:r w:rsidR="004C74C6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9 r. do 1</w:t>
      </w:r>
      <w:r w:rsidR="00115F43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2</w:t>
      </w:r>
      <w:r w:rsidR="004C74C6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.0</w:t>
      </w:r>
      <w:r w:rsidR="00115F43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3</w:t>
      </w:r>
      <w:r w:rsidR="004C74C6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.20</w:t>
      </w:r>
      <w:r w:rsidR="00115F43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20</w:t>
      </w:r>
      <w:r w:rsidR="004C74C6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r.</w:t>
      </w:r>
      <w:r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Łącznie w szkoleniach weźmie udział </w:t>
      </w:r>
      <w:r w:rsidR="000159AA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ok. </w:t>
      </w:r>
      <w:r w:rsidR="008676A8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20</w:t>
      </w:r>
      <w:r w:rsidR="00151EDC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00</w:t>
      </w:r>
      <w:r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osób.</w:t>
      </w:r>
    </w:p>
    <w:p w:rsidR="000D7E8F" w:rsidRPr="00580F9C" w:rsidRDefault="000159AA" w:rsidP="00580F9C">
      <w:pPr>
        <w:pStyle w:val="Akapitzlist"/>
        <w:numPr>
          <w:ilvl w:val="0"/>
          <w:numId w:val="6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Szkolenia </w:t>
      </w:r>
      <w:r w:rsidR="006A14E7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dla prokuratorów </w:t>
      </w:r>
      <w:r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będą prowadzone w</w:t>
      </w:r>
      <w:r w:rsidR="00530EC7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dni powszednie wtorek</w:t>
      </w:r>
      <w:r w:rsidR="00235A27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-</w:t>
      </w:r>
      <w:r w:rsidR="00530EC7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środa-czwartek, w godzinach 08:</w:t>
      </w:r>
      <w:r w:rsidR="00151EDC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0</w:t>
      </w:r>
      <w:r w:rsidR="00530EC7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0-1</w:t>
      </w:r>
      <w:r w:rsidR="00151EDC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6</w:t>
      </w:r>
      <w:r w:rsidR="00530EC7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:</w:t>
      </w:r>
      <w:r w:rsidR="00151EDC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0</w:t>
      </w:r>
      <w:r w:rsidR="00530EC7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0</w:t>
      </w:r>
      <w:r w:rsidR="00BB3D08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</w:t>
      </w:r>
      <w:r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następujących miastach: Białystok</w:t>
      </w:r>
      <w:r w:rsidR="000771D0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(</w:t>
      </w:r>
      <w:r w:rsidR="00C02183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9</w:t>
      </w:r>
      <w:r w:rsidR="000771D0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6A14E7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edycji</w:t>
      </w:r>
      <w:r w:rsidR="000771D0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)</w:t>
      </w:r>
      <w:r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="00C02183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Bydgoszcz (7 edycji), </w:t>
      </w:r>
      <w:r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Gdańsk</w:t>
      </w:r>
      <w:r w:rsidR="008676A8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(</w:t>
      </w:r>
      <w:r w:rsidR="00C02183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9</w:t>
      </w:r>
      <w:r w:rsidR="006A14E7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edycji</w:t>
      </w:r>
      <w:r w:rsidR="000771D0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)</w:t>
      </w:r>
      <w:r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="000771D0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Szczecin</w:t>
      </w:r>
      <w:r w:rsidR="008676A8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(</w:t>
      </w:r>
      <w:r w:rsidR="00C02183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8</w:t>
      </w:r>
      <w:r w:rsidR="006A14E7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edycji</w:t>
      </w:r>
      <w:r w:rsidR="000771D0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), Poznań</w:t>
      </w:r>
      <w:r w:rsidR="00EB6532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(</w:t>
      </w:r>
      <w:r w:rsidR="008676A8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1</w:t>
      </w:r>
      <w:r w:rsidR="00C02183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0</w:t>
      </w:r>
      <w:r w:rsidR="006A14E7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edycji</w:t>
      </w:r>
      <w:r w:rsidR="00554600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)</w:t>
      </w:r>
      <w:r w:rsidR="000771D0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="00235A27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Olsztyn (3 edycje), </w:t>
      </w:r>
      <w:r w:rsidR="000771D0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Wrocław</w:t>
      </w:r>
      <w:r w:rsidR="008676A8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(1</w:t>
      </w:r>
      <w:r w:rsidR="00C02183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2</w:t>
      </w:r>
      <w:r w:rsidR="006A14E7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edycji</w:t>
      </w:r>
      <w:r w:rsidR="00554600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)</w:t>
      </w:r>
      <w:r w:rsidR="000771D0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, Łódź</w:t>
      </w:r>
      <w:r w:rsidR="00554600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(</w:t>
      </w:r>
      <w:r w:rsidR="009478AF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1</w:t>
      </w:r>
      <w:r w:rsidR="00C02183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2</w:t>
      </w:r>
      <w:r w:rsidR="00554600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6A14E7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edycji</w:t>
      </w:r>
      <w:r w:rsidR="00554600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)</w:t>
      </w:r>
      <w:r w:rsidR="000771D0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, Katowice</w:t>
      </w:r>
      <w:r w:rsidR="00EB6532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(</w:t>
      </w:r>
      <w:r w:rsidR="008676A8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1</w:t>
      </w:r>
      <w:r w:rsidR="00C02183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3</w:t>
      </w:r>
      <w:r w:rsidR="006A14E7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edycji</w:t>
      </w:r>
      <w:r w:rsidR="00554600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)</w:t>
      </w:r>
      <w:r w:rsidR="000771D0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, Wrocław</w:t>
      </w:r>
      <w:r w:rsidR="00554600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(</w:t>
      </w:r>
      <w:r w:rsidR="00235A27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12</w:t>
      </w:r>
      <w:r w:rsidR="00554600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6A14E7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edycji</w:t>
      </w:r>
      <w:r w:rsidR="00554600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)</w:t>
      </w:r>
      <w:r w:rsidR="000771D0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, Warszawa</w:t>
      </w:r>
      <w:r w:rsidR="00554600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(</w:t>
      </w:r>
      <w:r w:rsidR="00235A27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26</w:t>
      </w:r>
      <w:r w:rsidR="00554600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6A14E7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edycji</w:t>
      </w:r>
      <w:r w:rsidR="00554600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)</w:t>
      </w:r>
      <w:r w:rsidR="000771D0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, Lublin</w:t>
      </w:r>
      <w:r w:rsidR="00EB6532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(</w:t>
      </w:r>
      <w:r w:rsidR="008676A8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1</w:t>
      </w:r>
      <w:r w:rsidR="00235A27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1</w:t>
      </w:r>
      <w:r w:rsidR="006A14E7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edycji</w:t>
      </w:r>
      <w:r w:rsidR="00EB6532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)</w:t>
      </w:r>
      <w:r w:rsidR="000771D0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, Rzeszów</w:t>
      </w:r>
      <w:r w:rsidR="008676A8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(</w:t>
      </w:r>
      <w:r w:rsidR="00235A27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6</w:t>
      </w:r>
      <w:r w:rsidR="006A14E7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edycji</w:t>
      </w:r>
      <w:r w:rsidR="00554600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)</w:t>
      </w:r>
      <w:r w:rsidR="00EB6532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, Kraków (</w:t>
      </w:r>
      <w:r w:rsidR="008676A8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1</w:t>
      </w:r>
      <w:r w:rsidR="00235A27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1</w:t>
      </w:r>
      <w:r w:rsidR="006A14E7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edycji</w:t>
      </w:r>
      <w:r w:rsidR="00EB6532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)</w:t>
      </w:r>
      <w:r w:rsidR="006A14E7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:rsidR="000D7E8F" w:rsidRPr="00580F9C" w:rsidRDefault="006A14E7" w:rsidP="00580F9C">
      <w:pPr>
        <w:pStyle w:val="Akapitzlist"/>
        <w:numPr>
          <w:ilvl w:val="0"/>
          <w:numId w:val="6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Szkolenia dla analityków kryminalnych będą prowadzone w dni powszednie wtorek</w:t>
      </w:r>
      <w:r w:rsidR="00235A27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-</w:t>
      </w:r>
      <w:r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środa-czwartek, w godzinach 08:00-16:00 w Warszaw</w:t>
      </w:r>
      <w:r w:rsidR="00235A27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ie</w:t>
      </w:r>
      <w:r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(</w:t>
      </w:r>
      <w:r w:rsidR="00235A27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6</w:t>
      </w:r>
      <w:r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edycj</w:t>
      </w:r>
      <w:r w:rsidR="00235A27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i</w:t>
      </w:r>
      <w:r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)</w:t>
      </w:r>
      <w:r w:rsidR="00CA1B2F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:rsidR="000D7E8F" w:rsidRPr="00580F9C" w:rsidRDefault="00CA1B2F" w:rsidP="00580F9C">
      <w:pPr>
        <w:pStyle w:val="Akapitzlist"/>
        <w:numPr>
          <w:ilvl w:val="0"/>
          <w:numId w:val="6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D7E8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Wykonawcy (trenerzy) </w:t>
      </w:r>
      <w:r w:rsidR="00D27B3D" w:rsidRPr="000D7E8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zostaną zaproszeni przez </w:t>
      </w:r>
      <w:r w:rsidRPr="000D7E8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Zamawiającego </w:t>
      </w:r>
      <w:r w:rsidR="00D27B3D" w:rsidRPr="000D7E8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na bezpłatne szkolenie metodyczne z zakresu zarządzania procesem pozyskiwania i przetwarzania informacji oraz komunikacji związanej z prowadzeniem postępowań w sprawach gospodarczych z wykorzystaniem Systemu Wsparcia Prokuratora (SWP) </w:t>
      </w:r>
      <w:r w:rsidR="002F38C2" w:rsidRPr="000D7E8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przed rozpoczęciem szkoleń.</w:t>
      </w:r>
      <w:r w:rsidR="000C3297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</w:p>
    <w:p w:rsidR="00664101" w:rsidRDefault="000D7E8F" w:rsidP="00664101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0340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przypadku trenerów zamieszkujących w odległości większej niż 50 km od miejsca prowadzenia </w:t>
      </w:r>
      <w:r w:rsidR="00403402" w:rsidRPr="0040340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szkolenia Zamawiający na własny koszt zapewni im </w:t>
      </w:r>
      <w:r w:rsidR="0040340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nocleg w obiekcie </w:t>
      </w:r>
      <w:r w:rsidR="00403402" w:rsidRPr="00403402">
        <w:rPr>
          <w:rFonts w:ascii="Times New Roman" w:eastAsia="Times New Roman" w:hAnsi="Times New Roman" w:cs="Times New Roman"/>
          <w:sz w:val="26"/>
          <w:szCs w:val="26"/>
          <w:lang w:eastAsia="pl-PL"/>
        </w:rPr>
        <w:t>świadcząc</w:t>
      </w:r>
      <w:r w:rsidR="00403402">
        <w:rPr>
          <w:rFonts w:ascii="Times New Roman" w:eastAsia="Times New Roman" w:hAnsi="Times New Roman" w:cs="Times New Roman"/>
          <w:sz w:val="26"/>
          <w:szCs w:val="26"/>
          <w:lang w:eastAsia="pl-PL"/>
        </w:rPr>
        <w:t>ym</w:t>
      </w:r>
      <w:r w:rsidR="00403402" w:rsidRPr="0040340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usług</w:t>
      </w:r>
      <w:r w:rsidR="00403402">
        <w:rPr>
          <w:rFonts w:ascii="Times New Roman" w:eastAsia="Times New Roman" w:hAnsi="Times New Roman" w:cs="Times New Roman"/>
          <w:sz w:val="26"/>
          <w:szCs w:val="26"/>
          <w:lang w:eastAsia="pl-PL"/>
        </w:rPr>
        <w:t>i</w:t>
      </w:r>
      <w:r w:rsidR="00403402" w:rsidRPr="0040340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najmu miejsc noclegowych </w:t>
      </w:r>
      <w:r w:rsidR="0040340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standardzie </w:t>
      </w:r>
      <w:r w:rsidR="00403402" w:rsidRPr="00403402">
        <w:rPr>
          <w:rFonts w:ascii="Times New Roman" w:eastAsia="Times New Roman" w:hAnsi="Times New Roman" w:cs="Times New Roman"/>
          <w:sz w:val="26"/>
          <w:szCs w:val="26"/>
          <w:lang w:eastAsia="pl-PL"/>
        </w:rPr>
        <w:t>3 gwiazdki w rozumieniu przepisów ustawy o usługach</w:t>
      </w:r>
      <w:r w:rsidR="0040340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403402" w:rsidRPr="0040340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hotelarskich oraz usługach pilotów wycieczek i przewoźników turystycznych z dnia 29 sierpnia 1997 r. </w:t>
      </w:r>
    </w:p>
    <w:p w:rsidR="00664101" w:rsidRPr="00580F9C" w:rsidRDefault="00403402" w:rsidP="00580F9C">
      <w:pPr>
        <w:pStyle w:val="Akapitzlist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03402">
        <w:rPr>
          <w:rFonts w:ascii="Times New Roman" w:eastAsia="Times New Roman" w:hAnsi="Times New Roman" w:cs="Times New Roman"/>
          <w:sz w:val="26"/>
          <w:szCs w:val="26"/>
          <w:lang w:eastAsia="pl-PL"/>
        </w:rPr>
        <w:t>(Dz.U.2019 poz. 238) lub odpowiada</w:t>
      </w:r>
      <w:r w:rsidR="00664101">
        <w:rPr>
          <w:rFonts w:ascii="Times New Roman" w:eastAsia="Times New Roman" w:hAnsi="Times New Roman" w:cs="Times New Roman"/>
          <w:sz w:val="26"/>
          <w:szCs w:val="26"/>
          <w:lang w:eastAsia="pl-PL"/>
        </w:rPr>
        <w:t>jącym</w:t>
      </w:r>
      <w:r w:rsidRPr="0040340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st</w:t>
      </w:r>
      <w:r w:rsidR="00580F9C">
        <w:rPr>
          <w:rFonts w:ascii="Times New Roman" w:eastAsia="Times New Roman" w:hAnsi="Times New Roman" w:cs="Times New Roman"/>
          <w:sz w:val="26"/>
          <w:szCs w:val="26"/>
          <w:lang w:eastAsia="pl-PL"/>
        </w:rPr>
        <w:t>andardowi hotelu 3 gwiazdkowego.</w:t>
      </w:r>
    </w:p>
    <w:p w:rsidR="000D7E8F" w:rsidRPr="00580F9C" w:rsidRDefault="00664101" w:rsidP="00580F9C">
      <w:pPr>
        <w:pStyle w:val="Akapitzlist"/>
        <w:numPr>
          <w:ilvl w:val="0"/>
          <w:numId w:val="6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Zamawiającym nie będzie pokrywał kosztów dojazdu trenera do miejsca prowadzenia szkolenia.</w:t>
      </w:r>
    </w:p>
    <w:p w:rsidR="00AC361B" w:rsidRDefault="00E81AE1" w:rsidP="00130DD7">
      <w:pPr>
        <w:pStyle w:val="Akapitzlist"/>
        <w:numPr>
          <w:ilvl w:val="0"/>
          <w:numId w:val="6"/>
        </w:num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Cała edycja każdego szkolenia winna być przeprowadzona przez </w:t>
      </w:r>
      <w:r w:rsidR="002F38C2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od dwóch do trzech </w:t>
      </w:r>
      <w:r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Wykonawc</w:t>
      </w:r>
      <w:r w:rsidR="002F38C2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ów</w:t>
      </w:r>
      <w:r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(trener</w:t>
      </w:r>
      <w:r w:rsidR="002F38C2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ów</w:t>
      </w:r>
      <w:r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)</w:t>
      </w:r>
      <w:r w:rsidR="002B62FE" w:rsidRPr="000D7E8F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:rsidR="00207436" w:rsidRPr="00207436" w:rsidRDefault="00207436" w:rsidP="00207436">
      <w:pPr>
        <w:pStyle w:val="Akapitzlis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207436" w:rsidRDefault="00207436" w:rsidP="00207436">
      <w:pPr>
        <w:pStyle w:val="Akapitzlist"/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580F9C" w:rsidRDefault="00580F9C" w:rsidP="00207436">
      <w:pPr>
        <w:pStyle w:val="Akapitzlist"/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580F9C" w:rsidRDefault="00580F9C" w:rsidP="00207436">
      <w:pPr>
        <w:pStyle w:val="Akapitzlist"/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580F9C" w:rsidRDefault="00580F9C" w:rsidP="00207436">
      <w:pPr>
        <w:pStyle w:val="Akapitzlist"/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580F9C" w:rsidRDefault="00580F9C" w:rsidP="00207436">
      <w:pPr>
        <w:pStyle w:val="Akapitzlist"/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580F9C" w:rsidRDefault="00580F9C" w:rsidP="00207436">
      <w:pPr>
        <w:pStyle w:val="Akapitzlist"/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0C3297" w:rsidRDefault="000C3297" w:rsidP="00207436">
      <w:pPr>
        <w:pStyle w:val="Akapitzlist"/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0C3297" w:rsidRDefault="000C3297" w:rsidP="00207436">
      <w:pPr>
        <w:pStyle w:val="Akapitzlist"/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0C3297" w:rsidRDefault="000C3297" w:rsidP="00207436">
      <w:pPr>
        <w:pStyle w:val="Akapitzlist"/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0C3297" w:rsidRDefault="000C3297" w:rsidP="00207436">
      <w:pPr>
        <w:pStyle w:val="Akapitzlist"/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0C3297" w:rsidRDefault="000C3297" w:rsidP="00207436">
      <w:pPr>
        <w:pStyle w:val="Akapitzlist"/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0C3297" w:rsidRDefault="000C3297" w:rsidP="00207436">
      <w:pPr>
        <w:pStyle w:val="Akapitzlist"/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0C3297" w:rsidRDefault="000C3297" w:rsidP="00207436">
      <w:pPr>
        <w:pStyle w:val="Akapitzlist"/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0C3297" w:rsidRDefault="000C3297" w:rsidP="00207436">
      <w:pPr>
        <w:pStyle w:val="Akapitzlist"/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0C3297" w:rsidRDefault="000C3297" w:rsidP="00207436">
      <w:pPr>
        <w:pStyle w:val="Akapitzlist"/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0C3297" w:rsidRDefault="000C3297" w:rsidP="00207436">
      <w:pPr>
        <w:pStyle w:val="Akapitzlist"/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0C3297" w:rsidRDefault="000C3297" w:rsidP="00207436">
      <w:pPr>
        <w:pStyle w:val="Akapitzlist"/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580F9C" w:rsidRPr="000D7E8F" w:rsidRDefault="00580F9C" w:rsidP="00207436">
      <w:pPr>
        <w:pStyle w:val="Akapitzlist"/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693693" w:rsidRPr="00DB412F" w:rsidRDefault="00693693" w:rsidP="00693693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262625"/>
          <w:sz w:val="26"/>
          <w:szCs w:val="26"/>
          <w:lang w:eastAsia="pl-PL"/>
        </w:rPr>
      </w:pPr>
      <w:r w:rsidRPr="00DB412F">
        <w:rPr>
          <w:rFonts w:ascii="Times New Roman" w:eastAsia="Times New Roman" w:hAnsi="Times New Roman" w:cs="Times New Roman"/>
          <w:b/>
          <w:bCs/>
          <w:color w:val="262625"/>
          <w:sz w:val="26"/>
          <w:szCs w:val="26"/>
          <w:lang w:eastAsia="pl-PL"/>
        </w:rPr>
        <w:t>Prosimy o oszacowanie ww. kosztów brutto w następującym układzie</w:t>
      </w:r>
      <w:r w:rsidR="00BB3D08" w:rsidRPr="00DB412F">
        <w:rPr>
          <w:rFonts w:ascii="Times New Roman" w:eastAsia="Times New Roman" w:hAnsi="Times New Roman" w:cs="Times New Roman"/>
          <w:b/>
          <w:bCs/>
          <w:color w:val="262625"/>
          <w:sz w:val="26"/>
          <w:szCs w:val="26"/>
          <w:lang w:eastAsia="pl-PL"/>
        </w:rPr>
        <w:t xml:space="preserve"> kosztu</w:t>
      </w:r>
      <w:r w:rsidRPr="00DB412F">
        <w:rPr>
          <w:rFonts w:ascii="Times New Roman" w:eastAsia="Times New Roman" w:hAnsi="Times New Roman" w:cs="Times New Roman"/>
          <w:b/>
          <w:bCs/>
          <w:color w:val="262625"/>
          <w:sz w:val="26"/>
          <w:szCs w:val="26"/>
          <w:lang w:eastAsia="pl-PL"/>
        </w:rPr>
        <w:t>:</w:t>
      </w:r>
    </w:p>
    <w:tbl>
      <w:tblPr>
        <w:tblW w:w="940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3"/>
        <w:gridCol w:w="3732"/>
      </w:tblGrid>
      <w:tr w:rsidR="00693693" w:rsidRPr="00DB412F" w:rsidTr="00D41EC6">
        <w:tc>
          <w:tcPr>
            <w:tcW w:w="5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693" w:rsidRPr="00DB412F" w:rsidRDefault="00693693" w:rsidP="00693693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</w:pPr>
            <w:r w:rsidRPr="00DB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Kategoria / wariant</w:t>
            </w:r>
          </w:p>
        </w:tc>
        <w:tc>
          <w:tcPr>
            <w:tcW w:w="3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693" w:rsidRPr="00DB412F" w:rsidRDefault="00693693" w:rsidP="00693693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</w:pPr>
            <w:r w:rsidRPr="00DB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Całkowity koszt w PLN (brutto)</w:t>
            </w:r>
          </w:p>
        </w:tc>
      </w:tr>
      <w:tr w:rsidR="00693693" w:rsidRPr="00DB412F" w:rsidTr="00D41EC6">
        <w:trPr>
          <w:trHeight w:val="990"/>
        </w:trPr>
        <w:tc>
          <w:tcPr>
            <w:tcW w:w="5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3693" w:rsidRPr="00DB412F" w:rsidRDefault="00661253" w:rsidP="000C3297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</w:pPr>
            <w:r w:rsidRPr="00DB412F"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  <w:t xml:space="preserve">Koszt 1 godziny </w:t>
            </w:r>
            <w:r w:rsidR="002F38C2"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  <w:t>dydaktycznej</w:t>
            </w:r>
            <w:r w:rsidRPr="00DB412F"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  <w:t xml:space="preserve"> </w:t>
            </w:r>
            <w:r w:rsidR="00E81AE1" w:rsidRPr="00DB412F"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  <w:t xml:space="preserve">szkolenia </w:t>
            </w:r>
            <w:r w:rsidR="002F38C2"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  <w:t>dla uczestników będących prokuratorami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3693" w:rsidRPr="00DB412F" w:rsidRDefault="00693693" w:rsidP="0069369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</w:pPr>
            <w:r w:rsidRPr="00DB412F"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  <w:t> </w:t>
            </w:r>
          </w:p>
        </w:tc>
      </w:tr>
      <w:tr w:rsidR="002F38C2" w:rsidRPr="00DB412F" w:rsidTr="00D41EC6">
        <w:trPr>
          <w:trHeight w:val="990"/>
        </w:trPr>
        <w:tc>
          <w:tcPr>
            <w:tcW w:w="5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C2" w:rsidRPr="00DB412F" w:rsidRDefault="002F38C2" w:rsidP="000C3297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</w:pPr>
            <w:r w:rsidRPr="00DB412F"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  <w:t xml:space="preserve">Koszt 1 godziny </w:t>
            </w:r>
            <w:r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  <w:t xml:space="preserve">dydaktycznej </w:t>
            </w:r>
            <w:r w:rsidRPr="00DB412F"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  <w:t xml:space="preserve">szkolenia </w:t>
            </w:r>
            <w:r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  <w:t>dla uczestników będących analitykami kryminalnymi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8C2" w:rsidRPr="00DB412F" w:rsidRDefault="002F38C2" w:rsidP="0069369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</w:pPr>
          </w:p>
        </w:tc>
      </w:tr>
    </w:tbl>
    <w:p w:rsidR="00693693" w:rsidRPr="00DB412F" w:rsidRDefault="00693693" w:rsidP="00693693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262625"/>
          <w:sz w:val="26"/>
          <w:szCs w:val="26"/>
          <w:lang w:eastAsia="pl-PL"/>
        </w:rPr>
      </w:pPr>
      <w:r w:rsidRPr="00DB412F">
        <w:rPr>
          <w:rFonts w:ascii="Times New Roman" w:eastAsia="Times New Roman" w:hAnsi="Times New Roman" w:cs="Times New Roman"/>
          <w:color w:val="262625"/>
          <w:sz w:val="26"/>
          <w:szCs w:val="26"/>
          <w:lang w:eastAsia="pl-PL"/>
        </w:rPr>
        <w:t> </w:t>
      </w:r>
    </w:p>
    <w:p w:rsidR="00693693" w:rsidRPr="00DB412F" w:rsidRDefault="00693693">
      <w:pPr>
        <w:rPr>
          <w:rFonts w:ascii="Times New Roman" w:hAnsi="Times New Roman" w:cs="Times New Roman"/>
          <w:sz w:val="26"/>
          <w:szCs w:val="26"/>
        </w:rPr>
      </w:pPr>
    </w:p>
    <w:sectPr w:rsidR="00693693" w:rsidRPr="00DB4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E07" w:rsidRDefault="00173E07" w:rsidP="0098489D">
      <w:pPr>
        <w:spacing w:after="0" w:line="240" w:lineRule="auto"/>
      </w:pPr>
      <w:r>
        <w:separator/>
      </w:r>
    </w:p>
  </w:endnote>
  <w:endnote w:type="continuationSeparator" w:id="0">
    <w:p w:rsidR="00173E07" w:rsidRDefault="00173E07" w:rsidP="0098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E07" w:rsidRDefault="00173E07" w:rsidP="0098489D">
      <w:pPr>
        <w:spacing w:after="0" w:line="240" w:lineRule="auto"/>
      </w:pPr>
      <w:r>
        <w:separator/>
      </w:r>
    </w:p>
  </w:footnote>
  <w:footnote w:type="continuationSeparator" w:id="0">
    <w:p w:rsidR="00173E07" w:rsidRDefault="00173E07" w:rsidP="00984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23E94"/>
    <w:multiLevelType w:val="hybridMultilevel"/>
    <w:tmpl w:val="0F6863A2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9C27012"/>
    <w:multiLevelType w:val="hybridMultilevel"/>
    <w:tmpl w:val="4F48E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E3217"/>
    <w:multiLevelType w:val="hybridMultilevel"/>
    <w:tmpl w:val="9DD0A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14F38"/>
    <w:multiLevelType w:val="hybridMultilevel"/>
    <w:tmpl w:val="D14609A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B3C3878"/>
    <w:multiLevelType w:val="hybridMultilevel"/>
    <w:tmpl w:val="19F2A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A2154"/>
    <w:multiLevelType w:val="hybridMultilevel"/>
    <w:tmpl w:val="F08E2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61773"/>
    <w:multiLevelType w:val="hybridMultilevel"/>
    <w:tmpl w:val="9BC41664"/>
    <w:lvl w:ilvl="0" w:tplc="1ABC11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0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5F51A7"/>
    <w:multiLevelType w:val="hybridMultilevel"/>
    <w:tmpl w:val="1CDA4102"/>
    <w:lvl w:ilvl="0" w:tplc="652A70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B6552"/>
    <w:multiLevelType w:val="hybridMultilevel"/>
    <w:tmpl w:val="B48E64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93"/>
    <w:rsid w:val="000022F9"/>
    <w:rsid w:val="000159AA"/>
    <w:rsid w:val="000767FB"/>
    <w:rsid w:val="000771D0"/>
    <w:rsid w:val="000B3EA3"/>
    <w:rsid w:val="000C3297"/>
    <w:rsid w:val="000D520C"/>
    <w:rsid w:val="000D7E8F"/>
    <w:rsid w:val="000E5797"/>
    <w:rsid w:val="000E6825"/>
    <w:rsid w:val="00115F43"/>
    <w:rsid w:val="00130DD7"/>
    <w:rsid w:val="00151EDC"/>
    <w:rsid w:val="00173E07"/>
    <w:rsid w:val="001B0146"/>
    <w:rsid w:val="001D7F93"/>
    <w:rsid w:val="00207436"/>
    <w:rsid w:val="00235A27"/>
    <w:rsid w:val="00292E33"/>
    <w:rsid w:val="00294CCE"/>
    <w:rsid w:val="002B62FE"/>
    <w:rsid w:val="002F38C2"/>
    <w:rsid w:val="00306571"/>
    <w:rsid w:val="003D7C70"/>
    <w:rsid w:val="00403402"/>
    <w:rsid w:val="00415037"/>
    <w:rsid w:val="004531D1"/>
    <w:rsid w:val="004C74C6"/>
    <w:rsid w:val="00500084"/>
    <w:rsid w:val="00514234"/>
    <w:rsid w:val="00530EC7"/>
    <w:rsid w:val="00554600"/>
    <w:rsid w:val="00557CE2"/>
    <w:rsid w:val="00573BC0"/>
    <w:rsid w:val="00580F9C"/>
    <w:rsid w:val="005D6CE3"/>
    <w:rsid w:val="005F4C74"/>
    <w:rsid w:val="00607E86"/>
    <w:rsid w:val="00610FAF"/>
    <w:rsid w:val="00661253"/>
    <w:rsid w:val="00664101"/>
    <w:rsid w:val="006773A4"/>
    <w:rsid w:val="00693693"/>
    <w:rsid w:val="006A14E7"/>
    <w:rsid w:val="006B7E12"/>
    <w:rsid w:val="006E1CC8"/>
    <w:rsid w:val="00710D3D"/>
    <w:rsid w:val="00715472"/>
    <w:rsid w:val="00752DDA"/>
    <w:rsid w:val="007674F9"/>
    <w:rsid w:val="007C788D"/>
    <w:rsid w:val="007D2E35"/>
    <w:rsid w:val="008676A8"/>
    <w:rsid w:val="00873D4A"/>
    <w:rsid w:val="0088238A"/>
    <w:rsid w:val="008D2568"/>
    <w:rsid w:val="00906211"/>
    <w:rsid w:val="009478AF"/>
    <w:rsid w:val="0098489D"/>
    <w:rsid w:val="00992285"/>
    <w:rsid w:val="00A81098"/>
    <w:rsid w:val="00A96801"/>
    <w:rsid w:val="00AC361B"/>
    <w:rsid w:val="00B26828"/>
    <w:rsid w:val="00B46FD3"/>
    <w:rsid w:val="00B50F79"/>
    <w:rsid w:val="00B810BF"/>
    <w:rsid w:val="00B83F26"/>
    <w:rsid w:val="00BB3D08"/>
    <w:rsid w:val="00C02183"/>
    <w:rsid w:val="00C4610A"/>
    <w:rsid w:val="00CA1B2F"/>
    <w:rsid w:val="00CA626E"/>
    <w:rsid w:val="00CF651B"/>
    <w:rsid w:val="00D27B3D"/>
    <w:rsid w:val="00D34E92"/>
    <w:rsid w:val="00D41EC6"/>
    <w:rsid w:val="00DA488C"/>
    <w:rsid w:val="00DB022B"/>
    <w:rsid w:val="00DB412F"/>
    <w:rsid w:val="00E81AE1"/>
    <w:rsid w:val="00EB6532"/>
    <w:rsid w:val="00F16959"/>
    <w:rsid w:val="00F5581D"/>
    <w:rsid w:val="00F669E4"/>
    <w:rsid w:val="00F82548"/>
    <w:rsid w:val="00F9786E"/>
    <w:rsid w:val="00FB00FC"/>
    <w:rsid w:val="00F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1CFFC-72EC-4287-BCFD-1DBE7718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9A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48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48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48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2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1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parp.gov.pl/szacowanie-wartosci-zamowienia-na-wynajem-sal-komputerowych-dla-uczestnikow-szkolen-oraz-wynajem-sali-na-spotkanie-dotyczace-rozwoju-zrk-wraz-z-cateringiem-i-przerwa-obiadowa-w-ramach-projektu-pozakonkursowego-wdrozenie-i-prowadzenie-zint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679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Szelągowski Wojciech  (PR)</cp:lastModifiedBy>
  <cp:revision>6</cp:revision>
  <cp:lastPrinted>2019-09-18T08:51:00Z</cp:lastPrinted>
  <dcterms:created xsi:type="dcterms:W3CDTF">2019-09-17T14:57:00Z</dcterms:created>
  <dcterms:modified xsi:type="dcterms:W3CDTF">2019-09-17T16:09:00Z</dcterms:modified>
</cp:coreProperties>
</file>