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B997C" w14:textId="13353753" w:rsidR="0084744D" w:rsidRPr="0028199D" w:rsidRDefault="00FB4D38" w:rsidP="0084744D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  <w:bookmarkStart w:id="0" w:name="_Hlk58682780"/>
      <w:r w:rsidRPr="0028199D">
        <w:rPr>
          <w:rFonts w:ascii="Candara" w:hAnsi="Candara"/>
          <w:b/>
          <w:bCs/>
          <w:sz w:val="24"/>
          <w:szCs w:val="24"/>
        </w:rPr>
        <w:t>Rekomendacje Zespołu ds. Szczepień w rozszerzonym składzie</w:t>
      </w:r>
      <w:r w:rsidRPr="0028199D">
        <w:rPr>
          <w:rStyle w:val="Odwoanieprzypisudolnego"/>
          <w:rFonts w:ascii="Candara" w:hAnsi="Candara"/>
          <w:b/>
          <w:bCs/>
          <w:sz w:val="24"/>
          <w:szCs w:val="24"/>
        </w:rPr>
        <w:footnoteReference w:id="1"/>
      </w:r>
      <w:r w:rsidRPr="0028199D">
        <w:rPr>
          <w:rFonts w:ascii="Candara" w:hAnsi="Candara"/>
          <w:b/>
          <w:bCs/>
          <w:sz w:val="24"/>
          <w:szCs w:val="24"/>
        </w:rPr>
        <w:t xml:space="preserve"> dotyczące kwestionariusza kwalifikacyjnego </w:t>
      </w:r>
      <w:r w:rsidR="000A69E0" w:rsidRPr="0028199D">
        <w:rPr>
          <w:rFonts w:ascii="Candara" w:hAnsi="Candara"/>
          <w:b/>
          <w:bCs/>
          <w:sz w:val="24"/>
          <w:szCs w:val="24"/>
        </w:rPr>
        <w:t xml:space="preserve">dla </w:t>
      </w:r>
      <w:r w:rsidR="0084744D" w:rsidRPr="0028199D">
        <w:rPr>
          <w:rFonts w:ascii="Candara" w:hAnsi="Candara"/>
          <w:b/>
          <w:bCs/>
          <w:sz w:val="24"/>
          <w:szCs w:val="24"/>
        </w:rPr>
        <w:t xml:space="preserve">osoby dorosłej </w:t>
      </w:r>
    </w:p>
    <w:p w14:paraId="267B4F0B" w14:textId="727254C9" w:rsidR="00FB4D38" w:rsidRPr="0028199D" w:rsidRDefault="00FB4D38" w:rsidP="0084744D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28199D">
        <w:rPr>
          <w:rFonts w:ascii="Candara" w:hAnsi="Candara"/>
          <w:b/>
          <w:bCs/>
          <w:sz w:val="24"/>
          <w:szCs w:val="24"/>
        </w:rPr>
        <w:t>do szczepienia przeciw COVID-19</w:t>
      </w:r>
    </w:p>
    <w:p w14:paraId="1461730C" w14:textId="77777777" w:rsidR="00D311C6" w:rsidRPr="0028199D" w:rsidRDefault="00D311C6" w:rsidP="00EB752B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14:paraId="6495D0DC" w14:textId="26E68A06" w:rsidR="00EB752B" w:rsidRPr="0028199D" w:rsidRDefault="00FB4D38" w:rsidP="00EB752B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  <w:r w:rsidRPr="0028199D">
        <w:rPr>
          <w:rFonts w:ascii="Candara" w:hAnsi="Candara" w:cs="Times New Roman"/>
          <w:sz w:val="24"/>
          <w:szCs w:val="24"/>
        </w:rPr>
        <w:t>Zespół ds. Szczepień w rozszerzonym składzie eksperckim rekomenduje wprowadzenie celowanego kwestionariusza</w:t>
      </w:r>
      <w:r w:rsidR="00D311C6" w:rsidRPr="0028199D">
        <w:rPr>
          <w:rFonts w:ascii="Candara" w:hAnsi="Candara" w:cs="Times New Roman"/>
          <w:sz w:val="24"/>
          <w:szCs w:val="24"/>
        </w:rPr>
        <w:t xml:space="preserve"> kwalifikacyjnego do szczepienia przeciw COVID-19 </w:t>
      </w:r>
      <w:r w:rsidR="000A69E0" w:rsidRPr="0028199D">
        <w:rPr>
          <w:rFonts w:ascii="Candara" w:hAnsi="Candara" w:cs="Times New Roman"/>
          <w:sz w:val="24"/>
          <w:szCs w:val="24"/>
        </w:rPr>
        <w:t xml:space="preserve">dla </w:t>
      </w:r>
      <w:r w:rsidR="00D311C6" w:rsidRPr="0028199D">
        <w:rPr>
          <w:rFonts w:ascii="Candara" w:hAnsi="Candara" w:cs="Times New Roman"/>
          <w:sz w:val="24"/>
          <w:szCs w:val="24"/>
        </w:rPr>
        <w:t xml:space="preserve">osoby dorosłej. </w:t>
      </w:r>
      <w:r w:rsidR="00633332" w:rsidRPr="0028199D">
        <w:rPr>
          <w:rFonts w:ascii="Candara" w:hAnsi="Candara" w:cs="Times New Roman"/>
          <w:sz w:val="24"/>
          <w:szCs w:val="24"/>
        </w:rPr>
        <w:t xml:space="preserve">Proponowany kwestionariusz </w:t>
      </w:r>
      <w:r w:rsidR="000917B7" w:rsidRPr="0028199D">
        <w:rPr>
          <w:rFonts w:ascii="Candara" w:hAnsi="Candara" w:cs="Times New Roman"/>
          <w:sz w:val="24"/>
          <w:szCs w:val="24"/>
        </w:rPr>
        <w:t xml:space="preserve">wstępnego wywiadu przesiewowego przed szczepieniem </w:t>
      </w:r>
      <w:r w:rsidR="00D77AD1" w:rsidRPr="0028199D">
        <w:rPr>
          <w:rFonts w:ascii="Candara" w:hAnsi="Candara" w:cs="Times New Roman"/>
          <w:sz w:val="24"/>
          <w:szCs w:val="24"/>
        </w:rPr>
        <w:t xml:space="preserve">dla </w:t>
      </w:r>
      <w:r w:rsidR="000917B7" w:rsidRPr="0028199D">
        <w:rPr>
          <w:rFonts w:ascii="Candara" w:hAnsi="Candara" w:cs="Times New Roman"/>
          <w:sz w:val="24"/>
          <w:szCs w:val="24"/>
        </w:rPr>
        <w:t xml:space="preserve">osoby dorosłej przeciw COVID-19 </w:t>
      </w:r>
      <w:r w:rsidR="00633332" w:rsidRPr="0028199D">
        <w:rPr>
          <w:rFonts w:ascii="Candara" w:hAnsi="Candara" w:cs="Times New Roman"/>
          <w:sz w:val="24"/>
          <w:szCs w:val="24"/>
        </w:rPr>
        <w:t xml:space="preserve">stanowi załącznik </w:t>
      </w:r>
      <w:r w:rsidR="000A69E0" w:rsidRPr="0028199D">
        <w:rPr>
          <w:rFonts w:ascii="Candara" w:hAnsi="Candara" w:cs="Times New Roman"/>
          <w:sz w:val="24"/>
          <w:szCs w:val="24"/>
        </w:rPr>
        <w:t xml:space="preserve">do </w:t>
      </w:r>
      <w:r w:rsidR="00633332" w:rsidRPr="0028199D">
        <w:rPr>
          <w:rFonts w:ascii="Candara" w:hAnsi="Candara" w:cs="Times New Roman"/>
          <w:sz w:val="24"/>
          <w:szCs w:val="24"/>
        </w:rPr>
        <w:t xml:space="preserve">rekomendacji.  </w:t>
      </w:r>
    </w:p>
    <w:p w14:paraId="506A9441" w14:textId="77777777" w:rsidR="000917B7" w:rsidRPr="0028199D" w:rsidRDefault="000917B7" w:rsidP="00EB752B">
      <w:pPr>
        <w:spacing w:after="0" w:line="240" w:lineRule="auto"/>
        <w:jc w:val="both"/>
        <w:rPr>
          <w:rFonts w:ascii="Candara" w:hAnsi="Candara" w:cs="Times New Roman"/>
          <w:sz w:val="24"/>
          <w:szCs w:val="24"/>
        </w:rPr>
      </w:pPr>
    </w:p>
    <w:p w14:paraId="479F35FA" w14:textId="6A55441B" w:rsidR="00EB752B" w:rsidRPr="0028199D" w:rsidRDefault="00EB752B" w:rsidP="00EB752B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hAnsi="Candara" w:cs="Calibri"/>
          <w:szCs w:val="24"/>
        </w:rPr>
      </w:pPr>
      <w:r w:rsidRPr="0028199D">
        <w:rPr>
          <w:rFonts w:ascii="Candara" w:hAnsi="Candara" w:cs="Times New Roman"/>
          <w:szCs w:val="24"/>
        </w:rPr>
        <w:t>Ze</w:t>
      </w:r>
      <w:r w:rsidRPr="0028199D">
        <w:rPr>
          <w:rFonts w:ascii="Candara" w:hAnsi="Candara"/>
          <w:szCs w:val="24"/>
        </w:rPr>
        <w:t xml:space="preserve">spół rekomenduje aby </w:t>
      </w:r>
      <w:r w:rsidRPr="0028199D">
        <w:rPr>
          <w:rFonts w:ascii="Candara" w:eastAsia="Times New Roman" w:hAnsi="Candara" w:cs="Times New Roman"/>
          <w:szCs w:val="24"/>
          <w:lang w:eastAsia="en-GB"/>
        </w:rPr>
        <w:t>kwestionariusz stanowił podstawę kwalifikacji do szczepienia oraz wykonania szczepienia osoby dorosłej przeciw COVID-19. Kwestionariusz powinien być optymalnie zintegrowan</w:t>
      </w:r>
      <w:r w:rsidR="00836292" w:rsidRPr="0028199D">
        <w:rPr>
          <w:rFonts w:ascii="Candara" w:eastAsia="Times New Roman" w:hAnsi="Candara" w:cs="Times New Roman"/>
          <w:szCs w:val="24"/>
          <w:lang w:eastAsia="en-GB"/>
        </w:rPr>
        <w:t xml:space="preserve">y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z systemem dokumentacji wykonanych szczepień. </w:t>
      </w:r>
    </w:p>
    <w:p w14:paraId="0D137B5C" w14:textId="6422C03C" w:rsidR="00EB752B" w:rsidRPr="0028199D" w:rsidRDefault="00EB752B" w:rsidP="00EB752B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hAnsi="Candara" w:cs="Calibri"/>
          <w:szCs w:val="24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>Głównym celem kwestionariusza jest wskazanie osób dorosłych, u których nie stwierdzono przeciw</w:t>
      </w:r>
      <w:r w:rsidR="00836292" w:rsidRPr="0028199D">
        <w:rPr>
          <w:rFonts w:ascii="Candara" w:eastAsia="Times New Roman" w:hAnsi="Candara" w:cs="Times New Roman"/>
          <w:szCs w:val="24"/>
          <w:lang w:eastAsia="en-GB"/>
        </w:rPr>
        <w:t>w</w:t>
      </w:r>
      <w:r w:rsidRPr="0028199D">
        <w:rPr>
          <w:rFonts w:ascii="Candara" w:eastAsia="Times New Roman" w:hAnsi="Candara" w:cs="Times New Roman"/>
          <w:szCs w:val="24"/>
          <w:lang w:eastAsia="en-GB"/>
        </w:rPr>
        <w:t>skazań do szczepień przeciw COVID-19.</w:t>
      </w:r>
    </w:p>
    <w:p w14:paraId="6E2A14AB" w14:textId="607DD170" w:rsidR="009068ED" w:rsidRPr="0028199D" w:rsidRDefault="00FB4D38" w:rsidP="00491ADA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hAnsi="Candara"/>
          <w:szCs w:val="24"/>
        </w:rPr>
        <w:t>Zespół podkreśla, że</w:t>
      </w:r>
      <w:r w:rsidR="00D311C6" w:rsidRPr="0028199D">
        <w:rPr>
          <w:rFonts w:ascii="Candara" w:hAnsi="Candara"/>
          <w:szCs w:val="24"/>
        </w:rPr>
        <w:t xml:space="preserve"> </w:t>
      </w:r>
      <w:r w:rsidRPr="0028199D">
        <w:rPr>
          <w:rFonts w:ascii="Candara" w:eastAsia="Times New Roman" w:hAnsi="Candara"/>
          <w:szCs w:val="24"/>
        </w:rPr>
        <w:t>p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odstawowym warunkiem kwalifikacji do szczepienia </w:t>
      </w:r>
      <w:r w:rsidR="00D311C6" w:rsidRPr="0028199D">
        <w:rPr>
          <w:rFonts w:ascii="Candara" w:eastAsia="Times New Roman" w:hAnsi="Candara" w:cs="Times New Roman"/>
          <w:szCs w:val="24"/>
          <w:lang w:eastAsia="en-GB"/>
        </w:rPr>
        <w:t xml:space="preserve">przeciw COVID-19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powinien być </w:t>
      </w:r>
      <w:bookmarkStart w:id="1" w:name="_Hlk58745409"/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dobry lub stabilny stan ogólny pacjenta – tzn. nieobecność objawów ostrej choroby (z gorączką lub bez) lub zaostrzenia choroby przewlekłej. </w:t>
      </w:r>
      <w:bookmarkEnd w:id="1"/>
      <w:r w:rsidR="00836292" w:rsidRPr="0028199D">
        <w:rPr>
          <w:rFonts w:ascii="Candara" w:eastAsia="Times New Roman" w:hAnsi="Candara" w:cs="Times New Roman"/>
          <w:szCs w:val="24"/>
          <w:lang w:eastAsia="en-GB"/>
        </w:rPr>
        <w:t>Ze względów usprawnienia realizacji procesu szczepienia o</w:t>
      </w:r>
      <w:r w:rsidRPr="0028199D">
        <w:rPr>
          <w:rFonts w:ascii="Candara" w:eastAsia="Times New Roman" w:hAnsi="Candara" w:cs="Times New Roman"/>
          <w:szCs w:val="24"/>
          <w:lang w:eastAsia="en-GB"/>
        </w:rPr>
        <w:t>soby nie spełniające powyższych kryteriów nie powinn</w:t>
      </w:r>
      <w:r w:rsidR="00D311C6" w:rsidRPr="0028199D">
        <w:rPr>
          <w:rFonts w:ascii="Candara" w:eastAsia="Times New Roman" w:hAnsi="Candara" w:cs="Times New Roman"/>
          <w:szCs w:val="24"/>
          <w:lang w:eastAsia="en-GB"/>
        </w:rPr>
        <w:t xml:space="preserve">y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zgłaszać się na szczepienia. </w:t>
      </w:r>
      <w:r w:rsidR="009068ED" w:rsidRPr="0028199D">
        <w:rPr>
          <w:rFonts w:ascii="Candara" w:eastAsia="Times New Roman" w:hAnsi="Candara" w:cs="Times New Roman"/>
          <w:szCs w:val="24"/>
          <w:lang w:eastAsia="en-GB"/>
        </w:rPr>
        <w:t xml:space="preserve">Ten aspekt powinien być uwypuklany w przekazie komunikacyjnym  skierowanym do pacjenta za pośrednictwem </w:t>
      </w:r>
      <w:r w:rsidR="002E2A74" w:rsidRPr="0028199D">
        <w:rPr>
          <w:rFonts w:ascii="Candara" w:eastAsia="Times New Roman" w:hAnsi="Candara" w:cs="Times New Roman"/>
          <w:szCs w:val="24"/>
          <w:lang w:eastAsia="en-GB"/>
        </w:rPr>
        <w:t xml:space="preserve">przeznaczonej do tego </w:t>
      </w:r>
      <w:r w:rsidR="009068ED" w:rsidRPr="0028199D">
        <w:rPr>
          <w:rFonts w:ascii="Candara" w:eastAsia="Times New Roman" w:hAnsi="Candara" w:cs="Times New Roman"/>
          <w:szCs w:val="24"/>
          <w:lang w:eastAsia="en-GB"/>
        </w:rPr>
        <w:t xml:space="preserve">strony internetowej </w:t>
      </w:r>
      <w:r w:rsidR="002E2A74" w:rsidRPr="0028199D">
        <w:rPr>
          <w:rFonts w:ascii="Candara" w:eastAsia="Times New Roman" w:hAnsi="Candara" w:cs="Times New Roman"/>
          <w:szCs w:val="24"/>
          <w:lang w:eastAsia="en-GB"/>
        </w:rPr>
        <w:t xml:space="preserve">dla </w:t>
      </w:r>
      <w:r w:rsidR="009068ED" w:rsidRPr="0028199D">
        <w:rPr>
          <w:rFonts w:ascii="Candara" w:eastAsia="Times New Roman" w:hAnsi="Candara" w:cs="Times New Roman"/>
          <w:szCs w:val="24"/>
          <w:lang w:eastAsia="en-GB"/>
        </w:rPr>
        <w:t>osób przygotowujących się do szczepienia przeciw COVID-19</w:t>
      </w:r>
      <w:r w:rsidR="00ED36E1" w:rsidRPr="0028199D">
        <w:rPr>
          <w:rStyle w:val="Odwoanieprzypisudolnego"/>
          <w:rFonts w:ascii="Candara" w:eastAsia="Times New Roman" w:hAnsi="Candara" w:cs="Times New Roman"/>
          <w:szCs w:val="24"/>
          <w:lang w:eastAsia="en-GB"/>
        </w:rPr>
        <w:footnoteReference w:id="2"/>
      </w:r>
      <w:r w:rsidR="009068ED" w:rsidRPr="0028199D">
        <w:rPr>
          <w:rFonts w:ascii="Candara" w:eastAsia="Times New Roman" w:hAnsi="Candara" w:cs="Times New Roman"/>
          <w:szCs w:val="24"/>
          <w:lang w:eastAsia="en-GB"/>
        </w:rPr>
        <w:t xml:space="preserve">. </w:t>
      </w:r>
    </w:p>
    <w:p w14:paraId="717EEFEB" w14:textId="16EF0E00" w:rsidR="00EB752B" w:rsidRPr="0028199D" w:rsidRDefault="00EB752B" w:rsidP="00C167C2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hAnsi="Candara"/>
          <w:szCs w:val="24"/>
        </w:rPr>
        <w:t>C</w:t>
      </w:r>
      <w:r w:rsidRPr="0028199D">
        <w:rPr>
          <w:rFonts w:ascii="Candara" w:hAnsi="Candara" w:cs="Times New Roman"/>
          <w:szCs w:val="24"/>
        </w:rPr>
        <w:t xml:space="preserve">elowany kwestionariusz kwalifikacyjny do szczepienia przeciw COVID-19 osoby dorosłej będzie wypełniany przez pacjenta. </w:t>
      </w:r>
      <w:r w:rsidRPr="0028199D">
        <w:rPr>
          <w:rFonts w:ascii="Candara" w:hAnsi="Candara"/>
          <w:color w:val="000000" w:themeColor="text1"/>
          <w:szCs w:val="24"/>
        </w:rPr>
        <w:t xml:space="preserve">Dokument powinien być </w:t>
      </w:r>
      <w:r w:rsidR="00836292" w:rsidRPr="0028199D">
        <w:rPr>
          <w:rFonts w:ascii="Candara" w:hAnsi="Candara"/>
          <w:color w:val="000000" w:themeColor="text1"/>
          <w:szCs w:val="24"/>
        </w:rPr>
        <w:t xml:space="preserve">ogólnie dostępny, </w:t>
      </w:r>
      <w:r w:rsidRPr="0028199D">
        <w:rPr>
          <w:rFonts w:ascii="Candara" w:hAnsi="Candara"/>
          <w:color w:val="000000" w:themeColor="text1"/>
          <w:szCs w:val="24"/>
        </w:rPr>
        <w:t xml:space="preserve">tak aby osoba dorosła przygotowująca się do szczepienia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miała możliwość jego wcześniejszego wypełnienia.    </w:t>
      </w:r>
    </w:p>
    <w:p w14:paraId="25F14FCF" w14:textId="0F41E60F" w:rsidR="009068ED" w:rsidRPr="0028199D" w:rsidRDefault="009068ED" w:rsidP="00C167C2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hAnsi="Candara" w:cs="Times New Roman"/>
          <w:szCs w:val="24"/>
        </w:rPr>
        <w:t>Kwestionariusz ten będzie wykorzystany przez lekarza kwalifikującego pacjenta do szczepienia</w:t>
      </w:r>
      <w:r w:rsidR="009854C0" w:rsidRPr="0028199D">
        <w:rPr>
          <w:rFonts w:ascii="Candara" w:hAnsi="Candara" w:cs="Times New Roman"/>
          <w:szCs w:val="24"/>
        </w:rPr>
        <w:t xml:space="preserve"> i powinien również wchodzić w skład elektronicznej dokumentacji medycznej potwierdzającej kwalifikację i wykonanie szczepienia</w:t>
      </w:r>
      <w:r w:rsidRPr="0028199D">
        <w:rPr>
          <w:rFonts w:ascii="Candara" w:hAnsi="Candara" w:cs="Times New Roman"/>
          <w:szCs w:val="24"/>
        </w:rPr>
        <w:t>.</w:t>
      </w:r>
    </w:p>
    <w:p w14:paraId="5AB3B512" w14:textId="46B1482D" w:rsidR="003632DD" w:rsidRPr="0028199D" w:rsidRDefault="00FB4D38" w:rsidP="00EB752B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hAnsi="Candara" w:cs="Calibri"/>
          <w:szCs w:val="24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>W przypadku w</w:t>
      </w:r>
      <w:r w:rsidR="00A673FD" w:rsidRPr="0028199D">
        <w:rPr>
          <w:rFonts w:ascii="Candara" w:eastAsia="Times New Roman" w:hAnsi="Candara" w:cs="Times New Roman"/>
          <w:szCs w:val="24"/>
          <w:lang w:eastAsia="en-GB"/>
        </w:rPr>
        <w:t xml:space="preserve">skazanych </w:t>
      </w:r>
      <w:r w:rsidR="00836292" w:rsidRPr="0028199D">
        <w:rPr>
          <w:rFonts w:ascii="Candara" w:eastAsia="Times New Roman" w:hAnsi="Candara" w:cs="Times New Roman"/>
          <w:szCs w:val="24"/>
          <w:lang w:eastAsia="en-GB"/>
        </w:rPr>
        <w:t xml:space="preserve">przez pacjenta </w:t>
      </w:r>
      <w:r w:rsidR="00A673FD" w:rsidRPr="0028199D">
        <w:rPr>
          <w:rFonts w:ascii="Candara" w:eastAsia="Times New Roman" w:hAnsi="Candara" w:cs="Times New Roman"/>
          <w:szCs w:val="24"/>
          <w:lang w:eastAsia="en-GB"/>
        </w:rPr>
        <w:t xml:space="preserve">w kwestionariuszu przeciwwskazań </w:t>
      </w:r>
      <w:r w:rsidRPr="0028199D">
        <w:rPr>
          <w:rFonts w:ascii="Candara" w:eastAsia="Times New Roman" w:hAnsi="Candara" w:cs="Times New Roman"/>
          <w:szCs w:val="24"/>
          <w:lang w:eastAsia="en-GB"/>
        </w:rPr>
        <w:t>lub w sytuacjach wątpliwych</w:t>
      </w:r>
      <w:r w:rsidR="00A673FD" w:rsidRPr="0028199D">
        <w:rPr>
          <w:rFonts w:ascii="Candara" w:eastAsia="Times New Roman" w:hAnsi="Candara" w:cs="Times New Roman"/>
          <w:szCs w:val="24"/>
          <w:lang w:eastAsia="en-GB"/>
        </w:rPr>
        <w:t xml:space="preserve">, </w:t>
      </w:r>
      <w:r w:rsidR="00D311C6" w:rsidRPr="0028199D">
        <w:rPr>
          <w:rFonts w:ascii="Candara" w:eastAsia="Times New Roman" w:hAnsi="Candara" w:cs="Times New Roman"/>
          <w:szCs w:val="24"/>
          <w:lang w:eastAsia="en-GB"/>
        </w:rPr>
        <w:t>decyzję dotyczącą odroczenia szczepienia dokonuje lekarz po dalszym szczegółowym wywiadzie</w:t>
      </w:r>
      <w:r w:rsidR="00A673FD" w:rsidRPr="0028199D">
        <w:rPr>
          <w:rFonts w:ascii="Candara" w:eastAsia="Times New Roman" w:hAnsi="Candara" w:cs="Times New Roman"/>
          <w:szCs w:val="24"/>
          <w:lang w:eastAsia="en-GB"/>
        </w:rPr>
        <w:t xml:space="preserve"> lub konsultacji, jeżeli będzie to uzasadnione</w:t>
      </w:r>
      <w:r w:rsidR="00D311C6" w:rsidRPr="0028199D">
        <w:rPr>
          <w:rFonts w:ascii="Candara" w:eastAsia="Times New Roman" w:hAnsi="Candara" w:cs="Times New Roman"/>
          <w:szCs w:val="24"/>
          <w:lang w:eastAsia="en-GB"/>
        </w:rPr>
        <w:t xml:space="preserve">. </w:t>
      </w:r>
    </w:p>
    <w:p w14:paraId="76B6957C" w14:textId="53A5B533" w:rsidR="00D26984" w:rsidRPr="0028199D" w:rsidRDefault="00D26984" w:rsidP="00D2698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>Uzupełnieniem kwestionariusza do szczepienia powinna być Ulotka dla pacjenta w języku polskim. Podobnie jak w przypadku pozostałych szczepionek pacjent powinien mieć możliwość zapoznania się z ulotką w języku polskim dołącz</w:t>
      </w:r>
      <w:r w:rsidR="00836292" w:rsidRPr="0028199D">
        <w:rPr>
          <w:rFonts w:ascii="Candara" w:eastAsia="Times New Roman" w:hAnsi="Candara" w:cs="Times New Roman"/>
          <w:szCs w:val="24"/>
          <w:lang w:eastAsia="en-GB"/>
        </w:rPr>
        <w:t xml:space="preserve">aną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do opakowania danego preparatu szczepionkowego. Druki informacyjne (Charakterystyka Produktu Leczniczego dla lekarza oraz Ulotka dla pacjenta) danego preparatu szczepionkowego będą </w:t>
      </w:r>
      <w:r w:rsidR="00ED36E1" w:rsidRPr="0028199D">
        <w:rPr>
          <w:rFonts w:ascii="Candara" w:eastAsia="Times New Roman" w:hAnsi="Candara" w:cs="Times New Roman"/>
          <w:szCs w:val="24"/>
          <w:lang w:eastAsia="en-GB"/>
        </w:rPr>
        <w:t xml:space="preserve">dostępne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na stronie Europejskiej Agencji Leków, po jego dopuszczeniu do obrotu w procedurze </w:t>
      </w:r>
      <w:r w:rsidRPr="0028199D">
        <w:rPr>
          <w:rFonts w:ascii="Candara" w:hAnsi="Candara"/>
          <w:szCs w:val="24"/>
        </w:rPr>
        <w:t>warunkowego dopuszczenia do obrotu (</w:t>
      </w:r>
      <w:proofErr w:type="spellStart"/>
      <w:r w:rsidRPr="0028199D">
        <w:rPr>
          <w:rFonts w:ascii="Candara" w:hAnsi="Candara"/>
          <w:i/>
          <w:iCs/>
          <w:szCs w:val="24"/>
        </w:rPr>
        <w:t>conditional</w:t>
      </w:r>
      <w:proofErr w:type="spellEnd"/>
      <w:r w:rsidRPr="0028199D">
        <w:rPr>
          <w:rFonts w:ascii="Candara" w:hAnsi="Candara"/>
          <w:i/>
          <w:iCs/>
          <w:szCs w:val="24"/>
        </w:rPr>
        <w:t xml:space="preserve"> marketing </w:t>
      </w:r>
      <w:proofErr w:type="spellStart"/>
      <w:r w:rsidRPr="0028199D">
        <w:rPr>
          <w:rFonts w:ascii="Candara" w:hAnsi="Candara"/>
          <w:i/>
          <w:iCs/>
          <w:szCs w:val="24"/>
        </w:rPr>
        <w:t>authorisation</w:t>
      </w:r>
      <w:proofErr w:type="spellEnd"/>
      <w:r w:rsidRPr="0028199D">
        <w:rPr>
          <w:rFonts w:ascii="Candara" w:hAnsi="Candara"/>
          <w:szCs w:val="24"/>
        </w:rPr>
        <w:t>)</w:t>
      </w:r>
      <w:r w:rsidR="00ED36E1" w:rsidRPr="0028199D">
        <w:rPr>
          <w:rFonts w:ascii="Candara" w:hAnsi="Candara"/>
          <w:szCs w:val="24"/>
        </w:rPr>
        <w:t xml:space="preserve"> oraz na stronie </w:t>
      </w:r>
      <w:r w:rsidRPr="0028199D">
        <w:rPr>
          <w:rFonts w:ascii="Candara" w:hAnsi="Candara"/>
          <w:szCs w:val="24"/>
        </w:rPr>
        <w:t xml:space="preserve"> Będzie można z nich korzystać w procesie komunikacji oraz edukacji pacjenta planującego szczepienia przeciw COVID-19</w:t>
      </w:r>
      <w:r w:rsidR="00ED36E1" w:rsidRPr="0028199D">
        <w:rPr>
          <w:rFonts w:ascii="Candara" w:hAnsi="Candara"/>
          <w:szCs w:val="24"/>
          <w:vertAlign w:val="superscript"/>
        </w:rPr>
        <w:t>2</w:t>
      </w:r>
      <w:r w:rsidRPr="0028199D">
        <w:rPr>
          <w:rFonts w:ascii="Candara" w:hAnsi="Candara"/>
          <w:szCs w:val="24"/>
        </w:rPr>
        <w:t xml:space="preserve">.  </w:t>
      </w:r>
    </w:p>
    <w:p w14:paraId="6D90D940" w14:textId="70D96781" w:rsidR="00EB752B" w:rsidRPr="0028199D" w:rsidRDefault="00EB752B" w:rsidP="00EB752B">
      <w:pPr>
        <w:shd w:val="clear" w:color="auto" w:fill="FFFFFF"/>
        <w:autoSpaceDE w:val="0"/>
        <w:autoSpaceDN w:val="0"/>
        <w:adjustRightInd w:val="0"/>
        <w:jc w:val="both"/>
        <w:rPr>
          <w:rFonts w:ascii="Candara" w:hAnsi="Candara" w:cs="Calibri"/>
          <w:sz w:val="24"/>
          <w:szCs w:val="24"/>
          <w:u w:val="single"/>
        </w:rPr>
      </w:pPr>
      <w:r w:rsidRPr="0028199D">
        <w:rPr>
          <w:rFonts w:ascii="Candara" w:hAnsi="Candara" w:cs="Calibri"/>
          <w:sz w:val="24"/>
          <w:szCs w:val="24"/>
          <w:u w:val="single"/>
        </w:rPr>
        <w:lastRenderedPageBreak/>
        <w:t xml:space="preserve">Czas obserwacji pacjenta po szczepieniu przeciw COVID-19 </w:t>
      </w:r>
    </w:p>
    <w:p w14:paraId="5F305D0C" w14:textId="11401EB3" w:rsidR="00E41060" w:rsidRPr="0028199D" w:rsidRDefault="003632DD" w:rsidP="00D810E4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Arial"/>
          <w:szCs w:val="24"/>
          <w:lang w:eastAsia="pl-PL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Zespół rekomenduje aby obowiązkowa obserwacja po szczepieniu obejmowała 15 minut z możliwością jej wydłużenia, jeżeli są do tego medyczne wskazania. Rekomendacja ta oparta jest na danych wskazujących, że zdecydowana większość ciężkich reakcji alergicznych występuje w ciągu pierwszych kilku/kilkunastu minut po wstrzyknięciu szczepionki, a </w:t>
      </w:r>
      <w:r w:rsidR="00EB752B" w:rsidRPr="0028199D">
        <w:rPr>
          <w:rFonts w:ascii="Candara" w:eastAsia="Times New Roman" w:hAnsi="Candara" w:cs="Times New Roman"/>
          <w:szCs w:val="24"/>
          <w:lang w:eastAsia="en-GB"/>
        </w:rPr>
        <w:t>identyfikacja osób</w:t>
      </w:r>
      <w:r w:rsidR="009068ED" w:rsidRPr="0028199D">
        <w:rPr>
          <w:rFonts w:ascii="Candara" w:eastAsia="Times New Roman" w:hAnsi="Candara" w:cs="Times New Roman"/>
          <w:szCs w:val="24"/>
          <w:lang w:eastAsia="en-GB"/>
        </w:rPr>
        <w:t xml:space="preserve"> </w:t>
      </w:r>
      <w:r w:rsidRPr="0028199D">
        <w:rPr>
          <w:rFonts w:ascii="Candara" w:eastAsia="Times New Roman" w:hAnsi="Candara" w:cs="Times New Roman"/>
          <w:szCs w:val="24"/>
          <w:lang w:eastAsia="en-GB"/>
        </w:rPr>
        <w:t>z dodatnim wywiadem w kierunku anafilaksji znacznie zmniejsza ryzyko wystąpienia takich reakcji po 15 minutach od szczepienia.</w:t>
      </w:r>
      <w:r w:rsidR="00071C9E" w:rsidRPr="0028199D">
        <w:rPr>
          <w:rFonts w:ascii="Candara" w:eastAsia="Times New Roman" w:hAnsi="Candara" w:cs="Times New Roman"/>
          <w:szCs w:val="24"/>
          <w:lang w:eastAsia="en-GB"/>
        </w:rPr>
        <w:t xml:space="preserve"> </w:t>
      </w:r>
      <w:r w:rsidR="000A69E0" w:rsidRPr="0028199D">
        <w:rPr>
          <w:rFonts w:ascii="Candara" w:eastAsia="Times New Roman" w:hAnsi="Candara" w:cs="Times New Roman"/>
          <w:szCs w:val="24"/>
          <w:lang w:eastAsia="en-GB"/>
        </w:rPr>
        <w:t xml:space="preserve">Jest to zgodne z rekomendacjami </w:t>
      </w:r>
      <w:r w:rsidR="00071C9E" w:rsidRPr="0028199D">
        <w:rPr>
          <w:rFonts w:ascii="Candara" w:eastAsia="Times New Roman" w:hAnsi="Candara" w:cs="Times New Roman"/>
          <w:szCs w:val="24"/>
          <w:lang w:eastAsia="en-GB"/>
        </w:rPr>
        <w:t xml:space="preserve">Komitetów Doradczych ds. Szczepień w </w:t>
      </w:r>
      <w:r w:rsidR="00071C9E" w:rsidRPr="0028199D">
        <w:rPr>
          <w:rFonts w:ascii="Candara" w:hAnsi="Candara" w:cs="Times New Roman"/>
          <w:szCs w:val="24"/>
        </w:rPr>
        <w:t xml:space="preserve">Wielkiej Brytanii, Kanadzie oraz Stanach Zjednoczonych, gdzie dopuszczono do realizacji programu szczepień przeciw COVID-19 szczepionkę mRNA </w:t>
      </w:r>
      <w:r w:rsidR="009854C0" w:rsidRPr="0028199D">
        <w:rPr>
          <w:rFonts w:ascii="Candara" w:eastAsia="Times New Roman" w:hAnsi="Candara" w:cs="Arial"/>
          <w:color w:val="333333"/>
          <w:szCs w:val="24"/>
          <w:lang w:eastAsia="pl-PL"/>
        </w:rPr>
        <w:t xml:space="preserve">BNT162b2 </w:t>
      </w:r>
      <w:r w:rsidR="00071C9E" w:rsidRPr="0028199D">
        <w:rPr>
          <w:rFonts w:ascii="Candara" w:hAnsi="Candara" w:cs="Times New Roman"/>
          <w:szCs w:val="24"/>
        </w:rPr>
        <w:t xml:space="preserve">firmy </w:t>
      </w:r>
      <w:proofErr w:type="spellStart"/>
      <w:r w:rsidR="00071C9E" w:rsidRPr="0028199D">
        <w:rPr>
          <w:rFonts w:ascii="Candara" w:hAnsi="Candara" w:cs="Times New Roman"/>
          <w:szCs w:val="24"/>
        </w:rPr>
        <w:t>Pfizer</w:t>
      </w:r>
      <w:proofErr w:type="spellEnd"/>
      <w:r w:rsidR="00071C9E" w:rsidRPr="0028199D">
        <w:rPr>
          <w:rFonts w:ascii="Candara" w:hAnsi="Candara" w:cs="Times New Roman"/>
          <w:szCs w:val="24"/>
        </w:rPr>
        <w:t>/</w:t>
      </w:r>
      <w:proofErr w:type="spellStart"/>
      <w:r w:rsidR="00071C9E" w:rsidRPr="0028199D">
        <w:rPr>
          <w:rFonts w:ascii="Candara" w:hAnsi="Candara" w:cs="Times New Roman"/>
          <w:szCs w:val="24"/>
        </w:rPr>
        <w:t>BioNTech</w:t>
      </w:r>
      <w:proofErr w:type="spellEnd"/>
      <w:r w:rsidR="00071C9E" w:rsidRPr="0028199D">
        <w:rPr>
          <w:rFonts w:ascii="Candara" w:hAnsi="Candara" w:cs="Times New Roman"/>
          <w:szCs w:val="24"/>
        </w:rPr>
        <w:t xml:space="preserve">. </w:t>
      </w:r>
    </w:p>
    <w:p w14:paraId="72397759" w14:textId="59E41858" w:rsidR="00E41060" w:rsidRPr="0028199D" w:rsidRDefault="00E41060" w:rsidP="00E41060">
      <w:pPr>
        <w:shd w:val="clear" w:color="auto" w:fill="FFFFFF"/>
        <w:autoSpaceDE w:val="0"/>
        <w:autoSpaceDN w:val="0"/>
        <w:adjustRightInd w:val="0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14:paraId="3712E257" w14:textId="77777777" w:rsidR="00E41060" w:rsidRPr="0028199D" w:rsidRDefault="00E41060" w:rsidP="00E41060">
      <w:pPr>
        <w:shd w:val="clear" w:color="auto" w:fill="FFFFFF"/>
        <w:jc w:val="both"/>
        <w:rPr>
          <w:rFonts w:ascii="Candara" w:eastAsia="Times New Roman" w:hAnsi="Candara" w:cs="Arial"/>
          <w:sz w:val="24"/>
          <w:szCs w:val="24"/>
          <w:u w:val="single"/>
          <w:lang w:eastAsia="pl-PL"/>
        </w:rPr>
      </w:pPr>
      <w:r w:rsidRPr="0028199D">
        <w:rPr>
          <w:rFonts w:ascii="Candara" w:eastAsia="Times New Roman" w:hAnsi="Candara" w:cs="Arial"/>
          <w:sz w:val="24"/>
          <w:szCs w:val="24"/>
          <w:u w:val="single"/>
          <w:lang w:eastAsia="pl-PL"/>
        </w:rPr>
        <w:t xml:space="preserve">Szczepienia przeciw COVID-19 a ryzyko wystąpienia reakcji anafilaktycznej </w:t>
      </w:r>
    </w:p>
    <w:p w14:paraId="35A1ACA6" w14:textId="7A856B6E" w:rsidR="00A673FD" w:rsidRPr="0028199D" w:rsidRDefault="00AA3BEE" w:rsidP="00D810E4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Arial"/>
          <w:szCs w:val="24"/>
          <w:lang w:eastAsia="pl-PL"/>
        </w:rPr>
      </w:pPr>
      <w:r w:rsidRPr="0028199D">
        <w:rPr>
          <w:rFonts w:ascii="Candara" w:eastAsia="Times New Roman" w:hAnsi="Candara" w:cs="Arial"/>
          <w:szCs w:val="24"/>
          <w:lang w:eastAsia="pl-PL"/>
        </w:rPr>
        <w:t>Zespół podkreśla, że reakcja anafilaktyczna to znany, choć bardzo rzadko występujący niepożądany odczyn poszczepienny, którego wystąpienie należy brać pod uwagę przy podaniu jakiejkolwiek szczepionki</w:t>
      </w:r>
      <w:r w:rsidR="000B3188" w:rsidRPr="0028199D">
        <w:rPr>
          <w:rFonts w:ascii="Candara" w:eastAsia="Times New Roman" w:hAnsi="Candara" w:cs="Arial"/>
          <w:szCs w:val="24"/>
          <w:lang w:eastAsia="pl-PL"/>
        </w:rPr>
        <w:t xml:space="preserve"> lub leku</w:t>
      </w:r>
      <w:r w:rsidRPr="0028199D">
        <w:rPr>
          <w:rFonts w:ascii="Candara" w:eastAsia="Times New Roman" w:hAnsi="Candara" w:cs="Arial"/>
          <w:szCs w:val="24"/>
          <w:lang w:eastAsia="pl-PL"/>
        </w:rPr>
        <w:t xml:space="preserve">. Wystąpienie reakcji anafilaktycznej po szczepieniu jest niezwykle rzadkie, szacowane na 1-1,3/1 000 000 podanych dawek (bez względu na rodzaj szczepionki). </w:t>
      </w:r>
      <w:r w:rsidR="000B3188" w:rsidRPr="0028199D">
        <w:rPr>
          <w:rFonts w:ascii="Candara" w:eastAsia="Times New Roman" w:hAnsi="Candara" w:cs="Arial"/>
          <w:szCs w:val="24"/>
          <w:lang w:eastAsia="pl-PL"/>
        </w:rPr>
        <w:t xml:space="preserve">Zgodnie z obowiązującymi od dawna zaleceniami dotyczącymi wszystkich szczepień, personel realizujący szczepienia musi być przygotowany na natychmiastowe rozpoczęcie skutecznego leczenia nawet tak rzadkich reakcji. </w:t>
      </w:r>
      <w:r w:rsidRPr="0028199D">
        <w:rPr>
          <w:rFonts w:ascii="Candara" w:eastAsia="Times New Roman" w:hAnsi="Candara" w:cs="Arial"/>
          <w:szCs w:val="24"/>
          <w:lang w:eastAsia="pl-PL"/>
        </w:rPr>
        <w:t xml:space="preserve">W toku szkoleń personelu medycznego, który będzie realizował szczepienia przeciwko COVID-19 należy </w:t>
      </w:r>
      <w:r w:rsidR="00E41060" w:rsidRPr="0028199D">
        <w:rPr>
          <w:rFonts w:ascii="Candara" w:eastAsia="Times New Roman" w:hAnsi="Candara" w:cs="Arial"/>
          <w:szCs w:val="24"/>
          <w:lang w:eastAsia="pl-PL"/>
        </w:rPr>
        <w:t xml:space="preserve">uwypuklać ryzyko </w:t>
      </w:r>
      <w:r w:rsidR="00387C6B" w:rsidRPr="0028199D">
        <w:rPr>
          <w:rFonts w:ascii="Candara" w:eastAsia="Times New Roman" w:hAnsi="Candara" w:cs="Arial"/>
          <w:szCs w:val="24"/>
          <w:lang w:eastAsia="pl-PL"/>
        </w:rPr>
        <w:t xml:space="preserve">wystąpienia </w:t>
      </w:r>
      <w:r w:rsidRPr="0028199D">
        <w:rPr>
          <w:rFonts w:ascii="Candara" w:eastAsia="Times New Roman" w:hAnsi="Candara" w:cs="Arial"/>
          <w:szCs w:val="24"/>
          <w:lang w:eastAsia="pl-PL"/>
        </w:rPr>
        <w:t>reakcji anafilaktycznej</w:t>
      </w:r>
      <w:r w:rsidR="00387C6B" w:rsidRPr="0028199D">
        <w:rPr>
          <w:rFonts w:ascii="Candara" w:eastAsia="Times New Roman" w:hAnsi="Candara" w:cs="Arial"/>
          <w:szCs w:val="24"/>
          <w:lang w:eastAsia="pl-PL"/>
        </w:rPr>
        <w:t xml:space="preserve">, </w:t>
      </w:r>
      <w:r w:rsidRPr="0028199D">
        <w:rPr>
          <w:rFonts w:ascii="Candara" w:eastAsia="Times New Roman" w:hAnsi="Candara" w:cs="Arial"/>
          <w:szCs w:val="24"/>
          <w:lang w:eastAsia="pl-PL"/>
        </w:rPr>
        <w:t xml:space="preserve">biorąc pod uwagę </w:t>
      </w:r>
      <w:r w:rsidR="00387C6B" w:rsidRPr="0028199D">
        <w:rPr>
          <w:rFonts w:ascii="Candara" w:eastAsia="Times New Roman" w:hAnsi="Candara" w:cs="Arial"/>
          <w:szCs w:val="24"/>
          <w:lang w:eastAsia="pl-PL"/>
        </w:rPr>
        <w:t xml:space="preserve">realizację szczepień na masową skalę. </w:t>
      </w:r>
      <w:r w:rsidRPr="0028199D">
        <w:rPr>
          <w:rFonts w:ascii="Candara" w:eastAsia="Times New Roman" w:hAnsi="Candara" w:cs="Arial"/>
          <w:szCs w:val="24"/>
          <w:lang w:eastAsia="pl-PL"/>
        </w:rPr>
        <w:t>Personel medyczny realizujący szczepienia</w:t>
      </w:r>
      <w:r w:rsidR="00387C6B" w:rsidRPr="0028199D">
        <w:rPr>
          <w:rFonts w:ascii="Candara" w:eastAsia="Times New Roman" w:hAnsi="Candara" w:cs="Arial"/>
          <w:szCs w:val="24"/>
          <w:lang w:eastAsia="pl-PL"/>
        </w:rPr>
        <w:t>, podobnie jak w an</w:t>
      </w:r>
      <w:r w:rsidR="00387C6B" w:rsidRPr="0028199D">
        <w:rPr>
          <w:rFonts w:ascii="Candara" w:eastAsia="Times New Roman" w:hAnsi="Candara" w:cs="Times New Roman"/>
          <w:lang w:eastAsia="en-GB"/>
        </w:rPr>
        <w:t xml:space="preserve">alogicznym stosowaniu dotychczasowych szczepień, powinien być przygotowany do wystąpienia takiego zdarzenia i </w:t>
      </w:r>
      <w:r w:rsidRPr="0028199D">
        <w:rPr>
          <w:rFonts w:ascii="Candara" w:eastAsia="Times New Roman" w:hAnsi="Candara" w:cs="Arial"/>
          <w:szCs w:val="24"/>
          <w:lang w:eastAsia="pl-PL"/>
        </w:rPr>
        <w:t>potrafić zastosować odpowiednie leczenie.</w:t>
      </w:r>
    </w:p>
    <w:p w14:paraId="76A5A819" w14:textId="77777777" w:rsidR="00095F62" w:rsidRPr="0028199D" w:rsidRDefault="00095F62" w:rsidP="00095F62">
      <w:pPr>
        <w:pStyle w:val="Akapitzlist"/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Arial"/>
          <w:szCs w:val="24"/>
          <w:lang w:eastAsia="pl-PL"/>
        </w:rPr>
      </w:pPr>
    </w:p>
    <w:p w14:paraId="512CF291" w14:textId="4551294B" w:rsidR="00AA3BEE" w:rsidRPr="0028199D" w:rsidRDefault="00AA3BEE" w:rsidP="00D810E4">
      <w:pPr>
        <w:pStyle w:val="Default"/>
        <w:numPr>
          <w:ilvl w:val="0"/>
          <w:numId w:val="3"/>
        </w:numPr>
        <w:shd w:val="clear" w:color="auto" w:fill="FFFFFF"/>
        <w:jc w:val="both"/>
        <w:rPr>
          <w:rFonts w:ascii="Candara" w:eastAsia="Times New Roman" w:hAnsi="Candara" w:cs="Arial"/>
          <w:color w:val="333333"/>
          <w:lang w:eastAsia="pl-PL"/>
        </w:rPr>
      </w:pPr>
      <w:r w:rsidRPr="0028199D">
        <w:rPr>
          <w:rFonts w:ascii="Candara" w:eastAsia="Times New Roman" w:hAnsi="Candara" w:cs="Times New Roman"/>
          <w:lang w:eastAsia="en-GB"/>
        </w:rPr>
        <w:t xml:space="preserve">W związku z tym, że </w:t>
      </w:r>
      <w:r w:rsidR="00836292" w:rsidRPr="0028199D">
        <w:rPr>
          <w:rFonts w:ascii="Candara" w:eastAsia="Times New Roman" w:hAnsi="Candara" w:cs="Times New Roman"/>
          <w:lang w:eastAsia="en-GB"/>
        </w:rPr>
        <w:t xml:space="preserve">już </w:t>
      </w:r>
      <w:r w:rsidRPr="0028199D">
        <w:rPr>
          <w:rFonts w:ascii="Candara" w:eastAsia="Times New Roman" w:hAnsi="Candara" w:cs="Times New Roman"/>
          <w:lang w:eastAsia="en-GB"/>
        </w:rPr>
        <w:t xml:space="preserve">po wprowadzeniu do obrotu szczepionki mRNA przeciw COVID-19 firm </w:t>
      </w:r>
      <w:proofErr w:type="spellStart"/>
      <w:r w:rsidRPr="0028199D">
        <w:rPr>
          <w:rFonts w:ascii="Candara" w:eastAsia="Times New Roman" w:hAnsi="Candara" w:cs="Times New Roman"/>
          <w:lang w:eastAsia="en-GB"/>
        </w:rPr>
        <w:t>Pfizer</w:t>
      </w:r>
      <w:proofErr w:type="spellEnd"/>
      <w:r w:rsidRPr="0028199D">
        <w:rPr>
          <w:rFonts w:ascii="Candara" w:eastAsia="Times New Roman" w:hAnsi="Candara" w:cs="Times New Roman"/>
          <w:lang w:eastAsia="en-GB"/>
        </w:rPr>
        <w:t xml:space="preserve"> i </w:t>
      </w:r>
      <w:proofErr w:type="spellStart"/>
      <w:r w:rsidRPr="0028199D">
        <w:rPr>
          <w:rFonts w:ascii="Candara" w:eastAsia="Times New Roman" w:hAnsi="Candara" w:cs="Times New Roman"/>
          <w:lang w:eastAsia="en-GB"/>
        </w:rPr>
        <w:t>BioNTech</w:t>
      </w:r>
      <w:proofErr w:type="spellEnd"/>
      <w:r w:rsidRPr="0028199D">
        <w:rPr>
          <w:rFonts w:ascii="Candara" w:eastAsia="Times New Roman" w:hAnsi="Candara" w:cs="Times New Roman"/>
          <w:lang w:eastAsia="en-GB"/>
        </w:rPr>
        <w:t xml:space="preserve"> wystąpiły reakcje anafilaktyczne u pacjentów</w:t>
      </w:r>
      <w:r w:rsidR="00836292" w:rsidRPr="0028199D">
        <w:rPr>
          <w:rFonts w:ascii="Candara" w:eastAsia="Times New Roman" w:hAnsi="Candara" w:cs="Times New Roman"/>
          <w:lang w:eastAsia="en-GB"/>
        </w:rPr>
        <w:t xml:space="preserve"> z historią anafilaksji w przeszłości, </w:t>
      </w:r>
      <w:r w:rsidR="00A673FD" w:rsidRPr="0028199D">
        <w:rPr>
          <w:rFonts w:ascii="Candara" w:eastAsia="Times New Roman" w:hAnsi="Candara" w:cs="Times New Roman"/>
          <w:lang w:eastAsia="en-GB"/>
        </w:rPr>
        <w:t>Z</w:t>
      </w:r>
      <w:r w:rsidRPr="0028199D">
        <w:rPr>
          <w:rFonts w:ascii="Candara" w:eastAsia="Times New Roman" w:hAnsi="Candara" w:cs="Times New Roman"/>
          <w:lang w:eastAsia="en-GB"/>
        </w:rPr>
        <w:t xml:space="preserve">espół rekomenduje uwzględnienie w przeciwwskazaniach do szczepień </w:t>
      </w:r>
      <w:r w:rsidRPr="0028199D">
        <w:rPr>
          <w:rFonts w:ascii="Candara" w:hAnsi="Candara"/>
          <w:color w:val="auto"/>
        </w:rPr>
        <w:t>dodatkowo informacji, że w</w:t>
      </w:r>
      <w:r w:rsidRPr="0028199D">
        <w:rPr>
          <w:rFonts w:ascii="Candara" w:eastAsia="Times New Roman" w:hAnsi="Candara" w:cs="Arial"/>
          <w:color w:val="333333"/>
          <w:lang w:eastAsia="pl-PL"/>
        </w:rPr>
        <w:t xml:space="preserve">ystąpienie reakcji anafilaktycznej w przeszłości stanowi przeciwwskazanie do szczepienia przeciw COVID-19 preparatem mRNA </w:t>
      </w:r>
      <w:r w:rsidR="00892285" w:rsidRPr="0028199D">
        <w:rPr>
          <w:rFonts w:ascii="Candara" w:eastAsia="Times New Roman" w:hAnsi="Candara" w:cs="Arial"/>
          <w:color w:val="333333"/>
          <w:lang w:eastAsia="pl-PL"/>
        </w:rPr>
        <w:t xml:space="preserve">firm </w:t>
      </w:r>
      <w:proofErr w:type="spellStart"/>
      <w:r w:rsidR="00892285" w:rsidRPr="0028199D">
        <w:rPr>
          <w:rFonts w:ascii="Candara" w:eastAsia="Times New Roman" w:hAnsi="Candara" w:cs="Arial"/>
          <w:color w:val="333333"/>
          <w:lang w:eastAsia="pl-PL"/>
        </w:rPr>
        <w:t>Pfizer</w:t>
      </w:r>
      <w:proofErr w:type="spellEnd"/>
      <w:r w:rsidR="00892285" w:rsidRPr="0028199D">
        <w:rPr>
          <w:rFonts w:ascii="Candara" w:eastAsia="Times New Roman" w:hAnsi="Candara" w:cs="Arial"/>
          <w:color w:val="333333"/>
          <w:lang w:eastAsia="pl-PL"/>
        </w:rPr>
        <w:t xml:space="preserve"> i </w:t>
      </w:r>
      <w:proofErr w:type="spellStart"/>
      <w:r w:rsidR="00892285" w:rsidRPr="0028199D">
        <w:rPr>
          <w:rFonts w:ascii="Candara" w:eastAsia="Times New Roman" w:hAnsi="Candara" w:cs="Arial"/>
          <w:color w:val="333333"/>
          <w:lang w:eastAsia="pl-PL"/>
        </w:rPr>
        <w:t>BioNTech</w:t>
      </w:r>
      <w:proofErr w:type="spellEnd"/>
      <w:r w:rsidRPr="0028199D">
        <w:rPr>
          <w:rFonts w:ascii="Candara" w:eastAsia="Times New Roman" w:hAnsi="Candara" w:cs="Arial"/>
          <w:color w:val="333333"/>
          <w:lang w:eastAsia="pl-PL"/>
        </w:rPr>
        <w:t xml:space="preserve">: </w:t>
      </w:r>
    </w:p>
    <w:p w14:paraId="68A04F26" w14:textId="01058B8B" w:rsidR="00AA3BEE" w:rsidRPr="0028199D" w:rsidRDefault="00AA3BEE" w:rsidP="00A673FD">
      <w:pPr>
        <w:pStyle w:val="Default"/>
        <w:numPr>
          <w:ilvl w:val="0"/>
          <w:numId w:val="9"/>
        </w:numPr>
        <w:shd w:val="clear" w:color="auto" w:fill="FFFFFF"/>
        <w:jc w:val="both"/>
        <w:rPr>
          <w:rFonts w:ascii="Candara" w:eastAsia="Times New Roman" w:hAnsi="Candara" w:cs="Times New Roman"/>
          <w:lang w:eastAsia="en-GB"/>
        </w:rPr>
      </w:pPr>
      <w:r w:rsidRPr="0028199D">
        <w:rPr>
          <w:rFonts w:ascii="Candara" w:eastAsia="Times New Roman" w:hAnsi="Candara" w:cs="Times New Roman"/>
          <w:lang w:eastAsia="en-GB"/>
        </w:rPr>
        <w:t>k</w:t>
      </w:r>
      <w:r w:rsidRPr="0028199D">
        <w:rPr>
          <w:rFonts w:ascii="Candara" w:eastAsia="Times New Roman" w:hAnsi="Candara" w:cs="Arial"/>
          <w:color w:val="333333"/>
          <w:lang w:eastAsia="pl-PL"/>
        </w:rPr>
        <w:t xml:space="preserve">ażda osoba, u której w przeszłości wystąpiła reakcja anafilaktyczna po podaniu jakiejkolwiek szczepionki, leku lub pokarmu, nie powinna być zaszczepiona preparatem mRNA </w:t>
      </w:r>
      <w:bookmarkStart w:id="2" w:name="_Hlk58960256"/>
      <w:r w:rsidRPr="0028199D">
        <w:rPr>
          <w:rFonts w:ascii="Candara" w:eastAsia="Times New Roman" w:hAnsi="Candara" w:cs="Arial"/>
          <w:color w:val="333333"/>
          <w:lang w:eastAsia="pl-PL"/>
        </w:rPr>
        <w:t>BNT162b2</w:t>
      </w:r>
      <w:bookmarkEnd w:id="2"/>
      <w:r w:rsidRPr="0028199D">
        <w:rPr>
          <w:rFonts w:ascii="Candara" w:eastAsia="Times New Roman" w:hAnsi="Candara" w:cs="Arial"/>
          <w:color w:val="333333"/>
          <w:lang w:eastAsia="pl-PL"/>
        </w:rPr>
        <w:t xml:space="preserve">. </w:t>
      </w:r>
    </w:p>
    <w:p w14:paraId="7A389867" w14:textId="7412DFC8" w:rsidR="00AA3BEE" w:rsidRPr="0028199D" w:rsidRDefault="00AF60C0" w:rsidP="00A673FD">
      <w:pPr>
        <w:pStyle w:val="Default"/>
        <w:numPr>
          <w:ilvl w:val="0"/>
          <w:numId w:val="9"/>
        </w:numPr>
        <w:shd w:val="clear" w:color="auto" w:fill="FFFFFF"/>
        <w:jc w:val="both"/>
        <w:rPr>
          <w:rFonts w:ascii="Candara" w:eastAsia="Times New Roman" w:hAnsi="Candara" w:cs="Times New Roman"/>
          <w:lang w:eastAsia="en-GB"/>
        </w:rPr>
      </w:pPr>
      <w:r w:rsidRPr="0028199D">
        <w:rPr>
          <w:rFonts w:ascii="Candara" w:eastAsia="Times New Roman" w:hAnsi="Candara" w:cs="Times New Roman"/>
          <w:lang w:eastAsia="en-GB"/>
        </w:rPr>
        <w:t xml:space="preserve">podczas masowych szczepień przeciw COVID-19, analogicznie jak w realizacji dotychczasowych szczepień, do obowiązkowego wyposażenia podmiotu medycznego realizującego szczepienia należy </w:t>
      </w:r>
      <w:r w:rsidR="00A673FD" w:rsidRPr="0028199D">
        <w:rPr>
          <w:rFonts w:ascii="Candara" w:eastAsia="Times New Roman" w:hAnsi="Candara" w:cs="Times New Roman"/>
          <w:lang w:eastAsia="en-GB"/>
        </w:rPr>
        <w:t>p</w:t>
      </w:r>
      <w:r w:rsidR="00AA3BEE" w:rsidRPr="0028199D">
        <w:rPr>
          <w:rFonts w:ascii="Candara" w:eastAsia="Times New Roman" w:hAnsi="Candara" w:cs="Times New Roman"/>
          <w:lang w:eastAsia="en-GB"/>
        </w:rPr>
        <w:t xml:space="preserve">rotokół postępowania w przypadku wystąpienia anafilaksji i zestaw przeciwwstrząsowy. </w:t>
      </w:r>
    </w:p>
    <w:p w14:paraId="683BB375" w14:textId="439A0D87" w:rsidR="00AA3BEE" w:rsidRPr="0028199D" w:rsidRDefault="00A673FD" w:rsidP="00A673FD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>p</w:t>
      </w:r>
      <w:r w:rsidR="00AA3BEE" w:rsidRPr="0028199D">
        <w:rPr>
          <w:rFonts w:ascii="Candara" w:eastAsia="Times New Roman" w:hAnsi="Candara" w:cs="Times New Roman"/>
          <w:szCs w:val="24"/>
          <w:lang w:eastAsia="en-GB"/>
        </w:rPr>
        <w:t>ersonel medyczny realizujący szczepienia powinien zostać przeszkolony w zakresie rozpoznania i skutecznego leczenia ciężkich reakcji alergicznych.</w:t>
      </w:r>
    </w:p>
    <w:p w14:paraId="59A12938" w14:textId="7549D401" w:rsidR="00AA3BEE" w:rsidRPr="0028199D" w:rsidRDefault="00AA3BEE" w:rsidP="009068ED">
      <w:pPr>
        <w:shd w:val="clear" w:color="auto" w:fill="FFFFFF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14:paraId="2C5723AC" w14:textId="77777777" w:rsidR="00D77AD1" w:rsidRPr="0028199D" w:rsidRDefault="00D77AD1" w:rsidP="009068ED">
      <w:pPr>
        <w:shd w:val="clear" w:color="auto" w:fill="FFFFFF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14:paraId="24BF2ECC" w14:textId="6DD06F17" w:rsidR="009068ED" w:rsidRPr="0028199D" w:rsidRDefault="009068ED" w:rsidP="009068ED">
      <w:pPr>
        <w:shd w:val="clear" w:color="auto" w:fill="FFFFFF"/>
        <w:jc w:val="both"/>
        <w:rPr>
          <w:rFonts w:ascii="Candara" w:eastAsia="Times New Roman" w:hAnsi="Candara" w:cs="Arial"/>
          <w:sz w:val="24"/>
          <w:szCs w:val="24"/>
          <w:u w:val="single"/>
          <w:lang w:eastAsia="pl-PL"/>
        </w:rPr>
      </w:pPr>
      <w:r w:rsidRPr="0028199D">
        <w:rPr>
          <w:rFonts w:ascii="Candara" w:eastAsia="Times New Roman" w:hAnsi="Candara" w:cs="Arial"/>
          <w:sz w:val="24"/>
          <w:szCs w:val="24"/>
          <w:u w:val="single"/>
          <w:lang w:eastAsia="pl-PL"/>
        </w:rPr>
        <w:lastRenderedPageBreak/>
        <w:t xml:space="preserve">Szczepienia przeciw COVID-19 a </w:t>
      </w:r>
      <w:r w:rsidR="00892285" w:rsidRPr="0028199D">
        <w:rPr>
          <w:rFonts w:ascii="Candara" w:eastAsia="Times New Roman" w:hAnsi="Candara" w:cs="Arial"/>
          <w:sz w:val="24"/>
          <w:szCs w:val="24"/>
          <w:u w:val="single"/>
          <w:lang w:eastAsia="pl-PL"/>
        </w:rPr>
        <w:t xml:space="preserve">interakcje z innymi produktami leczniczymi </w:t>
      </w:r>
      <w:r w:rsidRPr="0028199D">
        <w:rPr>
          <w:rFonts w:ascii="Candara" w:eastAsia="Times New Roman" w:hAnsi="Candara" w:cs="Arial"/>
          <w:sz w:val="24"/>
          <w:szCs w:val="24"/>
          <w:u w:val="single"/>
          <w:lang w:eastAsia="pl-PL"/>
        </w:rPr>
        <w:t xml:space="preserve"> </w:t>
      </w:r>
    </w:p>
    <w:p w14:paraId="2ABEB7CF" w14:textId="5E8460E3" w:rsidR="00D9563A" w:rsidRPr="0028199D" w:rsidRDefault="00D9563A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eastAsia="Times New Roman" w:hAnsi="Candara" w:cs="Arial"/>
          <w:szCs w:val="24"/>
          <w:lang w:eastAsia="pl-PL"/>
        </w:rPr>
      </w:pPr>
      <w:r w:rsidRPr="0028199D">
        <w:rPr>
          <w:rFonts w:ascii="Candara" w:hAnsi="Candara" w:cs="Times New Roman"/>
          <w:szCs w:val="24"/>
        </w:rPr>
        <w:t xml:space="preserve">Zespół rekomenduje wykonanie szczepienia przeciw COVID-19 z zachowaniem 2-tygodniowego odstępu od innych szczepień, aby uniknąć ewentualnego nałożenia się niepożądanych odczynów poszczepiennych, które mogą wystąpić. </w:t>
      </w:r>
      <w:r w:rsidR="009068ED" w:rsidRPr="0028199D">
        <w:rPr>
          <w:rFonts w:ascii="Candara" w:hAnsi="Candara" w:cs="Times New Roman"/>
          <w:szCs w:val="24"/>
        </w:rPr>
        <w:t xml:space="preserve">Odstęp ten </w:t>
      </w:r>
      <w:r w:rsidR="00892285" w:rsidRPr="0028199D">
        <w:rPr>
          <w:rFonts w:ascii="Candara" w:hAnsi="Candara" w:cs="Times New Roman"/>
          <w:szCs w:val="24"/>
        </w:rPr>
        <w:t xml:space="preserve">stanowi odzwierciedlenie protokołów badań klinicznych </w:t>
      </w:r>
      <w:r w:rsidR="00BD38C0" w:rsidRPr="0028199D">
        <w:rPr>
          <w:rFonts w:ascii="Candara" w:hAnsi="Candara" w:cs="Times New Roman"/>
          <w:szCs w:val="24"/>
        </w:rPr>
        <w:t>szczepionek przeciwko</w:t>
      </w:r>
      <w:r w:rsidR="00FB32E6" w:rsidRPr="0028199D">
        <w:rPr>
          <w:rFonts w:ascii="Candara" w:hAnsi="Candara" w:cs="Times New Roman"/>
          <w:szCs w:val="24"/>
        </w:rPr>
        <w:t xml:space="preserve"> COVID-19</w:t>
      </w:r>
      <w:r w:rsidR="009068ED" w:rsidRPr="0028199D">
        <w:rPr>
          <w:rFonts w:ascii="Candara" w:hAnsi="Candara" w:cs="Times New Roman"/>
          <w:szCs w:val="24"/>
        </w:rPr>
        <w:t xml:space="preserve">.   </w:t>
      </w:r>
    </w:p>
    <w:p w14:paraId="30F91292" w14:textId="0FDB005B" w:rsidR="00EB5D9D" w:rsidRPr="0028199D" w:rsidRDefault="00EB5D9D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eastAsia="Times New Roman" w:hAnsi="Candara" w:cs="Arial"/>
          <w:szCs w:val="24"/>
          <w:lang w:eastAsia="pl-PL"/>
        </w:rPr>
      </w:pPr>
      <w:r w:rsidRPr="0028199D">
        <w:rPr>
          <w:rFonts w:ascii="Candara" w:hAnsi="Candara"/>
          <w:szCs w:val="24"/>
          <w:shd w:val="clear" w:color="auto" w:fill="FFFFFF"/>
        </w:rPr>
        <w:t>U osób</w:t>
      </w:r>
      <w:r w:rsidR="00892285" w:rsidRPr="0028199D">
        <w:rPr>
          <w:rFonts w:ascii="Candara" w:hAnsi="Candara"/>
          <w:szCs w:val="24"/>
          <w:shd w:val="clear" w:color="auto" w:fill="FFFFFF"/>
        </w:rPr>
        <w:t xml:space="preserve"> z niedoborami odporności, </w:t>
      </w:r>
      <w:r w:rsidR="003F7D1A" w:rsidRPr="0028199D">
        <w:rPr>
          <w:rFonts w:ascii="Candara" w:hAnsi="Candara"/>
          <w:szCs w:val="24"/>
          <w:shd w:val="clear" w:color="auto" w:fill="FFFFFF"/>
        </w:rPr>
        <w:t xml:space="preserve">w trakcie leczenia </w:t>
      </w:r>
      <w:r w:rsidRPr="0028199D">
        <w:rPr>
          <w:rFonts w:ascii="Candara" w:hAnsi="Candara"/>
          <w:szCs w:val="24"/>
          <w:shd w:val="clear" w:color="auto" w:fill="FFFFFF"/>
        </w:rPr>
        <w:t>immunosupresyjne</w:t>
      </w:r>
      <w:r w:rsidR="003F7D1A" w:rsidRPr="0028199D">
        <w:rPr>
          <w:rFonts w:ascii="Candara" w:hAnsi="Candara"/>
          <w:szCs w:val="24"/>
          <w:shd w:val="clear" w:color="auto" w:fill="FFFFFF"/>
        </w:rPr>
        <w:t>go</w:t>
      </w:r>
      <w:r w:rsidRPr="0028199D">
        <w:rPr>
          <w:rFonts w:ascii="Candara" w:hAnsi="Candara"/>
          <w:szCs w:val="24"/>
          <w:shd w:val="clear" w:color="auto" w:fill="FFFFFF"/>
        </w:rPr>
        <w:t>, odpowiedź immunologiczna po szczepieniu może być zmniejszona</w:t>
      </w:r>
      <w:r w:rsidR="00071C9E" w:rsidRPr="0028199D">
        <w:rPr>
          <w:rFonts w:ascii="Candara" w:hAnsi="Candara"/>
          <w:szCs w:val="24"/>
          <w:shd w:val="clear" w:color="auto" w:fill="FFFFFF"/>
        </w:rPr>
        <w:t xml:space="preserve">. </w:t>
      </w:r>
      <w:r w:rsidR="000A7188" w:rsidRPr="0028199D">
        <w:rPr>
          <w:rFonts w:ascii="Candara" w:hAnsi="Candara"/>
          <w:noProof/>
          <w:szCs w:val="24"/>
        </w:rPr>
        <w:t xml:space="preserve">Z uwagi na mechanizm działania szczepionek mRNA (nie zawierają wirusa zdolnego do wywołania zakażenia), nie ma obaw o bezpieczeństwo szczepień w tej grupie, ale skuteczność podczas silnego leczenia immunosupresyjnego może być znacznie zmniejszona, dlatego sugeruje się opóźnienie szczepienia do czasu zakończenia terapii, która powoduje istotną immunosupresję. </w:t>
      </w:r>
      <w:r w:rsidR="00FB32E6" w:rsidRPr="0028199D">
        <w:rPr>
          <w:rFonts w:ascii="Candara" w:hAnsi="Candara"/>
          <w:szCs w:val="24"/>
          <w:shd w:val="clear" w:color="auto" w:fill="FFFFFF"/>
        </w:rPr>
        <w:t>W takiej sytuacji zalecamy szczepienie osób, które mają bliski kontakt z taki</w:t>
      </w:r>
      <w:r w:rsidR="0099393F" w:rsidRPr="0028199D">
        <w:rPr>
          <w:rFonts w:ascii="Candara" w:hAnsi="Candara"/>
          <w:szCs w:val="24"/>
          <w:shd w:val="clear" w:color="auto" w:fill="FFFFFF"/>
        </w:rPr>
        <w:t xml:space="preserve">m </w:t>
      </w:r>
      <w:r w:rsidR="00FB32E6" w:rsidRPr="0028199D">
        <w:rPr>
          <w:rFonts w:ascii="Candara" w:hAnsi="Candara"/>
          <w:szCs w:val="24"/>
          <w:shd w:val="clear" w:color="auto" w:fill="FFFFFF"/>
        </w:rPr>
        <w:t xml:space="preserve"> pacjentem (np. osoby mieszkające wspólnie z pacjentem, opiekujące się chorym), jeśli nie stwierdzono u nich przeciwwskazań.</w:t>
      </w:r>
      <w:r w:rsidRPr="0028199D">
        <w:rPr>
          <w:rFonts w:ascii="Candara" w:hAnsi="Candara"/>
          <w:szCs w:val="24"/>
          <w:shd w:val="clear" w:color="auto" w:fill="FFFFFF"/>
        </w:rPr>
        <w:t xml:space="preserve"> </w:t>
      </w:r>
    </w:p>
    <w:p w14:paraId="7695D7A6" w14:textId="77777777" w:rsidR="00D77AD1" w:rsidRPr="0028199D" w:rsidRDefault="00D77AD1" w:rsidP="00071C9E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</w:p>
    <w:p w14:paraId="6D17734C" w14:textId="26005A53" w:rsidR="00071C9E" w:rsidRPr="0028199D" w:rsidRDefault="00071C9E" w:rsidP="00071C9E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Szczepienia </w:t>
      </w:r>
      <w:r w:rsidR="00892285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przeciw COVID-19 </w:t>
      </w: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a pacjenci z chorobami towarzyszącymi  </w:t>
      </w:r>
    </w:p>
    <w:p w14:paraId="5E721EEF" w14:textId="476A3F23" w:rsidR="003F7D1A" w:rsidRPr="0028199D" w:rsidRDefault="00071C9E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hAnsi="Candara"/>
          <w:szCs w:val="24"/>
          <w:shd w:val="clear" w:color="auto" w:fill="FFFFFF"/>
        </w:rPr>
        <w:t>Badania kliniczne szczepion</w:t>
      </w:r>
      <w:r w:rsidR="00892285" w:rsidRPr="0028199D">
        <w:rPr>
          <w:rFonts w:ascii="Candara" w:hAnsi="Candara"/>
          <w:szCs w:val="24"/>
          <w:shd w:val="clear" w:color="auto" w:fill="FFFFFF"/>
        </w:rPr>
        <w:t xml:space="preserve">ki mRNA </w:t>
      </w:r>
      <w:r w:rsidRPr="0028199D">
        <w:rPr>
          <w:rFonts w:ascii="Candara" w:hAnsi="Candara"/>
          <w:szCs w:val="24"/>
          <w:shd w:val="clear" w:color="auto" w:fill="FFFFFF"/>
        </w:rPr>
        <w:t>przeciw COVID-19</w:t>
      </w:r>
      <w:r w:rsidR="00892285" w:rsidRPr="0028199D">
        <w:rPr>
          <w:rFonts w:ascii="Candara" w:hAnsi="Candara"/>
          <w:szCs w:val="24"/>
          <w:shd w:val="clear" w:color="auto" w:fill="FFFFFF"/>
        </w:rPr>
        <w:t xml:space="preserve"> firm </w:t>
      </w:r>
      <w:proofErr w:type="spellStart"/>
      <w:r w:rsidR="0099393F" w:rsidRPr="0028199D">
        <w:rPr>
          <w:rFonts w:ascii="Candara" w:hAnsi="Candara"/>
          <w:szCs w:val="24"/>
          <w:shd w:val="clear" w:color="auto" w:fill="FFFFFF"/>
        </w:rPr>
        <w:t>Pfizer</w:t>
      </w:r>
      <w:proofErr w:type="spellEnd"/>
      <w:r w:rsidR="0099393F" w:rsidRPr="0028199D">
        <w:rPr>
          <w:rFonts w:ascii="Candara" w:hAnsi="Candara"/>
          <w:szCs w:val="24"/>
          <w:shd w:val="clear" w:color="auto" w:fill="FFFFFF"/>
        </w:rPr>
        <w:t xml:space="preserve"> i </w:t>
      </w:r>
      <w:proofErr w:type="spellStart"/>
      <w:r w:rsidR="0099393F" w:rsidRPr="0028199D">
        <w:rPr>
          <w:rFonts w:ascii="Candara" w:hAnsi="Candara"/>
          <w:szCs w:val="24"/>
          <w:shd w:val="clear" w:color="auto" w:fill="FFFFFF"/>
        </w:rPr>
        <w:t>BioNTech</w:t>
      </w:r>
      <w:proofErr w:type="spellEnd"/>
      <w:r w:rsidR="0099393F" w:rsidRPr="0028199D">
        <w:rPr>
          <w:rFonts w:ascii="Candara" w:hAnsi="Candara"/>
          <w:szCs w:val="24"/>
          <w:shd w:val="clear" w:color="auto" w:fill="FFFFFF"/>
        </w:rPr>
        <w:t xml:space="preserve"> </w:t>
      </w:r>
      <w:r w:rsidRPr="0028199D">
        <w:rPr>
          <w:rFonts w:ascii="Candara" w:hAnsi="Candara"/>
          <w:szCs w:val="24"/>
          <w:shd w:val="clear" w:color="auto" w:fill="FFFFFF"/>
        </w:rPr>
        <w:t xml:space="preserve">zostały zaplanowane w grupach pacjentów z różnymi chorobami towarzyszącymi, aby szczepieniami objąć jak najszerszą populację. </w:t>
      </w:r>
    </w:p>
    <w:p w14:paraId="6B29480E" w14:textId="5DF303C7" w:rsidR="002A12A1" w:rsidRPr="0028199D" w:rsidRDefault="002A12A1" w:rsidP="00D810E4">
      <w:pPr>
        <w:pStyle w:val="Default"/>
        <w:numPr>
          <w:ilvl w:val="0"/>
          <w:numId w:val="3"/>
        </w:numPr>
        <w:jc w:val="both"/>
        <w:rPr>
          <w:rFonts w:ascii="Candara" w:hAnsi="Candara"/>
          <w:color w:val="auto"/>
        </w:rPr>
      </w:pPr>
      <w:r w:rsidRPr="0028199D">
        <w:rPr>
          <w:rFonts w:ascii="Candara" w:hAnsi="Candara"/>
          <w:color w:val="auto"/>
        </w:rPr>
        <w:t xml:space="preserve">Wyniki badań klinicznych fazy 2/3 szczepionki mRNA </w:t>
      </w:r>
      <w:r w:rsidR="0099393F" w:rsidRPr="0028199D">
        <w:rPr>
          <w:rFonts w:ascii="Candara" w:eastAsia="Times New Roman" w:hAnsi="Candara" w:cs="Arial"/>
          <w:color w:val="333333"/>
          <w:lang w:eastAsia="pl-PL"/>
        </w:rPr>
        <w:t xml:space="preserve">BNT162b2 </w:t>
      </w:r>
      <w:r w:rsidRPr="0028199D">
        <w:rPr>
          <w:rFonts w:ascii="Candara" w:hAnsi="Candara"/>
          <w:color w:val="auto"/>
        </w:rPr>
        <w:t xml:space="preserve">firm </w:t>
      </w:r>
      <w:proofErr w:type="spellStart"/>
      <w:r w:rsidRPr="0028199D">
        <w:rPr>
          <w:rFonts w:ascii="Candara" w:hAnsi="Candara"/>
          <w:color w:val="auto"/>
        </w:rPr>
        <w:t>Pfizer</w:t>
      </w:r>
      <w:proofErr w:type="spellEnd"/>
      <w:r w:rsidRPr="0028199D">
        <w:rPr>
          <w:rFonts w:ascii="Candara" w:hAnsi="Candara"/>
          <w:color w:val="auto"/>
        </w:rPr>
        <w:t xml:space="preserve"> i </w:t>
      </w:r>
      <w:proofErr w:type="spellStart"/>
      <w:r w:rsidRPr="0028199D">
        <w:rPr>
          <w:rFonts w:ascii="Candara" w:hAnsi="Candara"/>
          <w:color w:val="auto"/>
        </w:rPr>
        <w:t>BioNTech</w:t>
      </w:r>
      <w:proofErr w:type="spellEnd"/>
      <w:r w:rsidRPr="0028199D">
        <w:rPr>
          <w:rFonts w:ascii="Candara" w:hAnsi="Candara"/>
          <w:color w:val="auto"/>
        </w:rPr>
        <w:t xml:space="preserve"> potwierdzają bezpieczeństwo i skuteczność szczepień w grupach osób z chorobami towarzyszącymi stanowiącymi grupę ryzyka wystąpienia ciężkiego przebiegu COVID-19. </w:t>
      </w:r>
    </w:p>
    <w:p w14:paraId="55F553E6" w14:textId="3FC9FC0E" w:rsidR="00A673FD" w:rsidRPr="0028199D" w:rsidRDefault="00A673FD" w:rsidP="00A673FD">
      <w:pPr>
        <w:pStyle w:val="Default"/>
        <w:jc w:val="both"/>
        <w:rPr>
          <w:rFonts w:ascii="Candara" w:hAnsi="Candara"/>
          <w:color w:val="auto"/>
        </w:rPr>
      </w:pPr>
    </w:p>
    <w:p w14:paraId="29915C77" w14:textId="0029369E" w:rsidR="00A673FD" w:rsidRPr="0028199D" w:rsidRDefault="00A673FD" w:rsidP="00A673FD">
      <w:pPr>
        <w:pStyle w:val="Default"/>
        <w:jc w:val="both"/>
        <w:rPr>
          <w:rFonts w:ascii="Candara" w:hAnsi="Candara"/>
          <w:color w:val="auto"/>
          <w:u w:val="single"/>
        </w:rPr>
      </w:pPr>
      <w:r w:rsidRPr="0028199D">
        <w:rPr>
          <w:rFonts w:ascii="Candara" w:hAnsi="Candara"/>
          <w:color w:val="auto"/>
          <w:u w:val="single"/>
        </w:rPr>
        <w:t xml:space="preserve">Szczepienia przeciw COVID-19 a ocena stanu uodpornienia </w:t>
      </w:r>
    </w:p>
    <w:p w14:paraId="26D4830F" w14:textId="599AEE71" w:rsidR="00071C9E" w:rsidRPr="0028199D" w:rsidRDefault="00650D59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 w:cs="Times New Roman"/>
          <w:szCs w:val="24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Zespół </w:t>
      </w:r>
      <w:r w:rsidR="002A12A1" w:rsidRPr="0028199D">
        <w:rPr>
          <w:rFonts w:ascii="Candara" w:eastAsia="Times New Roman" w:hAnsi="Candara" w:cs="Times New Roman"/>
          <w:szCs w:val="24"/>
          <w:lang w:eastAsia="en-GB"/>
        </w:rPr>
        <w:t xml:space="preserve">w rozszerzonym składzie eksperckim 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zaleca za </w:t>
      </w:r>
      <w:r w:rsidR="00071C9E" w:rsidRPr="0028199D">
        <w:rPr>
          <w:rFonts w:ascii="Candara" w:eastAsia="Times New Roman" w:hAnsi="Candara" w:cs="Times New Roman"/>
          <w:szCs w:val="24"/>
          <w:lang w:eastAsia="en-GB"/>
        </w:rPr>
        <w:t>Komitet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em </w:t>
      </w:r>
      <w:r w:rsidR="00071C9E" w:rsidRPr="0028199D">
        <w:rPr>
          <w:rFonts w:ascii="Candara" w:eastAsia="Times New Roman" w:hAnsi="Candara" w:cs="Times New Roman"/>
          <w:szCs w:val="24"/>
          <w:lang w:eastAsia="en-GB"/>
        </w:rPr>
        <w:t>Doradczy</w:t>
      </w:r>
      <w:r w:rsidRPr="0028199D">
        <w:rPr>
          <w:rFonts w:ascii="Candara" w:eastAsia="Times New Roman" w:hAnsi="Candara" w:cs="Times New Roman"/>
          <w:szCs w:val="24"/>
          <w:lang w:eastAsia="en-GB"/>
        </w:rPr>
        <w:t xml:space="preserve">m </w:t>
      </w:r>
      <w:r w:rsidR="00071C9E" w:rsidRPr="0028199D">
        <w:rPr>
          <w:rFonts w:ascii="Candara" w:eastAsia="Times New Roman" w:hAnsi="Candara" w:cs="Times New Roman"/>
          <w:szCs w:val="24"/>
          <w:lang w:eastAsia="en-GB"/>
        </w:rPr>
        <w:t xml:space="preserve">ds. </w:t>
      </w:r>
      <w:proofErr w:type="spellStart"/>
      <w:r w:rsidR="00071C9E" w:rsidRPr="0028199D">
        <w:rPr>
          <w:rFonts w:ascii="Candara" w:eastAsia="Times New Roman" w:hAnsi="Candara" w:cs="Times New Roman"/>
          <w:szCs w:val="24"/>
          <w:lang w:val="en-US" w:eastAsia="en-GB"/>
        </w:rPr>
        <w:t>Szczepień</w:t>
      </w:r>
      <w:proofErr w:type="spellEnd"/>
      <w:r w:rsidR="00071C9E" w:rsidRPr="0028199D">
        <w:rPr>
          <w:rFonts w:ascii="Candara" w:eastAsia="Times New Roman" w:hAnsi="Candara" w:cs="Times New Roman"/>
          <w:szCs w:val="24"/>
          <w:lang w:val="en-US" w:eastAsia="en-GB"/>
        </w:rPr>
        <w:t xml:space="preserve"> w </w:t>
      </w:r>
      <w:proofErr w:type="spellStart"/>
      <w:r w:rsidR="00071C9E" w:rsidRPr="0028199D">
        <w:rPr>
          <w:rFonts w:ascii="Candara" w:hAnsi="Candara" w:cs="Times New Roman"/>
          <w:szCs w:val="24"/>
          <w:lang w:val="en-US"/>
        </w:rPr>
        <w:t>Wielkiej</w:t>
      </w:r>
      <w:proofErr w:type="spellEnd"/>
      <w:r w:rsidR="00071C9E" w:rsidRPr="0028199D">
        <w:rPr>
          <w:rFonts w:ascii="Candara" w:hAnsi="Candara" w:cs="Times New Roman"/>
          <w:szCs w:val="24"/>
          <w:lang w:val="en-US"/>
        </w:rPr>
        <w:t xml:space="preserve"> </w:t>
      </w:r>
      <w:proofErr w:type="spellStart"/>
      <w:r w:rsidR="00071C9E" w:rsidRPr="0028199D">
        <w:rPr>
          <w:rFonts w:ascii="Candara" w:hAnsi="Candara" w:cs="Times New Roman"/>
          <w:szCs w:val="24"/>
          <w:lang w:val="en-US"/>
        </w:rPr>
        <w:t>Brytanii</w:t>
      </w:r>
      <w:proofErr w:type="spellEnd"/>
      <w:r w:rsidRPr="0028199D">
        <w:rPr>
          <w:rFonts w:ascii="Candara" w:hAnsi="Candara" w:cs="Times New Roman"/>
          <w:szCs w:val="24"/>
          <w:lang w:val="en-US"/>
        </w:rPr>
        <w:t xml:space="preserve"> (</w:t>
      </w:r>
      <w:r w:rsidR="009A4494" w:rsidRPr="0028199D">
        <w:rPr>
          <w:rFonts w:ascii="Candara" w:hAnsi="Candara" w:cs="Times New Roman"/>
          <w:szCs w:val="24"/>
          <w:lang w:val="en-US"/>
        </w:rPr>
        <w:t xml:space="preserve">Joint Committee on Vaccination and </w:t>
      </w:r>
      <w:proofErr w:type="spellStart"/>
      <w:r w:rsidR="009A4494" w:rsidRPr="0028199D">
        <w:rPr>
          <w:rFonts w:ascii="Candara" w:hAnsi="Candara" w:cs="Times New Roman"/>
          <w:szCs w:val="24"/>
          <w:lang w:val="en-US"/>
        </w:rPr>
        <w:t>Immunisation</w:t>
      </w:r>
      <w:proofErr w:type="spellEnd"/>
      <w:r w:rsidR="009A4494" w:rsidRPr="0028199D">
        <w:rPr>
          <w:rFonts w:ascii="Candara" w:hAnsi="Candara" w:cs="Times New Roman"/>
          <w:szCs w:val="24"/>
          <w:lang w:val="en-US"/>
        </w:rPr>
        <w:t>, ICVI)</w:t>
      </w:r>
      <w:r w:rsidRPr="0028199D">
        <w:rPr>
          <w:rFonts w:ascii="Candara" w:hAnsi="Candara" w:cs="Times New Roman"/>
          <w:szCs w:val="24"/>
          <w:lang w:val="en-US"/>
        </w:rPr>
        <w:t xml:space="preserve">, </w:t>
      </w:r>
      <w:proofErr w:type="spellStart"/>
      <w:r w:rsidRPr="0028199D">
        <w:rPr>
          <w:rFonts w:ascii="Candara" w:hAnsi="Candara" w:cs="Times New Roman"/>
          <w:szCs w:val="24"/>
          <w:lang w:val="en-US"/>
        </w:rPr>
        <w:t>Komitetem</w:t>
      </w:r>
      <w:proofErr w:type="spellEnd"/>
      <w:r w:rsidRPr="0028199D">
        <w:rPr>
          <w:rFonts w:ascii="Candara" w:hAnsi="Candara" w:cs="Times New Roman"/>
          <w:szCs w:val="24"/>
          <w:lang w:val="en-US"/>
        </w:rPr>
        <w:t xml:space="preserve"> </w:t>
      </w:r>
      <w:r w:rsidR="00667A09" w:rsidRPr="0028199D">
        <w:rPr>
          <w:rFonts w:ascii="Candara" w:hAnsi="Candara" w:cs="Arial"/>
          <w:szCs w:val="24"/>
          <w:shd w:val="clear" w:color="auto" w:fill="FFFFFF"/>
          <w:lang w:val="en-US"/>
        </w:rPr>
        <w:t> </w:t>
      </w:r>
      <w:hyperlink r:id="rId8" w:history="1">
        <w:r w:rsidR="00667A09" w:rsidRPr="0028199D">
          <w:rPr>
            <w:rStyle w:val="Hipercze"/>
            <w:rFonts w:ascii="Candara" w:hAnsi="Candara" w:cs="Arial"/>
            <w:color w:val="auto"/>
            <w:szCs w:val="24"/>
            <w:u w:val="none"/>
            <w:shd w:val="clear" w:color="auto" w:fill="FFFFFF"/>
            <w:lang w:val="en-US"/>
          </w:rPr>
          <w:t>National Advisory Committee on Immunization, NACI</w:t>
        </w:r>
      </w:hyperlink>
      <w:r w:rsidR="00667A09" w:rsidRPr="0028199D">
        <w:rPr>
          <w:rFonts w:ascii="Candara" w:hAnsi="Candara"/>
          <w:szCs w:val="24"/>
          <w:lang w:val="en-US"/>
        </w:rPr>
        <w:t xml:space="preserve"> </w:t>
      </w:r>
      <w:r w:rsidRPr="0028199D">
        <w:rPr>
          <w:rFonts w:ascii="Candara" w:hAnsi="Candara" w:cs="Times New Roman"/>
          <w:szCs w:val="24"/>
          <w:lang w:val="en-US"/>
        </w:rPr>
        <w:t xml:space="preserve">w </w:t>
      </w:r>
      <w:proofErr w:type="spellStart"/>
      <w:r w:rsidR="00071C9E" w:rsidRPr="0028199D">
        <w:rPr>
          <w:rFonts w:ascii="Candara" w:hAnsi="Candara" w:cs="Times New Roman"/>
          <w:szCs w:val="24"/>
          <w:lang w:val="en-US"/>
        </w:rPr>
        <w:t>Kanadzie</w:t>
      </w:r>
      <w:proofErr w:type="spellEnd"/>
      <w:r w:rsidR="00071C9E" w:rsidRPr="0028199D">
        <w:rPr>
          <w:rFonts w:ascii="Candara" w:hAnsi="Candara" w:cs="Times New Roman"/>
          <w:szCs w:val="24"/>
          <w:lang w:val="en-US"/>
        </w:rPr>
        <w:t xml:space="preserve"> </w:t>
      </w:r>
      <w:proofErr w:type="spellStart"/>
      <w:r w:rsidR="00071C9E" w:rsidRPr="0028199D">
        <w:rPr>
          <w:rFonts w:ascii="Candara" w:hAnsi="Candara" w:cs="Times New Roman"/>
          <w:szCs w:val="24"/>
          <w:lang w:val="en-US"/>
        </w:rPr>
        <w:t>oraz</w:t>
      </w:r>
      <w:proofErr w:type="spellEnd"/>
      <w:r w:rsidR="00071C9E" w:rsidRPr="0028199D">
        <w:rPr>
          <w:rFonts w:ascii="Candara" w:hAnsi="Candara" w:cs="Times New Roman"/>
          <w:szCs w:val="24"/>
          <w:lang w:val="en-US"/>
        </w:rPr>
        <w:t xml:space="preserve"> </w:t>
      </w:r>
      <w:proofErr w:type="spellStart"/>
      <w:r w:rsidRPr="0028199D">
        <w:rPr>
          <w:rFonts w:ascii="Candara" w:hAnsi="Candara" w:cs="Times New Roman"/>
          <w:szCs w:val="24"/>
          <w:lang w:val="en-US"/>
        </w:rPr>
        <w:t>Komitetem</w:t>
      </w:r>
      <w:proofErr w:type="spellEnd"/>
      <w:r w:rsidRPr="0028199D">
        <w:rPr>
          <w:rFonts w:ascii="Candara" w:hAnsi="Candara" w:cs="Times New Roman"/>
          <w:szCs w:val="24"/>
          <w:lang w:val="en-US"/>
        </w:rPr>
        <w:t xml:space="preserve"> ds. </w:t>
      </w:r>
      <w:r w:rsidRPr="0028199D">
        <w:rPr>
          <w:rFonts w:ascii="Candara" w:hAnsi="Candara" w:cs="Times New Roman"/>
          <w:szCs w:val="24"/>
        </w:rPr>
        <w:t>Szczepień Ochronnych (</w:t>
      </w:r>
      <w:proofErr w:type="spellStart"/>
      <w:r w:rsidR="00667A09" w:rsidRPr="0028199D">
        <w:rPr>
          <w:rFonts w:ascii="Candara" w:hAnsi="Candara" w:cs="Times New Roman"/>
          <w:szCs w:val="24"/>
        </w:rPr>
        <w:t>Advisory</w:t>
      </w:r>
      <w:proofErr w:type="spellEnd"/>
      <w:r w:rsidR="00667A09" w:rsidRPr="0028199D">
        <w:rPr>
          <w:rFonts w:ascii="Candara" w:hAnsi="Candara" w:cs="Times New Roman"/>
          <w:szCs w:val="24"/>
        </w:rPr>
        <w:t xml:space="preserve"> </w:t>
      </w:r>
      <w:proofErr w:type="spellStart"/>
      <w:r w:rsidR="00667A09" w:rsidRPr="0028199D">
        <w:rPr>
          <w:rFonts w:ascii="Candara" w:hAnsi="Candara" w:cs="Times New Roman"/>
          <w:szCs w:val="24"/>
        </w:rPr>
        <w:t>Committee</w:t>
      </w:r>
      <w:proofErr w:type="spellEnd"/>
      <w:r w:rsidR="00667A09" w:rsidRPr="0028199D">
        <w:rPr>
          <w:rFonts w:ascii="Candara" w:hAnsi="Candara" w:cs="Times New Roman"/>
          <w:szCs w:val="24"/>
        </w:rPr>
        <w:t xml:space="preserve"> on </w:t>
      </w:r>
      <w:proofErr w:type="spellStart"/>
      <w:r w:rsidR="00667A09" w:rsidRPr="0028199D">
        <w:rPr>
          <w:rFonts w:ascii="Candara" w:hAnsi="Candara" w:cs="Times New Roman"/>
          <w:szCs w:val="24"/>
        </w:rPr>
        <w:t>Immunization</w:t>
      </w:r>
      <w:proofErr w:type="spellEnd"/>
      <w:r w:rsidR="00667A09" w:rsidRPr="0028199D">
        <w:rPr>
          <w:rFonts w:ascii="Candara" w:hAnsi="Candara" w:cs="Times New Roman"/>
          <w:szCs w:val="24"/>
        </w:rPr>
        <w:t xml:space="preserve"> </w:t>
      </w:r>
      <w:proofErr w:type="spellStart"/>
      <w:r w:rsidR="00667A09" w:rsidRPr="0028199D">
        <w:rPr>
          <w:rFonts w:ascii="Candara" w:hAnsi="Candara" w:cs="Times New Roman"/>
          <w:szCs w:val="24"/>
        </w:rPr>
        <w:t>Practice</w:t>
      </w:r>
      <w:proofErr w:type="spellEnd"/>
      <w:r w:rsidR="00667A09" w:rsidRPr="0028199D">
        <w:rPr>
          <w:rFonts w:ascii="Candara" w:hAnsi="Candara" w:cs="Times New Roman"/>
          <w:szCs w:val="24"/>
        </w:rPr>
        <w:t xml:space="preserve">, </w:t>
      </w:r>
      <w:r w:rsidRPr="0028199D">
        <w:rPr>
          <w:rFonts w:ascii="Candara" w:hAnsi="Candara" w:cs="Times New Roman"/>
          <w:szCs w:val="24"/>
        </w:rPr>
        <w:t xml:space="preserve">ACIP) w </w:t>
      </w:r>
      <w:r w:rsidR="00071C9E" w:rsidRPr="0028199D">
        <w:rPr>
          <w:rFonts w:ascii="Candara" w:hAnsi="Candara" w:cs="Times New Roman"/>
          <w:szCs w:val="24"/>
        </w:rPr>
        <w:t>Stanach Zjednoczonych,</w:t>
      </w:r>
      <w:r w:rsidRPr="0028199D">
        <w:rPr>
          <w:rFonts w:ascii="Candara" w:hAnsi="Candara" w:cs="Times New Roman"/>
          <w:szCs w:val="24"/>
        </w:rPr>
        <w:t xml:space="preserve"> aby </w:t>
      </w:r>
      <w:r w:rsidR="00071C9E" w:rsidRPr="0028199D">
        <w:rPr>
          <w:rFonts w:ascii="Candara" w:hAnsi="Candara" w:cs="Times New Roman"/>
          <w:szCs w:val="24"/>
        </w:rPr>
        <w:t>przebyci</w:t>
      </w:r>
      <w:r w:rsidR="002A12A1" w:rsidRPr="0028199D">
        <w:rPr>
          <w:rFonts w:ascii="Candara" w:hAnsi="Candara" w:cs="Times New Roman"/>
          <w:szCs w:val="24"/>
        </w:rPr>
        <w:t>e</w:t>
      </w:r>
      <w:r w:rsidR="00071C9E" w:rsidRPr="0028199D">
        <w:rPr>
          <w:rFonts w:ascii="Candara" w:hAnsi="Candara" w:cs="Times New Roman"/>
          <w:szCs w:val="24"/>
        </w:rPr>
        <w:t xml:space="preserve"> COVID-19 </w:t>
      </w:r>
      <w:r w:rsidRPr="0028199D">
        <w:rPr>
          <w:rFonts w:ascii="Candara" w:hAnsi="Candara" w:cs="Times New Roman"/>
          <w:szCs w:val="24"/>
        </w:rPr>
        <w:t xml:space="preserve">w przeszłości </w:t>
      </w:r>
      <w:r w:rsidR="00071C9E" w:rsidRPr="0028199D">
        <w:rPr>
          <w:rFonts w:ascii="Candara" w:hAnsi="Candara" w:cs="Times New Roman"/>
          <w:szCs w:val="24"/>
        </w:rPr>
        <w:t xml:space="preserve">nie </w:t>
      </w:r>
      <w:r w:rsidRPr="0028199D">
        <w:rPr>
          <w:rFonts w:ascii="Candara" w:hAnsi="Candara" w:cs="Times New Roman"/>
          <w:szCs w:val="24"/>
        </w:rPr>
        <w:t xml:space="preserve">traktować jako </w:t>
      </w:r>
      <w:r w:rsidR="00071C9E" w:rsidRPr="0028199D">
        <w:rPr>
          <w:rFonts w:ascii="Candara" w:hAnsi="Candara" w:cs="Times New Roman"/>
          <w:szCs w:val="24"/>
        </w:rPr>
        <w:t>przeciwwskazani</w:t>
      </w:r>
      <w:r w:rsidRPr="0028199D">
        <w:rPr>
          <w:rFonts w:ascii="Candara" w:hAnsi="Candara" w:cs="Times New Roman"/>
          <w:szCs w:val="24"/>
        </w:rPr>
        <w:t>a d</w:t>
      </w:r>
      <w:r w:rsidR="00071C9E" w:rsidRPr="0028199D">
        <w:rPr>
          <w:rFonts w:ascii="Candara" w:hAnsi="Candara" w:cs="Times New Roman"/>
          <w:szCs w:val="24"/>
        </w:rPr>
        <w:t xml:space="preserve">o szczepień przeciw COVID-19. </w:t>
      </w:r>
      <w:r w:rsidR="005A7973" w:rsidRPr="0028199D">
        <w:rPr>
          <w:rFonts w:ascii="Candara" w:hAnsi="Candara" w:cs="Times New Roman"/>
          <w:szCs w:val="24"/>
        </w:rPr>
        <w:t>U istotnej grupy ozdrowieńców stężenie swoistych przeciwciał ochronnych jest małe, a szczepienie może je skutecznie zwiększyć i poprawić ochronę przed ponownym zachorowaniem.</w:t>
      </w:r>
    </w:p>
    <w:p w14:paraId="02C78A8F" w14:textId="1272A431" w:rsidR="00650D59" w:rsidRPr="0028199D" w:rsidRDefault="00650D59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hAnsi="Candara" w:cs="Times New Roman"/>
          <w:szCs w:val="24"/>
        </w:rPr>
        <w:t xml:space="preserve">Również </w:t>
      </w:r>
      <w:r w:rsidR="00071C9E" w:rsidRPr="0028199D">
        <w:rPr>
          <w:rFonts w:ascii="Candara" w:hAnsi="Candara" w:cs="Times New Roman"/>
          <w:szCs w:val="24"/>
        </w:rPr>
        <w:t xml:space="preserve">kwalifikacja do szczepienia przeciw COVID-19 nie wymaga wcześniejszej oceny </w:t>
      </w:r>
      <w:r w:rsidR="005A7973" w:rsidRPr="0028199D">
        <w:rPr>
          <w:rFonts w:ascii="Candara" w:hAnsi="Candara" w:cs="Times New Roman"/>
          <w:szCs w:val="24"/>
        </w:rPr>
        <w:t xml:space="preserve">stężenia </w:t>
      </w:r>
      <w:r w:rsidR="00071C9E" w:rsidRPr="0028199D">
        <w:rPr>
          <w:rFonts w:ascii="Candara" w:hAnsi="Candara" w:cs="Times New Roman"/>
          <w:szCs w:val="24"/>
        </w:rPr>
        <w:t>przeciwciał</w:t>
      </w:r>
      <w:r w:rsidRPr="0028199D">
        <w:rPr>
          <w:rFonts w:ascii="Candara" w:hAnsi="Candara" w:cs="Times New Roman"/>
          <w:szCs w:val="24"/>
        </w:rPr>
        <w:t xml:space="preserve"> przeciw SARS-CoV-2, a d</w:t>
      </w:r>
      <w:r w:rsidR="00071C9E" w:rsidRPr="0028199D">
        <w:rPr>
          <w:rFonts w:ascii="Candara" w:hAnsi="Candara" w:cs="Times New Roman"/>
          <w:szCs w:val="24"/>
        </w:rPr>
        <w:t xml:space="preserve">odatni wynik </w:t>
      </w:r>
      <w:r w:rsidR="005A7973" w:rsidRPr="0028199D">
        <w:rPr>
          <w:rFonts w:ascii="Candara" w:hAnsi="Candara" w:cs="Times New Roman"/>
          <w:szCs w:val="24"/>
        </w:rPr>
        <w:t xml:space="preserve">takiego badania </w:t>
      </w:r>
      <w:r w:rsidR="00071C9E" w:rsidRPr="0028199D">
        <w:rPr>
          <w:rFonts w:ascii="Candara" w:hAnsi="Candara" w:cs="Times New Roman"/>
          <w:szCs w:val="24"/>
        </w:rPr>
        <w:t xml:space="preserve">nie stanowi przeciwwskazania do szczepień przeciw COVID-19.  Wynika to stąd, że dotychczas nie udało się określić ochronnego poziomu przeciwciał oznaczanych w komercyjnie dostępnych testach. </w:t>
      </w:r>
    </w:p>
    <w:p w14:paraId="04B0393B" w14:textId="52710A89" w:rsidR="009A4494" w:rsidRPr="0028199D" w:rsidRDefault="009A4494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hAnsi="Candara" w:cs="Calibri"/>
          <w:szCs w:val="24"/>
        </w:rPr>
        <w:t>Nie zaleca się przeprowadzania badań genetycznych, testów antygenowych ani serologicznych w celu diagnostyki SARS</w:t>
      </w:r>
      <w:r w:rsidR="0099393F" w:rsidRPr="0028199D">
        <w:rPr>
          <w:rFonts w:ascii="Candara" w:hAnsi="Candara" w:cs="Calibri"/>
          <w:szCs w:val="24"/>
        </w:rPr>
        <w:t xml:space="preserve">- </w:t>
      </w:r>
      <w:r w:rsidRPr="0028199D">
        <w:rPr>
          <w:rFonts w:ascii="Candara" w:hAnsi="Candara" w:cs="Calibri"/>
          <w:szCs w:val="24"/>
        </w:rPr>
        <w:t xml:space="preserve">CoV-2 lub dowodu przebycia zakażenia w przeszłości. </w:t>
      </w:r>
    </w:p>
    <w:p w14:paraId="5BC3F96B" w14:textId="6911AA4E" w:rsidR="009A4494" w:rsidRPr="0028199D" w:rsidRDefault="009A4494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hAnsi="Candara" w:cs="Calibri"/>
          <w:szCs w:val="24"/>
        </w:rPr>
        <w:t xml:space="preserve">Szczepienie może być zrealizowane bez względu na historię wcześniejszego objawowego lub bezobjawowego zakażenia SARS-CoV-2. Dane z badań klinicznych </w:t>
      </w:r>
      <w:r w:rsidRPr="0028199D">
        <w:rPr>
          <w:rFonts w:ascii="Candara" w:hAnsi="Candara" w:cs="Calibri"/>
          <w:szCs w:val="24"/>
        </w:rPr>
        <w:lastRenderedPageBreak/>
        <w:t xml:space="preserve">fazy 2/3 szczepionki mRNA firm </w:t>
      </w:r>
      <w:proofErr w:type="spellStart"/>
      <w:r w:rsidRPr="0028199D">
        <w:rPr>
          <w:rFonts w:ascii="Candara" w:hAnsi="Candara" w:cs="Calibri"/>
          <w:szCs w:val="24"/>
        </w:rPr>
        <w:t>Pfizer</w:t>
      </w:r>
      <w:proofErr w:type="spellEnd"/>
      <w:r w:rsidRPr="0028199D">
        <w:rPr>
          <w:rFonts w:ascii="Candara" w:hAnsi="Candara" w:cs="Calibri"/>
          <w:szCs w:val="24"/>
        </w:rPr>
        <w:t xml:space="preserve"> i </w:t>
      </w:r>
      <w:proofErr w:type="spellStart"/>
      <w:r w:rsidRPr="0028199D">
        <w:rPr>
          <w:rFonts w:ascii="Candara" w:hAnsi="Candara" w:cs="Calibri"/>
          <w:szCs w:val="24"/>
        </w:rPr>
        <w:t>BioNTech</w:t>
      </w:r>
      <w:proofErr w:type="spellEnd"/>
      <w:r w:rsidRPr="0028199D">
        <w:rPr>
          <w:rFonts w:ascii="Candara" w:hAnsi="Candara" w:cs="Calibri"/>
          <w:szCs w:val="24"/>
        </w:rPr>
        <w:t xml:space="preserve"> pokazują, że szczepienie jest bezpieczne i skuteczne w tych grupach osób.</w:t>
      </w:r>
    </w:p>
    <w:p w14:paraId="7AE8344C" w14:textId="29EDC02F" w:rsidR="003F7D1A" w:rsidRPr="0028199D" w:rsidRDefault="009A4494" w:rsidP="00D810E4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Candara" w:hAnsi="Candara"/>
          <w:szCs w:val="24"/>
        </w:rPr>
      </w:pPr>
      <w:r w:rsidRPr="0028199D">
        <w:rPr>
          <w:rFonts w:ascii="Candara" w:hAnsi="Candara"/>
          <w:szCs w:val="24"/>
        </w:rPr>
        <w:t xml:space="preserve">Nie ma konieczności zachowania wymaganych minimalnych odstępów pomiędzy infekcją COVID-19 a szczepieniem. </w:t>
      </w:r>
      <w:r w:rsidR="00650D59" w:rsidRPr="0028199D">
        <w:rPr>
          <w:rFonts w:ascii="Candara" w:hAnsi="Candara"/>
          <w:szCs w:val="24"/>
        </w:rPr>
        <w:t xml:space="preserve"> </w:t>
      </w:r>
      <w:r w:rsidR="00ED36E1" w:rsidRPr="0028199D">
        <w:rPr>
          <w:rFonts w:ascii="Candara" w:hAnsi="Candara"/>
          <w:szCs w:val="24"/>
        </w:rPr>
        <w:t xml:space="preserve">Decyzję podejmuje lekarz w zależności od stanu klinicznego osoby szczepionej, ciężkości przebiegu COVID-19.  </w:t>
      </w:r>
    </w:p>
    <w:p w14:paraId="3BB3011F" w14:textId="77777777" w:rsidR="00AC6FDF" w:rsidRPr="0028199D" w:rsidRDefault="00AC6FDF" w:rsidP="00EB752B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</w:p>
    <w:p w14:paraId="32C6BF09" w14:textId="4658D479" w:rsidR="00757D3C" w:rsidRPr="0028199D" w:rsidRDefault="00757D3C" w:rsidP="00757D3C">
      <w:pPr>
        <w:pStyle w:val="Default"/>
        <w:jc w:val="both"/>
        <w:rPr>
          <w:rFonts w:ascii="Candara" w:hAnsi="Candara"/>
          <w:color w:val="auto"/>
          <w:u w:val="single"/>
        </w:rPr>
      </w:pPr>
      <w:r w:rsidRPr="0028199D">
        <w:rPr>
          <w:rFonts w:ascii="Candara" w:hAnsi="Candara"/>
          <w:color w:val="auto"/>
          <w:u w:val="single"/>
        </w:rPr>
        <w:t xml:space="preserve">Szczepienia przeciw COVID-19 a szczepienia kobiet karmiących piersią </w:t>
      </w:r>
    </w:p>
    <w:p w14:paraId="25ADB92E" w14:textId="34ED0EFB" w:rsidR="002314EC" w:rsidRPr="0028199D" w:rsidRDefault="00757D3C" w:rsidP="00757D3C">
      <w:pPr>
        <w:pStyle w:val="Default"/>
        <w:numPr>
          <w:ilvl w:val="0"/>
          <w:numId w:val="3"/>
        </w:numPr>
        <w:jc w:val="both"/>
        <w:rPr>
          <w:rFonts w:ascii="Candara" w:hAnsi="Candara"/>
        </w:rPr>
      </w:pPr>
      <w:r w:rsidRPr="0028199D">
        <w:rPr>
          <w:rFonts w:ascii="Candara" w:hAnsi="Candara"/>
          <w:noProof/>
        </w:rPr>
        <w:t>Zespół podkreśła, że w żadnym z badań klinicznych nie uczesniczyły kobiety karmiące piersi</w:t>
      </w:r>
      <w:r w:rsidR="00D77AD1" w:rsidRPr="0028199D">
        <w:rPr>
          <w:rFonts w:ascii="Candara" w:hAnsi="Candara"/>
          <w:noProof/>
        </w:rPr>
        <w:t xml:space="preserve">ą. </w:t>
      </w:r>
      <w:r w:rsidR="002314EC" w:rsidRPr="0028199D">
        <w:rPr>
          <w:rFonts w:ascii="Candara" w:hAnsi="Candara"/>
          <w:noProof/>
        </w:rPr>
        <w:t xml:space="preserve">Taka sytuacja dotyczy </w:t>
      </w:r>
      <w:r w:rsidRPr="0028199D">
        <w:rPr>
          <w:rFonts w:ascii="Candara" w:hAnsi="Candara"/>
          <w:noProof/>
        </w:rPr>
        <w:t xml:space="preserve">większości </w:t>
      </w:r>
      <w:r w:rsidR="002314EC" w:rsidRPr="0028199D">
        <w:rPr>
          <w:rFonts w:ascii="Candara" w:hAnsi="Candara"/>
          <w:noProof/>
        </w:rPr>
        <w:t>op</w:t>
      </w:r>
      <w:r w:rsidR="00B51A4D" w:rsidRPr="0028199D">
        <w:rPr>
          <w:rFonts w:ascii="Candara" w:hAnsi="Candara"/>
          <w:noProof/>
        </w:rPr>
        <w:t xml:space="preserve">racowywanych </w:t>
      </w:r>
      <w:r w:rsidR="002314EC" w:rsidRPr="0028199D">
        <w:rPr>
          <w:rFonts w:ascii="Candara" w:hAnsi="Candara"/>
          <w:noProof/>
        </w:rPr>
        <w:t>i wprowadzanych na rynek szczepionek</w:t>
      </w:r>
      <w:r w:rsidR="00D77AD1" w:rsidRPr="0028199D">
        <w:rPr>
          <w:rFonts w:ascii="Candara" w:hAnsi="Candara"/>
          <w:noProof/>
        </w:rPr>
        <w:t xml:space="preserve">, </w:t>
      </w:r>
      <w:r w:rsidR="00D77AD1" w:rsidRPr="0028199D">
        <w:rPr>
          <w:rFonts w:ascii="Candara" w:hAnsi="Candara"/>
          <w:noProof/>
        </w:rPr>
        <w:t>nie tylko szczepionek przeciw COVID-19</w:t>
      </w:r>
      <w:r w:rsidR="002314EC" w:rsidRPr="0028199D">
        <w:rPr>
          <w:rFonts w:ascii="Candara" w:hAnsi="Candara"/>
          <w:noProof/>
        </w:rPr>
        <w:t xml:space="preserve">. </w:t>
      </w:r>
      <w:r w:rsidRPr="0028199D">
        <w:rPr>
          <w:rFonts w:ascii="Candara" w:hAnsi="Candara"/>
          <w:noProof/>
        </w:rPr>
        <w:t>Biorąc pod uwagę mechanizm działania szczepionek mRNA</w:t>
      </w:r>
      <w:r w:rsidR="002314EC" w:rsidRPr="0028199D">
        <w:rPr>
          <w:rFonts w:ascii="Candara" w:hAnsi="Candara"/>
          <w:noProof/>
        </w:rPr>
        <w:t xml:space="preserve"> przeciw</w:t>
      </w:r>
      <w:r w:rsidRPr="0028199D">
        <w:rPr>
          <w:rFonts w:ascii="Candara" w:hAnsi="Candara"/>
          <w:noProof/>
        </w:rPr>
        <w:t xml:space="preserve"> COVID</w:t>
      </w:r>
      <w:r w:rsidR="002314EC" w:rsidRPr="0028199D">
        <w:rPr>
          <w:rFonts w:ascii="Candara" w:hAnsi="Candara"/>
          <w:noProof/>
        </w:rPr>
        <w:t>-19</w:t>
      </w:r>
      <w:r w:rsidRPr="0028199D">
        <w:rPr>
          <w:rFonts w:ascii="Candara" w:hAnsi="Candara"/>
          <w:noProof/>
        </w:rPr>
        <w:t>, ryzyko niepożądanych zdarzeń u dziecka karmionego piersią przez zaszczepioną matkę jest czysto teoretyczne,</w:t>
      </w:r>
      <w:r w:rsidR="002314EC" w:rsidRPr="0028199D">
        <w:rPr>
          <w:rFonts w:ascii="Candara" w:hAnsi="Candara"/>
          <w:noProof/>
        </w:rPr>
        <w:t xml:space="preserve"> podobnie jak ma to miejsce w przypadku innych szczepionek </w:t>
      </w:r>
      <w:r w:rsidRPr="0028199D">
        <w:rPr>
          <w:rFonts w:ascii="Candara" w:hAnsi="Candara"/>
          <w:noProof/>
        </w:rPr>
        <w:t>niezawie</w:t>
      </w:r>
      <w:r w:rsidR="002314EC" w:rsidRPr="0028199D">
        <w:rPr>
          <w:rFonts w:ascii="Candara" w:hAnsi="Candara"/>
          <w:noProof/>
        </w:rPr>
        <w:t>ra</w:t>
      </w:r>
      <w:r w:rsidRPr="0028199D">
        <w:rPr>
          <w:rFonts w:ascii="Candara" w:hAnsi="Candara"/>
          <w:noProof/>
        </w:rPr>
        <w:t xml:space="preserve">jących wirusów zdolnych do replikacji. </w:t>
      </w:r>
      <w:r w:rsidR="002314EC" w:rsidRPr="0028199D">
        <w:rPr>
          <w:rFonts w:ascii="Candara" w:hAnsi="Candara"/>
          <w:noProof/>
        </w:rPr>
        <w:t>Brytyjski u</w:t>
      </w:r>
      <w:r w:rsidR="00B51A4D" w:rsidRPr="0028199D">
        <w:rPr>
          <w:rFonts w:ascii="Candara" w:hAnsi="Candara"/>
          <w:noProof/>
        </w:rPr>
        <w:t xml:space="preserve">rząd </w:t>
      </w:r>
      <w:r w:rsidR="002314EC" w:rsidRPr="0028199D">
        <w:rPr>
          <w:rFonts w:ascii="Candara" w:hAnsi="Candara"/>
          <w:noProof/>
        </w:rPr>
        <w:t xml:space="preserve">rejestrujący </w:t>
      </w:r>
      <w:proofErr w:type="spellStart"/>
      <w:r w:rsidR="00B51A4D" w:rsidRPr="0028199D">
        <w:rPr>
          <w:rFonts w:ascii="Candara" w:hAnsi="Candara" w:cs="Arial"/>
          <w:color w:val="333333"/>
          <w:shd w:val="clear" w:color="auto" w:fill="FFFFFF"/>
        </w:rPr>
        <w:t>Medicines</w:t>
      </w:r>
      <w:proofErr w:type="spellEnd"/>
      <w:r w:rsidR="00B51A4D" w:rsidRPr="0028199D">
        <w:rPr>
          <w:rFonts w:ascii="Candara" w:hAnsi="Candara" w:cs="Arial"/>
          <w:color w:val="333333"/>
          <w:shd w:val="clear" w:color="auto" w:fill="FFFFFF"/>
        </w:rPr>
        <w:t xml:space="preserve"> and Healthcare Products Regulatory </w:t>
      </w:r>
      <w:proofErr w:type="spellStart"/>
      <w:r w:rsidR="00B51A4D" w:rsidRPr="0028199D">
        <w:rPr>
          <w:rFonts w:ascii="Candara" w:hAnsi="Candara" w:cs="Arial"/>
          <w:color w:val="333333"/>
          <w:shd w:val="clear" w:color="auto" w:fill="FFFFFF"/>
        </w:rPr>
        <w:t>Agency</w:t>
      </w:r>
      <w:proofErr w:type="spellEnd"/>
      <w:r w:rsidR="00B51A4D" w:rsidRPr="0028199D">
        <w:rPr>
          <w:rFonts w:ascii="Candara" w:hAnsi="Candara" w:cs="Arial"/>
          <w:color w:val="333333"/>
          <w:shd w:val="clear" w:color="auto" w:fill="FFFFFF"/>
        </w:rPr>
        <w:t xml:space="preserve"> (MHRA) </w:t>
      </w:r>
      <w:r w:rsidR="002314EC" w:rsidRPr="0028199D">
        <w:rPr>
          <w:rFonts w:ascii="Candara" w:hAnsi="Candara"/>
          <w:noProof/>
        </w:rPr>
        <w:t xml:space="preserve">oraz Komitet ds. </w:t>
      </w:r>
      <w:r w:rsidR="00B51A4D" w:rsidRPr="0028199D">
        <w:rPr>
          <w:rFonts w:ascii="Candara" w:hAnsi="Candara"/>
          <w:noProof/>
        </w:rPr>
        <w:t>S</w:t>
      </w:r>
      <w:r w:rsidR="002314EC" w:rsidRPr="0028199D">
        <w:rPr>
          <w:rFonts w:ascii="Candara" w:hAnsi="Candara"/>
          <w:noProof/>
        </w:rPr>
        <w:t>zczep</w:t>
      </w:r>
      <w:r w:rsidR="00B51A4D" w:rsidRPr="0028199D">
        <w:rPr>
          <w:rFonts w:ascii="Candara" w:hAnsi="Candara"/>
          <w:noProof/>
        </w:rPr>
        <w:t xml:space="preserve">ień </w:t>
      </w:r>
      <w:r w:rsidR="00B51A4D" w:rsidRPr="0028199D">
        <w:rPr>
          <w:rFonts w:ascii="Candara" w:hAnsi="Candara" w:cs="Times New Roman"/>
        </w:rPr>
        <w:t>ICVI</w:t>
      </w:r>
      <w:r w:rsidR="00B51A4D" w:rsidRPr="0028199D">
        <w:rPr>
          <w:rFonts w:ascii="Candara" w:hAnsi="Candara"/>
          <w:noProof/>
        </w:rPr>
        <w:t xml:space="preserve"> </w:t>
      </w:r>
      <w:r w:rsidR="002314EC" w:rsidRPr="0028199D">
        <w:rPr>
          <w:rFonts w:ascii="Candara" w:hAnsi="Candara"/>
          <w:noProof/>
        </w:rPr>
        <w:t>nie zalecają szczepienia w t</w:t>
      </w:r>
      <w:r w:rsidR="00B51A4D" w:rsidRPr="0028199D">
        <w:rPr>
          <w:rFonts w:ascii="Candara" w:hAnsi="Candara"/>
          <w:noProof/>
        </w:rPr>
        <w:t xml:space="preserve">ej grupie. </w:t>
      </w:r>
      <w:r w:rsidR="002314EC" w:rsidRPr="0028199D">
        <w:rPr>
          <w:rFonts w:ascii="Candara" w:hAnsi="Candara"/>
          <w:noProof/>
        </w:rPr>
        <w:t xml:space="preserve">Jednak amerykański </w:t>
      </w:r>
      <w:r w:rsidR="00B51A4D" w:rsidRPr="0028199D">
        <w:rPr>
          <w:rFonts w:ascii="Candara" w:hAnsi="Candara"/>
          <w:noProof/>
        </w:rPr>
        <w:t>u</w:t>
      </w:r>
      <w:r w:rsidR="002314EC" w:rsidRPr="0028199D">
        <w:rPr>
          <w:rFonts w:ascii="Candara" w:hAnsi="Candara"/>
          <w:noProof/>
        </w:rPr>
        <w:t xml:space="preserve">rząd regulacyjny FDA oraz komitet ACIP podkreślają znaczenie </w:t>
      </w:r>
      <w:r w:rsidR="00B51A4D" w:rsidRPr="0028199D">
        <w:rPr>
          <w:rFonts w:ascii="Candara" w:hAnsi="Candara"/>
          <w:noProof/>
        </w:rPr>
        <w:t xml:space="preserve">poprzez szczepienie </w:t>
      </w:r>
      <w:r w:rsidR="002314EC" w:rsidRPr="0028199D">
        <w:rPr>
          <w:rFonts w:ascii="Candara" w:hAnsi="Candara"/>
          <w:noProof/>
        </w:rPr>
        <w:t xml:space="preserve">ochrony kobiet karmiących piersią, </w:t>
      </w:r>
      <w:r w:rsidR="00B51A4D" w:rsidRPr="0028199D">
        <w:rPr>
          <w:rFonts w:ascii="Candara" w:hAnsi="Candara"/>
          <w:noProof/>
        </w:rPr>
        <w:t xml:space="preserve">będących pracownikami ochrony zdrowia ze szczególnym narażeniem </w:t>
      </w:r>
      <w:r w:rsidR="002314EC" w:rsidRPr="0028199D">
        <w:rPr>
          <w:rFonts w:ascii="Candara" w:hAnsi="Candara"/>
          <w:noProof/>
        </w:rPr>
        <w:t>na zakażenie SARS-CoV-2</w:t>
      </w:r>
      <w:r w:rsidR="00B51A4D" w:rsidRPr="0028199D">
        <w:rPr>
          <w:rFonts w:ascii="Candara" w:hAnsi="Candara"/>
          <w:noProof/>
        </w:rPr>
        <w:t xml:space="preserve">. Grona te </w:t>
      </w:r>
      <w:r w:rsidR="002314EC" w:rsidRPr="0028199D">
        <w:rPr>
          <w:rFonts w:ascii="Candara" w:hAnsi="Candara"/>
          <w:noProof/>
        </w:rPr>
        <w:t>zostawiają decyzj</w:t>
      </w:r>
      <w:r w:rsidR="00B51A4D" w:rsidRPr="0028199D">
        <w:rPr>
          <w:rFonts w:ascii="Candara" w:hAnsi="Candara"/>
          <w:noProof/>
        </w:rPr>
        <w:t>ę</w:t>
      </w:r>
      <w:r w:rsidR="002314EC" w:rsidRPr="0028199D">
        <w:rPr>
          <w:rFonts w:ascii="Candara" w:hAnsi="Candara"/>
          <w:noProof/>
        </w:rPr>
        <w:t xml:space="preserve"> o podaniu szczepionki mRNA kobiecie, po przedstawieniu jej informacji o szczepionce i braku jak na razie empirycznych danych nt. bezpieczeństwa tych preparatów podczas karmienia piersią.</w:t>
      </w:r>
      <w:r w:rsidR="00B51A4D" w:rsidRPr="0028199D">
        <w:rPr>
          <w:rFonts w:ascii="Candara" w:hAnsi="Candara"/>
          <w:noProof/>
        </w:rPr>
        <w:t xml:space="preserve"> Podkreśla, że decyzja o szczepieniu przeciw COVID-19 w tej grupie powinna być oparta na ocenie korzyści i ry</w:t>
      </w:r>
      <w:r w:rsidR="00395B7E" w:rsidRPr="0028199D">
        <w:rPr>
          <w:rFonts w:ascii="Candara" w:hAnsi="Candara"/>
          <w:noProof/>
        </w:rPr>
        <w:t xml:space="preserve">zyka. </w:t>
      </w:r>
      <w:r w:rsidR="00B51A4D" w:rsidRPr="0028199D">
        <w:rPr>
          <w:rFonts w:ascii="Candara" w:hAnsi="Candara"/>
          <w:noProof/>
        </w:rPr>
        <w:t xml:space="preserve">  </w:t>
      </w:r>
    </w:p>
    <w:p w14:paraId="0F6371D9" w14:textId="77777777" w:rsidR="00757D3C" w:rsidRPr="0028199D" w:rsidRDefault="00757D3C" w:rsidP="00387C6B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</w:p>
    <w:p w14:paraId="284C42D3" w14:textId="41CDCDF8" w:rsidR="009068ED" w:rsidRPr="0028199D" w:rsidRDefault="009068ED" w:rsidP="00387C6B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Przeciwwskazania </w:t>
      </w:r>
      <w:r w:rsidR="00CF6095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trwałe do </w:t>
      </w: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podania szczepionki mRNA firm </w:t>
      </w:r>
      <w:proofErr w:type="spellStart"/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>Pfizer</w:t>
      </w:r>
      <w:proofErr w:type="spellEnd"/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 i </w:t>
      </w:r>
      <w:proofErr w:type="spellStart"/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>BioNTech</w:t>
      </w:r>
      <w:proofErr w:type="spellEnd"/>
    </w:p>
    <w:p w14:paraId="6DD0C425" w14:textId="036C0450" w:rsidR="00D9563A" w:rsidRPr="0028199D" w:rsidRDefault="009068ED" w:rsidP="00387C6B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 </w:t>
      </w:r>
    </w:p>
    <w:p w14:paraId="4197C8EC" w14:textId="06B3C666" w:rsidR="00FB4D38" w:rsidRPr="0028199D" w:rsidRDefault="00D26984" w:rsidP="00387C6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eastAsia="Times New Roman" w:hAnsi="Candara" w:cs="Times New Roman"/>
          <w:szCs w:val="24"/>
          <w:lang w:eastAsia="en-GB"/>
        </w:rPr>
        <w:t>W</w:t>
      </w:r>
      <w:r w:rsidR="002F412B" w:rsidRPr="0028199D">
        <w:rPr>
          <w:rFonts w:ascii="Candara" w:eastAsia="Times New Roman" w:hAnsi="Candara" w:cs="Times New Roman"/>
          <w:szCs w:val="24"/>
          <w:lang w:eastAsia="en-GB"/>
        </w:rPr>
        <w:t xml:space="preserve">ystąpienie w przeszłości </w:t>
      </w:r>
      <w:r w:rsidR="00FB4D38" w:rsidRPr="0028199D">
        <w:rPr>
          <w:rFonts w:ascii="Candara" w:eastAsia="Times New Roman" w:hAnsi="Candara" w:cs="Times New Roman"/>
          <w:szCs w:val="24"/>
          <w:lang w:eastAsia="en-GB"/>
        </w:rPr>
        <w:t>ciężk</w:t>
      </w:r>
      <w:r w:rsidR="002F412B" w:rsidRPr="0028199D">
        <w:rPr>
          <w:rFonts w:ascii="Candara" w:eastAsia="Times New Roman" w:hAnsi="Candara" w:cs="Times New Roman"/>
          <w:szCs w:val="24"/>
          <w:lang w:eastAsia="en-GB"/>
        </w:rPr>
        <w:t xml:space="preserve">iej, </w:t>
      </w:r>
      <w:r w:rsidR="00FB4D38" w:rsidRPr="0028199D">
        <w:rPr>
          <w:rFonts w:ascii="Candara" w:eastAsia="Times New Roman" w:hAnsi="Candara" w:cs="Times New Roman"/>
          <w:szCs w:val="24"/>
          <w:lang w:eastAsia="en-GB"/>
        </w:rPr>
        <w:t>uogólnion</w:t>
      </w:r>
      <w:r w:rsidR="002F412B" w:rsidRPr="0028199D">
        <w:rPr>
          <w:rFonts w:ascii="Candara" w:eastAsia="Times New Roman" w:hAnsi="Candara" w:cs="Times New Roman"/>
          <w:szCs w:val="24"/>
          <w:lang w:eastAsia="en-GB"/>
        </w:rPr>
        <w:t xml:space="preserve">ej </w:t>
      </w:r>
      <w:r w:rsidR="00FB4D38" w:rsidRPr="0028199D">
        <w:rPr>
          <w:rFonts w:ascii="Candara" w:eastAsia="Times New Roman" w:hAnsi="Candara" w:cs="Times New Roman"/>
          <w:szCs w:val="24"/>
          <w:lang w:eastAsia="en-GB"/>
        </w:rPr>
        <w:t>reakcj</w:t>
      </w:r>
      <w:r w:rsidR="002F412B" w:rsidRPr="0028199D">
        <w:rPr>
          <w:rFonts w:ascii="Candara" w:eastAsia="Times New Roman" w:hAnsi="Candara" w:cs="Times New Roman"/>
          <w:szCs w:val="24"/>
          <w:lang w:eastAsia="en-GB"/>
        </w:rPr>
        <w:t>i</w:t>
      </w:r>
      <w:r w:rsidR="00FB4D38" w:rsidRPr="0028199D">
        <w:rPr>
          <w:rFonts w:ascii="Candara" w:eastAsia="Times New Roman" w:hAnsi="Candara" w:cs="Times New Roman"/>
          <w:szCs w:val="24"/>
          <w:lang w:eastAsia="en-GB"/>
        </w:rPr>
        <w:t xml:space="preserve"> anafilaktyczn</w:t>
      </w:r>
      <w:r w:rsidR="002F412B" w:rsidRPr="0028199D">
        <w:rPr>
          <w:rFonts w:ascii="Candara" w:eastAsia="Times New Roman" w:hAnsi="Candara" w:cs="Times New Roman"/>
          <w:szCs w:val="24"/>
          <w:lang w:eastAsia="en-GB"/>
        </w:rPr>
        <w:t>ej</w:t>
      </w:r>
      <w:r w:rsidR="00FB4D38" w:rsidRPr="0028199D">
        <w:rPr>
          <w:rFonts w:ascii="Candara" w:eastAsia="Times New Roman" w:hAnsi="Candara" w:cs="Times New Roman"/>
          <w:szCs w:val="24"/>
          <w:lang w:eastAsia="en-GB"/>
        </w:rPr>
        <w:t xml:space="preserve"> po podaniu jakiejkolwiek szczepionki, jakiegokolwiek leku lub pokarmu</w:t>
      </w:r>
      <w:r w:rsidR="00D9563A" w:rsidRPr="0028199D">
        <w:rPr>
          <w:rFonts w:ascii="Candara" w:eastAsia="Times New Roman" w:hAnsi="Candara" w:cs="Times New Roman"/>
          <w:szCs w:val="24"/>
          <w:lang w:eastAsia="en-GB"/>
        </w:rPr>
        <w:t>,</w:t>
      </w:r>
    </w:p>
    <w:p w14:paraId="2E8FBB21" w14:textId="55AE1704" w:rsidR="00D9563A" w:rsidRPr="0028199D" w:rsidRDefault="00D26984" w:rsidP="00387C6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hAnsi="Candara"/>
          <w:szCs w:val="24"/>
          <w:shd w:val="clear" w:color="auto" w:fill="FFFFFF"/>
        </w:rPr>
        <w:t>R</w:t>
      </w:r>
      <w:r w:rsidR="00EB5D9D" w:rsidRPr="0028199D">
        <w:rPr>
          <w:rFonts w:ascii="Candara" w:hAnsi="Candara"/>
          <w:szCs w:val="24"/>
          <w:shd w:val="clear" w:color="auto" w:fill="FFFFFF"/>
        </w:rPr>
        <w:t>eakcja uczuleniowa po podaniu poprzedniej dawki szczepionki lub na jakikolwiek jej składnik (</w:t>
      </w:r>
      <w:r w:rsidR="00EB5D9D" w:rsidRPr="0028199D">
        <w:rPr>
          <w:rFonts w:ascii="Candara" w:hAnsi="Candara"/>
          <w:i/>
          <w:iCs/>
          <w:szCs w:val="24"/>
          <w:shd w:val="clear" w:color="auto" w:fill="FFFFFF"/>
        </w:rPr>
        <w:t xml:space="preserve">np. glikol polietylenowy). </w:t>
      </w:r>
    </w:p>
    <w:p w14:paraId="632A1DCC" w14:textId="77777777" w:rsidR="0099393F" w:rsidRPr="0028199D" w:rsidRDefault="0099393F" w:rsidP="00387C6B">
      <w:pPr>
        <w:shd w:val="clear" w:color="auto" w:fill="FFFFFF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</w:p>
    <w:p w14:paraId="200C88B2" w14:textId="0A5111F2" w:rsidR="00CF6095" w:rsidRPr="0028199D" w:rsidRDefault="00CF6095" w:rsidP="00387C6B">
      <w:pPr>
        <w:shd w:val="clear" w:color="auto" w:fill="FFFFFF"/>
        <w:jc w:val="both"/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</w:pPr>
      <w:r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>Przeciwwskazania czasowe</w:t>
      </w:r>
      <w:r w:rsidR="0099393F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 do podania szczepionki mRNA firm </w:t>
      </w:r>
      <w:proofErr w:type="spellStart"/>
      <w:r w:rsidR="0099393F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>Pfizer</w:t>
      </w:r>
      <w:proofErr w:type="spellEnd"/>
      <w:r w:rsidR="0099393F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 xml:space="preserve"> i </w:t>
      </w:r>
      <w:proofErr w:type="spellStart"/>
      <w:r w:rsidR="0099393F" w:rsidRPr="0028199D">
        <w:rPr>
          <w:rFonts w:ascii="Candara" w:eastAsia="Times New Roman" w:hAnsi="Candara" w:cs="Times New Roman"/>
          <w:sz w:val="24"/>
          <w:szCs w:val="24"/>
          <w:u w:val="single"/>
          <w:lang w:eastAsia="en-GB"/>
        </w:rPr>
        <w:t>BioNTech</w:t>
      </w:r>
      <w:proofErr w:type="spellEnd"/>
    </w:p>
    <w:p w14:paraId="1ED699F7" w14:textId="33131D9D" w:rsidR="00EB5D9D" w:rsidRPr="0028199D" w:rsidRDefault="00D26984" w:rsidP="00387C6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ndara" w:eastAsia="Times New Roman" w:hAnsi="Candara" w:cs="Times New Roman"/>
          <w:szCs w:val="24"/>
          <w:lang w:eastAsia="en-GB"/>
        </w:rPr>
      </w:pPr>
      <w:r w:rsidRPr="0028199D">
        <w:rPr>
          <w:rFonts w:ascii="Candara" w:hAnsi="Candara"/>
          <w:szCs w:val="24"/>
          <w:shd w:val="clear" w:color="auto" w:fill="FFFFFF"/>
        </w:rPr>
        <w:t>O</w:t>
      </w:r>
      <w:r w:rsidR="00EB5D9D" w:rsidRPr="0028199D">
        <w:rPr>
          <w:rFonts w:ascii="Candara" w:hAnsi="Candara"/>
          <w:szCs w:val="24"/>
          <w:shd w:val="clear" w:color="auto" w:fill="FFFFFF"/>
        </w:rPr>
        <w:t>stra choroba przebiegająca z gorączką lub bez gorączki</w:t>
      </w:r>
      <w:r w:rsidRPr="0028199D">
        <w:rPr>
          <w:rFonts w:ascii="Candara" w:hAnsi="Candara"/>
          <w:szCs w:val="24"/>
          <w:shd w:val="clear" w:color="auto" w:fill="FFFFFF"/>
        </w:rPr>
        <w:t xml:space="preserve"> lub zaostrzenie choroby przewlekłej</w:t>
      </w:r>
      <w:r w:rsidR="00CF6095" w:rsidRPr="0028199D">
        <w:rPr>
          <w:rFonts w:ascii="Candara" w:hAnsi="Candara"/>
          <w:szCs w:val="24"/>
          <w:shd w:val="clear" w:color="auto" w:fill="FFFFFF"/>
        </w:rPr>
        <w:t xml:space="preserve"> do czasu ustąpienia objawów i poprawy stanu zdrowia</w:t>
      </w:r>
      <w:r w:rsidRPr="0028199D">
        <w:rPr>
          <w:rFonts w:ascii="Candara" w:hAnsi="Candara"/>
          <w:szCs w:val="24"/>
          <w:shd w:val="clear" w:color="auto" w:fill="FFFFFF"/>
        </w:rPr>
        <w:t xml:space="preserve">.  </w:t>
      </w:r>
      <w:r w:rsidR="00EB5D9D" w:rsidRPr="0028199D">
        <w:rPr>
          <w:rFonts w:ascii="Candara" w:hAnsi="Candara"/>
          <w:szCs w:val="24"/>
          <w:shd w:val="clear" w:color="auto" w:fill="FFFFFF"/>
        </w:rPr>
        <w:t xml:space="preserve"> </w:t>
      </w:r>
    </w:p>
    <w:bookmarkEnd w:id="0"/>
    <w:p w14:paraId="1C18945F" w14:textId="73E24631" w:rsidR="00116C5F" w:rsidRPr="0028199D" w:rsidRDefault="00116C5F" w:rsidP="00387C6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</w:rPr>
      </w:pPr>
    </w:p>
    <w:p w14:paraId="3E3B4919" w14:textId="5BB2EF25" w:rsidR="00EB752B" w:rsidRPr="0028199D" w:rsidRDefault="00EB752B" w:rsidP="00387C6B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Candara" w:hAnsi="Candara" w:cs="Times New Roman"/>
          <w:sz w:val="24"/>
          <w:szCs w:val="24"/>
          <w:u w:val="single"/>
        </w:rPr>
      </w:pPr>
      <w:r w:rsidRPr="0028199D">
        <w:rPr>
          <w:rFonts w:ascii="Candara" w:hAnsi="Candara" w:cs="Times New Roman"/>
          <w:sz w:val="24"/>
          <w:szCs w:val="24"/>
          <w:u w:val="single"/>
        </w:rPr>
        <w:t xml:space="preserve">Uwaga końcowa: </w:t>
      </w:r>
    </w:p>
    <w:p w14:paraId="7DFE6670" w14:textId="7EF5EC19" w:rsidR="00A673FD" w:rsidRPr="0028199D" w:rsidRDefault="009068ED" w:rsidP="00387C6B">
      <w:pPr>
        <w:shd w:val="clear" w:color="auto" w:fill="FFFFFF"/>
        <w:jc w:val="both"/>
        <w:rPr>
          <w:rFonts w:ascii="Candara" w:eastAsia="Times New Roman" w:hAnsi="Candara" w:cs="Times New Roman"/>
          <w:sz w:val="24"/>
          <w:szCs w:val="24"/>
          <w:lang w:eastAsia="en-GB"/>
        </w:rPr>
      </w:pPr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 xml:space="preserve">Zespół wskazuje, że zaproponowany kwestionariusz </w:t>
      </w:r>
      <w:r w:rsidRPr="0028199D">
        <w:rPr>
          <w:rFonts w:ascii="Candara" w:hAnsi="Candara"/>
          <w:sz w:val="24"/>
          <w:szCs w:val="24"/>
        </w:rPr>
        <w:t xml:space="preserve">kwalifikacyjny do szczepienia przeciwko COVID-19 </w:t>
      </w:r>
      <w:r w:rsidR="00D77AD1" w:rsidRPr="0028199D">
        <w:rPr>
          <w:rFonts w:ascii="Candara" w:hAnsi="Candara"/>
          <w:sz w:val="24"/>
          <w:szCs w:val="24"/>
        </w:rPr>
        <w:t xml:space="preserve">dla </w:t>
      </w:r>
      <w:r w:rsidRPr="0028199D">
        <w:rPr>
          <w:rFonts w:ascii="Candara" w:hAnsi="Candara"/>
          <w:sz w:val="24"/>
          <w:szCs w:val="24"/>
        </w:rPr>
        <w:t xml:space="preserve">osoby dorosłej </w:t>
      </w:r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 xml:space="preserve">został opracowany na podstawie informacji na temat jakości, bezpieczeństwa i skuteczności szczepionki mRNA przeciw COVID-19 (preparat BNT162b2 firm </w:t>
      </w:r>
      <w:proofErr w:type="spellStart"/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>Pfizer</w:t>
      </w:r>
      <w:proofErr w:type="spellEnd"/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 xml:space="preserve"> i </w:t>
      </w:r>
      <w:proofErr w:type="spellStart"/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>BioNTech</w:t>
      </w:r>
      <w:proofErr w:type="spellEnd"/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>)</w:t>
      </w:r>
      <w:r w:rsidR="00A673FD" w:rsidRPr="0028199D">
        <w:rPr>
          <w:rFonts w:ascii="Candara" w:eastAsia="Times New Roman" w:hAnsi="Candara" w:cs="Times New Roman"/>
          <w:sz w:val="24"/>
          <w:szCs w:val="24"/>
          <w:lang w:eastAsia="en-GB"/>
        </w:rPr>
        <w:t xml:space="preserve"> </w:t>
      </w:r>
      <w:r w:rsidR="00A673FD" w:rsidRPr="0028199D">
        <w:rPr>
          <w:rFonts w:ascii="Candara" w:hAnsi="Candara" w:cs="Times New Roman"/>
          <w:sz w:val="24"/>
          <w:szCs w:val="24"/>
        </w:rPr>
        <w:t xml:space="preserve">dopuszczonej do realizacji programu szczepień przeciw COVID-19 w Wielkiej Brytanii, Kanadzie oraz Stanach Zjednoczonych. </w:t>
      </w:r>
      <w:r w:rsidRPr="0028199D">
        <w:rPr>
          <w:rFonts w:ascii="Candara" w:eastAsia="Times New Roman" w:hAnsi="Candara" w:cs="Times New Roman"/>
          <w:sz w:val="24"/>
          <w:szCs w:val="24"/>
          <w:lang w:eastAsia="en-GB"/>
        </w:rPr>
        <w:t xml:space="preserve">Kwestionariusz może podlegać uaktualnieniu </w:t>
      </w:r>
      <w:r w:rsidR="00A673FD" w:rsidRPr="0028199D">
        <w:rPr>
          <w:rFonts w:ascii="Candara" w:hAnsi="Candara" w:cs="Times New Roman"/>
          <w:sz w:val="24"/>
          <w:szCs w:val="24"/>
        </w:rPr>
        <w:t>po decyzji Europejskiej Agencji Leków oraz Komisji Europejskiej oraz udostępnieniu druków informacyjnych</w:t>
      </w:r>
      <w:r w:rsidR="00071C9E" w:rsidRPr="0028199D">
        <w:rPr>
          <w:rFonts w:ascii="Candara" w:hAnsi="Candara" w:cs="Times New Roman"/>
          <w:sz w:val="24"/>
          <w:szCs w:val="24"/>
        </w:rPr>
        <w:t xml:space="preserve"> </w:t>
      </w:r>
      <w:r w:rsidR="00A673FD" w:rsidRPr="0028199D">
        <w:rPr>
          <w:rFonts w:ascii="Candara" w:hAnsi="Candara" w:cs="Times New Roman"/>
          <w:sz w:val="24"/>
          <w:szCs w:val="24"/>
        </w:rPr>
        <w:t xml:space="preserve">szczepionki mRNA przeciw COVID-19 firm </w:t>
      </w:r>
      <w:proofErr w:type="spellStart"/>
      <w:r w:rsidR="00A673FD" w:rsidRPr="0028199D">
        <w:rPr>
          <w:rFonts w:ascii="Candara" w:hAnsi="Candara" w:cs="Times New Roman"/>
          <w:sz w:val="24"/>
          <w:szCs w:val="24"/>
        </w:rPr>
        <w:t>Pfizer</w:t>
      </w:r>
      <w:proofErr w:type="spellEnd"/>
      <w:r w:rsidR="00A673FD" w:rsidRPr="0028199D">
        <w:rPr>
          <w:rFonts w:ascii="Candara" w:hAnsi="Candara" w:cs="Times New Roman"/>
          <w:sz w:val="24"/>
          <w:szCs w:val="24"/>
        </w:rPr>
        <w:t>/</w:t>
      </w:r>
      <w:proofErr w:type="spellStart"/>
      <w:r w:rsidR="00A673FD" w:rsidRPr="0028199D">
        <w:rPr>
          <w:rFonts w:ascii="Candara" w:hAnsi="Candara" w:cs="Times New Roman"/>
          <w:sz w:val="24"/>
          <w:szCs w:val="24"/>
        </w:rPr>
        <w:t>BioNTech</w:t>
      </w:r>
      <w:proofErr w:type="spellEnd"/>
      <w:r w:rsidR="00A673FD" w:rsidRPr="0028199D">
        <w:rPr>
          <w:rFonts w:ascii="Candara" w:hAnsi="Candara" w:cs="Times New Roman"/>
          <w:sz w:val="24"/>
          <w:szCs w:val="24"/>
        </w:rPr>
        <w:t xml:space="preserve"> lub kolejnych preparatów szczepionkowych oraz </w:t>
      </w:r>
      <w:r w:rsidR="00A673FD" w:rsidRPr="0028199D">
        <w:rPr>
          <w:rFonts w:ascii="Candara" w:hAnsi="Candara" w:cs="Times New Roman"/>
          <w:sz w:val="24"/>
          <w:szCs w:val="24"/>
        </w:rPr>
        <w:lastRenderedPageBreak/>
        <w:t xml:space="preserve">zgodnie z napływem nowych </w:t>
      </w:r>
      <w:r w:rsidR="002A12A1" w:rsidRPr="0028199D">
        <w:rPr>
          <w:rFonts w:ascii="Candara" w:hAnsi="Candara" w:cs="Times New Roman"/>
          <w:sz w:val="24"/>
          <w:szCs w:val="24"/>
        </w:rPr>
        <w:t xml:space="preserve">danych </w:t>
      </w:r>
      <w:r w:rsidR="00A673FD" w:rsidRPr="0028199D">
        <w:rPr>
          <w:rFonts w:ascii="Candara" w:hAnsi="Candara" w:cs="Times New Roman"/>
          <w:sz w:val="24"/>
          <w:szCs w:val="24"/>
        </w:rPr>
        <w:t xml:space="preserve">uzyskiwanych </w:t>
      </w:r>
      <w:r w:rsidR="00CF6095" w:rsidRPr="0028199D">
        <w:rPr>
          <w:rFonts w:ascii="Candara" w:hAnsi="Candara" w:cs="Times New Roman"/>
          <w:sz w:val="24"/>
          <w:szCs w:val="24"/>
        </w:rPr>
        <w:t xml:space="preserve">z badań klinicznych oraz </w:t>
      </w:r>
      <w:r w:rsidR="00A673FD" w:rsidRPr="0028199D">
        <w:rPr>
          <w:rFonts w:ascii="Candara" w:hAnsi="Candara" w:cs="Times New Roman"/>
          <w:sz w:val="24"/>
          <w:szCs w:val="24"/>
        </w:rPr>
        <w:t xml:space="preserve">w ramach nadzoru nad bezpieczeństwem szczepień przeciw COVID-19.  </w:t>
      </w:r>
    </w:p>
    <w:p w14:paraId="2792D9E8" w14:textId="6167FFBB" w:rsidR="00071C9E" w:rsidRPr="0028199D" w:rsidRDefault="00071C9E" w:rsidP="00387C6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</w:rPr>
      </w:pPr>
    </w:p>
    <w:p w14:paraId="1DD790EA" w14:textId="041B54DA" w:rsidR="00EB752B" w:rsidRPr="0028199D" w:rsidRDefault="00EB752B" w:rsidP="00EB752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0"/>
          <w:szCs w:val="20"/>
          <w:lang w:val="en-US"/>
        </w:rPr>
      </w:pPr>
      <w:proofErr w:type="spellStart"/>
      <w:r w:rsidRPr="0028199D">
        <w:rPr>
          <w:rFonts w:ascii="Candara" w:hAnsi="Candara" w:cs="Calibri"/>
          <w:sz w:val="20"/>
          <w:szCs w:val="20"/>
          <w:lang w:val="en-US"/>
        </w:rPr>
        <w:t>Piśmiennictwo</w:t>
      </w:r>
      <w:proofErr w:type="spellEnd"/>
      <w:r w:rsidRPr="0028199D">
        <w:rPr>
          <w:rFonts w:ascii="Candara" w:hAnsi="Candara" w:cs="Calibri"/>
          <w:sz w:val="20"/>
          <w:szCs w:val="20"/>
          <w:lang w:val="en-US"/>
        </w:rPr>
        <w:t xml:space="preserve">: </w:t>
      </w:r>
    </w:p>
    <w:p w14:paraId="1BDD4CB5" w14:textId="77777777" w:rsidR="00D810E4" w:rsidRPr="0028199D" w:rsidRDefault="00365562" w:rsidP="00EB752B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Candara" w:hAnsi="Candara" w:cs="Arial"/>
          <w:sz w:val="20"/>
          <w:szCs w:val="20"/>
          <w:lang w:val="en-US"/>
        </w:rPr>
      </w:pPr>
      <w:hyperlink r:id="rId9" w:history="1">
        <w:r w:rsidR="00D810E4" w:rsidRPr="0028199D">
          <w:rPr>
            <w:rStyle w:val="Hipercze"/>
            <w:rFonts w:ascii="Candara" w:hAnsi="Candara" w:cs="Arial"/>
            <w:color w:val="auto"/>
            <w:sz w:val="20"/>
            <w:szCs w:val="20"/>
            <w:u w:val="none"/>
            <w:lang w:val="en-US"/>
          </w:rPr>
          <w:t>COVID-19 vaccination: information for healthcare practitioners</w:t>
        </w:r>
      </w:hyperlink>
      <w:r w:rsidR="00D810E4" w:rsidRPr="0028199D">
        <w:rPr>
          <w:rFonts w:ascii="Candara" w:hAnsi="Candara" w:cs="Arial"/>
          <w:sz w:val="20"/>
          <w:szCs w:val="20"/>
          <w:lang w:val="en-US"/>
        </w:rPr>
        <w:t>. Gov.uk (https://www.gov.uk/government/publications/covid-19-vaccination-programme-guidance-for-healthcare-practitioners)</w:t>
      </w:r>
    </w:p>
    <w:p w14:paraId="13D483FD" w14:textId="2676A7B6" w:rsidR="00D810E4" w:rsidRPr="0028199D" w:rsidRDefault="00D810E4" w:rsidP="00EB75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ndara" w:hAnsi="Candara" w:cs="Calibri"/>
          <w:sz w:val="20"/>
          <w:szCs w:val="20"/>
          <w:lang w:val="en-US"/>
        </w:rPr>
      </w:pPr>
      <w:r w:rsidRPr="0028199D">
        <w:rPr>
          <w:rFonts w:ascii="Candara" w:hAnsi="Candara" w:cs="Calibri"/>
          <w:sz w:val="20"/>
          <w:szCs w:val="20"/>
          <w:lang w:val="en-US"/>
        </w:rPr>
        <w:t>Pfizer-</w:t>
      </w:r>
      <w:proofErr w:type="spellStart"/>
      <w:r w:rsidRPr="0028199D">
        <w:rPr>
          <w:rFonts w:ascii="Candara" w:hAnsi="Candara" w:cs="Calibri"/>
          <w:sz w:val="20"/>
          <w:szCs w:val="20"/>
          <w:lang w:val="en-US"/>
        </w:rPr>
        <w:t>BioNTech</w:t>
      </w:r>
      <w:proofErr w:type="spellEnd"/>
      <w:r w:rsidRPr="0028199D">
        <w:rPr>
          <w:rFonts w:ascii="Candara" w:hAnsi="Candara" w:cs="Calibri"/>
          <w:sz w:val="20"/>
          <w:szCs w:val="20"/>
          <w:lang w:val="en-US"/>
        </w:rPr>
        <w:t xml:space="preserve"> COVID-19 vaccine: </w:t>
      </w:r>
      <w:proofErr w:type="spellStart"/>
      <w:r w:rsidRPr="0028199D">
        <w:rPr>
          <w:rFonts w:ascii="Candara" w:hAnsi="Candara" w:cs="Calibri"/>
          <w:sz w:val="20"/>
          <w:szCs w:val="20"/>
          <w:lang w:val="en-US"/>
        </w:rPr>
        <w:t>Authorisation</w:t>
      </w:r>
      <w:proofErr w:type="spellEnd"/>
      <w:r w:rsidRPr="0028199D">
        <w:rPr>
          <w:rFonts w:ascii="Candara" w:hAnsi="Candara" w:cs="Calibri"/>
          <w:sz w:val="20"/>
          <w:szCs w:val="20"/>
          <w:lang w:val="en-US"/>
        </w:rPr>
        <w:t xml:space="preserve"> information. Government of Canada (</w:t>
      </w:r>
      <w:hyperlink r:id="rId10" w:history="1">
        <w:r w:rsidRPr="0028199D">
          <w:rPr>
            <w:rStyle w:val="Hipercze"/>
            <w:rFonts w:ascii="Candara" w:hAnsi="Candara" w:cs="Calibri"/>
            <w:color w:val="auto"/>
            <w:sz w:val="20"/>
            <w:szCs w:val="20"/>
            <w:lang w:val="en-US"/>
          </w:rPr>
          <w:t>https://www.canada.ca/en/health-canada/services/drugs-health-products/covid19-industry/drugs-vaccines-treatments/vaccines/pfizer-biontech/authorization.html</w:t>
        </w:r>
      </w:hyperlink>
      <w:r w:rsidRPr="0028199D">
        <w:rPr>
          <w:rFonts w:ascii="Candara" w:hAnsi="Candara" w:cs="Calibri"/>
          <w:sz w:val="20"/>
          <w:szCs w:val="20"/>
          <w:lang w:val="en-US"/>
        </w:rPr>
        <w:t>).</w:t>
      </w:r>
    </w:p>
    <w:p w14:paraId="310CBFCC" w14:textId="7C82A31A" w:rsidR="00D810E4" w:rsidRPr="0028199D" w:rsidRDefault="00D810E4" w:rsidP="00EB75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ndara" w:hAnsi="Candara" w:cs="Calibri"/>
          <w:sz w:val="20"/>
          <w:szCs w:val="20"/>
          <w:lang w:val="en-US"/>
        </w:rPr>
      </w:pPr>
      <w:r w:rsidRPr="0028199D">
        <w:rPr>
          <w:rFonts w:ascii="Candara" w:hAnsi="Candara" w:cs="Calibri"/>
          <w:sz w:val="20"/>
          <w:szCs w:val="20"/>
          <w:lang w:val="en-US"/>
        </w:rPr>
        <w:t xml:space="preserve">Polack FP. et al. Safety and efficacy of the BNT162b2 mRNA Covid-19 Vaccine. The New England Journal of Medicine 10 December 2020.  </w:t>
      </w:r>
    </w:p>
    <w:p w14:paraId="5AD83848" w14:textId="77777777" w:rsidR="00D810E4" w:rsidRPr="0028199D" w:rsidRDefault="00365562" w:rsidP="00EB752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ndara" w:hAnsi="Candara" w:cs="Arial"/>
          <w:sz w:val="20"/>
          <w:szCs w:val="20"/>
          <w:lang w:val="en-US"/>
        </w:rPr>
      </w:pPr>
      <w:hyperlink r:id="rId11" w:history="1">
        <w:r w:rsidR="00D810E4" w:rsidRPr="0028199D">
          <w:rPr>
            <w:rStyle w:val="Hipercze"/>
            <w:rFonts w:ascii="Candara" w:hAnsi="Candara" w:cs="Arial"/>
            <w:color w:val="auto"/>
            <w:sz w:val="20"/>
            <w:szCs w:val="20"/>
            <w:u w:val="none"/>
            <w:lang w:val="en-US"/>
          </w:rPr>
          <w:t>UK Green book COVID-19, chapter 14a: Coronavirus (COVID-19) vaccination information for public health professionals</w:t>
        </w:r>
      </w:hyperlink>
      <w:r w:rsidR="00D810E4" w:rsidRPr="0028199D">
        <w:rPr>
          <w:rFonts w:ascii="Candara" w:hAnsi="Candara" w:cs="Arial"/>
          <w:sz w:val="20"/>
          <w:szCs w:val="20"/>
          <w:lang w:val="en-US"/>
        </w:rPr>
        <w:t xml:space="preserve"> (https://www.gov.uk/government/publications/covid-19-the-green-book-chapter-14a)</w:t>
      </w:r>
    </w:p>
    <w:p w14:paraId="33F404EA" w14:textId="77777777" w:rsidR="00D810E4" w:rsidRPr="0028199D" w:rsidRDefault="00D810E4" w:rsidP="00EB75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ndara" w:hAnsi="Candara" w:cs="Calibri"/>
          <w:sz w:val="20"/>
          <w:szCs w:val="20"/>
          <w:lang w:val="en-US"/>
        </w:rPr>
      </w:pPr>
      <w:r w:rsidRPr="0028199D">
        <w:rPr>
          <w:rFonts w:ascii="Candara" w:hAnsi="Candara"/>
          <w:sz w:val="20"/>
          <w:szCs w:val="20"/>
          <w:lang w:val="en-US"/>
        </w:rPr>
        <w:t>Use of Pfizer-</w:t>
      </w:r>
      <w:proofErr w:type="spellStart"/>
      <w:r w:rsidRPr="0028199D">
        <w:rPr>
          <w:rFonts w:ascii="Candara" w:hAnsi="Candara"/>
          <w:sz w:val="20"/>
          <w:szCs w:val="20"/>
          <w:lang w:val="en-US"/>
        </w:rPr>
        <w:t>BioNTech</w:t>
      </w:r>
      <w:proofErr w:type="spellEnd"/>
      <w:r w:rsidRPr="0028199D">
        <w:rPr>
          <w:rFonts w:ascii="Candara" w:hAnsi="Candara"/>
          <w:sz w:val="20"/>
          <w:szCs w:val="20"/>
          <w:lang w:val="en-US"/>
        </w:rPr>
        <w:t xml:space="preserve"> COVID-19 Vaccine: Clinical Considerations. ACIP COVID-19 Vaccines Work Group (</w:t>
      </w:r>
      <w:r w:rsidRPr="0028199D">
        <w:rPr>
          <w:rFonts w:ascii="Candara" w:hAnsi="Candara" w:cs="Calibri"/>
          <w:sz w:val="20"/>
          <w:szCs w:val="20"/>
          <w:lang w:val="en-US"/>
        </w:rPr>
        <w:t>https://www.cdc.gov/vaccines/acip/meetings/downloads/slides-2020-12/slides-12-12/COVID-03-Mbaeyi.pdf)</w:t>
      </w:r>
    </w:p>
    <w:p w14:paraId="336D47EB" w14:textId="1C285D56" w:rsidR="00D810E4" w:rsidRPr="0028199D" w:rsidRDefault="00D810E4" w:rsidP="00EB75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ndara" w:hAnsi="Candara" w:cs="Calibri"/>
          <w:sz w:val="20"/>
          <w:szCs w:val="20"/>
          <w:lang w:val="en-US"/>
        </w:rPr>
      </w:pPr>
      <w:proofErr w:type="spellStart"/>
      <w:r w:rsidRPr="0028199D">
        <w:rPr>
          <w:rFonts w:ascii="Candara" w:hAnsi="Candara" w:cs="Calibri"/>
          <w:sz w:val="20"/>
          <w:szCs w:val="20"/>
          <w:lang w:val="en-US"/>
        </w:rPr>
        <w:t>Valander</w:t>
      </w:r>
      <w:proofErr w:type="spellEnd"/>
      <w:r w:rsidRPr="0028199D">
        <w:rPr>
          <w:rFonts w:ascii="Candara" w:hAnsi="Candara" w:cs="Calibri"/>
          <w:sz w:val="20"/>
          <w:szCs w:val="20"/>
          <w:lang w:val="en-US"/>
        </w:rPr>
        <w:t xml:space="preserve"> A, </w:t>
      </w:r>
      <w:proofErr w:type="spellStart"/>
      <w:r w:rsidRPr="0028199D">
        <w:rPr>
          <w:rFonts w:ascii="Candara" w:hAnsi="Candara" w:cs="Calibri"/>
          <w:sz w:val="20"/>
          <w:szCs w:val="20"/>
          <w:lang w:val="en-US"/>
        </w:rPr>
        <w:t>Hoppenbrouwers</w:t>
      </w:r>
      <w:proofErr w:type="spellEnd"/>
      <w:r w:rsidRPr="0028199D">
        <w:rPr>
          <w:rFonts w:ascii="Candara" w:hAnsi="Candara" w:cs="Calibri"/>
          <w:sz w:val="20"/>
          <w:szCs w:val="20"/>
          <w:lang w:val="en-US"/>
        </w:rPr>
        <w:t xml:space="preserve"> K. Anaphylaxis after vaccination of children: Review of literature and recommendations for vaccination in child and school health services in Belgium. Vaccine, 2014, 32, 3147-54. </w:t>
      </w:r>
    </w:p>
    <w:p w14:paraId="34CA0C31" w14:textId="77777777" w:rsidR="00EB752B" w:rsidRPr="0028199D" w:rsidRDefault="00EB752B" w:rsidP="00EB752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val="en-US"/>
        </w:rPr>
      </w:pPr>
    </w:p>
    <w:p w14:paraId="2A1DEAA6" w14:textId="1DAEB00B" w:rsidR="00387C6B" w:rsidRPr="0028199D" w:rsidRDefault="00387C6B" w:rsidP="00387C6B">
      <w:pPr>
        <w:spacing w:after="0" w:line="360" w:lineRule="auto"/>
        <w:jc w:val="both"/>
        <w:rPr>
          <w:rFonts w:ascii="Candara" w:hAnsi="Candara" w:cstheme="minorHAnsi"/>
        </w:rPr>
      </w:pPr>
      <w:r w:rsidRPr="0028199D">
        <w:rPr>
          <w:rFonts w:ascii="Candara" w:hAnsi="Candara" w:cstheme="minorHAnsi"/>
        </w:rPr>
        <w:t xml:space="preserve">Warszawa, 16.12.2020 r. </w:t>
      </w:r>
    </w:p>
    <w:p w14:paraId="58BFB3E7" w14:textId="209BD0D1" w:rsidR="00387C6B" w:rsidRPr="0028199D" w:rsidRDefault="00387C6B" w:rsidP="00387C6B">
      <w:pPr>
        <w:spacing w:after="0" w:line="360" w:lineRule="auto"/>
        <w:jc w:val="both"/>
        <w:rPr>
          <w:rFonts w:ascii="Candara" w:hAnsi="Candara" w:cstheme="minorHAnsi"/>
          <w:bCs/>
        </w:rPr>
      </w:pPr>
      <w:r w:rsidRPr="0028199D">
        <w:rPr>
          <w:rFonts w:ascii="Candara" w:hAnsi="Candara" w:cstheme="minorHAnsi"/>
        </w:rPr>
        <w:t xml:space="preserve">Przewodnicząca Zespołu ds. Szczepień: </w:t>
      </w:r>
      <w:r w:rsidRPr="0028199D">
        <w:rPr>
          <w:rFonts w:ascii="Candara" w:hAnsi="Candara" w:cstheme="minorHAnsi"/>
          <w:bCs/>
        </w:rPr>
        <w:t>dr hab. Ewa  Augustynowicz:</w:t>
      </w:r>
    </w:p>
    <w:p w14:paraId="2318E99F" w14:textId="77777777" w:rsidR="00EB752B" w:rsidRPr="0028199D" w:rsidRDefault="00EB752B" w:rsidP="00EB752B">
      <w:pPr>
        <w:pStyle w:val="Default"/>
        <w:jc w:val="both"/>
        <w:rPr>
          <w:rFonts w:ascii="Candara" w:hAnsi="Candara"/>
          <w:color w:val="auto"/>
        </w:rPr>
      </w:pPr>
    </w:p>
    <w:sectPr w:rsidR="00EB752B" w:rsidRPr="0028199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F39D" w14:textId="77777777" w:rsidR="00365562" w:rsidRDefault="00365562" w:rsidP="00FB4D38">
      <w:pPr>
        <w:spacing w:after="0" w:line="240" w:lineRule="auto"/>
      </w:pPr>
      <w:r>
        <w:separator/>
      </w:r>
    </w:p>
  </w:endnote>
  <w:endnote w:type="continuationSeparator" w:id="0">
    <w:p w14:paraId="62FFE7F9" w14:textId="77777777" w:rsidR="00365562" w:rsidRDefault="00365562" w:rsidP="00FB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5296922"/>
      <w:docPartObj>
        <w:docPartGallery w:val="Page Numbers (Bottom of Page)"/>
        <w:docPartUnique/>
      </w:docPartObj>
    </w:sdtPr>
    <w:sdtEndPr/>
    <w:sdtContent>
      <w:p w14:paraId="0CAA7BE9" w14:textId="1F89FACD" w:rsidR="00836292" w:rsidRDefault="008362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2E63" w14:textId="77777777" w:rsidR="00836292" w:rsidRDefault="00836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81076" w14:textId="77777777" w:rsidR="00365562" w:rsidRDefault="00365562" w:rsidP="00FB4D38">
      <w:pPr>
        <w:spacing w:after="0" w:line="240" w:lineRule="auto"/>
      </w:pPr>
      <w:r>
        <w:separator/>
      </w:r>
    </w:p>
  </w:footnote>
  <w:footnote w:type="continuationSeparator" w:id="0">
    <w:p w14:paraId="705C9DD7" w14:textId="77777777" w:rsidR="00365562" w:rsidRDefault="00365562" w:rsidP="00FB4D38">
      <w:pPr>
        <w:spacing w:after="0" w:line="240" w:lineRule="auto"/>
      </w:pPr>
      <w:r>
        <w:continuationSeparator/>
      </w:r>
    </w:p>
  </w:footnote>
  <w:footnote w:id="1">
    <w:p w14:paraId="1E7A521D" w14:textId="7B8DB540" w:rsidR="00FB4D38" w:rsidRPr="00ED36E1" w:rsidRDefault="00FB4D38" w:rsidP="00ED36E1">
      <w:pPr>
        <w:spacing w:after="0" w:line="240" w:lineRule="auto"/>
        <w:jc w:val="both"/>
        <w:rPr>
          <w:rFonts w:ascii="Candara" w:hAnsi="Candara" w:cs="Times New Roman"/>
          <w:sz w:val="16"/>
          <w:szCs w:val="16"/>
        </w:rPr>
      </w:pPr>
      <w:r w:rsidRPr="00D0392E">
        <w:rPr>
          <w:rStyle w:val="Odwoanieprzypisudolnego"/>
          <w:sz w:val="18"/>
          <w:szCs w:val="18"/>
        </w:rPr>
        <w:footnoteRef/>
      </w:r>
      <w:r w:rsidRPr="00D0392E">
        <w:rPr>
          <w:sz w:val="18"/>
          <w:szCs w:val="18"/>
        </w:rPr>
        <w:t xml:space="preserve"> </w:t>
      </w:r>
      <w:r w:rsidRPr="00193B86">
        <w:rPr>
          <w:rFonts w:ascii="Candara" w:hAnsi="Candara"/>
          <w:sz w:val="16"/>
          <w:szCs w:val="16"/>
        </w:rPr>
        <w:t xml:space="preserve">Podstawowy skład Zespołu ds. Szczepień rozszerzono o następujące grono ekspertów: </w:t>
      </w:r>
      <w:r w:rsidRPr="00193B86">
        <w:rPr>
          <w:rFonts w:ascii="Candara" w:hAnsi="Candara" w:cs="Times New Roman"/>
          <w:sz w:val="16"/>
          <w:szCs w:val="16"/>
        </w:rPr>
        <w:t xml:space="preserve">dr Ryszard Kępa – Naczelna Rada Lekarska, dr Mariusz Janikowski - Naczelna Rada Lekarska, dr hab. Ernest Kuchar, przewodniczący Polskiego Towarzystwa Wakcynologii,  </w:t>
      </w:r>
      <w:r w:rsidR="00193B86" w:rsidRPr="00193B86">
        <w:rPr>
          <w:rFonts w:ascii="Candara" w:hAnsi="Candara" w:cs="Times New Roman"/>
          <w:sz w:val="16"/>
          <w:szCs w:val="16"/>
        </w:rPr>
        <w:t>prof. dr hab. Jacek Wysocki, wice przewodniczący Polskiego Towarzystwa Wakcynologii, d</w:t>
      </w:r>
      <w:r w:rsidR="002A12A1" w:rsidRPr="00193B86">
        <w:rPr>
          <w:rFonts w:ascii="Candara" w:hAnsi="Candara" w:cs="Times New Roman"/>
          <w:sz w:val="16"/>
          <w:szCs w:val="16"/>
        </w:rPr>
        <w:t>r Jacek Mrukowicz</w:t>
      </w:r>
      <w:r w:rsidR="00193B86" w:rsidRPr="00193B86">
        <w:rPr>
          <w:rFonts w:ascii="Candara" w:hAnsi="Candara" w:cs="Times New Roman"/>
          <w:sz w:val="16"/>
          <w:szCs w:val="16"/>
        </w:rPr>
        <w:t xml:space="preserve">, Instytut </w:t>
      </w:r>
      <w:proofErr w:type="spellStart"/>
      <w:r w:rsidR="00193B86" w:rsidRPr="00193B86">
        <w:rPr>
          <w:rFonts w:ascii="Candara" w:hAnsi="Candara" w:cs="Times New Roman"/>
          <w:sz w:val="16"/>
          <w:szCs w:val="16"/>
        </w:rPr>
        <w:t>Evidence</w:t>
      </w:r>
      <w:proofErr w:type="spellEnd"/>
      <w:r w:rsidR="00193B86" w:rsidRPr="00193B86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193B86" w:rsidRPr="00193B86">
        <w:rPr>
          <w:rFonts w:ascii="Candara" w:hAnsi="Candara" w:cs="Times New Roman"/>
          <w:sz w:val="16"/>
          <w:szCs w:val="16"/>
        </w:rPr>
        <w:t>Based</w:t>
      </w:r>
      <w:proofErr w:type="spellEnd"/>
      <w:r w:rsidR="00193B86" w:rsidRPr="00193B86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193B86" w:rsidRPr="00193B86">
        <w:rPr>
          <w:rFonts w:ascii="Candara" w:hAnsi="Candara" w:cs="Times New Roman"/>
          <w:sz w:val="16"/>
          <w:szCs w:val="16"/>
        </w:rPr>
        <w:t>Medicine</w:t>
      </w:r>
      <w:proofErr w:type="spellEnd"/>
      <w:r w:rsidR="00193B86" w:rsidRPr="00193B86">
        <w:rPr>
          <w:rFonts w:ascii="Candara" w:hAnsi="Candara" w:cs="Times New Roman"/>
          <w:sz w:val="16"/>
          <w:szCs w:val="16"/>
        </w:rPr>
        <w:t xml:space="preserve">, </w:t>
      </w:r>
      <w:r w:rsidR="002A12A1" w:rsidRPr="00193B86">
        <w:rPr>
          <w:rFonts w:ascii="Candara" w:hAnsi="Candara" w:cs="Times New Roman"/>
          <w:sz w:val="16"/>
          <w:szCs w:val="16"/>
        </w:rPr>
        <w:t>dr hab. Iwona</w:t>
      </w:r>
      <w:r w:rsidR="00193B86">
        <w:rPr>
          <w:rFonts w:ascii="Candara" w:hAnsi="Candara" w:cs="Times New Roman"/>
          <w:sz w:val="16"/>
          <w:szCs w:val="16"/>
        </w:rPr>
        <w:t xml:space="preserve"> </w:t>
      </w:r>
      <w:r w:rsidR="002A12A1" w:rsidRPr="00193B86">
        <w:rPr>
          <w:rFonts w:ascii="Candara" w:hAnsi="Candara" w:cs="Times New Roman"/>
          <w:sz w:val="16"/>
          <w:szCs w:val="16"/>
        </w:rPr>
        <w:t>Paradowska – Stankiewicz</w:t>
      </w:r>
      <w:r w:rsidR="00193B86" w:rsidRPr="00193B86">
        <w:rPr>
          <w:rFonts w:ascii="Candara" w:hAnsi="Candara" w:cs="Times New Roman"/>
          <w:sz w:val="16"/>
          <w:szCs w:val="16"/>
        </w:rPr>
        <w:t>, Krajowy Konsultant ds. Epidemiologii</w:t>
      </w:r>
      <w:r w:rsidR="002A12A1" w:rsidRPr="00193B86">
        <w:rPr>
          <w:rFonts w:ascii="Candara" w:hAnsi="Candara" w:cs="Times New Roman"/>
          <w:sz w:val="16"/>
          <w:szCs w:val="16"/>
        </w:rPr>
        <w:t xml:space="preserve">. </w:t>
      </w:r>
    </w:p>
  </w:footnote>
  <w:footnote w:id="2">
    <w:p w14:paraId="55D8961F" w14:textId="0CE54C1D" w:rsidR="00ED36E1" w:rsidRPr="00ED36E1" w:rsidRDefault="00ED36E1" w:rsidP="00ED36E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ED36E1">
        <w:rPr>
          <w:sz w:val="16"/>
          <w:szCs w:val="16"/>
        </w:rPr>
        <w:t>Szczepimysi</w:t>
      </w:r>
      <w:r>
        <w:rPr>
          <w:sz w:val="16"/>
          <w:szCs w:val="16"/>
        </w:rPr>
        <w:t>e</w:t>
      </w:r>
      <w:proofErr w:type="spellEnd"/>
      <w:r w:rsidRPr="00ED36E1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ED36E1">
        <w:rPr>
          <w:sz w:val="16"/>
          <w:szCs w:val="16"/>
        </w:rPr>
        <w:t>https://www.gov.pl/web/szczepimysie?fbclid=IwAR3O4F_woOxKpAgFuGAVrlnNeHTFWvfXN4eQtz2GKTfc6u1e0pimab-Ljh0)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EA3162"/>
    <w:multiLevelType w:val="hybridMultilevel"/>
    <w:tmpl w:val="7B1E8A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52F59"/>
    <w:multiLevelType w:val="hybridMultilevel"/>
    <w:tmpl w:val="6652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45B2"/>
    <w:multiLevelType w:val="hybridMultilevel"/>
    <w:tmpl w:val="FDB0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6640"/>
    <w:multiLevelType w:val="hybridMultilevel"/>
    <w:tmpl w:val="C5DC2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54A80"/>
    <w:multiLevelType w:val="hybridMultilevel"/>
    <w:tmpl w:val="A252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9B7"/>
    <w:multiLevelType w:val="hybridMultilevel"/>
    <w:tmpl w:val="D876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1243"/>
    <w:multiLevelType w:val="hybridMultilevel"/>
    <w:tmpl w:val="F6D4C2E6"/>
    <w:lvl w:ilvl="0" w:tplc="06E83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D014F"/>
    <w:multiLevelType w:val="hybridMultilevel"/>
    <w:tmpl w:val="F6D4C2E6"/>
    <w:lvl w:ilvl="0" w:tplc="06E83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C48D1"/>
    <w:multiLevelType w:val="hybridMultilevel"/>
    <w:tmpl w:val="F6D4C2E6"/>
    <w:lvl w:ilvl="0" w:tplc="06E83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62A87"/>
    <w:multiLevelType w:val="hybridMultilevel"/>
    <w:tmpl w:val="F6D4C2E6"/>
    <w:lvl w:ilvl="0" w:tplc="06E83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7C6F"/>
    <w:multiLevelType w:val="hybridMultilevel"/>
    <w:tmpl w:val="52027358"/>
    <w:lvl w:ilvl="0" w:tplc="06240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F17BBD"/>
    <w:multiLevelType w:val="hybridMultilevel"/>
    <w:tmpl w:val="BB3CA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65"/>
    <w:rsid w:val="00071C9E"/>
    <w:rsid w:val="000917B7"/>
    <w:rsid w:val="00095F62"/>
    <w:rsid w:val="000A69E0"/>
    <w:rsid w:val="000A7188"/>
    <w:rsid w:val="000B3188"/>
    <w:rsid w:val="0010742D"/>
    <w:rsid w:val="00116C5F"/>
    <w:rsid w:val="00193B86"/>
    <w:rsid w:val="002060FD"/>
    <w:rsid w:val="002314EC"/>
    <w:rsid w:val="00237B69"/>
    <w:rsid w:val="0028199D"/>
    <w:rsid w:val="00297B74"/>
    <w:rsid w:val="002A12A1"/>
    <w:rsid w:val="002E2A74"/>
    <w:rsid w:val="002F412B"/>
    <w:rsid w:val="003632DD"/>
    <w:rsid w:val="00365562"/>
    <w:rsid w:val="00387C6B"/>
    <w:rsid w:val="00395B7E"/>
    <w:rsid w:val="003D30B3"/>
    <w:rsid w:val="003F5AB1"/>
    <w:rsid w:val="003F7D1A"/>
    <w:rsid w:val="00484C5E"/>
    <w:rsid w:val="004C626C"/>
    <w:rsid w:val="004F1623"/>
    <w:rsid w:val="005039C7"/>
    <w:rsid w:val="005130C8"/>
    <w:rsid w:val="005A7973"/>
    <w:rsid w:val="005B4B9C"/>
    <w:rsid w:val="005F5567"/>
    <w:rsid w:val="00602913"/>
    <w:rsid w:val="00633332"/>
    <w:rsid w:val="00650D59"/>
    <w:rsid w:val="006601E6"/>
    <w:rsid w:val="00667A09"/>
    <w:rsid w:val="00686E4C"/>
    <w:rsid w:val="00723B55"/>
    <w:rsid w:val="00751CD3"/>
    <w:rsid w:val="00757D3C"/>
    <w:rsid w:val="00836292"/>
    <w:rsid w:val="0084744D"/>
    <w:rsid w:val="00892285"/>
    <w:rsid w:val="008E2E99"/>
    <w:rsid w:val="009068ED"/>
    <w:rsid w:val="009854C0"/>
    <w:rsid w:val="0099393F"/>
    <w:rsid w:val="009A4494"/>
    <w:rsid w:val="009E2412"/>
    <w:rsid w:val="009F1E05"/>
    <w:rsid w:val="00A0486E"/>
    <w:rsid w:val="00A30C65"/>
    <w:rsid w:val="00A673FD"/>
    <w:rsid w:val="00AA3BEE"/>
    <w:rsid w:val="00AC6FDF"/>
    <w:rsid w:val="00AF60C0"/>
    <w:rsid w:val="00B34A2C"/>
    <w:rsid w:val="00B51A4D"/>
    <w:rsid w:val="00BD38C0"/>
    <w:rsid w:val="00C1633D"/>
    <w:rsid w:val="00C34001"/>
    <w:rsid w:val="00C35CFC"/>
    <w:rsid w:val="00CC3624"/>
    <w:rsid w:val="00CE5D17"/>
    <w:rsid w:val="00CF6095"/>
    <w:rsid w:val="00D23691"/>
    <w:rsid w:val="00D26984"/>
    <w:rsid w:val="00D311C6"/>
    <w:rsid w:val="00D77AD1"/>
    <w:rsid w:val="00D810E4"/>
    <w:rsid w:val="00D9563A"/>
    <w:rsid w:val="00DD6AB5"/>
    <w:rsid w:val="00E217A8"/>
    <w:rsid w:val="00E41060"/>
    <w:rsid w:val="00E57BB7"/>
    <w:rsid w:val="00EA3192"/>
    <w:rsid w:val="00EB5D9D"/>
    <w:rsid w:val="00EB752B"/>
    <w:rsid w:val="00ED36E1"/>
    <w:rsid w:val="00FB32E6"/>
    <w:rsid w:val="00F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8235"/>
  <w15:chartTrackingRefBased/>
  <w15:docId w15:val="{679A9445-A55E-4A96-908C-A2411150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B5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3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4D3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D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D3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D38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D3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5D9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691"/>
    <w:rPr>
      <w:color w:val="605E5C"/>
      <w:shd w:val="clear" w:color="auto" w:fill="E1DFDD"/>
    </w:rPr>
  </w:style>
  <w:style w:type="paragraph" w:customStyle="1" w:styleId="Default">
    <w:name w:val="Default"/>
    <w:rsid w:val="009E2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292"/>
  </w:style>
  <w:style w:type="paragraph" w:styleId="Stopka">
    <w:name w:val="footer"/>
    <w:basedOn w:val="Normalny"/>
    <w:link w:val="StopkaZnak"/>
    <w:uiPriority w:val="99"/>
    <w:unhideWhenUsed/>
    <w:rsid w:val="0083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292"/>
  </w:style>
  <w:style w:type="character" w:customStyle="1" w:styleId="acopre">
    <w:name w:val="acopre"/>
    <w:basedOn w:val="Domylnaczcionkaakapitu"/>
    <w:rsid w:val="00193B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88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88"/>
    <w:rPr>
      <w:rFonts w:ascii="Liberation Serif" w:eastAsia="SimSun" w:hAnsi="Liberation Serif" w:cs="Mangal"/>
      <w:b/>
      <w:bCs/>
      <w:kern w:val="2"/>
      <w:sz w:val="20"/>
      <w:szCs w:val="20"/>
      <w:lang w:eastAsia="zh-CN" w:bidi="hi-IN"/>
    </w:rPr>
  </w:style>
  <w:style w:type="paragraph" w:styleId="Poprawka">
    <w:name w:val="Revision"/>
    <w:hidden/>
    <w:uiPriority w:val="99"/>
    <w:semiHidden/>
    <w:rsid w:val="000B318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8C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14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14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1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23" w:color="787D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0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23" w:color="787D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ublic-health/services/immunization/national-advisory-committee-on-immunization-naci/guidance-prioritization-initial-doses-covid-19-vaccin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covid-19-the-green-book-chapter-14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health-canada/services/drugs-health-products/covid19-industry/drugs-vaccines-treatments/vaccines/pfizer-biontech/authoriz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ovid-19-vaccination-programme-guidance-for-healthcare-practition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83EB-8DA2-497C-BAC9-60F55F9E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1946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Augustynowicz Ewa</cp:lastModifiedBy>
  <cp:revision>17</cp:revision>
  <cp:lastPrinted>2020-12-16T08:54:00Z</cp:lastPrinted>
  <dcterms:created xsi:type="dcterms:W3CDTF">2020-12-15T18:31:00Z</dcterms:created>
  <dcterms:modified xsi:type="dcterms:W3CDTF">2020-12-16T08:54:00Z</dcterms:modified>
</cp:coreProperties>
</file>