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9885A" w14:textId="77777777" w:rsidR="00C64B1B" w:rsidRDefault="00C64B1B" w:rsidP="00C64B1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1100"/>
        <w:gridCol w:w="1445"/>
        <w:gridCol w:w="3252"/>
        <w:gridCol w:w="2993"/>
        <w:gridCol w:w="3073"/>
        <w:gridCol w:w="3014"/>
      </w:tblGrid>
      <w:tr w:rsidR="003E69F5" w:rsidRPr="002C5DDB" w14:paraId="68AA72EB" w14:textId="5242556B" w:rsidTr="003E69F5">
        <w:tc>
          <w:tcPr>
            <w:tcW w:w="0" w:type="auto"/>
            <w:gridSpan w:val="7"/>
            <w:vAlign w:val="center"/>
          </w:tcPr>
          <w:p w14:paraId="3B5AC882" w14:textId="3432FC44" w:rsidR="003E69F5" w:rsidRPr="002C5DDB" w:rsidRDefault="003E69F5" w:rsidP="00B871B6">
            <w:pPr>
              <w:spacing w:before="120" w:after="120"/>
              <w:rPr>
                <w:b/>
                <w:i/>
                <w:sz w:val="20"/>
                <w:szCs w:val="20"/>
              </w:rPr>
            </w:pPr>
            <w:r w:rsidRPr="002C5DDB">
              <w:rPr>
                <w:b/>
                <w:i/>
                <w:sz w:val="20"/>
                <w:szCs w:val="20"/>
              </w:rPr>
              <w:t>Nazwa dokumentu: projekt ustawy o zmianie ustawy o narodowym zasobie archiwalnym i archiwach (UD113) – wnioskodawca Minister Kultury i Dziedzictwa Narodowego</w:t>
            </w:r>
          </w:p>
        </w:tc>
      </w:tr>
      <w:tr w:rsidR="003E69F5" w:rsidRPr="002C5DDB" w14:paraId="212553BB" w14:textId="24CB0469" w:rsidTr="003E69F5">
        <w:tc>
          <w:tcPr>
            <w:tcW w:w="0" w:type="auto"/>
            <w:vAlign w:val="center"/>
          </w:tcPr>
          <w:p w14:paraId="6E079FFF" w14:textId="77777777" w:rsidR="003E69F5" w:rsidRPr="002C5DDB" w:rsidRDefault="003E69F5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vAlign w:val="center"/>
          </w:tcPr>
          <w:p w14:paraId="3591F8CA" w14:textId="77777777" w:rsidR="003E69F5" w:rsidRPr="002C5DDB" w:rsidRDefault="003E69F5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Organ wnoszący uwagi</w:t>
            </w:r>
          </w:p>
        </w:tc>
        <w:tc>
          <w:tcPr>
            <w:tcW w:w="0" w:type="auto"/>
            <w:vAlign w:val="center"/>
          </w:tcPr>
          <w:p w14:paraId="3C0240AA" w14:textId="77777777" w:rsidR="003E69F5" w:rsidRPr="002C5DDB" w:rsidRDefault="003E69F5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0" w:type="auto"/>
            <w:vAlign w:val="center"/>
          </w:tcPr>
          <w:p w14:paraId="3D778716" w14:textId="77777777" w:rsidR="003E69F5" w:rsidRPr="002C5DDB" w:rsidRDefault="003E69F5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Treść uwagi</w:t>
            </w:r>
          </w:p>
        </w:tc>
        <w:tc>
          <w:tcPr>
            <w:tcW w:w="0" w:type="auto"/>
            <w:vAlign w:val="center"/>
          </w:tcPr>
          <w:p w14:paraId="2D861BDA" w14:textId="77777777" w:rsidR="003E69F5" w:rsidRPr="002C5DDB" w:rsidRDefault="003E69F5" w:rsidP="004D086F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Propozycja zmian zapisu</w:t>
            </w:r>
          </w:p>
        </w:tc>
        <w:tc>
          <w:tcPr>
            <w:tcW w:w="0" w:type="auto"/>
            <w:vAlign w:val="center"/>
          </w:tcPr>
          <w:p w14:paraId="0CE75144" w14:textId="54C21C29" w:rsidR="003E69F5" w:rsidRPr="002C5DDB" w:rsidRDefault="003E69F5" w:rsidP="003E69F5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Odniesienie projektodawcy</w:t>
            </w:r>
            <w:r w:rsidRPr="002C5DDB">
              <w:rPr>
                <w:b/>
                <w:sz w:val="20"/>
                <w:szCs w:val="20"/>
              </w:rPr>
              <w:br/>
              <w:t>do uwagi</w:t>
            </w:r>
          </w:p>
        </w:tc>
        <w:tc>
          <w:tcPr>
            <w:tcW w:w="0" w:type="auto"/>
            <w:vAlign w:val="center"/>
          </w:tcPr>
          <w:p w14:paraId="71AE5581" w14:textId="0D515615" w:rsidR="003E69F5" w:rsidRPr="002C5DDB" w:rsidRDefault="003E69F5" w:rsidP="003E69F5">
            <w:pPr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Uwagi do projektu w wersji 19.01.2026</w:t>
            </w:r>
            <w:r w:rsidR="002C5DDB">
              <w:rPr>
                <w:b/>
                <w:sz w:val="20"/>
                <w:szCs w:val="20"/>
              </w:rPr>
              <w:t xml:space="preserve"> r. przekazanej do rozpatrzenia przez </w:t>
            </w:r>
            <w:proofErr w:type="spellStart"/>
            <w:r w:rsidR="002C5DDB">
              <w:rPr>
                <w:b/>
                <w:sz w:val="20"/>
                <w:szCs w:val="20"/>
              </w:rPr>
              <w:t>KdsC</w:t>
            </w:r>
            <w:proofErr w:type="spellEnd"/>
            <w:r w:rsidR="002C5DDB">
              <w:rPr>
                <w:b/>
                <w:sz w:val="20"/>
                <w:szCs w:val="20"/>
              </w:rPr>
              <w:t xml:space="preserve"> 23.03.2026 r. </w:t>
            </w:r>
          </w:p>
        </w:tc>
      </w:tr>
      <w:tr w:rsidR="003E69F5" w:rsidRPr="002C5DDB" w14:paraId="5D870649" w14:textId="481328CE" w:rsidTr="003E69F5">
        <w:tc>
          <w:tcPr>
            <w:tcW w:w="0" w:type="auto"/>
          </w:tcPr>
          <w:p w14:paraId="4A59075A" w14:textId="09CF53B1" w:rsidR="003E69F5" w:rsidRPr="002C5DDB" w:rsidRDefault="003E69F5" w:rsidP="00A064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68AA9CC1" w14:textId="4F22DED7" w:rsidR="003E69F5" w:rsidRPr="002C5DDB" w:rsidRDefault="003E69F5" w:rsidP="004D086F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547BDA31" w14:textId="1D77E82E" w:rsidR="003E69F5" w:rsidRPr="002C5DDB" w:rsidRDefault="003E69F5" w:rsidP="004D086F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7966712B" w14:textId="389FB936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1 pkt 1 lit. d</w:t>
            </w:r>
          </w:p>
          <w:p w14:paraId="6A108052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1617B3D1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zmieniającej,</w:t>
            </w:r>
          </w:p>
          <w:p w14:paraId="265A0D3A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projektowany</w:t>
            </w:r>
          </w:p>
          <w:p w14:paraId="67BA3BAA" w14:textId="6B5FB3CB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5 ust.2c</w:t>
            </w:r>
          </w:p>
          <w:p w14:paraId="6E8FE18A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2E6E7A1F" w14:textId="20CC63D8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zmienianej.</w:t>
            </w:r>
          </w:p>
        </w:tc>
        <w:tc>
          <w:tcPr>
            <w:tcW w:w="0" w:type="auto"/>
          </w:tcPr>
          <w:p w14:paraId="5F4FB573" w14:textId="68CA1F39" w:rsidR="003E69F5" w:rsidRPr="002C5DDB" w:rsidRDefault="003E69F5" w:rsidP="00F1742E">
            <w:pPr>
              <w:suppressAutoHyphens/>
              <w:spacing w:after="120"/>
              <w:jc w:val="both"/>
              <w:rPr>
                <w:color w:val="000000"/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 xml:space="preserve">Mając na uwadze przepisy ustawy z dnia 17 lutego 2005 r. o informatyzacji działalności podmiotów realizujących zadania publiczne (Dz. U. z 2024 r. poz. 1557 z </w:t>
            </w:r>
            <w:proofErr w:type="spellStart"/>
            <w:r w:rsidRPr="002C5DDB">
              <w:rPr>
                <w:sz w:val="20"/>
                <w:szCs w:val="20"/>
                <w:lang w:eastAsia="ar-SA"/>
              </w:rPr>
              <w:t>późn</w:t>
            </w:r>
            <w:proofErr w:type="spellEnd"/>
            <w:r w:rsidRPr="002C5DDB">
              <w:rPr>
                <w:sz w:val="20"/>
                <w:szCs w:val="20"/>
                <w:lang w:eastAsia="ar-SA"/>
              </w:rPr>
              <w:t>. zm.), w szczególności art. 12k ust. 3 lit h)</w:t>
            </w:r>
            <w:r w:rsidRPr="002C5DDB">
              <w:rPr>
                <w:color w:val="000000"/>
                <w:sz w:val="20"/>
                <w:szCs w:val="20"/>
                <w:lang w:eastAsia="ar-SA"/>
              </w:rPr>
              <w:t xml:space="preserve">, właściwym wydaje się wskazanie w art. 5 ust. 2ba oraz ust. 2c, iż </w:t>
            </w:r>
            <w:r w:rsidRPr="002C5DDB">
              <w:rPr>
                <w:sz w:val="20"/>
                <w:szCs w:val="20"/>
              </w:rPr>
              <w:t xml:space="preserve">„2c. </w:t>
            </w:r>
            <w:r w:rsidRPr="002C5DDB">
              <w:rPr>
                <w:i/>
                <w:iCs/>
                <w:sz w:val="20"/>
                <w:szCs w:val="20"/>
              </w:rPr>
              <w:t xml:space="preserve">Minister właściwy </w:t>
            </w:r>
            <w:r w:rsidRPr="002C5DDB">
              <w:rPr>
                <w:i/>
                <w:iCs/>
                <w:sz w:val="20"/>
                <w:szCs w:val="20"/>
                <w:lang w:eastAsia="ar-SA"/>
              </w:rPr>
              <w:t>do spraw informatyzacji w porozumieniu z Ministrem właściwym do spraw kultury i ochrony dziedzictwa narodowego, po zasięgnięciu opinii Naczelnego Dyrektora Archiwów Państwowych, określi, w drodze rozporządzenia (…)”</w:t>
            </w:r>
            <w:r w:rsidRPr="002C5DDB">
              <w:rPr>
                <w:sz w:val="20"/>
                <w:szCs w:val="20"/>
                <w:lang w:eastAsia="ar-SA"/>
              </w:rPr>
              <w:t>.</w:t>
            </w:r>
          </w:p>
        </w:tc>
        <w:tc>
          <w:tcPr>
            <w:tcW w:w="0" w:type="auto"/>
          </w:tcPr>
          <w:p w14:paraId="7C9FD8D9" w14:textId="77777777" w:rsidR="003E69F5" w:rsidRPr="002C5DDB" w:rsidRDefault="003E69F5" w:rsidP="00906F26">
            <w:pPr>
              <w:jc w:val="center"/>
              <w:rPr>
                <w:i/>
                <w:iCs/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</w:rPr>
              <w:t xml:space="preserve">„2c. </w:t>
            </w:r>
            <w:r w:rsidRPr="002C5DDB">
              <w:rPr>
                <w:i/>
                <w:iCs/>
                <w:sz w:val="20"/>
                <w:szCs w:val="20"/>
              </w:rPr>
              <w:t xml:space="preserve">Minister właściwy </w:t>
            </w:r>
            <w:r w:rsidRPr="002C5DDB">
              <w:rPr>
                <w:i/>
                <w:iCs/>
                <w:sz w:val="20"/>
                <w:szCs w:val="20"/>
                <w:lang w:eastAsia="ar-SA"/>
              </w:rPr>
              <w:t>do spraw informatyzacji w porozumieniu z Ministrem właściwym do spraw kultury i ochrony dziedzictwa narodowego, po zasięgnięciu opinii Naczelnego Dyrektora Archiwów Państwowych, określi, w drodze rozporządzenia, wymagania techniczne, jakim powinny odpowiadać informatyczne nośniki danych i formaty zapisu zgodnie z przepisami ustawy z dnia 17 lutego 2005 r. o informatyzacji działalności podmiotów realizujących zadania publiczne, przekazywanych do archiwów państwowych materiałów archiwalnych, uwzględniając potrzebę ochrony tych materiałów przed utratą oraz nieuprawnioną zmianą.”</w:t>
            </w:r>
          </w:p>
          <w:p w14:paraId="0FF0F3D7" w14:textId="02EB1298" w:rsidR="003E69F5" w:rsidRPr="002C5DDB" w:rsidRDefault="003E69F5" w:rsidP="00906F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5CB0775" w14:textId="77777777" w:rsidR="003E69F5" w:rsidRPr="002C5DDB" w:rsidRDefault="003E69F5" w:rsidP="006761CF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7439F87F" w14:textId="77777777" w:rsidR="003E69F5" w:rsidRPr="002C5DDB" w:rsidRDefault="003E69F5" w:rsidP="006761CF">
            <w:pPr>
              <w:rPr>
                <w:sz w:val="20"/>
                <w:szCs w:val="20"/>
              </w:rPr>
            </w:pPr>
          </w:p>
          <w:p w14:paraId="1950BF1F" w14:textId="5D620558" w:rsidR="003E69F5" w:rsidRPr="002C5DDB" w:rsidRDefault="003E69F5" w:rsidP="006761CF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Wskazanie ministra właściwego do spraw kultury i ochrony dziedzictwa narodowego jako organu, który w porozumieniu z ministrem właściwym do spraw informatyzacji, po zasięgnięciu opinii Naczelnego Dyrektora Archiwów Państwowych, określi, w drodze rozporządzenia wymagania techniczne, wynika z faktu, że ich przedmiotem będzie ustalenie warunków technicznych umożliwiających przekazywanie materiałów archiwalnych do archiwów państwowych. Zgodnie z art. 4 ust. 1 ustawy z dnia 14 lipca 1983 r. o narodowym zasobie archiwalnym i archiwach nadzór nad narodowym zasobem archiwalnym sprawuje minister</w:t>
            </w:r>
          </w:p>
          <w:p w14:paraId="49C0D271" w14:textId="77777777" w:rsidR="003E69F5" w:rsidRPr="002C5DDB" w:rsidRDefault="003E69F5" w:rsidP="006761CF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właściwy do spraw kultury i ochrony dziedzictwa narodowego za pośrednictwem</w:t>
            </w:r>
          </w:p>
          <w:p w14:paraId="106F2692" w14:textId="77777777" w:rsidR="003E69F5" w:rsidRPr="002C5DDB" w:rsidRDefault="003E69F5" w:rsidP="003D0DC6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Naczelnego Dyrektora Archiwów Państwowych, który jest centralnym organem administracji rządowej w sprawach państwowego zasobu archiwalnego, a do jego zakresu działania należy m.in. koordynowanie działalności archiwalnej na terenie Państwa </w:t>
            </w:r>
            <w:r w:rsidRPr="002C5DDB">
              <w:rPr>
                <w:sz w:val="20"/>
                <w:szCs w:val="20"/>
              </w:rPr>
              <w:lastRenderedPageBreak/>
              <w:t>oraz nadzór nad gromadzeniem, ewidencjonowaniem, przechowywaniem, opracowywaniem, udostępnianiem i zabezpieczaniem materiałów archiwalnych oraz brakowaniem dokumentacji niearchiwalnej.</w:t>
            </w:r>
          </w:p>
          <w:p w14:paraId="29C74AA3" w14:textId="3F2C3E2A" w:rsidR="003E69F5" w:rsidRPr="002C5DDB" w:rsidRDefault="003E69F5" w:rsidP="003D0DC6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0" w:type="auto"/>
          </w:tcPr>
          <w:p w14:paraId="0FC33090" w14:textId="64D55777" w:rsidR="003E69F5" w:rsidRPr="002C5DDB" w:rsidRDefault="003E69F5" w:rsidP="003E69F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Uwaga podtrzymana przez KGP.</w:t>
            </w:r>
          </w:p>
          <w:p w14:paraId="57C852D4" w14:textId="77777777" w:rsidR="003E69F5" w:rsidRPr="002C5DDB" w:rsidRDefault="003E69F5" w:rsidP="003E69F5">
            <w:pPr>
              <w:rPr>
                <w:sz w:val="20"/>
                <w:szCs w:val="20"/>
              </w:rPr>
            </w:pPr>
          </w:p>
          <w:p w14:paraId="08DA1652" w14:textId="14C89A0C" w:rsidR="003E69F5" w:rsidRPr="002C5DDB" w:rsidRDefault="003E69F5" w:rsidP="003E69F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Projektowany art. 5 ust. 2c dotyczy materii technicznej związanej z nośnikami danych i formatami zapisu, a zatem powinien pozostawać w wiodącej kompetencji ministra właściwego do spraw informatyzacji, z zachowaniem współdziałania ministra właściwego do spraw kultury i ochrony dziedzictwa narodowego.</w:t>
            </w:r>
          </w:p>
        </w:tc>
      </w:tr>
      <w:tr w:rsidR="003E69F5" w:rsidRPr="002C5DDB" w14:paraId="68C23A09" w14:textId="3196F1D3" w:rsidTr="003E69F5">
        <w:tc>
          <w:tcPr>
            <w:tcW w:w="0" w:type="auto"/>
          </w:tcPr>
          <w:p w14:paraId="323AFE7C" w14:textId="4E2AB757" w:rsidR="003E69F5" w:rsidRPr="002C5DDB" w:rsidRDefault="003E69F5" w:rsidP="00F1742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4539F3B3" w14:textId="7FBFD01D" w:rsidR="003E69F5" w:rsidRPr="002C5DDB" w:rsidRDefault="003E69F5" w:rsidP="00F1742E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1C41B676" w14:textId="77777777" w:rsidR="003E69F5" w:rsidRPr="002C5DDB" w:rsidRDefault="003E69F5" w:rsidP="00F1742E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2001976C" w14:textId="562EE5D0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1 pkt 2 lit. a</w:t>
            </w:r>
          </w:p>
          <w:p w14:paraId="781AD9CE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3922B04B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zmieniającej,</w:t>
            </w:r>
          </w:p>
          <w:p w14:paraId="02D1FBDA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projektowany</w:t>
            </w:r>
          </w:p>
          <w:p w14:paraId="4CB77C10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6 ust.1a</w:t>
            </w:r>
          </w:p>
          <w:p w14:paraId="361F4F8D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6A3BA79E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zmienianej.</w:t>
            </w:r>
          </w:p>
        </w:tc>
        <w:tc>
          <w:tcPr>
            <w:tcW w:w="0" w:type="auto"/>
          </w:tcPr>
          <w:p w14:paraId="0D9A389C" w14:textId="41609E71" w:rsidR="003E69F5" w:rsidRPr="002C5DDB" w:rsidRDefault="003E69F5" w:rsidP="006C1458">
            <w:pPr>
              <w:suppressAutoHyphens/>
              <w:jc w:val="both"/>
              <w:rPr>
                <w:color w:val="000000"/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Sformułowania użyte w projektowanym art. 6 ust. 1a pkt 1 i 3: „</w:t>
            </w:r>
            <w:r w:rsidRPr="002C5DDB">
              <w:rPr>
                <w:i/>
                <w:iCs/>
                <w:sz w:val="20"/>
                <w:szCs w:val="20"/>
                <w:lang w:eastAsia="ar-SA"/>
              </w:rPr>
              <w:t>w ramach ustalonych i udokumentowanych procedur”</w:t>
            </w:r>
            <w:r w:rsidRPr="002C5DDB">
              <w:rPr>
                <w:sz w:val="20"/>
                <w:szCs w:val="20"/>
                <w:lang w:eastAsia="ar-SA"/>
              </w:rPr>
              <w:t xml:space="preserve"> są sformułowaniami ogólnymi i niedoprecyzowanymi, co może powodować obchodzenie przepisów ustawowych. W ocenie KGP należy doprecyzować na poziomie ustawowym  zakres i możliwości wprowadzania zamian do dokumentacji w ramach systemu teleinformatycznego.</w:t>
            </w:r>
            <w:r w:rsidRPr="002C5DDB">
              <w:rPr>
                <w:color w:val="000000"/>
                <w:sz w:val="20"/>
                <w:szCs w:val="20"/>
                <w:lang w:eastAsia="ar-SA"/>
              </w:rPr>
              <w:t xml:space="preserve"> </w:t>
            </w:r>
          </w:p>
          <w:p w14:paraId="707A74D6" w14:textId="77777777" w:rsidR="003E69F5" w:rsidRPr="002C5DDB" w:rsidRDefault="003E69F5" w:rsidP="00F1742E">
            <w:pPr>
              <w:suppressAutoHyphens/>
              <w:spacing w:after="120"/>
              <w:jc w:val="both"/>
              <w:rPr>
                <w:color w:val="000000"/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Ponadto KRI określają minimalne wymagania dla systemów teleinformatycznych i ramy interoperacyjności, w tym system zarządzania bezpieczeństwem informacji (KRI § 19). Projektowany art. 6 ust. 1a ustanawia szczegółowe wymagania dla systemu teleinformatycznego. Poniżej przedstawiono mapowanie kierunkowe (zgodność celów regulacyjnych).</w:t>
            </w:r>
          </w:p>
          <w:p w14:paraId="24E1307A" w14:textId="77777777" w:rsidR="003E69F5" w:rsidRPr="002C5DDB" w:rsidRDefault="003E69F5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t>Art. 6 ust. 1a pkt 1 (integralność dokumentów i metadanych) – KRI § 19 ust. 1 (integralność) oraz § 19 ust. 2 pkt 9 i pkt 12 lit. c.</w:t>
            </w:r>
          </w:p>
          <w:p w14:paraId="6E0D802D" w14:textId="77777777" w:rsidR="003E69F5" w:rsidRPr="002C5DDB" w:rsidRDefault="003E69F5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t>Art. 6 ust. 1a pkt 2 (autentyczność/ niezaprzeczalność dokumentów) – KRI § 19 ust. 1 (autentyczność, niezaprzeczalność).</w:t>
            </w:r>
          </w:p>
          <w:p w14:paraId="16FB1F9C" w14:textId="0039D127" w:rsidR="003E69F5" w:rsidRPr="002C5DDB" w:rsidRDefault="003E69F5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Art. 6 ust. 1a pkt 3 (blokada usuwania; wyjątki) – KRI § 19 ust. 2 pkt 9 (ochrona przed nieuprawnionym usunięciem) oraz pkt 12 lit. c.</w:t>
            </w:r>
          </w:p>
          <w:p w14:paraId="3AF84E75" w14:textId="7C55EDB3" w:rsidR="003E69F5" w:rsidRPr="002C5DDB" w:rsidRDefault="003E69F5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t>Art. 6 ust. 1a pkt 5 (kontrola dostępu do dokumentów i metadanych) – KRI § 19 ust. 2 pkt 7 (monitorowanie dostępu, wykrywanie działań) oraz pkt 12 (bezpieczeństwo systemów).</w:t>
            </w:r>
          </w:p>
          <w:p w14:paraId="469A0C65" w14:textId="0F87D543" w:rsidR="003E69F5" w:rsidRPr="002C5DDB" w:rsidRDefault="003E69F5" w:rsidP="006C1458">
            <w:pPr>
              <w:numPr>
                <w:ilvl w:val="1"/>
                <w:numId w:val="1"/>
              </w:numPr>
              <w:suppressAutoHyphens/>
              <w:ind w:left="320" w:hanging="357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2C5DDB">
              <w:rPr>
                <w:rFonts w:eastAsia="Calibri"/>
                <w:bCs/>
                <w:sz w:val="20"/>
                <w:szCs w:val="20"/>
                <w:lang w:eastAsia="en-US"/>
              </w:rPr>
              <w:t>Art. 6 ust. 1a pkt 7 (rejestrowanie działań użytkowników) – KRI § 19 ust. 2 pkt 7 lit. a-b (monitorowanie dostępu, wykrywanie nieautoryzowanych działań) oraz pkt 13 (zgłaszanie incydentów).</w:t>
            </w:r>
          </w:p>
        </w:tc>
        <w:tc>
          <w:tcPr>
            <w:tcW w:w="0" w:type="auto"/>
          </w:tcPr>
          <w:p w14:paraId="14FBE100" w14:textId="77777777" w:rsidR="003E69F5" w:rsidRPr="002C5DDB" w:rsidRDefault="003E69F5" w:rsidP="00AF523C">
            <w:pPr>
              <w:jc w:val="center"/>
              <w:rPr>
                <w:bCs/>
                <w:sz w:val="20"/>
                <w:szCs w:val="20"/>
              </w:rPr>
            </w:pPr>
            <w:r w:rsidRPr="002C5DDB">
              <w:rPr>
                <w:bCs/>
                <w:sz w:val="20"/>
                <w:szCs w:val="20"/>
              </w:rPr>
              <w:lastRenderedPageBreak/>
              <w:t>Art. 6 ust. 1a:</w:t>
            </w:r>
          </w:p>
          <w:p w14:paraId="29C429BF" w14:textId="148D2492" w:rsidR="003E69F5" w:rsidRPr="002C5DDB" w:rsidRDefault="003E69F5" w:rsidP="00AF523C">
            <w:pPr>
              <w:jc w:val="center"/>
              <w:rPr>
                <w:bCs/>
                <w:sz w:val="20"/>
                <w:szCs w:val="20"/>
              </w:rPr>
            </w:pPr>
            <w:r w:rsidRPr="002C5DDB">
              <w:rPr>
                <w:bCs/>
                <w:sz w:val="20"/>
                <w:szCs w:val="20"/>
              </w:rPr>
              <w:t>„1)</w:t>
            </w:r>
            <w:r w:rsidRPr="002C5DDB">
              <w:rPr>
                <w:bCs/>
                <w:sz w:val="20"/>
                <w:szCs w:val="20"/>
              </w:rPr>
              <w:tab/>
              <w:t xml:space="preserve">zapewnia integralność treści dokumentów i metadanych polegającą na zabezpieczeniu przed wprowadzaniem zmian, z wyjątkiem zmian wprowadzonych w ramach ustalonych i udokumentowanych procedur, </w:t>
            </w:r>
            <w:r w:rsidRPr="002C5DDB">
              <w:rPr>
                <w:b/>
                <w:bCs/>
                <w:sz w:val="20"/>
                <w:szCs w:val="20"/>
              </w:rPr>
              <w:t xml:space="preserve">w szczególności określonych rozporządzeniu Rady Ministrów wydanym na podstawie art. 18 ustawy z dnia </w:t>
            </w:r>
            <w:r w:rsidRPr="002C5DDB">
              <w:rPr>
                <w:b/>
                <w:bCs/>
                <w:sz w:val="20"/>
                <w:szCs w:val="20"/>
              </w:rPr>
              <w:br/>
              <w:t xml:space="preserve">17 lutego 2005 r. </w:t>
            </w:r>
            <w:r w:rsidRPr="002C5DDB">
              <w:rPr>
                <w:b/>
                <w:bCs/>
                <w:i/>
                <w:sz w:val="20"/>
                <w:szCs w:val="20"/>
              </w:rPr>
              <w:t>o informatyzacji działalności podmiotów realizujących zadania publiczne</w:t>
            </w:r>
            <w:r w:rsidRPr="002C5DDB">
              <w:rPr>
                <w:b/>
                <w:bCs/>
                <w:sz w:val="20"/>
                <w:szCs w:val="20"/>
              </w:rPr>
              <w:t xml:space="preserve"> </w:t>
            </w:r>
            <w:r w:rsidRPr="002C5DDB">
              <w:rPr>
                <w:b/>
                <w:bCs/>
                <w:sz w:val="20"/>
                <w:szCs w:val="20"/>
              </w:rPr>
              <w:br/>
              <w:t>(Dz. U. z 2025 r. poz. 1703 i 1301)</w:t>
            </w:r>
            <w:r w:rsidRPr="002C5DDB">
              <w:rPr>
                <w:bCs/>
                <w:sz w:val="20"/>
                <w:szCs w:val="20"/>
              </w:rPr>
              <w:t>”.</w:t>
            </w:r>
          </w:p>
          <w:p w14:paraId="65F7F582" w14:textId="77777777" w:rsidR="003E69F5" w:rsidRPr="002C5DDB" w:rsidRDefault="003E69F5" w:rsidP="00AF523C">
            <w:pPr>
              <w:jc w:val="center"/>
              <w:rPr>
                <w:bCs/>
                <w:sz w:val="20"/>
                <w:szCs w:val="20"/>
              </w:rPr>
            </w:pPr>
          </w:p>
          <w:p w14:paraId="2D6F96AD" w14:textId="78BEEECB" w:rsidR="003E69F5" w:rsidRPr="002C5DDB" w:rsidRDefault="003E69F5" w:rsidP="00AF523C">
            <w:pPr>
              <w:jc w:val="center"/>
              <w:rPr>
                <w:bCs/>
                <w:sz w:val="20"/>
                <w:szCs w:val="20"/>
              </w:rPr>
            </w:pPr>
            <w:r w:rsidRPr="002C5DDB">
              <w:rPr>
                <w:bCs/>
                <w:sz w:val="20"/>
                <w:szCs w:val="20"/>
              </w:rPr>
              <w:t xml:space="preserve">Analogiczną zmianę proponuje się z zakresie art. 6 ust. 1a pkt 3. </w:t>
            </w:r>
          </w:p>
          <w:p w14:paraId="7DDBBC72" w14:textId="77777777" w:rsidR="003E69F5" w:rsidRPr="002C5DDB" w:rsidRDefault="003E69F5" w:rsidP="00042C92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71D95088" w14:textId="77777777" w:rsidR="003E69F5" w:rsidRPr="002C5DDB" w:rsidRDefault="003E69F5" w:rsidP="00042C92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38F359A2" w14:textId="77777777" w:rsidR="003E69F5" w:rsidRPr="002C5DDB" w:rsidRDefault="003E69F5" w:rsidP="00042C92">
            <w:pPr>
              <w:jc w:val="center"/>
              <w:rPr>
                <w:color w:val="FF0000"/>
                <w:sz w:val="20"/>
                <w:szCs w:val="20"/>
              </w:rPr>
            </w:pPr>
          </w:p>
          <w:p w14:paraId="1EDA47D3" w14:textId="4FDBD37D" w:rsidR="003E69F5" w:rsidRPr="002C5DDB" w:rsidRDefault="003E69F5" w:rsidP="0075600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</w:tcPr>
          <w:p w14:paraId="2F39B2D1" w14:textId="77777777" w:rsidR="003E69F5" w:rsidRPr="002C5DDB" w:rsidRDefault="003E69F5" w:rsidP="006761CF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7EA2C7AC" w14:textId="77777777" w:rsidR="003E69F5" w:rsidRPr="002C5DDB" w:rsidRDefault="003E69F5" w:rsidP="006761CF">
            <w:pPr>
              <w:rPr>
                <w:sz w:val="20"/>
                <w:szCs w:val="20"/>
              </w:rPr>
            </w:pPr>
          </w:p>
          <w:p w14:paraId="1AC1532E" w14:textId="2293C494" w:rsidR="003E69F5" w:rsidRPr="002C5DDB" w:rsidRDefault="003E69F5" w:rsidP="00235179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Procedury, o których mowa w art. 6, są zawarte w instrukcjach kancelaryjnych obowiązujących w jednostkach administracji publicznej. Wskazane w propozycji zmiany zapisu: Rozporządzenie w sprawie Krajowych Ram Interoperacyjności, minimalnych wymagań dla rejestrów publicznych i wymiany informacji w postaci elektronicznej oraz minimalnych wymagań dla systemów teleinformatycznych, określa Krajowe Ramy Interoperacyjności i reguluje kwestie dotyczące minimalnych wymagań dla rejestrów publicznych i wymiany informacji w postaci elektronicznej, a także minimalnych wymagań dla systemów teleinformatycznych, a przede wszystkim</w:t>
            </w:r>
          </w:p>
          <w:p w14:paraId="52D067F6" w14:textId="77777777" w:rsidR="003E69F5" w:rsidRPr="002C5DDB" w:rsidRDefault="003E69F5" w:rsidP="00BF7694">
            <w:pPr>
              <w:rPr>
                <w:color w:val="1F3864" w:themeColor="accent5" w:themeShade="80"/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specyfikację formatów danych oraz protokołów komunikacyjnych i szyfrujących, które mają być stosowane w oprogramowaniu interfejsowym, sposoby zapewnienia bezpieczeństwa przy wymianie informacji, standardy techniczne zapewniające wymianę informacji z udziałem podmiotów publicznych z uwzględnieniem wymiany transgranicznej. </w:t>
            </w:r>
            <w:r w:rsidRPr="002C5DDB">
              <w:rPr>
                <w:sz w:val="20"/>
                <w:szCs w:val="20"/>
              </w:rPr>
              <w:lastRenderedPageBreak/>
              <w:t>Wspomniane rozporządzenie nie dotyczy więc kwestii związanych z prawidłowością postępowania z dokumentacją w postaci elektronicznej w kwestiach, o których mowa w art. 6 ust. 1a pkt 1 i 3 projektowanej ustawy.</w:t>
            </w:r>
          </w:p>
          <w:p w14:paraId="1B559643" w14:textId="77777777" w:rsidR="003E69F5" w:rsidRPr="002C5DDB" w:rsidRDefault="003E69F5" w:rsidP="00BF7694">
            <w:pPr>
              <w:rPr>
                <w:color w:val="1F3864" w:themeColor="accent5" w:themeShade="80"/>
                <w:sz w:val="20"/>
                <w:szCs w:val="20"/>
              </w:rPr>
            </w:pPr>
          </w:p>
          <w:p w14:paraId="61ACFB43" w14:textId="77777777" w:rsidR="003E69F5" w:rsidRPr="002C5DDB" w:rsidRDefault="003E69F5" w:rsidP="00BF7694">
            <w:pPr>
              <w:rPr>
                <w:color w:val="1F3864" w:themeColor="accent5" w:themeShade="80"/>
                <w:sz w:val="20"/>
                <w:szCs w:val="20"/>
              </w:rPr>
            </w:pPr>
          </w:p>
          <w:p w14:paraId="370227EB" w14:textId="1FE21FCB" w:rsidR="003E69F5" w:rsidRPr="002C5DDB" w:rsidRDefault="003E69F5" w:rsidP="003E69F5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0" w:type="auto"/>
          </w:tcPr>
          <w:p w14:paraId="67896D22" w14:textId="12D29E5E" w:rsidR="003E69F5" w:rsidRPr="002C5DDB" w:rsidRDefault="003E69F5" w:rsidP="003E69F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 xml:space="preserve">Uwaga podtrzymana przez KGP. </w:t>
            </w:r>
          </w:p>
          <w:p w14:paraId="327693D7" w14:textId="77777777" w:rsidR="003E69F5" w:rsidRPr="002C5DDB" w:rsidRDefault="003E69F5" w:rsidP="003E69F5">
            <w:pPr>
              <w:rPr>
                <w:sz w:val="20"/>
                <w:szCs w:val="20"/>
              </w:rPr>
            </w:pPr>
          </w:p>
          <w:p w14:paraId="4D20335F" w14:textId="7E9C94A2" w:rsidR="003E69F5" w:rsidRPr="002C5DDB" w:rsidRDefault="0011148E" w:rsidP="003E69F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</w:t>
            </w:r>
            <w:r w:rsidR="003E69F5" w:rsidRPr="002C5DDB">
              <w:rPr>
                <w:sz w:val="20"/>
                <w:szCs w:val="20"/>
              </w:rPr>
              <w:t>wrot „w ramach ustalonych i udokumentowanych procedur” jest zbyt ogólny jak na wyjątek od integralności i zakazu usuwania dokumentów w systemie, któremu projekt przypisuje istotne skutki prawne.</w:t>
            </w:r>
          </w:p>
          <w:p w14:paraId="41F4EB0B" w14:textId="77777777" w:rsidR="003E69F5" w:rsidRPr="002C5DDB" w:rsidRDefault="003E69F5" w:rsidP="006761CF">
            <w:pPr>
              <w:rPr>
                <w:sz w:val="20"/>
                <w:szCs w:val="20"/>
              </w:rPr>
            </w:pPr>
          </w:p>
        </w:tc>
      </w:tr>
      <w:tr w:rsidR="003E69F5" w:rsidRPr="002C5DDB" w14:paraId="09267CB3" w14:textId="6BE9CA61" w:rsidTr="003E69F5">
        <w:tc>
          <w:tcPr>
            <w:tcW w:w="0" w:type="auto"/>
          </w:tcPr>
          <w:p w14:paraId="3E5EB4FF" w14:textId="7492590F" w:rsidR="003E69F5" w:rsidRPr="002C5DDB" w:rsidRDefault="003E69F5" w:rsidP="00F1742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2227FD75" w14:textId="5242FBD7" w:rsidR="003E69F5" w:rsidRPr="002C5DDB" w:rsidRDefault="003E69F5" w:rsidP="00F1742E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52527F31" w14:textId="77777777" w:rsidR="003E69F5" w:rsidRPr="002C5DDB" w:rsidRDefault="003E69F5" w:rsidP="00F1742E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41E64B80" w14:textId="784B08F5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1 pkt 2 lit. b</w:t>
            </w:r>
          </w:p>
          <w:p w14:paraId="3AEB3907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6CF79EFA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zmieniającej,</w:t>
            </w:r>
          </w:p>
          <w:p w14:paraId="729ACA10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projektowany</w:t>
            </w:r>
          </w:p>
          <w:p w14:paraId="3746C1B9" w14:textId="7E0B9566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6 ust.1p</w:t>
            </w:r>
          </w:p>
          <w:p w14:paraId="30829E11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ustawy</w:t>
            </w:r>
          </w:p>
          <w:p w14:paraId="1DF6AD12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zmienianej.</w:t>
            </w:r>
          </w:p>
        </w:tc>
        <w:tc>
          <w:tcPr>
            <w:tcW w:w="0" w:type="auto"/>
          </w:tcPr>
          <w:p w14:paraId="1B5A5C8A" w14:textId="03CEE7F8" w:rsidR="003E69F5" w:rsidRPr="002C5DDB" w:rsidRDefault="003E69F5" w:rsidP="00F1742E">
            <w:pPr>
              <w:jc w:val="both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W projektowanym art. 6 ust. 1p wskazano, że: </w:t>
            </w:r>
            <w:r w:rsidRPr="002C5DDB">
              <w:rPr>
                <w:i/>
                <w:iCs/>
                <w:sz w:val="20"/>
                <w:szCs w:val="20"/>
              </w:rPr>
              <w:t xml:space="preserve">„1p. Brakowanie dokumentów elektronicznych, o których mowa w ust. 1c, stanowiących dokumentację niearchiwalną odbywa się w trybie określonym w przepisach wydanych na podstawie </w:t>
            </w:r>
            <w:r w:rsidRPr="002C5DDB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art. 5 ust. 2 pkt 1 </w:t>
            </w:r>
            <w:r w:rsidRPr="002C5DDB">
              <w:rPr>
                <w:i/>
                <w:iCs/>
                <w:sz w:val="20"/>
                <w:szCs w:val="20"/>
              </w:rPr>
              <w:t>i prowadzi do ich zniszczenia wraz z metadanymi je opisującymi, w sposób właściwy dla danej technologii zapisu”.</w:t>
            </w:r>
            <w:r w:rsidRPr="002C5DDB">
              <w:rPr>
                <w:sz w:val="20"/>
                <w:szCs w:val="20"/>
              </w:rPr>
              <w:t xml:space="preserve"> </w:t>
            </w:r>
          </w:p>
          <w:p w14:paraId="749CDB2B" w14:textId="74E4C025" w:rsidR="003E69F5" w:rsidRPr="002C5DDB" w:rsidRDefault="003E69F5" w:rsidP="00F1742E">
            <w:pPr>
              <w:jc w:val="both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Powyższy przepis odsyła do obecnego brzmienia </w:t>
            </w:r>
            <w:r w:rsidRPr="002C5DDB">
              <w:rPr>
                <w:b/>
                <w:bCs/>
                <w:sz w:val="20"/>
                <w:szCs w:val="20"/>
              </w:rPr>
              <w:t>art. 5 ust. 2 pkt 1 UNZA</w:t>
            </w:r>
            <w:r w:rsidRPr="002C5DDB">
              <w:rPr>
                <w:sz w:val="20"/>
                <w:szCs w:val="20"/>
              </w:rPr>
              <w:t xml:space="preserve"> o treści: </w:t>
            </w:r>
            <w:r w:rsidRPr="002C5DDB">
              <w:rPr>
                <w:i/>
                <w:iCs/>
                <w:sz w:val="20"/>
                <w:szCs w:val="20"/>
              </w:rPr>
              <w:t>„Minister właściwy do spraw kultury i ochrony dziedzictwa narodowego, po zasięgnięciu opinii Naczelnego Dyrektora Archiwów Państwowych, w drodze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rozporządzenia: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1) określi: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a) metody kwalifikowania i metodę klasyfikowania dokumentacji,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b) rodzaje oznaczeń kategorii archiwalnych,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c) elementy jednolitego rzeczowego wykazu akt,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 xml:space="preserve">d) wzór budowy jednolitego rzeczowego </w:t>
            </w:r>
            <w:r w:rsidRPr="002C5DDB">
              <w:rPr>
                <w:i/>
                <w:iCs/>
                <w:sz w:val="20"/>
                <w:szCs w:val="20"/>
              </w:rPr>
              <w:lastRenderedPageBreak/>
              <w:t>wykazu akt,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e) wzór budowy kwalifikatora dokumentacji,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f) standardy porządkowania, ewidencjonowania i technicznego zabezpieczania materiałów archiwalnych przed ich przekazaniem do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archiwów państwowych,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g) szczegółowy tryb przekazywania materiałów archiwalnych do archiwów państwowych,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b/>
                <w:bCs/>
                <w:i/>
                <w:iCs/>
                <w:sz w:val="20"/>
                <w:szCs w:val="20"/>
                <w:u w:val="single"/>
              </w:rPr>
              <w:t>h  szczegółowy tryb brakowania dokumentacji niearchiwalnej,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i) właściwość archiwów państwowych w sprawach, o których mowa w lit. g i h, w tym właściwość archiwów państwowych dla naczelnych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i centralnych organów władzy i administracji rządowej oraz innych centralnych jednostek organizacyjnych, a także dla rodzajów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przejmowanych materiałów archiwalnych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– mając na uwadze wartość historyczną dokumentacji lub utratę jej znaczenia i potrzebę ochrony dokumentacji przed uszkodzeniem, zniszczeniem lub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>utratą oraz kierując się zakresem stosowania systemów teleinformatycznych w załatwianiu i rozstrzyganiu spraw”.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bCs/>
                <w:sz w:val="20"/>
                <w:szCs w:val="20"/>
              </w:rPr>
              <w:t xml:space="preserve">Należy zwrócić szczególną uwagę na treść lit. h (po części również i) </w:t>
            </w:r>
            <w:r w:rsidRPr="002C5DDB">
              <w:rPr>
                <w:b/>
                <w:bCs/>
                <w:sz w:val="20"/>
                <w:szCs w:val="20"/>
              </w:rPr>
              <w:t>art. 5 ust. 2 pkt 1 UNZA</w:t>
            </w:r>
            <w:r w:rsidRPr="002C5DDB">
              <w:rPr>
                <w:bCs/>
                <w:sz w:val="20"/>
                <w:szCs w:val="20"/>
              </w:rPr>
              <w:t xml:space="preserve">, ponieważ odnosi się on do określenia szczegółowego trybu brakowania dokumentacji niearchiwalnej w archiwach zakładowych sfery cywilnej podlegających nadzorowi Naczelnego Dyrektora Archiwów Państwowych. Niemniej – w odniesieniu do archiwów wyodrębnionych – </w:t>
            </w:r>
            <w:r w:rsidRPr="002C5DDB">
              <w:rPr>
                <w:b/>
                <w:sz w:val="20"/>
                <w:szCs w:val="20"/>
                <w:u w:val="single"/>
              </w:rPr>
              <w:t xml:space="preserve">tryb brakowania dokumentacji niearchiwalnej określany jest </w:t>
            </w:r>
            <w:r w:rsidRPr="002C5DDB">
              <w:rPr>
                <w:b/>
                <w:sz w:val="20"/>
                <w:szCs w:val="20"/>
                <w:u w:val="single"/>
              </w:rPr>
              <w:lastRenderedPageBreak/>
              <w:t>na podstawie art. 5 ust. 3 obecnego brzmienia UNZA:</w:t>
            </w:r>
            <w:r w:rsidRPr="002C5DDB">
              <w:rPr>
                <w:sz w:val="20"/>
                <w:szCs w:val="20"/>
              </w:rPr>
              <w:t xml:space="preserve"> </w:t>
            </w:r>
            <w:r w:rsidRPr="002C5DDB">
              <w:rPr>
                <w:i/>
                <w:iCs/>
                <w:sz w:val="20"/>
                <w:szCs w:val="20"/>
              </w:rPr>
              <w:t xml:space="preserve">„3. </w:t>
            </w:r>
            <w:r w:rsidRPr="002C5DDB">
              <w:rPr>
                <w:b/>
                <w:bCs/>
                <w:i/>
                <w:iCs/>
                <w:sz w:val="20"/>
                <w:szCs w:val="20"/>
              </w:rPr>
              <w:t xml:space="preserve">Tryb brakowania dokumentacji niearchiwalnej </w:t>
            </w:r>
            <w:r w:rsidRPr="002C5DDB">
              <w:rPr>
                <w:i/>
                <w:iCs/>
                <w:sz w:val="20"/>
                <w:szCs w:val="20"/>
              </w:rPr>
              <w:t xml:space="preserve">oraz sposób postępowania z materiałami archiwalnymi i dokumentacją niearchiwalną w przypadku trwałego zaprzestania działalności przez organy lub jednostki organizacyjne, w tym podległych i nadzorowanych, </w:t>
            </w:r>
            <w:r w:rsidRPr="002C5DDB">
              <w:rPr>
                <w:b/>
                <w:bCs/>
                <w:i/>
                <w:iCs/>
                <w:sz w:val="20"/>
                <w:szCs w:val="20"/>
              </w:rPr>
              <w:t xml:space="preserve">określają, w drodze zarządzenia, w odniesieniu do: </w:t>
            </w:r>
            <w:r w:rsidRPr="002C5DDB">
              <w:rPr>
                <w:i/>
                <w:iCs/>
                <w:sz w:val="20"/>
                <w:szCs w:val="20"/>
              </w:rPr>
              <w:t>(…)”.</w:t>
            </w:r>
          </w:p>
          <w:p w14:paraId="4090F3F0" w14:textId="6877120A" w:rsidR="003E69F5" w:rsidRPr="002C5DDB" w:rsidRDefault="003E69F5" w:rsidP="00F1742E">
            <w:pPr>
              <w:jc w:val="both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 związku z powyższym KGP proponuje rozszerzenie treści art. 6 ust. 1p.</w:t>
            </w:r>
          </w:p>
        </w:tc>
        <w:tc>
          <w:tcPr>
            <w:tcW w:w="0" w:type="auto"/>
          </w:tcPr>
          <w:p w14:paraId="13EB06A5" w14:textId="66066DC8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i/>
                <w:iCs/>
                <w:sz w:val="20"/>
                <w:szCs w:val="20"/>
              </w:rPr>
              <w:lastRenderedPageBreak/>
              <w:t xml:space="preserve">„1p. Brakowanie dokumentów elektronicznych, o których mowa w ust. 1c, stanowiących dokumentację niearchiwalną odbywa się w trybie określonym w przepisach wydanych </w:t>
            </w:r>
            <w:r w:rsidRPr="002C5DDB">
              <w:rPr>
                <w:i/>
                <w:iCs/>
                <w:sz w:val="20"/>
                <w:szCs w:val="20"/>
              </w:rPr>
              <w:br/>
              <w:t xml:space="preserve">na podstawie </w:t>
            </w:r>
            <w:r w:rsidRPr="002C5DDB">
              <w:rPr>
                <w:i/>
                <w:iCs/>
                <w:sz w:val="20"/>
                <w:szCs w:val="20"/>
                <w:u w:val="single"/>
              </w:rPr>
              <w:t>art. 5 ust. 2 pkt 1 i ust. 3 oraz</w:t>
            </w:r>
            <w:r w:rsidRPr="002C5DDB">
              <w:rPr>
                <w:i/>
                <w:iCs/>
                <w:sz w:val="20"/>
                <w:szCs w:val="20"/>
              </w:rPr>
              <w:t xml:space="preserve"> prowadzi do ich zniszczenia wraz z metadanymi je opisującymi, w sposób właściwy dla danej technologii zapisu”.</w:t>
            </w:r>
          </w:p>
          <w:p w14:paraId="3A6AB438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676C79C" w14:textId="77777777" w:rsidR="003E69F5" w:rsidRPr="002C5DDB" w:rsidRDefault="003E69F5" w:rsidP="00235179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uwzględniona</w:t>
            </w:r>
          </w:p>
          <w:p w14:paraId="2491434F" w14:textId="77777777" w:rsidR="003E69F5" w:rsidRPr="002C5DDB" w:rsidRDefault="003E69F5" w:rsidP="00235179">
            <w:pPr>
              <w:rPr>
                <w:sz w:val="20"/>
                <w:szCs w:val="20"/>
              </w:rPr>
            </w:pPr>
          </w:p>
          <w:p w14:paraId="242E12E0" w14:textId="54AA3870" w:rsidR="003E69F5" w:rsidRPr="002C5DDB" w:rsidRDefault="003E69F5" w:rsidP="00235179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Dokonano zmiany brzmienia projektowanego art. 6 ust. 1p:</w:t>
            </w:r>
          </w:p>
          <w:p w14:paraId="2A909EBD" w14:textId="029B8AF2" w:rsidR="003E69F5" w:rsidRPr="002C5DDB" w:rsidRDefault="003E69F5" w:rsidP="00235179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1p. Brakowanie dokumentów elektronicznych, o których mowa w ust. 1c, stanowiących dokumentację niearchiwalną odbywa się w trybie określonym w przepisach wydanych na podstawie art. 5 ust. 2 pkt 1 oraz ust. 3 i prowadzi do ich zniszczenia wraz z metadanymi je opisującymi, w sposób właściwy dla danej technologii zapisu.</w:t>
            </w:r>
          </w:p>
        </w:tc>
        <w:tc>
          <w:tcPr>
            <w:tcW w:w="0" w:type="auto"/>
          </w:tcPr>
          <w:p w14:paraId="108B94D3" w14:textId="7A391629" w:rsidR="003E69F5" w:rsidRPr="002C5DDB" w:rsidRDefault="003E69F5" w:rsidP="00235179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Akceptacja</w:t>
            </w:r>
          </w:p>
        </w:tc>
      </w:tr>
      <w:tr w:rsidR="003E69F5" w:rsidRPr="002C5DDB" w14:paraId="6E0EE743" w14:textId="55D91E4C" w:rsidTr="003E69F5">
        <w:tc>
          <w:tcPr>
            <w:tcW w:w="0" w:type="auto"/>
          </w:tcPr>
          <w:p w14:paraId="162C7970" w14:textId="42618A9C" w:rsidR="003E69F5" w:rsidRPr="002C5DDB" w:rsidRDefault="003E69F5" w:rsidP="00F1742E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</w:tcPr>
          <w:p w14:paraId="32111A80" w14:textId="14C27C32" w:rsidR="003E69F5" w:rsidRPr="002C5DDB" w:rsidRDefault="003E69F5" w:rsidP="00F1742E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433B8A7D" w14:textId="77777777" w:rsidR="003E69F5" w:rsidRPr="002C5DDB" w:rsidRDefault="003E69F5" w:rsidP="00F1742E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5E3CBE37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Art. 2 i 3 projektu.</w:t>
            </w:r>
          </w:p>
        </w:tc>
        <w:tc>
          <w:tcPr>
            <w:tcW w:w="0" w:type="auto"/>
          </w:tcPr>
          <w:p w14:paraId="5B5A37E5" w14:textId="77777777" w:rsidR="003E69F5" w:rsidRPr="002C5DDB" w:rsidRDefault="003E69F5" w:rsidP="00F1742E">
            <w:pPr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Proponuje się sformułowanie przepisów przejściowych (art. 2 i 3 projektu) tak, aby nie wyłączały w praktyce części cyfryzacji wykonanej przed wejściem w życie ustawy z uwagi na  wymagania stawiane systemom teleinformatycznym dopiero po wejściu w życie.</w:t>
            </w:r>
          </w:p>
        </w:tc>
        <w:tc>
          <w:tcPr>
            <w:tcW w:w="0" w:type="auto"/>
          </w:tcPr>
          <w:p w14:paraId="2F1F25F5" w14:textId="77777777" w:rsidR="003E69F5" w:rsidRPr="002C5DDB" w:rsidRDefault="003E69F5" w:rsidP="00F174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41BCB09" w14:textId="77777777" w:rsidR="003E69F5" w:rsidRPr="002C5DDB" w:rsidRDefault="003E69F5" w:rsidP="002D4596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6F99810A" w14:textId="77777777" w:rsidR="003E69F5" w:rsidRPr="002C5DDB" w:rsidRDefault="003E69F5" w:rsidP="002D4596">
            <w:pPr>
              <w:rPr>
                <w:sz w:val="20"/>
                <w:szCs w:val="20"/>
              </w:rPr>
            </w:pPr>
          </w:p>
          <w:p w14:paraId="63222D8F" w14:textId="30087523" w:rsidR="003E69F5" w:rsidRPr="002C5DDB" w:rsidRDefault="003E69F5" w:rsidP="002D4596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Celem przepisów przejściowych zawartych w art. 2, 3 i 4 projektu ustawy jest właśnie zobowiązanie jednostek organizacyjnych, które po 2011 r. wykorzystywały systemy teleinformatyczne w zakresie elektronicznego zarządzania dokumentacją, do dostosowania tych systemów do nowych wymagań ustawy. Dotychczas systemy klasy EZD w niewielkim stopniu realizowały wymagania, jakie w zakresie prawidłowości postępowania z dokumentacją nakładały na nie obowiązujące regulacje prawne, w tym przede wszystkim przepisy rozporządzenia Ministra Spraw Wewnętrznych i Administracji z dnia 30 października 2006 r. w sprawie szczegółowego sposobu postępowania z dokumentami elektronicznymi (Dz. U. poz. 1518). Regulacje zawarte w projekcie ustawy w zakresie wymagań dla systemów </w:t>
            </w:r>
            <w:r w:rsidRPr="002C5DDB">
              <w:rPr>
                <w:sz w:val="20"/>
                <w:szCs w:val="20"/>
              </w:rPr>
              <w:lastRenderedPageBreak/>
              <w:t xml:space="preserve">teleinformatycznych (m. in. art. 6 ust. 1a projektowanej ustawy), nie wprowadzają wielu nowych rozwiązań w zakresie prawidłowości postępowania z dokumentacją zgromadzoną w systemach teleinformatycznych, tylko porządkują i systematyzują obowiązujące już regulacje w tym zakresie, zawarte w m.in. we wspomnianym rozporządzeniu. Należy również zauważyć, że przepisy określone w art. 2, art. 3 i art. 4 projektowanej ustawy mają za zadanie umożliwić uznanie mocy prawnej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 wykonanych przed wejściem w życie ustawy. Z tego względu systemy teleinformatyczne, które dotąd gromadziły wspomnianą dokumentację, powinny zostać dostosowane do obowiązujących przepisów prawa. Zgodnie z odpowiednim fragmentem z uzasadnienia dotyczącym tej kwestii: </w:t>
            </w:r>
          </w:p>
          <w:p w14:paraId="34F18C1F" w14:textId="77777777" w:rsidR="003E69F5" w:rsidRPr="002C5DDB" w:rsidRDefault="003E69F5" w:rsidP="002D4596">
            <w:pPr>
              <w:rPr>
                <w:sz w:val="20"/>
                <w:szCs w:val="20"/>
              </w:rPr>
            </w:pPr>
          </w:p>
          <w:p w14:paraId="52550D8D" w14:textId="77777777" w:rsidR="003E69F5" w:rsidRPr="002C5DDB" w:rsidRDefault="003E69F5" w:rsidP="002D4596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(…) W celu umożliwienia uznania mocy prawnej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cyfrowych, które zostały sporządzone przed dniem wejścia w życie projektowanej ustawy, w art. 2 projektu wskazano warunek, jaki muszą spełnić te odwzorowania, tj., że zostały one wykonane w celu zapewnienia odpowiedniej ewidencji, przechowywania oraz ochrony przed uszkodzeniem, zniszczeniem bądź utratą. Określono jednocześnie datę 20 stycznia 2011 r. jako datę graniczną, oznaczającą, </w:t>
            </w:r>
            <w:r w:rsidRPr="002C5DDB">
              <w:rPr>
                <w:sz w:val="20"/>
                <w:szCs w:val="20"/>
              </w:rPr>
              <w:lastRenderedPageBreak/>
              <w:t xml:space="preserve">że mimo prawidłowego wykonania </w:t>
            </w:r>
            <w:proofErr w:type="spellStart"/>
            <w:r w:rsidRPr="002C5DDB">
              <w:rPr>
                <w:sz w:val="20"/>
                <w:szCs w:val="20"/>
              </w:rPr>
              <w:t>odwzorowań</w:t>
            </w:r>
            <w:proofErr w:type="spellEnd"/>
            <w:r w:rsidRPr="002C5DDB">
              <w:rPr>
                <w:sz w:val="20"/>
                <w:szCs w:val="20"/>
              </w:rPr>
              <w:t xml:space="preserve"> cyfrowych, dokumentacja sporządzona w postaci innej niż elektroniczna przed dniem 20 stycznia 2011 r. (art. 4 projektu) nie może ulec brakowaniu, zgodnie z trybem wskazanym w zmienionym art. 6. Wskazanie tej daty jest związane z terminem wejścia w życie (20 stycznia 2011 r.) rozporządzenia Prezesa Rady Ministrów z dnia 18 stycznia 2011 r. w sprawie instrukcji kancelaryjnej, jednolitych rzeczowych wykazów akt oraz instrukcji w sprawie organizacji i zakresu działania archiwów zakładowych, które określiło szczegółowe zasady i tryb wykonywania czynności kancelaryjnych, w szczególności wykonywanie czynności kancelaryjnych w systemie teleinformatycznym, w tym elektronicznego zarządzania dokumentacją. Rozporządzenie to dotyczy organów gminy i związków międzygminnych, organów powiatu, organów samorządu województwa i organów zespolonej administracji rządowej w województwie, a także urzędów obsługujących te organy i związki, a więc znacznej części podmiotów, o których mowa w art. 5 ust. 1 ustawy.</w:t>
            </w:r>
          </w:p>
          <w:p w14:paraId="267F1F2A" w14:textId="77777777" w:rsidR="003E69F5" w:rsidRPr="002C5DDB" w:rsidRDefault="003E69F5" w:rsidP="002D4596">
            <w:pPr>
              <w:rPr>
                <w:sz w:val="20"/>
                <w:szCs w:val="20"/>
              </w:rPr>
            </w:pPr>
          </w:p>
          <w:p w14:paraId="58FFF2B5" w14:textId="4F14A1EF" w:rsidR="003E69F5" w:rsidRPr="002C5DDB" w:rsidRDefault="003E69F5" w:rsidP="002D4596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0" w:type="auto"/>
          </w:tcPr>
          <w:p w14:paraId="6F605DEF" w14:textId="1DE15071" w:rsidR="0011148E" w:rsidRPr="002C5DDB" w:rsidRDefault="003E69F5" w:rsidP="0011148E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 xml:space="preserve">Uwaga </w:t>
            </w:r>
            <w:r w:rsidR="0011148E" w:rsidRPr="002C5DDB">
              <w:rPr>
                <w:b/>
                <w:sz w:val="20"/>
                <w:szCs w:val="20"/>
              </w:rPr>
              <w:t>podtrzymana przez KGP.</w:t>
            </w:r>
            <w:r w:rsidRPr="002C5DDB">
              <w:rPr>
                <w:b/>
                <w:sz w:val="20"/>
                <w:szCs w:val="20"/>
              </w:rPr>
              <w:t xml:space="preserve"> </w:t>
            </w:r>
          </w:p>
          <w:p w14:paraId="4561A5C9" w14:textId="77777777" w:rsidR="0011148E" w:rsidRPr="002C5DDB" w:rsidRDefault="0011148E" w:rsidP="0011148E">
            <w:pPr>
              <w:rPr>
                <w:sz w:val="20"/>
                <w:szCs w:val="20"/>
              </w:rPr>
            </w:pPr>
          </w:p>
          <w:p w14:paraId="21A9D82A" w14:textId="330E445E" w:rsidR="003E69F5" w:rsidRPr="002C5DDB" w:rsidRDefault="0011148E" w:rsidP="0011148E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</w:t>
            </w:r>
            <w:r w:rsidR="003E69F5" w:rsidRPr="002C5DDB">
              <w:rPr>
                <w:sz w:val="20"/>
                <w:szCs w:val="20"/>
              </w:rPr>
              <w:t xml:space="preserve">rzepisy przejściowe mogą w praktyce uzależnić skuteczność wcześniejszej cyfryzacji od standardów doprecyzowanych dopiero w nowelizacji, co rodzi ryzyko pośredniego zaostrzenia warunków uznania </w:t>
            </w:r>
            <w:proofErr w:type="spellStart"/>
            <w:r w:rsidR="003E69F5" w:rsidRPr="002C5DDB">
              <w:rPr>
                <w:sz w:val="20"/>
                <w:szCs w:val="20"/>
              </w:rPr>
              <w:t>odwzorowań</w:t>
            </w:r>
            <w:proofErr w:type="spellEnd"/>
            <w:r w:rsidR="003E69F5" w:rsidRPr="002C5DDB">
              <w:rPr>
                <w:sz w:val="20"/>
                <w:szCs w:val="20"/>
              </w:rPr>
              <w:t xml:space="preserve"> cyfrowych.</w:t>
            </w:r>
          </w:p>
        </w:tc>
      </w:tr>
      <w:tr w:rsidR="003E69F5" w:rsidRPr="002C5DDB" w14:paraId="531277DA" w14:textId="0BD694C9" w:rsidTr="003E69F5">
        <w:tc>
          <w:tcPr>
            <w:tcW w:w="0" w:type="auto"/>
          </w:tcPr>
          <w:p w14:paraId="1A2FC3E9" w14:textId="71F20184" w:rsidR="003E69F5" w:rsidRPr="002C5DDB" w:rsidRDefault="003E69F5" w:rsidP="00A064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</w:tcPr>
          <w:p w14:paraId="04235206" w14:textId="204B71F5" w:rsidR="003E69F5" w:rsidRPr="002C5DDB" w:rsidRDefault="003E69F5" w:rsidP="004D086F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357B7DD0" w14:textId="200EEAFC" w:rsidR="003E69F5" w:rsidRPr="002C5DDB" w:rsidRDefault="003E69F5" w:rsidP="004D086F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5D9668EE" w14:textId="046D5303" w:rsidR="003E69F5" w:rsidRPr="002C5DDB" w:rsidRDefault="003E69F5" w:rsidP="004D086F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  <w:lang w:eastAsia="ar-SA"/>
              </w:rPr>
              <w:t>Uwaga ogólna</w:t>
            </w:r>
          </w:p>
        </w:tc>
        <w:tc>
          <w:tcPr>
            <w:tcW w:w="0" w:type="auto"/>
          </w:tcPr>
          <w:p w14:paraId="6E446087" w14:textId="35697037" w:rsidR="003E69F5" w:rsidRPr="002C5DDB" w:rsidRDefault="003E69F5" w:rsidP="00D41F65">
            <w:pPr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 xml:space="preserve">Proponuje się doprecyzowanie relacji nowych rozporządzeń do systemu przepisów wykonawczych wydanych na podstawie Ustawy o informatyzacji (w tym KRI) oraz </w:t>
            </w:r>
            <w:r w:rsidRPr="002C5DDB">
              <w:rPr>
                <w:sz w:val="20"/>
                <w:szCs w:val="20"/>
                <w:lang w:eastAsia="ar-SA"/>
              </w:rPr>
              <w:lastRenderedPageBreak/>
              <w:t>dodanie przepisów przejściowych o utrzymaniu w mocy dotychczasowych aktów wykonawczych do czasu wydania nowych. B</w:t>
            </w:r>
            <w:r w:rsidRPr="002C5DDB">
              <w:rPr>
                <w:color w:val="000000"/>
                <w:sz w:val="20"/>
                <w:szCs w:val="20"/>
                <w:lang w:eastAsia="ar-SA"/>
              </w:rPr>
              <w:t>rak jest przepisu przejściowego zabezpieczającego ciągłość obowiązywania dotychczasowych przepisów wykonawczych, w szczególności w związku ze zmianą właściwości organu wydającego rozporządzenie na podstawie projektowanego art. 5 ust. 2c.</w:t>
            </w:r>
          </w:p>
        </w:tc>
        <w:tc>
          <w:tcPr>
            <w:tcW w:w="0" w:type="auto"/>
          </w:tcPr>
          <w:p w14:paraId="503814BA" w14:textId="77777777" w:rsidR="003E69F5" w:rsidRPr="002C5DDB" w:rsidRDefault="003E69F5" w:rsidP="004D08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66DE32" w14:textId="77777777" w:rsidR="003E69F5" w:rsidRPr="002C5DDB" w:rsidRDefault="003E69F5" w:rsidP="00A22A5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 xml:space="preserve">Uwaga nieuwzględniona. </w:t>
            </w:r>
          </w:p>
          <w:p w14:paraId="23135683" w14:textId="77777777" w:rsidR="003E69F5" w:rsidRPr="002C5DDB" w:rsidRDefault="003E69F5" w:rsidP="00A22A55">
            <w:pPr>
              <w:rPr>
                <w:sz w:val="20"/>
                <w:szCs w:val="20"/>
              </w:rPr>
            </w:pPr>
          </w:p>
          <w:p w14:paraId="68BD4353" w14:textId="77777777" w:rsidR="003E69F5" w:rsidRPr="002C5DDB" w:rsidRDefault="003E69F5" w:rsidP="00A22A5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Projekt przewiduje długi okres vacatio legis (12 miesięcy), w ciągu, którego nowe akty </w:t>
            </w:r>
            <w:r w:rsidRPr="002C5DDB">
              <w:rPr>
                <w:sz w:val="20"/>
                <w:szCs w:val="20"/>
              </w:rPr>
              <w:lastRenderedPageBreak/>
              <w:t>wykonawcze powinny zostać wydane. Nie będzie więc zachodził brak regulacji.</w:t>
            </w:r>
          </w:p>
          <w:p w14:paraId="2B7C3D17" w14:textId="77777777" w:rsidR="003E69F5" w:rsidRPr="002C5DDB" w:rsidRDefault="003E69F5" w:rsidP="00A22A55">
            <w:pPr>
              <w:rPr>
                <w:sz w:val="20"/>
                <w:szCs w:val="20"/>
              </w:rPr>
            </w:pPr>
          </w:p>
          <w:p w14:paraId="127FFCD0" w14:textId="5782D24B" w:rsidR="003E69F5" w:rsidRPr="002C5DDB" w:rsidRDefault="003E69F5" w:rsidP="00A22A55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0" w:type="auto"/>
          </w:tcPr>
          <w:p w14:paraId="0412A8C5" w14:textId="77777777" w:rsidR="0011148E" w:rsidRPr="002C5DDB" w:rsidRDefault="003E69F5" w:rsidP="00A22A5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Uwaga podtrzymana</w:t>
            </w:r>
            <w:r w:rsidR="0011148E" w:rsidRPr="002C5DDB">
              <w:rPr>
                <w:b/>
                <w:sz w:val="20"/>
                <w:szCs w:val="20"/>
              </w:rPr>
              <w:t xml:space="preserve"> przez KGP.</w:t>
            </w:r>
          </w:p>
          <w:p w14:paraId="4E21EF7A" w14:textId="234408CF" w:rsidR="0011148E" w:rsidRPr="002C5DDB" w:rsidRDefault="003E69F5" w:rsidP="00A22A5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 xml:space="preserve"> </w:t>
            </w:r>
          </w:p>
          <w:p w14:paraId="757070A3" w14:textId="40DCF1E7" w:rsidR="003E69F5" w:rsidRPr="002C5DDB" w:rsidRDefault="0011148E" w:rsidP="00A22A5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S</w:t>
            </w:r>
            <w:r w:rsidR="003E69F5" w:rsidRPr="002C5DDB">
              <w:rPr>
                <w:sz w:val="20"/>
                <w:szCs w:val="20"/>
              </w:rPr>
              <w:t xml:space="preserve">amo 12-miesięczne vacatio legis nie zastępuje przepisu </w:t>
            </w:r>
            <w:r w:rsidR="003E69F5" w:rsidRPr="002C5DDB">
              <w:rPr>
                <w:sz w:val="20"/>
                <w:szCs w:val="20"/>
              </w:rPr>
              <w:lastRenderedPageBreak/>
              <w:t>przejściowego gwarantującego ciągłość stosowania dotychczasowych aktów wykonawczych oraz nie usuwa ryzyka niepewności interpretacyjnej.</w:t>
            </w:r>
          </w:p>
        </w:tc>
      </w:tr>
      <w:tr w:rsidR="003E69F5" w:rsidRPr="002C5DDB" w14:paraId="59925E50" w14:textId="759E0E94" w:rsidTr="003E69F5">
        <w:tc>
          <w:tcPr>
            <w:tcW w:w="0" w:type="auto"/>
          </w:tcPr>
          <w:p w14:paraId="408CB887" w14:textId="5AE1508D" w:rsidR="003E69F5" w:rsidRPr="002C5DDB" w:rsidRDefault="003E69F5" w:rsidP="00057A2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</w:tcPr>
          <w:p w14:paraId="095F8C77" w14:textId="513E3038" w:rsidR="003E69F5" w:rsidRPr="002C5DDB" w:rsidRDefault="003E69F5" w:rsidP="00057A28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718FFA97" w14:textId="40A1148A" w:rsidR="003E69F5" w:rsidRPr="002C5DDB" w:rsidRDefault="003E69F5" w:rsidP="00057A28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3B8D741B" w14:textId="21B26AB1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  <w:lang w:eastAsia="ar-SA"/>
              </w:rPr>
              <w:t>Uwaga ogólna</w:t>
            </w:r>
          </w:p>
        </w:tc>
        <w:tc>
          <w:tcPr>
            <w:tcW w:w="0" w:type="auto"/>
          </w:tcPr>
          <w:p w14:paraId="3CAC1663" w14:textId="7DD7660E" w:rsidR="003E69F5" w:rsidRPr="002C5DDB" w:rsidRDefault="003E69F5" w:rsidP="00057A28">
            <w:pPr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Odesłanie do wzorów/plików udostępnianych w BIP Naczelnego Dyrektora Archiwów Państwowych (m.in. wymóg plików XML) jako elementu obowiązków prawnych niesie za sobą ryzyko naruszenia zasady określoności i przenoszenia norm poza źródła prawa</w:t>
            </w:r>
          </w:p>
        </w:tc>
        <w:tc>
          <w:tcPr>
            <w:tcW w:w="0" w:type="auto"/>
          </w:tcPr>
          <w:p w14:paraId="30E3A0FE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B066632" w14:textId="6F8B79EE" w:rsidR="003E69F5" w:rsidRPr="002C5DDB" w:rsidRDefault="003E69F5" w:rsidP="00A22A5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09824786" w14:textId="77777777" w:rsidR="003E69F5" w:rsidRPr="002C5DDB" w:rsidRDefault="003E69F5" w:rsidP="00A22A55">
            <w:pPr>
              <w:rPr>
                <w:sz w:val="20"/>
                <w:szCs w:val="20"/>
              </w:rPr>
            </w:pPr>
          </w:p>
          <w:p w14:paraId="391DE784" w14:textId="5768D028" w:rsidR="003E69F5" w:rsidRPr="002C5DDB" w:rsidRDefault="003E69F5" w:rsidP="00A22A5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W powszechnie obowiązujących aktach normatywnych praktykuje się odsyłanie do wzorów, struktur logicznych, itd. zamieszczanych w BIP. Przykładowo wymienić można:</w:t>
            </w:r>
          </w:p>
          <w:p w14:paraId="1346AAC0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1) § 3 rozporządzenia Ministra Finansów – Dz. U. z 2017 r. poz. 2460;</w:t>
            </w:r>
          </w:p>
          <w:p w14:paraId="72F1BFC4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2) § 2 ust. 4 rozporządzenia Ministra Finansów – Dz. U. z 2025 r. poz. 856;</w:t>
            </w:r>
          </w:p>
          <w:p w14:paraId="6AA4F71D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3) § 1 ust. 3 rozporządzenia Ministra Finansów – Dz. U. z 2018 r. poz. 2504.</w:t>
            </w:r>
          </w:p>
          <w:p w14:paraId="4E05FDC5" w14:textId="77777777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</w:p>
          <w:p w14:paraId="27A3FFA0" w14:textId="649944AC" w:rsidR="003E69F5" w:rsidRPr="002C5DDB" w:rsidRDefault="003E69F5" w:rsidP="005D7D7E">
            <w:pPr>
              <w:jc w:val="both"/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0" w:type="auto"/>
          </w:tcPr>
          <w:p w14:paraId="2B63048B" w14:textId="041B2601" w:rsidR="0011148E" w:rsidRPr="002C5DDB" w:rsidRDefault="003E69F5" w:rsidP="00A22A55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 xml:space="preserve">Uwaga </w:t>
            </w:r>
            <w:r w:rsidR="0011148E" w:rsidRPr="002C5DDB">
              <w:rPr>
                <w:b/>
                <w:sz w:val="20"/>
                <w:szCs w:val="20"/>
              </w:rPr>
              <w:t>podtrzymana przez KGP.</w:t>
            </w:r>
            <w:r w:rsidRPr="002C5DDB">
              <w:rPr>
                <w:b/>
                <w:sz w:val="20"/>
                <w:szCs w:val="20"/>
              </w:rPr>
              <w:t xml:space="preserve"> </w:t>
            </w:r>
          </w:p>
          <w:p w14:paraId="2A139E7B" w14:textId="55D77829" w:rsidR="003E69F5" w:rsidRPr="002C5DDB" w:rsidRDefault="0011148E" w:rsidP="00A22A55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J</w:t>
            </w:r>
            <w:r w:rsidR="003E69F5" w:rsidRPr="002C5DDB">
              <w:rPr>
                <w:sz w:val="20"/>
                <w:szCs w:val="20"/>
              </w:rPr>
              <w:t>eżeli treść takiego wzoru będzie mogła być zmieniana p</w:t>
            </w:r>
            <w:r w:rsidRPr="002C5DDB">
              <w:rPr>
                <w:sz w:val="20"/>
                <w:szCs w:val="20"/>
              </w:rPr>
              <w:t>rzez publikację w BIP, to</w:t>
            </w:r>
            <w:bookmarkStart w:id="0" w:name="_GoBack"/>
            <w:r w:rsidRPr="0045401F">
              <w:rPr>
                <w:sz w:val="20"/>
                <w:szCs w:val="20"/>
              </w:rPr>
              <w:t xml:space="preserve"> faktyczny</w:t>
            </w:r>
            <w:r w:rsidR="003E69F5" w:rsidRPr="0045401F">
              <w:rPr>
                <w:sz w:val="20"/>
                <w:szCs w:val="20"/>
              </w:rPr>
              <w:t xml:space="preserve"> </w:t>
            </w:r>
            <w:bookmarkEnd w:id="0"/>
            <w:r w:rsidR="003E69F5" w:rsidRPr="002C5DDB">
              <w:rPr>
                <w:sz w:val="20"/>
                <w:szCs w:val="20"/>
              </w:rPr>
              <w:t>standard obowiązku może się zmieniać poza trybem stanowienia prawa powszechnie obowiązującego</w:t>
            </w:r>
            <w:r w:rsidR="003E69F5" w:rsidRPr="002C5DDB">
              <w:rPr>
                <w:color w:val="1F3864" w:themeColor="accent5" w:themeShade="80"/>
                <w:sz w:val="20"/>
                <w:szCs w:val="20"/>
              </w:rPr>
              <w:t>.</w:t>
            </w:r>
          </w:p>
        </w:tc>
      </w:tr>
      <w:tr w:rsidR="003E69F5" w:rsidRPr="002C5DDB" w14:paraId="600D2FE9" w14:textId="4DB3A84E" w:rsidTr="003E69F5">
        <w:tc>
          <w:tcPr>
            <w:tcW w:w="0" w:type="auto"/>
          </w:tcPr>
          <w:p w14:paraId="7904ECF7" w14:textId="08B83487" w:rsidR="003E69F5" w:rsidRPr="002C5DDB" w:rsidRDefault="003E69F5" w:rsidP="00057A28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14:paraId="59CCA9FC" w14:textId="1CB44F68" w:rsidR="003E69F5" w:rsidRPr="002C5DDB" w:rsidRDefault="003E69F5" w:rsidP="00057A28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MSWiA</w:t>
            </w:r>
          </w:p>
          <w:p w14:paraId="4D03AA47" w14:textId="7E9DC42D" w:rsidR="003E69F5" w:rsidRPr="002C5DDB" w:rsidRDefault="003E69F5" w:rsidP="00057A28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Komenda Główna Policji</w:t>
            </w:r>
          </w:p>
        </w:tc>
        <w:tc>
          <w:tcPr>
            <w:tcW w:w="0" w:type="auto"/>
          </w:tcPr>
          <w:p w14:paraId="20A84B06" w14:textId="54B3CAFC" w:rsidR="003E69F5" w:rsidRPr="002C5DDB" w:rsidRDefault="003E69F5" w:rsidP="00057A28">
            <w:pPr>
              <w:jc w:val="center"/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  <w:lang w:eastAsia="ar-SA"/>
              </w:rPr>
              <w:t>Uwaga ogólna</w:t>
            </w:r>
          </w:p>
        </w:tc>
        <w:tc>
          <w:tcPr>
            <w:tcW w:w="0" w:type="auto"/>
          </w:tcPr>
          <w:p w14:paraId="7352E7DD" w14:textId="22FA3879" w:rsidR="003E69F5" w:rsidRPr="002C5DDB" w:rsidRDefault="003E69F5" w:rsidP="00AA223F">
            <w:pPr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2C5DDB">
              <w:rPr>
                <w:sz w:val="20"/>
                <w:szCs w:val="20"/>
                <w:lang w:eastAsia="ar-SA"/>
              </w:rPr>
              <w:t>Projekt wprowadza odmienną definicję „integralności” niż przyjęta w KRI – rekomendowane jest odwołanie się do pojęć KRI (integralność jako brak nieuprawnionej modyfikacji) albo ujednolicenie brzmienia w obu aktach prawnych.</w:t>
            </w:r>
          </w:p>
        </w:tc>
        <w:tc>
          <w:tcPr>
            <w:tcW w:w="0" w:type="auto"/>
          </w:tcPr>
          <w:p w14:paraId="4E95FC73" w14:textId="3F4D320F" w:rsidR="003E69F5" w:rsidRPr="002C5DDB" w:rsidRDefault="003E69F5" w:rsidP="00F2252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CC909D1" w14:textId="77777777" w:rsidR="003E69F5" w:rsidRPr="002C5DDB" w:rsidRDefault="003E69F5" w:rsidP="000A3A9B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t>Uwaga nieuwzględniona.</w:t>
            </w:r>
          </w:p>
          <w:p w14:paraId="19678F16" w14:textId="77777777" w:rsidR="003E69F5" w:rsidRPr="002C5DDB" w:rsidRDefault="003E69F5" w:rsidP="000A3A9B">
            <w:pPr>
              <w:rPr>
                <w:sz w:val="20"/>
                <w:szCs w:val="20"/>
              </w:rPr>
            </w:pPr>
          </w:p>
          <w:p w14:paraId="7EF51FF2" w14:textId="77777777" w:rsidR="003E69F5" w:rsidRPr="002C5DDB" w:rsidRDefault="003E69F5" w:rsidP="000A3A9B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Definicja integralności zawarta w projekcie ustawy dotyczy kwestii zapewnienia integralności treści gromadzonych dokumentów polegającej na zabezpieczeniu przed wprowadzaniem zmian. Jest to rozwiązanie bliskie pojęciowo KRI, ale dotyczy dokumentacji, a nie danych.</w:t>
            </w:r>
          </w:p>
          <w:p w14:paraId="118A3EC1" w14:textId="77777777" w:rsidR="003E69F5" w:rsidRPr="002C5DDB" w:rsidRDefault="003E69F5" w:rsidP="000A3A9B">
            <w:pPr>
              <w:rPr>
                <w:sz w:val="20"/>
                <w:szCs w:val="20"/>
              </w:rPr>
            </w:pPr>
          </w:p>
          <w:p w14:paraId="3E85FF85" w14:textId="77777777" w:rsidR="003E69F5" w:rsidRPr="002C5DDB" w:rsidRDefault="003E69F5" w:rsidP="000A3A9B">
            <w:pPr>
              <w:rPr>
                <w:sz w:val="20"/>
                <w:szCs w:val="20"/>
              </w:rPr>
            </w:pPr>
          </w:p>
          <w:p w14:paraId="6B02A8A8" w14:textId="299F81F8" w:rsidR="003E69F5" w:rsidRPr="002C5DDB" w:rsidRDefault="003E69F5" w:rsidP="005D7D7E">
            <w:pPr>
              <w:rPr>
                <w:color w:val="1F3864" w:themeColor="accent5" w:themeShade="80"/>
                <w:sz w:val="20"/>
                <w:szCs w:val="20"/>
              </w:rPr>
            </w:pPr>
          </w:p>
        </w:tc>
        <w:tc>
          <w:tcPr>
            <w:tcW w:w="0" w:type="auto"/>
          </w:tcPr>
          <w:p w14:paraId="3110E229" w14:textId="55D0FDAC" w:rsidR="0011148E" w:rsidRPr="002C5DDB" w:rsidRDefault="003E69F5" w:rsidP="000A3A9B">
            <w:pPr>
              <w:rPr>
                <w:b/>
                <w:sz w:val="20"/>
                <w:szCs w:val="20"/>
              </w:rPr>
            </w:pPr>
            <w:r w:rsidRPr="002C5DDB">
              <w:rPr>
                <w:b/>
                <w:sz w:val="20"/>
                <w:szCs w:val="20"/>
              </w:rPr>
              <w:lastRenderedPageBreak/>
              <w:t>Uwaga podtrzymana</w:t>
            </w:r>
            <w:r w:rsidR="0011148E" w:rsidRPr="002C5DDB">
              <w:rPr>
                <w:b/>
                <w:sz w:val="20"/>
                <w:szCs w:val="20"/>
              </w:rPr>
              <w:t xml:space="preserve"> przez KGP.</w:t>
            </w:r>
            <w:r w:rsidRPr="002C5DDB">
              <w:rPr>
                <w:b/>
                <w:sz w:val="20"/>
                <w:szCs w:val="20"/>
              </w:rPr>
              <w:t xml:space="preserve"> </w:t>
            </w:r>
          </w:p>
          <w:p w14:paraId="5DBC3785" w14:textId="77777777" w:rsidR="0011148E" w:rsidRPr="002C5DDB" w:rsidRDefault="0011148E" w:rsidP="000A3A9B">
            <w:pPr>
              <w:rPr>
                <w:sz w:val="20"/>
                <w:szCs w:val="20"/>
              </w:rPr>
            </w:pPr>
          </w:p>
          <w:p w14:paraId="12E72D2A" w14:textId="21EF3044" w:rsidR="003E69F5" w:rsidRPr="002C5DDB" w:rsidRDefault="0011148E" w:rsidP="000A3A9B">
            <w:pPr>
              <w:rPr>
                <w:sz w:val="20"/>
                <w:szCs w:val="20"/>
              </w:rPr>
            </w:pPr>
            <w:r w:rsidRPr="002C5DDB">
              <w:rPr>
                <w:sz w:val="20"/>
                <w:szCs w:val="20"/>
              </w:rPr>
              <w:t>P</w:t>
            </w:r>
            <w:r w:rsidR="003E69F5" w:rsidRPr="002C5DDB">
              <w:rPr>
                <w:sz w:val="20"/>
                <w:szCs w:val="20"/>
              </w:rPr>
              <w:t xml:space="preserve">rojekt wprowadza pojęcie integralności odmienne redakcyjnie od KRI mimo wspólnego obszaru regulacyjnego, co może prowadzić do rozbieżności interpretacyjnych i wdrożeniowych. Projektodawca sam przyznaje, że definicja jest </w:t>
            </w:r>
            <w:r w:rsidR="003E69F5" w:rsidRPr="002C5DDB">
              <w:rPr>
                <w:sz w:val="20"/>
                <w:szCs w:val="20"/>
              </w:rPr>
              <w:lastRenderedPageBreak/>
              <w:t>„bliska pojęciowo” KRI, ale definicja faktycznie obejmuje wszystkie dane w tym dokumentację. Powyższe potwierdza wątpliwości interpretacyjne dotyczące rozumienia definicji, a nie go usuwa. W przepisach techniczno-organizacyjnych dotyczących systemów teleinformatycznych pojęcia podstawowe powinny być jednolite, jeśli mają funkcjonować w jednym ekosystemie normatywnym.</w:t>
            </w:r>
          </w:p>
        </w:tc>
      </w:tr>
    </w:tbl>
    <w:p w14:paraId="69780524" w14:textId="77777777" w:rsidR="00C64B1B" w:rsidRPr="00AA6930" w:rsidRDefault="00C64B1B" w:rsidP="00C64B1B">
      <w:pPr>
        <w:jc w:val="center"/>
        <w:rPr>
          <w:sz w:val="22"/>
          <w:szCs w:val="22"/>
        </w:rPr>
      </w:pPr>
    </w:p>
    <w:sectPr w:rsidR="00C64B1B" w:rsidRPr="00AA6930" w:rsidSect="00A06425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70739" w14:textId="77777777" w:rsidR="0011148E" w:rsidRDefault="0011148E" w:rsidP="0011148E">
      <w:r>
        <w:separator/>
      </w:r>
    </w:p>
  </w:endnote>
  <w:endnote w:type="continuationSeparator" w:id="0">
    <w:p w14:paraId="04FC907D" w14:textId="77777777" w:rsidR="0011148E" w:rsidRDefault="0011148E" w:rsidP="00111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0826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402F967" w14:textId="4F284EAD" w:rsidR="0011148E" w:rsidRDefault="0011148E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45401F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45401F">
              <w:rPr>
                <w:b/>
                <w:bCs/>
                <w:noProof/>
              </w:rPr>
              <w:t>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0FA9CDE" w14:textId="77777777" w:rsidR="0011148E" w:rsidRDefault="0011148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394BC6" w14:textId="77777777" w:rsidR="0011148E" w:rsidRDefault="0011148E" w:rsidP="0011148E">
      <w:r>
        <w:separator/>
      </w:r>
    </w:p>
  </w:footnote>
  <w:footnote w:type="continuationSeparator" w:id="0">
    <w:p w14:paraId="16698DFA" w14:textId="77777777" w:rsidR="0011148E" w:rsidRDefault="0011148E" w:rsidP="00111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55BBD"/>
    <w:multiLevelType w:val="hybridMultilevel"/>
    <w:tmpl w:val="CBB44B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F00771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42C92"/>
    <w:rsid w:val="00057A28"/>
    <w:rsid w:val="000914E3"/>
    <w:rsid w:val="000A3A9B"/>
    <w:rsid w:val="000D02B0"/>
    <w:rsid w:val="000D67A9"/>
    <w:rsid w:val="00106223"/>
    <w:rsid w:val="0011148E"/>
    <w:rsid w:val="00136C78"/>
    <w:rsid w:val="00140BE8"/>
    <w:rsid w:val="0019648E"/>
    <w:rsid w:val="001B6769"/>
    <w:rsid w:val="001E4473"/>
    <w:rsid w:val="0022189B"/>
    <w:rsid w:val="00235179"/>
    <w:rsid w:val="002715B2"/>
    <w:rsid w:val="002A0375"/>
    <w:rsid w:val="002C5DDB"/>
    <w:rsid w:val="002D4596"/>
    <w:rsid w:val="003124D1"/>
    <w:rsid w:val="00356791"/>
    <w:rsid w:val="00362E25"/>
    <w:rsid w:val="003B4105"/>
    <w:rsid w:val="003D0DC6"/>
    <w:rsid w:val="003E69F5"/>
    <w:rsid w:val="0040142D"/>
    <w:rsid w:val="00410186"/>
    <w:rsid w:val="00417A01"/>
    <w:rsid w:val="004202AC"/>
    <w:rsid w:val="0043474D"/>
    <w:rsid w:val="0043549B"/>
    <w:rsid w:val="00452559"/>
    <w:rsid w:val="0045401F"/>
    <w:rsid w:val="004D086F"/>
    <w:rsid w:val="004F3C32"/>
    <w:rsid w:val="0052164B"/>
    <w:rsid w:val="005D7D7E"/>
    <w:rsid w:val="005F6527"/>
    <w:rsid w:val="005F79FB"/>
    <w:rsid w:val="00662644"/>
    <w:rsid w:val="006705EC"/>
    <w:rsid w:val="006761CF"/>
    <w:rsid w:val="00682DE9"/>
    <w:rsid w:val="006A6C53"/>
    <w:rsid w:val="006C1458"/>
    <w:rsid w:val="006E16E9"/>
    <w:rsid w:val="0075600B"/>
    <w:rsid w:val="007B3704"/>
    <w:rsid w:val="00807385"/>
    <w:rsid w:val="00837657"/>
    <w:rsid w:val="00855744"/>
    <w:rsid w:val="00856A8B"/>
    <w:rsid w:val="008A196E"/>
    <w:rsid w:val="008A7FB0"/>
    <w:rsid w:val="008D60B4"/>
    <w:rsid w:val="00906F26"/>
    <w:rsid w:val="00944932"/>
    <w:rsid w:val="009547FB"/>
    <w:rsid w:val="00956998"/>
    <w:rsid w:val="00965637"/>
    <w:rsid w:val="00971676"/>
    <w:rsid w:val="009743D8"/>
    <w:rsid w:val="00974BAB"/>
    <w:rsid w:val="00981399"/>
    <w:rsid w:val="00996040"/>
    <w:rsid w:val="009E5FDB"/>
    <w:rsid w:val="00A06425"/>
    <w:rsid w:val="00A22A55"/>
    <w:rsid w:val="00AA223F"/>
    <w:rsid w:val="00AA6930"/>
    <w:rsid w:val="00AC7796"/>
    <w:rsid w:val="00AF523C"/>
    <w:rsid w:val="00B34894"/>
    <w:rsid w:val="00B40A6E"/>
    <w:rsid w:val="00B47AC7"/>
    <w:rsid w:val="00B871B6"/>
    <w:rsid w:val="00BF7694"/>
    <w:rsid w:val="00C45FAE"/>
    <w:rsid w:val="00C62101"/>
    <w:rsid w:val="00C64B1B"/>
    <w:rsid w:val="00CB2E7C"/>
    <w:rsid w:val="00CD5EB0"/>
    <w:rsid w:val="00CD67ED"/>
    <w:rsid w:val="00CE24D2"/>
    <w:rsid w:val="00D1079F"/>
    <w:rsid w:val="00D15241"/>
    <w:rsid w:val="00D41F65"/>
    <w:rsid w:val="00D94EAE"/>
    <w:rsid w:val="00E14C33"/>
    <w:rsid w:val="00E54465"/>
    <w:rsid w:val="00E61153"/>
    <w:rsid w:val="00E71645"/>
    <w:rsid w:val="00EA6806"/>
    <w:rsid w:val="00EC2CB2"/>
    <w:rsid w:val="00EF2F6F"/>
    <w:rsid w:val="00F1742E"/>
    <w:rsid w:val="00F22525"/>
    <w:rsid w:val="00FA4BB2"/>
    <w:rsid w:val="00FB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597B0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rsid w:val="00042C92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rsid w:val="0011148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1148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114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14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4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2165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2198</Words>
  <Characters>14420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DT MSWiA</cp:lastModifiedBy>
  <cp:revision>6</cp:revision>
  <cp:lastPrinted>2026-03-24T15:09:00Z</cp:lastPrinted>
  <dcterms:created xsi:type="dcterms:W3CDTF">2026-03-25T14:56:00Z</dcterms:created>
  <dcterms:modified xsi:type="dcterms:W3CDTF">2026-03-26T09:59:00Z</dcterms:modified>
</cp:coreProperties>
</file>