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7CFE4" w14:textId="77777777" w:rsidR="00FE06D0" w:rsidRDefault="00FE06D0" w:rsidP="00FE06D0">
      <w:pPr>
        <w:pStyle w:val="Tytu"/>
        <w:spacing w:after="7080"/>
        <w:rPr>
          <w:rFonts w:eastAsia="Calibri"/>
        </w:rPr>
      </w:pPr>
      <w:bookmarkStart w:id="0" w:name="_Hlk189215762"/>
      <w:bookmarkStart w:id="1" w:name="_GoBack"/>
      <w:bookmarkEnd w:id="1"/>
      <w:r w:rsidRPr="00C078BE">
        <w:rPr>
          <w:rFonts w:eastAsia="Calibri"/>
        </w:rPr>
        <w:t xml:space="preserve">Plan działania Ministerstwa </w:t>
      </w:r>
      <w:r>
        <w:rPr>
          <w:rFonts w:eastAsia="Calibri"/>
        </w:rPr>
        <w:t xml:space="preserve">Rodziny, Pracy i Polityki Społecznej </w:t>
      </w:r>
      <w:r w:rsidRPr="00C078BE">
        <w:rPr>
          <w:rFonts w:eastAsia="Calibri"/>
        </w:rPr>
        <w:t>na rzecz poprawy zapewniania dostępności osobom ze</w:t>
      </w:r>
      <w:r>
        <w:rPr>
          <w:rFonts w:eastAsia="Calibri"/>
        </w:rPr>
        <w:t xml:space="preserve"> </w:t>
      </w:r>
      <w:r w:rsidRPr="00C078BE">
        <w:rPr>
          <w:rFonts w:eastAsia="Calibri"/>
        </w:rPr>
        <w:t>szczególnymi potrzebami na lata 2025–202</w:t>
      </w:r>
      <w:r>
        <w:rPr>
          <w:rFonts w:eastAsia="Calibri"/>
        </w:rPr>
        <w:t>6</w:t>
      </w:r>
    </w:p>
    <w:bookmarkEnd w:id="0"/>
    <w:p w14:paraId="2ED2AD1D" w14:textId="77777777" w:rsidR="00FE06D0" w:rsidRDefault="00FE06D0" w:rsidP="00FE06D0">
      <w:pPr>
        <w:rPr>
          <w:rFonts w:ascii="Lato" w:eastAsia="Times New Roman" w:hAnsi="Lato" w:cs="Calibri"/>
          <w:b/>
          <w:sz w:val="24"/>
          <w:szCs w:val="24"/>
          <w:lang w:eastAsia="pl-PL"/>
        </w:rPr>
      </w:pPr>
      <w:r>
        <w:rPr>
          <w:rFonts w:ascii="Lato" w:eastAsia="Times New Roman" w:hAnsi="Lato" w:cs="Calibri"/>
          <w:b/>
          <w:sz w:val="24"/>
          <w:szCs w:val="24"/>
          <w:lang w:eastAsia="pl-PL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95590304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3480108" w14:textId="77777777" w:rsidR="00FE06D0" w:rsidRPr="00016C52" w:rsidRDefault="00FE06D0" w:rsidP="00FE06D0">
          <w:pPr>
            <w:pStyle w:val="Nagwekspisutreci"/>
            <w:rPr>
              <w:rFonts w:ascii="Lato" w:hAnsi="Lato"/>
              <w:sz w:val="36"/>
              <w:szCs w:val="36"/>
            </w:rPr>
          </w:pPr>
          <w:r w:rsidRPr="00016C52">
            <w:rPr>
              <w:rFonts w:ascii="Lato" w:hAnsi="Lato"/>
              <w:sz w:val="36"/>
              <w:szCs w:val="36"/>
            </w:rPr>
            <w:t>Spis treści</w:t>
          </w:r>
        </w:p>
        <w:p w14:paraId="5C5C8564" w14:textId="77777777" w:rsidR="00FE06D0" w:rsidRPr="003B7333" w:rsidRDefault="00FE06D0" w:rsidP="00FE06D0">
          <w:pPr>
            <w:pStyle w:val="Spistreci1"/>
            <w:tabs>
              <w:tab w:val="right" w:leader="dot" w:pos="7926"/>
            </w:tabs>
            <w:spacing w:line="360" w:lineRule="auto"/>
            <w:rPr>
              <w:rFonts w:ascii="Lato" w:eastAsiaTheme="minorEastAsia" w:hAnsi="Lato"/>
              <w:noProof/>
              <w:sz w:val="24"/>
              <w:szCs w:val="24"/>
              <w:lang w:eastAsia="pl-PL"/>
            </w:rPr>
          </w:pPr>
          <w:r w:rsidRPr="003B7333">
            <w:rPr>
              <w:rFonts w:ascii="Lato" w:hAnsi="Lato"/>
              <w:sz w:val="24"/>
              <w:szCs w:val="24"/>
            </w:rPr>
            <w:fldChar w:fldCharType="begin"/>
          </w:r>
          <w:r w:rsidRPr="003B7333">
            <w:rPr>
              <w:rFonts w:ascii="Lato" w:hAnsi="Lato"/>
              <w:sz w:val="24"/>
              <w:szCs w:val="24"/>
            </w:rPr>
            <w:instrText xml:space="preserve"> TOC \o "1-3" \h \z \u </w:instrText>
          </w:r>
          <w:r w:rsidRPr="003B7333">
            <w:rPr>
              <w:rFonts w:ascii="Lato" w:hAnsi="Lato"/>
              <w:sz w:val="24"/>
              <w:szCs w:val="24"/>
            </w:rPr>
            <w:fldChar w:fldCharType="separate"/>
          </w:r>
          <w:hyperlink w:anchor="_Toc224634960" w:history="1">
            <w:r w:rsidRPr="003B7333">
              <w:rPr>
                <w:rStyle w:val="Hipercze"/>
                <w:rFonts w:ascii="Lato" w:eastAsia="Times New Roman" w:hAnsi="Lato"/>
                <w:noProof/>
                <w:sz w:val="24"/>
                <w:szCs w:val="24"/>
                <w:lang w:eastAsia="pl-PL"/>
              </w:rPr>
              <w:t>Wstęp</w:t>
            </w:r>
            <w:r w:rsidRPr="003B7333">
              <w:rPr>
                <w:rFonts w:ascii="Lato" w:hAnsi="Lato"/>
                <w:noProof/>
                <w:webHidden/>
                <w:sz w:val="24"/>
                <w:szCs w:val="24"/>
              </w:rPr>
              <w:tab/>
            </w:r>
            <w:r w:rsidRPr="003B7333">
              <w:rPr>
                <w:rFonts w:ascii="Lato" w:hAnsi="Lato"/>
                <w:noProof/>
                <w:webHidden/>
                <w:sz w:val="24"/>
                <w:szCs w:val="24"/>
              </w:rPr>
              <w:fldChar w:fldCharType="begin"/>
            </w:r>
            <w:r w:rsidRPr="003B7333">
              <w:rPr>
                <w:rFonts w:ascii="Lato" w:hAnsi="Lato"/>
                <w:noProof/>
                <w:webHidden/>
                <w:sz w:val="24"/>
                <w:szCs w:val="24"/>
              </w:rPr>
              <w:instrText xml:space="preserve"> PAGEREF _Toc224634960 \h </w:instrText>
            </w:r>
            <w:r w:rsidRPr="003B7333">
              <w:rPr>
                <w:rFonts w:ascii="Lato" w:hAnsi="Lato"/>
                <w:noProof/>
                <w:webHidden/>
                <w:sz w:val="24"/>
                <w:szCs w:val="24"/>
              </w:rPr>
            </w:r>
            <w:r w:rsidRPr="003B7333">
              <w:rPr>
                <w:rFonts w:ascii="Lato" w:hAnsi="Lato"/>
                <w:noProof/>
                <w:webHidden/>
                <w:sz w:val="24"/>
                <w:szCs w:val="24"/>
              </w:rPr>
              <w:fldChar w:fldCharType="separate"/>
            </w:r>
            <w:r w:rsidRPr="003B7333">
              <w:rPr>
                <w:rFonts w:ascii="Lato" w:hAnsi="Lato"/>
                <w:noProof/>
                <w:webHidden/>
                <w:sz w:val="24"/>
                <w:szCs w:val="24"/>
              </w:rPr>
              <w:t>2</w:t>
            </w:r>
            <w:r w:rsidRPr="003B7333">
              <w:rPr>
                <w:rFonts w:ascii="Lato" w:hAnsi="Lato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764656" w14:textId="77777777" w:rsidR="00FE06D0" w:rsidRPr="003B7333" w:rsidRDefault="00A86C46" w:rsidP="00FE06D0">
          <w:pPr>
            <w:pStyle w:val="Spistreci1"/>
            <w:tabs>
              <w:tab w:val="right" w:leader="dot" w:pos="7926"/>
            </w:tabs>
            <w:spacing w:line="360" w:lineRule="auto"/>
            <w:rPr>
              <w:rFonts w:ascii="Lato" w:eastAsiaTheme="minorEastAsia" w:hAnsi="Lato"/>
              <w:noProof/>
              <w:sz w:val="24"/>
              <w:szCs w:val="24"/>
              <w:lang w:eastAsia="pl-PL"/>
            </w:rPr>
          </w:pPr>
          <w:hyperlink w:anchor="_Toc224634961" w:history="1">
            <w:r w:rsidR="00FE06D0" w:rsidRPr="003B7333">
              <w:rPr>
                <w:rStyle w:val="Hipercze"/>
                <w:rFonts w:ascii="Lato" w:eastAsia="Times New Roman" w:hAnsi="Lato"/>
                <w:noProof/>
                <w:sz w:val="24"/>
                <w:szCs w:val="24"/>
                <w:lang w:eastAsia="pl-PL"/>
              </w:rPr>
              <w:t>Definicje</w:t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tab/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fldChar w:fldCharType="begin"/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instrText xml:space="preserve"> PAGEREF _Toc224634961 \h </w:instrText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fldChar w:fldCharType="separate"/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t>2</w:t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75387F" w14:textId="77777777" w:rsidR="00FE06D0" w:rsidRPr="003B7333" w:rsidRDefault="00A86C46" w:rsidP="00FE06D0">
          <w:pPr>
            <w:pStyle w:val="Spistreci1"/>
            <w:tabs>
              <w:tab w:val="right" w:leader="dot" w:pos="7926"/>
            </w:tabs>
            <w:spacing w:line="360" w:lineRule="auto"/>
            <w:rPr>
              <w:rFonts w:ascii="Lato" w:eastAsiaTheme="minorEastAsia" w:hAnsi="Lato"/>
              <w:noProof/>
              <w:sz w:val="24"/>
              <w:szCs w:val="24"/>
              <w:lang w:eastAsia="pl-PL"/>
            </w:rPr>
          </w:pPr>
          <w:hyperlink w:anchor="_Toc224634962" w:history="1">
            <w:r w:rsidR="00FE06D0" w:rsidRPr="003B7333">
              <w:rPr>
                <w:rStyle w:val="Hipercze"/>
                <w:rFonts w:ascii="Lato" w:eastAsia="Times New Roman" w:hAnsi="Lato"/>
                <w:noProof/>
                <w:sz w:val="24"/>
                <w:szCs w:val="24"/>
                <w:lang w:eastAsia="pl-PL"/>
              </w:rPr>
              <w:t>Analiza stanu zastanego</w:t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tab/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fldChar w:fldCharType="begin"/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instrText xml:space="preserve"> PAGEREF _Toc224634962 \h </w:instrText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fldChar w:fldCharType="separate"/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t>3</w:t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051F27" w14:textId="77777777" w:rsidR="00FE06D0" w:rsidRPr="003B7333" w:rsidRDefault="00A86C46" w:rsidP="00FE06D0">
          <w:pPr>
            <w:pStyle w:val="Spistreci1"/>
            <w:tabs>
              <w:tab w:val="right" w:leader="dot" w:pos="7926"/>
            </w:tabs>
            <w:spacing w:line="360" w:lineRule="auto"/>
            <w:rPr>
              <w:rFonts w:ascii="Lato" w:eastAsiaTheme="minorEastAsia" w:hAnsi="Lato"/>
              <w:noProof/>
              <w:sz w:val="24"/>
              <w:szCs w:val="24"/>
              <w:lang w:eastAsia="pl-PL"/>
            </w:rPr>
          </w:pPr>
          <w:hyperlink w:anchor="_Toc224634963" w:history="1">
            <w:r w:rsidR="00FE06D0" w:rsidRPr="003B7333">
              <w:rPr>
                <w:rStyle w:val="Hipercze"/>
                <w:rFonts w:ascii="Lato" w:eastAsia="Times New Roman" w:hAnsi="Lato"/>
                <w:noProof/>
                <w:sz w:val="24"/>
                <w:szCs w:val="24"/>
                <w:lang w:eastAsia="pl-PL"/>
              </w:rPr>
              <w:t>Podstawa prawna</w:t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tab/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fldChar w:fldCharType="begin"/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instrText xml:space="preserve"> PAGEREF _Toc224634963 \h </w:instrText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fldChar w:fldCharType="separate"/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t>3</w:t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88EBCA" w14:textId="77777777" w:rsidR="00FE06D0" w:rsidRPr="003B7333" w:rsidRDefault="00A86C46" w:rsidP="00FE06D0">
          <w:pPr>
            <w:pStyle w:val="Spistreci1"/>
            <w:tabs>
              <w:tab w:val="right" w:leader="dot" w:pos="7926"/>
            </w:tabs>
            <w:spacing w:line="360" w:lineRule="auto"/>
            <w:rPr>
              <w:rFonts w:ascii="Lato" w:eastAsiaTheme="minorEastAsia" w:hAnsi="Lato"/>
              <w:noProof/>
              <w:sz w:val="24"/>
              <w:szCs w:val="24"/>
              <w:lang w:eastAsia="pl-PL"/>
            </w:rPr>
          </w:pPr>
          <w:hyperlink w:anchor="_Toc224634964" w:history="1">
            <w:r w:rsidR="00FE06D0" w:rsidRPr="003B7333">
              <w:rPr>
                <w:rStyle w:val="Hipercze"/>
                <w:rFonts w:ascii="Lato" w:eastAsia="Times New Roman" w:hAnsi="Lato"/>
                <w:noProof/>
                <w:sz w:val="24"/>
                <w:szCs w:val="24"/>
                <w:lang w:eastAsia="pl-PL"/>
              </w:rPr>
              <w:t>Plan działań na rzecz zapewniania dostępności na lata 2025-2026</w:t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tab/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fldChar w:fldCharType="begin"/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instrText xml:space="preserve"> PAGEREF _Toc224634964 \h </w:instrText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fldChar w:fldCharType="separate"/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t>4</w:t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CA8F4D" w14:textId="77777777" w:rsidR="00FE06D0" w:rsidRPr="003B7333" w:rsidRDefault="00A86C46" w:rsidP="00FE06D0">
          <w:pPr>
            <w:pStyle w:val="Spistreci2"/>
            <w:tabs>
              <w:tab w:val="left" w:pos="660"/>
              <w:tab w:val="right" w:leader="dot" w:pos="7926"/>
            </w:tabs>
            <w:spacing w:line="360" w:lineRule="auto"/>
            <w:rPr>
              <w:rFonts w:ascii="Lato" w:eastAsiaTheme="minorEastAsia" w:hAnsi="Lato"/>
              <w:noProof/>
              <w:sz w:val="24"/>
              <w:szCs w:val="24"/>
              <w:lang w:eastAsia="pl-PL"/>
            </w:rPr>
          </w:pPr>
          <w:hyperlink w:anchor="_Toc224634965" w:history="1">
            <w:r w:rsidR="00FE06D0" w:rsidRPr="003B7333">
              <w:rPr>
                <w:rStyle w:val="Hipercze"/>
                <w:rFonts w:ascii="Lato" w:hAnsi="Lato"/>
                <w:noProof/>
                <w:sz w:val="24"/>
                <w:szCs w:val="24"/>
                <w:lang w:eastAsia="pl-PL"/>
              </w:rPr>
              <w:t>I.</w:t>
            </w:r>
            <w:r w:rsidR="00FE06D0" w:rsidRPr="003B7333">
              <w:rPr>
                <w:rFonts w:ascii="Lato" w:eastAsiaTheme="minorEastAsia" w:hAnsi="Lato"/>
                <w:noProof/>
                <w:sz w:val="24"/>
                <w:szCs w:val="24"/>
                <w:lang w:eastAsia="pl-PL"/>
              </w:rPr>
              <w:tab/>
            </w:r>
            <w:r w:rsidR="00FE06D0" w:rsidRPr="003B7333">
              <w:rPr>
                <w:rStyle w:val="Hipercze"/>
                <w:rFonts w:ascii="Lato" w:hAnsi="Lato"/>
                <w:noProof/>
                <w:sz w:val="24"/>
                <w:szCs w:val="24"/>
                <w:lang w:eastAsia="pl-PL"/>
              </w:rPr>
              <w:t>Dostępność architektoniczna</w:t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tab/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fldChar w:fldCharType="begin"/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instrText xml:space="preserve"> PAGEREF _Toc224634965 \h </w:instrText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fldChar w:fldCharType="separate"/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t>4</w:t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E884E4" w14:textId="77777777" w:rsidR="00FE06D0" w:rsidRPr="003B7333" w:rsidRDefault="00A86C46" w:rsidP="00FE06D0">
          <w:pPr>
            <w:pStyle w:val="Spistreci2"/>
            <w:tabs>
              <w:tab w:val="left" w:pos="660"/>
              <w:tab w:val="right" w:leader="dot" w:pos="7926"/>
            </w:tabs>
            <w:spacing w:line="360" w:lineRule="auto"/>
            <w:rPr>
              <w:rFonts w:ascii="Lato" w:eastAsiaTheme="minorEastAsia" w:hAnsi="Lato"/>
              <w:noProof/>
              <w:sz w:val="24"/>
              <w:szCs w:val="24"/>
              <w:lang w:eastAsia="pl-PL"/>
            </w:rPr>
          </w:pPr>
          <w:hyperlink w:anchor="_Toc224634966" w:history="1">
            <w:r w:rsidR="00FE06D0" w:rsidRPr="003B7333">
              <w:rPr>
                <w:rStyle w:val="Hipercze"/>
                <w:rFonts w:ascii="Lato" w:hAnsi="Lato"/>
                <w:noProof/>
                <w:sz w:val="24"/>
                <w:szCs w:val="24"/>
                <w:lang w:eastAsia="pl-PL"/>
              </w:rPr>
              <w:t>II.</w:t>
            </w:r>
            <w:r w:rsidR="00FE06D0" w:rsidRPr="003B7333">
              <w:rPr>
                <w:rFonts w:ascii="Lato" w:eastAsiaTheme="minorEastAsia" w:hAnsi="Lato"/>
                <w:noProof/>
                <w:sz w:val="24"/>
                <w:szCs w:val="24"/>
                <w:lang w:eastAsia="pl-PL"/>
              </w:rPr>
              <w:tab/>
            </w:r>
            <w:r w:rsidR="00FE06D0" w:rsidRPr="003B7333">
              <w:rPr>
                <w:rStyle w:val="Hipercze"/>
                <w:rFonts w:ascii="Lato" w:hAnsi="Lato"/>
                <w:noProof/>
                <w:sz w:val="24"/>
                <w:szCs w:val="24"/>
                <w:lang w:eastAsia="pl-PL"/>
              </w:rPr>
              <w:t>Dostępność cyfrowa</w:t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tab/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fldChar w:fldCharType="begin"/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instrText xml:space="preserve"> PAGEREF _Toc224634966 \h </w:instrText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fldChar w:fldCharType="separate"/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t>6</w:t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3F0BDA" w14:textId="77777777" w:rsidR="00FE06D0" w:rsidRPr="003B7333" w:rsidRDefault="00A86C46" w:rsidP="00FE06D0">
          <w:pPr>
            <w:pStyle w:val="Spistreci2"/>
            <w:tabs>
              <w:tab w:val="left" w:pos="880"/>
              <w:tab w:val="right" w:leader="dot" w:pos="7926"/>
            </w:tabs>
            <w:spacing w:line="360" w:lineRule="auto"/>
            <w:rPr>
              <w:rFonts w:ascii="Lato" w:eastAsiaTheme="minorEastAsia" w:hAnsi="Lato"/>
              <w:noProof/>
              <w:sz w:val="24"/>
              <w:szCs w:val="24"/>
              <w:lang w:eastAsia="pl-PL"/>
            </w:rPr>
          </w:pPr>
          <w:hyperlink w:anchor="_Toc224634967" w:history="1">
            <w:r w:rsidR="00FE06D0" w:rsidRPr="003B7333">
              <w:rPr>
                <w:rStyle w:val="Hipercze"/>
                <w:rFonts w:ascii="Lato" w:hAnsi="Lato"/>
                <w:noProof/>
                <w:sz w:val="24"/>
                <w:szCs w:val="24"/>
                <w:lang w:eastAsia="pl-PL"/>
              </w:rPr>
              <w:t>III.</w:t>
            </w:r>
            <w:r w:rsidR="00FE06D0" w:rsidRPr="003B7333">
              <w:rPr>
                <w:rFonts w:ascii="Lato" w:eastAsiaTheme="minorEastAsia" w:hAnsi="Lato"/>
                <w:noProof/>
                <w:sz w:val="24"/>
                <w:szCs w:val="24"/>
                <w:lang w:eastAsia="pl-PL"/>
              </w:rPr>
              <w:tab/>
            </w:r>
            <w:r w:rsidR="00FE06D0" w:rsidRPr="003B7333">
              <w:rPr>
                <w:rStyle w:val="Hipercze"/>
                <w:rFonts w:ascii="Lato" w:hAnsi="Lato"/>
                <w:noProof/>
                <w:sz w:val="24"/>
                <w:szCs w:val="24"/>
                <w:lang w:eastAsia="pl-PL"/>
              </w:rPr>
              <w:t>Dostępność informacyjno-komunikacyjna</w:t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tab/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fldChar w:fldCharType="begin"/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instrText xml:space="preserve"> PAGEREF _Toc224634967 \h </w:instrText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fldChar w:fldCharType="separate"/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t>9</w:t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B668AF" w14:textId="77777777" w:rsidR="00FE06D0" w:rsidRPr="003B7333" w:rsidRDefault="00A86C46" w:rsidP="00FE06D0">
          <w:pPr>
            <w:pStyle w:val="Spistreci1"/>
            <w:tabs>
              <w:tab w:val="right" w:leader="dot" w:pos="7926"/>
            </w:tabs>
            <w:spacing w:line="360" w:lineRule="auto"/>
            <w:rPr>
              <w:rFonts w:ascii="Lato" w:eastAsiaTheme="minorEastAsia" w:hAnsi="Lato"/>
              <w:noProof/>
              <w:sz w:val="24"/>
              <w:szCs w:val="24"/>
              <w:lang w:eastAsia="pl-PL"/>
            </w:rPr>
          </w:pPr>
          <w:hyperlink w:anchor="_Toc224634968" w:history="1">
            <w:r w:rsidR="00FE06D0" w:rsidRPr="003B7333">
              <w:rPr>
                <w:rStyle w:val="Hipercze"/>
                <w:rFonts w:ascii="Lato" w:hAnsi="Lato"/>
                <w:noProof/>
                <w:sz w:val="24"/>
                <w:szCs w:val="24"/>
                <w:lang w:eastAsia="pl-PL"/>
              </w:rPr>
              <w:t>Monitoring i koordynacja działań</w:t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tab/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fldChar w:fldCharType="begin"/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instrText xml:space="preserve"> PAGEREF _Toc224634968 \h </w:instrText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fldChar w:fldCharType="separate"/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t>11</w:t>
            </w:r>
            <w:r w:rsidR="00FE06D0" w:rsidRPr="003B7333">
              <w:rPr>
                <w:rFonts w:ascii="Lato" w:hAnsi="Lato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DAEE26" w14:textId="77777777" w:rsidR="00FE06D0" w:rsidRPr="00016C52" w:rsidRDefault="00FE06D0" w:rsidP="00FE06D0">
          <w:pPr>
            <w:spacing w:line="360" w:lineRule="auto"/>
          </w:pPr>
          <w:r w:rsidRPr="003B7333">
            <w:rPr>
              <w:rFonts w:ascii="Lato" w:hAnsi="Lato"/>
              <w:b/>
              <w:bCs/>
              <w:sz w:val="24"/>
              <w:szCs w:val="24"/>
            </w:rPr>
            <w:fldChar w:fldCharType="end"/>
          </w:r>
        </w:p>
      </w:sdtContent>
    </w:sdt>
    <w:p w14:paraId="50EEE2EC" w14:textId="77777777" w:rsidR="00FE06D0" w:rsidRDefault="00FE06D0" w:rsidP="00FE06D0">
      <w:pPr>
        <w:pStyle w:val="Nagwek1"/>
        <w:spacing w:after="240"/>
        <w:rPr>
          <w:rFonts w:eastAsia="Times New Roman"/>
          <w:lang w:eastAsia="pl-PL"/>
        </w:rPr>
      </w:pPr>
      <w:bookmarkStart w:id="2" w:name="_Toc224634960"/>
      <w:r>
        <w:rPr>
          <w:rFonts w:eastAsia="Times New Roman"/>
          <w:lang w:eastAsia="pl-PL"/>
        </w:rPr>
        <w:t>Wstęp</w:t>
      </w:r>
      <w:bookmarkEnd w:id="2"/>
    </w:p>
    <w:p w14:paraId="77845DA2" w14:textId="15B93B2E" w:rsidR="00FE06D0" w:rsidRDefault="00FE06D0" w:rsidP="00FE06D0">
      <w:pPr>
        <w:spacing w:after="600" w:line="360" w:lineRule="auto"/>
        <w:rPr>
          <w:rFonts w:ascii="Lato" w:eastAsia="Times New Roman" w:hAnsi="Lato" w:cs="Calibri"/>
          <w:bCs/>
          <w:sz w:val="24"/>
          <w:szCs w:val="24"/>
          <w:lang w:eastAsia="pl-PL"/>
        </w:rPr>
      </w:pPr>
      <w:r w:rsidRPr="00C078BE">
        <w:rPr>
          <w:rFonts w:ascii="Lato" w:eastAsia="Times New Roman" w:hAnsi="Lato" w:cs="Calibri"/>
          <w:bCs/>
          <w:sz w:val="24"/>
          <w:szCs w:val="24"/>
          <w:lang w:eastAsia="pl-PL"/>
        </w:rPr>
        <w:t>Plan działania na rzecz poprawy zapewnienia dostępności w Ministerstwie Rodziny, Pracy i Polityki Społecznej na lata 2025-2026, zwany dalej „Planem”, jest dokumentem opisującym działania, które zostaną podjęte w określ</w:t>
      </w:r>
      <w:r w:rsidR="00E90CC6">
        <w:rPr>
          <w:rFonts w:ascii="Lato" w:eastAsia="Times New Roman" w:hAnsi="Lato" w:cs="Calibri"/>
          <w:bCs/>
          <w:sz w:val="24"/>
          <w:szCs w:val="24"/>
          <w:lang w:eastAsia="pl-PL"/>
        </w:rPr>
        <w:t>o</w:t>
      </w:r>
      <w:r w:rsidRPr="00C078BE">
        <w:rPr>
          <w:rFonts w:ascii="Lato" w:eastAsia="Times New Roman" w:hAnsi="Lato" w:cs="Calibri"/>
          <w:bCs/>
          <w:sz w:val="24"/>
          <w:szCs w:val="24"/>
          <w:lang w:eastAsia="pl-PL"/>
        </w:rPr>
        <w:t xml:space="preserve">nym czasie, </w:t>
      </w:r>
      <w:r>
        <w:rPr>
          <w:rFonts w:ascii="Lato" w:eastAsia="Times New Roman" w:hAnsi="Lato" w:cs="Calibri"/>
          <w:bCs/>
          <w:sz w:val="24"/>
          <w:szCs w:val="24"/>
          <w:lang w:eastAsia="pl-PL"/>
        </w:rPr>
        <w:t>a</w:t>
      </w:r>
      <w:r w:rsidRPr="00C078BE">
        <w:rPr>
          <w:rFonts w:ascii="Lato" w:eastAsia="Times New Roman" w:hAnsi="Lato" w:cs="Calibri"/>
          <w:bCs/>
          <w:sz w:val="24"/>
          <w:szCs w:val="24"/>
          <w:lang w:eastAsia="pl-PL"/>
        </w:rPr>
        <w:t xml:space="preserve"> których celem jest poprawa dostępności dla osób ze szczególnymi potrzebami. </w:t>
      </w:r>
      <w:r>
        <w:rPr>
          <w:rFonts w:ascii="Lato" w:eastAsia="Times New Roman" w:hAnsi="Lato" w:cs="Calibri"/>
          <w:bCs/>
          <w:sz w:val="24"/>
          <w:szCs w:val="24"/>
          <w:lang w:eastAsia="pl-PL"/>
        </w:rPr>
        <w:t>Dokument</w:t>
      </w:r>
      <w:r w:rsidRPr="00C078BE">
        <w:rPr>
          <w:rFonts w:ascii="Lato" w:eastAsia="Times New Roman" w:hAnsi="Lato" w:cs="Calibri"/>
          <w:bCs/>
          <w:sz w:val="24"/>
          <w:szCs w:val="24"/>
          <w:lang w:eastAsia="pl-PL"/>
        </w:rPr>
        <w:t xml:space="preserve"> został opracowany przez koordynatorów dostępności architektonicznej, cyfrowej i informacyjno-komunikacyjnej na podstawie informacji przekazanych przez poszczególne </w:t>
      </w:r>
      <w:r>
        <w:rPr>
          <w:rFonts w:ascii="Lato" w:eastAsia="Times New Roman" w:hAnsi="Lato" w:cs="Calibri"/>
          <w:bCs/>
          <w:sz w:val="24"/>
          <w:szCs w:val="24"/>
          <w:lang w:eastAsia="pl-PL"/>
        </w:rPr>
        <w:t>komórki organizacyjne</w:t>
      </w:r>
      <w:r w:rsidRPr="00C078BE">
        <w:rPr>
          <w:rFonts w:ascii="Lato" w:eastAsia="Times New Roman" w:hAnsi="Lato" w:cs="Calibri"/>
          <w:bCs/>
          <w:sz w:val="24"/>
          <w:szCs w:val="24"/>
          <w:lang w:eastAsia="pl-PL"/>
        </w:rPr>
        <w:t xml:space="preserve"> Ministerstwa. </w:t>
      </w:r>
      <w:r>
        <w:rPr>
          <w:rFonts w:ascii="Lato" w:eastAsia="Times New Roman" w:hAnsi="Lato" w:cs="Calibri"/>
          <w:bCs/>
          <w:sz w:val="24"/>
          <w:szCs w:val="24"/>
          <w:lang w:eastAsia="pl-PL"/>
        </w:rPr>
        <w:t xml:space="preserve">Plan określa zakres działań na rzecz poprawy zapewniania dostępności, termin ich realizacji oraz komórkę organizacyjną odpowiedzialną za realizację zadania. Plan podzielony jest na trzy obszary zapewniania dostępności: architektoniczny, cyfrowy i informacyjno-komunikacyjny. </w:t>
      </w:r>
    </w:p>
    <w:p w14:paraId="2C091141" w14:textId="77777777" w:rsidR="00FE06D0" w:rsidRDefault="00FE06D0" w:rsidP="00FE06D0">
      <w:pPr>
        <w:pStyle w:val="Nagwek1"/>
        <w:spacing w:after="240"/>
        <w:rPr>
          <w:rFonts w:eastAsia="Times New Roman"/>
          <w:lang w:eastAsia="pl-PL"/>
        </w:rPr>
      </w:pPr>
      <w:bookmarkStart w:id="3" w:name="_Toc224634961"/>
      <w:r>
        <w:rPr>
          <w:rFonts w:eastAsia="Times New Roman"/>
          <w:lang w:eastAsia="pl-PL"/>
        </w:rPr>
        <w:lastRenderedPageBreak/>
        <w:t>Definicje</w:t>
      </w:r>
      <w:bookmarkEnd w:id="3"/>
    </w:p>
    <w:p w14:paraId="72E7B8C3" w14:textId="52739D18" w:rsidR="00FE06D0" w:rsidRDefault="00FE06D0" w:rsidP="00FE06D0">
      <w:pPr>
        <w:spacing w:after="600" w:line="360" w:lineRule="auto"/>
        <w:rPr>
          <w:rFonts w:ascii="Lato" w:eastAsia="Times New Roman" w:hAnsi="Lato" w:cs="Calibri"/>
          <w:bCs/>
          <w:sz w:val="24"/>
          <w:szCs w:val="24"/>
          <w:lang w:eastAsia="pl-PL"/>
        </w:rPr>
      </w:pPr>
      <w:r>
        <w:rPr>
          <w:rFonts w:ascii="Lato" w:eastAsia="Times New Roman" w:hAnsi="Lato" w:cs="Calibri"/>
          <w:bCs/>
          <w:sz w:val="24"/>
          <w:szCs w:val="24"/>
          <w:lang w:eastAsia="pl-PL"/>
        </w:rPr>
        <w:t xml:space="preserve">Realizacja zadań </w:t>
      </w:r>
      <w:r w:rsidR="00E90CC6">
        <w:rPr>
          <w:rFonts w:ascii="Lato" w:eastAsia="Times New Roman" w:hAnsi="Lato" w:cs="Calibri"/>
          <w:bCs/>
          <w:sz w:val="24"/>
          <w:szCs w:val="24"/>
          <w:lang w:eastAsia="pl-PL"/>
        </w:rPr>
        <w:t xml:space="preserve">określonych w Planie </w:t>
      </w:r>
      <w:r>
        <w:rPr>
          <w:rFonts w:ascii="Lato" w:eastAsia="Times New Roman" w:hAnsi="Lato" w:cs="Calibri"/>
          <w:bCs/>
          <w:sz w:val="24"/>
          <w:szCs w:val="24"/>
          <w:lang w:eastAsia="pl-PL"/>
        </w:rPr>
        <w:t xml:space="preserve">ma </w:t>
      </w:r>
      <w:r w:rsidR="00E90CC6">
        <w:rPr>
          <w:rFonts w:ascii="Lato" w:eastAsia="Times New Roman" w:hAnsi="Lato" w:cs="Calibri"/>
          <w:bCs/>
          <w:sz w:val="24"/>
          <w:szCs w:val="24"/>
          <w:lang w:eastAsia="pl-PL"/>
        </w:rPr>
        <w:t>n</w:t>
      </w:r>
      <w:r>
        <w:rPr>
          <w:rFonts w:ascii="Lato" w:eastAsia="Times New Roman" w:hAnsi="Lato" w:cs="Calibri"/>
          <w:bCs/>
          <w:sz w:val="24"/>
          <w:szCs w:val="24"/>
          <w:lang w:eastAsia="pl-PL"/>
        </w:rPr>
        <w:t xml:space="preserve">a celu poprawę dostępności Ministerstwa Rodziny, Pracy i Polityki Społecznej dla osób ze szczególnymi potrzebami. Za osobę ze szczególnymi potrzebami uważa się osobę, która ze względu na swoje cechy zewnętrzne i wewnętrzne, albo ze względu na okoliczności, w których się znajduje, musi podjąć dodatkowe działania lub zastosować dodatkowe środki w celu przezwyciężenia bariery, aby uczestniczyć w różnych sferach życia na zasadzie równości z innymi osobami. </w:t>
      </w:r>
    </w:p>
    <w:p w14:paraId="3EA7FBFD" w14:textId="6A20E635" w:rsidR="00FE06D0" w:rsidRDefault="00FE06D0" w:rsidP="00FE06D0">
      <w:pPr>
        <w:spacing w:after="0" w:line="360" w:lineRule="auto"/>
        <w:rPr>
          <w:rFonts w:ascii="Lato" w:eastAsia="Times New Roman" w:hAnsi="Lato" w:cs="Calibri"/>
          <w:bCs/>
          <w:sz w:val="24"/>
          <w:szCs w:val="24"/>
          <w:lang w:eastAsia="pl-PL"/>
        </w:rPr>
      </w:pPr>
      <w:r>
        <w:rPr>
          <w:rFonts w:ascii="Lato" w:eastAsia="Times New Roman" w:hAnsi="Lato" w:cs="Calibri"/>
          <w:bCs/>
          <w:sz w:val="24"/>
          <w:szCs w:val="24"/>
          <w:lang w:eastAsia="pl-PL"/>
        </w:rPr>
        <w:t>Za bariery uznaje się przeszkodę lub ograniczenia architektoniczne, cyfrowe oraz informacyjno-komunikacyjne, które uniemożliwiają lub utrudniają osobom ze szczególnym</w:t>
      </w:r>
      <w:r w:rsidR="00656B9D">
        <w:rPr>
          <w:rFonts w:ascii="Lato" w:eastAsia="Times New Roman" w:hAnsi="Lato" w:cs="Calibri"/>
          <w:bCs/>
          <w:sz w:val="24"/>
          <w:szCs w:val="24"/>
          <w:lang w:eastAsia="pl-PL"/>
        </w:rPr>
        <w:t>i potrzebami udział w różnych sf</w:t>
      </w:r>
      <w:r>
        <w:rPr>
          <w:rFonts w:ascii="Lato" w:eastAsia="Times New Roman" w:hAnsi="Lato" w:cs="Calibri"/>
          <w:bCs/>
          <w:sz w:val="24"/>
          <w:szCs w:val="24"/>
          <w:lang w:eastAsia="pl-PL"/>
        </w:rPr>
        <w:t xml:space="preserve">erach życia na zasadzie równości z innymi osobami. </w:t>
      </w:r>
    </w:p>
    <w:p w14:paraId="4D7AE928" w14:textId="77777777" w:rsidR="00FE06D0" w:rsidRDefault="00FE06D0" w:rsidP="00FE06D0">
      <w:pPr>
        <w:pStyle w:val="Nagwek1"/>
        <w:spacing w:after="240"/>
        <w:rPr>
          <w:rFonts w:eastAsia="Times New Roman"/>
          <w:lang w:eastAsia="pl-PL"/>
        </w:rPr>
      </w:pPr>
      <w:bookmarkStart w:id="4" w:name="_Toc224634962"/>
      <w:r>
        <w:rPr>
          <w:rFonts w:eastAsia="Times New Roman"/>
          <w:lang w:eastAsia="pl-PL"/>
        </w:rPr>
        <w:t>Analiza stanu zastanego</w:t>
      </w:r>
      <w:bookmarkEnd w:id="4"/>
      <w:r>
        <w:rPr>
          <w:rFonts w:eastAsia="Times New Roman"/>
          <w:lang w:eastAsia="pl-PL"/>
        </w:rPr>
        <w:t xml:space="preserve"> </w:t>
      </w:r>
    </w:p>
    <w:p w14:paraId="7F4F91F9" w14:textId="14F76CA8" w:rsidR="00FE06D0" w:rsidRPr="002A2581" w:rsidRDefault="00FE06D0" w:rsidP="00FE06D0">
      <w:pPr>
        <w:spacing w:line="360" w:lineRule="auto"/>
        <w:rPr>
          <w:rFonts w:ascii="Lato" w:hAnsi="Lato"/>
          <w:sz w:val="24"/>
          <w:szCs w:val="24"/>
          <w:lang w:eastAsia="pl-PL"/>
        </w:rPr>
      </w:pPr>
      <w:r w:rsidRPr="00016C52">
        <w:rPr>
          <w:rFonts w:ascii="Lato" w:hAnsi="Lato"/>
          <w:sz w:val="24"/>
          <w:szCs w:val="24"/>
          <w:lang w:eastAsia="pl-PL"/>
        </w:rPr>
        <w:t>Plan obejmuje analizę stanu zapewnienia dostępności osobom ze szczególnymi potrzebami oraz podejmowane działania służące realizacji zadań w zakresie dostępności w trzech głównych obszarach: dostępności architektonicznej, cyfrowej oraz informacyjno-komunikacyjnej</w:t>
      </w:r>
      <w:r>
        <w:rPr>
          <w:rFonts w:ascii="Lato" w:hAnsi="Lato"/>
          <w:sz w:val="24"/>
          <w:szCs w:val="24"/>
          <w:lang w:eastAsia="pl-PL"/>
        </w:rPr>
        <w:t>.</w:t>
      </w:r>
      <w:r w:rsidRPr="00016C52">
        <w:rPr>
          <w:rFonts w:ascii="Lato" w:hAnsi="Lato"/>
          <w:sz w:val="24"/>
          <w:szCs w:val="24"/>
          <w:lang w:eastAsia="pl-PL"/>
        </w:rPr>
        <w:t xml:space="preserve"> Analiza powstała z wykorzystaniem </w:t>
      </w:r>
      <w:r>
        <w:rPr>
          <w:rFonts w:ascii="Lato" w:hAnsi="Lato"/>
          <w:sz w:val="24"/>
          <w:szCs w:val="24"/>
          <w:lang w:eastAsia="pl-PL"/>
        </w:rPr>
        <w:t xml:space="preserve">danych o działaniach na rzecz zapewniania dostępności zrealizowanych w lat 2021-2024 oraz </w:t>
      </w:r>
      <w:r w:rsidRPr="00016C52">
        <w:rPr>
          <w:rFonts w:ascii="Lato" w:hAnsi="Lato"/>
          <w:sz w:val="24"/>
          <w:szCs w:val="24"/>
          <w:lang w:eastAsia="pl-PL"/>
        </w:rPr>
        <w:t>Raport</w:t>
      </w:r>
      <w:r>
        <w:rPr>
          <w:rFonts w:ascii="Lato" w:hAnsi="Lato"/>
          <w:sz w:val="24"/>
          <w:szCs w:val="24"/>
          <w:lang w:eastAsia="pl-PL"/>
        </w:rPr>
        <w:t>u</w:t>
      </w:r>
      <w:r w:rsidRPr="00016C52">
        <w:rPr>
          <w:rFonts w:ascii="Lato" w:hAnsi="Lato"/>
          <w:sz w:val="24"/>
          <w:szCs w:val="24"/>
          <w:lang w:eastAsia="pl-PL"/>
        </w:rPr>
        <w:t xml:space="preserve"> z audytu</w:t>
      </w:r>
      <w:r w:rsidR="005B59A3">
        <w:rPr>
          <w:rFonts w:ascii="Lato" w:hAnsi="Lato"/>
          <w:sz w:val="24"/>
          <w:szCs w:val="24"/>
          <w:lang w:eastAsia="pl-PL"/>
        </w:rPr>
        <w:t xml:space="preserve"> dostępności: </w:t>
      </w:r>
      <w:hyperlink r:id="rId11" w:history="1">
        <w:r w:rsidR="005B59A3">
          <w:rPr>
            <w:rStyle w:val="Hipercze"/>
            <w:rFonts w:ascii="Open Sans" w:hAnsi="Open Sans" w:cs="Open Sans"/>
            <w:color w:val="0052A5"/>
            <w:sz w:val="21"/>
            <w:szCs w:val="21"/>
            <w:shd w:val="clear" w:color="auto" w:fill="FFFFFF"/>
          </w:rPr>
          <w:t>Raport z audytu</w:t>
        </w:r>
      </w:hyperlink>
      <w:r>
        <w:rPr>
          <w:rFonts w:ascii="Lato" w:hAnsi="Lato"/>
          <w:sz w:val="24"/>
          <w:szCs w:val="24"/>
          <w:lang w:eastAsia="pl-PL"/>
        </w:rPr>
        <w:t xml:space="preserve"> </w:t>
      </w:r>
    </w:p>
    <w:p w14:paraId="2A9FF39F" w14:textId="77777777" w:rsidR="00FE06D0" w:rsidRDefault="00FE06D0" w:rsidP="00FE06D0">
      <w:pPr>
        <w:pStyle w:val="Nagwek1"/>
        <w:spacing w:after="240"/>
        <w:rPr>
          <w:rFonts w:eastAsia="Times New Roman"/>
          <w:lang w:eastAsia="pl-PL"/>
        </w:rPr>
      </w:pPr>
      <w:bookmarkStart w:id="5" w:name="_Toc224634963"/>
      <w:r>
        <w:rPr>
          <w:rFonts w:eastAsia="Times New Roman"/>
          <w:lang w:eastAsia="pl-PL"/>
        </w:rPr>
        <w:t>Podstawa prawna</w:t>
      </w:r>
      <w:bookmarkEnd w:id="5"/>
    </w:p>
    <w:p w14:paraId="5551DF78" w14:textId="77777777" w:rsidR="00FE06D0" w:rsidRDefault="00FE06D0" w:rsidP="00FE06D0">
      <w:pPr>
        <w:spacing w:after="0" w:line="360" w:lineRule="auto"/>
        <w:rPr>
          <w:rFonts w:ascii="Lato" w:eastAsia="Times New Roman" w:hAnsi="Lato" w:cs="Calibri"/>
          <w:sz w:val="24"/>
          <w:szCs w:val="24"/>
          <w:lang w:eastAsia="pl-PL"/>
        </w:rPr>
      </w:pPr>
      <w:r>
        <w:rPr>
          <w:rFonts w:ascii="Lato" w:eastAsia="Times New Roman" w:hAnsi="Lato" w:cs="Calibri"/>
          <w:sz w:val="24"/>
          <w:szCs w:val="24"/>
          <w:lang w:eastAsia="pl-PL"/>
        </w:rPr>
        <w:t xml:space="preserve">Obowiązek stworzenia Planu działania wynika z przepisów </w:t>
      </w:r>
      <w:r w:rsidRPr="00C078BE">
        <w:rPr>
          <w:rFonts w:ascii="Lato" w:eastAsia="Times New Roman" w:hAnsi="Lato" w:cs="Calibri"/>
          <w:sz w:val="24"/>
          <w:szCs w:val="24"/>
          <w:lang w:eastAsia="pl-PL"/>
        </w:rPr>
        <w:t>Ustaw</w:t>
      </w:r>
      <w:r>
        <w:rPr>
          <w:rFonts w:ascii="Lato" w:eastAsia="Times New Roman" w:hAnsi="Lato" w:cs="Calibri"/>
          <w:sz w:val="24"/>
          <w:szCs w:val="24"/>
          <w:lang w:eastAsia="pl-PL"/>
        </w:rPr>
        <w:t>y</w:t>
      </w:r>
      <w:r w:rsidRPr="00C078BE">
        <w:rPr>
          <w:rFonts w:ascii="Lato" w:eastAsia="Times New Roman" w:hAnsi="Lato" w:cs="Calibri"/>
          <w:sz w:val="24"/>
          <w:szCs w:val="24"/>
          <w:lang w:eastAsia="pl-PL"/>
        </w:rPr>
        <w:t xml:space="preserve"> z dnia 19 lipca 2019 r. o zapewnianiu dostępności osobom ze</w:t>
      </w:r>
      <w:r>
        <w:rPr>
          <w:rFonts w:ascii="Lato" w:eastAsia="Times New Roman" w:hAnsi="Lato" w:cs="Calibri"/>
          <w:sz w:val="24"/>
          <w:szCs w:val="24"/>
          <w:lang w:eastAsia="pl-PL"/>
        </w:rPr>
        <w:t xml:space="preserve"> </w:t>
      </w:r>
      <w:r w:rsidRPr="00C078BE">
        <w:rPr>
          <w:rFonts w:ascii="Lato" w:eastAsia="Times New Roman" w:hAnsi="Lato" w:cs="Calibri"/>
          <w:sz w:val="24"/>
          <w:szCs w:val="24"/>
          <w:lang w:eastAsia="pl-PL"/>
        </w:rPr>
        <w:t>szczególnymi potrzebami (Dz. U. z 2024 r. poz. 1411), zwana dalej „Ustawą”</w:t>
      </w:r>
      <w:r>
        <w:rPr>
          <w:rFonts w:ascii="Lato" w:eastAsia="Times New Roman" w:hAnsi="Lato" w:cs="Calibri"/>
          <w:sz w:val="24"/>
          <w:szCs w:val="24"/>
          <w:lang w:eastAsia="pl-PL"/>
        </w:rPr>
        <w:t xml:space="preserve">. </w:t>
      </w:r>
      <w:r w:rsidRPr="00C078BE">
        <w:rPr>
          <w:rFonts w:ascii="Lato" w:eastAsia="Times New Roman" w:hAnsi="Lato" w:cs="Calibri"/>
          <w:sz w:val="24"/>
          <w:szCs w:val="24"/>
          <w:lang w:eastAsia="pl-PL"/>
        </w:rPr>
        <w:t xml:space="preserve"> </w:t>
      </w:r>
      <w:r>
        <w:rPr>
          <w:rFonts w:ascii="Lato" w:eastAsia="Times New Roman" w:hAnsi="Lato" w:cs="Calibri"/>
          <w:sz w:val="24"/>
          <w:szCs w:val="24"/>
          <w:lang w:eastAsia="pl-PL"/>
        </w:rPr>
        <w:t xml:space="preserve">Ustawa </w:t>
      </w:r>
      <w:r>
        <w:rPr>
          <w:rFonts w:ascii="Lato" w:eastAsia="Times New Roman" w:hAnsi="Lato" w:cs="Calibri"/>
          <w:sz w:val="24"/>
          <w:szCs w:val="24"/>
          <w:lang w:eastAsia="pl-PL"/>
        </w:rPr>
        <w:lastRenderedPageBreak/>
        <w:t xml:space="preserve">zobowiązuje podmioty publiczne do szeregu działań mających na celu poprawę warunków funkcjonowania obywateli ze szczególnymi potrzebami, w tym poprawy dostępu do podmiotu publicznych, ich budynków, zasobów cyfrowych i dostępu do informacji. </w:t>
      </w:r>
      <w:r w:rsidRPr="00C078BE">
        <w:rPr>
          <w:rFonts w:ascii="Lato" w:eastAsia="Times New Roman" w:hAnsi="Lato" w:cs="Calibri"/>
          <w:sz w:val="24"/>
          <w:szCs w:val="24"/>
          <w:lang w:eastAsia="pl-PL"/>
        </w:rPr>
        <w:t>Rozwiązania przyjęte w Ustawie wypełniają postanowienia Konwencji o prawach</w:t>
      </w:r>
      <w:r>
        <w:rPr>
          <w:rFonts w:ascii="Lato" w:eastAsia="Times New Roman" w:hAnsi="Lato" w:cs="Calibri"/>
          <w:sz w:val="24"/>
          <w:szCs w:val="24"/>
          <w:lang w:eastAsia="pl-PL"/>
        </w:rPr>
        <w:t xml:space="preserve"> </w:t>
      </w:r>
      <w:r w:rsidRPr="00C078BE">
        <w:rPr>
          <w:rFonts w:ascii="Lato" w:eastAsia="Times New Roman" w:hAnsi="Lato" w:cs="Calibri"/>
          <w:sz w:val="24"/>
          <w:szCs w:val="24"/>
          <w:lang w:eastAsia="pl-PL"/>
        </w:rPr>
        <w:t>osób niepełnosprawnych, sporządzonej w Nowym Jorku dnia 13 grudnia 2006 r. (Dz.</w:t>
      </w:r>
      <w:r>
        <w:rPr>
          <w:rFonts w:ascii="Lato" w:eastAsia="Times New Roman" w:hAnsi="Lato" w:cs="Calibri"/>
          <w:sz w:val="24"/>
          <w:szCs w:val="24"/>
          <w:lang w:eastAsia="pl-PL"/>
        </w:rPr>
        <w:t xml:space="preserve"> </w:t>
      </w:r>
      <w:r w:rsidRPr="00C078BE">
        <w:rPr>
          <w:rFonts w:ascii="Lato" w:eastAsia="Times New Roman" w:hAnsi="Lato" w:cs="Calibri"/>
          <w:sz w:val="24"/>
          <w:szCs w:val="24"/>
          <w:lang w:eastAsia="pl-PL"/>
        </w:rPr>
        <w:t xml:space="preserve">U. z 2012 r. poz. 1169, z </w:t>
      </w:r>
      <w:proofErr w:type="spellStart"/>
      <w:r w:rsidRPr="00C078BE">
        <w:rPr>
          <w:rFonts w:ascii="Lato" w:eastAsia="Times New Roman" w:hAnsi="Lato" w:cs="Calibri"/>
          <w:sz w:val="24"/>
          <w:szCs w:val="24"/>
          <w:lang w:eastAsia="pl-PL"/>
        </w:rPr>
        <w:t>późn</w:t>
      </w:r>
      <w:proofErr w:type="spellEnd"/>
      <w:r w:rsidRPr="00C078BE">
        <w:rPr>
          <w:rFonts w:ascii="Lato" w:eastAsia="Times New Roman" w:hAnsi="Lato" w:cs="Calibri"/>
          <w:sz w:val="24"/>
          <w:szCs w:val="24"/>
          <w:lang w:eastAsia="pl-PL"/>
        </w:rPr>
        <w:t>. zm.).</w:t>
      </w:r>
      <w:r>
        <w:rPr>
          <w:rFonts w:ascii="Lato" w:eastAsia="Times New Roman" w:hAnsi="Lato" w:cs="Calibri"/>
          <w:sz w:val="24"/>
          <w:szCs w:val="24"/>
          <w:lang w:eastAsia="pl-PL"/>
        </w:rPr>
        <w:t xml:space="preserve"> </w:t>
      </w:r>
    </w:p>
    <w:p w14:paraId="40F6EE16" w14:textId="77777777" w:rsidR="00FE06D0" w:rsidRDefault="00FE06D0" w:rsidP="00FE06D0">
      <w:pPr>
        <w:pStyle w:val="Nagwek1"/>
        <w:rPr>
          <w:rFonts w:eastAsia="Times New Roman"/>
          <w:lang w:eastAsia="pl-PL"/>
        </w:rPr>
      </w:pPr>
      <w:bookmarkStart w:id="6" w:name="_Toc224634964"/>
      <w:r>
        <w:rPr>
          <w:rFonts w:eastAsia="Times New Roman"/>
          <w:lang w:eastAsia="pl-PL"/>
        </w:rPr>
        <w:t>Plan działań na rzecz zapewniania dostępności na lata 2025-2026</w:t>
      </w:r>
      <w:bookmarkEnd w:id="6"/>
    </w:p>
    <w:p w14:paraId="5C18A69F" w14:textId="77777777" w:rsidR="00FE06D0" w:rsidRPr="000F10C6" w:rsidRDefault="00FE06D0" w:rsidP="00FE06D0">
      <w:pPr>
        <w:pStyle w:val="Nagwek2"/>
        <w:numPr>
          <w:ilvl w:val="0"/>
          <w:numId w:val="1"/>
        </w:numPr>
        <w:tabs>
          <w:tab w:val="num" w:pos="360"/>
        </w:tabs>
        <w:spacing w:before="360"/>
        <w:ind w:left="714" w:hanging="357"/>
        <w:rPr>
          <w:lang w:eastAsia="pl-PL"/>
        </w:rPr>
      </w:pPr>
      <w:bookmarkStart w:id="7" w:name="_Toc224634965"/>
      <w:r>
        <w:rPr>
          <w:lang w:eastAsia="pl-PL"/>
        </w:rPr>
        <w:t>Dostępność architektoniczna</w:t>
      </w:r>
      <w:bookmarkEnd w:id="7"/>
    </w:p>
    <w:tbl>
      <w:tblPr>
        <w:tblStyle w:val="Tabela-Siatka"/>
        <w:tblW w:w="7926" w:type="dxa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1276"/>
        <w:gridCol w:w="1977"/>
      </w:tblGrid>
      <w:tr w:rsidR="00FE06D0" w:rsidRPr="002B75AE" w14:paraId="6BE047B9" w14:textId="77777777" w:rsidTr="00D513DE">
        <w:tc>
          <w:tcPr>
            <w:tcW w:w="704" w:type="dxa"/>
            <w:shd w:val="clear" w:color="auto" w:fill="A8D08D" w:themeFill="accent6" w:themeFillTint="99"/>
          </w:tcPr>
          <w:p w14:paraId="38BCF96E" w14:textId="77777777" w:rsidR="00FE06D0" w:rsidRPr="002A2581" w:rsidRDefault="00FE06D0" w:rsidP="00D513DE">
            <w:pPr>
              <w:rPr>
                <w:rFonts w:ascii="Lato" w:hAnsi="Lato"/>
                <w:b/>
                <w:bCs/>
                <w:sz w:val="24"/>
                <w:szCs w:val="24"/>
                <w:lang w:eastAsia="pl-PL"/>
              </w:rPr>
            </w:pPr>
            <w:r w:rsidRPr="002A2581">
              <w:rPr>
                <w:rFonts w:ascii="Lato" w:hAnsi="Lato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969" w:type="dxa"/>
            <w:shd w:val="clear" w:color="auto" w:fill="A8D08D" w:themeFill="accent6" w:themeFillTint="99"/>
          </w:tcPr>
          <w:p w14:paraId="44B9B85E" w14:textId="77777777" w:rsidR="00FE06D0" w:rsidRPr="002A2581" w:rsidRDefault="00FE06D0" w:rsidP="00D513DE">
            <w:pPr>
              <w:rPr>
                <w:rFonts w:ascii="Lato" w:hAnsi="Lato"/>
                <w:b/>
                <w:bCs/>
                <w:sz w:val="24"/>
                <w:szCs w:val="24"/>
                <w:lang w:eastAsia="pl-PL"/>
              </w:rPr>
            </w:pPr>
            <w:r w:rsidRPr="002A2581">
              <w:rPr>
                <w:rFonts w:ascii="Lato" w:hAnsi="Lato"/>
                <w:b/>
                <w:bCs/>
                <w:sz w:val="24"/>
                <w:szCs w:val="24"/>
                <w:lang w:eastAsia="pl-PL"/>
              </w:rPr>
              <w:t>Proponowane działanie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14:paraId="23E2CBF6" w14:textId="77777777" w:rsidR="00FE06D0" w:rsidRPr="002A2581" w:rsidRDefault="00FE06D0" w:rsidP="00D513DE">
            <w:pPr>
              <w:rPr>
                <w:rFonts w:ascii="Lato" w:hAnsi="Lato"/>
                <w:b/>
                <w:bCs/>
                <w:sz w:val="24"/>
                <w:szCs w:val="24"/>
                <w:lang w:eastAsia="pl-PL"/>
              </w:rPr>
            </w:pPr>
            <w:r w:rsidRPr="002A2581">
              <w:rPr>
                <w:rFonts w:ascii="Lato" w:hAnsi="Lato"/>
                <w:b/>
                <w:bCs/>
                <w:sz w:val="24"/>
                <w:szCs w:val="24"/>
                <w:lang w:eastAsia="pl-PL"/>
              </w:rPr>
              <w:t>Czas realizacji – data graniczna</w:t>
            </w:r>
          </w:p>
        </w:tc>
        <w:tc>
          <w:tcPr>
            <w:tcW w:w="1977" w:type="dxa"/>
            <w:shd w:val="clear" w:color="auto" w:fill="A8D08D" w:themeFill="accent6" w:themeFillTint="99"/>
          </w:tcPr>
          <w:p w14:paraId="4EB75FBA" w14:textId="77777777" w:rsidR="00FE06D0" w:rsidRPr="002A2581" w:rsidRDefault="00FE06D0" w:rsidP="00D513DE">
            <w:pPr>
              <w:rPr>
                <w:rFonts w:ascii="Lato" w:hAnsi="Lato"/>
                <w:b/>
                <w:bCs/>
                <w:sz w:val="24"/>
                <w:szCs w:val="24"/>
                <w:lang w:eastAsia="pl-PL"/>
              </w:rPr>
            </w:pPr>
            <w:r w:rsidRPr="002A2581">
              <w:rPr>
                <w:rFonts w:ascii="Lato" w:hAnsi="Lato"/>
                <w:b/>
                <w:bCs/>
                <w:sz w:val="24"/>
                <w:szCs w:val="24"/>
                <w:lang w:eastAsia="pl-PL"/>
              </w:rPr>
              <w:t>Komórka odpowiedzialna</w:t>
            </w:r>
          </w:p>
        </w:tc>
      </w:tr>
      <w:tr w:rsidR="00FE06D0" w:rsidRPr="002B75AE" w14:paraId="405CF5E1" w14:textId="77777777" w:rsidTr="00D513DE">
        <w:trPr>
          <w:trHeight w:val="414"/>
        </w:trPr>
        <w:tc>
          <w:tcPr>
            <w:tcW w:w="7926" w:type="dxa"/>
            <w:gridSpan w:val="4"/>
            <w:shd w:val="clear" w:color="auto" w:fill="E2EFD9" w:themeFill="accent6" w:themeFillTint="33"/>
            <w:noWrap/>
            <w:hideMark/>
          </w:tcPr>
          <w:p w14:paraId="162C664B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5452">
              <w:rPr>
                <w:rFonts w:ascii="Lato" w:hAnsi="Lato"/>
                <w:b/>
                <w:bCs/>
                <w:sz w:val="24"/>
                <w:szCs w:val="24"/>
                <w:lang w:eastAsia="pl-PL"/>
              </w:rPr>
              <w:t>Dostępność architektoniczna</w:t>
            </w:r>
          </w:p>
        </w:tc>
      </w:tr>
      <w:tr w:rsidR="00FE06D0" w:rsidRPr="002B75AE" w14:paraId="7A1ECB50" w14:textId="77777777" w:rsidTr="00D513DE">
        <w:tc>
          <w:tcPr>
            <w:tcW w:w="704" w:type="dxa"/>
            <w:shd w:val="clear" w:color="auto" w:fill="E2EFD9" w:themeFill="accent6" w:themeFillTint="33"/>
          </w:tcPr>
          <w:p w14:paraId="4951A024" w14:textId="77777777" w:rsidR="00FE06D0" w:rsidRPr="002B75AE" w:rsidRDefault="00FE06D0" w:rsidP="00D513DE">
            <w:pPr>
              <w:rPr>
                <w:rFonts w:ascii="Lato" w:hAnsi="Lato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69" w:type="dxa"/>
          </w:tcPr>
          <w:p w14:paraId="5B795207" w14:textId="77777777" w:rsidR="00FE06D0" w:rsidRPr="002B75AE" w:rsidRDefault="00FE06D0" w:rsidP="00D513DE">
            <w:pPr>
              <w:rPr>
                <w:rFonts w:ascii="Lato" w:hAnsi="Lato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Remont łazienek w budynku przy ul. Żurawiej 4a z dostosowaniem kilku łazienek dla osób niepełnosprawnych oraz osób starszych, mających problem z ograniczeniami narządu ruchu</w:t>
            </w:r>
          </w:p>
        </w:tc>
        <w:tc>
          <w:tcPr>
            <w:tcW w:w="1276" w:type="dxa"/>
          </w:tcPr>
          <w:p w14:paraId="584CC549" w14:textId="77777777" w:rsidR="00FE06D0" w:rsidRPr="002B75AE" w:rsidRDefault="00FE06D0" w:rsidP="00D513DE">
            <w:pPr>
              <w:rPr>
                <w:rFonts w:ascii="Lato" w:hAnsi="Lato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Koniec roku </w:t>
            </w: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1977" w:type="dxa"/>
          </w:tcPr>
          <w:p w14:paraId="14396D32" w14:textId="77777777" w:rsidR="00FE06D0" w:rsidRPr="002B75AE" w:rsidRDefault="00FE06D0" w:rsidP="00D513DE">
            <w:pPr>
              <w:rPr>
                <w:rFonts w:ascii="Lato" w:hAnsi="Lato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Biuro Obsługi Ministerstwa</w:t>
            </w:r>
          </w:p>
        </w:tc>
      </w:tr>
      <w:tr w:rsidR="00FE06D0" w:rsidRPr="002B75AE" w14:paraId="770AA931" w14:textId="77777777" w:rsidTr="00D513DE">
        <w:trPr>
          <w:trHeight w:val="2400"/>
        </w:trPr>
        <w:tc>
          <w:tcPr>
            <w:tcW w:w="704" w:type="dxa"/>
            <w:shd w:val="clear" w:color="auto" w:fill="E2EFD9" w:themeFill="accent6" w:themeFillTint="33"/>
            <w:noWrap/>
            <w:hideMark/>
          </w:tcPr>
          <w:p w14:paraId="0A6AA617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969" w:type="dxa"/>
            <w:noWrap/>
            <w:hideMark/>
          </w:tcPr>
          <w:p w14:paraId="387274BB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Oddanie do użytku</w:t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komfortki</w:t>
            </w:r>
            <w:proofErr w:type="spellEnd"/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 na parterze w budynku przy ul. Żurawiej 4a – specjalistyczne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go</w:t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 pomieszczeni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a</w:t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 sanitarne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go</w:t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 przeznaczone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go</w:t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 dla osób z niepełnosprawnościami  oraz ich opiekunów. Umożliwia wykonanie czynności pielęgnacyjnych, których nie sposób przeprowadzić w standardowej toalecie</w:t>
            </w:r>
          </w:p>
        </w:tc>
        <w:tc>
          <w:tcPr>
            <w:tcW w:w="1276" w:type="dxa"/>
            <w:noWrap/>
            <w:hideMark/>
          </w:tcPr>
          <w:p w14:paraId="19F50280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Koniec roku </w:t>
            </w: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1977" w:type="dxa"/>
            <w:hideMark/>
          </w:tcPr>
          <w:p w14:paraId="676DB6CC" w14:textId="77777777" w:rsidR="00FE06D0" w:rsidRPr="002B75AE" w:rsidRDefault="00FE06D0" w:rsidP="00D513DE">
            <w:pPr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Biuro Obsługi Ministerstwa</w:t>
            </w:r>
          </w:p>
        </w:tc>
      </w:tr>
      <w:tr w:rsidR="00FE06D0" w:rsidRPr="002B75AE" w14:paraId="25BBD50D" w14:textId="77777777" w:rsidTr="00D513DE">
        <w:trPr>
          <w:trHeight w:val="3900"/>
        </w:trPr>
        <w:tc>
          <w:tcPr>
            <w:tcW w:w="704" w:type="dxa"/>
            <w:shd w:val="clear" w:color="auto" w:fill="E2EFD9" w:themeFill="accent6" w:themeFillTint="33"/>
            <w:noWrap/>
            <w:hideMark/>
          </w:tcPr>
          <w:p w14:paraId="6F09AB05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3969" w:type="dxa"/>
            <w:hideMark/>
          </w:tcPr>
          <w:p w14:paraId="60F2C026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Dostosowanie w</w:t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ejści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a</w:t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 do budynku głównego przy ul. Nowogrodzkiej 1/3/5 do potrzeb osób starszych oraz poruszających się na wózkach inwalidzkich – poziom chodnika został podniesiony do poziomu posadzki wejścia do budynku</w:t>
            </w:r>
          </w:p>
        </w:tc>
        <w:tc>
          <w:tcPr>
            <w:tcW w:w="1276" w:type="dxa"/>
            <w:noWrap/>
            <w:hideMark/>
          </w:tcPr>
          <w:p w14:paraId="5BC249D8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50347F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Koniec roku </w:t>
            </w: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1977" w:type="dxa"/>
            <w:hideMark/>
          </w:tcPr>
          <w:p w14:paraId="4797CDB8" w14:textId="77777777" w:rsidR="00FE06D0" w:rsidRPr="002B75AE" w:rsidRDefault="00FE06D0" w:rsidP="00D513DE">
            <w:pPr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Biuro Obsługi Ministerstwa</w:t>
            </w:r>
          </w:p>
        </w:tc>
      </w:tr>
      <w:tr w:rsidR="00FE06D0" w:rsidRPr="002B75AE" w14:paraId="0C4016CA" w14:textId="77777777" w:rsidTr="00D513DE">
        <w:trPr>
          <w:trHeight w:val="3300"/>
        </w:trPr>
        <w:tc>
          <w:tcPr>
            <w:tcW w:w="704" w:type="dxa"/>
            <w:shd w:val="clear" w:color="auto" w:fill="E2EFD9" w:themeFill="accent6" w:themeFillTint="33"/>
            <w:noWrap/>
            <w:hideMark/>
          </w:tcPr>
          <w:p w14:paraId="31E918F5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969" w:type="dxa"/>
            <w:noWrap/>
            <w:hideMark/>
          </w:tcPr>
          <w:p w14:paraId="566F428C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Z</w:t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akup sprzętu wspomagającego ewakuację – krzesła ewakuacyjne w budynkach przy ul. Żurawiej 4a oraz Nowogrodzkiej 1/3/5</w:t>
            </w:r>
          </w:p>
        </w:tc>
        <w:tc>
          <w:tcPr>
            <w:tcW w:w="1276" w:type="dxa"/>
            <w:noWrap/>
            <w:hideMark/>
          </w:tcPr>
          <w:p w14:paraId="0558E302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50347F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Koniec roku </w:t>
            </w: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1977" w:type="dxa"/>
            <w:hideMark/>
          </w:tcPr>
          <w:p w14:paraId="3E0977A7" w14:textId="77777777" w:rsidR="00FE06D0" w:rsidRPr="002B75AE" w:rsidRDefault="00FE06D0" w:rsidP="00D513DE">
            <w:pPr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Biuro Obsługi Ministerstwa</w:t>
            </w:r>
          </w:p>
        </w:tc>
      </w:tr>
      <w:tr w:rsidR="00FE06D0" w:rsidRPr="002B75AE" w14:paraId="2C1A6D41" w14:textId="77777777" w:rsidTr="00D513DE">
        <w:trPr>
          <w:trHeight w:val="2100"/>
        </w:trPr>
        <w:tc>
          <w:tcPr>
            <w:tcW w:w="704" w:type="dxa"/>
            <w:shd w:val="clear" w:color="auto" w:fill="E2EFD9" w:themeFill="accent6" w:themeFillTint="33"/>
            <w:noWrap/>
            <w:hideMark/>
          </w:tcPr>
          <w:p w14:paraId="11B7040D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noWrap/>
            <w:hideMark/>
          </w:tcPr>
          <w:p w14:paraId="352310D5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Zainstalowanie w</w:t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e wszystkich punktach recepcyjnych (ul. Żurawia4a, Nowogrodzka 1/3/5, Bracka 4 kl. 1 i 2) pętl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i</w:t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 indukcyjn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ych</w:t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, które stanowią wspomaganie dla osób z niepełnosprawnością słuchu, korzystających z aparatów słuchowych lub implantów. 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W</w:t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yposażono w pętle indukcyjne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 wybranych </w:t>
            </w:r>
            <w:proofErr w:type="spellStart"/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sal</w:t>
            </w:r>
            <w:proofErr w:type="spellEnd"/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 konferencyjnych</w:t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76" w:type="dxa"/>
            <w:noWrap/>
            <w:hideMark/>
          </w:tcPr>
          <w:p w14:paraId="1D49985E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Koniec roku </w:t>
            </w: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1977" w:type="dxa"/>
            <w:hideMark/>
          </w:tcPr>
          <w:p w14:paraId="2B671196" w14:textId="77777777" w:rsidR="00FE06D0" w:rsidRPr="002B75AE" w:rsidRDefault="00FE06D0" w:rsidP="00D513DE">
            <w:pPr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Biuro Obsługi Ministerstwa</w:t>
            </w:r>
          </w:p>
        </w:tc>
      </w:tr>
      <w:tr w:rsidR="00FE06D0" w:rsidRPr="002B75AE" w14:paraId="5A9811C5" w14:textId="77777777" w:rsidTr="00D513DE">
        <w:trPr>
          <w:trHeight w:val="5100"/>
        </w:trPr>
        <w:tc>
          <w:tcPr>
            <w:tcW w:w="704" w:type="dxa"/>
            <w:shd w:val="clear" w:color="auto" w:fill="E2EFD9" w:themeFill="accent6" w:themeFillTint="33"/>
            <w:noWrap/>
            <w:hideMark/>
          </w:tcPr>
          <w:p w14:paraId="0CDE0E37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3969" w:type="dxa"/>
            <w:noWrap/>
            <w:hideMark/>
          </w:tcPr>
          <w:p w14:paraId="3DD3FEEA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Budowa dźwigu osobowego w budynku przy ul. Brackiej 4 kl. 2 - pozwoli na swobodną komunikację pionową w budynku  osobom starszym i poruszającym się na wózkach inwalidzkich</w:t>
            </w:r>
          </w:p>
        </w:tc>
        <w:tc>
          <w:tcPr>
            <w:tcW w:w="1276" w:type="dxa"/>
            <w:noWrap/>
            <w:hideMark/>
          </w:tcPr>
          <w:p w14:paraId="08E733EC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Koniec roku </w:t>
            </w: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202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977" w:type="dxa"/>
            <w:hideMark/>
          </w:tcPr>
          <w:p w14:paraId="28BFA134" w14:textId="77777777" w:rsidR="00FE06D0" w:rsidRPr="002B75AE" w:rsidRDefault="00FE06D0" w:rsidP="00D513DE">
            <w:pPr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Biuro Obsługi Ministerstwa</w:t>
            </w:r>
          </w:p>
        </w:tc>
      </w:tr>
      <w:tr w:rsidR="00FE06D0" w:rsidRPr="002B75AE" w14:paraId="1FFCD80E" w14:textId="77777777" w:rsidTr="00D513DE">
        <w:trPr>
          <w:trHeight w:val="2400"/>
        </w:trPr>
        <w:tc>
          <w:tcPr>
            <w:tcW w:w="704" w:type="dxa"/>
            <w:shd w:val="clear" w:color="auto" w:fill="E2EFD9" w:themeFill="accent6" w:themeFillTint="33"/>
            <w:noWrap/>
            <w:hideMark/>
          </w:tcPr>
          <w:p w14:paraId="16EE9028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969" w:type="dxa"/>
            <w:hideMark/>
          </w:tcPr>
          <w:p w14:paraId="591CFCFC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Instalacja p</w:t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latform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y</w:t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 przeznaczon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ej </w:t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do pokonywania schodów przy ul. Brackiej 4 kl. 2 - wejście od podwórka</w:t>
            </w:r>
          </w:p>
        </w:tc>
        <w:tc>
          <w:tcPr>
            <w:tcW w:w="1276" w:type="dxa"/>
            <w:noWrap/>
            <w:hideMark/>
          </w:tcPr>
          <w:p w14:paraId="48224110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Koniec roku </w:t>
            </w: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202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977" w:type="dxa"/>
            <w:hideMark/>
          </w:tcPr>
          <w:p w14:paraId="6526E3C5" w14:textId="77777777" w:rsidR="00FE06D0" w:rsidRPr="002B75AE" w:rsidRDefault="00FE06D0" w:rsidP="00D513DE">
            <w:pPr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Biuro Obsługi Ministerstwa</w:t>
            </w:r>
          </w:p>
        </w:tc>
      </w:tr>
    </w:tbl>
    <w:p w14:paraId="41F9629C" w14:textId="77777777" w:rsidR="00FE06D0" w:rsidRDefault="00FE06D0" w:rsidP="00FE06D0">
      <w:pPr>
        <w:pStyle w:val="Nagwek2"/>
        <w:numPr>
          <w:ilvl w:val="0"/>
          <w:numId w:val="1"/>
        </w:numPr>
        <w:tabs>
          <w:tab w:val="num" w:pos="360"/>
        </w:tabs>
        <w:spacing w:before="360"/>
        <w:ind w:left="714" w:hanging="357"/>
        <w:rPr>
          <w:lang w:eastAsia="pl-PL"/>
        </w:rPr>
      </w:pPr>
      <w:bookmarkStart w:id="8" w:name="_Toc224634966"/>
      <w:r>
        <w:rPr>
          <w:lang w:eastAsia="pl-PL"/>
        </w:rPr>
        <w:t>Dostępność cyfrowa</w:t>
      </w:r>
      <w:bookmarkEnd w:id="8"/>
    </w:p>
    <w:tbl>
      <w:tblPr>
        <w:tblStyle w:val="Tabela-Siatka"/>
        <w:tblW w:w="7926" w:type="dxa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1276"/>
        <w:gridCol w:w="1977"/>
      </w:tblGrid>
      <w:tr w:rsidR="00FE06D0" w:rsidRPr="002B75AE" w14:paraId="1188FBCE" w14:textId="77777777" w:rsidTr="00D513DE">
        <w:tc>
          <w:tcPr>
            <w:tcW w:w="704" w:type="dxa"/>
            <w:shd w:val="clear" w:color="auto" w:fill="9CC2E5" w:themeFill="accent1" w:themeFillTint="99"/>
          </w:tcPr>
          <w:p w14:paraId="1748C621" w14:textId="77777777" w:rsidR="00FE06D0" w:rsidRPr="002A2581" w:rsidRDefault="00FE06D0" w:rsidP="00D513DE">
            <w:pPr>
              <w:rPr>
                <w:rFonts w:ascii="Lato" w:hAnsi="Lato"/>
                <w:b/>
                <w:bCs/>
                <w:sz w:val="24"/>
                <w:szCs w:val="24"/>
                <w:lang w:eastAsia="pl-PL"/>
              </w:rPr>
            </w:pPr>
            <w:r w:rsidRPr="002A2581">
              <w:rPr>
                <w:rFonts w:ascii="Lato" w:hAnsi="Lato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969" w:type="dxa"/>
            <w:shd w:val="clear" w:color="auto" w:fill="9CC2E5" w:themeFill="accent1" w:themeFillTint="99"/>
          </w:tcPr>
          <w:p w14:paraId="5DE59017" w14:textId="77777777" w:rsidR="00FE06D0" w:rsidRPr="002A2581" w:rsidRDefault="00FE06D0" w:rsidP="00D513DE">
            <w:pPr>
              <w:rPr>
                <w:rFonts w:ascii="Lato" w:hAnsi="Lato"/>
                <w:b/>
                <w:bCs/>
                <w:sz w:val="24"/>
                <w:szCs w:val="24"/>
                <w:lang w:eastAsia="pl-PL"/>
              </w:rPr>
            </w:pPr>
            <w:r w:rsidRPr="002A2581">
              <w:rPr>
                <w:rFonts w:ascii="Lato" w:hAnsi="Lato"/>
                <w:b/>
                <w:bCs/>
                <w:sz w:val="24"/>
                <w:szCs w:val="24"/>
                <w:lang w:eastAsia="pl-PL"/>
              </w:rPr>
              <w:t>Proponowane działanie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4AD5B3B9" w14:textId="77777777" w:rsidR="00FE06D0" w:rsidRPr="002A2581" w:rsidRDefault="00FE06D0" w:rsidP="00D513DE">
            <w:pPr>
              <w:rPr>
                <w:rFonts w:ascii="Lato" w:hAnsi="Lato"/>
                <w:b/>
                <w:bCs/>
                <w:sz w:val="24"/>
                <w:szCs w:val="24"/>
                <w:lang w:eastAsia="pl-PL"/>
              </w:rPr>
            </w:pPr>
            <w:r w:rsidRPr="002A2581">
              <w:rPr>
                <w:rFonts w:ascii="Lato" w:hAnsi="Lato"/>
                <w:b/>
                <w:bCs/>
                <w:sz w:val="24"/>
                <w:szCs w:val="24"/>
                <w:lang w:eastAsia="pl-PL"/>
              </w:rPr>
              <w:t>Czas realizacji – data graniczna</w:t>
            </w:r>
          </w:p>
        </w:tc>
        <w:tc>
          <w:tcPr>
            <w:tcW w:w="1977" w:type="dxa"/>
            <w:shd w:val="clear" w:color="auto" w:fill="9CC2E5" w:themeFill="accent1" w:themeFillTint="99"/>
          </w:tcPr>
          <w:p w14:paraId="035C933B" w14:textId="77777777" w:rsidR="00FE06D0" w:rsidRPr="002A2581" w:rsidRDefault="00FE06D0" w:rsidP="00D513DE">
            <w:pPr>
              <w:rPr>
                <w:rFonts w:ascii="Lato" w:hAnsi="Lato"/>
                <w:b/>
                <w:bCs/>
                <w:sz w:val="24"/>
                <w:szCs w:val="24"/>
                <w:lang w:eastAsia="pl-PL"/>
              </w:rPr>
            </w:pPr>
            <w:r w:rsidRPr="002A2581">
              <w:rPr>
                <w:rFonts w:ascii="Lato" w:hAnsi="Lato"/>
                <w:b/>
                <w:bCs/>
                <w:sz w:val="24"/>
                <w:szCs w:val="24"/>
                <w:lang w:eastAsia="pl-PL"/>
              </w:rPr>
              <w:t>Komórka odpowiedzialna</w:t>
            </w:r>
          </w:p>
        </w:tc>
      </w:tr>
      <w:tr w:rsidR="00FE06D0" w:rsidRPr="002B75AE" w14:paraId="1B191B63" w14:textId="77777777" w:rsidTr="00D513DE">
        <w:trPr>
          <w:trHeight w:val="463"/>
        </w:trPr>
        <w:tc>
          <w:tcPr>
            <w:tcW w:w="7926" w:type="dxa"/>
            <w:gridSpan w:val="4"/>
            <w:shd w:val="clear" w:color="auto" w:fill="D9E2F3" w:themeFill="accent5" w:themeFillTint="33"/>
            <w:noWrap/>
            <w:hideMark/>
          </w:tcPr>
          <w:p w14:paraId="4F30B83F" w14:textId="77777777" w:rsidR="00FE06D0" w:rsidRPr="00016C52" w:rsidRDefault="00FE06D0" w:rsidP="00D513DE">
            <w:pPr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5452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  <w:lang w:eastAsia="pl-PL"/>
              </w:rPr>
              <w:t>Dostępność cyfrowa</w:t>
            </w:r>
          </w:p>
        </w:tc>
      </w:tr>
      <w:tr w:rsidR="00FE06D0" w:rsidRPr="002B75AE" w14:paraId="066DD61D" w14:textId="77777777" w:rsidTr="00D513DE">
        <w:tc>
          <w:tcPr>
            <w:tcW w:w="704" w:type="dxa"/>
            <w:shd w:val="clear" w:color="auto" w:fill="D9E2F3" w:themeFill="accent5" w:themeFillTint="33"/>
          </w:tcPr>
          <w:p w14:paraId="2D3C57EB" w14:textId="77777777" w:rsidR="00FE06D0" w:rsidRPr="002B75AE" w:rsidRDefault="00FE06D0" w:rsidP="00D513DE">
            <w:pPr>
              <w:rPr>
                <w:rFonts w:ascii="Lato" w:hAnsi="Lato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69" w:type="dxa"/>
          </w:tcPr>
          <w:p w14:paraId="7F0599A0" w14:textId="77777777" w:rsidR="00FE06D0" w:rsidRPr="002B75AE" w:rsidRDefault="00FE06D0" w:rsidP="00D513DE">
            <w:pPr>
              <w:rPr>
                <w:rFonts w:ascii="Lato" w:hAnsi="Lato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Uproszczenie szablonu pism według zasad prostego języka oraz udostępnienie 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ich</w:t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 w intranecie w zakładce Baza wiedzy https://intranet.mrpips.gov.pl/sites/baza-wiedzy/SitePages/szablony-pism.aspx</w:t>
            </w:r>
          </w:p>
        </w:tc>
        <w:tc>
          <w:tcPr>
            <w:tcW w:w="1276" w:type="dxa"/>
          </w:tcPr>
          <w:p w14:paraId="14E3855D" w14:textId="77777777" w:rsidR="00FE06D0" w:rsidRPr="002B75AE" w:rsidRDefault="00FE06D0" w:rsidP="00D513DE">
            <w:pPr>
              <w:rPr>
                <w:rFonts w:ascii="Lato" w:hAnsi="Lato"/>
                <w:lang w:eastAsia="pl-PL"/>
              </w:rPr>
            </w:pPr>
            <w:r w:rsidRPr="004223C3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Koniec roku </w:t>
            </w: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1977" w:type="dxa"/>
          </w:tcPr>
          <w:p w14:paraId="77800C89" w14:textId="77777777" w:rsidR="00FE06D0" w:rsidRPr="002B75AE" w:rsidRDefault="00FE06D0" w:rsidP="00D513DE">
            <w:pPr>
              <w:rPr>
                <w:rFonts w:ascii="Lato" w:hAnsi="Lato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Biuro Dyrektora Generalnego</w:t>
            </w:r>
          </w:p>
        </w:tc>
      </w:tr>
      <w:tr w:rsidR="00FE06D0" w:rsidRPr="002B75AE" w14:paraId="6C1C3391" w14:textId="77777777" w:rsidTr="00D513DE">
        <w:trPr>
          <w:trHeight w:val="2700"/>
        </w:trPr>
        <w:tc>
          <w:tcPr>
            <w:tcW w:w="704" w:type="dxa"/>
            <w:shd w:val="clear" w:color="auto" w:fill="D9E2F3" w:themeFill="accent5" w:themeFillTint="33"/>
            <w:noWrap/>
            <w:hideMark/>
          </w:tcPr>
          <w:p w14:paraId="3EBBD134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3969" w:type="dxa"/>
            <w:hideMark/>
          </w:tcPr>
          <w:p w14:paraId="46559A59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Ponowne zredagowanie podręcznika dla osób nowo zatrudnionych "Wyrusz z nami w tę podróż" w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edług</w:t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 zasad prostego języka i zamieszczenie go w intranecie w zakładce ABC Pracownika https://intranet.mrpips.gov.pl/sites/abc-pracownika/SitePages/podrecznik-nowego-pracownika.aspx</w:t>
            </w:r>
          </w:p>
        </w:tc>
        <w:tc>
          <w:tcPr>
            <w:tcW w:w="1276" w:type="dxa"/>
            <w:noWrap/>
            <w:hideMark/>
          </w:tcPr>
          <w:p w14:paraId="5D0F15BB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4223C3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Koniec roku </w:t>
            </w: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1977" w:type="dxa"/>
            <w:hideMark/>
          </w:tcPr>
          <w:p w14:paraId="26C19920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Biuro Dyrektora Generalnego</w:t>
            </w:r>
          </w:p>
        </w:tc>
      </w:tr>
      <w:tr w:rsidR="00FE06D0" w:rsidRPr="002B75AE" w14:paraId="24280E30" w14:textId="77777777" w:rsidTr="00D513DE">
        <w:trPr>
          <w:trHeight w:val="3300"/>
        </w:trPr>
        <w:tc>
          <w:tcPr>
            <w:tcW w:w="704" w:type="dxa"/>
            <w:shd w:val="clear" w:color="auto" w:fill="D9E2F3" w:themeFill="accent5" w:themeFillTint="33"/>
            <w:noWrap/>
            <w:hideMark/>
          </w:tcPr>
          <w:p w14:paraId="10F344CE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969" w:type="dxa"/>
            <w:hideMark/>
          </w:tcPr>
          <w:p w14:paraId="5FA34184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Zamieszczenie poradnika dotyczące zasad stosowania Prostego języka w intranecie, w ABC pracownika, w zakładce Komunikacja https://intranet.mrpips.gov.pl/sites/abc-pracownika/_layouts/15/SeeAll.aspx?Page=%2Fsites%2Fabc-pracownika%2FSitePages%2FKomunikacja.aspx&amp;InstanceId=3b7d1a84-1678-4c8b-9c09-a03c4a6dea7d</w:t>
            </w:r>
          </w:p>
        </w:tc>
        <w:tc>
          <w:tcPr>
            <w:tcW w:w="1276" w:type="dxa"/>
            <w:noWrap/>
            <w:hideMark/>
          </w:tcPr>
          <w:p w14:paraId="15154504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Koniec roku </w:t>
            </w: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1977" w:type="dxa"/>
            <w:hideMark/>
          </w:tcPr>
          <w:p w14:paraId="6C0558AE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Biuro Dyrektora Generalnego</w:t>
            </w:r>
          </w:p>
        </w:tc>
      </w:tr>
      <w:tr w:rsidR="00FE06D0" w:rsidRPr="002B75AE" w14:paraId="61A409AD" w14:textId="77777777" w:rsidTr="00D513DE">
        <w:trPr>
          <w:trHeight w:val="3900"/>
        </w:trPr>
        <w:tc>
          <w:tcPr>
            <w:tcW w:w="704" w:type="dxa"/>
            <w:shd w:val="clear" w:color="auto" w:fill="D9E2F3" w:themeFill="accent5" w:themeFillTint="33"/>
            <w:noWrap/>
            <w:hideMark/>
          </w:tcPr>
          <w:p w14:paraId="2FB50E65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969" w:type="dxa"/>
            <w:hideMark/>
          </w:tcPr>
          <w:p w14:paraId="4FF6130E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Uruchomienie cotygodniowego </w:t>
            </w:r>
            <w:proofErr w:type="spellStart"/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new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s</w:t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lettera</w:t>
            </w:r>
            <w:proofErr w:type="spellEnd"/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 dla wszystkich pracowników </w:t>
            </w:r>
            <w:proofErr w:type="spellStart"/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MRPiPS</w:t>
            </w:r>
            <w:proofErr w:type="spellEnd"/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: Po polsku prosto i poprawnie, w których w humorystyczny sposób wyjaśniamy i korygujemy najczęstsze błędy językowe, a także proponujemy rozwiązania zgodne z zasadami prostego języka</w:t>
            </w:r>
          </w:p>
        </w:tc>
        <w:tc>
          <w:tcPr>
            <w:tcW w:w="1276" w:type="dxa"/>
            <w:hideMark/>
          </w:tcPr>
          <w:p w14:paraId="2E45DC2D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od 2025 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działanie ciągle</w:t>
            </w:r>
          </w:p>
        </w:tc>
        <w:tc>
          <w:tcPr>
            <w:tcW w:w="1977" w:type="dxa"/>
            <w:hideMark/>
          </w:tcPr>
          <w:p w14:paraId="491C66E4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Biuro Dyrektora Generalnego</w:t>
            </w:r>
          </w:p>
        </w:tc>
      </w:tr>
      <w:tr w:rsidR="00FE06D0" w:rsidRPr="002B75AE" w14:paraId="5987DE6E" w14:textId="77777777" w:rsidTr="00D513DE">
        <w:trPr>
          <w:trHeight w:val="3000"/>
        </w:trPr>
        <w:tc>
          <w:tcPr>
            <w:tcW w:w="704" w:type="dxa"/>
            <w:shd w:val="clear" w:color="auto" w:fill="D9E2F3" w:themeFill="accent5" w:themeFillTint="33"/>
            <w:noWrap/>
            <w:hideMark/>
          </w:tcPr>
          <w:p w14:paraId="6D140B4F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lastRenderedPageBreak/>
              <w:t>5</w:t>
            </w:r>
          </w:p>
        </w:tc>
        <w:tc>
          <w:tcPr>
            <w:tcW w:w="3969" w:type="dxa"/>
            <w:hideMark/>
          </w:tcPr>
          <w:p w14:paraId="3502D142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Utworzenie Podręcznika uproszczonych pism urzędowych (opublikowany w in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tranecie</w:t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 po zakończonej serii szkoleń)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jako produktu szkoleń specjalistycznych z prostego języka, prowadzonych przez wykładowców z Uniwersytetu Warszawskiego. </w:t>
            </w:r>
          </w:p>
        </w:tc>
        <w:tc>
          <w:tcPr>
            <w:tcW w:w="1276" w:type="dxa"/>
            <w:hideMark/>
          </w:tcPr>
          <w:p w14:paraId="482298AF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Koniec roku </w:t>
            </w: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1977" w:type="dxa"/>
            <w:hideMark/>
          </w:tcPr>
          <w:p w14:paraId="724844E4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Biuro Dyrektora Generalnego</w:t>
            </w:r>
          </w:p>
        </w:tc>
      </w:tr>
      <w:tr w:rsidR="00FE06D0" w:rsidRPr="002B75AE" w14:paraId="6ACE0F87" w14:textId="77777777" w:rsidTr="00D513DE">
        <w:trPr>
          <w:trHeight w:val="2700"/>
        </w:trPr>
        <w:tc>
          <w:tcPr>
            <w:tcW w:w="704" w:type="dxa"/>
            <w:shd w:val="clear" w:color="auto" w:fill="D9E2F3" w:themeFill="accent5" w:themeFillTint="33"/>
            <w:noWrap/>
            <w:hideMark/>
          </w:tcPr>
          <w:p w14:paraId="4C6D08B0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969" w:type="dxa"/>
            <w:hideMark/>
          </w:tcPr>
          <w:p w14:paraId="0DF322E7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Uproszczenie Wniosku o Kartę Dużej Rodziny dla D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epartamenty </w:t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D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emografii</w:t>
            </w:r>
          </w:p>
        </w:tc>
        <w:tc>
          <w:tcPr>
            <w:tcW w:w="1276" w:type="dxa"/>
            <w:hideMark/>
          </w:tcPr>
          <w:p w14:paraId="438EBF06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Koniec roku </w:t>
            </w: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1977" w:type="dxa"/>
            <w:hideMark/>
          </w:tcPr>
          <w:p w14:paraId="5643317B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Biuro Dyrektora Generalnego dla Departamentu Demografii</w:t>
            </w:r>
          </w:p>
        </w:tc>
      </w:tr>
      <w:tr w:rsidR="00FE06D0" w:rsidRPr="002B75AE" w14:paraId="11F26BD8" w14:textId="77777777" w:rsidTr="00D513DE">
        <w:trPr>
          <w:trHeight w:val="1212"/>
        </w:trPr>
        <w:tc>
          <w:tcPr>
            <w:tcW w:w="704" w:type="dxa"/>
            <w:shd w:val="clear" w:color="auto" w:fill="D9E2F3" w:themeFill="accent5" w:themeFillTint="33"/>
            <w:noWrap/>
            <w:hideMark/>
          </w:tcPr>
          <w:p w14:paraId="7E3691B2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969" w:type="dxa"/>
            <w:hideMark/>
          </w:tcPr>
          <w:p w14:paraId="0E8049FC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Uproszczenie Planszy do systemu teleinformatycznego- 33 dokumenty</w:t>
            </w:r>
          </w:p>
        </w:tc>
        <w:tc>
          <w:tcPr>
            <w:tcW w:w="1276" w:type="dxa"/>
            <w:hideMark/>
          </w:tcPr>
          <w:p w14:paraId="6AA306CF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Koniec roku </w:t>
            </w: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1977" w:type="dxa"/>
            <w:hideMark/>
          </w:tcPr>
          <w:p w14:paraId="0B49313B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Biuro Dyrektora Generalnego dla Departamentu Prawa Pracy</w:t>
            </w:r>
          </w:p>
        </w:tc>
      </w:tr>
      <w:tr w:rsidR="00FE06D0" w:rsidRPr="002B75AE" w14:paraId="16E5F8D4" w14:textId="77777777" w:rsidTr="00D513DE">
        <w:trPr>
          <w:trHeight w:val="1212"/>
        </w:trPr>
        <w:tc>
          <w:tcPr>
            <w:tcW w:w="704" w:type="dxa"/>
            <w:shd w:val="clear" w:color="auto" w:fill="D9E2F3" w:themeFill="accent5" w:themeFillTint="33"/>
            <w:noWrap/>
            <w:hideMark/>
          </w:tcPr>
          <w:p w14:paraId="1C1FF4EB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969" w:type="dxa"/>
            <w:hideMark/>
          </w:tcPr>
          <w:p w14:paraId="11039EBC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Kontynuacja szkolenia ze stosowania zasad prostego języka w pismach urzędowych i w komunikacji wewnętrznej dla wszystkich pracowników Urzędu.</w:t>
            </w:r>
          </w:p>
        </w:tc>
        <w:tc>
          <w:tcPr>
            <w:tcW w:w="1276" w:type="dxa"/>
            <w:noWrap/>
            <w:hideMark/>
          </w:tcPr>
          <w:p w14:paraId="52ED5116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od 2025 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działanie ciągle</w:t>
            </w:r>
          </w:p>
        </w:tc>
        <w:tc>
          <w:tcPr>
            <w:tcW w:w="1977" w:type="dxa"/>
            <w:hideMark/>
          </w:tcPr>
          <w:p w14:paraId="754C9B12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Biuro Dyrektora Generalnego</w:t>
            </w:r>
          </w:p>
        </w:tc>
      </w:tr>
      <w:tr w:rsidR="00FE06D0" w:rsidRPr="002B75AE" w14:paraId="3F2E0009" w14:textId="77777777" w:rsidTr="00D513DE">
        <w:trPr>
          <w:trHeight w:val="1800"/>
        </w:trPr>
        <w:tc>
          <w:tcPr>
            <w:tcW w:w="704" w:type="dxa"/>
            <w:shd w:val="clear" w:color="auto" w:fill="D9E2F3" w:themeFill="accent5" w:themeFillTint="33"/>
            <w:noWrap/>
            <w:hideMark/>
          </w:tcPr>
          <w:p w14:paraId="0F879717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969" w:type="dxa"/>
            <w:hideMark/>
          </w:tcPr>
          <w:p w14:paraId="5FBBF810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Wdrażanie zdobytej wiedzy poprzez stosowanie zasad prostego języka w bieżącej komunikacji poprzez dbałość o:</w:t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br/>
              <w:t>- tytuły i wprowadzenia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;</w:t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br/>
              <w:t>- krótkie, rzeczowe zdania napisane zrozumiałym językiem i poprawną polszczyzną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;</w:t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br/>
              <w:t>- listy i wyliczenia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;</w:t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br/>
              <w:t>- nagłówki i śródtytuły porządkujące strukturę tekstu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;</w:t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br/>
              <w:t>- dzielenie tekstu na akapity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;</w:t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br/>
              <w:t>- wyrównanie tekstu do lewej i brak justowania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;</w:t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br/>
              <w:t xml:space="preserve">- używanie czcionki bez </w:t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lastRenderedPageBreak/>
              <w:t>ozdobników o wielkości 12 pkt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;</w:t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br/>
              <w:t>-interlinie (1,15 - 1,5 pkt).</w:t>
            </w:r>
          </w:p>
        </w:tc>
        <w:tc>
          <w:tcPr>
            <w:tcW w:w="1276" w:type="dxa"/>
            <w:hideMark/>
          </w:tcPr>
          <w:p w14:paraId="49286C2E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od 2025 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działanie ciągle</w:t>
            </w:r>
          </w:p>
        </w:tc>
        <w:tc>
          <w:tcPr>
            <w:tcW w:w="1977" w:type="dxa"/>
            <w:hideMark/>
          </w:tcPr>
          <w:p w14:paraId="2ECB0FE8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Biuro Dyrektora Generalnego</w:t>
            </w:r>
          </w:p>
        </w:tc>
      </w:tr>
      <w:tr w:rsidR="00FE06D0" w:rsidRPr="002B75AE" w14:paraId="3692FC09" w14:textId="77777777" w:rsidTr="00D513DE">
        <w:trPr>
          <w:trHeight w:val="5112"/>
        </w:trPr>
        <w:tc>
          <w:tcPr>
            <w:tcW w:w="704" w:type="dxa"/>
            <w:shd w:val="clear" w:color="auto" w:fill="D9E2F3" w:themeFill="accent5" w:themeFillTint="33"/>
            <w:noWrap/>
            <w:hideMark/>
          </w:tcPr>
          <w:p w14:paraId="62C4416B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969" w:type="dxa"/>
            <w:hideMark/>
          </w:tcPr>
          <w:p w14:paraId="1E0E9225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Zapewni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enie</w:t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 udostępniani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a</w:t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/ przekazywani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a</w:t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 dokumentów pracownikom w plikach PDF </w:t>
            </w:r>
          </w:p>
        </w:tc>
        <w:tc>
          <w:tcPr>
            <w:tcW w:w="1276" w:type="dxa"/>
            <w:hideMark/>
          </w:tcPr>
          <w:p w14:paraId="30095AFA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od 2025 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działanie ciągle</w:t>
            </w:r>
          </w:p>
        </w:tc>
        <w:tc>
          <w:tcPr>
            <w:tcW w:w="1977" w:type="dxa"/>
            <w:hideMark/>
          </w:tcPr>
          <w:p w14:paraId="71F3F1DF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Biuro Dyrektora Generalnego</w:t>
            </w:r>
          </w:p>
        </w:tc>
      </w:tr>
      <w:tr w:rsidR="00FE06D0" w:rsidRPr="002B75AE" w14:paraId="77BA06C2" w14:textId="77777777" w:rsidTr="00D513DE">
        <w:trPr>
          <w:trHeight w:val="912"/>
        </w:trPr>
        <w:tc>
          <w:tcPr>
            <w:tcW w:w="704" w:type="dxa"/>
            <w:shd w:val="clear" w:color="auto" w:fill="D9E2F3" w:themeFill="accent5" w:themeFillTint="33"/>
            <w:noWrap/>
            <w:hideMark/>
          </w:tcPr>
          <w:p w14:paraId="3FDBC135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69" w:type="dxa"/>
            <w:hideMark/>
          </w:tcPr>
          <w:p w14:paraId="6C8FE338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Dostosowanie do potrzeb osób niedowidzących formularza prowadzony dla potrzeb Programu Zwiedzaj i pracuj Australia </w:t>
            </w:r>
          </w:p>
        </w:tc>
        <w:tc>
          <w:tcPr>
            <w:tcW w:w="1276" w:type="dxa"/>
            <w:hideMark/>
          </w:tcPr>
          <w:p w14:paraId="670CDACB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Działanie ciągle</w:t>
            </w:r>
          </w:p>
        </w:tc>
        <w:tc>
          <w:tcPr>
            <w:tcW w:w="1977" w:type="dxa"/>
            <w:hideMark/>
          </w:tcPr>
          <w:p w14:paraId="73329CE6" w14:textId="77777777" w:rsidR="00FE06D0" w:rsidRPr="002B75AE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Departament Współpracy Międzynarodowej</w:t>
            </w:r>
          </w:p>
        </w:tc>
      </w:tr>
    </w:tbl>
    <w:p w14:paraId="36A22D33" w14:textId="77777777" w:rsidR="00FE06D0" w:rsidRDefault="00FE06D0" w:rsidP="00FE06D0">
      <w:pPr>
        <w:pStyle w:val="Nagwek2"/>
        <w:numPr>
          <w:ilvl w:val="0"/>
          <w:numId w:val="1"/>
        </w:numPr>
        <w:tabs>
          <w:tab w:val="num" w:pos="360"/>
        </w:tabs>
        <w:spacing w:before="360"/>
        <w:ind w:left="0" w:firstLine="0"/>
        <w:rPr>
          <w:lang w:eastAsia="pl-PL"/>
        </w:rPr>
      </w:pPr>
      <w:bookmarkStart w:id="9" w:name="_Toc224634967"/>
      <w:r>
        <w:rPr>
          <w:lang w:eastAsia="pl-PL"/>
        </w:rPr>
        <w:t>Dostępność informacyjno-komunikacyjna</w:t>
      </w:r>
      <w:bookmarkEnd w:id="9"/>
    </w:p>
    <w:tbl>
      <w:tblPr>
        <w:tblStyle w:val="Tabela-Siatka"/>
        <w:tblW w:w="7926" w:type="dxa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1276"/>
        <w:gridCol w:w="1977"/>
      </w:tblGrid>
      <w:tr w:rsidR="00FE06D0" w:rsidRPr="002B75AE" w14:paraId="3C1A81C9" w14:textId="77777777" w:rsidTr="00D513DE">
        <w:tc>
          <w:tcPr>
            <w:tcW w:w="704" w:type="dxa"/>
            <w:shd w:val="clear" w:color="auto" w:fill="F4B083" w:themeFill="accent2" w:themeFillTint="99"/>
          </w:tcPr>
          <w:p w14:paraId="06ACC696" w14:textId="77777777" w:rsidR="00FE06D0" w:rsidRPr="002A2581" w:rsidRDefault="00FE06D0" w:rsidP="00D513DE">
            <w:pPr>
              <w:rPr>
                <w:rFonts w:ascii="Lato" w:hAnsi="Lato"/>
                <w:b/>
                <w:bCs/>
                <w:sz w:val="24"/>
                <w:szCs w:val="24"/>
                <w:lang w:eastAsia="pl-PL"/>
              </w:rPr>
            </w:pPr>
            <w:r w:rsidRPr="002A2581">
              <w:rPr>
                <w:rFonts w:ascii="Lato" w:hAnsi="Lato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969" w:type="dxa"/>
            <w:shd w:val="clear" w:color="auto" w:fill="F4B083" w:themeFill="accent2" w:themeFillTint="99"/>
          </w:tcPr>
          <w:p w14:paraId="2D4B1FCA" w14:textId="77777777" w:rsidR="00FE06D0" w:rsidRPr="002A2581" w:rsidRDefault="00FE06D0" w:rsidP="00D513DE">
            <w:pPr>
              <w:rPr>
                <w:rFonts w:ascii="Lato" w:hAnsi="Lato"/>
                <w:b/>
                <w:bCs/>
                <w:sz w:val="24"/>
                <w:szCs w:val="24"/>
                <w:lang w:eastAsia="pl-PL"/>
              </w:rPr>
            </w:pPr>
            <w:r w:rsidRPr="002A2581">
              <w:rPr>
                <w:rFonts w:ascii="Lato" w:hAnsi="Lato"/>
                <w:b/>
                <w:bCs/>
                <w:sz w:val="24"/>
                <w:szCs w:val="24"/>
                <w:lang w:eastAsia="pl-PL"/>
              </w:rPr>
              <w:t>Proponowane działanie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14:paraId="360F642C" w14:textId="77777777" w:rsidR="00FE06D0" w:rsidRPr="002A2581" w:rsidRDefault="00FE06D0" w:rsidP="00D513DE">
            <w:pPr>
              <w:rPr>
                <w:rFonts w:ascii="Lato" w:hAnsi="Lato"/>
                <w:b/>
                <w:bCs/>
                <w:sz w:val="24"/>
                <w:szCs w:val="24"/>
                <w:lang w:eastAsia="pl-PL"/>
              </w:rPr>
            </w:pPr>
            <w:r w:rsidRPr="002A2581">
              <w:rPr>
                <w:rFonts w:ascii="Lato" w:hAnsi="Lato"/>
                <w:b/>
                <w:bCs/>
                <w:sz w:val="24"/>
                <w:szCs w:val="24"/>
                <w:lang w:eastAsia="pl-PL"/>
              </w:rPr>
              <w:t>Czas realizacji – data graniczna</w:t>
            </w:r>
          </w:p>
        </w:tc>
        <w:tc>
          <w:tcPr>
            <w:tcW w:w="1977" w:type="dxa"/>
            <w:shd w:val="clear" w:color="auto" w:fill="F4B083" w:themeFill="accent2" w:themeFillTint="99"/>
          </w:tcPr>
          <w:p w14:paraId="0782B305" w14:textId="77777777" w:rsidR="00FE06D0" w:rsidRPr="002A2581" w:rsidRDefault="00FE06D0" w:rsidP="00D513DE">
            <w:pPr>
              <w:rPr>
                <w:rFonts w:ascii="Lato" w:hAnsi="Lato"/>
                <w:b/>
                <w:bCs/>
                <w:sz w:val="24"/>
                <w:szCs w:val="24"/>
                <w:lang w:eastAsia="pl-PL"/>
              </w:rPr>
            </w:pPr>
            <w:r w:rsidRPr="002A2581">
              <w:rPr>
                <w:rFonts w:ascii="Lato" w:hAnsi="Lato"/>
                <w:b/>
                <w:bCs/>
                <w:sz w:val="24"/>
                <w:szCs w:val="24"/>
                <w:lang w:eastAsia="pl-PL"/>
              </w:rPr>
              <w:t>Komórka odpowiedzialna</w:t>
            </w:r>
          </w:p>
        </w:tc>
      </w:tr>
      <w:tr w:rsidR="00FE06D0" w:rsidRPr="002B75AE" w14:paraId="5B5E4DD3" w14:textId="77777777" w:rsidTr="00D513DE">
        <w:tc>
          <w:tcPr>
            <w:tcW w:w="7926" w:type="dxa"/>
            <w:gridSpan w:val="4"/>
            <w:shd w:val="clear" w:color="auto" w:fill="FBE4D5" w:themeFill="accent2" w:themeFillTint="33"/>
          </w:tcPr>
          <w:p w14:paraId="5FF1D3FC" w14:textId="77777777" w:rsidR="00FE06D0" w:rsidRPr="002B75AE" w:rsidRDefault="00FE06D0" w:rsidP="00D513DE">
            <w:pPr>
              <w:rPr>
                <w:rFonts w:ascii="Lato" w:hAnsi="Lato"/>
                <w:b/>
                <w:bCs/>
                <w:sz w:val="24"/>
                <w:szCs w:val="24"/>
                <w:lang w:eastAsia="pl-PL"/>
              </w:rPr>
            </w:pPr>
            <w:r w:rsidRPr="002B75AE">
              <w:rPr>
                <w:rFonts w:ascii="Lato" w:hAnsi="Lato"/>
                <w:b/>
                <w:bCs/>
                <w:sz w:val="24"/>
                <w:szCs w:val="24"/>
                <w:lang w:eastAsia="pl-PL"/>
              </w:rPr>
              <w:t>Dostępność informacyjno-komunikacyjna</w:t>
            </w:r>
          </w:p>
        </w:tc>
      </w:tr>
      <w:tr w:rsidR="00FE06D0" w:rsidRPr="002B75AE" w14:paraId="6E78E6DE" w14:textId="77777777" w:rsidTr="00D513DE">
        <w:tc>
          <w:tcPr>
            <w:tcW w:w="704" w:type="dxa"/>
            <w:shd w:val="clear" w:color="auto" w:fill="FBE4D5" w:themeFill="accent2" w:themeFillTint="33"/>
          </w:tcPr>
          <w:p w14:paraId="4BDC8B57" w14:textId="77777777" w:rsidR="00FE06D0" w:rsidRPr="002B75AE" w:rsidRDefault="00FE06D0" w:rsidP="00D513DE">
            <w:pPr>
              <w:rPr>
                <w:rFonts w:ascii="Lato" w:hAnsi="Lato"/>
                <w:lang w:eastAsia="pl-PL"/>
              </w:rPr>
            </w:pP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69" w:type="dxa"/>
          </w:tcPr>
          <w:p w14:paraId="66DA73D3" w14:textId="77777777" w:rsidR="00FE06D0" w:rsidRPr="002B75AE" w:rsidRDefault="00FE06D0" w:rsidP="00D513DE">
            <w:pPr>
              <w:rPr>
                <w:rFonts w:ascii="Lato" w:hAnsi="Lato"/>
                <w:lang w:eastAsia="pl-PL"/>
              </w:rPr>
            </w:pP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Bieżąc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a</w:t>
            </w: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 aktualiz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acja</w:t>
            </w:r>
            <w:r>
              <w:t xml:space="preserve"> </w:t>
            </w:r>
            <w:r w:rsidRPr="005D2FBD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szczegółow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ego</w:t>
            </w:r>
            <w:r w:rsidRPr="005D2FBD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 opis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u</w:t>
            </w:r>
            <w:r w:rsidRPr="005D2FBD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 dostępności architektonicznej budynków urzędu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 w</w:t>
            </w: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 publikowan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ych</w:t>
            </w: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 we wszystkich ogłoszeniach o wolnych stanowiskach pracy w służbie cywilnej </w:t>
            </w:r>
          </w:p>
        </w:tc>
        <w:tc>
          <w:tcPr>
            <w:tcW w:w="1276" w:type="dxa"/>
          </w:tcPr>
          <w:p w14:paraId="659A6315" w14:textId="77777777" w:rsidR="00FE06D0" w:rsidRPr="002B75AE" w:rsidRDefault="00FE06D0" w:rsidP="00D513DE">
            <w:pPr>
              <w:rPr>
                <w:rFonts w:ascii="Lato" w:hAnsi="Lato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Działania ciągle</w:t>
            </w:r>
          </w:p>
        </w:tc>
        <w:tc>
          <w:tcPr>
            <w:tcW w:w="1977" w:type="dxa"/>
          </w:tcPr>
          <w:p w14:paraId="6ED7F903" w14:textId="77777777" w:rsidR="00FE06D0" w:rsidRPr="002B75AE" w:rsidRDefault="00FE06D0" w:rsidP="00D513DE">
            <w:pPr>
              <w:rPr>
                <w:rFonts w:ascii="Lato" w:hAnsi="Lato"/>
                <w:lang w:eastAsia="pl-PL"/>
              </w:rPr>
            </w:pP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Biuro Dyrektora Generalnego</w:t>
            </w:r>
          </w:p>
        </w:tc>
      </w:tr>
      <w:tr w:rsidR="00FE06D0" w:rsidRPr="002B75AE" w14:paraId="7F972F28" w14:textId="77777777" w:rsidTr="00D513DE">
        <w:trPr>
          <w:trHeight w:val="1500"/>
        </w:trPr>
        <w:tc>
          <w:tcPr>
            <w:tcW w:w="704" w:type="dxa"/>
            <w:shd w:val="clear" w:color="auto" w:fill="FBE4D5" w:themeFill="accent2" w:themeFillTint="33"/>
            <w:noWrap/>
            <w:hideMark/>
          </w:tcPr>
          <w:p w14:paraId="2F3DB960" w14:textId="77777777" w:rsidR="00FE06D0" w:rsidRPr="00016C52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3969" w:type="dxa"/>
            <w:hideMark/>
          </w:tcPr>
          <w:p w14:paraId="6DFD72E9" w14:textId="77777777" w:rsidR="00FE06D0" w:rsidRPr="00016C52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Zachęcanie osób ze szczególnymi potrzebami do aplikowania na wolne stanowiska pracy w służbie cywilnej</w:t>
            </w:r>
          </w:p>
        </w:tc>
        <w:tc>
          <w:tcPr>
            <w:tcW w:w="1276" w:type="dxa"/>
            <w:noWrap/>
            <w:hideMark/>
          </w:tcPr>
          <w:p w14:paraId="2F2E4916" w14:textId="77777777" w:rsidR="00FE06D0" w:rsidRPr="00016C52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Działania ciągle</w:t>
            </w:r>
          </w:p>
        </w:tc>
        <w:tc>
          <w:tcPr>
            <w:tcW w:w="1977" w:type="dxa"/>
            <w:noWrap/>
            <w:hideMark/>
          </w:tcPr>
          <w:p w14:paraId="1DB68EF6" w14:textId="77777777" w:rsidR="00FE06D0" w:rsidRPr="00016C52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Biuro Dyrektora Generalnego</w:t>
            </w:r>
          </w:p>
        </w:tc>
      </w:tr>
      <w:tr w:rsidR="00FE06D0" w:rsidRPr="002B75AE" w14:paraId="2344DDDE" w14:textId="77777777" w:rsidTr="00D513DE">
        <w:trPr>
          <w:trHeight w:val="900"/>
        </w:trPr>
        <w:tc>
          <w:tcPr>
            <w:tcW w:w="704" w:type="dxa"/>
            <w:shd w:val="clear" w:color="auto" w:fill="FBE4D5" w:themeFill="accent2" w:themeFillTint="33"/>
            <w:noWrap/>
            <w:hideMark/>
          </w:tcPr>
          <w:p w14:paraId="65F90FC9" w14:textId="77777777" w:rsidR="00FE06D0" w:rsidRPr="00016C52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969" w:type="dxa"/>
            <w:hideMark/>
          </w:tcPr>
          <w:p w14:paraId="1EDF6E69" w14:textId="77777777" w:rsidR="00FE06D0" w:rsidRPr="00016C52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Utrzymywanie w urzędzie wskaźnik</w:t>
            </w: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a</w:t>
            </w: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 zatrudnienia osób z niepełnosprawnością powyżej 6 %  </w:t>
            </w:r>
          </w:p>
        </w:tc>
        <w:tc>
          <w:tcPr>
            <w:tcW w:w="1276" w:type="dxa"/>
            <w:noWrap/>
            <w:hideMark/>
          </w:tcPr>
          <w:p w14:paraId="7C9B6431" w14:textId="77777777" w:rsidR="00FE06D0" w:rsidRPr="00016C52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O</w:t>
            </w: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d 01.01.2025 </w:t>
            </w: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działania ciągle</w:t>
            </w:r>
          </w:p>
        </w:tc>
        <w:tc>
          <w:tcPr>
            <w:tcW w:w="1977" w:type="dxa"/>
            <w:noWrap/>
            <w:hideMark/>
          </w:tcPr>
          <w:p w14:paraId="705FB8E3" w14:textId="77777777" w:rsidR="00FE06D0" w:rsidRPr="00016C52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Biuro Dyrektora Generalnego</w:t>
            </w:r>
          </w:p>
        </w:tc>
      </w:tr>
      <w:tr w:rsidR="00FE06D0" w:rsidRPr="002B75AE" w14:paraId="0A68D930" w14:textId="77777777" w:rsidTr="00D513DE">
        <w:trPr>
          <w:trHeight w:val="900"/>
        </w:trPr>
        <w:tc>
          <w:tcPr>
            <w:tcW w:w="704" w:type="dxa"/>
            <w:shd w:val="clear" w:color="auto" w:fill="FBE4D5" w:themeFill="accent2" w:themeFillTint="33"/>
            <w:noWrap/>
            <w:hideMark/>
          </w:tcPr>
          <w:p w14:paraId="24005BCD" w14:textId="77777777" w:rsidR="00FE06D0" w:rsidRPr="00016C52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969" w:type="dxa"/>
            <w:hideMark/>
          </w:tcPr>
          <w:p w14:paraId="3CCE8C42" w14:textId="77777777" w:rsidR="00FE06D0" w:rsidRPr="00016C52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Powołanie koordynatora ds. dostępności cyfrowej</w:t>
            </w:r>
          </w:p>
        </w:tc>
        <w:tc>
          <w:tcPr>
            <w:tcW w:w="1276" w:type="dxa"/>
            <w:hideMark/>
          </w:tcPr>
          <w:p w14:paraId="5AE79013" w14:textId="77777777" w:rsidR="00FE06D0" w:rsidRPr="00016C52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O</w:t>
            </w: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d 30.04.2025 </w:t>
            </w: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działania ciągle</w:t>
            </w:r>
          </w:p>
        </w:tc>
        <w:tc>
          <w:tcPr>
            <w:tcW w:w="1977" w:type="dxa"/>
            <w:noWrap/>
            <w:hideMark/>
          </w:tcPr>
          <w:p w14:paraId="008F096A" w14:textId="77777777" w:rsidR="00FE06D0" w:rsidRPr="00016C52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Biuro Dyrektora Generalnego</w:t>
            </w:r>
          </w:p>
        </w:tc>
      </w:tr>
      <w:tr w:rsidR="00FE06D0" w:rsidRPr="002B75AE" w14:paraId="6A9D3081" w14:textId="77777777" w:rsidTr="00D513DE">
        <w:trPr>
          <w:trHeight w:val="600"/>
        </w:trPr>
        <w:tc>
          <w:tcPr>
            <w:tcW w:w="704" w:type="dxa"/>
            <w:shd w:val="clear" w:color="auto" w:fill="FBE4D5" w:themeFill="accent2" w:themeFillTint="33"/>
            <w:noWrap/>
            <w:hideMark/>
          </w:tcPr>
          <w:p w14:paraId="7360CA52" w14:textId="77777777" w:rsidR="00FE06D0" w:rsidRPr="00016C52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hideMark/>
          </w:tcPr>
          <w:p w14:paraId="633EA6DB" w14:textId="77777777" w:rsidR="00FE06D0" w:rsidRPr="00016C52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Powołanie koordynatora ds. dostępności architektonicznej</w:t>
            </w:r>
          </w:p>
        </w:tc>
        <w:tc>
          <w:tcPr>
            <w:tcW w:w="1276" w:type="dxa"/>
            <w:hideMark/>
          </w:tcPr>
          <w:p w14:paraId="759419EA" w14:textId="77777777" w:rsidR="00FE06D0" w:rsidRPr="00016C52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O</w:t>
            </w: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d 30.04.2025 </w:t>
            </w: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działania ciągle</w:t>
            </w:r>
          </w:p>
        </w:tc>
        <w:tc>
          <w:tcPr>
            <w:tcW w:w="1977" w:type="dxa"/>
            <w:noWrap/>
            <w:hideMark/>
          </w:tcPr>
          <w:p w14:paraId="4DB31799" w14:textId="77777777" w:rsidR="00FE06D0" w:rsidRPr="00016C52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Biuro Dyrektora Generalnego</w:t>
            </w:r>
          </w:p>
        </w:tc>
      </w:tr>
      <w:tr w:rsidR="00FE06D0" w:rsidRPr="002B75AE" w14:paraId="729D4566" w14:textId="77777777" w:rsidTr="00D513DE">
        <w:trPr>
          <w:trHeight w:val="600"/>
        </w:trPr>
        <w:tc>
          <w:tcPr>
            <w:tcW w:w="704" w:type="dxa"/>
            <w:shd w:val="clear" w:color="auto" w:fill="FBE4D5" w:themeFill="accent2" w:themeFillTint="33"/>
            <w:noWrap/>
            <w:hideMark/>
          </w:tcPr>
          <w:p w14:paraId="2B5AC298" w14:textId="77777777" w:rsidR="00FE06D0" w:rsidRPr="00016C52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969" w:type="dxa"/>
            <w:hideMark/>
          </w:tcPr>
          <w:p w14:paraId="53E8131D" w14:textId="77777777" w:rsidR="00FE06D0" w:rsidRPr="00016C52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Powołanie koordynatora ds. dostępności informacyjno-komunikacyjnej</w:t>
            </w:r>
          </w:p>
        </w:tc>
        <w:tc>
          <w:tcPr>
            <w:tcW w:w="1276" w:type="dxa"/>
            <w:hideMark/>
          </w:tcPr>
          <w:p w14:paraId="09322DD5" w14:textId="77777777" w:rsidR="00FE06D0" w:rsidRPr="00016C52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O</w:t>
            </w: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d 30.04.2025 </w:t>
            </w: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działania ciągle</w:t>
            </w:r>
          </w:p>
        </w:tc>
        <w:tc>
          <w:tcPr>
            <w:tcW w:w="1977" w:type="dxa"/>
            <w:noWrap/>
            <w:hideMark/>
          </w:tcPr>
          <w:p w14:paraId="6515063D" w14:textId="77777777" w:rsidR="00FE06D0" w:rsidRPr="00016C52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Biuro Dyrektora Generalnego</w:t>
            </w:r>
          </w:p>
        </w:tc>
      </w:tr>
      <w:tr w:rsidR="00FE06D0" w:rsidRPr="002B75AE" w14:paraId="2FE49A91" w14:textId="77777777" w:rsidTr="00D513DE">
        <w:trPr>
          <w:trHeight w:val="600"/>
        </w:trPr>
        <w:tc>
          <w:tcPr>
            <w:tcW w:w="704" w:type="dxa"/>
            <w:shd w:val="clear" w:color="auto" w:fill="FBE4D5" w:themeFill="accent2" w:themeFillTint="33"/>
            <w:noWrap/>
            <w:hideMark/>
          </w:tcPr>
          <w:p w14:paraId="167C41D5" w14:textId="77777777" w:rsidR="00FE06D0" w:rsidRPr="00016C52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969" w:type="dxa"/>
            <w:hideMark/>
          </w:tcPr>
          <w:p w14:paraId="37F651E2" w14:textId="77777777" w:rsidR="00FE06D0" w:rsidRPr="00016C52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Zawarcie umowy na usługi tłumaczeń z zakresu PJM i SJM na odległość przy zastosowaniu tabletu, poprzez dostęp on-line do certyfikowanych tłumaczy języka migowego</w:t>
            </w:r>
          </w:p>
        </w:tc>
        <w:tc>
          <w:tcPr>
            <w:tcW w:w="1276" w:type="dxa"/>
            <w:hideMark/>
          </w:tcPr>
          <w:p w14:paraId="7FB02C34" w14:textId="77777777" w:rsidR="00FE06D0" w:rsidRPr="00016C52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Koniec roku </w:t>
            </w: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1977" w:type="dxa"/>
            <w:noWrap/>
            <w:hideMark/>
          </w:tcPr>
          <w:p w14:paraId="249CD6AE" w14:textId="77777777" w:rsidR="00FE06D0" w:rsidRPr="00016C52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Biuro Pełnomocnika Rządu ds. Osób Niepełnosprawnych</w:t>
            </w:r>
          </w:p>
        </w:tc>
      </w:tr>
      <w:tr w:rsidR="00FE06D0" w:rsidRPr="002B75AE" w14:paraId="67E6C683" w14:textId="77777777" w:rsidTr="00D513DE">
        <w:trPr>
          <w:trHeight w:val="1500"/>
        </w:trPr>
        <w:tc>
          <w:tcPr>
            <w:tcW w:w="704" w:type="dxa"/>
            <w:shd w:val="clear" w:color="auto" w:fill="FBE4D5" w:themeFill="accent2" w:themeFillTint="33"/>
            <w:noWrap/>
            <w:hideMark/>
          </w:tcPr>
          <w:p w14:paraId="700A7FD8" w14:textId="77777777" w:rsidR="00FE06D0" w:rsidRPr="00016C52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969" w:type="dxa"/>
            <w:hideMark/>
          </w:tcPr>
          <w:p w14:paraId="5DD77322" w14:textId="77777777" w:rsidR="00FE06D0" w:rsidRPr="00016C52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Zawarcie umowy na usługi tłumaczenia w zakresie języka migowego podczas posiedzeń Polskiej Rady Języka Migowego, tłumaczenia tekstów specjalistycznych, tekstów przeznaczonych do publikacji i inne zlecone</w:t>
            </w:r>
          </w:p>
        </w:tc>
        <w:tc>
          <w:tcPr>
            <w:tcW w:w="1276" w:type="dxa"/>
            <w:noWrap/>
            <w:hideMark/>
          </w:tcPr>
          <w:p w14:paraId="2D68CE52" w14:textId="77777777" w:rsidR="00FE06D0" w:rsidRPr="00016C52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Koniec roku </w:t>
            </w: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1977" w:type="dxa"/>
            <w:hideMark/>
          </w:tcPr>
          <w:p w14:paraId="28BFFA01" w14:textId="77777777" w:rsidR="00FE06D0" w:rsidRPr="00016C52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Biuro Pełnomocnika Rządu ds. Osób Niepełnosprawnych</w:t>
            </w:r>
          </w:p>
        </w:tc>
      </w:tr>
      <w:tr w:rsidR="00FE06D0" w:rsidRPr="002B75AE" w14:paraId="0571F9BF" w14:textId="77777777" w:rsidTr="00D513DE">
        <w:trPr>
          <w:trHeight w:val="1500"/>
        </w:trPr>
        <w:tc>
          <w:tcPr>
            <w:tcW w:w="704" w:type="dxa"/>
            <w:shd w:val="clear" w:color="auto" w:fill="FBE4D5" w:themeFill="accent2" w:themeFillTint="33"/>
            <w:noWrap/>
            <w:hideMark/>
          </w:tcPr>
          <w:p w14:paraId="1B5A7ABD" w14:textId="77777777" w:rsidR="00FE06D0" w:rsidRPr="00016C52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lastRenderedPageBreak/>
              <w:t>9</w:t>
            </w:r>
          </w:p>
        </w:tc>
        <w:tc>
          <w:tcPr>
            <w:tcW w:w="3969" w:type="dxa"/>
            <w:hideMark/>
          </w:tcPr>
          <w:p w14:paraId="792374C1" w14:textId="77777777" w:rsidR="00FE06D0" w:rsidRPr="00016C52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Aktualizacja informacji o zakresie działalności Biura Pełnomocnika Rządu ds. Osób Niepełnosprawnych na stronie internetowej Biura  –  informacji w tekście łatwym do czytania</w:t>
            </w:r>
          </w:p>
        </w:tc>
        <w:tc>
          <w:tcPr>
            <w:tcW w:w="1276" w:type="dxa"/>
            <w:noWrap/>
            <w:hideMark/>
          </w:tcPr>
          <w:p w14:paraId="604316FC" w14:textId="77777777" w:rsidR="00FE06D0" w:rsidRPr="00016C52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Koniec roku </w:t>
            </w: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1977" w:type="dxa"/>
            <w:hideMark/>
          </w:tcPr>
          <w:p w14:paraId="08D59997" w14:textId="77777777" w:rsidR="00FE06D0" w:rsidRPr="00016C52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Biuro Pełnomocnika Rządu ds. Osób Niepełnosprawnych</w:t>
            </w:r>
          </w:p>
        </w:tc>
      </w:tr>
      <w:tr w:rsidR="00FE06D0" w:rsidRPr="002B75AE" w14:paraId="2D246D6C" w14:textId="77777777" w:rsidTr="00D513DE">
        <w:trPr>
          <w:trHeight w:val="1500"/>
        </w:trPr>
        <w:tc>
          <w:tcPr>
            <w:tcW w:w="704" w:type="dxa"/>
            <w:shd w:val="clear" w:color="auto" w:fill="FBE4D5" w:themeFill="accent2" w:themeFillTint="33"/>
            <w:noWrap/>
            <w:hideMark/>
          </w:tcPr>
          <w:p w14:paraId="0086B73C" w14:textId="77777777" w:rsidR="00FE06D0" w:rsidRPr="00016C52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969" w:type="dxa"/>
            <w:hideMark/>
          </w:tcPr>
          <w:p w14:paraId="4B3017AB" w14:textId="77777777" w:rsidR="00FE06D0" w:rsidRPr="00016C52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Aktualizacja informacji o zakresie działalności Ministerstwa Rodziny, Pracy i Polityki Społecznej oraz Biura Pełnomocnika Rządu ds. Osób Niepełnosprawnych na stronie internetowej - nagrania treści w polskim języku migowym</w:t>
            </w:r>
          </w:p>
        </w:tc>
        <w:tc>
          <w:tcPr>
            <w:tcW w:w="1276" w:type="dxa"/>
            <w:noWrap/>
            <w:hideMark/>
          </w:tcPr>
          <w:p w14:paraId="0F08CEAC" w14:textId="77777777" w:rsidR="00FE06D0" w:rsidRPr="00016C52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 xml:space="preserve">Koniec roku </w:t>
            </w: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202</w:t>
            </w:r>
            <w:r w:rsidRPr="002B75AE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977" w:type="dxa"/>
            <w:hideMark/>
          </w:tcPr>
          <w:p w14:paraId="5FED495D" w14:textId="77777777" w:rsidR="00FE06D0" w:rsidRPr="00016C52" w:rsidRDefault="00FE06D0" w:rsidP="00D513DE">
            <w:pPr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</w:pPr>
            <w:r w:rsidRPr="00016C52">
              <w:rPr>
                <w:rFonts w:ascii="Lato" w:eastAsia="Times New Roman" w:hAnsi="Lato" w:cs="Times New Roman"/>
                <w:color w:val="000000"/>
                <w:sz w:val="24"/>
                <w:szCs w:val="24"/>
                <w:lang w:eastAsia="pl-PL"/>
              </w:rPr>
              <w:t>Biuro Pełnomocnika Rządu ds. Osób Niepełnosprawnych</w:t>
            </w:r>
          </w:p>
        </w:tc>
      </w:tr>
    </w:tbl>
    <w:p w14:paraId="69868CA4" w14:textId="77777777" w:rsidR="00FE06D0" w:rsidRPr="006F5891" w:rsidRDefault="00FE06D0" w:rsidP="00FE06D0">
      <w:pPr>
        <w:pStyle w:val="Nagwek1"/>
        <w:spacing w:before="360" w:after="240"/>
        <w:rPr>
          <w:lang w:eastAsia="pl-PL"/>
        </w:rPr>
      </w:pPr>
      <w:bookmarkStart w:id="10" w:name="_Toc224634968"/>
      <w:r>
        <w:rPr>
          <w:lang w:eastAsia="pl-PL"/>
        </w:rPr>
        <w:t>Monitoring i koordynacja działań</w:t>
      </w:r>
      <w:bookmarkEnd w:id="10"/>
    </w:p>
    <w:p w14:paraId="69CE698F" w14:textId="77777777" w:rsidR="00FE06D0" w:rsidRPr="006F5891" w:rsidRDefault="00FE06D0" w:rsidP="00FE06D0">
      <w:pPr>
        <w:spacing w:after="600" w:line="360" w:lineRule="auto"/>
        <w:rPr>
          <w:rFonts w:ascii="Lato" w:eastAsia="Times New Roman" w:hAnsi="Lato" w:cs="Calibri"/>
          <w:sz w:val="24"/>
          <w:szCs w:val="24"/>
          <w:lang w:eastAsia="pl-PL"/>
        </w:rPr>
      </w:pPr>
      <w:r w:rsidRPr="006F5891">
        <w:rPr>
          <w:rFonts w:ascii="Lato" w:eastAsia="Times New Roman" w:hAnsi="Lato" w:cs="Calibri"/>
          <w:sz w:val="24"/>
          <w:szCs w:val="24"/>
          <w:lang w:eastAsia="pl-PL"/>
        </w:rPr>
        <w:t>Odpowiedzialność za realizację poszczególnych pozycji Planu należy do właściwych</w:t>
      </w:r>
      <w:r>
        <w:rPr>
          <w:rFonts w:ascii="Lato" w:eastAsia="Times New Roman" w:hAnsi="Lato" w:cs="Calibri"/>
          <w:sz w:val="24"/>
          <w:szCs w:val="24"/>
          <w:lang w:eastAsia="pl-PL"/>
        </w:rPr>
        <w:t xml:space="preserve"> </w:t>
      </w:r>
      <w:r w:rsidRPr="006F5891">
        <w:rPr>
          <w:rFonts w:ascii="Lato" w:eastAsia="Times New Roman" w:hAnsi="Lato" w:cs="Calibri"/>
          <w:sz w:val="24"/>
          <w:szCs w:val="24"/>
          <w:lang w:eastAsia="pl-PL"/>
        </w:rPr>
        <w:t>komórek organizacyjnych Ministerstwa</w:t>
      </w:r>
      <w:r>
        <w:rPr>
          <w:rFonts w:ascii="Lato" w:eastAsia="Times New Roman" w:hAnsi="Lato" w:cs="Calibri"/>
          <w:sz w:val="24"/>
          <w:szCs w:val="24"/>
          <w:lang w:eastAsia="pl-PL"/>
        </w:rPr>
        <w:t>, zgodnie ze wskazaniem</w:t>
      </w:r>
      <w:r w:rsidRPr="006F5891">
        <w:rPr>
          <w:rFonts w:ascii="Lato" w:eastAsia="Times New Roman" w:hAnsi="Lato" w:cs="Calibri"/>
          <w:sz w:val="24"/>
          <w:szCs w:val="24"/>
          <w:lang w:eastAsia="pl-PL"/>
        </w:rPr>
        <w:t>.</w:t>
      </w:r>
    </w:p>
    <w:p w14:paraId="2EB48810" w14:textId="77777777" w:rsidR="00FE06D0" w:rsidRDefault="00FE06D0" w:rsidP="00FE06D0">
      <w:pPr>
        <w:spacing w:after="0" w:line="360" w:lineRule="auto"/>
        <w:rPr>
          <w:rFonts w:ascii="Lato" w:eastAsia="Times New Roman" w:hAnsi="Lato" w:cs="Calibri"/>
          <w:sz w:val="24"/>
          <w:szCs w:val="24"/>
          <w:lang w:eastAsia="pl-PL"/>
        </w:rPr>
      </w:pPr>
      <w:r>
        <w:rPr>
          <w:rFonts w:ascii="Lato" w:eastAsia="Times New Roman" w:hAnsi="Lato" w:cs="Calibri"/>
          <w:sz w:val="24"/>
          <w:szCs w:val="24"/>
          <w:lang w:eastAsia="pl-PL"/>
        </w:rPr>
        <w:t>Koordynatorzy dostępności architektonicznej, cyfrowej i informacyjno-komunikacyjnej odpowiadają za monitoring realizacji Planu i raportowanie stanu realizacji zadań. K</w:t>
      </w:r>
      <w:r w:rsidRPr="006F5891">
        <w:rPr>
          <w:rFonts w:ascii="Lato" w:eastAsia="Times New Roman" w:hAnsi="Lato" w:cs="Calibri"/>
          <w:sz w:val="24"/>
          <w:szCs w:val="24"/>
          <w:lang w:eastAsia="pl-PL"/>
        </w:rPr>
        <w:t>oordynator</w:t>
      </w:r>
      <w:r>
        <w:rPr>
          <w:rFonts w:ascii="Lato" w:eastAsia="Times New Roman" w:hAnsi="Lato" w:cs="Calibri"/>
          <w:sz w:val="24"/>
          <w:szCs w:val="24"/>
          <w:lang w:eastAsia="pl-PL"/>
        </w:rPr>
        <w:t>zy</w:t>
      </w:r>
      <w:r w:rsidRPr="006F5891">
        <w:rPr>
          <w:rFonts w:ascii="Lato" w:eastAsia="Times New Roman" w:hAnsi="Lato" w:cs="Calibri"/>
          <w:sz w:val="24"/>
          <w:szCs w:val="24"/>
          <w:lang w:eastAsia="pl-PL"/>
        </w:rPr>
        <w:t xml:space="preserve"> do spraw dostępności, do dnia 31</w:t>
      </w:r>
      <w:r>
        <w:rPr>
          <w:rFonts w:ascii="Lato" w:eastAsia="Times New Roman" w:hAnsi="Lato" w:cs="Calibri"/>
          <w:sz w:val="24"/>
          <w:szCs w:val="24"/>
          <w:lang w:eastAsia="pl-PL"/>
        </w:rPr>
        <w:t xml:space="preserve"> </w:t>
      </w:r>
      <w:r w:rsidRPr="006F5891">
        <w:rPr>
          <w:rFonts w:ascii="Lato" w:eastAsia="Times New Roman" w:hAnsi="Lato" w:cs="Calibri"/>
          <w:sz w:val="24"/>
          <w:szCs w:val="24"/>
          <w:lang w:eastAsia="pl-PL"/>
        </w:rPr>
        <w:t>marca każdego roku (o ile nie wymagają tego inne okoliczności), przygotuj</w:t>
      </w:r>
      <w:r>
        <w:rPr>
          <w:rFonts w:ascii="Lato" w:eastAsia="Times New Roman" w:hAnsi="Lato" w:cs="Calibri"/>
          <w:sz w:val="24"/>
          <w:szCs w:val="24"/>
          <w:lang w:eastAsia="pl-PL"/>
        </w:rPr>
        <w:t xml:space="preserve">ą </w:t>
      </w:r>
      <w:r w:rsidRPr="006F5891">
        <w:rPr>
          <w:rFonts w:ascii="Lato" w:eastAsia="Times New Roman" w:hAnsi="Lato" w:cs="Calibri"/>
          <w:sz w:val="24"/>
          <w:szCs w:val="24"/>
          <w:lang w:eastAsia="pl-PL"/>
        </w:rPr>
        <w:t>sprawozdanie z realizacji Planu działania za rok poprzedni.</w:t>
      </w:r>
      <w:r>
        <w:rPr>
          <w:rFonts w:ascii="Lato" w:eastAsia="Times New Roman" w:hAnsi="Lato" w:cs="Calibri"/>
          <w:sz w:val="24"/>
          <w:szCs w:val="24"/>
          <w:lang w:eastAsia="pl-PL"/>
        </w:rPr>
        <w:t xml:space="preserve"> </w:t>
      </w:r>
      <w:r w:rsidRPr="006F5891">
        <w:rPr>
          <w:rFonts w:ascii="Lato" w:eastAsia="Times New Roman" w:hAnsi="Lato" w:cs="Calibri"/>
          <w:sz w:val="24"/>
          <w:szCs w:val="24"/>
          <w:lang w:eastAsia="pl-PL"/>
        </w:rPr>
        <w:t>Roczne sprawozdania z realizacji Planu i działalności Koordynatora do</w:t>
      </w:r>
      <w:r>
        <w:rPr>
          <w:rFonts w:ascii="Lato" w:eastAsia="Times New Roman" w:hAnsi="Lato" w:cs="Calibri"/>
          <w:sz w:val="24"/>
          <w:szCs w:val="24"/>
          <w:lang w:eastAsia="pl-PL"/>
        </w:rPr>
        <w:t xml:space="preserve"> </w:t>
      </w:r>
      <w:r w:rsidRPr="006F5891">
        <w:rPr>
          <w:rFonts w:ascii="Lato" w:eastAsia="Times New Roman" w:hAnsi="Lato" w:cs="Calibri"/>
          <w:sz w:val="24"/>
          <w:szCs w:val="24"/>
          <w:lang w:eastAsia="pl-PL"/>
        </w:rPr>
        <w:t>spraw</w:t>
      </w:r>
      <w:r>
        <w:rPr>
          <w:rFonts w:ascii="Lato" w:eastAsia="Times New Roman" w:hAnsi="Lato" w:cs="Calibri"/>
          <w:sz w:val="24"/>
          <w:szCs w:val="24"/>
          <w:lang w:eastAsia="pl-PL"/>
        </w:rPr>
        <w:t xml:space="preserve"> </w:t>
      </w:r>
      <w:r w:rsidRPr="006F5891">
        <w:rPr>
          <w:rFonts w:ascii="Lato" w:eastAsia="Times New Roman" w:hAnsi="Lato" w:cs="Calibri"/>
          <w:sz w:val="24"/>
          <w:szCs w:val="24"/>
          <w:lang w:eastAsia="pl-PL"/>
        </w:rPr>
        <w:t xml:space="preserve">dostępności </w:t>
      </w:r>
      <w:r>
        <w:rPr>
          <w:rFonts w:ascii="Lato" w:eastAsia="Times New Roman" w:hAnsi="Lato" w:cs="Calibri"/>
          <w:sz w:val="24"/>
          <w:szCs w:val="24"/>
          <w:lang w:eastAsia="pl-PL"/>
        </w:rPr>
        <w:t xml:space="preserve">są </w:t>
      </w:r>
      <w:r w:rsidRPr="006F5891">
        <w:rPr>
          <w:rFonts w:ascii="Lato" w:eastAsia="Times New Roman" w:hAnsi="Lato" w:cs="Calibri"/>
          <w:sz w:val="24"/>
          <w:szCs w:val="24"/>
          <w:lang w:eastAsia="pl-PL"/>
        </w:rPr>
        <w:t>zatwierdzane przez Dyrektora Generalnego Ministerstwa</w:t>
      </w:r>
      <w:r>
        <w:rPr>
          <w:rFonts w:ascii="Lato" w:eastAsia="Times New Roman" w:hAnsi="Lato" w:cs="Calibri"/>
          <w:sz w:val="24"/>
          <w:szCs w:val="24"/>
          <w:lang w:eastAsia="pl-PL"/>
        </w:rPr>
        <w:t xml:space="preserve"> i publikowane na stronie Ministerstwa</w:t>
      </w:r>
      <w:r w:rsidRPr="006F5891">
        <w:rPr>
          <w:rFonts w:ascii="Lato" w:eastAsia="Times New Roman" w:hAnsi="Lato" w:cs="Calibri"/>
          <w:sz w:val="24"/>
          <w:szCs w:val="24"/>
          <w:lang w:eastAsia="pl-PL"/>
        </w:rPr>
        <w:t>.</w:t>
      </w:r>
      <w:r>
        <w:rPr>
          <w:rFonts w:ascii="Lato" w:eastAsia="Times New Roman" w:hAnsi="Lato" w:cs="Calibri"/>
          <w:sz w:val="24"/>
          <w:szCs w:val="24"/>
          <w:lang w:eastAsia="pl-PL"/>
        </w:rPr>
        <w:t xml:space="preserve"> </w:t>
      </w:r>
    </w:p>
    <w:p w14:paraId="5ED4A3FA" w14:textId="77777777" w:rsidR="00FE06D0" w:rsidRPr="00016C52" w:rsidRDefault="00FE06D0" w:rsidP="00FE06D0">
      <w:pPr>
        <w:rPr>
          <w:lang w:eastAsia="pl-PL"/>
        </w:rPr>
      </w:pPr>
    </w:p>
    <w:p w14:paraId="3EC15AE6" w14:textId="20F83BAE" w:rsidR="00EE07FE" w:rsidRPr="00EE07FE" w:rsidRDefault="00EE07FE" w:rsidP="007670EE">
      <w:pPr>
        <w:spacing w:after="120" w:line="240" w:lineRule="atLeast"/>
        <w:jc w:val="both"/>
        <w:rPr>
          <w:rFonts w:ascii="Lato" w:hAnsi="Lato" w:cstheme="minorHAnsi"/>
          <w:bCs/>
          <w:sz w:val="24"/>
          <w:szCs w:val="24"/>
        </w:rPr>
      </w:pPr>
    </w:p>
    <w:sectPr w:rsidR="00EE07FE" w:rsidRPr="00EE07FE" w:rsidSect="001E6CB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115" w:right="1985" w:bottom="1985" w:left="1985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627ADB" w16cex:dateUtc="2026-03-16T11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A3A9AE" w16cid:durableId="2D627A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49CF1" w14:textId="77777777" w:rsidR="00A86C46" w:rsidRDefault="00A86C46">
      <w:pPr>
        <w:spacing w:after="0" w:line="240" w:lineRule="auto"/>
      </w:pPr>
      <w:r>
        <w:separator/>
      </w:r>
    </w:p>
  </w:endnote>
  <w:endnote w:type="continuationSeparator" w:id="0">
    <w:p w14:paraId="0320F551" w14:textId="77777777" w:rsidR="00A86C46" w:rsidRDefault="00A86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F83C" w14:textId="77777777" w:rsidR="001E6CBC" w:rsidRDefault="001E6CBC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14:paraId="2B52F7E1" w14:textId="77777777" w:rsidR="00590C4E" w:rsidRPr="00590C4E" w:rsidRDefault="006B35B7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C08BE4" wp14:editId="31C3ADB4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01784C5" id="Łącznik prosty 3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D132C0">
      <w:rPr>
        <w:sz w:val="16"/>
      </w:rPr>
      <w:t>t</w:t>
    </w:r>
    <w:r w:rsidR="001E6CBC">
      <w:rPr>
        <w:sz w:val="16"/>
      </w:rPr>
      <w:t xml:space="preserve">el. </w:t>
    </w:r>
    <w:r w:rsidR="001E6CBC" w:rsidRPr="00DE78BB">
      <w:rPr>
        <w:rFonts w:ascii="Lato" w:hAnsi="Lato"/>
        <w:sz w:val="14"/>
        <w:szCs w:val="14"/>
      </w:rPr>
      <w:t>222-500-10</w:t>
    </w:r>
    <w:r w:rsidR="001E6CBC">
      <w:rPr>
        <w:rFonts w:ascii="Lato" w:hAnsi="Lato"/>
        <w:sz w:val="14"/>
        <w:szCs w:val="14"/>
      </w:rPr>
      <w:t>8</w:t>
    </w:r>
    <w:r w:rsidR="001E6CBC">
      <w:rPr>
        <w:sz w:val="16"/>
      </w:rPr>
      <w:tab/>
    </w:r>
    <w:r w:rsidR="001E6CBC" w:rsidRPr="00DE78BB">
      <w:rPr>
        <w:rFonts w:ascii="Lato" w:hAnsi="Lato"/>
        <w:sz w:val="14"/>
        <w:szCs w:val="14"/>
      </w:rPr>
      <w:t>ul. Nowogrodzka 1/3/5</w:t>
    </w:r>
  </w:p>
  <w:p w14:paraId="28FC43AA" w14:textId="77777777" w:rsidR="00590C4E" w:rsidRPr="00590C4E" w:rsidRDefault="00A86C46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hyperlink r:id="rId1" w:history="1">
      <w:r w:rsidR="001E6CBC" w:rsidRPr="00B43749">
        <w:rPr>
          <w:rStyle w:val="Hipercze"/>
          <w:rFonts w:ascii="Lato" w:hAnsi="Lato"/>
          <w:sz w:val="14"/>
          <w:szCs w:val="14"/>
        </w:rPr>
        <w:t>info@mrpips.gov.pl</w:t>
      </w:r>
    </w:hyperlink>
    <w:r w:rsidR="001E6CBC">
      <w:rPr>
        <w:sz w:val="16"/>
      </w:rPr>
      <w:tab/>
    </w:r>
    <w:r w:rsidR="001E6CBC" w:rsidRPr="00DE78BB">
      <w:rPr>
        <w:rFonts w:ascii="Lato" w:hAnsi="Lato"/>
        <w:sz w:val="14"/>
        <w:szCs w:val="14"/>
      </w:rPr>
      <w:t>00-513 Warszawa</w:t>
    </w:r>
  </w:p>
  <w:p w14:paraId="70BC8AD3" w14:textId="77777777" w:rsidR="00590C4E" w:rsidRPr="00590C4E" w:rsidRDefault="001E6CBC">
    <w:pPr>
      <w:pStyle w:val="Stopka"/>
      <w:rPr>
        <w:sz w:val="16"/>
      </w:rPr>
    </w:pPr>
    <w:r w:rsidRPr="00DE78BB">
      <w:rPr>
        <w:rFonts w:ascii="Lato" w:hAnsi="Lato"/>
        <w:sz w:val="14"/>
        <w:szCs w:val="14"/>
      </w:rPr>
      <w:t>https://www.gov.pl/web/rodzina</w:t>
    </w:r>
  </w:p>
  <w:p w14:paraId="0C26B817" w14:textId="77777777" w:rsidR="00590C4E" w:rsidRDefault="00590C4E">
    <w:pPr>
      <w:pStyle w:val="Stopka"/>
      <w:rPr>
        <w:sz w:val="14"/>
      </w:rPr>
    </w:pPr>
  </w:p>
  <w:p w14:paraId="44711283" w14:textId="77777777" w:rsidR="00590C4E" w:rsidRDefault="00590C4E">
    <w:pPr>
      <w:pStyle w:val="Stopka"/>
      <w:rPr>
        <w:sz w:val="14"/>
      </w:rPr>
    </w:pPr>
  </w:p>
  <w:p w14:paraId="40E0025B" w14:textId="77777777" w:rsidR="00590C4E" w:rsidRPr="00590C4E" w:rsidRDefault="00590C4E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5815F" w14:textId="77777777" w:rsidR="00E744D7" w:rsidRPr="00DE78BB" w:rsidRDefault="006B35B7" w:rsidP="00E744D7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0927B1" wp14:editId="44449063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B0F0715" id="Łącznik prosty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Pr="00DE78BB">
      <w:rPr>
        <w:rFonts w:ascii="Lato" w:hAnsi="Lato"/>
        <w:sz w:val="14"/>
        <w:szCs w:val="14"/>
      </w:rPr>
      <w:t>tel. 222-500-10</w:t>
    </w:r>
    <w:r>
      <w:rPr>
        <w:rFonts w:ascii="Lato" w:hAnsi="Lato"/>
        <w:sz w:val="14"/>
        <w:szCs w:val="14"/>
      </w:rPr>
      <w:t>8</w:t>
    </w:r>
    <w:r w:rsidRPr="00DE78BB">
      <w:rPr>
        <w:rFonts w:ascii="Lato" w:hAnsi="Lato"/>
        <w:sz w:val="14"/>
        <w:szCs w:val="14"/>
      </w:rPr>
      <w:tab/>
      <w:t xml:space="preserve">ul. Nowogrodzka 1/3/5 </w:t>
    </w:r>
  </w:p>
  <w:p w14:paraId="77210CAC" w14:textId="77777777" w:rsidR="00E744D7" w:rsidRPr="00DE78BB" w:rsidRDefault="00A86C46" w:rsidP="00E744D7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1" w:history="1">
      <w:r w:rsidR="00A31DC9" w:rsidRPr="00B43749">
        <w:rPr>
          <w:rStyle w:val="Hipercze"/>
          <w:rFonts w:ascii="Lato" w:hAnsi="Lato"/>
          <w:sz w:val="14"/>
          <w:szCs w:val="14"/>
        </w:rPr>
        <w:t>info@mrpips.gov.pl</w:t>
      </w:r>
    </w:hyperlink>
    <w:r w:rsidR="006B35B7" w:rsidRPr="00DE78BB">
      <w:rPr>
        <w:rFonts w:ascii="Lato" w:hAnsi="Lato"/>
        <w:sz w:val="14"/>
        <w:szCs w:val="14"/>
      </w:rPr>
      <w:tab/>
      <w:t>00-513 Warszawa</w:t>
    </w:r>
  </w:p>
  <w:p w14:paraId="49F029A8" w14:textId="77777777" w:rsidR="00315D17" w:rsidRPr="00E744D7" w:rsidRDefault="006B35B7" w:rsidP="001E6CBC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3D3CA" w14:textId="77777777" w:rsidR="00A86C46" w:rsidRDefault="00A86C46">
      <w:pPr>
        <w:spacing w:after="0" w:line="240" w:lineRule="auto"/>
      </w:pPr>
      <w:r>
        <w:separator/>
      </w:r>
    </w:p>
  </w:footnote>
  <w:footnote w:type="continuationSeparator" w:id="0">
    <w:p w14:paraId="71C9C2CE" w14:textId="77777777" w:rsidR="00A86C46" w:rsidRDefault="00A86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3FDE0" w14:textId="77777777"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610BA" w14:textId="77777777" w:rsidR="00315D17" w:rsidRDefault="006B35B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3AEBA03E" wp14:editId="7C6F39CB">
          <wp:simplePos x="0" y="0"/>
          <wp:positionH relativeFrom="column">
            <wp:posOffset>-923925</wp:posOffset>
          </wp:positionH>
          <wp:positionV relativeFrom="paragraph">
            <wp:posOffset>-86360</wp:posOffset>
          </wp:positionV>
          <wp:extent cx="3645535" cy="1064895"/>
          <wp:effectExtent l="0" t="0" r="0" b="0"/>
          <wp:wrapThrough wrapText="bothSides">
            <wp:wrapPolygon edited="0">
              <wp:start x="2709" y="2318"/>
              <wp:lineTo x="1467" y="3864"/>
              <wp:lineTo x="677" y="6569"/>
              <wp:lineTo x="1129" y="17002"/>
              <wp:lineTo x="3048" y="18161"/>
              <wp:lineTo x="5192" y="18934"/>
              <wp:lineTo x="20769" y="18934"/>
              <wp:lineTo x="20881" y="9660"/>
              <wp:lineTo x="18737" y="8887"/>
              <wp:lineTo x="18060" y="5023"/>
              <wp:lineTo x="3160" y="2318"/>
              <wp:lineTo x="2709" y="2318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45535" cy="1064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B31FB"/>
    <w:multiLevelType w:val="hybridMultilevel"/>
    <w:tmpl w:val="E2F6B5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55F10"/>
    <w:rsid w:val="0008004F"/>
    <w:rsid w:val="00100315"/>
    <w:rsid w:val="001236B0"/>
    <w:rsid w:val="00166A88"/>
    <w:rsid w:val="00183B62"/>
    <w:rsid w:val="001B15DC"/>
    <w:rsid w:val="001B4265"/>
    <w:rsid w:val="001B70EB"/>
    <w:rsid w:val="001E6CBC"/>
    <w:rsid w:val="00286A04"/>
    <w:rsid w:val="00294C0E"/>
    <w:rsid w:val="002A5B4E"/>
    <w:rsid w:val="002C1A21"/>
    <w:rsid w:val="002E0C9D"/>
    <w:rsid w:val="002F5DA6"/>
    <w:rsid w:val="003047A7"/>
    <w:rsid w:val="00315D17"/>
    <w:rsid w:val="003352BD"/>
    <w:rsid w:val="003B0771"/>
    <w:rsid w:val="003B76A3"/>
    <w:rsid w:val="003D4E0A"/>
    <w:rsid w:val="003E6B5B"/>
    <w:rsid w:val="00471078"/>
    <w:rsid w:val="004A2223"/>
    <w:rsid w:val="004B4C2D"/>
    <w:rsid w:val="004F5D02"/>
    <w:rsid w:val="00531FA7"/>
    <w:rsid w:val="0054344C"/>
    <w:rsid w:val="00547F9C"/>
    <w:rsid w:val="005636D2"/>
    <w:rsid w:val="00590C4E"/>
    <w:rsid w:val="005B59A3"/>
    <w:rsid w:val="00653119"/>
    <w:rsid w:val="00656B9D"/>
    <w:rsid w:val="0066427C"/>
    <w:rsid w:val="00673E82"/>
    <w:rsid w:val="0069435E"/>
    <w:rsid w:val="006B35B7"/>
    <w:rsid w:val="006C1911"/>
    <w:rsid w:val="0070631E"/>
    <w:rsid w:val="00716214"/>
    <w:rsid w:val="007670EE"/>
    <w:rsid w:val="007702D5"/>
    <w:rsid w:val="007828F5"/>
    <w:rsid w:val="007839FB"/>
    <w:rsid w:val="00797577"/>
    <w:rsid w:val="007F632E"/>
    <w:rsid w:val="008069D2"/>
    <w:rsid w:val="00822C27"/>
    <w:rsid w:val="00856034"/>
    <w:rsid w:val="00884299"/>
    <w:rsid w:val="008B10E0"/>
    <w:rsid w:val="008F1783"/>
    <w:rsid w:val="008F1B12"/>
    <w:rsid w:val="009276B2"/>
    <w:rsid w:val="0095603E"/>
    <w:rsid w:val="00971345"/>
    <w:rsid w:val="009B40BB"/>
    <w:rsid w:val="009F61DD"/>
    <w:rsid w:val="00A31DC9"/>
    <w:rsid w:val="00A86C46"/>
    <w:rsid w:val="00AE6415"/>
    <w:rsid w:val="00B20AD8"/>
    <w:rsid w:val="00B420F2"/>
    <w:rsid w:val="00B42EED"/>
    <w:rsid w:val="00B43749"/>
    <w:rsid w:val="00B87744"/>
    <w:rsid w:val="00B905A0"/>
    <w:rsid w:val="00BA7BBA"/>
    <w:rsid w:val="00BE6444"/>
    <w:rsid w:val="00C11819"/>
    <w:rsid w:val="00C8064A"/>
    <w:rsid w:val="00C819AE"/>
    <w:rsid w:val="00C85D56"/>
    <w:rsid w:val="00CF21C3"/>
    <w:rsid w:val="00D11C79"/>
    <w:rsid w:val="00D132C0"/>
    <w:rsid w:val="00D46B2E"/>
    <w:rsid w:val="00D73437"/>
    <w:rsid w:val="00D8681F"/>
    <w:rsid w:val="00DA46CC"/>
    <w:rsid w:val="00DE11CB"/>
    <w:rsid w:val="00DE78BB"/>
    <w:rsid w:val="00E3400A"/>
    <w:rsid w:val="00E744D7"/>
    <w:rsid w:val="00E90CC6"/>
    <w:rsid w:val="00E974C1"/>
    <w:rsid w:val="00EE07FE"/>
    <w:rsid w:val="00F05F16"/>
    <w:rsid w:val="00F13890"/>
    <w:rsid w:val="00F90397"/>
    <w:rsid w:val="00FA6BD4"/>
    <w:rsid w:val="00FE06D0"/>
    <w:rsid w:val="00FE10AF"/>
    <w:rsid w:val="00FE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C547D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06D0"/>
  </w:style>
  <w:style w:type="paragraph" w:styleId="Nagwek1">
    <w:name w:val="heading 1"/>
    <w:basedOn w:val="Normalny"/>
    <w:next w:val="Normalny"/>
    <w:link w:val="Nagwek1Znak"/>
    <w:uiPriority w:val="9"/>
    <w:qFormat/>
    <w:rsid w:val="00FE06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06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E744D7"/>
    <w:rPr>
      <w:color w:val="808080"/>
    </w:rPr>
  </w:style>
  <w:style w:type="character" w:styleId="Pogrubienie">
    <w:name w:val="Strong"/>
    <w:basedOn w:val="Domylnaczcionkaakapitu"/>
    <w:uiPriority w:val="22"/>
    <w:qFormat/>
    <w:rsid w:val="00E744D7"/>
    <w:rPr>
      <w:b/>
      <w:bCs/>
    </w:rPr>
  </w:style>
  <w:style w:type="paragraph" w:customStyle="1" w:styleId="menfont">
    <w:name w:val="men font"/>
    <w:basedOn w:val="Normalny"/>
    <w:rsid w:val="00E744D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E744D7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E744D7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E744D7"/>
    <w:rPr>
      <w:rFonts w:ascii="Calibri" w:hAnsi="Calibri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05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05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05A0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31DC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1DC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E06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E06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59"/>
    <w:rsid w:val="00FE0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FE06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0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E06D0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E06D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E06D0"/>
    <w:pPr>
      <w:spacing w:after="100"/>
      <w:ind w:left="2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5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9A3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B59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attachment/d03eb5d9-bdd3-4f02-b70f-54fd15889a3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pips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pips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 xmlns="abf32d92-4ea5-46ba-9587-c4f5b7322894">Obowiązujący</Rodzaj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33D61BDE2AB845BD177CA62944512B" ma:contentTypeVersion="2" ma:contentTypeDescription="Utwórz nowy dokument." ma:contentTypeScope="" ma:versionID="a8e4fa80bbcbae74ae00a9dc3b7e4b47">
  <xsd:schema xmlns:xsd="http://www.w3.org/2001/XMLSchema" xmlns:xs="http://www.w3.org/2001/XMLSchema" xmlns:p="http://schemas.microsoft.com/office/2006/metadata/properties" xmlns:ns2="abf32d92-4ea5-46ba-9587-c4f5b7322894" targetNamespace="http://schemas.microsoft.com/office/2006/metadata/properties" ma:root="true" ma:fieldsID="7648f7abe42614fa8bfcdc8e30be5b2a" ns2:_="">
    <xsd:import namespace="abf32d92-4ea5-46ba-9587-c4f5b7322894"/>
    <xsd:element name="properties">
      <xsd:complexType>
        <xsd:sequence>
          <xsd:element name="documentManagement">
            <xsd:complexType>
              <xsd:all>
                <xsd:element ref="ns2:Rodza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32d92-4ea5-46ba-9587-c4f5b7322894" elementFormDefault="qualified">
    <xsd:import namespace="http://schemas.microsoft.com/office/2006/documentManagement/types"/>
    <xsd:import namespace="http://schemas.microsoft.com/office/infopath/2007/PartnerControls"/>
    <xsd:element name="Rodzaj" ma:index="8" nillable="true" ma:displayName="Rodzaj" ma:default="Obowiązujący" ma:internalName="Rodzaj">
      <xsd:simpleType>
        <xsd:restriction base="dms:Choice">
          <xsd:enumeration value="Obowiązujący"/>
          <xsd:enumeration value="Archiwaln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F9BE2-E8D4-46AB-AAD9-30743B5B2292}">
  <ds:schemaRefs>
    <ds:schemaRef ds:uri="http://schemas.microsoft.com/office/2006/metadata/properties"/>
    <ds:schemaRef ds:uri="http://schemas.microsoft.com/office/infopath/2007/PartnerControls"/>
    <ds:schemaRef ds:uri="abf32d92-4ea5-46ba-9587-c4f5b7322894"/>
  </ds:schemaRefs>
</ds:datastoreItem>
</file>

<file path=customXml/itemProps2.xml><?xml version="1.0" encoding="utf-8"?>
<ds:datastoreItem xmlns:ds="http://schemas.openxmlformats.org/officeDocument/2006/customXml" ds:itemID="{0B51E7D0-0511-441B-91F3-31FE72192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f32d92-4ea5-46ba-9587-c4f5b7322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FE12CA-A926-47E2-8D73-19EC6069F7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7D52E9-9A2F-4575-8BCF-BB7C376A5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1639</Words>
  <Characters>9835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Nowakowski Adam</dc:creator>
  <cp:lastModifiedBy>Kielar Arkadiusz</cp:lastModifiedBy>
  <cp:revision>2</cp:revision>
  <cp:lastPrinted>2022-09-08T13:34:00Z</cp:lastPrinted>
  <dcterms:created xsi:type="dcterms:W3CDTF">2026-03-26T12:15:00Z</dcterms:created>
  <dcterms:modified xsi:type="dcterms:W3CDTF">2026-03-26T12:15:00Z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0x0101007B33D61BDE2AB845BD177CA62944512B</vt:lpwstr>
  </property>
</Properties>
</file>