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B21B02">
      <w:pPr>
        <w:tabs>
          <w:tab w:val="center" w:pos="1418"/>
        </w:tabs>
        <w:snapToGrid w:val="0"/>
        <w:ind w:right="15"/>
        <w:jc w:val="right"/>
      </w:pPr>
      <w:r>
        <w:fldChar w:fldCharType="begin"/>
      </w:r>
      <w:r>
        <w:rPr>
          <w:sz w:val="24"/>
          <w:szCs w:val="24"/>
        </w:rPr>
        <w:instrText>vnd.oasis.opendocument.field.UNHANDLED</w:instrText>
      </w:r>
      <w:bookmarkStart w:id="0" w:name="Bookmark1"/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bookmarkEnd w:id="0"/>
      <w:r>
        <w:rPr>
          <w:sz w:val="24"/>
          <w:szCs w:val="24"/>
        </w:rPr>
        <w:t xml:space="preserve">Łódź, </w:t>
      </w:r>
      <w:bookmarkStart w:id="1" w:name="ezdDataPodpisu"/>
      <w:r>
        <w:rPr>
          <w:sz w:val="24"/>
          <w:szCs w:val="24"/>
        </w:rPr>
        <w:t>14 lipca 2023</w:t>
      </w:r>
      <w:bookmarkEnd w:id="1"/>
      <w:r>
        <w:rPr>
          <w:sz w:val="24"/>
          <w:szCs w:val="24"/>
        </w:rPr>
        <w:t xml:space="preserve"> r.</w:t>
      </w:r>
    </w:p>
    <w:p w:rsidR="00B21B02">
      <w:pPr>
        <w:tabs>
          <w:tab w:val="center" w:pos="1418"/>
        </w:tabs>
        <w:rPr>
          <w:sz w:val="24"/>
          <w:szCs w:val="24"/>
        </w:rPr>
      </w:pPr>
      <w:r>
        <w:rPr>
          <w:sz w:val="24"/>
          <w:szCs w:val="24"/>
        </w:rPr>
        <w:tab/>
      </w:r>
      <w:bookmarkStart w:id="2" w:name="ezdSprawaZnak"/>
      <w:r>
        <w:rPr>
          <w:sz w:val="24"/>
          <w:szCs w:val="24"/>
        </w:rPr>
        <w:t>ZD-I.9612.1.2023</w:t>
      </w:r>
      <w:bookmarkEnd w:id="2"/>
    </w:p>
    <w:p w:rsidR="00B21B02">
      <w:pPr>
        <w:snapToGrid w:val="0"/>
        <w:rPr>
          <w:sz w:val="24"/>
          <w:szCs w:val="24"/>
        </w:rPr>
      </w:pPr>
    </w:p>
    <w:p w:rsidR="00B21B02">
      <w:pPr>
        <w:pStyle w:val="Tekstpodstawowywcity31"/>
        <w:snapToGrid w:val="0"/>
        <w:spacing w:line="360" w:lineRule="auto"/>
        <w:ind w:left="4815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Pan</w:t>
      </w:r>
      <w:r>
        <w:rPr>
          <w:rFonts w:ascii="Times New Roman" w:hAnsi="Times New Roman" w:cs="Times New Roman"/>
          <w:b/>
          <w:szCs w:val="24"/>
        </w:rPr>
        <w:br/>
        <w:t>Roman Kimelski</w:t>
      </w:r>
      <w:r>
        <w:rPr>
          <w:rFonts w:ascii="Times New Roman" w:hAnsi="Times New Roman" w:cs="Times New Roman"/>
          <w:b/>
          <w:szCs w:val="24"/>
        </w:rPr>
        <w:br/>
        <w:t>Niepubliczny Zakład Opieki Zdrowotnej</w:t>
      </w:r>
    </w:p>
    <w:p w:rsidR="00B21B02">
      <w:pPr>
        <w:pStyle w:val="Tekstpodstawowywcity31"/>
        <w:snapToGrid w:val="0"/>
        <w:spacing w:line="360" w:lineRule="auto"/>
        <w:ind w:left="4815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KARDIO-MED</w:t>
      </w:r>
    </w:p>
    <w:p w:rsidR="00B21B02">
      <w:pPr>
        <w:pStyle w:val="Tekstpodstawowywcity31"/>
        <w:snapToGrid w:val="0"/>
        <w:spacing w:line="360" w:lineRule="auto"/>
        <w:ind w:left="4815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ROMAN KIMELSKI</w:t>
      </w:r>
    </w:p>
    <w:p w:rsidR="00B21B02">
      <w:pPr>
        <w:pStyle w:val="Tekstpodstawowywcity31"/>
        <w:snapToGrid w:val="0"/>
        <w:spacing w:line="360" w:lineRule="auto"/>
        <w:ind w:left="4815"/>
        <w:rPr>
          <w:rFonts w:ascii="Times New Roman" w:hAnsi="Times New Roman" w:cs="Times New Roman"/>
          <w:szCs w:val="24"/>
        </w:rPr>
      </w:pPr>
    </w:p>
    <w:p w:rsidR="00B21B02">
      <w:pPr>
        <w:snapToGrid w:val="0"/>
        <w:spacing w:line="360" w:lineRule="auto"/>
        <w:jc w:val="center"/>
        <w:rPr>
          <w:szCs w:val="24"/>
        </w:rPr>
      </w:pPr>
      <w:r>
        <w:rPr>
          <w:b/>
          <w:bCs/>
          <w:color w:val="000000"/>
          <w:sz w:val="24"/>
          <w:szCs w:val="24"/>
        </w:rPr>
        <w:t>ZALECENIA POKONTROLNE</w:t>
      </w:r>
    </w:p>
    <w:p w:rsidR="00B21B02">
      <w:pPr>
        <w:spacing w:line="360" w:lineRule="auto"/>
        <w:jc w:val="center"/>
        <w:rPr>
          <w:szCs w:val="24"/>
        </w:rPr>
      </w:pPr>
    </w:p>
    <w:p w:rsidR="00B21B02">
      <w:pPr>
        <w:spacing w:line="360" w:lineRule="auto"/>
        <w:jc w:val="both"/>
        <w:rPr>
          <w:szCs w:val="24"/>
        </w:rPr>
      </w:pPr>
      <w:r>
        <w:rPr>
          <w:color w:val="000000"/>
          <w:sz w:val="24"/>
          <w:szCs w:val="24"/>
        </w:rPr>
        <w:tab/>
        <w:t>Na podstawie art. 111 ust. 1 ustawy z dnia 15 kwietnia 2011 r. o działalności leczniczej (Dz. U. z 2023 poz. 991), zespół kontrolerów powołany przez Dyrektora Wydziału Zdrowia Łódzkiego Urzędu Wojewódzkiego w Łodzi, działającego z upoważnienia Wojewody Łódzkiego, przeprowadził w dniach od 19 kwietnia 2023 r. do 29 maja 2023 r. kontrolę działalności podmiotu leczniczego pn.: Niepubliczny Zakład Opieki Zdrowotnej KARDIO</w:t>
      </w:r>
      <w:r>
        <w:rPr>
          <w:color w:val="000000"/>
          <w:sz w:val="24"/>
          <w:szCs w:val="24"/>
        </w:rPr>
        <w:noBreakHyphen/>
        <w:t>MED ROMAN KIMELSKI z siedzibą w Piotrkowie Trybunalskim, al. Armii Krajowej 22B/3, prowadzącego zakład leczniczy pn. Niepubliczny Zakład Opieki Zdrowotnej KARDIO-MED, z siedzibą w Piotrkowie Trybunalskim, al. Armii Krajowej 22B/3.</w:t>
      </w:r>
    </w:p>
    <w:p w:rsidR="00B21B02">
      <w:pPr>
        <w:spacing w:line="360" w:lineRule="auto"/>
        <w:jc w:val="both"/>
        <w:rPr>
          <w:szCs w:val="24"/>
        </w:rPr>
      </w:pPr>
      <w:r>
        <w:rPr>
          <w:color w:val="000000"/>
          <w:sz w:val="24"/>
          <w:szCs w:val="24"/>
        </w:rPr>
        <w:tab/>
        <w:t xml:space="preserve">Przedmiotem kontroli była zgodność wykonywanej działalności podmiotu leczniczego z wybranymi przepisami ustawy z dnia 15 kwietnia 2011 r. o działalności leczniczej. </w:t>
      </w:r>
    </w:p>
    <w:p w:rsidR="00B21B02">
      <w:pPr>
        <w:spacing w:line="360" w:lineRule="auto"/>
        <w:jc w:val="both"/>
        <w:rPr>
          <w:szCs w:val="24"/>
        </w:rPr>
      </w:pPr>
      <w:r>
        <w:rPr>
          <w:color w:val="000000"/>
          <w:sz w:val="24"/>
          <w:szCs w:val="24"/>
        </w:rPr>
        <w:t>Okres objęty kontrolą od 1 stycznia 2023 r. do 19 kwietnia 2023 r.</w:t>
      </w:r>
    </w:p>
    <w:p w:rsidR="00B21B02">
      <w:pPr>
        <w:spacing w:line="360" w:lineRule="auto"/>
        <w:jc w:val="both"/>
        <w:rPr>
          <w:szCs w:val="24"/>
        </w:rPr>
      </w:pPr>
      <w:r>
        <w:rPr>
          <w:color w:val="000000"/>
          <w:sz w:val="24"/>
          <w:szCs w:val="24"/>
        </w:rPr>
        <w:tab/>
        <w:t>Wyniki kontroli zostały przedstawione w protokole kontroli, podpisanym 13 czerwca 2023 r. przez zespół kontrolerów oraz 28 czerwca 2023 r. przez Pana Romana Kimelskiego – właściciela, a tym samym osobę uprawnioną do reprezentowania podmiotu podczas prowadzonej kontroli, zgodnie z zapisem w bazie REGON oraz Centralnej Ewidencji i Informacji o Działalności Gospodarczej.</w:t>
      </w:r>
    </w:p>
    <w:p w:rsidR="00B21B02">
      <w:pPr>
        <w:spacing w:line="360" w:lineRule="auto"/>
        <w:jc w:val="both"/>
        <w:rPr>
          <w:szCs w:val="24"/>
        </w:rPr>
      </w:pPr>
      <w:r>
        <w:rPr>
          <w:color w:val="000000"/>
          <w:sz w:val="24"/>
          <w:szCs w:val="24"/>
        </w:rPr>
        <w:tab/>
        <w:t xml:space="preserve">W terminie przewidzianym w art. 112 ust. 6 powołanej ustawy o działalności leczniczej Pan Roman Kimelski nie wniósł zastrzeżeń, co do sposobu przeprowadzenia czynności kontrolnych oraz ustaleń zawartych w protokole kontroli. </w:t>
      </w:r>
    </w:p>
    <w:p w:rsidR="00B21B02">
      <w:pPr>
        <w:tabs>
          <w:tab w:val="left" w:pos="792"/>
          <w:tab w:val="left" w:pos="912"/>
        </w:tabs>
        <w:spacing w:line="360" w:lineRule="auto"/>
        <w:ind w:firstLine="737"/>
        <w:jc w:val="both"/>
        <w:rPr>
          <w:szCs w:val="24"/>
        </w:rPr>
      </w:pPr>
      <w:r>
        <w:rPr>
          <w:color w:val="000000"/>
          <w:sz w:val="24"/>
          <w:szCs w:val="24"/>
        </w:rPr>
        <w:t xml:space="preserve">Na podstawie ustaleń zawartych w Protokole kontroli stwierdzono, że działalność podmiotu leczniczego w zakresie przedmiotu kontroli jest </w:t>
      </w:r>
      <w:r>
        <w:rPr>
          <w:b/>
          <w:bCs/>
          <w:color w:val="000000"/>
          <w:sz w:val="24"/>
          <w:szCs w:val="24"/>
        </w:rPr>
        <w:t xml:space="preserve">legalna i celowa oraz nierzetelna </w:t>
      </w:r>
      <w:r>
        <w:rPr>
          <w:color w:val="000000"/>
          <w:sz w:val="24"/>
          <w:szCs w:val="24"/>
        </w:rPr>
        <w:t>z uwagi na stwierdzone:</w:t>
      </w:r>
    </w:p>
    <w:p w:rsidR="00B21B02">
      <w:pPr>
        <w:numPr>
          <w:ilvl w:val="0"/>
          <w:numId w:val="2"/>
        </w:numPr>
        <w:tabs>
          <w:tab w:val="left" w:pos="0"/>
        </w:tabs>
        <w:spacing w:line="360" w:lineRule="auto"/>
        <w:jc w:val="both"/>
        <w:rPr>
          <w:szCs w:val="24"/>
        </w:rPr>
      </w:pPr>
      <w:r>
        <w:rPr>
          <w:color w:val="000000"/>
          <w:sz w:val="24"/>
          <w:szCs w:val="24"/>
        </w:rPr>
        <w:t>uchybienia:</w:t>
      </w:r>
    </w:p>
    <w:p w:rsidR="00B21B02">
      <w:pPr>
        <w:pStyle w:val="ListParagraph"/>
        <w:numPr>
          <w:ilvl w:val="1"/>
          <w:numId w:val="2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struktura organizacyjna zakładu leczniczego, opisanego w Regulaminie organizacyjnym, jest niezgodna ze stanem faktycznym,</w:t>
      </w:r>
    </w:p>
    <w:p w:rsidR="00B21B02">
      <w:pPr>
        <w:pStyle w:val="ListParagraph"/>
        <w:numPr>
          <w:ilvl w:val="1"/>
          <w:numId w:val="2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podmiot leczniczy nie zgłosił w ustawowym terminie organowi prowadzącemu rejestr zmiany danych objętych rejestrem.</w:t>
      </w:r>
    </w:p>
    <w:p w:rsidR="00B21B02">
      <w:pPr>
        <w:spacing w:line="360" w:lineRule="auto"/>
        <w:jc w:val="both"/>
        <w:rPr>
          <w:szCs w:val="24"/>
        </w:rPr>
      </w:pPr>
      <w:r>
        <w:rPr>
          <w:color w:val="000000"/>
          <w:sz w:val="24"/>
          <w:szCs w:val="24"/>
        </w:rPr>
        <w:t xml:space="preserve">Stwierdzone naruszenia mają charakter formalny i nie powodują następstw dla kontrolowanej działalności. </w:t>
      </w:r>
    </w:p>
    <w:p w:rsidR="00B21B02">
      <w:pPr>
        <w:spacing w:line="360" w:lineRule="auto"/>
        <w:jc w:val="both"/>
        <w:rPr>
          <w:szCs w:val="24"/>
        </w:rPr>
      </w:pPr>
      <w:r>
        <w:rPr>
          <w:color w:val="000000"/>
          <w:sz w:val="24"/>
          <w:szCs w:val="24"/>
        </w:rPr>
        <w:tab/>
        <w:t xml:space="preserve">W związku z przedstawionymi ustaleniami kontroli, zgodność wykonywanej działalności podmiotu leczniczego z wybranymi przepisami ustawy z dnia 15 kwietnia 2011 r. o działalności leczniczej oceniono </w:t>
      </w:r>
      <w:r>
        <w:rPr>
          <w:b/>
          <w:color w:val="000000"/>
          <w:sz w:val="24"/>
          <w:szCs w:val="24"/>
        </w:rPr>
        <w:t>pozytywnie z uchybieniami.</w:t>
      </w:r>
    </w:p>
    <w:p w:rsidR="00B21B02">
      <w:pPr>
        <w:tabs>
          <w:tab w:val="left" w:pos="2715"/>
        </w:tabs>
        <w:spacing w:line="360" w:lineRule="auto"/>
        <w:jc w:val="both"/>
        <w:rPr>
          <w:szCs w:val="24"/>
        </w:rPr>
      </w:pPr>
    </w:p>
    <w:p w:rsidR="00B21B02">
      <w:pPr>
        <w:spacing w:line="360" w:lineRule="auto"/>
        <w:jc w:val="both"/>
        <w:rPr>
          <w:szCs w:val="24"/>
        </w:rPr>
      </w:pPr>
      <w:r>
        <w:rPr>
          <w:b/>
          <w:color w:val="000000"/>
          <w:sz w:val="24"/>
          <w:szCs w:val="24"/>
        </w:rPr>
        <w:t>Na podstawie art. 112 ust. 7 pkt 2 powołanej ustawy o działalności leczniczej zalecam:</w:t>
      </w:r>
    </w:p>
    <w:p w:rsidR="00B21B02">
      <w:pPr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szCs w:val="24"/>
        </w:rPr>
      </w:pPr>
      <w:r>
        <w:rPr>
          <w:color w:val="000000"/>
          <w:sz w:val="24"/>
          <w:szCs w:val="24"/>
        </w:rPr>
        <w:t xml:space="preserve">terminowe zgłaszanie organowi prowadzącemu rejestr wszelkich zmian danych objętych rejestrem zgodnie z art. 107 ust. 1 ustawy o działalności leczniczej. </w:t>
      </w:r>
    </w:p>
    <w:p w:rsidR="00B21B02">
      <w:pPr>
        <w:spacing w:line="360" w:lineRule="auto"/>
        <w:ind w:left="720"/>
        <w:jc w:val="both"/>
        <w:rPr>
          <w:szCs w:val="24"/>
        </w:rPr>
      </w:pPr>
      <w:r>
        <w:rPr>
          <w:color w:val="000000"/>
          <w:sz w:val="24"/>
          <w:szCs w:val="24"/>
        </w:rPr>
        <w:t>Podmiot leczniczy w dniu 16 kwietnia 2023 r. jeszcze przed rozpoczęciem czynności kontrolnych (19 kwietnia 2023 r.) złożył wniosek o wpis zmian w rejestrze, obejmujący zamknięcie niefunkcjonujących komórek oraz zmianę adresu zgodnie ze stanem faktycznym;</w:t>
      </w:r>
    </w:p>
    <w:p w:rsidR="00B21B02">
      <w:pPr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szCs w:val="24"/>
        </w:rPr>
      </w:pPr>
      <w:r>
        <w:rPr>
          <w:color w:val="000000"/>
          <w:sz w:val="24"/>
          <w:szCs w:val="24"/>
        </w:rPr>
        <w:t>opracowanie nowego regulaminu organizacyjnego dla podmiotu leczniczego pn. Niepubliczny Zakład Opieki Zdrowotnej KARDIO-MED ROMAN KIMELSKI zgodnie z art. 23 ust 1 i 24 ust. 1 ww. ustawy oraz ze stanem faktycznym.</w:t>
      </w:r>
    </w:p>
    <w:p w:rsidR="00B21B02">
      <w:pPr>
        <w:spacing w:line="360" w:lineRule="auto"/>
        <w:jc w:val="both"/>
        <w:rPr>
          <w:szCs w:val="24"/>
        </w:rPr>
      </w:pPr>
      <w:r>
        <w:rPr>
          <w:color w:val="000000"/>
          <w:sz w:val="24"/>
          <w:szCs w:val="24"/>
        </w:rPr>
        <w:t>Powyższe zalecenia należy zrealizować w terminie 30 dni od daty ich otrzymania.</w:t>
      </w:r>
    </w:p>
    <w:p w:rsidR="00D461CF" w:rsidRPr="00D461CF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Jednocześnie, oczekuję przedstawienia pisemnej informacji o sposobie wykonania zaleceń w terminie 30 dni od ich otrzymania.</w:t>
      </w:r>
    </w:p>
    <w:p w:rsidR="00B21B02">
      <w:pPr>
        <w:snapToGrid w:val="0"/>
        <w:rPr>
          <w:szCs w:val="24"/>
        </w:rPr>
      </w:pPr>
    </w:p>
    <w:p w:rsidR="00B21B02">
      <w:pPr>
        <w:snapToGrid w:val="0"/>
        <w:spacing w:line="480" w:lineRule="auto"/>
        <w:rPr>
          <w:color w:val="000000"/>
          <w:sz w:val="24"/>
          <w:szCs w:val="24"/>
        </w:rPr>
      </w:pPr>
    </w:p>
    <w:p w:rsidR="00B21B02">
      <w:pPr>
        <w:spacing w:line="480" w:lineRule="auto"/>
        <w:ind w:left="709"/>
        <w:rPr>
          <w:b/>
          <w:bCs/>
          <w:color w:val="000000"/>
          <w:sz w:val="24"/>
          <w:szCs w:val="24"/>
          <w:lang w:eastAsia="pl-PL"/>
        </w:rPr>
      </w:pPr>
      <w:r>
        <w:rPr>
          <w:i/>
          <w:color w:val="000000"/>
          <w:sz w:val="24"/>
          <w:szCs w:val="24"/>
        </w:rPr>
        <w:t>Z poważaniem</w:t>
      </w:r>
    </w:p>
    <w:p w:rsidR="00B21B02">
      <w:pPr>
        <w:spacing w:line="480" w:lineRule="auto"/>
        <w:ind w:left="709"/>
        <w:rPr>
          <w:b/>
          <w:bCs/>
          <w:color w:val="000000"/>
          <w:sz w:val="24"/>
          <w:szCs w:val="24"/>
          <w:lang w:eastAsia="pl-PL"/>
        </w:rPr>
      </w:pPr>
    </w:p>
    <w:p w:rsidR="00B21B02">
      <w:pPr>
        <w:tabs>
          <w:tab w:val="center" w:pos="6345"/>
        </w:tabs>
        <w:snapToGrid w:val="0"/>
        <w:ind w:left="4965"/>
        <w:jc w:val="center"/>
      </w:pPr>
      <w:r>
        <w:rPr>
          <w:b/>
          <w:bCs/>
          <w:color w:val="000000"/>
          <w:sz w:val="24"/>
          <w:szCs w:val="24"/>
          <w:lang w:eastAsia="pl-PL"/>
        </w:rPr>
        <w:t>Z up. WOJEWODY ŁÓDZKIEGO</w:t>
      </w:r>
      <w:r>
        <w:rPr>
          <w:b/>
          <w:bCs/>
          <w:color w:val="000000"/>
          <w:sz w:val="24"/>
          <w:szCs w:val="24"/>
          <w:lang w:eastAsia="pl-PL"/>
        </w:rPr>
        <w:br/>
      </w:r>
      <w:r>
        <w:rPr>
          <w:b/>
          <w:bCs/>
          <w:color w:val="000000"/>
          <w:sz w:val="24"/>
          <w:szCs w:val="24"/>
          <w:lang w:eastAsia="pl-PL"/>
        </w:rPr>
        <w:br/>
      </w:r>
      <w:bookmarkStart w:id="3" w:name="ezdPracownikNazwa"/>
      <w:r>
        <w:rPr>
          <w:b/>
          <w:bCs/>
          <w:i/>
          <w:iCs/>
          <w:color w:val="000000"/>
          <w:sz w:val="24"/>
          <w:szCs w:val="24"/>
          <w:lang w:eastAsia="pl-PL"/>
        </w:rPr>
        <w:t>Kamil Wojtysiak</w:t>
      </w:r>
      <w:bookmarkEnd w:id="3"/>
    </w:p>
    <w:p w:rsidR="00B21B02">
      <w:pPr>
        <w:tabs>
          <w:tab w:val="center" w:pos="6345"/>
        </w:tabs>
        <w:snapToGrid w:val="0"/>
        <w:ind w:left="4965"/>
        <w:jc w:val="center"/>
        <w:rPr>
          <w:b/>
          <w:bCs/>
          <w:iCs/>
          <w:color w:val="000000"/>
          <w:sz w:val="24"/>
          <w:szCs w:val="24"/>
          <w:lang w:eastAsia="pl-PL"/>
        </w:rPr>
      </w:pPr>
      <w:bookmarkStart w:id="4" w:name="ezdPracownikStanowisko"/>
      <w:r>
        <w:rPr>
          <w:b/>
          <w:bCs/>
          <w:iCs/>
          <w:color w:val="000000"/>
          <w:sz w:val="24"/>
          <w:szCs w:val="24"/>
          <w:lang w:eastAsia="pl-PL"/>
        </w:rPr>
        <w:t>Zastępca Dyrektora Wydziału</w:t>
      </w:r>
      <w:bookmarkEnd w:id="4"/>
      <w:r>
        <w:rPr>
          <w:b/>
          <w:bCs/>
          <w:iCs/>
          <w:color w:val="000000"/>
          <w:sz w:val="24"/>
          <w:szCs w:val="24"/>
          <w:lang w:eastAsia="pl-PL"/>
        </w:rPr>
        <w:t xml:space="preserve"> Zdrowia</w:t>
      </w:r>
    </w:p>
    <w:p w:rsidR="00B21B02">
      <w:pPr>
        <w:tabs>
          <w:tab w:val="center" w:pos="6345"/>
        </w:tabs>
        <w:snapToGrid w:val="0"/>
        <w:ind w:left="4965"/>
        <w:jc w:val="center"/>
      </w:pPr>
    </w:p>
    <w:sectPr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650" w:right="1398" w:bottom="949" w:left="1418" w:header="707" w:footer="460" w:gutter="0"/>
      <w:pgNumType w:start="1"/>
      <w:cols w:space="708"/>
      <w:formProt w:val="0"/>
      <w:titlePg/>
      <w:docGrid w:linePitch="36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roman"/>
    <w:notTrueType/>
    <w:pitch w:val="default"/>
  </w:font>
  <w:font w:name="Tahoma">
    <w:panose1 w:val="020B0604030504040204"/>
    <w:charset w:val="EE"/>
    <w:family w:val="roman"/>
    <w:pitch w:val="variable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</w:font>
  <w:font w:name="Trebuchet MS">
    <w:panose1 w:val="020B0603020202020204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1B02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1B02">
    <w:pPr>
      <w:pStyle w:val="Footer"/>
      <w:jc w:val="center"/>
      <w:rPr>
        <w:sz w:val="14"/>
      </w:rPr>
    </w:pPr>
    <w:r>
      <w:rPr>
        <w:b/>
        <w:sz w:val="14"/>
      </w:rPr>
      <w:t>ŁÓDZKI URZĄD WOJEWÓDZKI W ŁODZI</w:t>
    </w:r>
  </w:p>
  <w:p w:rsidR="00B21B02">
    <w:pPr>
      <w:pStyle w:val="Footer"/>
      <w:jc w:val="center"/>
    </w:pPr>
    <w:r>
      <w:rPr>
        <w:sz w:val="14"/>
      </w:rPr>
      <w:t>90-926 Łódź, ul. Piotrkowska 104, tel.: (+48) 42 664 10 00, fax: (+48) 42 664 10 40 Elektroniczna Skrzynka Podawcza ePUAP: /lodzuw/SkrytkaESP</w:t>
    </w:r>
  </w:p>
  <w:p w:rsidR="00B21B02">
    <w:pPr>
      <w:pStyle w:val="Footer"/>
      <w:jc w:val="center"/>
    </w:pPr>
    <w:r>
      <w:fldChar w:fldCharType="begin"/>
    </w:r>
    <w:r>
      <w:instrText xml:space="preserve"> HYPERLINK "http://www.lodzkie.eu/" </w:instrText>
    </w:r>
    <w:r>
      <w:fldChar w:fldCharType="separate"/>
    </w:r>
    <w:r>
      <w:rPr>
        <w:rStyle w:val="czeinternetowe"/>
        <w:sz w:val="16"/>
        <w:szCs w:val="16"/>
      </w:rPr>
      <w:t>https://www.gov.pl/web/uw-lodzki</w:t>
    </w:r>
    <w:r>
      <w:fldChar w:fldCharType="end"/>
    </w:r>
  </w:p>
  <w:p w:rsidR="00B21B02">
    <w:pPr>
      <w:pStyle w:val="Footer"/>
      <w:jc w:val="center"/>
    </w:pPr>
    <w:r>
      <w:rPr>
        <w:sz w:val="14"/>
      </w:rPr>
      <w:t xml:space="preserve">Administratorem danych osobowych jest Wojewoda Łódzki. Dane przetwarzane są w celu realizacji czynności urzędowych. Masz prawo do dostępu, sprostowania, ograniczenia przetwarzania danych. Więcej informacji znajdziesz na stronie </w:t>
    </w:r>
    <w:r>
      <w:fldChar w:fldCharType="begin"/>
    </w:r>
    <w:r>
      <w:instrText xml:space="preserve"> HYPERLINK "http://www.lodzkie.eu/" </w:instrText>
    </w:r>
    <w:r>
      <w:fldChar w:fldCharType="separate"/>
    </w:r>
    <w:r>
      <w:rPr>
        <w:rStyle w:val="czeinternetowe"/>
        <w:sz w:val="14"/>
      </w:rPr>
      <w:t>https://www.gov.pl/web/uw-lodzki</w:t>
    </w:r>
    <w:r>
      <w:fldChar w:fldCharType="end"/>
    </w:r>
    <w:r>
      <w:rPr>
        <w:sz w:val="14"/>
      </w:rPr>
      <w:t xml:space="preserve"> w zakładce ochrona danych osobowych.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1B02">
    <w:pPr>
      <w:spacing w:line="360" w:lineRule="auto"/>
      <w:ind w:right="11"/>
      <w:rPr>
        <w:b/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1B02">
    <w:pPr>
      <w:ind w:left="10" w:right="6255"/>
      <w:jc w:val="center"/>
    </w:pPr>
    <w:r>
      <w:rPr>
        <w:noProof/>
      </w:rPr>
      <w:drawing>
        <wp:inline distT="0" distB="0" distL="0" distR="0">
          <wp:extent cx="704850" cy="8572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rcRect l="19429" t="4798" r="20074" b="9774"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857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  <w:r>
      <w:rPr>
        <w:b/>
        <w:sz w:val="24"/>
        <w:szCs w:val="24"/>
      </w:rPr>
      <w:t>WOJEWODA ŁÓDZKI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87A21AC"/>
    <w:multiLevelType w:val="multilevel"/>
    <w:tmpl w:val="0AEEB4B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sz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>
    <w:nsid w:val="65984404"/>
    <w:multiLevelType w:val="multilevel"/>
    <w:tmpl w:val="1C08B9CC"/>
    <w:lvl w:ilvl="0">
      <w:start w:val="1"/>
      <w:numFmt w:val="none"/>
      <w:pStyle w:val="Heading1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Heading4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Heading5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Heading6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Heading7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Heading8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Heading9"/>
      <w:suff w:val="nothing"/>
      <w:lvlJc w:val="left"/>
      <w:pPr>
        <w:tabs>
          <w:tab w:val="num" w:pos="0"/>
        </w:tabs>
        <w:ind w:left="0" w:firstLine="0"/>
      </w:pPr>
    </w:lvl>
  </w:abstractNum>
  <w:abstractNum w:abstractNumId="2">
    <w:nsid w:val="686E1FDD"/>
    <w:multiLevelType w:val="multilevel"/>
    <w:tmpl w:val="3F38BAF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9"/>
  <w:autoHyphenation/>
  <w:hyphenationZone w:val="425"/>
  <w:characterSpacingControl w:val="doNotCompress"/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kern w:val="2"/>
      <w:lang w:eastAsia="zh-CN"/>
    </w:rPr>
  </w:style>
  <w:style w:type="paragraph" w:styleId="Heading1">
    <w:name w:val="heading 1"/>
    <w:basedOn w:val="Normal"/>
    <w:next w:val="Normal"/>
    <w:qFormat/>
    <w:pPr>
      <w:keepNext/>
      <w:widowControl w:val="0"/>
      <w:numPr>
        <w:numId w:val="1"/>
      </w:numPr>
      <w:tabs>
        <w:tab w:val="center" w:pos="1588"/>
      </w:tabs>
      <w:ind w:left="4536"/>
      <w:jc w:val="center"/>
      <w:outlineLvl w:val="0"/>
    </w:pPr>
    <w:rPr>
      <w:rFonts w:ascii="Georgia" w:hAnsi="Georgia" w:cs="Georgia"/>
      <w:sz w:val="28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ind w:left="3969"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ind w:left="3969"/>
      <w:outlineLvl w:val="3"/>
    </w:pPr>
    <w:rPr>
      <w:rFonts w:ascii="Georgia" w:hAnsi="Georgia" w:cs="Georgia"/>
      <w:b/>
      <w:i/>
      <w:sz w:val="28"/>
    </w:rPr>
  </w:style>
  <w:style w:type="paragraph" w:styleId="Heading5">
    <w:name w:val="heading 5"/>
    <w:basedOn w:val="Normal"/>
    <w:next w:val="Normal"/>
    <w:qFormat/>
    <w:pPr>
      <w:keepNext/>
      <w:numPr>
        <w:ilvl w:val="4"/>
        <w:numId w:val="1"/>
      </w:numPr>
      <w:jc w:val="both"/>
      <w:outlineLvl w:val="4"/>
    </w:pPr>
    <w:rPr>
      <w:rFonts w:ascii="Georgia" w:hAnsi="Georgia" w:cs="Georgia"/>
      <w:sz w:val="30"/>
    </w:rPr>
  </w:style>
  <w:style w:type="paragraph" w:styleId="Heading6">
    <w:name w:val="heading 6"/>
    <w:basedOn w:val="Normal"/>
    <w:next w:val="Normal"/>
    <w:qFormat/>
    <w:pPr>
      <w:keepNext/>
      <w:numPr>
        <w:ilvl w:val="5"/>
        <w:numId w:val="1"/>
      </w:numPr>
      <w:jc w:val="both"/>
      <w:outlineLvl w:val="5"/>
    </w:pPr>
    <w:rPr>
      <w:rFonts w:ascii="Georgia" w:hAnsi="Georgia" w:cs="Georgia"/>
      <w:b/>
      <w:sz w:val="30"/>
    </w:rPr>
  </w:style>
  <w:style w:type="paragraph" w:styleId="Heading7">
    <w:name w:val="heading 7"/>
    <w:basedOn w:val="Normal"/>
    <w:next w:val="Normal"/>
    <w:qFormat/>
    <w:pPr>
      <w:keepNext/>
      <w:numPr>
        <w:ilvl w:val="6"/>
        <w:numId w:val="1"/>
      </w:numPr>
      <w:jc w:val="both"/>
      <w:outlineLvl w:val="6"/>
    </w:pPr>
    <w:rPr>
      <w:rFonts w:ascii="Georgia" w:hAnsi="Georgia" w:cs="Georgia"/>
      <w:b/>
      <w:i/>
      <w:sz w:val="30"/>
    </w:rPr>
  </w:style>
  <w:style w:type="paragraph" w:styleId="Heading8">
    <w:name w:val="heading 8"/>
    <w:basedOn w:val="Normal"/>
    <w:next w:val="Normal"/>
    <w:qFormat/>
    <w:pPr>
      <w:keepNext/>
      <w:numPr>
        <w:ilvl w:val="7"/>
        <w:numId w:val="1"/>
      </w:numPr>
      <w:ind w:left="5664"/>
      <w:outlineLvl w:val="7"/>
    </w:pPr>
    <w:rPr>
      <w:sz w:val="24"/>
    </w:rPr>
  </w:style>
  <w:style w:type="paragraph" w:styleId="Heading9">
    <w:name w:val="heading 9"/>
    <w:basedOn w:val="Normal"/>
    <w:next w:val="Normal"/>
    <w:qFormat/>
    <w:pPr>
      <w:keepNext/>
      <w:numPr>
        <w:ilvl w:val="8"/>
        <w:numId w:val="1"/>
      </w:numPr>
      <w:ind w:left="2694"/>
      <w:jc w:val="both"/>
      <w:outlineLvl w:val="8"/>
    </w:pPr>
    <w:rPr>
      <w:rFonts w:ascii="Georgia" w:hAnsi="Georgia" w:cs="Georgia"/>
      <w:b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Domylnaczcionkaakapitu3">
    <w:name w:val="Domyślna czcionka akapitu3"/>
    <w:qFormat/>
  </w:style>
  <w:style w:type="character" w:customStyle="1" w:styleId="Domylnaczcionkaakapitu2">
    <w:name w:val="Domyślna czcionka akapitu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Domylnaczcionkaakapitu1">
    <w:name w:val="Domyślna czcionka akapitu1"/>
    <w:qFormat/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NagwekZnak">
    <w:name w:val="Nagłówek Znak"/>
    <w:qFormat/>
    <w:rPr>
      <w:rFonts w:ascii="Arial" w:eastAsia="Lucida Sans Unicode" w:hAnsi="Arial" w:cs="Tahoma"/>
      <w:kern w:val="2"/>
      <w:sz w:val="28"/>
      <w:szCs w:val="28"/>
    </w:rPr>
  </w:style>
  <w:style w:type="character" w:customStyle="1" w:styleId="TekstpodstawowyZnak">
    <w:name w:val="Tekst podstawowy Znak"/>
    <w:qFormat/>
    <w:rPr>
      <w:rFonts w:ascii="Georgia" w:hAnsi="Georgia" w:cs="Georgia"/>
      <w:i/>
      <w:kern w:val="2"/>
      <w:sz w:val="28"/>
    </w:rPr>
  </w:style>
  <w:style w:type="character" w:customStyle="1" w:styleId="StopkaZnak">
    <w:name w:val="Stopka Znak"/>
    <w:qFormat/>
    <w:rPr>
      <w:kern w:val="2"/>
    </w:rPr>
  </w:style>
  <w:style w:type="paragraph" w:styleId="Header">
    <w:name w:val="header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">
    <w:name w:val="Body Text"/>
    <w:basedOn w:val="Normal"/>
    <w:rPr>
      <w:rFonts w:ascii="Georgia" w:hAnsi="Georgia" w:cs="Georgia"/>
      <w:i/>
      <w:sz w:val="28"/>
    </w:r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Tahoma"/>
    </w:rPr>
  </w:style>
  <w:style w:type="paragraph" w:customStyle="1" w:styleId="Gwkaistopka">
    <w:name w:val="Główka i stopka"/>
    <w:basedOn w:val="Normal"/>
    <w:qFormat/>
  </w:style>
  <w:style w:type="paragraph" w:customStyle="1" w:styleId="Nagwek3">
    <w:name w:val="Nagłówek3"/>
    <w:basedOn w:val="Normal"/>
    <w:next w:val="BodyText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Nagwek2">
    <w:name w:val="Nagłówek2"/>
    <w:basedOn w:val="Normal"/>
    <w:next w:val="BodyText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Podpis1">
    <w:name w:val="Podpis1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">
    <w:name w:val="Nagłówek1"/>
    <w:basedOn w:val="Normal"/>
    <w:next w:val="BodyText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BodyTextIndent">
    <w:name w:val="Body Text Indent"/>
    <w:basedOn w:val="Normal"/>
    <w:pPr>
      <w:ind w:left="4536"/>
    </w:pPr>
    <w:rPr>
      <w:b/>
      <w:sz w:val="28"/>
    </w:rPr>
  </w:style>
  <w:style w:type="paragraph" w:customStyle="1" w:styleId="Tekstpodstawowy21">
    <w:name w:val="Tekst podstawowy 21"/>
    <w:basedOn w:val="Normal"/>
    <w:qFormat/>
    <w:rPr>
      <w:rFonts w:ascii="Trebuchet MS" w:hAnsi="Trebuchet MS" w:cs="Trebuchet MS"/>
      <w:sz w:val="28"/>
    </w:rPr>
  </w:style>
  <w:style w:type="paragraph" w:customStyle="1" w:styleId="Tekstpodstawowywcity21">
    <w:name w:val="Tekst podstawowy wcięty 21"/>
    <w:basedOn w:val="Normal"/>
    <w:qFormat/>
    <w:pPr>
      <w:ind w:firstLine="708"/>
      <w:jc w:val="both"/>
    </w:pPr>
    <w:rPr>
      <w:rFonts w:ascii="Georgia" w:hAnsi="Georgia" w:cs="Georgia"/>
      <w:i/>
      <w:sz w:val="28"/>
    </w:rPr>
  </w:style>
  <w:style w:type="paragraph" w:customStyle="1" w:styleId="Tekstpodstawowy22">
    <w:name w:val="Tekst podstawowy 22"/>
    <w:basedOn w:val="Normal"/>
    <w:qFormat/>
    <w:pPr>
      <w:widowControl w:val="0"/>
      <w:ind w:right="-1"/>
      <w:jc w:val="both"/>
    </w:pPr>
    <w:rPr>
      <w:sz w:val="28"/>
    </w:rPr>
  </w:style>
  <w:style w:type="paragraph" w:customStyle="1" w:styleId="Tekstpodstawowy31">
    <w:name w:val="Tekst podstawowy 31"/>
    <w:basedOn w:val="Normal"/>
    <w:qFormat/>
    <w:pPr>
      <w:jc w:val="both"/>
    </w:pPr>
    <w:rPr>
      <w:b/>
      <w:i/>
      <w:sz w:val="28"/>
    </w:rPr>
  </w:style>
  <w:style w:type="paragraph" w:customStyle="1" w:styleId="Tekstpodstawowywcity31">
    <w:name w:val="Tekst podstawowy wcięty 31"/>
    <w:basedOn w:val="Normal"/>
    <w:qFormat/>
    <w:pPr>
      <w:ind w:left="4536"/>
    </w:pPr>
    <w:rPr>
      <w:rFonts w:ascii="Arial" w:hAnsi="Arial" w:cs="Arial"/>
      <w:sz w:val="24"/>
    </w:rPr>
  </w:style>
  <w:style w:type="paragraph" w:customStyle="1" w:styleId="Tekstdymka1">
    <w:name w:val="Tekst dymka1"/>
    <w:basedOn w:val="Normal"/>
    <w:qFormat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BodyText"/>
    <w:qFormat/>
  </w:style>
  <w:style w:type="paragraph" w:customStyle="1" w:styleId="Zawartotabeli">
    <w:name w:val="Zawartość tabeli"/>
    <w:basedOn w:val="Normal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Standardowy1">
    <w:name w:val="Standardowy1"/>
    <w:qFormat/>
    <w:rPr>
      <w:rFonts w:eastAsia="Calibri"/>
    </w:rPr>
  </w:style>
  <w:style w:type="paragraph" w:styleId="ListParagraph">
    <w:name w:val="List Paragraph"/>
    <w:basedOn w:val="Normal"/>
    <w:qFormat/>
    <w:pPr>
      <w:spacing w:after="160"/>
      <w:ind w:left="720"/>
      <w:textAlignment w:val="baseline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490</Words>
  <Characters>2945</Characters>
  <Application>Microsoft Office Word</Application>
  <DocSecurity>0</DocSecurity>
  <Lines>24</Lines>
  <Paragraphs>6</Paragraphs>
  <ScaleCrop>false</ScaleCrop>
  <Company>luw</Company>
  <LinksUpToDate>false</LinksUpToDate>
  <CharactersWithSpaces>3429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 2001 r</dc:title>
  <dc:creator>wanna</dc:creator>
  <cp:lastModifiedBy>Justyna Uzarewicz-Dziarnik (juza)</cp:lastModifiedBy>
  <cp:revision>14</cp:revision>
  <cp:lastPrinted>1899-12-31T23:00:00Z</cp:lastPrinted>
  <dcterms:created xsi:type="dcterms:W3CDTF">2019-10-25T08:11:00Z</dcterms:created>
  <dcterms:modified xsi:type="dcterms:W3CDTF">2023-07-14T10:13:00Z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