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</w:rPr>
        <w:t xml:space="preserve">Załącznik nr 3 do zaproszenia do szacowania</w:t>
      </w:r>
    </w:p>
    <w:p>
      <w:pPr>
        <w:spacing w:after="60"/>
        <w:jc w:val="right"/>
      </w:pPr>
      <w:r>
        <w:rPr>
          <w:rFonts w:ascii="Times New Roman" w:cs="Times New Roman" w:eastAsia="Times New Roman" w:hAnsi="Times New Roman"/>
        </w:rPr>
        <w:t xml:space="preserve">Znak sprawy: BDG-WI.……………….2026</w:t>
      </w:r>
    </w:p>
    <w:p>
      <w:pPr>
        <w:spacing w:after="12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FORMULARZ SZACOWANIA WARTOŚCI ZAMÓWIENIA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/>
          <w:bCs/>
        </w:rPr>
        <w:t xml:space="preserve">Dodatkowa usługa wsparcia w celu bardziej zaawansowanego wykorzystania posiadanego rozwiązania SIEM (Wazuh) w GDOŚ na okres 12 miesięcy wraz ze szkoleniem z obsługi rozwiązania SIEM</w:t>
      </w:r>
    </w:p>
    <w:p>
      <w:pPr>
        <w:keepNext/>
        <w:spacing w:after="120" w:before="120"/>
        <w:jc w:val="left"/>
      </w:pPr>
      <w:r>
        <w:rPr>
          <w:rFonts w:ascii="Times New Roman" w:cs="Times New Roman" w:eastAsia="Times New Roman" w:hAnsi="Times New Roman"/>
          <w:b/>
          <w:bCs/>
        </w:rPr>
        <w:t xml:space="preserve">1. Dane podmiotu składającego wycenę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72"/>
      </w:tblGrid>
      <w:tr>
        <w:trPr>
          <w:cantSplit/>
          <w:tblHeader w:val="false"/>
        </w:trP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Nazwa podmiotu</w:t>
            </w:r>
          </w:p>
        </w:tc>
        <w:tc>
          <w:tcPr>
            <w:tcW w:type="dxa" w:w="60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Adres</w:t>
            </w:r>
          </w:p>
        </w:tc>
        <w:tc>
          <w:tcPr>
            <w:tcW w:type="dxa" w:w="60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NIP</w:t>
            </w:r>
          </w:p>
        </w:tc>
        <w:tc>
          <w:tcPr>
            <w:tcW w:type="dxa" w:w="60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Osoba do kontaktu</w:t>
            </w:r>
          </w:p>
        </w:tc>
        <w:tc>
          <w:tcPr>
            <w:tcW w:type="dxa" w:w="60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Telefon / e-mail</w:t>
            </w:r>
          </w:p>
        </w:tc>
        <w:tc>
          <w:tcPr>
            <w:tcW w:type="dxa" w:w="60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</w:tbl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</w:rPr>
        <w:t xml:space="preserve">2. Szacunkowa wycena</w:t>
      </w:r>
    </w:p>
    <w:p>
      <w:pPr>
        <w:spacing w:after="100" w:before="0" w:line="264"/>
        <w:jc w:val="both"/>
      </w:pPr>
      <w:r>
        <w:rPr>
          <w:rFonts w:ascii="Times New Roman" w:cs="Times New Roman" w:eastAsia="Times New Roman" w:hAnsi="Times New Roman"/>
        </w:rPr>
        <w:t xml:space="preserve">Szacujemy wartość wykonania pełnego zakresu przedmiotu zamówienia, określonego w Opisie Przedmiotu Zamówienia (zał. nr 1) i w projektowanych postanowieniach umowy (zał. nr 2), na kwotę: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"/>
        <w:gridCol w:w="2472"/>
        <w:gridCol w:w="1000"/>
        <w:gridCol w:w="550"/>
        <w:gridCol w:w="1150"/>
        <w:gridCol w:w="1150"/>
        <w:gridCol w:w="700"/>
        <w:gridCol w:w="1600"/>
      </w:tblGrid>
      <w:tr>
        <w:trPr>
          <w:cantSplit/>
          <w:tblHeader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Lp.</w:t>
            </w:r>
          </w:p>
        </w:tc>
        <w:tc>
          <w:tcPr>
            <w:tcW w:type="dxa" w:w="24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Element zamówienia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Jedn.</w:t>
            </w:r>
          </w:p>
        </w:tc>
        <w:tc>
          <w:tcPr>
            <w:tcW w:type="dxa" w:w="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Ilość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Cena jedn. netto [zł]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Wartość netto [zł]</w:t>
            </w: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VAT [%]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Wartość brutto [zł]</w:t>
            </w:r>
          </w:p>
        </w:tc>
      </w:tr>
      <w:tr>
        <w:trPr>
          <w:cantSplit/>
          <w:tblHeader w:val="false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4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Etap I – aktualizacja Systemu i wdrożenie monitorowania do 50 serwerów, w tym powiadomienia e-mail, import Paczek SOC i retencja wielopoziomowa (OPZ rozdz. III), wynagrodzenie ryczałtowe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usługa</w:t>
            </w:r>
          </w:p>
        </w:tc>
        <w:tc>
          <w:tcPr>
            <w:tcW w:type="dxa" w:w="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</w:tr>
      <w:tr>
        <w:trPr>
          <w:cantSplit/>
          <w:tblHeader w:val="false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4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Etap II – Szkolenie online, 2 dni × 8 h, do 7 osób (OPZ rozdz. IV)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szkolenie</w:t>
            </w:r>
          </w:p>
        </w:tc>
        <w:tc>
          <w:tcPr>
            <w:tcW w:type="dxa" w:w="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</w:tr>
      <w:tr>
        <w:trPr>
          <w:cantSplit/>
          <w:tblHeader w:val="false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4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Etap III – Usługa wsparcia, 12 miesięcy (OPZ rozdz. V)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rbh</w:t>
            </w:r>
          </w:p>
        </w:tc>
        <w:tc>
          <w:tcPr>
            <w:tcW w:type="dxa" w:w="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60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</w:tr>
      <w:tr>
        <w:trPr>
          <w:cantSplit/>
          <w:tblHeader w:val="false"/>
        </w:trPr>
        <w:tc>
          <w:tcPr>
            <w:tcW w:type="dxa" w:w="4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</w:p>
        </w:tc>
        <w:tc>
          <w:tcPr>
            <w:tcW w:type="dxa" w:w="24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RAZEM (poz. 1–3)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</w:p>
        </w:tc>
        <w:tc>
          <w:tcPr>
            <w:tcW w:type="dxa" w:w="5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  <w:tc>
          <w:tcPr>
            <w:tcW w:type="dxa" w:w="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center"/>
            </w:pP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right"/>
            </w:pPr>
          </w:p>
        </w:tc>
      </w:tr>
    </w:tbl>
    <w:p>
      <w:pPr>
        <w:spacing w:after="100" w:before="120" w:line="264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Ceny należy podać z dokładnością do dwóch miejsc po przecinku. Wartość netto = ilość × cena jednostkowa netto. Stawkę VAT dla poz. 1 i 3 ustala podmiot składający wycenę. Szkolenie (poz. 2) jest finansowane w całości ze środków publicznych i korzysta ze zwolnienia z VAT (art. 43 ust. 1 pkt 29 lit. c ustawy o podatku od towarów i usług) – w kolumnie VAT należy wpisać „zw.”; Zamawiający złoży stosowne oświadczenie (załącznik nr 8 do umowy).</w:t>
      </w:r>
    </w:p>
    <w:p>
      <w:pPr>
        <w:spacing w:after="100" w:before="0" w:line="264"/>
        <w:jc w:val="both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Wycena obejmuje wszystkie koszty realizacji, w tym: Koncepcję wdrożenia, aktualizację i konfigurację Systemu, wdrożenie Agentów, powiadomień, importu logów i retencji, testy, 12-miesięczną gwarancję, dokumentację powykonawczą, platformę i materiały szkoleniowe, certyfikaty, raporty, oznakowanie KPO oraz przeniesienie autorskich praw majątkowych.</w:t>
      </w:r>
    </w:p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</w:rPr>
        <w:t xml:space="preserve">3. Informacje uzupełniające (nieobowiązkowe)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72"/>
      </w:tblGrid>
      <w:tr>
        <w:trPr>
          <w:cantSplit/>
          <w:tblHeader w:val="false"/>
        </w:trP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Szacowana pracochłonność Etapu I [rbh]</w:t>
            </w:r>
          </w:p>
        </w:tc>
        <w:tc>
          <w:tcPr>
            <w:tcW w:type="dxa" w:w="45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Realny czas realizacji Etapu I od dnia zawarcia umowy [dni]</w:t>
            </w:r>
          </w:p>
        </w:tc>
        <w:tc>
          <w:tcPr>
            <w:tcW w:type="dxa" w:w="45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Rekomendowane zasoby serwerowe (vCPU / RAM / dysk) oraz szacowana pojemność repozytorium archiwalnego dla 24 miesięcy retencji</w:t>
            </w:r>
          </w:p>
        </w:tc>
        <w:tc>
          <w:tcPr>
            <w:tcW w:type="dxa" w:w="45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Najwcześniejszy możliwy termin rozpoczęcia prac</w:t>
            </w:r>
          </w:p>
        </w:tc>
        <w:tc>
          <w:tcPr>
            <w:tcW w:type="dxa" w:w="45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Uwagi do zasad zgłaszania i SLA Etapu III (reakcja 4 h robocze, realizacja 2 dni robocze)</w:t>
            </w:r>
          </w:p>
        </w:tc>
        <w:tc>
          <w:tcPr>
            <w:tcW w:type="dxa" w:w="45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Liczba wdrożeń Wazuh z udziałem proponowanego inżyniera w ostatnich 3 latach, w tym w jednostkach powyżej 100 użytkowników</w:t>
            </w:r>
          </w:p>
        </w:tc>
        <w:tc>
          <w:tcPr>
            <w:tcW w:type="dxa" w:w="45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Uwagi do OPZ i projektowanych postanowień umowy (wskazać punkt / paragraf)</w:t>
            </w:r>
          </w:p>
        </w:tc>
        <w:tc>
          <w:tcPr>
            <w:tcW w:type="dxa" w:w="457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spacing w:after="40" w:before="40"/>
              <w:jc w:val="left"/>
            </w:pPr>
          </w:p>
          <w:p>
            <w:pPr>
              <w:spacing w:after="40" w:before="40"/>
              <w:jc w:val="left"/>
            </w:pPr>
          </w:p>
          <w:p>
            <w:pPr>
              <w:spacing w:after="40" w:before="40"/>
              <w:jc w:val="left"/>
            </w:pPr>
          </w:p>
        </w:tc>
      </w:tr>
    </w:tbl>
    <w:p>
      <w:pPr>
        <w:keepNext/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</w:rPr>
        <w:t xml:space="preserve">4. Oświadczenie</w:t>
      </w:r>
    </w:p>
    <w:p>
      <w:pPr>
        <w:spacing w:after="100" w:before="0" w:line="264"/>
        <w:jc w:val="both"/>
      </w:pPr>
      <w:r>
        <w:rPr>
          <w:rFonts w:ascii="Times New Roman" w:cs="Times New Roman" w:eastAsia="Times New Roman" w:hAnsi="Times New Roman"/>
        </w:rPr>
        <w:t xml:space="preserve">Oświadczam, że wycena ma charakter wyłącznie szacunkowy, służy ustaleniu wartości zamówienia i nie stanowi oferty w rozumieniu art. 66 Kodeksu cywilnego. Złożenie wyceny nie jest warunkiem udziału w postępowaniu o udzielenie zamówienia.</w:t>
      </w:r>
    </w:p>
    <w:p>
      <w:pPr>
        <w:spacing w:after="0"/>
      </w:pPr>
    </w:p>
    <w:p>
      <w:pPr>
        <w:spacing w:after="100" w:before="360" w:line="264"/>
        <w:jc w:val="left"/>
      </w:pPr>
      <w:r>
        <w:rPr>
          <w:rFonts w:ascii="Times New Roman" w:cs="Times New Roman" w:eastAsia="Times New Roman" w:hAnsi="Times New Roman"/>
        </w:rPr>
        <w:t xml:space="preserve">……………………………, dnia ………………… 2026 r.                     ………………………………………</w:t>
      </w:r>
    </w:p>
    <w:p>
      <w:pPr>
        <w:jc w:val="right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(podpis osoby upoważnionej)</w:t>
      </w:r>
    </w:p>
    <w:sectPr>
      <w:headerReference w:type="default" r:id="rId7"/>
      <w:footerReference w:type="default" r:id="rId8"/>
      <w:pgSz w:w="11906" w:h="16838" w:orient="portrait"/>
      <w:pgMar w:top="1276" w:right="1417" w:bottom="1417" w:left="1417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Załącznik nr 3 – Formularz szacowania – str.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z </w:t>
    </w: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20"/>
      <w:jc w:val="center"/>
    </w:pPr>
    <w:r>
      <w:drawing>
        <wp:inline distT="0" distB="0" distL="0" distR="0">
          <wp:extent cx="5715000" cy="733425"/>
          <wp:effectExtent t="0" r="0" b="0" l="0"/>
          <wp:docPr id="1" name="belka_kpo" descr="Krajowy Plan Odbudowy, Rzeczpospolita Polska, Sfinansowane przez Unię Europejską NextGenerationEU" title="Belka K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f2fd83d631a0aef4a933d970ad6a250a5cc5ef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szacowania – SIEM Wazuh</dc:title>
  <dc:creator>GDOŚ – Wydział Informatyki</dc:creator>
  <cp:lastModifiedBy>Un-named</cp:lastModifiedBy>
  <cp:revision>1</cp:revision>
  <dcterms:created xsi:type="dcterms:W3CDTF">2026-10-19T16:49:58.774Z</dcterms:created>
  <dcterms:modified xsi:type="dcterms:W3CDTF">2026-10-19T16:49:58.774Z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