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1A243E" w14:textId="6A9B93F6" w:rsidR="00080D34" w:rsidRDefault="00836ACE" w:rsidP="005D1CDF">
      <w:pPr>
        <w:spacing w:line="300" w:lineRule="auto"/>
        <w:ind w:left="-426"/>
        <w:rPr>
          <w:rFonts w:cs="Arial"/>
          <w:b/>
          <w:color w:val="2F5496" w:themeColor="accent5" w:themeShade="BF"/>
          <w:sz w:val="40"/>
          <w:szCs w:val="64"/>
          <w14:shadow w14:blurRad="50800" w14:dist="38100" w14:dir="2700000" w14:sx="100000" w14:sy="100000" w14:kx="0" w14:ky="0" w14:algn="tl">
            <w14:srgbClr w14:val="000000">
              <w14:alpha w14:val="60000"/>
            </w14:srgbClr>
          </w14:shadow>
        </w:rPr>
      </w:pPr>
      <w:bookmarkStart w:id="0" w:name="_GoBack"/>
      <w:bookmarkEnd w:id="0"/>
      <w:r w:rsidRPr="004258C0">
        <w:rPr>
          <w:noProof/>
          <w:lang w:eastAsia="pl-PL"/>
        </w:rPr>
        <w:drawing>
          <wp:inline distT="0" distB="0" distL="0" distR="0" wp14:anchorId="742D620D" wp14:editId="535C0F84">
            <wp:extent cx="4950402" cy="2820838"/>
            <wp:effectExtent l="0" t="0" r="3175" b="0"/>
            <wp:docPr id="10" name="Obraz 10" descr="C:\Users\msodul\AppData\Local\Microsoft\Windows\Temporary Internet Files\Content.Outlook\CQ093PTC\Sprawne Państwo 2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odul\AppData\Local\Microsoft\Windows\Temporary Internet Files\Content.Outlook\CQ093PTC\Sprawne Państwo 203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38441" cy="2927986"/>
                    </a:xfrm>
                    <a:prstGeom prst="rect">
                      <a:avLst/>
                    </a:prstGeom>
                    <a:noFill/>
                    <a:ln>
                      <a:noFill/>
                    </a:ln>
                  </pic:spPr>
                </pic:pic>
              </a:graphicData>
            </a:graphic>
          </wp:inline>
        </w:drawing>
      </w:r>
      <w:r w:rsidR="005D1CDF">
        <w:rPr>
          <w:rFonts w:cs="Arial"/>
          <w:b/>
          <w:color w:val="2F5496" w:themeColor="accent5" w:themeShade="BF"/>
          <w:sz w:val="40"/>
          <w:szCs w:val="64"/>
          <w14:shadow w14:blurRad="50800" w14:dist="38100" w14:dir="2700000" w14:sx="100000" w14:sy="100000" w14:kx="0" w14:ky="0" w14:algn="tl">
            <w14:srgbClr w14:val="000000">
              <w14:alpha w14:val="60000"/>
            </w14:srgbClr>
          </w14:shadow>
        </w:rPr>
        <w:t xml:space="preserve">           </w:t>
      </w:r>
      <w:r w:rsidR="008A421D" w:rsidRPr="00F21196">
        <w:rPr>
          <w:rFonts w:cs="Arial"/>
          <w:b/>
          <w:color w:val="2F5496" w:themeColor="accent5" w:themeShade="BF"/>
          <w:sz w:val="40"/>
          <w:szCs w:val="64"/>
          <w14:shadow w14:blurRad="50800" w14:dist="38100" w14:dir="2700000" w14:sx="100000" w14:sy="100000" w14:kx="0" w14:ky="0" w14:algn="tl">
            <w14:srgbClr w14:val="000000">
              <w14:alpha w14:val="60000"/>
            </w14:srgbClr>
          </w14:shadow>
        </w:rPr>
        <w:t>P</w:t>
      </w:r>
      <w:r w:rsidR="00080D34" w:rsidRPr="00F21196">
        <w:rPr>
          <w:rFonts w:cs="Arial"/>
          <w:b/>
          <w:color w:val="2F5496" w:themeColor="accent5" w:themeShade="BF"/>
          <w:sz w:val="40"/>
          <w:szCs w:val="64"/>
          <w14:shadow w14:blurRad="50800" w14:dist="38100" w14:dir="2700000" w14:sx="100000" w14:sy="100000" w14:kx="0" w14:ky="0" w14:algn="tl">
            <w14:srgbClr w14:val="000000">
              <w14:alpha w14:val="60000"/>
            </w14:srgbClr>
          </w14:shadow>
        </w:rPr>
        <w:t>rojekt</w:t>
      </w:r>
    </w:p>
    <w:p w14:paraId="5BED42B4" w14:textId="561A80FB" w:rsidR="008A421D" w:rsidRPr="008A421D" w:rsidRDefault="008A421D" w:rsidP="00080D34">
      <w:pPr>
        <w:spacing w:line="300" w:lineRule="auto"/>
        <w:jc w:val="right"/>
        <w:rPr>
          <w:rFonts w:cs="Arial"/>
          <w:i/>
          <w:sz w:val="20"/>
          <w:szCs w:val="18"/>
          <w14:shadow w14:blurRad="50800" w14:dist="38100" w14:dir="2700000" w14:sx="100000" w14:sy="100000" w14:kx="0" w14:ky="0" w14:algn="tl">
            <w14:srgbClr w14:val="000000">
              <w14:alpha w14:val="60000"/>
            </w14:srgbClr>
          </w14:shadow>
        </w:rPr>
      </w:pPr>
    </w:p>
    <w:p w14:paraId="3824C79C" w14:textId="77777777" w:rsidR="00432EB3" w:rsidRDefault="00432EB3" w:rsidP="00432EB3">
      <w:pPr>
        <w:spacing w:after="120" w:line="240" w:lineRule="auto"/>
        <w:jc w:val="center"/>
        <w:rPr>
          <w:rFonts w:cs="Arial"/>
          <w:b/>
          <w:color w:val="2F5496" w:themeColor="accent5" w:themeShade="BF"/>
          <w:sz w:val="72"/>
          <w:szCs w:val="56"/>
          <w14:shadow w14:blurRad="50800" w14:dist="38100" w14:dir="2700000" w14:sx="100000" w14:sy="100000" w14:kx="0" w14:ky="0" w14:algn="tl">
            <w14:srgbClr w14:val="000000">
              <w14:alpha w14:val="60000"/>
            </w14:srgbClr>
          </w14:shadow>
        </w:rPr>
      </w:pPr>
    </w:p>
    <w:p w14:paraId="760A8BCD" w14:textId="77777777" w:rsidR="00080D34" w:rsidRPr="00F21196" w:rsidRDefault="00080D34" w:rsidP="00432EB3">
      <w:pPr>
        <w:spacing w:after="120" w:line="240" w:lineRule="auto"/>
        <w:jc w:val="center"/>
        <w:rPr>
          <w:rFonts w:cs="Arial"/>
          <w:b/>
          <w:color w:val="2F5496" w:themeColor="accent5" w:themeShade="BF"/>
          <w:sz w:val="72"/>
          <w:szCs w:val="56"/>
          <w14:shadow w14:blurRad="50800" w14:dist="38100" w14:dir="2700000" w14:sx="100000" w14:sy="100000" w14:kx="0" w14:ky="0" w14:algn="tl">
            <w14:srgbClr w14:val="000000">
              <w14:alpha w14:val="60000"/>
            </w14:srgbClr>
          </w14:shadow>
        </w:rPr>
      </w:pPr>
      <w:r w:rsidRPr="00F21196">
        <w:rPr>
          <w:rFonts w:cs="Arial"/>
          <w:b/>
          <w:color w:val="2F5496" w:themeColor="accent5" w:themeShade="BF"/>
          <w:sz w:val="72"/>
          <w:szCs w:val="56"/>
          <w14:shadow w14:blurRad="50800" w14:dist="38100" w14:dir="2700000" w14:sx="100000" w14:sy="100000" w14:kx="0" w14:ky="0" w14:algn="tl">
            <w14:srgbClr w14:val="000000">
              <w14:alpha w14:val="60000"/>
            </w14:srgbClr>
          </w14:shadow>
        </w:rPr>
        <w:t>Strategia</w:t>
      </w:r>
    </w:p>
    <w:p w14:paraId="0DA23967" w14:textId="77777777" w:rsidR="009174B1" w:rsidRPr="00F21196" w:rsidRDefault="00080D34" w:rsidP="00432EB3">
      <w:pPr>
        <w:spacing w:after="120" w:line="240" w:lineRule="auto"/>
        <w:jc w:val="center"/>
        <w:rPr>
          <w:rFonts w:cs="Arial"/>
          <w:b/>
          <w:color w:val="C45911" w:themeColor="accent2" w:themeShade="BF"/>
          <w:sz w:val="72"/>
          <w:szCs w:val="56"/>
          <w14:shadow w14:blurRad="50800" w14:dist="38100" w14:dir="2700000" w14:sx="100000" w14:sy="100000" w14:kx="0" w14:ky="0" w14:algn="tl">
            <w14:srgbClr w14:val="000000">
              <w14:alpha w14:val="60000"/>
            </w14:srgbClr>
          </w14:shadow>
        </w:rPr>
      </w:pPr>
      <w:r w:rsidRPr="00F21196">
        <w:rPr>
          <w:rFonts w:cs="Arial"/>
          <w:b/>
          <w:color w:val="538135" w:themeColor="accent6" w:themeShade="BF"/>
          <w:sz w:val="72"/>
          <w:szCs w:val="56"/>
          <w14:shadow w14:blurRad="50800" w14:dist="38100" w14:dir="2700000" w14:sx="100000" w14:sy="100000" w14:kx="0" w14:ky="0" w14:algn="tl">
            <w14:srgbClr w14:val="000000">
              <w14:alpha w14:val="60000"/>
            </w14:srgbClr>
          </w14:shadow>
        </w:rPr>
        <w:t>S</w:t>
      </w:r>
      <w:r w:rsidRPr="00F21196">
        <w:rPr>
          <w:rFonts w:cs="Arial"/>
          <w:b/>
          <w:color w:val="2F5496" w:themeColor="accent5" w:themeShade="BF"/>
          <w:sz w:val="56"/>
          <w:szCs w:val="56"/>
          <w14:shadow w14:blurRad="50800" w14:dist="38100" w14:dir="2700000" w14:sx="100000" w14:sy="100000" w14:kx="0" w14:ky="0" w14:algn="tl">
            <w14:srgbClr w14:val="000000">
              <w14:alpha w14:val="60000"/>
            </w14:srgbClr>
          </w14:shadow>
        </w:rPr>
        <w:t xml:space="preserve">prawne </w:t>
      </w:r>
      <w:r w:rsidR="00311DF1" w:rsidRPr="00F21196">
        <w:rPr>
          <w:rFonts w:cs="Arial"/>
          <w:b/>
          <w:color w:val="2F5496" w:themeColor="accent5" w:themeShade="BF"/>
          <w:sz w:val="56"/>
          <w:szCs w:val="56"/>
          <w14:shadow w14:blurRad="50800" w14:dist="38100" w14:dir="2700000" w14:sx="100000" w14:sy="100000" w14:kx="0" w14:ky="0" w14:algn="tl">
            <w14:srgbClr w14:val="000000">
              <w14:alpha w14:val="60000"/>
            </w14:srgbClr>
          </w14:shadow>
        </w:rPr>
        <w:t xml:space="preserve">i </w:t>
      </w:r>
      <w:r w:rsidR="00311DF1" w:rsidRPr="00F21196">
        <w:rPr>
          <w:rFonts w:cs="Arial"/>
          <w:b/>
          <w:color w:val="00CC99"/>
          <w:sz w:val="72"/>
          <w:szCs w:val="56"/>
          <w14:shadow w14:blurRad="50800" w14:dist="38100" w14:dir="2700000" w14:sx="100000" w14:sy="100000" w14:kx="0" w14:ky="0" w14:algn="tl">
            <w14:srgbClr w14:val="000000">
              <w14:alpha w14:val="60000"/>
            </w14:srgbClr>
          </w14:shadow>
        </w:rPr>
        <w:t>N</w:t>
      </w:r>
      <w:r w:rsidR="00311DF1" w:rsidRPr="00F21196">
        <w:rPr>
          <w:rFonts w:cs="Arial"/>
          <w:b/>
          <w:color w:val="2F5496" w:themeColor="accent5" w:themeShade="BF"/>
          <w:sz w:val="56"/>
          <w:szCs w:val="56"/>
          <w14:shadow w14:blurRad="50800" w14:dist="38100" w14:dir="2700000" w14:sx="100000" w14:sy="100000" w14:kx="0" w14:ky="0" w14:algn="tl">
            <w14:srgbClr w14:val="000000">
              <w14:alpha w14:val="60000"/>
            </w14:srgbClr>
          </w14:shadow>
        </w:rPr>
        <w:t xml:space="preserve">owoczesne </w:t>
      </w:r>
      <w:r w:rsidRPr="00F21196">
        <w:rPr>
          <w:rFonts w:cs="Arial"/>
          <w:b/>
          <w:color w:val="8EAADB" w:themeColor="accent5" w:themeTint="99"/>
          <w:sz w:val="72"/>
          <w:szCs w:val="56"/>
          <w14:shadow w14:blurRad="50800" w14:dist="38100" w14:dir="2700000" w14:sx="100000" w14:sy="100000" w14:kx="0" w14:ky="0" w14:algn="tl">
            <w14:srgbClr w14:val="000000">
              <w14:alpha w14:val="60000"/>
            </w14:srgbClr>
          </w14:shadow>
        </w:rPr>
        <w:t>P</w:t>
      </w:r>
      <w:r w:rsidRPr="00F21196">
        <w:rPr>
          <w:rFonts w:cs="Arial"/>
          <w:b/>
          <w:color w:val="2F5496" w:themeColor="accent5" w:themeShade="BF"/>
          <w:sz w:val="56"/>
          <w:szCs w:val="56"/>
          <w14:shadow w14:blurRad="50800" w14:dist="38100" w14:dir="2700000" w14:sx="100000" w14:sy="100000" w14:kx="0" w14:ky="0" w14:algn="tl">
            <w14:srgbClr w14:val="000000">
              <w14:alpha w14:val="60000"/>
            </w14:srgbClr>
          </w14:shadow>
        </w:rPr>
        <w:t xml:space="preserve">aństwo </w:t>
      </w:r>
      <w:r w:rsidRPr="00F21196">
        <w:rPr>
          <w:rFonts w:cs="Arial"/>
          <w:b/>
          <w:color w:val="C45911" w:themeColor="accent2" w:themeShade="BF"/>
          <w:sz w:val="72"/>
          <w:szCs w:val="56"/>
          <w14:shadow w14:blurRad="50800" w14:dist="38100" w14:dir="2700000" w14:sx="100000" w14:sy="100000" w14:kx="0" w14:ky="0" w14:algn="tl">
            <w14:srgbClr w14:val="000000">
              <w14:alpha w14:val="60000"/>
            </w14:srgbClr>
          </w14:shadow>
        </w:rPr>
        <w:t>20</w:t>
      </w:r>
      <w:r w:rsidR="004643B5" w:rsidRPr="00F21196">
        <w:rPr>
          <w:rFonts w:cs="Arial"/>
          <w:b/>
          <w:color w:val="C45911" w:themeColor="accent2" w:themeShade="BF"/>
          <w:sz w:val="72"/>
          <w:szCs w:val="56"/>
          <w14:shadow w14:blurRad="50800" w14:dist="38100" w14:dir="2700000" w14:sx="100000" w14:sy="100000" w14:kx="0" w14:ky="0" w14:algn="tl">
            <w14:srgbClr w14:val="000000">
              <w14:alpha w14:val="60000"/>
            </w14:srgbClr>
          </w14:shadow>
        </w:rPr>
        <w:t>30</w:t>
      </w:r>
      <w:r w:rsidRPr="00F21196">
        <w:rPr>
          <w:rFonts w:cs="Arial"/>
          <w:b/>
          <w:color w:val="C45911" w:themeColor="accent2" w:themeShade="BF"/>
          <w:sz w:val="72"/>
          <w:szCs w:val="56"/>
          <w14:shadow w14:blurRad="50800" w14:dist="38100" w14:dir="2700000" w14:sx="100000" w14:sy="100000" w14:kx="0" w14:ky="0" w14:algn="tl">
            <w14:srgbClr w14:val="000000">
              <w14:alpha w14:val="60000"/>
            </w14:srgbClr>
          </w14:shadow>
        </w:rPr>
        <w:t xml:space="preserve"> </w:t>
      </w:r>
    </w:p>
    <w:p w14:paraId="20B93FEF" w14:textId="77777777" w:rsidR="00432EB3" w:rsidRDefault="00432EB3" w:rsidP="00080D34">
      <w:pPr>
        <w:jc w:val="center"/>
        <w:rPr>
          <w:rFonts w:cs="Arial"/>
          <w:b/>
          <w:color w:val="FF0000"/>
          <w:sz w:val="72"/>
          <w:szCs w:val="56"/>
          <w14:shadow w14:blurRad="50800" w14:dist="38100" w14:dir="2700000" w14:sx="100000" w14:sy="100000" w14:kx="0" w14:ky="0" w14:algn="tl">
            <w14:srgbClr w14:val="000000">
              <w14:alpha w14:val="60000"/>
            </w14:srgbClr>
          </w14:shadow>
        </w:rPr>
      </w:pPr>
    </w:p>
    <w:p w14:paraId="7DD6826C" w14:textId="77777777" w:rsidR="00432EB3" w:rsidRPr="00F21196" w:rsidRDefault="00432EB3" w:rsidP="00080D34">
      <w:pPr>
        <w:jc w:val="center"/>
        <w:rPr>
          <w:rFonts w:cs="Arial"/>
          <w:b/>
          <w:color w:val="FF0000"/>
          <w:sz w:val="72"/>
          <w:szCs w:val="56"/>
          <w14:shadow w14:blurRad="50800" w14:dist="38100" w14:dir="2700000" w14:sx="100000" w14:sy="100000" w14:kx="0" w14:ky="0" w14:algn="tl">
            <w14:srgbClr w14:val="000000">
              <w14:alpha w14:val="60000"/>
            </w14:srgbClr>
          </w14:shadow>
        </w:rPr>
      </w:pPr>
    </w:p>
    <w:p w14:paraId="295657D5" w14:textId="77777777" w:rsidR="00080D34" w:rsidRPr="00F21196" w:rsidRDefault="00080D34" w:rsidP="00080D34">
      <w:pPr>
        <w:spacing w:line="312" w:lineRule="auto"/>
        <w:jc w:val="center"/>
        <w:rPr>
          <w:rFonts w:cs="Arial"/>
          <w:sz w:val="20"/>
          <w:szCs w:val="20"/>
        </w:rPr>
      </w:pPr>
    </w:p>
    <w:p w14:paraId="70743DC0" w14:textId="77777777" w:rsidR="00080D34" w:rsidRPr="00F21196" w:rsidRDefault="00080D34" w:rsidP="00080D34">
      <w:pPr>
        <w:spacing w:line="312" w:lineRule="auto"/>
        <w:jc w:val="center"/>
        <w:rPr>
          <w:rFonts w:cs="Arial"/>
          <w:sz w:val="20"/>
          <w:szCs w:val="20"/>
        </w:rPr>
      </w:pPr>
    </w:p>
    <w:p w14:paraId="3671D182" w14:textId="77777777" w:rsidR="00080D34" w:rsidRPr="00F21196" w:rsidRDefault="00080D34" w:rsidP="00080D34">
      <w:pPr>
        <w:spacing w:line="312" w:lineRule="auto"/>
        <w:jc w:val="center"/>
        <w:rPr>
          <w:rFonts w:cs="Arial"/>
          <w:sz w:val="20"/>
          <w:szCs w:val="20"/>
        </w:rPr>
      </w:pPr>
    </w:p>
    <w:p w14:paraId="477F2B4A" w14:textId="2F7D6D07" w:rsidR="00080D34" w:rsidRPr="00F21196" w:rsidRDefault="00080D34" w:rsidP="00080D34">
      <w:pPr>
        <w:spacing w:line="312" w:lineRule="auto"/>
        <w:jc w:val="center"/>
        <w:rPr>
          <w:rFonts w:cs="Arial"/>
          <w:sz w:val="20"/>
          <w:szCs w:val="20"/>
        </w:rPr>
      </w:pPr>
      <w:r w:rsidRPr="00F21196">
        <w:rPr>
          <w:rFonts w:cs="Arial"/>
          <w:sz w:val="20"/>
          <w:szCs w:val="20"/>
        </w:rPr>
        <w:t xml:space="preserve">Warszawa, </w:t>
      </w:r>
      <w:r w:rsidR="005A13D6">
        <w:rPr>
          <w:rFonts w:cs="Arial"/>
          <w:sz w:val="20"/>
          <w:szCs w:val="20"/>
        </w:rPr>
        <w:t xml:space="preserve">listopad </w:t>
      </w:r>
      <w:r w:rsidR="001F299D">
        <w:rPr>
          <w:rFonts w:cs="Arial"/>
          <w:sz w:val="20"/>
          <w:szCs w:val="20"/>
        </w:rPr>
        <w:t>2020</w:t>
      </w:r>
      <w:r w:rsidR="002104B2">
        <w:rPr>
          <w:rFonts w:cs="Arial"/>
          <w:sz w:val="20"/>
          <w:szCs w:val="20"/>
        </w:rPr>
        <w:t xml:space="preserve"> r.</w:t>
      </w:r>
    </w:p>
    <w:p w14:paraId="74AC7F29" w14:textId="77777777" w:rsidR="002A3352" w:rsidRPr="00F21196" w:rsidRDefault="002A3352">
      <w:pPr>
        <w:rPr>
          <w:rFonts w:eastAsia="Times New Roman" w:cs="Times New Roman"/>
          <w:b/>
          <w:bCs/>
          <w:color w:val="2F5496" w:themeColor="accent5" w:themeShade="BF"/>
          <w:sz w:val="28"/>
          <w:lang w:eastAsia="pl-PL"/>
        </w:rPr>
      </w:pPr>
      <w:r w:rsidRPr="00F21196">
        <w:rPr>
          <w:color w:val="2F5496" w:themeColor="accent5" w:themeShade="BF"/>
        </w:rPr>
        <w:br w:type="page"/>
      </w:r>
    </w:p>
    <w:p w14:paraId="18973A76" w14:textId="77777777" w:rsidR="00E77BE1" w:rsidRPr="00F21196" w:rsidRDefault="00E77BE1" w:rsidP="002C362D">
      <w:pPr>
        <w:pStyle w:val="Nagwekspisutreci"/>
        <w:shd w:val="clear" w:color="auto" w:fill="DEEAF6" w:themeFill="accent1" w:themeFillTint="33"/>
        <w:spacing w:before="0" w:after="120"/>
        <w:rPr>
          <w:rFonts w:asciiTheme="minorHAnsi" w:hAnsiTheme="minorHAnsi"/>
          <w:color w:val="auto"/>
          <w:sz w:val="24"/>
          <w:szCs w:val="22"/>
        </w:rPr>
      </w:pPr>
      <w:r w:rsidRPr="00F21196">
        <w:rPr>
          <w:rFonts w:asciiTheme="minorHAnsi" w:hAnsiTheme="minorHAnsi"/>
          <w:color w:val="auto"/>
          <w:sz w:val="24"/>
          <w:szCs w:val="22"/>
        </w:rPr>
        <w:lastRenderedPageBreak/>
        <w:t>Spis treści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843"/>
      </w:tblGrid>
      <w:tr w:rsidR="002C362D" w:rsidRPr="00F21196" w14:paraId="16E84CA9" w14:textId="77777777" w:rsidTr="002A7196">
        <w:trPr>
          <w:cantSplit/>
          <w:trHeight w:val="12157"/>
        </w:trPr>
        <w:tc>
          <w:tcPr>
            <w:tcW w:w="8784" w:type="dxa"/>
          </w:tcPr>
          <w:p w14:paraId="7CAA905D" w14:textId="77777777" w:rsidR="002C362D" w:rsidRPr="00F21196" w:rsidRDefault="002C362D" w:rsidP="002C362D">
            <w:pPr>
              <w:rPr>
                <w:rFonts w:eastAsia="Times New Roman" w:cs="Calibri"/>
                <w:b/>
                <w:bCs/>
                <w:color w:val="2F5496" w:themeColor="accent5" w:themeShade="BF"/>
                <w:sz w:val="20"/>
                <w:lang w:eastAsia="pl-PL"/>
              </w:rPr>
            </w:pPr>
          </w:p>
          <w:p w14:paraId="36713546" w14:textId="77777777" w:rsidR="003516FB" w:rsidRPr="007863D6" w:rsidRDefault="003516FB" w:rsidP="002C362D">
            <w:pPr>
              <w:rPr>
                <w:rFonts w:eastAsia="Times New Roman" w:cs="Calibri"/>
                <w:b/>
                <w:bCs/>
                <w:sz w:val="20"/>
                <w:lang w:eastAsia="pl-PL"/>
              </w:rPr>
            </w:pPr>
            <w:r w:rsidRPr="007863D6">
              <w:rPr>
                <w:rFonts w:eastAsia="Times New Roman" w:cs="Calibri"/>
                <w:b/>
                <w:bCs/>
                <w:sz w:val="20"/>
                <w:lang w:eastAsia="pl-PL"/>
              </w:rPr>
              <w:t>WPROWADZENIE</w:t>
            </w:r>
          </w:p>
          <w:p w14:paraId="30159114" w14:textId="77777777" w:rsidR="003516FB" w:rsidRPr="007863D6" w:rsidRDefault="003516FB" w:rsidP="002C362D">
            <w:pPr>
              <w:rPr>
                <w:rFonts w:eastAsia="Times New Roman" w:cs="Calibri"/>
                <w:b/>
                <w:bCs/>
                <w:sz w:val="20"/>
                <w:lang w:eastAsia="pl-PL"/>
              </w:rPr>
            </w:pPr>
          </w:p>
          <w:p w14:paraId="466B6D27" w14:textId="77777777" w:rsidR="002C362D" w:rsidRPr="007863D6" w:rsidRDefault="003516FB" w:rsidP="002C362D">
            <w:pPr>
              <w:rPr>
                <w:rFonts w:eastAsia="Times New Roman" w:cs="Calibri"/>
                <w:b/>
                <w:bCs/>
                <w:sz w:val="20"/>
                <w:lang w:eastAsia="pl-PL"/>
              </w:rPr>
            </w:pPr>
            <w:r w:rsidRPr="007863D6">
              <w:rPr>
                <w:rFonts w:eastAsia="Times New Roman" w:cs="Calibri"/>
                <w:b/>
                <w:bCs/>
                <w:sz w:val="20"/>
                <w:lang w:eastAsia="pl-PL"/>
              </w:rPr>
              <w:t xml:space="preserve">I. </w:t>
            </w:r>
            <w:r w:rsidR="002C362D" w:rsidRPr="007863D6">
              <w:rPr>
                <w:rFonts w:eastAsia="Times New Roman" w:cs="Calibri"/>
                <w:b/>
                <w:bCs/>
                <w:sz w:val="20"/>
                <w:lang w:eastAsia="pl-PL"/>
              </w:rPr>
              <w:t>STRESZCZENIE</w:t>
            </w:r>
            <w:r w:rsidRPr="007863D6">
              <w:rPr>
                <w:rFonts w:eastAsia="Times New Roman" w:cs="Calibri"/>
                <w:b/>
                <w:bCs/>
                <w:sz w:val="20"/>
                <w:lang w:eastAsia="pl-PL"/>
              </w:rPr>
              <w:t xml:space="preserve"> </w:t>
            </w:r>
          </w:p>
          <w:p w14:paraId="2247568C" w14:textId="77777777" w:rsidR="003516FB" w:rsidRPr="007863D6" w:rsidRDefault="003516FB" w:rsidP="002C362D">
            <w:pPr>
              <w:rPr>
                <w:rFonts w:eastAsia="Times New Roman" w:cs="Calibri"/>
                <w:b/>
                <w:bCs/>
                <w:sz w:val="20"/>
                <w:lang w:eastAsia="pl-PL"/>
              </w:rPr>
            </w:pPr>
            <w:r w:rsidRPr="007863D6">
              <w:rPr>
                <w:rFonts w:eastAsia="Times New Roman" w:cs="Calibri"/>
                <w:b/>
                <w:bCs/>
                <w:sz w:val="20"/>
                <w:lang w:eastAsia="pl-PL"/>
              </w:rPr>
              <w:t>II. POWIĄZANIE STRATEGII Z DOKUMENTAMI STRATEGICZNYMI</w:t>
            </w:r>
          </w:p>
          <w:p w14:paraId="25D0097C" w14:textId="77777777" w:rsidR="003516FB" w:rsidRPr="007863D6" w:rsidRDefault="003516FB" w:rsidP="002C362D">
            <w:pPr>
              <w:rPr>
                <w:rFonts w:eastAsia="Times New Roman" w:cs="Calibri"/>
                <w:b/>
                <w:bCs/>
                <w:sz w:val="20"/>
                <w:lang w:eastAsia="pl-PL"/>
              </w:rPr>
            </w:pPr>
            <w:r w:rsidRPr="007863D6">
              <w:rPr>
                <w:rFonts w:eastAsia="Times New Roman" w:cs="Calibri"/>
                <w:b/>
                <w:bCs/>
                <w:sz w:val="20"/>
                <w:lang w:eastAsia="pl-PL"/>
              </w:rPr>
              <w:t>III. CEL GŁÓWNY I CELE SZCZEGÓŁ</w:t>
            </w:r>
            <w:r w:rsidR="0088393B" w:rsidRPr="007863D6">
              <w:rPr>
                <w:rFonts w:eastAsia="Times New Roman" w:cs="Calibri"/>
                <w:b/>
                <w:bCs/>
                <w:sz w:val="20"/>
                <w:lang w:eastAsia="pl-PL"/>
              </w:rPr>
              <w:t>O</w:t>
            </w:r>
            <w:r w:rsidRPr="007863D6">
              <w:rPr>
                <w:rFonts w:eastAsia="Times New Roman" w:cs="Calibri"/>
                <w:b/>
                <w:bCs/>
                <w:sz w:val="20"/>
                <w:lang w:eastAsia="pl-PL"/>
              </w:rPr>
              <w:t>WE</w:t>
            </w:r>
          </w:p>
          <w:p w14:paraId="39089E9B" w14:textId="77777777" w:rsidR="002C362D" w:rsidRPr="00F21196" w:rsidRDefault="002C362D" w:rsidP="003516FB">
            <w:pPr>
              <w:ind w:left="176"/>
              <w:rPr>
                <w:rFonts w:eastAsia="Times New Roman" w:cs="Calibri"/>
                <w:b/>
                <w:bCs/>
                <w:color w:val="000000" w:themeColor="text1"/>
                <w:sz w:val="20"/>
                <w:lang w:eastAsia="pl-PL"/>
              </w:rPr>
            </w:pPr>
            <w:r w:rsidRPr="00F21196">
              <w:rPr>
                <w:rFonts w:eastAsia="Times New Roman" w:cs="Calibri"/>
                <w:b/>
                <w:bCs/>
                <w:color w:val="000000" w:themeColor="text1"/>
                <w:sz w:val="20"/>
                <w:lang w:eastAsia="pl-PL"/>
              </w:rPr>
              <w:t xml:space="preserve">1. Cel główny </w:t>
            </w:r>
          </w:p>
          <w:p w14:paraId="1AB981DE" w14:textId="77777777" w:rsidR="002C362D" w:rsidRPr="00F21196" w:rsidRDefault="002C362D" w:rsidP="003516FB">
            <w:pPr>
              <w:ind w:left="176"/>
              <w:rPr>
                <w:b/>
                <w:sz w:val="20"/>
                <w:lang w:eastAsia="pl-PL"/>
              </w:rPr>
            </w:pPr>
            <w:r w:rsidRPr="00F21196">
              <w:rPr>
                <w:b/>
                <w:sz w:val="20"/>
                <w:lang w:eastAsia="pl-PL"/>
              </w:rPr>
              <w:t xml:space="preserve">2. Cele szczegółowe </w:t>
            </w:r>
          </w:p>
          <w:p w14:paraId="59B7E828" w14:textId="77777777" w:rsidR="002C362D" w:rsidRPr="00F21196" w:rsidRDefault="002C362D" w:rsidP="009248D2">
            <w:pPr>
              <w:spacing w:before="120" w:line="276" w:lineRule="auto"/>
              <w:ind w:left="602" w:hanging="284"/>
              <w:rPr>
                <w:rFonts w:cs="Calibri"/>
                <w:b/>
                <w:i/>
                <w:color w:val="2F5496" w:themeColor="accent5" w:themeShade="BF"/>
                <w:kern w:val="24"/>
                <w:sz w:val="20"/>
                <w:lang w:eastAsia="pl-PL"/>
              </w:rPr>
            </w:pPr>
            <w:r w:rsidRPr="00F21196">
              <w:rPr>
                <w:rFonts w:cs="Calibri"/>
                <w:b/>
                <w:color w:val="2F5496" w:themeColor="accent5" w:themeShade="BF"/>
                <w:kern w:val="24"/>
                <w:sz w:val="20"/>
                <w:lang w:eastAsia="pl-PL"/>
              </w:rPr>
              <w:t xml:space="preserve">Cel szczegółowy I. </w:t>
            </w:r>
            <w:r w:rsidRPr="00F21196">
              <w:rPr>
                <w:rFonts w:cs="Calibri"/>
                <w:b/>
                <w:i/>
                <w:color w:val="2F5496" w:themeColor="accent5" w:themeShade="BF"/>
                <w:kern w:val="24"/>
                <w:sz w:val="20"/>
                <w:lang w:eastAsia="pl-PL"/>
              </w:rPr>
              <w:t>Lepsze prawo</w:t>
            </w:r>
          </w:p>
          <w:p w14:paraId="7F521D72" w14:textId="77777777" w:rsidR="002C362D" w:rsidRPr="00F21196" w:rsidRDefault="002C362D" w:rsidP="002C362D">
            <w:pPr>
              <w:spacing w:line="276" w:lineRule="auto"/>
              <w:ind w:left="709"/>
              <w:rPr>
                <w:rFonts w:cs="Calibri"/>
                <w:b/>
                <w:i/>
                <w:color w:val="2F5496" w:themeColor="accent5" w:themeShade="BF"/>
                <w:kern w:val="24"/>
                <w:sz w:val="20"/>
                <w:lang w:eastAsia="pl-PL"/>
              </w:rPr>
            </w:pPr>
            <w:r w:rsidRPr="00F21196">
              <w:rPr>
                <w:rFonts w:cs="Calibri"/>
                <w:b/>
                <w:color w:val="2F5496" w:themeColor="accent5" w:themeShade="BF"/>
                <w:kern w:val="24"/>
                <w:sz w:val="20"/>
                <w:lang w:eastAsia="pl-PL"/>
              </w:rPr>
              <w:t xml:space="preserve">I.1. Diagnoza </w:t>
            </w:r>
          </w:p>
          <w:p w14:paraId="0C40933B" w14:textId="2BAE2B20" w:rsidR="002C362D" w:rsidRPr="00F21196" w:rsidRDefault="002C362D" w:rsidP="002C362D">
            <w:pPr>
              <w:spacing w:line="276" w:lineRule="auto"/>
              <w:ind w:left="709"/>
              <w:rPr>
                <w:rFonts w:cs="Calibri"/>
                <w:b/>
                <w:color w:val="2F5496" w:themeColor="accent5" w:themeShade="BF"/>
                <w:kern w:val="24"/>
                <w:sz w:val="20"/>
                <w:lang w:eastAsia="pl-PL"/>
              </w:rPr>
            </w:pPr>
            <w:r w:rsidRPr="00F21196">
              <w:rPr>
                <w:rFonts w:cs="Calibri"/>
                <w:b/>
                <w:color w:val="2F5496" w:themeColor="accent5" w:themeShade="BF"/>
                <w:kern w:val="24"/>
                <w:sz w:val="20"/>
                <w:lang w:eastAsia="pl-PL"/>
              </w:rPr>
              <w:t xml:space="preserve">I.2. Trendy rozwojowe i oczekiwane </w:t>
            </w:r>
            <w:r w:rsidR="00433F5E">
              <w:rPr>
                <w:rFonts w:cs="Calibri"/>
                <w:b/>
                <w:color w:val="2F5496" w:themeColor="accent5" w:themeShade="BF"/>
                <w:kern w:val="24"/>
                <w:sz w:val="20"/>
                <w:lang w:eastAsia="pl-PL"/>
              </w:rPr>
              <w:t>efekty</w:t>
            </w:r>
          </w:p>
          <w:p w14:paraId="245CF8CE" w14:textId="77777777" w:rsidR="002C362D" w:rsidRPr="00F21196" w:rsidRDefault="002C362D" w:rsidP="002C362D">
            <w:pPr>
              <w:spacing w:line="276" w:lineRule="auto"/>
              <w:ind w:left="709"/>
              <w:rPr>
                <w:rFonts w:cs="Calibri"/>
                <w:b/>
                <w:color w:val="2F5496" w:themeColor="accent5" w:themeShade="BF"/>
                <w:kern w:val="24"/>
                <w:sz w:val="20"/>
                <w:lang w:eastAsia="pl-PL"/>
              </w:rPr>
            </w:pPr>
            <w:r w:rsidRPr="00F21196">
              <w:rPr>
                <w:rFonts w:cs="Calibri"/>
                <w:b/>
                <w:color w:val="2F5496" w:themeColor="accent5" w:themeShade="BF"/>
                <w:kern w:val="24"/>
                <w:sz w:val="20"/>
                <w:lang w:eastAsia="pl-PL"/>
              </w:rPr>
              <w:t>I.3. Wskaźniki monitorowania</w:t>
            </w:r>
          </w:p>
          <w:p w14:paraId="1DC1BD6C" w14:textId="77777777" w:rsidR="002C362D" w:rsidRPr="00F21196" w:rsidRDefault="002C362D" w:rsidP="002C362D">
            <w:pPr>
              <w:spacing w:line="276" w:lineRule="auto"/>
              <w:ind w:left="709"/>
              <w:rPr>
                <w:rFonts w:cs="Calibri"/>
                <w:b/>
                <w:color w:val="2F5496" w:themeColor="accent5" w:themeShade="BF"/>
                <w:kern w:val="24"/>
                <w:sz w:val="20"/>
                <w:lang w:eastAsia="pl-PL"/>
              </w:rPr>
            </w:pPr>
            <w:r w:rsidRPr="00F21196">
              <w:rPr>
                <w:rFonts w:cs="Calibri"/>
                <w:b/>
                <w:color w:val="2F5496" w:themeColor="accent5" w:themeShade="BF"/>
                <w:kern w:val="24"/>
                <w:sz w:val="20"/>
                <w:lang w:eastAsia="pl-PL"/>
              </w:rPr>
              <w:t>I.4. Kierunki interwencji</w:t>
            </w:r>
          </w:p>
          <w:p w14:paraId="2773CFCF" w14:textId="77777777" w:rsidR="002C362D" w:rsidRPr="00F21196" w:rsidRDefault="002C362D" w:rsidP="009248D2">
            <w:pPr>
              <w:tabs>
                <w:tab w:val="left" w:pos="3606"/>
              </w:tabs>
              <w:spacing w:before="120" w:line="276" w:lineRule="auto"/>
              <w:ind w:left="426" w:hanging="284"/>
              <w:rPr>
                <w:sz w:val="20"/>
                <w:lang w:eastAsia="pl-PL"/>
              </w:rPr>
            </w:pPr>
            <w:r w:rsidRPr="00F21196">
              <w:rPr>
                <w:rFonts w:cs="Calibri"/>
                <w:b/>
                <w:color w:val="2F5496" w:themeColor="accent5" w:themeShade="BF"/>
                <w:kern w:val="24"/>
                <w:sz w:val="20"/>
                <w:lang w:eastAsia="pl-PL"/>
              </w:rPr>
              <w:tab/>
              <w:t>Cel szczegółowy II</w:t>
            </w:r>
            <w:r w:rsidRPr="00F21196">
              <w:rPr>
                <w:rFonts w:cs="Calibri"/>
                <w:b/>
                <w:i/>
                <w:color w:val="2F5496" w:themeColor="accent5" w:themeShade="BF"/>
                <w:kern w:val="24"/>
                <w:sz w:val="20"/>
                <w:lang w:eastAsia="pl-PL"/>
              </w:rPr>
              <w:t>. Sprawne instytucje państwowe</w:t>
            </w:r>
            <w:r w:rsidRPr="00F21196">
              <w:rPr>
                <w:color w:val="2F5496" w:themeColor="accent5" w:themeShade="BF"/>
                <w:sz w:val="20"/>
                <w:lang w:eastAsia="pl-PL"/>
              </w:rPr>
              <w:t xml:space="preserve"> </w:t>
            </w:r>
            <w:r w:rsidRPr="00F21196">
              <w:rPr>
                <w:sz w:val="20"/>
                <w:lang w:eastAsia="pl-PL"/>
              </w:rPr>
              <w:tab/>
            </w:r>
          </w:p>
          <w:p w14:paraId="20F7F2DF" w14:textId="77777777" w:rsidR="002C362D" w:rsidRPr="00F21196" w:rsidRDefault="002C362D" w:rsidP="002C362D">
            <w:pPr>
              <w:spacing w:line="276" w:lineRule="auto"/>
              <w:ind w:left="709"/>
              <w:rPr>
                <w:rFonts w:cs="Calibri"/>
                <w:b/>
                <w:i/>
                <w:color w:val="2F5496" w:themeColor="accent5" w:themeShade="BF"/>
                <w:kern w:val="24"/>
                <w:sz w:val="20"/>
                <w:lang w:eastAsia="pl-PL"/>
              </w:rPr>
            </w:pPr>
            <w:r w:rsidRPr="00F21196">
              <w:rPr>
                <w:rFonts w:cs="Calibri"/>
                <w:b/>
                <w:color w:val="2F5496" w:themeColor="accent5" w:themeShade="BF"/>
                <w:kern w:val="24"/>
                <w:sz w:val="20"/>
                <w:lang w:eastAsia="pl-PL"/>
              </w:rPr>
              <w:t>II.1. Diagnoza</w:t>
            </w:r>
          </w:p>
          <w:p w14:paraId="632D111A" w14:textId="060E54B3" w:rsidR="002C362D" w:rsidRPr="00F21196" w:rsidRDefault="002C362D" w:rsidP="002C362D">
            <w:pPr>
              <w:spacing w:line="276" w:lineRule="auto"/>
              <w:ind w:left="709"/>
              <w:rPr>
                <w:rFonts w:cs="Calibri"/>
                <w:b/>
                <w:color w:val="2F5496" w:themeColor="accent5" w:themeShade="BF"/>
                <w:kern w:val="24"/>
                <w:sz w:val="20"/>
                <w:lang w:eastAsia="pl-PL"/>
              </w:rPr>
            </w:pPr>
            <w:r w:rsidRPr="00F21196">
              <w:rPr>
                <w:rFonts w:cs="Calibri"/>
                <w:b/>
                <w:color w:val="2F5496" w:themeColor="accent5" w:themeShade="BF"/>
                <w:kern w:val="24"/>
                <w:sz w:val="20"/>
                <w:lang w:eastAsia="pl-PL"/>
              </w:rPr>
              <w:t xml:space="preserve">II.2.Trendy rozwojowe i oczekiwane </w:t>
            </w:r>
            <w:r w:rsidR="00433F5E">
              <w:rPr>
                <w:rFonts w:cs="Calibri"/>
                <w:b/>
                <w:color w:val="2F5496" w:themeColor="accent5" w:themeShade="BF"/>
                <w:kern w:val="24"/>
                <w:sz w:val="20"/>
                <w:lang w:eastAsia="pl-PL"/>
              </w:rPr>
              <w:t>efekty</w:t>
            </w:r>
          </w:p>
          <w:p w14:paraId="52F60635" w14:textId="77777777" w:rsidR="002C362D" w:rsidRPr="00F21196" w:rsidRDefault="000D548B" w:rsidP="002C362D">
            <w:pPr>
              <w:spacing w:line="276" w:lineRule="auto"/>
              <w:ind w:left="709"/>
              <w:rPr>
                <w:rFonts w:cs="Calibri"/>
                <w:b/>
                <w:color w:val="2F5496" w:themeColor="accent5" w:themeShade="BF"/>
                <w:kern w:val="24"/>
                <w:sz w:val="20"/>
                <w:lang w:eastAsia="pl-PL"/>
              </w:rPr>
            </w:pPr>
            <w:r w:rsidRPr="00F21196">
              <w:rPr>
                <w:rFonts w:cs="Calibri"/>
                <w:b/>
                <w:color w:val="2F5496" w:themeColor="accent5" w:themeShade="BF"/>
                <w:kern w:val="24"/>
                <w:sz w:val="20"/>
                <w:lang w:eastAsia="pl-PL"/>
              </w:rPr>
              <w:t>II.</w:t>
            </w:r>
            <w:r w:rsidR="002C362D" w:rsidRPr="00F21196">
              <w:rPr>
                <w:rFonts w:cs="Calibri"/>
                <w:b/>
                <w:color w:val="2F5496" w:themeColor="accent5" w:themeShade="BF"/>
                <w:kern w:val="24"/>
                <w:sz w:val="20"/>
                <w:lang w:eastAsia="pl-PL"/>
              </w:rPr>
              <w:t>3. Wskaźniki monitorowania</w:t>
            </w:r>
          </w:p>
          <w:p w14:paraId="43591172" w14:textId="77777777" w:rsidR="002C362D" w:rsidRPr="00F21196" w:rsidRDefault="000D548B" w:rsidP="002C362D">
            <w:pPr>
              <w:spacing w:line="276" w:lineRule="auto"/>
              <w:ind w:left="709"/>
              <w:rPr>
                <w:rFonts w:cs="Calibri"/>
                <w:b/>
                <w:color w:val="2F5496" w:themeColor="accent5" w:themeShade="BF"/>
                <w:kern w:val="24"/>
                <w:sz w:val="20"/>
                <w:lang w:eastAsia="pl-PL"/>
              </w:rPr>
            </w:pPr>
            <w:r w:rsidRPr="00F21196">
              <w:rPr>
                <w:rFonts w:cs="Calibri"/>
                <w:b/>
                <w:color w:val="2F5496" w:themeColor="accent5" w:themeShade="BF"/>
                <w:kern w:val="24"/>
                <w:sz w:val="20"/>
                <w:lang w:eastAsia="pl-PL"/>
              </w:rPr>
              <w:t>II.</w:t>
            </w:r>
            <w:r w:rsidR="002C362D" w:rsidRPr="00F21196">
              <w:rPr>
                <w:rFonts w:cs="Calibri"/>
                <w:b/>
                <w:color w:val="2F5496" w:themeColor="accent5" w:themeShade="BF"/>
                <w:kern w:val="24"/>
                <w:sz w:val="20"/>
                <w:lang w:eastAsia="pl-PL"/>
              </w:rPr>
              <w:t>4. Kierunki interwencji</w:t>
            </w:r>
          </w:p>
          <w:p w14:paraId="4AFF155C" w14:textId="77777777" w:rsidR="002C362D" w:rsidRPr="00F21196" w:rsidRDefault="000D548B" w:rsidP="002C362D">
            <w:pPr>
              <w:spacing w:line="276" w:lineRule="auto"/>
              <w:ind w:left="709"/>
              <w:rPr>
                <w:rFonts w:cs="Calibri"/>
                <w:b/>
                <w:color w:val="2F5496" w:themeColor="accent5" w:themeShade="BF"/>
                <w:kern w:val="24"/>
                <w:sz w:val="20"/>
                <w:lang w:eastAsia="pl-PL"/>
              </w:rPr>
            </w:pPr>
            <w:r w:rsidRPr="00F21196">
              <w:rPr>
                <w:rFonts w:cs="Calibri"/>
                <w:b/>
                <w:color w:val="2F5496" w:themeColor="accent5" w:themeShade="BF"/>
                <w:kern w:val="24"/>
                <w:sz w:val="20"/>
                <w:lang w:eastAsia="pl-PL"/>
              </w:rPr>
              <w:t>II.</w:t>
            </w:r>
            <w:r w:rsidR="002C362D" w:rsidRPr="00F21196">
              <w:rPr>
                <w:rFonts w:cs="Calibri"/>
                <w:b/>
                <w:color w:val="2F5496" w:themeColor="accent5" w:themeShade="BF"/>
                <w:kern w:val="24"/>
                <w:sz w:val="20"/>
                <w:lang w:eastAsia="pl-PL"/>
              </w:rPr>
              <w:t xml:space="preserve">5. </w:t>
            </w:r>
            <w:r w:rsidR="00F41029" w:rsidRPr="00F21196">
              <w:rPr>
                <w:rFonts w:eastAsia="Times New Roman" w:cs="Calibri"/>
                <w:b/>
                <w:color w:val="2F5496" w:themeColor="accent5" w:themeShade="BF"/>
                <w:sz w:val="20"/>
                <w:szCs w:val="20"/>
                <w:lang w:eastAsia="pl-PL"/>
              </w:rPr>
              <w:t xml:space="preserve">Wykaz projektów strategicznych </w:t>
            </w:r>
          </w:p>
          <w:p w14:paraId="36E3472F" w14:textId="09E59FD2" w:rsidR="002C362D" w:rsidRPr="00F21196" w:rsidRDefault="002C362D" w:rsidP="009248D2">
            <w:pPr>
              <w:spacing w:before="120" w:line="276" w:lineRule="auto"/>
              <w:ind w:left="737" w:hanging="595"/>
              <w:rPr>
                <w:b/>
                <w:i/>
                <w:iCs/>
                <w:color w:val="2F5496" w:themeColor="accent5" w:themeShade="BF"/>
                <w:sz w:val="20"/>
              </w:rPr>
            </w:pPr>
            <w:r w:rsidRPr="00F21196">
              <w:rPr>
                <w:rFonts w:eastAsia="Times New Roman" w:cs="Calibri"/>
                <w:b/>
                <w:color w:val="2F5496" w:themeColor="accent5" w:themeShade="BF"/>
                <w:sz w:val="20"/>
                <w:lang w:eastAsia="pl-PL"/>
              </w:rPr>
              <w:t xml:space="preserve">Cel szczegółowy III. </w:t>
            </w:r>
            <w:r w:rsidRPr="00F21196">
              <w:rPr>
                <w:rFonts w:eastAsia="Times New Roman" w:cstheme="minorHAnsi"/>
                <w:b/>
                <w:i/>
                <w:iCs/>
                <w:color w:val="2F5496" w:themeColor="accent5" w:themeShade="BF"/>
                <w:sz w:val="20"/>
              </w:rPr>
              <w:t>Podniesienie sprawności realizacji zadań państwa poprzez wykorzystanie technologii cyfrowych</w:t>
            </w:r>
            <w:r w:rsidR="001539C9">
              <w:rPr>
                <w:rFonts w:eastAsia="Times New Roman" w:cstheme="minorHAnsi"/>
                <w:b/>
                <w:i/>
                <w:iCs/>
                <w:color w:val="2F5496" w:themeColor="accent5" w:themeShade="BF"/>
                <w:sz w:val="20"/>
              </w:rPr>
              <w:t xml:space="preserve"> i zmianę sposobu działania stosownie do możliwości, jakie stwarza technologia</w:t>
            </w:r>
          </w:p>
          <w:p w14:paraId="482EAAF8" w14:textId="77777777" w:rsidR="002C362D" w:rsidRPr="00F21196" w:rsidRDefault="002C362D" w:rsidP="002C362D">
            <w:pPr>
              <w:spacing w:line="276" w:lineRule="auto"/>
              <w:ind w:left="709"/>
              <w:rPr>
                <w:rFonts w:cs="Calibri"/>
                <w:b/>
                <w:i/>
                <w:color w:val="2F5496" w:themeColor="accent5" w:themeShade="BF"/>
                <w:kern w:val="24"/>
                <w:sz w:val="20"/>
                <w:lang w:eastAsia="pl-PL"/>
              </w:rPr>
            </w:pPr>
            <w:r w:rsidRPr="00F21196">
              <w:rPr>
                <w:rFonts w:cs="Calibri"/>
                <w:b/>
                <w:color w:val="2F5496" w:themeColor="accent5" w:themeShade="BF"/>
                <w:kern w:val="24"/>
                <w:sz w:val="20"/>
                <w:lang w:eastAsia="pl-PL"/>
              </w:rPr>
              <w:t>III.1. Diagnoza</w:t>
            </w:r>
          </w:p>
          <w:p w14:paraId="4161BE37" w14:textId="56AC93A8" w:rsidR="002C362D" w:rsidRPr="00F21196" w:rsidRDefault="002C362D" w:rsidP="002C362D">
            <w:pPr>
              <w:spacing w:line="276" w:lineRule="auto"/>
              <w:ind w:left="709"/>
              <w:rPr>
                <w:rFonts w:cs="Calibri"/>
                <w:b/>
                <w:color w:val="2F5496" w:themeColor="accent5" w:themeShade="BF"/>
                <w:kern w:val="24"/>
                <w:sz w:val="20"/>
                <w:lang w:eastAsia="pl-PL"/>
              </w:rPr>
            </w:pPr>
            <w:r w:rsidRPr="00F21196">
              <w:rPr>
                <w:rFonts w:cs="Calibri"/>
                <w:b/>
                <w:color w:val="2F5496" w:themeColor="accent5" w:themeShade="BF"/>
                <w:kern w:val="24"/>
                <w:sz w:val="20"/>
                <w:lang w:eastAsia="pl-PL"/>
              </w:rPr>
              <w:t xml:space="preserve">III.2. Trendy rozwojowe i oczekiwane </w:t>
            </w:r>
            <w:r w:rsidR="00433F5E">
              <w:rPr>
                <w:rFonts w:cs="Calibri"/>
                <w:b/>
                <w:color w:val="2F5496" w:themeColor="accent5" w:themeShade="BF"/>
                <w:kern w:val="24"/>
                <w:sz w:val="20"/>
                <w:lang w:eastAsia="pl-PL"/>
              </w:rPr>
              <w:t>efekty</w:t>
            </w:r>
          </w:p>
          <w:p w14:paraId="5DCB20D1" w14:textId="77777777" w:rsidR="002C362D" w:rsidRPr="00F21196" w:rsidRDefault="002C362D" w:rsidP="002C362D">
            <w:pPr>
              <w:spacing w:line="276" w:lineRule="auto"/>
              <w:ind w:left="709"/>
              <w:rPr>
                <w:rFonts w:cs="Calibri"/>
                <w:b/>
                <w:color w:val="2F5496" w:themeColor="accent5" w:themeShade="BF"/>
                <w:kern w:val="24"/>
                <w:sz w:val="20"/>
                <w:lang w:eastAsia="pl-PL"/>
              </w:rPr>
            </w:pPr>
            <w:r w:rsidRPr="00F21196">
              <w:rPr>
                <w:rFonts w:cs="Calibri"/>
                <w:b/>
                <w:color w:val="2F5496" w:themeColor="accent5" w:themeShade="BF"/>
                <w:kern w:val="24"/>
                <w:sz w:val="20"/>
                <w:lang w:eastAsia="pl-PL"/>
              </w:rPr>
              <w:t>III.3. Wskaźniki monitorowania</w:t>
            </w:r>
          </w:p>
          <w:p w14:paraId="54B6CDC9" w14:textId="77777777" w:rsidR="002C362D" w:rsidRPr="00F21196" w:rsidRDefault="002C362D" w:rsidP="002C362D">
            <w:pPr>
              <w:spacing w:line="276" w:lineRule="auto"/>
              <w:ind w:left="709"/>
              <w:rPr>
                <w:rFonts w:cs="Calibri"/>
                <w:b/>
                <w:color w:val="2F5496" w:themeColor="accent5" w:themeShade="BF"/>
                <w:kern w:val="24"/>
                <w:sz w:val="20"/>
                <w:lang w:eastAsia="pl-PL"/>
              </w:rPr>
            </w:pPr>
            <w:r w:rsidRPr="00F21196">
              <w:rPr>
                <w:rFonts w:cs="Calibri"/>
                <w:b/>
                <w:color w:val="2F5496" w:themeColor="accent5" w:themeShade="BF"/>
                <w:kern w:val="24"/>
                <w:sz w:val="20"/>
                <w:lang w:eastAsia="pl-PL"/>
              </w:rPr>
              <w:t>III.4. Kierunki interwencji</w:t>
            </w:r>
          </w:p>
          <w:p w14:paraId="04018C63" w14:textId="77777777" w:rsidR="002C362D" w:rsidRPr="00F21196" w:rsidRDefault="002C362D" w:rsidP="002C362D">
            <w:pPr>
              <w:spacing w:line="276" w:lineRule="auto"/>
              <w:ind w:left="709"/>
              <w:rPr>
                <w:rFonts w:cs="Calibri"/>
                <w:b/>
                <w:color w:val="2F5496" w:themeColor="accent5" w:themeShade="BF"/>
                <w:kern w:val="24"/>
                <w:sz w:val="20"/>
                <w:lang w:eastAsia="pl-PL"/>
              </w:rPr>
            </w:pPr>
            <w:r w:rsidRPr="00F21196">
              <w:rPr>
                <w:rFonts w:cs="Calibri"/>
                <w:b/>
                <w:color w:val="2F5496" w:themeColor="accent5" w:themeShade="BF"/>
                <w:kern w:val="24"/>
                <w:sz w:val="20"/>
                <w:lang w:eastAsia="pl-PL"/>
              </w:rPr>
              <w:t>III.5.</w:t>
            </w:r>
            <w:r w:rsidR="00F41029" w:rsidRPr="00F21196">
              <w:rPr>
                <w:rFonts w:cs="Calibri"/>
                <w:b/>
                <w:color w:val="2F5496" w:themeColor="accent5" w:themeShade="BF"/>
                <w:kern w:val="24"/>
                <w:sz w:val="20"/>
                <w:lang w:eastAsia="pl-PL"/>
              </w:rPr>
              <w:t xml:space="preserve"> </w:t>
            </w:r>
            <w:r w:rsidR="00F41029" w:rsidRPr="00F21196">
              <w:rPr>
                <w:rFonts w:eastAsia="Times New Roman" w:cs="Calibri"/>
                <w:b/>
                <w:color w:val="2F5496" w:themeColor="accent5" w:themeShade="BF"/>
                <w:sz w:val="20"/>
                <w:szCs w:val="20"/>
                <w:lang w:eastAsia="pl-PL"/>
              </w:rPr>
              <w:t xml:space="preserve">Wykaz projektów strategicznych </w:t>
            </w:r>
          </w:p>
          <w:p w14:paraId="4A7368D0" w14:textId="77777777" w:rsidR="002C362D" w:rsidRPr="00F21196" w:rsidRDefault="002C362D" w:rsidP="009248D2">
            <w:pPr>
              <w:spacing w:before="120" w:line="276" w:lineRule="auto"/>
              <w:ind w:left="426" w:hanging="284"/>
              <w:rPr>
                <w:rFonts w:eastAsia="Times New Roman" w:cs="Calibri"/>
                <w:color w:val="2F5496" w:themeColor="accent5" w:themeShade="BF"/>
                <w:sz w:val="20"/>
                <w:lang w:eastAsia="pl-PL"/>
              </w:rPr>
            </w:pPr>
            <w:r w:rsidRPr="00F21196">
              <w:rPr>
                <w:rFonts w:eastAsia="Times New Roman" w:cs="Calibri"/>
                <w:b/>
                <w:color w:val="2F5496" w:themeColor="accent5" w:themeShade="BF"/>
                <w:sz w:val="20"/>
                <w:lang w:eastAsia="pl-PL"/>
              </w:rPr>
              <w:t xml:space="preserve">Cel szczegółowy IV. </w:t>
            </w:r>
            <w:r w:rsidRPr="00F21196">
              <w:rPr>
                <w:rFonts w:eastAsia="Times New Roman" w:cs="Calibri"/>
                <w:b/>
                <w:i/>
                <w:color w:val="2F5496" w:themeColor="accent5" w:themeShade="BF"/>
                <w:sz w:val="20"/>
                <w:lang w:eastAsia="pl-PL"/>
              </w:rPr>
              <w:t>Efektywne planowanie i wykorzystanie środków finansowych</w:t>
            </w:r>
          </w:p>
          <w:p w14:paraId="4888CBE7" w14:textId="77777777" w:rsidR="002C362D" w:rsidRPr="00F21196" w:rsidRDefault="002C362D" w:rsidP="002C362D">
            <w:pPr>
              <w:spacing w:line="276" w:lineRule="auto"/>
              <w:ind w:left="709"/>
              <w:rPr>
                <w:rFonts w:cs="Calibri"/>
                <w:b/>
                <w:i/>
                <w:color w:val="2F5496" w:themeColor="accent5" w:themeShade="BF"/>
                <w:kern w:val="24"/>
                <w:sz w:val="20"/>
                <w:lang w:eastAsia="pl-PL"/>
              </w:rPr>
            </w:pPr>
            <w:r w:rsidRPr="00F21196">
              <w:rPr>
                <w:rFonts w:cs="Calibri"/>
                <w:b/>
                <w:color w:val="2F5496" w:themeColor="accent5" w:themeShade="BF"/>
                <w:kern w:val="24"/>
                <w:sz w:val="20"/>
                <w:lang w:eastAsia="pl-PL"/>
              </w:rPr>
              <w:t>IV.1.</w:t>
            </w:r>
            <w:r w:rsidR="0011000D" w:rsidRPr="00F21196">
              <w:rPr>
                <w:rFonts w:cs="Calibri"/>
                <w:b/>
                <w:color w:val="2F5496" w:themeColor="accent5" w:themeShade="BF"/>
                <w:kern w:val="24"/>
                <w:sz w:val="20"/>
                <w:lang w:eastAsia="pl-PL"/>
              </w:rPr>
              <w:t xml:space="preserve"> </w:t>
            </w:r>
            <w:r w:rsidRPr="00F21196">
              <w:rPr>
                <w:rFonts w:cs="Calibri"/>
                <w:b/>
                <w:color w:val="2F5496" w:themeColor="accent5" w:themeShade="BF"/>
                <w:kern w:val="24"/>
                <w:sz w:val="20"/>
                <w:lang w:eastAsia="pl-PL"/>
              </w:rPr>
              <w:t>Diagnoza</w:t>
            </w:r>
          </w:p>
          <w:p w14:paraId="43033CAD" w14:textId="413646AF" w:rsidR="002C362D" w:rsidRPr="00F21196" w:rsidRDefault="002C362D" w:rsidP="002C362D">
            <w:pPr>
              <w:spacing w:line="276" w:lineRule="auto"/>
              <w:ind w:left="709"/>
              <w:rPr>
                <w:rFonts w:cs="Calibri"/>
                <w:b/>
                <w:color w:val="2F5496" w:themeColor="accent5" w:themeShade="BF"/>
                <w:kern w:val="24"/>
                <w:sz w:val="20"/>
                <w:lang w:eastAsia="pl-PL"/>
              </w:rPr>
            </w:pPr>
            <w:r w:rsidRPr="00F21196">
              <w:rPr>
                <w:rFonts w:cs="Calibri"/>
                <w:b/>
                <w:color w:val="2F5496" w:themeColor="accent5" w:themeShade="BF"/>
                <w:kern w:val="24"/>
                <w:sz w:val="20"/>
                <w:lang w:eastAsia="pl-PL"/>
              </w:rPr>
              <w:t xml:space="preserve">IV.2. Trendy rozwojowe i oczekiwane </w:t>
            </w:r>
            <w:r w:rsidR="00433F5E">
              <w:rPr>
                <w:rFonts w:cs="Calibri"/>
                <w:b/>
                <w:color w:val="2F5496" w:themeColor="accent5" w:themeShade="BF"/>
                <w:kern w:val="24"/>
                <w:sz w:val="20"/>
                <w:lang w:eastAsia="pl-PL"/>
              </w:rPr>
              <w:t>efekty</w:t>
            </w:r>
          </w:p>
          <w:p w14:paraId="6E3B97EE" w14:textId="77777777" w:rsidR="002C362D" w:rsidRPr="00F21196" w:rsidRDefault="002C362D" w:rsidP="002C362D">
            <w:pPr>
              <w:spacing w:line="276" w:lineRule="auto"/>
              <w:ind w:left="709"/>
              <w:rPr>
                <w:rFonts w:cs="Calibri"/>
                <w:b/>
                <w:color w:val="2F5496" w:themeColor="accent5" w:themeShade="BF"/>
                <w:kern w:val="24"/>
                <w:sz w:val="20"/>
                <w:lang w:eastAsia="pl-PL"/>
              </w:rPr>
            </w:pPr>
            <w:r w:rsidRPr="00F21196">
              <w:rPr>
                <w:rFonts w:cs="Calibri"/>
                <w:b/>
                <w:color w:val="2F5496" w:themeColor="accent5" w:themeShade="BF"/>
                <w:kern w:val="24"/>
                <w:sz w:val="20"/>
                <w:lang w:eastAsia="pl-PL"/>
              </w:rPr>
              <w:t>IV.3. Wskaźniki monitorowania</w:t>
            </w:r>
          </w:p>
          <w:p w14:paraId="7F40728E" w14:textId="77777777" w:rsidR="002C362D" w:rsidRPr="00F21196" w:rsidRDefault="002C362D" w:rsidP="002C362D">
            <w:pPr>
              <w:spacing w:line="276" w:lineRule="auto"/>
              <w:ind w:left="709"/>
              <w:rPr>
                <w:rFonts w:cs="Calibri"/>
                <w:b/>
                <w:color w:val="2F5496" w:themeColor="accent5" w:themeShade="BF"/>
                <w:kern w:val="24"/>
                <w:sz w:val="20"/>
                <w:lang w:eastAsia="pl-PL"/>
              </w:rPr>
            </w:pPr>
            <w:r w:rsidRPr="00F21196">
              <w:rPr>
                <w:rFonts w:cs="Calibri"/>
                <w:b/>
                <w:color w:val="2F5496" w:themeColor="accent5" w:themeShade="BF"/>
                <w:kern w:val="24"/>
                <w:sz w:val="20"/>
                <w:lang w:eastAsia="pl-PL"/>
              </w:rPr>
              <w:t>IV.4. Kierunki interwencji</w:t>
            </w:r>
          </w:p>
          <w:p w14:paraId="66779D68" w14:textId="77777777" w:rsidR="002C362D" w:rsidRPr="00F21196" w:rsidRDefault="002C362D" w:rsidP="002C362D">
            <w:pPr>
              <w:spacing w:line="276" w:lineRule="auto"/>
              <w:ind w:left="709"/>
              <w:rPr>
                <w:rFonts w:cs="Calibri"/>
                <w:b/>
                <w:color w:val="2F5496" w:themeColor="accent5" w:themeShade="BF"/>
                <w:kern w:val="24"/>
                <w:sz w:val="20"/>
                <w:lang w:eastAsia="pl-PL"/>
              </w:rPr>
            </w:pPr>
            <w:r w:rsidRPr="00F21196">
              <w:rPr>
                <w:rFonts w:cs="Calibri"/>
                <w:b/>
                <w:color w:val="2F5496" w:themeColor="accent5" w:themeShade="BF"/>
                <w:kern w:val="24"/>
                <w:sz w:val="20"/>
                <w:lang w:eastAsia="pl-PL"/>
              </w:rPr>
              <w:t xml:space="preserve">IV.5. </w:t>
            </w:r>
            <w:r w:rsidR="00F41029" w:rsidRPr="00F21196">
              <w:rPr>
                <w:rFonts w:eastAsia="Times New Roman" w:cs="Calibri"/>
                <w:b/>
                <w:color w:val="2F5496" w:themeColor="accent5" w:themeShade="BF"/>
                <w:sz w:val="20"/>
                <w:szCs w:val="20"/>
                <w:lang w:eastAsia="pl-PL"/>
              </w:rPr>
              <w:t xml:space="preserve">Wykaz projektów strategicznych </w:t>
            </w:r>
          </w:p>
          <w:p w14:paraId="15DE874F" w14:textId="77777777" w:rsidR="002C362D" w:rsidRPr="00F21196" w:rsidRDefault="002C362D" w:rsidP="009248D2">
            <w:pPr>
              <w:spacing w:before="120" w:line="276" w:lineRule="auto"/>
              <w:ind w:left="426" w:hanging="284"/>
              <w:rPr>
                <w:rFonts w:eastAsia="Times New Roman" w:cs="Calibri"/>
                <w:b/>
                <w:i/>
                <w:color w:val="2F5496" w:themeColor="accent5" w:themeShade="BF"/>
                <w:sz w:val="20"/>
                <w:lang w:eastAsia="pl-PL"/>
              </w:rPr>
            </w:pPr>
            <w:r w:rsidRPr="00F21196">
              <w:rPr>
                <w:rFonts w:eastAsia="Times New Roman" w:cs="Calibri"/>
                <w:b/>
                <w:color w:val="2F5496" w:themeColor="accent5" w:themeShade="BF"/>
                <w:sz w:val="20"/>
                <w:lang w:eastAsia="pl-PL"/>
              </w:rPr>
              <w:t xml:space="preserve">Cel szczegółowy V. </w:t>
            </w:r>
            <w:r w:rsidRPr="00F21196">
              <w:rPr>
                <w:rFonts w:eastAsia="Times New Roman" w:cs="Calibri"/>
                <w:b/>
                <w:i/>
                <w:color w:val="2F5496" w:themeColor="accent5" w:themeShade="BF"/>
                <w:sz w:val="20"/>
                <w:lang w:eastAsia="pl-PL"/>
              </w:rPr>
              <w:t>Zapewnienie obywatelom bezpieczeństwa wewnętrznego i zewnętrznego</w:t>
            </w:r>
          </w:p>
          <w:p w14:paraId="14F9A417" w14:textId="77777777" w:rsidR="002C362D" w:rsidRPr="00F21196" w:rsidRDefault="002C362D" w:rsidP="00890665">
            <w:pPr>
              <w:spacing w:line="276" w:lineRule="auto"/>
              <w:ind w:left="709"/>
              <w:rPr>
                <w:rFonts w:cs="Calibri"/>
                <w:b/>
                <w:i/>
                <w:color w:val="2F5496" w:themeColor="accent5" w:themeShade="BF"/>
                <w:kern w:val="24"/>
                <w:sz w:val="20"/>
                <w:lang w:eastAsia="pl-PL"/>
              </w:rPr>
            </w:pPr>
            <w:r w:rsidRPr="00F21196">
              <w:rPr>
                <w:rFonts w:cs="Calibri"/>
                <w:b/>
                <w:color w:val="2F5496" w:themeColor="accent5" w:themeShade="BF"/>
                <w:kern w:val="24"/>
                <w:sz w:val="20"/>
                <w:lang w:eastAsia="pl-PL"/>
              </w:rPr>
              <w:t>V.1. Diagnoza</w:t>
            </w:r>
          </w:p>
          <w:p w14:paraId="4818B749" w14:textId="41B3F07A" w:rsidR="002C362D" w:rsidRPr="00F21196" w:rsidRDefault="002C362D" w:rsidP="00890665">
            <w:pPr>
              <w:spacing w:line="276" w:lineRule="auto"/>
              <w:ind w:left="709"/>
              <w:rPr>
                <w:rFonts w:cs="Calibri"/>
                <w:b/>
                <w:color w:val="2F5496" w:themeColor="accent5" w:themeShade="BF"/>
                <w:kern w:val="24"/>
                <w:sz w:val="20"/>
                <w:lang w:eastAsia="pl-PL"/>
              </w:rPr>
            </w:pPr>
            <w:r w:rsidRPr="00F21196">
              <w:rPr>
                <w:rFonts w:cs="Calibri"/>
                <w:b/>
                <w:color w:val="2F5496" w:themeColor="accent5" w:themeShade="BF"/>
                <w:kern w:val="24"/>
                <w:sz w:val="20"/>
                <w:lang w:eastAsia="pl-PL"/>
              </w:rPr>
              <w:t xml:space="preserve">V.2. Trendy rozwojowe i oczekiwane </w:t>
            </w:r>
            <w:r w:rsidR="00433F5E">
              <w:rPr>
                <w:rFonts w:cs="Calibri"/>
                <w:b/>
                <w:color w:val="2F5496" w:themeColor="accent5" w:themeShade="BF"/>
                <w:kern w:val="24"/>
                <w:sz w:val="20"/>
                <w:lang w:eastAsia="pl-PL"/>
              </w:rPr>
              <w:t>efekty</w:t>
            </w:r>
          </w:p>
          <w:p w14:paraId="773C3672" w14:textId="77777777" w:rsidR="002C362D" w:rsidRPr="00F21196" w:rsidRDefault="002C362D" w:rsidP="00890665">
            <w:pPr>
              <w:spacing w:line="276" w:lineRule="auto"/>
              <w:ind w:left="709"/>
              <w:rPr>
                <w:rFonts w:cs="Calibri"/>
                <w:b/>
                <w:color w:val="2F5496" w:themeColor="accent5" w:themeShade="BF"/>
                <w:kern w:val="24"/>
                <w:sz w:val="20"/>
                <w:lang w:eastAsia="pl-PL"/>
              </w:rPr>
            </w:pPr>
            <w:r w:rsidRPr="00F21196">
              <w:rPr>
                <w:rFonts w:cs="Calibri"/>
                <w:b/>
                <w:color w:val="2F5496" w:themeColor="accent5" w:themeShade="BF"/>
                <w:kern w:val="24"/>
                <w:sz w:val="20"/>
                <w:lang w:eastAsia="pl-PL"/>
              </w:rPr>
              <w:t>V.3. Wskaźniki monitorowania</w:t>
            </w:r>
          </w:p>
          <w:p w14:paraId="5C01A5D4" w14:textId="77777777" w:rsidR="002C362D" w:rsidRPr="00F21196" w:rsidRDefault="002C362D" w:rsidP="00890665">
            <w:pPr>
              <w:spacing w:line="276" w:lineRule="auto"/>
              <w:ind w:left="709"/>
              <w:rPr>
                <w:rFonts w:cs="Calibri"/>
                <w:b/>
                <w:color w:val="2F5496" w:themeColor="accent5" w:themeShade="BF"/>
                <w:kern w:val="24"/>
                <w:sz w:val="20"/>
                <w:lang w:eastAsia="pl-PL"/>
              </w:rPr>
            </w:pPr>
            <w:r w:rsidRPr="00F21196">
              <w:rPr>
                <w:rFonts w:cs="Calibri"/>
                <w:b/>
                <w:color w:val="2F5496" w:themeColor="accent5" w:themeShade="BF"/>
                <w:kern w:val="24"/>
                <w:sz w:val="20"/>
                <w:lang w:eastAsia="pl-PL"/>
              </w:rPr>
              <w:t>V.4. Kierunki interwencji</w:t>
            </w:r>
          </w:p>
          <w:p w14:paraId="46439DF1" w14:textId="77777777" w:rsidR="002C362D" w:rsidRPr="00F21196" w:rsidRDefault="002C362D" w:rsidP="00890665">
            <w:pPr>
              <w:spacing w:line="276" w:lineRule="auto"/>
              <w:ind w:left="709"/>
              <w:rPr>
                <w:color w:val="2F5496" w:themeColor="accent5" w:themeShade="BF"/>
                <w:sz w:val="20"/>
                <w:szCs w:val="20"/>
                <w:lang w:eastAsia="pl-PL"/>
              </w:rPr>
            </w:pPr>
            <w:r w:rsidRPr="00F21196">
              <w:rPr>
                <w:rFonts w:cs="Calibri"/>
                <w:b/>
                <w:color w:val="2F5496" w:themeColor="accent5" w:themeShade="BF"/>
                <w:kern w:val="24"/>
                <w:sz w:val="20"/>
                <w:szCs w:val="20"/>
                <w:lang w:eastAsia="pl-PL"/>
              </w:rPr>
              <w:t xml:space="preserve">V.5. </w:t>
            </w:r>
            <w:r w:rsidR="00F41029" w:rsidRPr="00F21196">
              <w:rPr>
                <w:rFonts w:eastAsia="Times New Roman" w:cs="Calibri"/>
                <w:b/>
                <w:color w:val="2F5496" w:themeColor="accent5" w:themeShade="BF"/>
                <w:sz w:val="20"/>
                <w:szCs w:val="20"/>
                <w:lang w:eastAsia="pl-PL"/>
              </w:rPr>
              <w:t xml:space="preserve">Wykaz projektów strategicznych </w:t>
            </w:r>
          </w:p>
          <w:p w14:paraId="2B0EFDEB" w14:textId="77777777" w:rsidR="002C362D" w:rsidRPr="00F21196" w:rsidRDefault="003516FB" w:rsidP="002C362D">
            <w:pPr>
              <w:spacing w:line="276" w:lineRule="auto"/>
              <w:rPr>
                <w:b/>
                <w:sz w:val="20"/>
                <w:lang w:eastAsia="pl-PL"/>
              </w:rPr>
            </w:pPr>
            <w:r w:rsidRPr="00F21196">
              <w:rPr>
                <w:b/>
                <w:sz w:val="20"/>
                <w:lang w:eastAsia="pl-PL"/>
              </w:rPr>
              <w:t>IV</w:t>
            </w:r>
            <w:r w:rsidR="002C362D" w:rsidRPr="00F21196">
              <w:rPr>
                <w:b/>
                <w:sz w:val="20"/>
                <w:lang w:eastAsia="pl-PL"/>
              </w:rPr>
              <w:t xml:space="preserve">. </w:t>
            </w:r>
            <w:r w:rsidR="00BA74B1" w:rsidRPr="00F21196">
              <w:rPr>
                <w:b/>
                <w:sz w:val="20"/>
              </w:rPr>
              <w:t xml:space="preserve">Przedsięwzięcia przewidziane na Obszarach </w:t>
            </w:r>
            <w:r w:rsidR="00BA74B1" w:rsidRPr="00F21196">
              <w:rPr>
                <w:b/>
                <w:sz w:val="20"/>
                <w:szCs w:val="20"/>
              </w:rPr>
              <w:t>Strategicznej Interwencji</w:t>
            </w:r>
            <w:r w:rsidR="00BA74B1" w:rsidRPr="00F21196">
              <w:rPr>
                <w:b/>
                <w:sz w:val="28"/>
              </w:rPr>
              <w:t xml:space="preserve">  </w:t>
            </w:r>
          </w:p>
          <w:p w14:paraId="792FF244" w14:textId="77777777" w:rsidR="002C362D" w:rsidRPr="00F21196" w:rsidRDefault="003516FB" w:rsidP="002C362D">
            <w:pPr>
              <w:spacing w:line="276" w:lineRule="auto"/>
              <w:rPr>
                <w:b/>
                <w:sz w:val="20"/>
                <w:lang w:eastAsia="pl-PL"/>
              </w:rPr>
            </w:pPr>
            <w:r w:rsidRPr="00F21196">
              <w:rPr>
                <w:b/>
                <w:sz w:val="20"/>
                <w:lang w:eastAsia="pl-PL"/>
              </w:rPr>
              <w:t>V.</w:t>
            </w:r>
            <w:r w:rsidR="002C362D" w:rsidRPr="00F21196">
              <w:rPr>
                <w:b/>
                <w:sz w:val="20"/>
                <w:lang w:eastAsia="pl-PL"/>
              </w:rPr>
              <w:t xml:space="preserve"> </w:t>
            </w:r>
            <w:r w:rsidR="002C4D88">
              <w:rPr>
                <w:b/>
                <w:sz w:val="20"/>
                <w:lang w:eastAsia="pl-PL"/>
              </w:rPr>
              <w:t>Ramy finansowe</w:t>
            </w:r>
            <w:r w:rsidR="002C362D" w:rsidRPr="00F21196">
              <w:rPr>
                <w:b/>
                <w:sz w:val="20"/>
                <w:lang w:eastAsia="pl-PL"/>
              </w:rPr>
              <w:t xml:space="preserve"> </w:t>
            </w:r>
          </w:p>
          <w:p w14:paraId="3F6E08FF" w14:textId="43C6BEFB" w:rsidR="002C362D" w:rsidRPr="00F21196" w:rsidRDefault="003516FB" w:rsidP="002C362D">
            <w:pPr>
              <w:spacing w:line="276" w:lineRule="auto"/>
              <w:rPr>
                <w:color w:val="2F5496" w:themeColor="accent5" w:themeShade="BF"/>
                <w:sz w:val="20"/>
                <w:lang w:eastAsia="pl-PL"/>
              </w:rPr>
            </w:pPr>
            <w:r w:rsidRPr="00F21196">
              <w:rPr>
                <w:b/>
                <w:sz w:val="20"/>
                <w:lang w:eastAsia="pl-PL"/>
              </w:rPr>
              <w:t>VI</w:t>
            </w:r>
            <w:r w:rsidR="002C362D" w:rsidRPr="00F21196">
              <w:rPr>
                <w:b/>
                <w:sz w:val="20"/>
                <w:lang w:eastAsia="pl-PL"/>
              </w:rPr>
              <w:t xml:space="preserve">. </w:t>
            </w:r>
            <w:r w:rsidR="00090A1C">
              <w:rPr>
                <w:b/>
                <w:sz w:val="20"/>
                <w:lang w:eastAsia="pl-PL"/>
              </w:rPr>
              <w:t>System realizacji i monitorowania</w:t>
            </w:r>
            <w:r w:rsidR="002C362D" w:rsidRPr="00F21196">
              <w:rPr>
                <w:b/>
                <w:sz w:val="20"/>
                <w:lang w:eastAsia="pl-PL"/>
              </w:rPr>
              <w:t xml:space="preserve">  </w:t>
            </w:r>
          </w:p>
          <w:p w14:paraId="7B5C06DC" w14:textId="77777777" w:rsidR="002C362D" w:rsidRPr="00F21196" w:rsidRDefault="002C362D" w:rsidP="00513756">
            <w:pPr>
              <w:rPr>
                <w:rFonts w:eastAsia="Times New Roman" w:cs="Calibri"/>
                <w:b/>
                <w:bCs/>
                <w:color w:val="000000" w:themeColor="text1"/>
                <w:sz w:val="20"/>
                <w:lang w:eastAsia="pl-PL"/>
              </w:rPr>
            </w:pPr>
          </w:p>
        </w:tc>
        <w:tc>
          <w:tcPr>
            <w:tcW w:w="843" w:type="dxa"/>
            <w:shd w:val="clear" w:color="auto" w:fill="E2EFD9" w:themeFill="accent6" w:themeFillTint="33"/>
            <w:textDirection w:val="btLr"/>
          </w:tcPr>
          <w:p w14:paraId="1480192A" w14:textId="77777777" w:rsidR="002C362D" w:rsidRPr="00F21196" w:rsidRDefault="002C362D" w:rsidP="00886319">
            <w:pPr>
              <w:ind w:left="113" w:right="113"/>
              <w:rPr>
                <w:rFonts w:eastAsia="Times New Roman" w:cs="Calibri"/>
                <w:b/>
                <w:bCs/>
                <w:color w:val="000000" w:themeColor="text1"/>
                <w:sz w:val="20"/>
                <w:lang w:eastAsia="pl-PL"/>
              </w:rPr>
            </w:pPr>
          </w:p>
          <w:p w14:paraId="115221D3" w14:textId="77777777" w:rsidR="002C362D" w:rsidRPr="00F21196" w:rsidRDefault="00886319" w:rsidP="00886319">
            <w:pPr>
              <w:ind w:left="113" w:right="113"/>
              <w:rPr>
                <w:rFonts w:eastAsia="Times New Roman" w:cs="Calibri"/>
                <w:bCs/>
                <w:i/>
                <w:color w:val="000000" w:themeColor="text1"/>
                <w:sz w:val="20"/>
                <w:lang w:eastAsia="pl-PL"/>
              </w:rPr>
            </w:pPr>
            <w:r w:rsidRPr="00F21196">
              <w:rPr>
                <w:rFonts w:eastAsia="Times New Roman" w:cs="Calibri"/>
                <w:bCs/>
                <w:i/>
                <w:color w:val="000000" w:themeColor="text1"/>
                <w:sz w:val="20"/>
                <w:lang w:eastAsia="pl-PL"/>
              </w:rPr>
              <w:t>Numery stron zostaną wprowadzone na etapie ostatecznego formatowania SNP przed przekazaniem do uzgodnień międzyresortowych</w:t>
            </w:r>
          </w:p>
        </w:tc>
      </w:tr>
    </w:tbl>
    <w:p w14:paraId="68D19AED" w14:textId="1DD6600A" w:rsidR="00483287" w:rsidRPr="00366A34" w:rsidRDefault="00536CB2" w:rsidP="00513756">
      <w:pPr>
        <w:spacing w:after="0" w:line="276" w:lineRule="auto"/>
        <w:rPr>
          <w:rFonts w:eastAsia="Times New Roman" w:cs="Calibri"/>
          <w:bCs/>
          <w:sz w:val="18"/>
          <w:lang w:eastAsia="pl-PL"/>
        </w:rPr>
      </w:pPr>
      <w:r w:rsidRPr="00366A34">
        <w:rPr>
          <w:rFonts w:eastAsia="Times New Roman" w:cs="Calibri"/>
          <w:bCs/>
          <w:sz w:val="18"/>
          <w:lang w:eastAsia="pl-PL"/>
        </w:rPr>
        <w:t>Załączniki</w:t>
      </w:r>
      <w:r w:rsidR="00483287" w:rsidRPr="00366A34">
        <w:rPr>
          <w:rFonts w:eastAsia="Times New Roman" w:cs="Calibri"/>
          <w:bCs/>
          <w:sz w:val="18"/>
          <w:lang w:eastAsia="pl-PL"/>
        </w:rPr>
        <w:t>:</w:t>
      </w:r>
    </w:p>
    <w:p w14:paraId="4C316464" w14:textId="77777777" w:rsidR="00E77BE1" w:rsidRPr="00366A34" w:rsidRDefault="00524222" w:rsidP="00513756">
      <w:pPr>
        <w:spacing w:after="0" w:line="276" w:lineRule="auto"/>
        <w:rPr>
          <w:sz w:val="18"/>
        </w:rPr>
      </w:pPr>
      <w:r w:rsidRPr="00366A34">
        <w:rPr>
          <w:sz w:val="18"/>
        </w:rPr>
        <w:t>1</w:t>
      </w:r>
      <w:r w:rsidR="00E77BE1" w:rsidRPr="00366A34">
        <w:rPr>
          <w:sz w:val="18"/>
        </w:rPr>
        <w:t>. Lis</w:t>
      </w:r>
      <w:r w:rsidR="00DD351B" w:rsidRPr="00366A34">
        <w:rPr>
          <w:sz w:val="18"/>
        </w:rPr>
        <w:t xml:space="preserve">ta wskaźników realizacji celów </w:t>
      </w:r>
      <w:r w:rsidR="00E77BE1" w:rsidRPr="00366A34">
        <w:rPr>
          <w:sz w:val="18"/>
        </w:rPr>
        <w:t>strategii wraz z definicjami</w:t>
      </w:r>
    </w:p>
    <w:p w14:paraId="1DE5388E" w14:textId="77777777" w:rsidR="00D06BED" w:rsidRPr="00366A34" w:rsidRDefault="00524222" w:rsidP="00513756">
      <w:pPr>
        <w:spacing w:after="0" w:line="276" w:lineRule="auto"/>
        <w:rPr>
          <w:sz w:val="18"/>
        </w:rPr>
      </w:pPr>
      <w:r w:rsidRPr="00366A34">
        <w:rPr>
          <w:sz w:val="18"/>
        </w:rPr>
        <w:t>2</w:t>
      </w:r>
      <w:r w:rsidR="00E77BE1" w:rsidRPr="00366A34">
        <w:rPr>
          <w:sz w:val="18"/>
        </w:rPr>
        <w:t xml:space="preserve">. </w:t>
      </w:r>
      <w:r w:rsidR="00D06BED" w:rsidRPr="00366A34">
        <w:rPr>
          <w:sz w:val="18"/>
        </w:rPr>
        <w:t>Wykaz projektów strategicznych</w:t>
      </w:r>
    </w:p>
    <w:p w14:paraId="7DB76C75" w14:textId="77777777" w:rsidR="00E77BE1" w:rsidRPr="00366A34" w:rsidRDefault="00D06BED" w:rsidP="00513756">
      <w:pPr>
        <w:spacing w:after="0" w:line="276" w:lineRule="auto"/>
        <w:rPr>
          <w:sz w:val="18"/>
        </w:rPr>
      </w:pPr>
      <w:r w:rsidRPr="00366A34">
        <w:rPr>
          <w:sz w:val="18"/>
        </w:rPr>
        <w:t xml:space="preserve">3. </w:t>
      </w:r>
      <w:r w:rsidR="00E77BE1" w:rsidRPr="00366A34">
        <w:rPr>
          <w:sz w:val="18"/>
        </w:rPr>
        <w:t>Synteza raportu z konsultacji społecznych</w:t>
      </w:r>
    </w:p>
    <w:p w14:paraId="00C8D2A6" w14:textId="77777777" w:rsidR="00E77BE1" w:rsidRPr="00366A34" w:rsidRDefault="00D06BED" w:rsidP="00513756">
      <w:pPr>
        <w:spacing w:after="0" w:line="276" w:lineRule="auto"/>
        <w:rPr>
          <w:sz w:val="18"/>
        </w:rPr>
      </w:pPr>
      <w:r w:rsidRPr="00366A34">
        <w:rPr>
          <w:sz w:val="18"/>
        </w:rPr>
        <w:t>4</w:t>
      </w:r>
      <w:r w:rsidR="00E77BE1" w:rsidRPr="00366A34">
        <w:rPr>
          <w:sz w:val="18"/>
        </w:rPr>
        <w:t xml:space="preserve">. Podsumowanie strategicznej oceny oddziaływania na środowisko </w:t>
      </w:r>
    </w:p>
    <w:p w14:paraId="3345CD72" w14:textId="77777777" w:rsidR="00080D34" w:rsidRPr="00F21196" w:rsidRDefault="00D06BED" w:rsidP="00513756">
      <w:pPr>
        <w:spacing w:after="0" w:line="276" w:lineRule="auto"/>
        <w:rPr>
          <w:rFonts w:eastAsia="Times New Roman" w:cs="Calibri"/>
          <w:b/>
          <w:bCs/>
          <w:i/>
          <w:color w:val="2F5496" w:themeColor="accent5" w:themeShade="BF"/>
          <w:sz w:val="18"/>
          <w:lang w:eastAsia="pl-PL"/>
        </w:rPr>
      </w:pPr>
      <w:r w:rsidRPr="00366A34">
        <w:rPr>
          <w:rFonts w:eastAsia="Times New Roman" w:cs="Calibri"/>
          <w:bCs/>
          <w:sz w:val="18"/>
          <w:lang w:eastAsia="pl-PL"/>
        </w:rPr>
        <w:t>5</w:t>
      </w:r>
      <w:r w:rsidR="00973127" w:rsidRPr="00366A34">
        <w:rPr>
          <w:rFonts w:eastAsia="Times New Roman" w:cs="Calibri"/>
          <w:bCs/>
          <w:sz w:val="18"/>
          <w:lang w:eastAsia="pl-PL"/>
        </w:rPr>
        <w:t>. Wykaz skrótów</w:t>
      </w:r>
      <w:r w:rsidR="00080D34" w:rsidRPr="00F21196">
        <w:rPr>
          <w:rFonts w:eastAsia="Times New Roman" w:cs="Calibri"/>
          <w:b/>
          <w:bCs/>
          <w:i/>
          <w:color w:val="2F5496" w:themeColor="accent5" w:themeShade="BF"/>
          <w:sz w:val="18"/>
          <w:lang w:eastAsia="pl-PL"/>
        </w:rPr>
        <w:br w:type="page"/>
      </w:r>
    </w:p>
    <w:p w14:paraId="17E76F86" w14:textId="77777777" w:rsidR="008A5E49" w:rsidRPr="00F21196" w:rsidRDefault="009248D2" w:rsidP="008A5E49">
      <w:pPr>
        <w:shd w:val="clear" w:color="auto" w:fill="D9E2F3" w:themeFill="accent5" w:themeFillTint="33"/>
        <w:spacing w:after="120"/>
        <w:rPr>
          <w:rFonts w:eastAsia="Times New Roman" w:cs="Calibri"/>
          <w:b/>
          <w:bCs/>
          <w:color w:val="000000" w:themeColor="text1"/>
          <w:sz w:val="28"/>
          <w:lang w:eastAsia="pl-PL"/>
        </w:rPr>
      </w:pPr>
      <w:r w:rsidRPr="00F21196">
        <w:rPr>
          <w:rFonts w:eastAsia="Times New Roman" w:cs="Calibri"/>
          <w:b/>
          <w:bCs/>
          <w:color w:val="000000" w:themeColor="text1"/>
          <w:sz w:val="28"/>
          <w:lang w:eastAsia="pl-PL"/>
        </w:rPr>
        <w:lastRenderedPageBreak/>
        <w:t xml:space="preserve">WPROWADZENIE </w:t>
      </w:r>
      <w:r w:rsidR="00875EF0" w:rsidRPr="00F21196">
        <w:rPr>
          <w:rFonts w:eastAsia="Times New Roman" w:cs="Calibri"/>
          <w:b/>
          <w:bCs/>
          <w:color w:val="000000" w:themeColor="text1"/>
          <w:sz w:val="28"/>
          <w:lang w:eastAsia="pl-PL"/>
        </w:rPr>
        <w:t xml:space="preserve"> </w:t>
      </w:r>
    </w:p>
    <w:p w14:paraId="24AE363E" w14:textId="77777777" w:rsidR="00521C50" w:rsidRPr="00F21196" w:rsidRDefault="00111B9D" w:rsidP="00521C50">
      <w:pPr>
        <w:pStyle w:val="Default"/>
        <w:spacing w:before="240" w:line="276" w:lineRule="auto"/>
        <w:jc w:val="both"/>
        <w:rPr>
          <w:rFonts w:asciiTheme="minorHAnsi" w:hAnsiTheme="minorHAnsi"/>
          <w:sz w:val="22"/>
          <w:szCs w:val="22"/>
        </w:rPr>
      </w:pPr>
      <w:r w:rsidRPr="00F21196">
        <w:rPr>
          <w:rFonts w:asciiTheme="minorHAnsi" w:hAnsiTheme="minorHAnsi"/>
          <w:sz w:val="22"/>
          <w:szCs w:val="22"/>
        </w:rPr>
        <w:t xml:space="preserve">Rada Ministrów w </w:t>
      </w:r>
      <w:r w:rsidRPr="00F21196">
        <w:rPr>
          <w:rFonts w:asciiTheme="minorHAnsi" w:hAnsiTheme="minorHAnsi"/>
          <w:bCs/>
          <w:i/>
          <w:iCs/>
          <w:sz w:val="22"/>
          <w:szCs w:val="22"/>
        </w:rPr>
        <w:t>„Planie na rzecz Odpowiedzialnego Rozwoju”</w:t>
      </w:r>
      <w:r w:rsidRPr="00F21196">
        <w:rPr>
          <w:rFonts w:asciiTheme="minorHAnsi" w:hAnsiTheme="minorHAnsi"/>
          <w:sz w:val="22"/>
          <w:szCs w:val="22"/>
        </w:rPr>
        <w:t xml:space="preserve"> przyjętym 16 lutego 2016 r. ujęła nową wizję rozwoju kraju. Na podstawie wskazanego dokumentu </w:t>
      </w:r>
      <w:r w:rsidRPr="00F21196">
        <w:rPr>
          <w:rFonts w:asciiTheme="minorHAnsi" w:hAnsiTheme="minorHAnsi"/>
          <w:bCs/>
          <w:sz w:val="22"/>
          <w:szCs w:val="22"/>
        </w:rPr>
        <w:t>opracowano</w:t>
      </w:r>
      <w:r w:rsidRPr="00F21196">
        <w:rPr>
          <w:rStyle w:val="Odwoanieprzypisudolnego"/>
          <w:rFonts w:asciiTheme="minorHAnsi" w:hAnsiTheme="minorHAnsi"/>
          <w:bCs/>
          <w:sz w:val="22"/>
          <w:szCs w:val="22"/>
        </w:rPr>
        <w:footnoteReference w:id="1"/>
      </w:r>
      <w:r w:rsidRPr="00F21196">
        <w:rPr>
          <w:rFonts w:asciiTheme="minorHAnsi" w:hAnsiTheme="minorHAnsi"/>
          <w:bCs/>
          <w:sz w:val="22"/>
          <w:szCs w:val="22"/>
        </w:rPr>
        <w:t xml:space="preserve"> </w:t>
      </w:r>
      <w:r w:rsidRPr="00F21196">
        <w:rPr>
          <w:rFonts w:asciiTheme="minorHAnsi" w:hAnsiTheme="minorHAnsi"/>
          <w:bCs/>
          <w:i/>
          <w:iCs/>
          <w:sz w:val="22"/>
          <w:szCs w:val="22"/>
        </w:rPr>
        <w:t>„Założenia Strategii na rzecz Odpowiedzialnego Rozwoju”</w:t>
      </w:r>
      <w:r w:rsidRPr="00F21196">
        <w:rPr>
          <w:rFonts w:asciiTheme="minorHAnsi" w:hAnsiTheme="minorHAnsi"/>
          <w:sz w:val="22"/>
          <w:szCs w:val="22"/>
        </w:rPr>
        <w:t xml:space="preserve">, które ustalały ramy brzegowe dla dalszych prac nad </w:t>
      </w:r>
      <w:r w:rsidRPr="00F21196">
        <w:rPr>
          <w:rFonts w:asciiTheme="minorHAnsi" w:hAnsiTheme="minorHAnsi"/>
          <w:bCs/>
          <w:sz w:val="22"/>
          <w:szCs w:val="22"/>
        </w:rPr>
        <w:t xml:space="preserve">projektem </w:t>
      </w:r>
      <w:r w:rsidRPr="00F21196">
        <w:rPr>
          <w:rFonts w:asciiTheme="minorHAnsi" w:hAnsiTheme="minorHAnsi"/>
          <w:bCs/>
          <w:i/>
          <w:iCs/>
          <w:sz w:val="22"/>
          <w:szCs w:val="22"/>
        </w:rPr>
        <w:t>„Strategii na rzecz Odpowiedzialnego Rozwoju”</w:t>
      </w:r>
      <w:r w:rsidRPr="00F21196">
        <w:rPr>
          <w:rFonts w:asciiTheme="minorHAnsi" w:hAnsiTheme="minorHAnsi"/>
          <w:i/>
          <w:iCs/>
          <w:sz w:val="22"/>
          <w:szCs w:val="22"/>
        </w:rPr>
        <w:t xml:space="preserve">. </w:t>
      </w:r>
      <w:r w:rsidRPr="00F21196">
        <w:rPr>
          <w:rFonts w:asciiTheme="minorHAnsi" w:hAnsiTheme="minorHAnsi"/>
          <w:sz w:val="22"/>
          <w:szCs w:val="22"/>
        </w:rPr>
        <w:t xml:space="preserve">Ostatecznie Rada Ministrów przyjęła </w:t>
      </w:r>
      <w:r w:rsidRPr="00F21196">
        <w:rPr>
          <w:rFonts w:asciiTheme="minorHAnsi" w:hAnsiTheme="minorHAnsi"/>
          <w:i/>
          <w:sz w:val="22"/>
          <w:szCs w:val="22"/>
        </w:rPr>
        <w:t>Strategię na rzecz Odpowiedzialnego Rozwoju</w:t>
      </w:r>
      <w:r w:rsidRPr="00F21196">
        <w:rPr>
          <w:rStyle w:val="Odwoanieprzypisudolnego"/>
          <w:rFonts w:asciiTheme="minorHAnsi" w:hAnsiTheme="minorHAnsi"/>
          <w:i/>
          <w:sz w:val="22"/>
          <w:szCs w:val="22"/>
        </w:rPr>
        <w:footnoteReference w:id="2"/>
      </w:r>
      <w:r w:rsidRPr="00F21196">
        <w:rPr>
          <w:rFonts w:asciiTheme="minorHAnsi" w:hAnsiTheme="minorHAnsi"/>
          <w:i/>
          <w:sz w:val="22"/>
          <w:szCs w:val="22"/>
        </w:rPr>
        <w:t xml:space="preserve"> do roku 2020 (z perspektywą do 2030 r.)</w:t>
      </w:r>
      <w:r w:rsidRPr="00F21196">
        <w:rPr>
          <w:rFonts w:asciiTheme="minorHAnsi" w:hAnsiTheme="minorHAnsi"/>
          <w:sz w:val="22"/>
          <w:szCs w:val="22"/>
        </w:rPr>
        <w:t xml:space="preserve"> </w:t>
      </w:r>
      <w:r w:rsidR="00521C50" w:rsidRPr="00F21196">
        <w:rPr>
          <w:rFonts w:asciiTheme="minorHAnsi" w:hAnsiTheme="minorHAnsi"/>
          <w:sz w:val="22"/>
          <w:szCs w:val="22"/>
        </w:rPr>
        <w:t xml:space="preserve">- </w:t>
      </w:r>
      <w:r w:rsidRPr="00F21196">
        <w:rPr>
          <w:rFonts w:asciiTheme="minorHAnsi" w:hAnsiTheme="minorHAnsi"/>
          <w:sz w:val="22"/>
          <w:szCs w:val="22"/>
        </w:rPr>
        <w:t xml:space="preserve">dalej: </w:t>
      </w:r>
      <w:r w:rsidR="00521C50" w:rsidRPr="00F21196">
        <w:rPr>
          <w:rFonts w:asciiTheme="minorHAnsi" w:hAnsiTheme="minorHAnsi"/>
          <w:sz w:val="22"/>
          <w:szCs w:val="22"/>
        </w:rPr>
        <w:t>SOR -</w:t>
      </w:r>
      <w:r w:rsidRPr="00F21196">
        <w:rPr>
          <w:rFonts w:asciiTheme="minorHAnsi" w:hAnsiTheme="minorHAnsi"/>
          <w:sz w:val="22"/>
          <w:szCs w:val="22"/>
        </w:rPr>
        <w:t xml:space="preserve"> w dniu 14 lutego 2017 r. </w:t>
      </w:r>
    </w:p>
    <w:p w14:paraId="4A63C074" w14:textId="4A155A02" w:rsidR="00111B9D" w:rsidRPr="00F21196" w:rsidRDefault="00111B9D" w:rsidP="00BB4B41">
      <w:pPr>
        <w:pStyle w:val="Default"/>
        <w:spacing w:before="120" w:line="276" w:lineRule="auto"/>
        <w:jc w:val="both"/>
        <w:rPr>
          <w:rFonts w:asciiTheme="minorHAnsi" w:eastAsia="Times New Roman" w:hAnsiTheme="minorHAnsi"/>
          <w:sz w:val="22"/>
          <w:szCs w:val="22"/>
          <w:lang w:eastAsia="pl-PL"/>
        </w:rPr>
      </w:pPr>
      <w:r w:rsidRPr="00F21196">
        <w:rPr>
          <w:rFonts w:asciiTheme="minorHAnsi" w:hAnsiTheme="minorHAnsi"/>
          <w:sz w:val="22"/>
          <w:szCs w:val="22"/>
        </w:rPr>
        <w:t>SOR</w:t>
      </w:r>
      <w:r w:rsidRPr="00F21196">
        <w:rPr>
          <w:rFonts w:asciiTheme="minorHAnsi" w:hAnsiTheme="minorHAnsi"/>
          <w:i/>
          <w:iCs/>
          <w:sz w:val="22"/>
          <w:szCs w:val="22"/>
        </w:rPr>
        <w:t xml:space="preserve"> </w:t>
      </w:r>
      <w:r w:rsidRPr="00F21196">
        <w:rPr>
          <w:rFonts w:asciiTheme="minorHAnsi" w:hAnsiTheme="minorHAnsi"/>
          <w:bCs/>
          <w:sz w:val="22"/>
          <w:szCs w:val="22"/>
        </w:rPr>
        <w:t>jest aktualizacją średniookresowej strategii rozwoju kraju</w:t>
      </w:r>
      <w:r w:rsidR="009A0FDE">
        <w:rPr>
          <w:rFonts w:asciiTheme="minorHAnsi" w:hAnsiTheme="minorHAnsi"/>
          <w:bCs/>
          <w:sz w:val="22"/>
          <w:szCs w:val="22"/>
        </w:rPr>
        <w:t xml:space="preserve"> - </w:t>
      </w:r>
      <w:r w:rsidRPr="009A0FDE">
        <w:rPr>
          <w:rFonts w:asciiTheme="minorHAnsi" w:hAnsiTheme="minorHAnsi"/>
          <w:bCs/>
          <w:i/>
          <w:iCs/>
          <w:sz w:val="22"/>
          <w:szCs w:val="22"/>
        </w:rPr>
        <w:t>Strategii Rozwoju Kraju 2020</w:t>
      </w:r>
      <w:r w:rsidRPr="009A0FDE">
        <w:rPr>
          <w:rStyle w:val="Odwoanieprzypisudolnego"/>
          <w:rFonts w:asciiTheme="minorHAnsi" w:hAnsiTheme="minorHAnsi"/>
          <w:bCs/>
          <w:i/>
          <w:iCs/>
          <w:sz w:val="22"/>
          <w:szCs w:val="22"/>
        </w:rPr>
        <w:footnoteReference w:id="3"/>
      </w:r>
      <w:r w:rsidRPr="009A0FDE">
        <w:rPr>
          <w:rFonts w:asciiTheme="minorHAnsi" w:hAnsiTheme="minorHAnsi"/>
          <w:sz w:val="22"/>
          <w:szCs w:val="22"/>
        </w:rPr>
        <w:t>.</w:t>
      </w:r>
      <w:r w:rsidRPr="00F21196">
        <w:rPr>
          <w:rFonts w:asciiTheme="minorHAnsi" w:hAnsiTheme="minorHAnsi"/>
          <w:sz w:val="22"/>
          <w:szCs w:val="22"/>
        </w:rPr>
        <w:t xml:space="preserve"> Jako p</w:t>
      </w:r>
      <w:r w:rsidRPr="00F21196">
        <w:rPr>
          <w:rFonts w:asciiTheme="minorHAnsi" w:eastAsia="Times New Roman" w:hAnsiTheme="minorHAnsi"/>
          <w:sz w:val="22"/>
          <w:szCs w:val="22"/>
          <w:lang w:eastAsia="pl-PL"/>
        </w:rPr>
        <w:t xml:space="preserve">odstawowy dokument strategiczny </w:t>
      </w:r>
      <w:r w:rsidRPr="00F21196">
        <w:rPr>
          <w:rFonts w:asciiTheme="minorHAnsi" w:hAnsiTheme="minorHAnsi"/>
          <w:sz w:val="22"/>
          <w:szCs w:val="22"/>
        </w:rPr>
        <w:t xml:space="preserve">na nowo definiuje wizję strategiczną, zasady, cele i priorytety rozwoju kraju w wymiarze gospodarczym, społecznym i przestrzennym. Stanowi ponadto podstawę dla przygotowywania dokumentów składających się na spójny system dokumentów strategicznych - strategii rozwoju, wszystkich polityk, programów i projektów. Dodatkowo </w:t>
      </w:r>
      <w:r w:rsidRPr="00F21196">
        <w:rPr>
          <w:rFonts w:asciiTheme="minorHAnsi" w:eastAsia="Times New Roman" w:hAnsiTheme="minorHAnsi"/>
          <w:sz w:val="22"/>
          <w:szCs w:val="22"/>
          <w:lang w:eastAsia="pl-PL"/>
        </w:rPr>
        <w:t xml:space="preserve">określa cele rozwojowe kraju, kierunki interwencji, działania i projekty strategiczne, które powinny znaleźć odzwierciedlenie we wszystkich dokumentach strategicznych - innych strategiach rozwoju, politykach, programach itp. W tym sensie SOR stanowi podstawę dla aktualizacji oraz przygotowywania pozostałych dokumentów składających się na spójny system dokumentów strategicznych. </w:t>
      </w:r>
    </w:p>
    <w:p w14:paraId="6FDAEEC1" w14:textId="5D726FF6" w:rsidR="009472BE" w:rsidRPr="00F21196" w:rsidRDefault="00111B9D" w:rsidP="00BB4B41">
      <w:pPr>
        <w:tabs>
          <w:tab w:val="left" w:pos="4678"/>
        </w:tabs>
        <w:spacing w:before="120" w:after="0" w:line="276" w:lineRule="auto"/>
        <w:jc w:val="both"/>
        <w:rPr>
          <w:rFonts w:eastAsia="Times New Roman" w:cs="Calibri"/>
          <w:lang w:eastAsia="pl-PL"/>
        </w:rPr>
      </w:pPr>
      <w:r w:rsidRPr="00F21196">
        <w:rPr>
          <w:rFonts w:cs="Arial"/>
        </w:rPr>
        <w:t xml:space="preserve">Komitet Koordynacyjny ds. Polityki Rozwoju </w:t>
      </w:r>
      <w:r w:rsidR="009472BE" w:rsidRPr="00F21196">
        <w:rPr>
          <w:rFonts w:cs="Arial"/>
        </w:rPr>
        <w:t xml:space="preserve">(KKPR) </w:t>
      </w:r>
      <w:r w:rsidRPr="00F21196">
        <w:rPr>
          <w:rFonts w:cs="Arial"/>
        </w:rPr>
        <w:t xml:space="preserve">w drodze uchwały nr 65 </w:t>
      </w:r>
      <w:r w:rsidR="00C5246A" w:rsidRPr="00F21196">
        <w:rPr>
          <w:rFonts w:cs="Arial"/>
        </w:rPr>
        <w:t xml:space="preserve">pozytywnie zaopiniował </w:t>
      </w:r>
      <w:r w:rsidRPr="00F21196">
        <w:rPr>
          <w:rFonts w:cs="Arial"/>
        </w:rPr>
        <w:t xml:space="preserve">dokument pn. </w:t>
      </w:r>
      <w:r w:rsidRPr="00F21196">
        <w:rPr>
          <w:rFonts w:cs="Calibri,Italic"/>
          <w:i/>
          <w:iCs/>
          <w:color w:val="000000"/>
        </w:rPr>
        <w:t xml:space="preserve">Aktualizacja systemu dokumentów strategicznych, wynikająca z przyjętej przez Radę Ministrów w dniu 14 lutego 2017 r. Strategii na rzecz Odpowiedzialnego Rozwoju do roku 2020 (z perspektywą </w:t>
      </w:r>
      <w:r w:rsidR="005D4C4C">
        <w:rPr>
          <w:rFonts w:cs="Calibri,Italic"/>
          <w:i/>
          <w:iCs/>
          <w:color w:val="000000"/>
        </w:rPr>
        <w:br/>
      </w:r>
      <w:r w:rsidRPr="00F21196">
        <w:rPr>
          <w:rFonts w:cs="Calibri,Italic"/>
          <w:i/>
          <w:iCs/>
          <w:color w:val="000000"/>
        </w:rPr>
        <w:t>do 2030 r.)</w:t>
      </w:r>
      <w:r w:rsidR="00521C50" w:rsidRPr="00F21196">
        <w:rPr>
          <w:rFonts w:eastAsia="Times New Roman" w:cs="Calibri"/>
          <w:i/>
          <w:lang w:eastAsia="pl-PL"/>
        </w:rPr>
        <w:t xml:space="preserve"> – zakres oraz sposób organizacji prac</w:t>
      </w:r>
      <w:r w:rsidRPr="00F21196">
        <w:rPr>
          <w:rFonts w:cs="Calibri,Italic"/>
          <w:i/>
          <w:iCs/>
          <w:color w:val="000000"/>
        </w:rPr>
        <w:t xml:space="preserve">, </w:t>
      </w:r>
      <w:r w:rsidRPr="00F21196">
        <w:rPr>
          <w:rFonts w:cs="Calibri"/>
          <w:color w:val="000000"/>
        </w:rPr>
        <w:t>któr</w:t>
      </w:r>
      <w:r w:rsidR="00C5246A" w:rsidRPr="00F21196">
        <w:rPr>
          <w:rFonts w:cs="Calibri"/>
          <w:color w:val="000000"/>
        </w:rPr>
        <w:t>y</w:t>
      </w:r>
      <w:r w:rsidRPr="00F21196">
        <w:rPr>
          <w:rFonts w:cs="Calibri"/>
          <w:color w:val="000000"/>
        </w:rPr>
        <w:t xml:space="preserve"> ramowo określa zakres oraz sposób organizacji prac nad zintegrowanymi strategiami rozwoju. </w:t>
      </w:r>
      <w:r w:rsidR="009472BE" w:rsidRPr="00F21196">
        <w:rPr>
          <w:rFonts w:cs="Calibri"/>
          <w:color w:val="000000"/>
        </w:rPr>
        <w:t xml:space="preserve">Przedmiotowy dokument proponował nazwy </w:t>
      </w:r>
      <w:r w:rsidR="00305017">
        <w:rPr>
          <w:rFonts w:cs="Calibri"/>
          <w:color w:val="000000"/>
        </w:rPr>
        <w:t>nowych</w:t>
      </w:r>
      <w:r w:rsidR="009472BE" w:rsidRPr="00F21196">
        <w:rPr>
          <w:rFonts w:cs="Calibri"/>
          <w:color w:val="000000"/>
        </w:rPr>
        <w:t xml:space="preserve"> </w:t>
      </w:r>
      <w:r w:rsidR="00826C56">
        <w:rPr>
          <w:rFonts w:cs="Calibri"/>
          <w:color w:val="000000"/>
        </w:rPr>
        <w:br/>
        <w:t xml:space="preserve">9 </w:t>
      </w:r>
      <w:r w:rsidR="009472BE" w:rsidRPr="00F21196">
        <w:rPr>
          <w:rFonts w:cs="Calibri"/>
          <w:color w:val="000000"/>
        </w:rPr>
        <w:t xml:space="preserve">zintegrowanych strategii rozwoju, </w:t>
      </w:r>
      <w:r w:rsidR="00305017">
        <w:rPr>
          <w:rFonts w:cs="Calibri"/>
          <w:color w:val="000000"/>
        </w:rPr>
        <w:t xml:space="preserve">ich zakres tematyczny, sposób organizacji pracy, przypisywał projekty strategiczne SOR i wskaźniki monitorowania. Ostatecznie prace analityczno-koncepcyjno-legislacyjne toczyły się nad </w:t>
      </w:r>
      <w:r w:rsidR="009472BE" w:rsidRPr="00F21196">
        <w:rPr>
          <w:rFonts w:eastAsia="Times New Roman" w:cs="Calibri"/>
          <w:lang w:eastAsia="pl-PL"/>
        </w:rPr>
        <w:t>następując</w:t>
      </w:r>
      <w:r w:rsidR="00305017">
        <w:rPr>
          <w:rFonts w:eastAsia="Times New Roman" w:cs="Calibri"/>
          <w:lang w:eastAsia="pl-PL"/>
        </w:rPr>
        <w:t>ymi</w:t>
      </w:r>
      <w:r w:rsidR="009472BE" w:rsidRPr="00F21196">
        <w:rPr>
          <w:rFonts w:eastAsia="Times New Roman" w:cs="Calibri"/>
          <w:lang w:eastAsia="pl-PL"/>
        </w:rPr>
        <w:t xml:space="preserve"> strategi</w:t>
      </w:r>
      <w:r w:rsidR="00305017">
        <w:rPr>
          <w:rFonts w:eastAsia="Times New Roman" w:cs="Calibri"/>
          <w:lang w:eastAsia="pl-PL"/>
        </w:rPr>
        <w:t>ami</w:t>
      </w:r>
      <w:r w:rsidR="009472BE" w:rsidRPr="00F21196">
        <w:rPr>
          <w:rFonts w:eastAsia="Times New Roman" w:cs="Calibri"/>
          <w:lang w:eastAsia="pl-PL"/>
        </w:rPr>
        <w:t xml:space="preserve">: </w:t>
      </w:r>
    </w:p>
    <w:p w14:paraId="3D0644B8" w14:textId="77777777" w:rsidR="009472BE" w:rsidRPr="00F21196" w:rsidRDefault="00AC18E0" w:rsidP="00723B3F">
      <w:pPr>
        <w:numPr>
          <w:ilvl w:val="0"/>
          <w:numId w:val="26"/>
        </w:numPr>
        <w:spacing w:after="0" w:line="276" w:lineRule="auto"/>
        <w:ind w:left="426" w:hanging="153"/>
        <w:jc w:val="both"/>
        <w:rPr>
          <w:rFonts w:eastAsia="Times New Roman" w:cs="Calibri"/>
          <w:lang w:eastAsia="pl-PL"/>
        </w:rPr>
      </w:pPr>
      <w:r>
        <w:rPr>
          <w:rFonts w:eastAsia="Times New Roman" w:cs="Calibri"/>
          <w:bCs/>
          <w:lang w:eastAsia="pl-PL"/>
        </w:rPr>
        <w:t>Strategia P</w:t>
      </w:r>
      <w:r w:rsidR="006E7F98" w:rsidRPr="00F21196">
        <w:rPr>
          <w:rFonts w:eastAsia="Times New Roman" w:cs="Calibri"/>
          <w:bCs/>
          <w:lang w:eastAsia="pl-PL"/>
        </w:rPr>
        <w:t>roduktywności</w:t>
      </w:r>
      <w:r w:rsidR="00710446" w:rsidRPr="00F21196">
        <w:rPr>
          <w:rFonts w:eastAsia="Times New Roman" w:cs="Calibri"/>
          <w:bCs/>
          <w:lang w:eastAsia="pl-PL"/>
        </w:rPr>
        <w:t>,</w:t>
      </w:r>
    </w:p>
    <w:p w14:paraId="3487222F" w14:textId="77777777" w:rsidR="009472BE" w:rsidRPr="00F21196" w:rsidRDefault="006E7F98" w:rsidP="00723B3F">
      <w:pPr>
        <w:numPr>
          <w:ilvl w:val="0"/>
          <w:numId w:val="26"/>
        </w:numPr>
        <w:spacing w:after="0" w:line="276" w:lineRule="auto"/>
        <w:ind w:left="426" w:hanging="153"/>
        <w:jc w:val="both"/>
        <w:rPr>
          <w:rFonts w:eastAsia="Times New Roman" w:cs="Calibri"/>
          <w:lang w:eastAsia="pl-PL"/>
        </w:rPr>
      </w:pPr>
      <w:r w:rsidRPr="00F21196">
        <w:rPr>
          <w:rFonts w:eastAsia="Times New Roman" w:cs="Calibri"/>
          <w:bCs/>
          <w:lang w:eastAsia="pl-PL"/>
        </w:rPr>
        <w:t>Strategia Rozwoju Kapitału Ludzkiego 2030 r.</w:t>
      </w:r>
      <w:r w:rsidRPr="00F21196">
        <w:rPr>
          <w:rFonts w:eastAsia="Times New Roman" w:cs="Calibri"/>
          <w:lang w:eastAsia="pl-PL"/>
        </w:rPr>
        <w:t>,</w:t>
      </w:r>
    </w:p>
    <w:p w14:paraId="3F3728A9" w14:textId="77777777" w:rsidR="006E7F98" w:rsidRPr="00F21196" w:rsidRDefault="006E7F98" w:rsidP="00723B3F">
      <w:pPr>
        <w:numPr>
          <w:ilvl w:val="0"/>
          <w:numId w:val="26"/>
        </w:numPr>
        <w:spacing w:after="0" w:line="276" w:lineRule="auto"/>
        <w:ind w:left="426" w:hanging="153"/>
        <w:jc w:val="both"/>
        <w:rPr>
          <w:rFonts w:eastAsia="Times New Roman" w:cs="Calibri"/>
        </w:rPr>
      </w:pPr>
      <w:r w:rsidRPr="00F21196">
        <w:rPr>
          <w:rFonts w:eastAsia="Times New Roman" w:cs="Calibri"/>
          <w:bCs/>
        </w:rPr>
        <w:t xml:space="preserve">Strategia Rozwoju Kapitału Społecznego - </w:t>
      </w:r>
      <w:r w:rsidRPr="00F21196">
        <w:rPr>
          <w:rFonts w:eastAsia="Times New Roman" w:cs="Calibri"/>
          <w:bCs/>
          <w:i/>
          <w:iCs/>
        </w:rPr>
        <w:t>współdziałanie, kultura, kreatywność -</w:t>
      </w:r>
      <w:r w:rsidR="00DA071D" w:rsidRPr="00F21196">
        <w:rPr>
          <w:rFonts w:eastAsia="Times New Roman" w:cs="Calibri"/>
          <w:bCs/>
          <w:i/>
          <w:iCs/>
        </w:rPr>
        <w:t xml:space="preserve"> </w:t>
      </w:r>
      <w:r w:rsidRPr="00F21196">
        <w:rPr>
          <w:rFonts w:eastAsia="Times New Roman" w:cs="Calibri"/>
          <w:bCs/>
        </w:rPr>
        <w:t>do roku 20</w:t>
      </w:r>
      <w:r w:rsidR="00B071F4">
        <w:rPr>
          <w:rFonts w:eastAsia="Times New Roman" w:cs="Calibri"/>
          <w:bCs/>
        </w:rPr>
        <w:t>20 (z perspektywą do roku 2030),</w:t>
      </w:r>
    </w:p>
    <w:p w14:paraId="421FAF17" w14:textId="77777777" w:rsidR="009472BE" w:rsidRPr="00F21196" w:rsidRDefault="00710446" w:rsidP="00723B3F">
      <w:pPr>
        <w:numPr>
          <w:ilvl w:val="0"/>
          <w:numId w:val="26"/>
        </w:numPr>
        <w:spacing w:after="0" w:line="276" w:lineRule="auto"/>
        <w:ind w:left="426" w:hanging="153"/>
        <w:jc w:val="both"/>
        <w:rPr>
          <w:rFonts w:eastAsia="Times New Roman" w:cs="Calibri"/>
          <w:lang w:eastAsia="pl-PL"/>
        </w:rPr>
      </w:pPr>
      <w:r w:rsidRPr="00F21196">
        <w:rPr>
          <w:rFonts w:eastAsia="Times New Roman" w:cs="Calibri"/>
          <w:bCs/>
          <w:lang w:eastAsia="pl-PL"/>
        </w:rPr>
        <w:t>Sprawne i Nowoczesne Państwo 2030,</w:t>
      </w:r>
    </w:p>
    <w:p w14:paraId="548CDB13" w14:textId="77777777" w:rsidR="009472BE" w:rsidRPr="00F21196" w:rsidRDefault="009472BE" w:rsidP="00723B3F">
      <w:pPr>
        <w:numPr>
          <w:ilvl w:val="0"/>
          <w:numId w:val="26"/>
        </w:numPr>
        <w:spacing w:after="0" w:line="276" w:lineRule="auto"/>
        <w:ind w:left="426" w:hanging="153"/>
        <w:jc w:val="both"/>
        <w:rPr>
          <w:rFonts w:eastAsia="Times New Roman" w:cs="Calibri"/>
          <w:lang w:eastAsia="pl-PL"/>
        </w:rPr>
      </w:pPr>
      <w:r w:rsidRPr="00F21196">
        <w:rPr>
          <w:rFonts w:eastAsia="Times New Roman" w:cs="Calibri"/>
          <w:bCs/>
          <w:lang w:eastAsia="pl-PL"/>
        </w:rPr>
        <w:t>Krajowa Strategia Rozwoju Regionalnego</w:t>
      </w:r>
      <w:r w:rsidR="00736921">
        <w:rPr>
          <w:rFonts w:eastAsia="Times New Roman" w:cs="Calibri"/>
          <w:bCs/>
          <w:lang w:eastAsia="pl-PL"/>
        </w:rPr>
        <w:t xml:space="preserve"> 2030</w:t>
      </w:r>
      <w:r w:rsidR="006E7F98" w:rsidRPr="00F21196">
        <w:rPr>
          <w:rFonts w:eastAsia="Times New Roman" w:cs="Calibri"/>
          <w:lang w:eastAsia="pl-PL"/>
        </w:rPr>
        <w:t xml:space="preserve">, </w:t>
      </w:r>
    </w:p>
    <w:p w14:paraId="3ABD39F3" w14:textId="77777777" w:rsidR="009472BE" w:rsidRPr="00F21196" w:rsidRDefault="006E7F98" w:rsidP="00723B3F">
      <w:pPr>
        <w:numPr>
          <w:ilvl w:val="0"/>
          <w:numId w:val="26"/>
        </w:numPr>
        <w:spacing w:after="0" w:line="276" w:lineRule="auto"/>
        <w:ind w:left="426" w:hanging="153"/>
        <w:jc w:val="both"/>
        <w:rPr>
          <w:rFonts w:eastAsia="Times New Roman" w:cs="Calibri"/>
          <w:lang w:eastAsia="pl-PL"/>
        </w:rPr>
      </w:pPr>
      <w:r w:rsidRPr="00F21196">
        <w:t>Strategi</w:t>
      </w:r>
      <w:r w:rsidR="006E6060">
        <w:t>a</w:t>
      </w:r>
      <w:r w:rsidRPr="00F21196">
        <w:t xml:space="preserve"> zrównoważonego rozwoju wsi, rolnictwa i rybactwa 2030,</w:t>
      </w:r>
    </w:p>
    <w:p w14:paraId="0864F526" w14:textId="3B912E06" w:rsidR="009472BE" w:rsidRPr="00F21196" w:rsidRDefault="00073669" w:rsidP="00723B3F">
      <w:pPr>
        <w:numPr>
          <w:ilvl w:val="0"/>
          <w:numId w:val="26"/>
        </w:numPr>
        <w:spacing w:after="0" w:line="276" w:lineRule="auto"/>
        <w:ind w:left="426" w:hanging="153"/>
        <w:jc w:val="both"/>
        <w:rPr>
          <w:rFonts w:eastAsia="Times New Roman" w:cs="Calibri"/>
          <w:lang w:eastAsia="pl-PL"/>
        </w:rPr>
      </w:pPr>
      <w:r w:rsidRPr="00F21196">
        <w:rPr>
          <w:rFonts w:eastAsia="Times New Roman" w:cs="Calibri"/>
          <w:bCs/>
          <w:lang w:eastAsia="pl-PL"/>
        </w:rPr>
        <w:t xml:space="preserve">Strategia </w:t>
      </w:r>
      <w:r>
        <w:rPr>
          <w:rFonts w:eastAsia="Times New Roman" w:cs="Calibri"/>
          <w:bCs/>
          <w:lang w:eastAsia="pl-PL"/>
        </w:rPr>
        <w:t>Zrównoważonego</w:t>
      </w:r>
      <w:r w:rsidRPr="00F21196">
        <w:rPr>
          <w:rFonts w:eastAsia="Times New Roman" w:cs="Calibri"/>
          <w:bCs/>
          <w:lang w:eastAsia="pl-PL"/>
        </w:rPr>
        <w:t xml:space="preserve"> </w:t>
      </w:r>
      <w:r>
        <w:rPr>
          <w:rFonts w:eastAsia="Times New Roman" w:cs="Calibri"/>
          <w:bCs/>
          <w:lang w:eastAsia="pl-PL"/>
        </w:rPr>
        <w:t>R</w:t>
      </w:r>
      <w:r w:rsidRPr="00F21196">
        <w:rPr>
          <w:rFonts w:eastAsia="Times New Roman" w:cs="Calibri"/>
          <w:bCs/>
          <w:lang w:eastAsia="pl-PL"/>
        </w:rPr>
        <w:t xml:space="preserve">ozwoju </w:t>
      </w:r>
      <w:r>
        <w:rPr>
          <w:rFonts w:eastAsia="Times New Roman" w:cs="Calibri"/>
          <w:bCs/>
          <w:lang w:eastAsia="pl-PL"/>
        </w:rPr>
        <w:t>T</w:t>
      </w:r>
      <w:r w:rsidRPr="00F21196">
        <w:rPr>
          <w:rFonts w:eastAsia="Times New Roman" w:cs="Calibri"/>
          <w:bCs/>
          <w:lang w:eastAsia="pl-PL"/>
        </w:rPr>
        <w:t>ransportu do 2030 roku</w:t>
      </w:r>
      <w:r w:rsidR="00074A82" w:rsidRPr="00F21196">
        <w:rPr>
          <w:rFonts w:eastAsia="Times New Roman" w:cs="Calibri"/>
          <w:bCs/>
          <w:lang w:eastAsia="pl-PL"/>
        </w:rPr>
        <w:t>,</w:t>
      </w:r>
    </w:p>
    <w:p w14:paraId="241D6C6D" w14:textId="7F6347EE" w:rsidR="009472BE" w:rsidRPr="00F366D6" w:rsidRDefault="009472BE" w:rsidP="00723B3F">
      <w:pPr>
        <w:numPr>
          <w:ilvl w:val="0"/>
          <w:numId w:val="26"/>
        </w:numPr>
        <w:spacing w:after="0" w:line="276" w:lineRule="auto"/>
        <w:ind w:left="426" w:hanging="153"/>
        <w:jc w:val="both"/>
        <w:rPr>
          <w:rFonts w:eastAsia="Times New Roman" w:cs="Calibri"/>
          <w:lang w:eastAsia="pl-PL"/>
        </w:rPr>
      </w:pPr>
      <w:r w:rsidRPr="00F366D6">
        <w:rPr>
          <w:rFonts w:eastAsia="Times New Roman" w:cs="Calibri"/>
          <w:lang w:eastAsia="pl-PL"/>
        </w:rPr>
        <w:t xml:space="preserve">Polityka Energetyczna Polski </w:t>
      </w:r>
      <w:r w:rsidR="006E7F98" w:rsidRPr="00F366D6">
        <w:rPr>
          <w:rFonts w:eastAsia="Times New Roman" w:cs="Calibri"/>
          <w:lang w:eastAsia="pl-PL"/>
        </w:rPr>
        <w:t>do 20</w:t>
      </w:r>
      <w:r w:rsidR="00B071F4" w:rsidRPr="00F366D6">
        <w:rPr>
          <w:rFonts w:eastAsia="Times New Roman" w:cs="Calibri"/>
          <w:lang w:eastAsia="pl-PL"/>
        </w:rPr>
        <w:t>4</w:t>
      </w:r>
      <w:r w:rsidR="006E7F98" w:rsidRPr="00F366D6">
        <w:rPr>
          <w:rFonts w:eastAsia="Times New Roman" w:cs="Calibri"/>
          <w:lang w:eastAsia="pl-PL"/>
        </w:rPr>
        <w:t>0 r.</w:t>
      </w:r>
      <w:r w:rsidR="00074A82" w:rsidRPr="00F366D6">
        <w:rPr>
          <w:rFonts w:eastAsia="Times New Roman" w:cs="Calibri"/>
          <w:lang w:eastAsia="pl-PL"/>
        </w:rPr>
        <w:t>,</w:t>
      </w:r>
    </w:p>
    <w:p w14:paraId="5D60F513" w14:textId="7DEB5DA3" w:rsidR="007C0F1C" w:rsidRPr="007C0F1C" w:rsidRDefault="007C0F1C" w:rsidP="00723B3F">
      <w:pPr>
        <w:numPr>
          <w:ilvl w:val="0"/>
          <w:numId w:val="26"/>
        </w:numPr>
        <w:spacing w:after="120" w:line="276" w:lineRule="auto"/>
        <w:ind w:left="426" w:hanging="153"/>
        <w:jc w:val="both"/>
      </w:pPr>
      <w:r w:rsidRPr="007C0F1C">
        <w:rPr>
          <w:rStyle w:val="highlight"/>
        </w:rPr>
        <w:t>Polityka</w:t>
      </w:r>
      <w:r w:rsidRPr="007C0F1C">
        <w:t xml:space="preserve"> </w:t>
      </w:r>
      <w:r w:rsidRPr="007C0F1C">
        <w:rPr>
          <w:rStyle w:val="highlight"/>
        </w:rPr>
        <w:t>ekologiczna</w:t>
      </w:r>
      <w:r w:rsidRPr="007C0F1C">
        <w:t xml:space="preserve"> </w:t>
      </w:r>
      <w:r w:rsidRPr="007C0F1C">
        <w:rPr>
          <w:rStyle w:val="highlight"/>
        </w:rPr>
        <w:t>państwa</w:t>
      </w:r>
      <w:r w:rsidRPr="007C0F1C">
        <w:t xml:space="preserve"> </w:t>
      </w:r>
      <w:r w:rsidRPr="007C0F1C">
        <w:rPr>
          <w:rStyle w:val="highlight"/>
        </w:rPr>
        <w:t>2030</w:t>
      </w:r>
      <w:r w:rsidRPr="007C0F1C">
        <w:t xml:space="preserve"> - strategii rozwoju w obszarze środowiska i gospodarki wodnej</w:t>
      </w:r>
      <w:r>
        <w:t>.</w:t>
      </w:r>
    </w:p>
    <w:p w14:paraId="6FB2EE70" w14:textId="0199386A" w:rsidR="00B35963" w:rsidRPr="00BB4B41" w:rsidRDefault="007C0F1C" w:rsidP="00BB4B41">
      <w:pPr>
        <w:spacing w:after="120" w:line="276" w:lineRule="auto"/>
        <w:jc w:val="both"/>
      </w:pPr>
      <w:r w:rsidRPr="00BB4B41">
        <w:rPr>
          <w:rFonts w:eastAsia="Times New Roman" w:cs="Calibri"/>
          <w:lang w:eastAsia="pl-PL"/>
        </w:rPr>
        <w:t>Wymienione</w:t>
      </w:r>
      <w:r w:rsidR="009472BE" w:rsidRPr="00BB4B41">
        <w:rPr>
          <w:rFonts w:eastAsia="Times New Roman" w:cs="Calibri"/>
          <w:lang w:eastAsia="pl-PL"/>
        </w:rPr>
        <w:t xml:space="preserve"> strategie podlega</w:t>
      </w:r>
      <w:r w:rsidR="006E7F98" w:rsidRPr="00BB4B41">
        <w:rPr>
          <w:rFonts w:eastAsia="Times New Roman" w:cs="Calibri"/>
          <w:lang w:eastAsia="pl-PL"/>
        </w:rPr>
        <w:t>ły</w:t>
      </w:r>
      <w:r w:rsidR="009472BE" w:rsidRPr="00BB4B41">
        <w:rPr>
          <w:rFonts w:eastAsia="Times New Roman" w:cs="Calibri"/>
          <w:lang w:eastAsia="pl-PL"/>
        </w:rPr>
        <w:t xml:space="preserve"> ewaluacji ex-ante oraz strategicznej ocenie oddziaływania na środowisko. Proces ewaluacji ex-ante zosta</w:t>
      </w:r>
      <w:r w:rsidR="006E7F98" w:rsidRPr="00BB4B41">
        <w:rPr>
          <w:rFonts w:eastAsia="Times New Roman" w:cs="Calibri"/>
          <w:lang w:eastAsia="pl-PL"/>
        </w:rPr>
        <w:t>ł</w:t>
      </w:r>
      <w:r w:rsidR="009472BE" w:rsidRPr="00BB4B41">
        <w:rPr>
          <w:rFonts w:eastAsia="Times New Roman" w:cs="Calibri"/>
          <w:lang w:eastAsia="pl-PL"/>
        </w:rPr>
        <w:t xml:space="preserve"> skoordynowany i przeprowadzony wspólnie dla wszystkich 9 strategii przez Ministerstwo </w:t>
      </w:r>
      <w:r w:rsidR="006E7F98" w:rsidRPr="00BB4B41">
        <w:rPr>
          <w:rFonts w:eastAsia="Times New Roman" w:cs="Calibri"/>
          <w:lang w:eastAsia="pl-PL"/>
        </w:rPr>
        <w:t xml:space="preserve">Inwestycji i </w:t>
      </w:r>
      <w:r w:rsidR="009472BE" w:rsidRPr="00BB4B41">
        <w:rPr>
          <w:rFonts w:eastAsia="Times New Roman" w:cs="Calibri"/>
          <w:lang w:eastAsia="pl-PL"/>
        </w:rPr>
        <w:t>Rozwoju</w:t>
      </w:r>
      <w:r w:rsidR="006E7F98" w:rsidRPr="00BB4B41">
        <w:rPr>
          <w:rFonts w:eastAsia="Times New Roman" w:cs="Calibri"/>
          <w:lang w:eastAsia="pl-PL"/>
        </w:rPr>
        <w:t>.</w:t>
      </w:r>
      <w:r w:rsidR="00B35963" w:rsidRPr="00BB4B41">
        <w:t xml:space="preserve"> Ewaluacja ex-ante miała na celu dokonanie oceny projektowanych strategii pod kątem ich spójności logicznej, trafności zaplanowanych działań w kontekście celów SOR oraz spójności i komplementarności pomiędzy projektami strategicznymi wynikającymi z SOR i nowymi projektami </w:t>
      </w:r>
      <w:r w:rsidR="00B35963" w:rsidRPr="00BB4B41">
        <w:lastRenderedPageBreak/>
        <w:t>strategicznymi, zarówno w warstwie diagnostycznej, strategicznej jak i wdrożeniowej oraz weryfikacji wskaźników pod kątem spójności ze wskaźnikami SOR</w:t>
      </w:r>
      <w:r w:rsidR="00123AC4">
        <w:rPr>
          <w:rStyle w:val="Odwoanieprzypisudolnego"/>
        </w:rPr>
        <w:footnoteReference w:id="4"/>
      </w:r>
      <w:r w:rsidR="00B35963" w:rsidRPr="00BB4B41">
        <w:t xml:space="preserve">. </w:t>
      </w:r>
    </w:p>
    <w:p w14:paraId="3E722BA2" w14:textId="670A16EB" w:rsidR="009472BE" w:rsidRDefault="00BB4B41" w:rsidP="00BB4B41">
      <w:pPr>
        <w:tabs>
          <w:tab w:val="left" w:pos="4678"/>
        </w:tabs>
        <w:spacing w:before="120" w:after="0" w:line="276" w:lineRule="auto"/>
        <w:jc w:val="both"/>
        <w:rPr>
          <w:bCs/>
        </w:rPr>
      </w:pPr>
      <w:r w:rsidRPr="00BB4B41">
        <w:t>Strategia</w:t>
      </w:r>
      <w:r w:rsidRPr="00BB4B41">
        <w:rPr>
          <w:rFonts w:eastAsia="Times New Roman" w:cs="Calibri"/>
          <w:bCs/>
          <w:lang w:eastAsia="pl-PL"/>
        </w:rPr>
        <w:t xml:space="preserve"> </w:t>
      </w:r>
      <w:r w:rsidR="00073462">
        <w:rPr>
          <w:rFonts w:eastAsia="Times New Roman" w:cs="Calibri"/>
          <w:bCs/>
          <w:lang w:eastAsia="pl-PL"/>
        </w:rPr>
        <w:t>„</w:t>
      </w:r>
      <w:r w:rsidRPr="00BB4B41">
        <w:rPr>
          <w:bCs/>
        </w:rPr>
        <w:t>Sprawne i Nowoczesne Państwo 2030</w:t>
      </w:r>
      <w:r w:rsidR="00073462">
        <w:rPr>
          <w:bCs/>
        </w:rPr>
        <w:t>”</w:t>
      </w:r>
      <w:r w:rsidRPr="00BB4B41">
        <w:rPr>
          <w:bCs/>
        </w:rPr>
        <w:t xml:space="preserve"> jest kontynuacją programowania strategicznego w ustalonym zakresie tematycznym, w której uwzględnione zostały doświadczenia </w:t>
      </w:r>
      <w:r w:rsidR="00073462">
        <w:rPr>
          <w:bCs/>
        </w:rPr>
        <w:t>z</w:t>
      </w:r>
      <w:r w:rsidRPr="00BB4B41">
        <w:rPr>
          <w:bCs/>
        </w:rPr>
        <w:t xml:space="preserve"> realizacji poprzedniej edycji tej strategii - strategii </w:t>
      </w:r>
      <w:r w:rsidR="00073462">
        <w:rPr>
          <w:bCs/>
        </w:rPr>
        <w:t>„</w:t>
      </w:r>
      <w:r w:rsidRPr="00BB4B41">
        <w:rPr>
          <w:bCs/>
        </w:rPr>
        <w:t>Sprawne Państwo 2020</w:t>
      </w:r>
      <w:r w:rsidR="00073462">
        <w:rPr>
          <w:bCs/>
        </w:rPr>
        <w:t>”</w:t>
      </w:r>
      <w:r w:rsidRPr="00BB4B41">
        <w:rPr>
          <w:bCs/>
        </w:rPr>
        <w:t xml:space="preserve"> (SSP). Osiągnięte oceny i przewartościowania w tym względzie stanowią ważny impuls dla kształtowania nowego etapu polityki rozwoju</w:t>
      </w:r>
      <w:r w:rsidR="007612B8">
        <w:rPr>
          <w:bCs/>
        </w:rPr>
        <w:t>,</w:t>
      </w:r>
      <w:r w:rsidRPr="00BB4B41">
        <w:rPr>
          <w:bCs/>
        </w:rPr>
        <w:t xml:space="preserve"> w tym szczególnym wielowątkowym obszarze, jakim jest </w:t>
      </w:r>
      <w:r w:rsidR="007612B8">
        <w:rPr>
          <w:bCs/>
        </w:rPr>
        <w:t xml:space="preserve">zapewnienie </w:t>
      </w:r>
      <w:r w:rsidRPr="00BB4B41">
        <w:rPr>
          <w:bCs/>
        </w:rPr>
        <w:t>sprawne</w:t>
      </w:r>
      <w:r w:rsidR="007612B8">
        <w:rPr>
          <w:bCs/>
        </w:rPr>
        <w:t xml:space="preserve">go i </w:t>
      </w:r>
      <w:r w:rsidRPr="00BB4B41">
        <w:rPr>
          <w:bCs/>
        </w:rPr>
        <w:t>efektywne</w:t>
      </w:r>
      <w:r w:rsidR="007612B8">
        <w:rPr>
          <w:bCs/>
        </w:rPr>
        <w:t>go funkcjonowania</w:t>
      </w:r>
      <w:r w:rsidRPr="00BB4B41">
        <w:rPr>
          <w:bCs/>
        </w:rPr>
        <w:t xml:space="preserve"> państwa</w:t>
      </w:r>
      <w:r w:rsidR="00543B55">
        <w:rPr>
          <w:bCs/>
        </w:rPr>
        <w:t>.</w:t>
      </w:r>
    </w:p>
    <w:p w14:paraId="699D1A61" w14:textId="5D80DF1F" w:rsidR="00543B55" w:rsidRPr="00BB4B41" w:rsidRDefault="00543B55" w:rsidP="00BB4B41">
      <w:pPr>
        <w:tabs>
          <w:tab w:val="left" w:pos="4678"/>
        </w:tabs>
        <w:spacing w:before="120" w:after="0" w:line="276" w:lineRule="auto"/>
        <w:jc w:val="both"/>
        <w:rPr>
          <w:rFonts w:cs="Calibri"/>
          <w:color w:val="000000"/>
        </w:rPr>
      </w:pPr>
      <w:r>
        <w:rPr>
          <w:bCs/>
        </w:rPr>
        <w:t xml:space="preserve">Podstawą prawną tworzenia i realizacji strategii </w:t>
      </w:r>
      <w:r w:rsidR="00073462">
        <w:rPr>
          <w:bCs/>
        </w:rPr>
        <w:t>„</w:t>
      </w:r>
      <w:r>
        <w:rPr>
          <w:bCs/>
        </w:rPr>
        <w:t>Sprawne i Nowoczesne Państwo 2030</w:t>
      </w:r>
      <w:r w:rsidR="00073462">
        <w:rPr>
          <w:bCs/>
        </w:rPr>
        <w:t>”</w:t>
      </w:r>
      <w:r>
        <w:rPr>
          <w:bCs/>
        </w:rPr>
        <w:t xml:space="preserve">, podobnie jak dla pozostałych zintegrowanych strategii rozwoju </w:t>
      </w:r>
      <w:r w:rsidR="00562FA8">
        <w:rPr>
          <w:bCs/>
        </w:rPr>
        <w:t xml:space="preserve">kraju, </w:t>
      </w:r>
      <w:r>
        <w:rPr>
          <w:bCs/>
        </w:rPr>
        <w:t xml:space="preserve">jest ustawa z dnia 6 grudnia 2006 r. </w:t>
      </w:r>
      <w:r w:rsidRPr="00562FA8">
        <w:rPr>
          <w:bCs/>
          <w:i/>
        </w:rPr>
        <w:t>o zasadach prowadzenia polityki rozwoju</w:t>
      </w:r>
      <w:r w:rsidR="00890665">
        <w:rPr>
          <w:rStyle w:val="Odwoanieprzypisudolnego"/>
          <w:bCs/>
          <w:i/>
        </w:rPr>
        <w:footnoteReference w:id="5"/>
      </w:r>
      <w:r w:rsidR="00562FA8">
        <w:rPr>
          <w:bCs/>
        </w:rPr>
        <w:t xml:space="preserve">, w szczególności rozdział 2. </w:t>
      </w:r>
      <w:r w:rsidR="00562FA8" w:rsidRPr="00562FA8">
        <w:rPr>
          <w:bCs/>
          <w:i/>
        </w:rPr>
        <w:t>Strategie rozwoju</w:t>
      </w:r>
      <w:r w:rsidR="00562FA8">
        <w:rPr>
          <w:bCs/>
        </w:rPr>
        <w:t>, w którym np. określono elementy, jakie w szczególności winny być odzwierciedlone w strategii.</w:t>
      </w:r>
    </w:p>
    <w:p w14:paraId="3D00C3E3" w14:textId="77777777" w:rsidR="00111B9D" w:rsidRPr="00BB4B41" w:rsidRDefault="00111B9D" w:rsidP="00BB4B41">
      <w:pPr>
        <w:tabs>
          <w:tab w:val="left" w:pos="4678"/>
        </w:tabs>
        <w:spacing w:before="120" w:after="0" w:line="276" w:lineRule="auto"/>
        <w:jc w:val="both"/>
        <w:rPr>
          <w:rFonts w:cs="Calibri"/>
          <w:color w:val="000000"/>
        </w:rPr>
      </w:pPr>
      <w:r w:rsidRPr="00BB4B41">
        <w:rPr>
          <w:rFonts w:cs="Calibri"/>
          <w:color w:val="000000"/>
        </w:rPr>
        <w:t xml:space="preserve">Dodatkowo </w:t>
      </w:r>
      <w:r w:rsidR="004B3AC2" w:rsidRPr="00BB4B41">
        <w:rPr>
          <w:rFonts w:cs="Calibri"/>
          <w:color w:val="000000"/>
        </w:rPr>
        <w:t xml:space="preserve">KKPR </w:t>
      </w:r>
      <w:r w:rsidRPr="00BB4B41">
        <w:rPr>
          <w:rFonts w:cs="Calibri"/>
          <w:color w:val="000000"/>
        </w:rPr>
        <w:t>powołał międzyresortowe Zespoły do opracowania projektów aktualizacji strategii zintegrowanych</w:t>
      </w:r>
      <w:r w:rsidRPr="00BB4B41">
        <w:rPr>
          <w:rStyle w:val="Odwoanieprzypisudolnego"/>
          <w:rFonts w:cs="Calibri"/>
          <w:color w:val="000000"/>
        </w:rPr>
        <w:footnoteReference w:id="6"/>
      </w:r>
      <w:r w:rsidRPr="00BB4B41">
        <w:rPr>
          <w:rFonts w:cs="Calibri"/>
          <w:color w:val="000000"/>
        </w:rPr>
        <w:t xml:space="preserve">, w tym Zespół ds. strategii sprawne państwo powierzając </w:t>
      </w:r>
      <w:r w:rsidR="00C5246A" w:rsidRPr="00BB4B41">
        <w:rPr>
          <w:rFonts w:cs="Calibri"/>
          <w:color w:val="000000"/>
        </w:rPr>
        <w:t xml:space="preserve">jego </w:t>
      </w:r>
      <w:r w:rsidRPr="00BB4B41">
        <w:rPr>
          <w:rFonts w:cs="Calibri"/>
          <w:color w:val="000000"/>
        </w:rPr>
        <w:t>koordynację Ministerstwu Spraw Wewnętrznych i Administracji.</w:t>
      </w:r>
    </w:p>
    <w:p w14:paraId="6167B3BB" w14:textId="70BCBC75" w:rsidR="001428C9" w:rsidRPr="007612B8" w:rsidRDefault="001428C9" w:rsidP="00BB4B41">
      <w:pPr>
        <w:tabs>
          <w:tab w:val="left" w:pos="4678"/>
        </w:tabs>
        <w:spacing w:after="0" w:line="276" w:lineRule="auto"/>
        <w:jc w:val="both"/>
      </w:pPr>
      <w:r w:rsidRPr="00BB4B41">
        <w:t xml:space="preserve">Praca Zespołu odbywała się na cyklicznie organizowanych posiedzeniach. </w:t>
      </w:r>
      <w:r w:rsidR="008E1564" w:rsidRPr="00BB4B41">
        <w:t>O</w:t>
      </w:r>
      <w:r w:rsidRPr="00BB4B41">
        <w:t xml:space="preserve">pisy poszczególnych części </w:t>
      </w:r>
      <w:r w:rsidR="008E1564" w:rsidRPr="00BB4B41">
        <w:t>strategii b</w:t>
      </w:r>
      <w:r w:rsidR="00DE58E7" w:rsidRPr="00BB4B41">
        <w:t xml:space="preserve">yły </w:t>
      </w:r>
      <w:r w:rsidRPr="00BB4B41">
        <w:t xml:space="preserve">opracowane przez członków Zespołu reprezentujących </w:t>
      </w:r>
      <w:r w:rsidR="00DE58E7" w:rsidRPr="00BB4B41">
        <w:t xml:space="preserve">dane ministerstwo. </w:t>
      </w:r>
      <w:r w:rsidRPr="00BB4B41">
        <w:t xml:space="preserve">Przy opracowywaniu </w:t>
      </w:r>
      <w:r w:rsidR="008E1564" w:rsidRPr="00BB4B41">
        <w:t xml:space="preserve">dokumentu </w:t>
      </w:r>
      <w:r w:rsidRPr="00BB4B41">
        <w:t xml:space="preserve">korzystano z wielu źródeł, spośród których podstawowym dokumentem </w:t>
      </w:r>
      <w:r w:rsidR="00DE58E7" w:rsidRPr="00BB4B41">
        <w:t>był</w:t>
      </w:r>
      <w:r w:rsidRPr="00BB4B41">
        <w:t xml:space="preserve"> </w:t>
      </w:r>
      <w:r w:rsidR="009248D2" w:rsidRPr="00BB4B41">
        <w:t>SOR</w:t>
      </w:r>
      <w:r w:rsidR="00DE58E7" w:rsidRPr="00BB4B41">
        <w:t xml:space="preserve">, a także </w:t>
      </w:r>
      <w:r w:rsidRPr="00BB4B41">
        <w:t>dokumenty programowe przyjęte przez R</w:t>
      </w:r>
      <w:r w:rsidR="008E1564" w:rsidRPr="00BB4B41">
        <w:t>adę Ministrów</w:t>
      </w:r>
      <w:r w:rsidRPr="00BB4B41">
        <w:t xml:space="preserve">. </w:t>
      </w:r>
      <w:r w:rsidRPr="007612B8">
        <w:t xml:space="preserve">Źródłem danych i informacji </w:t>
      </w:r>
      <w:r w:rsidR="00DE58E7" w:rsidRPr="007612B8">
        <w:t>były</w:t>
      </w:r>
      <w:r w:rsidRPr="007612B8">
        <w:t xml:space="preserve"> również analizy </w:t>
      </w:r>
      <w:r w:rsidR="00073462">
        <w:br/>
      </w:r>
      <w:r w:rsidRPr="007612B8">
        <w:t>i opracowania krajowe, jak również badania i publikacje organizacji międzynarodowych – OECD, UE.</w:t>
      </w:r>
    </w:p>
    <w:p w14:paraId="68F476E5" w14:textId="77777777" w:rsidR="00BB4B41" w:rsidRPr="00BB4B41" w:rsidRDefault="00BB4B41" w:rsidP="00BB4B41">
      <w:pPr>
        <w:spacing w:line="276" w:lineRule="auto"/>
        <w:rPr>
          <w:i/>
          <w:shd w:val="clear" w:color="auto" w:fill="FFFF00"/>
        </w:rPr>
      </w:pPr>
    </w:p>
    <w:p w14:paraId="6266E5B9" w14:textId="1E103B04" w:rsidR="009248D2" w:rsidRPr="00BB4B41" w:rsidRDefault="00123AC4" w:rsidP="00BB4B41">
      <w:pPr>
        <w:jc w:val="both"/>
        <w:rPr>
          <w:rFonts w:cs="Calibri"/>
          <w:color w:val="000000"/>
        </w:rPr>
      </w:pPr>
      <w:r w:rsidRPr="00BB4B41">
        <w:rPr>
          <w:rFonts w:cs="Calibri"/>
          <w:color w:val="000000"/>
        </w:rPr>
        <w:br w:type="page"/>
      </w:r>
    </w:p>
    <w:p w14:paraId="2087CD6A" w14:textId="77777777" w:rsidR="004B3AC2" w:rsidRPr="00F21196" w:rsidRDefault="0067034F" w:rsidP="004B3AC2">
      <w:pPr>
        <w:shd w:val="clear" w:color="auto" w:fill="D9E2F3" w:themeFill="accent5" w:themeFillTint="33"/>
        <w:spacing w:after="120"/>
        <w:rPr>
          <w:rFonts w:eastAsia="Times New Roman" w:cs="Calibri"/>
          <w:b/>
          <w:bCs/>
          <w:color w:val="000000" w:themeColor="text1"/>
          <w:sz w:val="28"/>
          <w:lang w:eastAsia="pl-PL"/>
        </w:rPr>
      </w:pPr>
      <w:r>
        <w:rPr>
          <w:rFonts w:eastAsia="Times New Roman" w:cs="Calibri"/>
          <w:b/>
          <w:bCs/>
          <w:color w:val="000000" w:themeColor="text1"/>
          <w:sz w:val="28"/>
          <w:lang w:eastAsia="pl-PL"/>
        </w:rPr>
        <w:t xml:space="preserve">I. </w:t>
      </w:r>
      <w:r w:rsidR="004B3AC2" w:rsidRPr="00F21196">
        <w:rPr>
          <w:rFonts w:eastAsia="Times New Roman" w:cs="Calibri"/>
          <w:b/>
          <w:bCs/>
          <w:color w:val="000000" w:themeColor="text1"/>
          <w:sz w:val="28"/>
          <w:lang w:eastAsia="pl-PL"/>
        </w:rPr>
        <w:t xml:space="preserve">STRESZCZENIE  </w:t>
      </w:r>
    </w:p>
    <w:p w14:paraId="75800AA0" w14:textId="6ED517D3" w:rsidR="00111B9D" w:rsidRPr="00BC7429" w:rsidRDefault="00111B9D" w:rsidP="00BC7429">
      <w:pPr>
        <w:autoSpaceDE w:val="0"/>
        <w:autoSpaceDN w:val="0"/>
        <w:adjustRightInd w:val="0"/>
        <w:spacing w:before="120" w:after="0" w:line="276" w:lineRule="auto"/>
        <w:jc w:val="both"/>
        <w:rPr>
          <w:rFonts w:cstheme="minorHAnsi"/>
        </w:rPr>
      </w:pPr>
      <w:r w:rsidRPr="00BC7429">
        <w:rPr>
          <w:rFonts w:cstheme="minorHAnsi"/>
          <w:color w:val="000000"/>
        </w:rPr>
        <w:t xml:space="preserve">Strategia „Sprawne </w:t>
      </w:r>
      <w:r w:rsidR="00861276" w:rsidRPr="00BC7429">
        <w:rPr>
          <w:rFonts w:cstheme="minorHAnsi"/>
          <w:color w:val="000000"/>
        </w:rPr>
        <w:t xml:space="preserve">i Nowoczesne </w:t>
      </w:r>
      <w:r w:rsidRPr="00BC7429">
        <w:rPr>
          <w:rFonts w:cstheme="minorHAnsi"/>
          <w:color w:val="000000"/>
        </w:rPr>
        <w:t>Państwo 2030 r.” (dalej: S</w:t>
      </w:r>
      <w:r w:rsidR="00861276" w:rsidRPr="00BC7429">
        <w:rPr>
          <w:rFonts w:cstheme="minorHAnsi"/>
          <w:color w:val="000000"/>
        </w:rPr>
        <w:t>N</w:t>
      </w:r>
      <w:r w:rsidRPr="00BC7429">
        <w:rPr>
          <w:rFonts w:cstheme="minorHAnsi"/>
          <w:color w:val="000000"/>
        </w:rPr>
        <w:t>P) stanowi aktualizację przyjętej przez Radę Ministrów strategii „Sprawne Państwo 2020”</w:t>
      </w:r>
      <w:r w:rsidRPr="00BC7429">
        <w:rPr>
          <w:rStyle w:val="Odwoanieprzypisudolnego"/>
          <w:rFonts w:cstheme="minorHAnsi"/>
          <w:color w:val="000000"/>
        </w:rPr>
        <w:footnoteReference w:id="7"/>
      </w:r>
      <w:r w:rsidRPr="00BC7429">
        <w:rPr>
          <w:rFonts w:cstheme="minorHAnsi"/>
          <w:color w:val="000000"/>
        </w:rPr>
        <w:t>.</w:t>
      </w:r>
      <w:r w:rsidR="002803F4" w:rsidRPr="00BC7429">
        <w:rPr>
          <w:rFonts w:cstheme="minorHAnsi"/>
          <w:color w:val="000000"/>
        </w:rPr>
        <w:t xml:space="preserve"> </w:t>
      </w:r>
      <w:r w:rsidRPr="00BC7429">
        <w:rPr>
          <w:rFonts w:cstheme="minorHAnsi"/>
          <w:color w:val="000000"/>
        </w:rPr>
        <w:t>S</w:t>
      </w:r>
      <w:r w:rsidR="00CD5064" w:rsidRPr="00BC7429">
        <w:rPr>
          <w:rFonts w:cstheme="minorHAnsi"/>
          <w:color w:val="000000"/>
        </w:rPr>
        <w:t>N</w:t>
      </w:r>
      <w:r w:rsidRPr="00BC7429">
        <w:rPr>
          <w:rFonts w:cstheme="minorHAnsi"/>
          <w:color w:val="000000"/>
        </w:rPr>
        <w:t xml:space="preserve">P </w:t>
      </w:r>
      <w:r w:rsidR="00CD5064" w:rsidRPr="00BC7429">
        <w:rPr>
          <w:rFonts w:cstheme="minorHAnsi"/>
          <w:color w:val="000000"/>
        </w:rPr>
        <w:t xml:space="preserve">ramowo </w:t>
      </w:r>
      <w:r w:rsidRPr="00BC7429">
        <w:rPr>
          <w:rFonts w:cstheme="minorHAnsi"/>
          <w:color w:val="000000"/>
        </w:rPr>
        <w:t xml:space="preserve">określa kierunki interwencji do 2030 roku, </w:t>
      </w:r>
      <w:r w:rsidR="00073462" w:rsidRPr="00BC7429">
        <w:rPr>
          <w:rFonts w:cstheme="minorHAnsi"/>
          <w:color w:val="000000"/>
        </w:rPr>
        <w:t xml:space="preserve">które </w:t>
      </w:r>
      <w:r w:rsidR="00CD5064" w:rsidRPr="00BC7429">
        <w:rPr>
          <w:rFonts w:cstheme="minorHAnsi"/>
          <w:color w:val="000000"/>
        </w:rPr>
        <w:t xml:space="preserve">planuje się podjąć </w:t>
      </w:r>
      <w:r w:rsidRPr="00BC7429">
        <w:rPr>
          <w:rFonts w:cstheme="minorHAnsi"/>
          <w:color w:val="000000"/>
        </w:rPr>
        <w:t xml:space="preserve">na rzecz </w:t>
      </w:r>
      <w:r w:rsidRPr="00BC7429">
        <w:rPr>
          <w:rFonts w:cstheme="minorHAnsi"/>
        </w:rPr>
        <w:t>zapewnienia odpowiednich warunków dla prowadzenia działalności gospodarczej i realizacji potrzeb obywateli w celu zapewnienia spójnej i efektywnej realizacji polityki rozwojowej.</w:t>
      </w:r>
    </w:p>
    <w:p w14:paraId="551ECF4A" w14:textId="77777777" w:rsidR="008C310E" w:rsidRPr="00BC7429" w:rsidRDefault="008C310E" w:rsidP="00BC7429">
      <w:pPr>
        <w:autoSpaceDE w:val="0"/>
        <w:autoSpaceDN w:val="0"/>
        <w:adjustRightInd w:val="0"/>
        <w:spacing w:before="120" w:after="0" w:line="276" w:lineRule="auto"/>
        <w:rPr>
          <w:rFonts w:cstheme="minorHAnsi"/>
          <w:color w:val="000000"/>
          <w:sz w:val="20"/>
        </w:rPr>
      </w:pPr>
      <w:r w:rsidRPr="00BC7429">
        <w:rPr>
          <w:rFonts w:cstheme="minorHAnsi"/>
          <w:color w:val="000000"/>
          <w:sz w:val="20"/>
        </w:rPr>
        <w:t xml:space="preserve">Rysunek 1. </w:t>
      </w:r>
      <w:r w:rsidR="002C2B9D" w:rsidRPr="00BC7429">
        <w:rPr>
          <w:rFonts w:cstheme="minorHAnsi"/>
          <w:color w:val="000000"/>
          <w:sz w:val="20"/>
        </w:rPr>
        <w:t xml:space="preserve">Usytuowanie </w:t>
      </w:r>
      <w:r w:rsidRPr="00BC7429">
        <w:rPr>
          <w:rFonts w:cstheme="minorHAnsi"/>
          <w:color w:val="000000"/>
          <w:sz w:val="20"/>
        </w:rPr>
        <w:t>S</w:t>
      </w:r>
      <w:r w:rsidR="00790054" w:rsidRPr="00BC7429">
        <w:rPr>
          <w:rFonts w:cstheme="minorHAnsi"/>
          <w:color w:val="000000"/>
          <w:sz w:val="20"/>
        </w:rPr>
        <w:t>NP</w:t>
      </w:r>
      <w:r w:rsidRPr="00BC7429">
        <w:rPr>
          <w:rFonts w:cstheme="minorHAnsi"/>
          <w:color w:val="000000"/>
          <w:sz w:val="20"/>
        </w:rPr>
        <w:t xml:space="preserve"> w systemie zintegrowanych strategii rozwoju kraju </w:t>
      </w:r>
    </w:p>
    <w:p w14:paraId="0686B5FC" w14:textId="77777777" w:rsidR="002C2B9D" w:rsidRPr="00BC7429" w:rsidRDefault="002C2B9D" w:rsidP="00BC7429">
      <w:pPr>
        <w:autoSpaceDE w:val="0"/>
        <w:autoSpaceDN w:val="0"/>
        <w:adjustRightInd w:val="0"/>
        <w:spacing w:before="120" w:after="0" w:line="276" w:lineRule="auto"/>
        <w:rPr>
          <w:rFonts w:cstheme="minorHAnsi"/>
          <w:color w:val="000000"/>
        </w:rPr>
      </w:pPr>
      <w:r w:rsidRPr="00BC7429">
        <w:rPr>
          <w:rFonts w:cstheme="minorHAnsi"/>
          <w:b/>
          <w:noProof/>
          <w:lang w:eastAsia="pl-PL"/>
        </w:rPr>
        <w:drawing>
          <wp:inline distT="0" distB="0" distL="0" distR="0" wp14:anchorId="7F6F074A" wp14:editId="4B0CE164">
            <wp:extent cx="5737452" cy="374332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D_poziom krajowy"/>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50118" cy="3751588"/>
                    </a:xfrm>
                    <a:prstGeom prst="rect">
                      <a:avLst/>
                    </a:prstGeom>
                    <a:noFill/>
                    <a:ln>
                      <a:noFill/>
                    </a:ln>
                  </pic:spPr>
                </pic:pic>
              </a:graphicData>
            </a:graphic>
          </wp:inline>
        </w:drawing>
      </w:r>
    </w:p>
    <w:p w14:paraId="05FDEEAC" w14:textId="2BE1ED17" w:rsidR="008C310E" w:rsidRPr="00BC7429" w:rsidRDefault="007D0F8B" w:rsidP="00BC7429">
      <w:pPr>
        <w:autoSpaceDE w:val="0"/>
        <w:autoSpaceDN w:val="0"/>
        <w:adjustRightInd w:val="0"/>
        <w:spacing w:before="120" w:after="0" w:line="276" w:lineRule="auto"/>
        <w:jc w:val="both"/>
        <w:rPr>
          <w:rFonts w:cstheme="minorHAnsi"/>
          <w:i/>
          <w:sz w:val="18"/>
        </w:rPr>
      </w:pPr>
      <w:r>
        <w:rPr>
          <w:rFonts w:cstheme="minorHAnsi"/>
          <w:i/>
          <w:color w:val="000000"/>
          <w:sz w:val="18"/>
        </w:rPr>
        <w:t>Źródło: Ministerstwo</w:t>
      </w:r>
      <w:r w:rsidR="00890665">
        <w:rPr>
          <w:rFonts w:cstheme="minorHAnsi"/>
          <w:i/>
          <w:color w:val="000000"/>
          <w:sz w:val="18"/>
        </w:rPr>
        <w:t xml:space="preserve"> </w:t>
      </w:r>
      <w:r w:rsidR="005C66BF" w:rsidRPr="00BC7429">
        <w:rPr>
          <w:rFonts w:cstheme="minorHAnsi"/>
          <w:i/>
          <w:color w:val="000000"/>
          <w:sz w:val="18"/>
        </w:rPr>
        <w:t>Funduszy i Polityki Regionalnej</w:t>
      </w:r>
    </w:p>
    <w:p w14:paraId="6B5A5781" w14:textId="78FB973A" w:rsidR="008A4930" w:rsidRPr="00BC7429" w:rsidRDefault="00111B9D" w:rsidP="00BC7429">
      <w:pPr>
        <w:autoSpaceDE w:val="0"/>
        <w:autoSpaceDN w:val="0"/>
        <w:adjustRightInd w:val="0"/>
        <w:spacing w:before="120" w:after="0" w:line="276" w:lineRule="auto"/>
        <w:jc w:val="both"/>
        <w:rPr>
          <w:rFonts w:cstheme="minorHAnsi"/>
        </w:rPr>
      </w:pPr>
      <w:r w:rsidRPr="00BC7429">
        <w:rPr>
          <w:rFonts w:cstheme="minorHAnsi"/>
        </w:rPr>
        <w:t xml:space="preserve">Okres obowiązywania </w:t>
      </w:r>
      <w:r w:rsidRPr="00BC7429">
        <w:rPr>
          <w:rFonts w:cstheme="minorHAnsi"/>
          <w:bCs/>
        </w:rPr>
        <w:t>strategii</w:t>
      </w:r>
      <w:r w:rsidRPr="00BC7429">
        <w:rPr>
          <w:rFonts w:cstheme="minorHAnsi"/>
        </w:rPr>
        <w:t xml:space="preserve"> </w:t>
      </w:r>
      <w:r w:rsidR="004B3AC2" w:rsidRPr="00BC7429">
        <w:rPr>
          <w:rFonts w:cstheme="minorHAnsi"/>
        </w:rPr>
        <w:t xml:space="preserve">do 2030 r. </w:t>
      </w:r>
      <w:r w:rsidRPr="00BC7429">
        <w:rPr>
          <w:rFonts w:cstheme="minorHAnsi"/>
        </w:rPr>
        <w:t xml:space="preserve">pozwoli na stopniowe wdrażanie proponowanych instrumentów o charakterze instytucjonalno-prawno-finansowym. Równocześnie zapewnione </w:t>
      </w:r>
      <w:r w:rsidR="00073462" w:rsidRPr="00BC7429">
        <w:rPr>
          <w:rFonts w:cstheme="minorHAnsi"/>
        </w:rPr>
        <w:t>będzie</w:t>
      </w:r>
      <w:r w:rsidRPr="00BC7429">
        <w:rPr>
          <w:rFonts w:cstheme="minorHAnsi"/>
        </w:rPr>
        <w:t xml:space="preserve"> ich wykorzystanie przy programowaniu działań współfinansowanych w ramach kolejnej perspektywy finansowej U</w:t>
      </w:r>
      <w:r w:rsidR="00C5246A" w:rsidRPr="00BC7429">
        <w:rPr>
          <w:rFonts w:cstheme="minorHAnsi"/>
        </w:rPr>
        <w:t>nii Europejskiej</w:t>
      </w:r>
      <w:r w:rsidRPr="00BC7429">
        <w:rPr>
          <w:rFonts w:cstheme="minorHAnsi"/>
        </w:rPr>
        <w:t xml:space="preserve">. </w:t>
      </w:r>
      <w:r w:rsidR="004B3AC2" w:rsidRPr="00BC7429">
        <w:rPr>
          <w:rFonts w:cstheme="minorHAnsi"/>
        </w:rPr>
        <w:t>Dodatkowo h</w:t>
      </w:r>
      <w:r w:rsidRPr="00BC7429">
        <w:rPr>
          <w:rFonts w:cstheme="minorHAnsi"/>
          <w:color w:val="000000"/>
        </w:rPr>
        <w:t>oryzont czasowy S</w:t>
      </w:r>
      <w:r w:rsidR="00CD5064" w:rsidRPr="00BC7429">
        <w:rPr>
          <w:rFonts w:cstheme="minorHAnsi"/>
          <w:color w:val="000000"/>
        </w:rPr>
        <w:t>N</w:t>
      </w:r>
      <w:r w:rsidRPr="00BC7429">
        <w:rPr>
          <w:rFonts w:cstheme="minorHAnsi"/>
          <w:color w:val="000000"/>
        </w:rPr>
        <w:t>P pokrywa się</w:t>
      </w:r>
      <w:r w:rsidR="00C5246A" w:rsidRPr="00BC7429">
        <w:rPr>
          <w:rFonts w:cstheme="minorHAnsi"/>
          <w:color w:val="000000"/>
        </w:rPr>
        <w:t xml:space="preserve"> z horyzontem obowiązywania SOR, </w:t>
      </w:r>
      <w:r w:rsidR="00073462" w:rsidRPr="00BC7429">
        <w:rPr>
          <w:rFonts w:cstheme="minorHAnsi"/>
          <w:color w:val="000000"/>
        </w:rPr>
        <w:br/>
      </w:r>
      <w:r w:rsidR="00C5246A" w:rsidRPr="00BC7429">
        <w:rPr>
          <w:rFonts w:cstheme="minorHAnsi"/>
          <w:color w:val="000000"/>
        </w:rPr>
        <w:t xml:space="preserve">co warunkuje potrzebę zachowania spójności obu dokumentów. </w:t>
      </w:r>
    </w:p>
    <w:p w14:paraId="03DBE92D" w14:textId="77777777" w:rsidR="00E6544C" w:rsidRPr="00BC7429" w:rsidRDefault="00082180" w:rsidP="00BC7429">
      <w:pPr>
        <w:spacing w:before="120" w:after="0" w:line="276" w:lineRule="auto"/>
        <w:jc w:val="both"/>
        <w:rPr>
          <w:rFonts w:eastAsia="Times New Roman" w:cstheme="minorHAnsi"/>
          <w:lang w:eastAsia="pl-PL"/>
        </w:rPr>
      </w:pPr>
      <w:r w:rsidRPr="00BC7429">
        <w:rPr>
          <w:rFonts w:eastAsia="Times New Roman" w:cstheme="minorHAnsi"/>
          <w:lang w:eastAsia="pl-PL"/>
        </w:rPr>
        <w:t>Zakres tematyczny S</w:t>
      </w:r>
      <w:r w:rsidR="00CD5064" w:rsidRPr="00BC7429">
        <w:rPr>
          <w:rFonts w:eastAsia="Times New Roman" w:cstheme="minorHAnsi"/>
          <w:lang w:eastAsia="pl-PL"/>
        </w:rPr>
        <w:t>NP</w:t>
      </w:r>
      <w:r w:rsidR="009A35DF" w:rsidRPr="00BC7429">
        <w:rPr>
          <w:rFonts w:eastAsia="Times New Roman" w:cstheme="minorHAnsi"/>
          <w:lang w:eastAsia="pl-PL"/>
        </w:rPr>
        <w:t xml:space="preserve"> </w:t>
      </w:r>
      <w:r w:rsidRPr="00BC7429">
        <w:rPr>
          <w:rFonts w:eastAsia="Times New Roman" w:cstheme="minorHAnsi"/>
          <w:lang w:eastAsia="pl-PL"/>
        </w:rPr>
        <w:t xml:space="preserve">wynika z SOR </w:t>
      </w:r>
      <w:r w:rsidR="00DA071D" w:rsidRPr="00BC7429">
        <w:rPr>
          <w:rFonts w:eastAsia="Times New Roman" w:cstheme="minorHAnsi"/>
          <w:lang w:eastAsia="pl-PL"/>
        </w:rPr>
        <w:t>oraz</w:t>
      </w:r>
      <w:r w:rsidRPr="00BC7429">
        <w:rPr>
          <w:rFonts w:eastAsia="Times New Roman" w:cstheme="minorHAnsi"/>
          <w:lang w:eastAsia="pl-PL"/>
        </w:rPr>
        <w:t xml:space="preserve"> uchwały nr 6</w:t>
      </w:r>
      <w:r w:rsidR="000E55E9" w:rsidRPr="00BC7429">
        <w:rPr>
          <w:rFonts w:eastAsia="Times New Roman" w:cstheme="minorHAnsi"/>
          <w:lang w:eastAsia="pl-PL"/>
        </w:rPr>
        <w:t xml:space="preserve">5 </w:t>
      </w:r>
      <w:r w:rsidR="00DA071D" w:rsidRPr="00BC7429">
        <w:rPr>
          <w:rFonts w:cstheme="minorHAnsi"/>
        </w:rPr>
        <w:t>Komitet</w:t>
      </w:r>
      <w:r w:rsidR="00B067A8" w:rsidRPr="00BC7429">
        <w:rPr>
          <w:rFonts w:cstheme="minorHAnsi"/>
        </w:rPr>
        <w:t>u</w:t>
      </w:r>
      <w:r w:rsidR="00DA071D" w:rsidRPr="00BC7429">
        <w:rPr>
          <w:rFonts w:cstheme="minorHAnsi"/>
        </w:rPr>
        <w:t xml:space="preserve"> Koordynacyjn</w:t>
      </w:r>
      <w:r w:rsidR="00B067A8" w:rsidRPr="00BC7429">
        <w:rPr>
          <w:rFonts w:cstheme="minorHAnsi"/>
        </w:rPr>
        <w:t xml:space="preserve">ego </w:t>
      </w:r>
      <w:r w:rsidR="00DA071D" w:rsidRPr="00BC7429">
        <w:rPr>
          <w:rFonts w:cstheme="minorHAnsi"/>
        </w:rPr>
        <w:t xml:space="preserve">ds. Polityki Rozwoju z dnia 23 maja 2017 r. w sprawie opinii dotyczącej dokumentu pn. </w:t>
      </w:r>
      <w:r w:rsidR="00DA071D" w:rsidRPr="00BC7429">
        <w:rPr>
          <w:rFonts w:cstheme="minorHAnsi"/>
          <w:i/>
          <w:iCs/>
          <w:color w:val="000000"/>
        </w:rPr>
        <w:t>Aktualizacja systemu dokumentów strategicznych, wynikająca z przyjętej przez Radę Ministrów w dniu 14 lutego 2017 r. Strategii na rzecz Odpowiedzialnego Rozwoju do roku 2020 (z perspektywą do 2030 r.)</w:t>
      </w:r>
      <w:r w:rsidR="00DA071D" w:rsidRPr="00BC7429">
        <w:rPr>
          <w:rFonts w:eastAsia="Times New Roman" w:cstheme="minorHAnsi"/>
          <w:i/>
          <w:lang w:eastAsia="pl-PL"/>
        </w:rPr>
        <w:t xml:space="preserve"> – zakres oraz sposób organizacji prac</w:t>
      </w:r>
      <w:r w:rsidR="000E55E9" w:rsidRPr="00BC7429">
        <w:rPr>
          <w:rFonts w:eastAsia="Times New Roman" w:cstheme="minorHAnsi"/>
          <w:lang w:eastAsia="pl-PL"/>
        </w:rPr>
        <w:t xml:space="preserve">. </w:t>
      </w:r>
      <w:r w:rsidR="00DA071D" w:rsidRPr="00BC7429">
        <w:rPr>
          <w:rFonts w:eastAsia="Times New Roman" w:cstheme="minorHAnsi"/>
          <w:lang w:eastAsia="pl-PL"/>
        </w:rPr>
        <w:t xml:space="preserve">Zakres ten </w:t>
      </w:r>
      <w:r w:rsidR="000E55E9" w:rsidRPr="00BC7429">
        <w:rPr>
          <w:rFonts w:eastAsia="Times New Roman" w:cstheme="minorHAnsi"/>
          <w:lang w:eastAsia="pl-PL"/>
        </w:rPr>
        <w:t>w trakcie prac Zespołu</w:t>
      </w:r>
      <w:r w:rsidRPr="00BC7429">
        <w:rPr>
          <w:rFonts w:eastAsia="Times New Roman" w:cstheme="minorHAnsi"/>
          <w:lang w:eastAsia="pl-PL"/>
        </w:rPr>
        <w:t xml:space="preserve"> </w:t>
      </w:r>
      <w:r w:rsidR="00DA071D" w:rsidRPr="00BC7429">
        <w:rPr>
          <w:rFonts w:eastAsia="Times New Roman" w:cstheme="minorHAnsi"/>
          <w:lang w:eastAsia="pl-PL"/>
        </w:rPr>
        <w:t xml:space="preserve">dodatkowo został </w:t>
      </w:r>
      <w:r w:rsidRPr="00BC7429">
        <w:rPr>
          <w:rFonts w:eastAsia="Times New Roman" w:cstheme="minorHAnsi"/>
          <w:lang w:eastAsia="pl-PL"/>
        </w:rPr>
        <w:t>zaktualizowany</w:t>
      </w:r>
      <w:r w:rsidR="00F60A8F" w:rsidRPr="00BC7429">
        <w:rPr>
          <w:rFonts w:eastAsia="Times New Roman" w:cstheme="minorHAnsi"/>
          <w:lang w:eastAsia="pl-PL"/>
        </w:rPr>
        <w:t xml:space="preserve"> </w:t>
      </w:r>
      <w:r w:rsidRPr="00BC7429">
        <w:rPr>
          <w:rFonts w:eastAsia="Times New Roman" w:cstheme="minorHAnsi"/>
          <w:lang w:eastAsia="pl-PL"/>
        </w:rPr>
        <w:t xml:space="preserve">i uzupełniony o nowe zagadnienia. </w:t>
      </w:r>
      <w:r w:rsidR="00DA071D" w:rsidRPr="00BC7429">
        <w:rPr>
          <w:rFonts w:eastAsia="Times New Roman" w:cstheme="minorHAnsi"/>
          <w:lang w:eastAsia="pl-PL"/>
        </w:rPr>
        <w:t xml:space="preserve">Ostatecznie SNP </w:t>
      </w:r>
      <w:r w:rsidR="00E6544C" w:rsidRPr="00BC7429">
        <w:rPr>
          <w:rFonts w:eastAsia="Times New Roman" w:cstheme="minorHAnsi"/>
          <w:lang w:eastAsia="pl-PL"/>
        </w:rPr>
        <w:t>obejmuje tematykę odnoszącą się do zagadnień związanych z:</w:t>
      </w:r>
    </w:p>
    <w:p w14:paraId="4EA1EFE3" w14:textId="6B26FD7F" w:rsidR="0058375B" w:rsidRPr="00BC7429" w:rsidRDefault="0058375B" w:rsidP="00723B3F">
      <w:pPr>
        <w:pStyle w:val="Akapitzlist"/>
        <w:numPr>
          <w:ilvl w:val="0"/>
          <w:numId w:val="53"/>
        </w:numPr>
        <w:spacing w:line="276" w:lineRule="auto"/>
        <w:ind w:left="425" w:hanging="357"/>
        <w:jc w:val="both"/>
        <w:rPr>
          <w:rFonts w:asciiTheme="minorHAnsi" w:eastAsia="Times New Roman" w:hAnsiTheme="minorHAnsi" w:cstheme="minorHAnsi"/>
          <w:sz w:val="22"/>
          <w:szCs w:val="22"/>
        </w:rPr>
      </w:pPr>
      <w:r w:rsidRPr="00BC7429">
        <w:rPr>
          <w:rFonts w:asciiTheme="minorHAnsi" w:eastAsia="Times New Roman" w:hAnsiTheme="minorHAnsi" w:cstheme="minorHAnsi"/>
          <w:sz w:val="22"/>
          <w:szCs w:val="22"/>
        </w:rPr>
        <w:t>jakoś</w:t>
      </w:r>
      <w:r w:rsidR="00C85CE1">
        <w:rPr>
          <w:rFonts w:asciiTheme="minorHAnsi" w:eastAsia="Times New Roman" w:hAnsiTheme="minorHAnsi" w:cstheme="minorHAnsi"/>
          <w:sz w:val="22"/>
          <w:szCs w:val="22"/>
        </w:rPr>
        <w:t>cią</w:t>
      </w:r>
      <w:r w:rsidRPr="00BC7429">
        <w:rPr>
          <w:rFonts w:asciiTheme="minorHAnsi" w:eastAsia="Times New Roman" w:hAnsiTheme="minorHAnsi" w:cstheme="minorHAnsi"/>
          <w:sz w:val="22"/>
          <w:szCs w:val="22"/>
        </w:rPr>
        <w:t xml:space="preserve"> tworzenia i wdrażania instrumentów legislacyjnych i regulacyjnych,</w:t>
      </w:r>
    </w:p>
    <w:p w14:paraId="6C6056D2" w14:textId="44514047" w:rsidR="0058375B" w:rsidRPr="00BC7429" w:rsidRDefault="00E6544C" w:rsidP="00723B3F">
      <w:pPr>
        <w:pStyle w:val="Akapitzlist"/>
        <w:numPr>
          <w:ilvl w:val="0"/>
          <w:numId w:val="53"/>
        </w:numPr>
        <w:spacing w:line="276" w:lineRule="auto"/>
        <w:ind w:left="426"/>
        <w:jc w:val="both"/>
        <w:rPr>
          <w:rFonts w:asciiTheme="minorHAnsi" w:eastAsia="Times New Roman" w:hAnsiTheme="minorHAnsi" w:cstheme="minorHAnsi"/>
          <w:sz w:val="22"/>
          <w:szCs w:val="22"/>
        </w:rPr>
      </w:pPr>
      <w:r w:rsidRPr="00BC7429">
        <w:rPr>
          <w:rFonts w:asciiTheme="minorHAnsi" w:eastAsia="Times New Roman" w:hAnsiTheme="minorHAnsi" w:cstheme="minorHAnsi"/>
          <w:sz w:val="22"/>
          <w:szCs w:val="22"/>
        </w:rPr>
        <w:t>organizacją i funkcjo</w:t>
      </w:r>
      <w:r w:rsidR="0058375B" w:rsidRPr="00BC7429">
        <w:rPr>
          <w:rFonts w:asciiTheme="minorHAnsi" w:eastAsia="Times New Roman" w:hAnsiTheme="minorHAnsi" w:cstheme="minorHAnsi"/>
          <w:sz w:val="22"/>
          <w:szCs w:val="22"/>
        </w:rPr>
        <w:t>nowaniem instytucji publicznych, z uwzględnieniem problematyki usprawnienia procesów zarzadzania w administracji,</w:t>
      </w:r>
    </w:p>
    <w:p w14:paraId="0E246928" w14:textId="503DA481" w:rsidR="00945809" w:rsidRPr="00BC7429" w:rsidRDefault="0058375B" w:rsidP="00723B3F">
      <w:pPr>
        <w:pStyle w:val="Akapitzlist"/>
        <w:numPr>
          <w:ilvl w:val="0"/>
          <w:numId w:val="53"/>
        </w:numPr>
        <w:spacing w:line="276" w:lineRule="auto"/>
        <w:ind w:left="426"/>
        <w:jc w:val="both"/>
        <w:rPr>
          <w:rFonts w:asciiTheme="minorHAnsi" w:eastAsia="Times New Roman" w:hAnsiTheme="minorHAnsi" w:cstheme="minorHAnsi"/>
          <w:sz w:val="22"/>
          <w:szCs w:val="22"/>
        </w:rPr>
      </w:pPr>
      <w:r w:rsidRPr="00BC7429">
        <w:rPr>
          <w:rFonts w:asciiTheme="minorHAnsi" w:eastAsia="Times New Roman" w:hAnsiTheme="minorHAnsi" w:cstheme="minorHAnsi"/>
          <w:sz w:val="22"/>
          <w:szCs w:val="22"/>
        </w:rPr>
        <w:t xml:space="preserve">podniesieniem poziomu </w:t>
      </w:r>
      <w:r w:rsidR="00E6544C" w:rsidRPr="00BC7429">
        <w:rPr>
          <w:rFonts w:asciiTheme="minorHAnsi" w:eastAsia="Times New Roman" w:hAnsiTheme="minorHAnsi" w:cstheme="minorHAnsi"/>
          <w:sz w:val="22"/>
          <w:szCs w:val="22"/>
        </w:rPr>
        <w:t>świadczonych usług</w:t>
      </w:r>
      <w:r w:rsidRPr="00BC7429">
        <w:rPr>
          <w:rFonts w:asciiTheme="minorHAnsi" w:eastAsia="Times New Roman" w:hAnsiTheme="minorHAnsi" w:cstheme="minorHAnsi"/>
          <w:sz w:val="22"/>
          <w:szCs w:val="22"/>
        </w:rPr>
        <w:t xml:space="preserve"> publicznych, w tym wprowadzenie</w:t>
      </w:r>
      <w:r w:rsidR="00C85CE1">
        <w:rPr>
          <w:rFonts w:asciiTheme="minorHAnsi" w:eastAsia="Times New Roman" w:hAnsiTheme="minorHAnsi" w:cstheme="minorHAnsi"/>
          <w:sz w:val="22"/>
          <w:szCs w:val="22"/>
        </w:rPr>
        <w:t>m</w:t>
      </w:r>
      <w:r w:rsidRPr="00BC7429">
        <w:rPr>
          <w:rFonts w:asciiTheme="minorHAnsi" w:eastAsia="Times New Roman" w:hAnsiTheme="minorHAnsi" w:cstheme="minorHAnsi"/>
          <w:sz w:val="22"/>
          <w:szCs w:val="22"/>
        </w:rPr>
        <w:t xml:space="preserve"> systemu ich monitorowania i elektronizacja procesów wewnątrz administracji,</w:t>
      </w:r>
    </w:p>
    <w:p w14:paraId="59E21060" w14:textId="126254F0" w:rsidR="0058375B" w:rsidRPr="00BC7429" w:rsidRDefault="00C16867" w:rsidP="00723B3F">
      <w:pPr>
        <w:pStyle w:val="Akapitzlist"/>
        <w:numPr>
          <w:ilvl w:val="0"/>
          <w:numId w:val="53"/>
        </w:numPr>
        <w:spacing w:line="276" w:lineRule="auto"/>
        <w:ind w:left="426"/>
        <w:jc w:val="both"/>
        <w:rPr>
          <w:rFonts w:asciiTheme="minorHAnsi" w:hAnsiTheme="minorHAnsi" w:cstheme="minorHAnsi"/>
          <w:sz w:val="22"/>
          <w:szCs w:val="22"/>
        </w:rPr>
      </w:pPr>
      <w:r w:rsidRPr="00BC7429">
        <w:rPr>
          <w:rFonts w:asciiTheme="minorHAnsi" w:eastAsia="Times New Roman" w:hAnsiTheme="minorHAnsi" w:cstheme="minorHAnsi"/>
          <w:sz w:val="22"/>
          <w:szCs w:val="22"/>
        </w:rPr>
        <w:t>s</w:t>
      </w:r>
      <w:r w:rsidR="0088186F" w:rsidRPr="00BC7429">
        <w:rPr>
          <w:rFonts w:asciiTheme="minorHAnsi" w:eastAsia="Times New Roman" w:hAnsiTheme="minorHAnsi" w:cstheme="minorHAnsi"/>
          <w:sz w:val="22"/>
          <w:szCs w:val="22"/>
        </w:rPr>
        <w:t>ystem</w:t>
      </w:r>
      <w:r w:rsidR="00E6544C" w:rsidRPr="00BC7429">
        <w:rPr>
          <w:rFonts w:asciiTheme="minorHAnsi" w:eastAsia="Times New Roman" w:hAnsiTheme="minorHAnsi" w:cstheme="minorHAnsi"/>
          <w:sz w:val="22"/>
          <w:szCs w:val="22"/>
        </w:rPr>
        <w:t>em</w:t>
      </w:r>
      <w:r w:rsidR="0088186F" w:rsidRPr="00BC7429">
        <w:rPr>
          <w:rFonts w:asciiTheme="minorHAnsi" w:eastAsia="Times New Roman" w:hAnsiTheme="minorHAnsi" w:cstheme="minorHAnsi"/>
          <w:sz w:val="22"/>
          <w:szCs w:val="22"/>
        </w:rPr>
        <w:t xml:space="preserve"> strategicznej koordynacji i zarządzania rozwojem kraju</w:t>
      </w:r>
      <w:r w:rsidR="00945809" w:rsidRPr="00BC7429">
        <w:rPr>
          <w:rFonts w:asciiTheme="minorHAnsi" w:eastAsia="Times New Roman" w:hAnsiTheme="minorHAnsi" w:cstheme="minorHAnsi"/>
          <w:sz w:val="22"/>
          <w:szCs w:val="22"/>
        </w:rPr>
        <w:t xml:space="preserve">, </w:t>
      </w:r>
      <w:r w:rsidR="0058375B" w:rsidRPr="00BC7429">
        <w:rPr>
          <w:rFonts w:asciiTheme="minorHAnsi" w:eastAsia="Times New Roman" w:hAnsiTheme="minorHAnsi" w:cstheme="minorHAnsi"/>
          <w:sz w:val="22"/>
          <w:szCs w:val="22"/>
        </w:rPr>
        <w:t xml:space="preserve">uwzględniającym podejście projektowe w administracji, </w:t>
      </w:r>
    </w:p>
    <w:p w14:paraId="2D7F5F83" w14:textId="0A72FFED" w:rsidR="0058375B" w:rsidRPr="00BC7429" w:rsidRDefault="0058375B" w:rsidP="00723B3F">
      <w:pPr>
        <w:pStyle w:val="Akapitzlist"/>
        <w:numPr>
          <w:ilvl w:val="0"/>
          <w:numId w:val="53"/>
        </w:numPr>
        <w:spacing w:line="276" w:lineRule="auto"/>
        <w:ind w:left="426"/>
        <w:jc w:val="both"/>
        <w:rPr>
          <w:rFonts w:asciiTheme="minorHAnsi" w:eastAsia="Times New Roman" w:hAnsiTheme="minorHAnsi" w:cstheme="minorHAnsi"/>
          <w:sz w:val="22"/>
          <w:szCs w:val="22"/>
        </w:rPr>
      </w:pPr>
      <w:r w:rsidRPr="00BC7429">
        <w:rPr>
          <w:rFonts w:asciiTheme="minorHAnsi" w:eastAsia="Times New Roman" w:hAnsiTheme="minorHAnsi" w:cstheme="minorHAnsi"/>
          <w:sz w:val="22"/>
          <w:szCs w:val="22"/>
        </w:rPr>
        <w:t>zintegrowaniem planowania przestrzennego i społeczno-gospodarczego,</w:t>
      </w:r>
    </w:p>
    <w:p w14:paraId="46F1C057" w14:textId="2AE0E1CD" w:rsidR="0058375B" w:rsidRPr="00BC7429" w:rsidRDefault="0058375B" w:rsidP="00723B3F">
      <w:pPr>
        <w:pStyle w:val="Akapitzlist"/>
        <w:numPr>
          <w:ilvl w:val="0"/>
          <w:numId w:val="53"/>
        </w:numPr>
        <w:spacing w:line="276" w:lineRule="auto"/>
        <w:ind w:left="426"/>
        <w:jc w:val="both"/>
        <w:rPr>
          <w:rFonts w:asciiTheme="minorHAnsi" w:eastAsia="Times New Roman" w:hAnsiTheme="minorHAnsi" w:cstheme="minorHAnsi"/>
          <w:sz w:val="22"/>
          <w:szCs w:val="22"/>
        </w:rPr>
      </w:pPr>
      <w:r w:rsidRPr="00BC7429">
        <w:rPr>
          <w:rFonts w:asciiTheme="minorHAnsi" w:eastAsia="Times New Roman" w:hAnsiTheme="minorHAnsi" w:cstheme="minorHAnsi"/>
          <w:sz w:val="22"/>
          <w:szCs w:val="22"/>
        </w:rPr>
        <w:t>udostępnianiem szerokiego zakresu usług administracji publicznej drogą elektroniczną; szerokie wykorzystanie zestandaryzowanych i interoperacyjnych rozwiązań informatycznych,</w:t>
      </w:r>
    </w:p>
    <w:p w14:paraId="72B47CB7" w14:textId="2A039FC0" w:rsidR="00082180" w:rsidRPr="00BC7429" w:rsidRDefault="00E6544C" w:rsidP="00723B3F">
      <w:pPr>
        <w:pStyle w:val="Akapitzlist"/>
        <w:numPr>
          <w:ilvl w:val="0"/>
          <w:numId w:val="53"/>
        </w:numPr>
        <w:spacing w:line="276" w:lineRule="auto"/>
        <w:ind w:left="426"/>
        <w:jc w:val="both"/>
        <w:rPr>
          <w:rFonts w:asciiTheme="minorHAnsi" w:eastAsia="Times New Roman" w:hAnsiTheme="minorHAnsi" w:cstheme="minorHAnsi"/>
          <w:sz w:val="22"/>
          <w:szCs w:val="22"/>
        </w:rPr>
      </w:pPr>
      <w:r w:rsidRPr="00BC7429">
        <w:rPr>
          <w:rFonts w:asciiTheme="minorHAnsi" w:eastAsia="Times New Roman" w:hAnsiTheme="minorHAnsi" w:cstheme="minorHAnsi"/>
          <w:sz w:val="22"/>
          <w:szCs w:val="22"/>
        </w:rPr>
        <w:t xml:space="preserve">zapewnieniem </w:t>
      </w:r>
      <w:r w:rsidR="00C16867" w:rsidRPr="00BC7429">
        <w:rPr>
          <w:rFonts w:asciiTheme="minorHAnsi" w:eastAsia="Times New Roman" w:hAnsiTheme="minorHAnsi" w:cstheme="minorHAnsi"/>
          <w:sz w:val="22"/>
          <w:szCs w:val="22"/>
        </w:rPr>
        <w:t>s</w:t>
      </w:r>
      <w:r w:rsidR="00082180" w:rsidRPr="00BC7429">
        <w:rPr>
          <w:rFonts w:asciiTheme="minorHAnsi" w:eastAsia="Times New Roman" w:hAnsiTheme="minorHAnsi" w:cstheme="minorHAnsi"/>
          <w:sz w:val="22"/>
          <w:szCs w:val="22"/>
        </w:rPr>
        <w:t>tabilno</w:t>
      </w:r>
      <w:r w:rsidRPr="00BC7429">
        <w:rPr>
          <w:rFonts w:asciiTheme="minorHAnsi" w:eastAsia="Times New Roman" w:hAnsiTheme="minorHAnsi" w:cstheme="minorHAnsi"/>
          <w:sz w:val="22"/>
          <w:szCs w:val="22"/>
        </w:rPr>
        <w:t>ści</w:t>
      </w:r>
      <w:r w:rsidR="00082180" w:rsidRPr="00BC7429">
        <w:rPr>
          <w:rFonts w:asciiTheme="minorHAnsi" w:eastAsia="Times New Roman" w:hAnsiTheme="minorHAnsi" w:cstheme="minorHAnsi"/>
          <w:sz w:val="22"/>
          <w:szCs w:val="22"/>
        </w:rPr>
        <w:t xml:space="preserve"> finansów publicznych</w:t>
      </w:r>
      <w:r w:rsidR="00945809" w:rsidRPr="00BC7429">
        <w:rPr>
          <w:rFonts w:asciiTheme="minorHAnsi" w:eastAsia="Times New Roman" w:hAnsiTheme="minorHAnsi" w:cstheme="minorHAnsi"/>
          <w:sz w:val="22"/>
          <w:szCs w:val="22"/>
        </w:rPr>
        <w:t>,</w:t>
      </w:r>
      <w:r w:rsidR="0058375B" w:rsidRPr="00BC7429">
        <w:rPr>
          <w:rFonts w:asciiTheme="minorHAnsi" w:eastAsia="Times New Roman" w:hAnsiTheme="minorHAnsi" w:cstheme="minorHAnsi"/>
          <w:sz w:val="22"/>
          <w:szCs w:val="22"/>
        </w:rPr>
        <w:t xml:space="preserve"> z uwzględnieniem wypracowania zmian w systemie finansowania jednostek samorządu terytorialnego</w:t>
      </w:r>
    </w:p>
    <w:p w14:paraId="2B8B3D3E" w14:textId="33E0AC44" w:rsidR="000918F4" w:rsidRPr="00BC7429" w:rsidRDefault="000918F4" w:rsidP="00723B3F">
      <w:pPr>
        <w:pStyle w:val="Akapitzlist"/>
        <w:numPr>
          <w:ilvl w:val="0"/>
          <w:numId w:val="53"/>
        </w:numPr>
        <w:spacing w:line="276" w:lineRule="auto"/>
        <w:ind w:left="426"/>
        <w:jc w:val="both"/>
        <w:rPr>
          <w:rFonts w:asciiTheme="minorHAnsi" w:eastAsia="Times New Roman" w:hAnsiTheme="minorHAnsi" w:cstheme="minorHAnsi"/>
          <w:sz w:val="22"/>
          <w:szCs w:val="22"/>
        </w:rPr>
      </w:pPr>
      <w:r w:rsidRPr="00BC7429">
        <w:rPr>
          <w:rFonts w:asciiTheme="minorHAnsi" w:eastAsia="Times New Roman" w:hAnsiTheme="minorHAnsi" w:cstheme="minorHAnsi"/>
          <w:sz w:val="22"/>
          <w:szCs w:val="22"/>
        </w:rPr>
        <w:t>uproszczeni</w:t>
      </w:r>
      <w:r w:rsidR="0058375B" w:rsidRPr="00BC7429">
        <w:rPr>
          <w:rFonts w:asciiTheme="minorHAnsi" w:eastAsia="Times New Roman" w:hAnsiTheme="minorHAnsi" w:cstheme="minorHAnsi"/>
          <w:sz w:val="22"/>
          <w:szCs w:val="22"/>
        </w:rPr>
        <w:t>em</w:t>
      </w:r>
      <w:r w:rsidRPr="00BC7429">
        <w:rPr>
          <w:rFonts w:asciiTheme="minorHAnsi" w:eastAsia="Times New Roman" w:hAnsiTheme="minorHAnsi" w:cstheme="minorHAnsi"/>
          <w:sz w:val="22"/>
          <w:szCs w:val="22"/>
        </w:rPr>
        <w:t xml:space="preserve"> systemu realizacji projek</w:t>
      </w:r>
      <w:r w:rsidR="0058375B" w:rsidRPr="00BC7429">
        <w:rPr>
          <w:rFonts w:asciiTheme="minorHAnsi" w:eastAsia="Times New Roman" w:hAnsiTheme="minorHAnsi" w:cstheme="minorHAnsi"/>
          <w:sz w:val="22"/>
          <w:szCs w:val="22"/>
        </w:rPr>
        <w:t xml:space="preserve">tów finansowanych z funduszy UE, </w:t>
      </w:r>
      <w:r w:rsidRPr="00BC7429">
        <w:rPr>
          <w:rFonts w:asciiTheme="minorHAnsi" w:eastAsia="Times New Roman" w:hAnsiTheme="minorHAnsi" w:cstheme="minorHAnsi"/>
          <w:sz w:val="22"/>
          <w:szCs w:val="22"/>
        </w:rPr>
        <w:t xml:space="preserve"> </w:t>
      </w:r>
    </w:p>
    <w:p w14:paraId="32F7C7EE" w14:textId="2CD791E5" w:rsidR="0058375B" w:rsidRPr="00BC7429" w:rsidRDefault="0058375B" w:rsidP="00723B3F">
      <w:pPr>
        <w:pStyle w:val="Akapitzlist"/>
        <w:numPr>
          <w:ilvl w:val="0"/>
          <w:numId w:val="53"/>
        </w:numPr>
        <w:spacing w:line="276" w:lineRule="auto"/>
        <w:ind w:left="426"/>
        <w:jc w:val="both"/>
        <w:rPr>
          <w:rFonts w:asciiTheme="minorHAnsi" w:eastAsia="Times New Roman" w:hAnsiTheme="minorHAnsi" w:cstheme="minorHAnsi"/>
          <w:sz w:val="22"/>
          <w:szCs w:val="22"/>
        </w:rPr>
      </w:pPr>
      <w:r w:rsidRPr="00BC7429">
        <w:rPr>
          <w:rFonts w:asciiTheme="minorHAnsi" w:eastAsia="Times New Roman" w:hAnsiTheme="minorHAnsi" w:cstheme="minorHAnsi"/>
          <w:sz w:val="22"/>
          <w:szCs w:val="22"/>
        </w:rPr>
        <w:t>wzmocnieniem bezpieczeństwa zewnętrznego i wewnętrznego, w tym zwiększenie potencjału sił zbrojnych, ochrony granic i kontroli migracji, ochrona przed zagrożeniami, klęskami i terroryzmem</w:t>
      </w:r>
    </w:p>
    <w:p w14:paraId="17B94233" w14:textId="46DB172C" w:rsidR="000918F4" w:rsidRPr="00BC7429" w:rsidRDefault="00C758BD" w:rsidP="00723B3F">
      <w:pPr>
        <w:pStyle w:val="Akapitzlist"/>
        <w:numPr>
          <w:ilvl w:val="0"/>
          <w:numId w:val="53"/>
        </w:numPr>
        <w:spacing w:line="276" w:lineRule="auto"/>
        <w:ind w:left="426"/>
        <w:jc w:val="both"/>
        <w:rPr>
          <w:rFonts w:asciiTheme="minorHAnsi" w:hAnsiTheme="minorHAnsi" w:cstheme="minorHAnsi"/>
          <w:sz w:val="22"/>
          <w:szCs w:val="22"/>
        </w:rPr>
      </w:pPr>
      <w:r w:rsidRPr="00BC7429">
        <w:rPr>
          <w:rFonts w:asciiTheme="minorHAnsi" w:eastAsia="Times New Roman" w:hAnsiTheme="minorHAnsi" w:cstheme="minorHAnsi"/>
          <w:sz w:val="22"/>
          <w:szCs w:val="22"/>
        </w:rPr>
        <w:t>wzmocnieniem</w:t>
      </w:r>
      <w:r w:rsidR="0058375B" w:rsidRPr="00BC7429">
        <w:rPr>
          <w:rFonts w:asciiTheme="minorHAnsi" w:eastAsia="Times New Roman" w:hAnsiTheme="minorHAnsi" w:cstheme="minorHAnsi"/>
          <w:sz w:val="22"/>
          <w:szCs w:val="22"/>
        </w:rPr>
        <w:t xml:space="preserve"> pozycji międzynarodowej Polski.</w:t>
      </w:r>
    </w:p>
    <w:p w14:paraId="392D6DBA" w14:textId="5F506208" w:rsidR="00324C76" w:rsidRPr="00BC7429" w:rsidRDefault="0058375B" w:rsidP="00BC7429">
      <w:pPr>
        <w:pStyle w:val="Tekstprzypisudolnego"/>
        <w:spacing w:before="120" w:line="276" w:lineRule="auto"/>
        <w:jc w:val="both"/>
        <w:rPr>
          <w:rFonts w:asciiTheme="minorHAnsi" w:hAnsiTheme="minorHAnsi" w:cstheme="minorHAnsi"/>
          <w:sz w:val="22"/>
          <w:szCs w:val="22"/>
        </w:rPr>
      </w:pPr>
      <w:r w:rsidRPr="00BC7429">
        <w:rPr>
          <w:rFonts w:asciiTheme="minorHAnsi" w:hAnsiTheme="minorHAnsi" w:cstheme="minorHAnsi"/>
          <w:bCs/>
          <w:sz w:val="22"/>
          <w:szCs w:val="22"/>
        </w:rPr>
        <w:t>Z</w:t>
      </w:r>
      <w:r w:rsidR="00004DB1" w:rsidRPr="00BC7429">
        <w:rPr>
          <w:rFonts w:asciiTheme="minorHAnsi" w:hAnsiTheme="minorHAnsi" w:cstheme="minorHAnsi"/>
          <w:bCs/>
          <w:sz w:val="22"/>
          <w:szCs w:val="22"/>
        </w:rPr>
        <w:t>akres tematyczny S</w:t>
      </w:r>
      <w:r w:rsidR="00CD5064" w:rsidRPr="00BC7429">
        <w:rPr>
          <w:rFonts w:asciiTheme="minorHAnsi" w:hAnsiTheme="minorHAnsi" w:cstheme="minorHAnsi"/>
          <w:bCs/>
          <w:sz w:val="22"/>
          <w:szCs w:val="22"/>
        </w:rPr>
        <w:t>NP</w:t>
      </w:r>
      <w:r w:rsidR="000C0292" w:rsidRPr="00BC7429">
        <w:rPr>
          <w:rFonts w:asciiTheme="minorHAnsi" w:hAnsiTheme="minorHAnsi" w:cstheme="minorHAnsi"/>
          <w:bCs/>
          <w:sz w:val="22"/>
          <w:szCs w:val="22"/>
        </w:rPr>
        <w:t xml:space="preserve"> </w:t>
      </w:r>
      <w:r w:rsidR="00073462" w:rsidRPr="00BC7429">
        <w:rPr>
          <w:rFonts w:asciiTheme="minorHAnsi" w:hAnsiTheme="minorHAnsi" w:cstheme="minorHAnsi"/>
          <w:bCs/>
          <w:sz w:val="22"/>
          <w:szCs w:val="22"/>
        </w:rPr>
        <w:t>poddano</w:t>
      </w:r>
      <w:r w:rsidR="00F7612E" w:rsidRPr="00BC7429">
        <w:rPr>
          <w:rFonts w:asciiTheme="minorHAnsi" w:hAnsiTheme="minorHAnsi" w:cstheme="minorHAnsi"/>
          <w:bCs/>
          <w:sz w:val="22"/>
          <w:szCs w:val="22"/>
        </w:rPr>
        <w:t xml:space="preserve"> analizie</w:t>
      </w:r>
      <w:r w:rsidR="00F7612E" w:rsidRPr="00BC7429">
        <w:rPr>
          <w:rStyle w:val="Odwoanieprzypisudolnego"/>
          <w:rFonts w:asciiTheme="minorHAnsi" w:hAnsiTheme="minorHAnsi" w:cstheme="minorHAnsi"/>
          <w:bCs/>
          <w:sz w:val="22"/>
          <w:szCs w:val="22"/>
        </w:rPr>
        <w:footnoteReference w:id="8"/>
      </w:r>
      <w:r w:rsidR="00F7612E" w:rsidRPr="00BC7429">
        <w:rPr>
          <w:rFonts w:asciiTheme="minorHAnsi" w:hAnsiTheme="minorHAnsi" w:cstheme="minorHAnsi"/>
          <w:bCs/>
          <w:sz w:val="22"/>
          <w:szCs w:val="22"/>
        </w:rPr>
        <w:t xml:space="preserve">, która umożliwiła sformułowanie </w:t>
      </w:r>
      <w:r w:rsidR="000C0292" w:rsidRPr="00BC7429">
        <w:rPr>
          <w:rFonts w:asciiTheme="minorHAnsi" w:hAnsiTheme="minorHAnsi" w:cstheme="minorHAnsi"/>
          <w:sz w:val="22"/>
          <w:szCs w:val="22"/>
        </w:rPr>
        <w:t>wyzwa</w:t>
      </w:r>
      <w:r w:rsidR="00F7612E" w:rsidRPr="00BC7429">
        <w:rPr>
          <w:rFonts w:asciiTheme="minorHAnsi" w:hAnsiTheme="minorHAnsi" w:cstheme="minorHAnsi"/>
          <w:sz w:val="22"/>
          <w:szCs w:val="22"/>
        </w:rPr>
        <w:t>ń</w:t>
      </w:r>
      <w:r w:rsidR="000C0292" w:rsidRPr="00BC7429">
        <w:rPr>
          <w:rFonts w:asciiTheme="minorHAnsi" w:hAnsiTheme="minorHAnsi" w:cstheme="minorHAnsi"/>
          <w:sz w:val="22"/>
          <w:szCs w:val="22"/>
        </w:rPr>
        <w:t xml:space="preserve"> </w:t>
      </w:r>
      <w:r w:rsidR="00F7612E" w:rsidRPr="00BC7429">
        <w:rPr>
          <w:rFonts w:asciiTheme="minorHAnsi" w:hAnsiTheme="minorHAnsi" w:cstheme="minorHAnsi"/>
          <w:sz w:val="22"/>
          <w:szCs w:val="22"/>
        </w:rPr>
        <w:t>rozwojowych</w:t>
      </w:r>
      <w:r w:rsidR="002E050A" w:rsidRPr="00BC7429">
        <w:rPr>
          <w:rFonts w:asciiTheme="minorHAnsi" w:hAnsiTheme="minorHAnsi" w:cstheme="minorHAnsi"/>
          <w:sz w:val="22"/>
          <w:szCs w:val="22"/>
        </w:rPr>
        <w:t xml:space="preserve"> </w:t>
      </w:r>
      <w:r w:rsidR="000C0292" w:rsidRPr="00BC7429">
        <w:rPr>
          <w:rFonts w:asciiTheme="minorHAnsi" w:hAnsiTheme="minorHAnsi" w:cstheme="minorHAnsi"/>
          <w:sz w:val="22"/>
          <w:szCs w:val="22"/>
        </w:rPr>
        <w:t>uwzględni</w:t>
      </w:r>
      <w:r w:rsidR="002E050A" w:rsidRPr="00BC7429">
        <w:rPr>
          <w:rFonts w:asciiTheme="minorHAnsi" w:hAnsiTheme="minorHAnsi" w:cstheme="minorHAnsi"/>
          <w:sz w:val="22"/>
          <w:szCs w:val="22"/>
        </w:rPr>
        <w:t>ają</w:t>
      </w:r>
      <w:r w:rsidR="00F7612E" w:rsidRPr="00BC7429">
        <w:rPr>
          <w:rFonts w:asciiTheme="minorHAnsi" w:hAnsiTheme="minorHAnsi" w:cstheme="minorHAnsi"/>
          <w:sz w:val="22"/>
          <w:szCs w:val="22"/>
        </w:rPr>
        <w:t>cych</w:t>
      </w:r>
      <w:r w:rsidR="000C0292" w:rsidRPr="00BC7429">
        <w:rPr>
          <w:rFonts w:asciiTheme="minorHAnsi" w:hAnsiTheme="minorHAnsi" w:cstheme="minorHAnsi"/>
          <w:sz w:val="22"/>
          <w:szCs w:val="22"/>
        </w:rPr>
        <w:t xml:space="preserve"> oceny uwarunkowań makroekonomicznych, technologicznych, społecznych i europejskich. </w:t>
      </w:r>
      <w:r w:rsidR="000217EB" w:rsidRPr="00BC7429">
        <w:rPr>
          <w:rFonts w:asciiTheme="minorHAnsi" w:hAnsiTheme="minorHAnsi" w:cstheme="minorHAnsi"/>
          <w:sz w:val="22"/>
          <w:szCs w:val="22"/>
        </w:rPr>
        <w:t xml:space="preserve">Dążenie do sprostania </w:t>
      </w:r>
      <w:r w:rsidR="00C85CE1">
        <w:rPr>
          <w:rFonts w:asciiTheme="minorHAnsi" w:hAnsiTheme="minorHAnsi" w:cstheme="minorHAnsi"/>
          <w:sz w:val="22"/>
          <w:szCs w:val="22"/>
        </w:rPr>
        <w:t xml:space="preserve">tym wyzwaniom </w:t>
      </w:r>
      <w:r w:rsidR="000217EB" w:rsidRPr="00BC7429">
        <w:rPr>
          <w:rFonts w:asciiTheme="minorHAnsi" w:hAnsiTheme="minorHAnsi" w:cstheme="minorHAnsi"/>
          <w:sz w:val="22"/>
          <w:szCs w:val="22"/>
        </w:rPr>
        <w:t>przyczyni się</w:t>
      </w:r>
      <w:r w:rsidR="002E050A" w:rsidRPr="00BC7429">
        <w:rPr>
          <w:rFonts w:asciiTheme="minorHAnsi" w:hAnsiTheme="minorHAnsi" w:cstheme="minorHAnsi"/>
          <w:sz w:val="22"/>
          <w:szCs w:val="22"/>
        </w:rPr>
        <w:t xml:space="preserve"> do budowy sprawnego </w:t>
      </w:r>
      <w:r w:rsidR="00167EC0" w:rsidRPr="00BC7429">
        <w:rPr>
          <w:rFonts w:asciiTheme="minorHAnsi" w:hAnsiTheme="minorHAnsi" w:cstheme="minorHAnsi"/>
          <w:sz w:val="22"/>
          <w:szCs w:val="22"/>
        </w:rPr>
        <w:t>i nowoczesnego państwa.</w:t>
      </w:r>
      <w:r w:rsidR="003428A8" w:rsidRPr="00BC7429">
        <w:rPr>
          <w:rFonts w:asciiTheme="minorHAnsi" w:hAnsiTheme="minorHAnsi" w:cstheme="minorHAnsi"/>
          <w:sz w:val="22"/>
          <w:szCs w:val="22"/>
        </w:rPr>
        <w:t xml:space="preserve"> Kluczowym wyzwaniem </w:t>
      </w:r>
      <w:r w:rsidR="007C79D2" w:rsidRPr="00BC7429">
        <w:rPr>
          <w:rFonts w:asciiTheme="minorHAnsi" w:hAnsiTheme="minorHAnsi" w:cstheme="minorHAnsi"/>
          <w:sz w:val="22"/>
          <w:szCs w:val="22"/>
        </w:rPr>
        <w:t xml:space="preserve">spośród 6 niżej wymienionych </w:t>
      </w:r>
      <w:r w:rsidR="003428A8" w:rsidRPr="00BC7429">
        <w:rPr>
          <w:rFonts w:asciiTheme="minorHAnsi" w:hAnsiTheme="minorHAnsi" w:cstheme="minorHAnsi"/>
          <w:sz w:val="22"/>
          <w:szCs w:val="22"/>
        </w:rPr>
        <w:t xml:space="preserve">jest poprawa sprawności instytucji państwa, poprawa koordynacji </w:t>
      </w:r>
      <w:r w:rsidR="007C79D2" w:rsidRPr="00BC7429">
        <w:rPr>
          <w:rFonts w:asciiTheme="minorHAnsi" w:hAnsiTheme="minorHAnsi" w:cstheme="minorHAnsi"/>
          <w:sz w:val="22"/>
          <w:szCs w:val="22"/>
        </w:rPr>
        <w:t xml:space="preserve">i wzrost efektywności </w:t>
      </w:r>
      <w:r w:rsidR="003428A8" w:rsidRPr="00BC7429">
        <w:rPr>
          <w:rFonts w:asciiTheme="minorHAnsi" w:hAnsiTheme="minorHAnsi" w:cstheme="minorHAnsi"/>
          <w:sz w:val="22"/>
          <w:szCs w:val="22"/>
        </w:rPr>
        <w:t xml:space="preserve">ich działań, </w:t>
      </w:r>
      <w:r w:rsidR="007C79D2" w:rsidRPr="00BC7429">
        <w:rPr>
          <w:rFonts w:asciiTheme="minorHAnsi" w:hAnsiTheme="minorHAnsi" w:cstheme="minorHAnsi"/>
          <w:sz w:val="22"/>
          <w:szCs w:val="22"/>
        </w:rPr>
        <w:t>a także klarowny podział kompetencji mię</w:t>
      </w:r>
      <w:r w:rsidR="003428A8" w:rsidRPr="00BC7429">
        <w:rPr>
          <w:rFonts w:asciiTheme="minorHAnsi" w:hAnsiTheme="minorHAnsi" w:cstheme="minorHAnsi"/>
          <w:sz w:val="22"/>
          <w:szCs w:val="22"/>
        </w:rPr>
        <w:t xml:space="preserve">dzy administracją rządową a samorządową. Innym wyzwaniem </w:t>
      </w:r>
      <w:r w:rsidR="007C79D2" w:rsidRPr="00BC7429">
        <w:rPr>
          <w:rFonts w:asciiTheme="minorHAnsi" w:hAnsiTheme="minorHAnsi" w:cstheme="minorHAnsi"/>
          <w:sz w:val="22"/>
          <w:szCs w:val="22"/>
        </w:rPr>
        <w:t xml:space="preserve">o charakterze fundamentalnym </w:t>
      </w:r>
      <w:r w:rsidR="003428A8" w:rsidRPr="00BC7429">
        <w:rPr>
          <w:rFonts w:asciiTheme="minorHAnsi" w:hAnsiTheme="minorHAnsi" w:cstheme="minorHAnsi"/>
          <w:sz w:val="22"/>
          <w:szCs w:val="22"/>
        </w:rPr>
        <w:t xml:space="preserve">jest zapewnienie optymalnego </w:t>
      </w:r>
      <w:r w:rsidR="00DD56D7" w:rsidRPr="00BC7429">
        <w:rPr>
          <w:rFonts w:asciiTheme="minorHAnsi" w:hAnsiTheme="minorHAnsi" w:cstheme="minorHAnsi"/>
          <w:sz w:val="22"/>
          <w:szCs w:val="22"/>
        </w:rPr>
        <w:t>wykorzystania rozwiązań cyfrowych w budowie nowoczesnego państwa</w:t>
      </w:r>
      <w:r w:rsidR="007C79D2" w:rsidRPr="00BC7429">
        <w:rPr>
          <w:rFonts w:asciiTheme="minorHAnsi" w:hAnsiTheme="minorHAnsi" w:cstheme="minorHAnsi"/>
          <w:sz w:val="22"/>
          <w:szCs w:val="22"/>
        </w:rPr>
        <w:t xml:space="preserve"> </w:t>
      </w:r>
      <w:r w:rsidR="005B5026" w:rsidRPr="00BC7429">
        <w:rPr>
          <w:rFonts w:asciiTheme="minorHAnsi" w:hAnsiTheme="minorHAnsi" w:cstheme="minorHAnsi"/>
          <w:sz w:val="22"/>
          <w:szCs w:val="22"/>
        </w:rPr>
        <w:t>z uwzględnieniem upowszechnienia dostępu do danych publicznych</w:t>
      </w:r>
      <w:r w:rsidR="00826C56" w:rsidRPr="00BC7429">
        <w:rPr>
          <w:rFonts w:asciiTheme="minorHAnsi" w:hAnsiTheme="minorHAnsi" w:cstheme="minorHAnsi"/>
          <w:sz w:val="22"/>
          <w:szCs w:val="22"/>
        </w:rPr>
        <w:t>, z uwzględnieniem wymagań dostępności cyfrowej dla osób niepełnosprawnych</w:t>
      </w:r>
      <w:r w:rsidR="005B5026" w:rsidRPr="00BC7429">
        <w:rPr>
          <w:rFonts w:asciiTheme="minorHAnsi" w:hAnsiTheme="minorHAnsi" w:cstheme="minorHAnsi"/>
          <w:sz w:val="22"/>
          <w:szCs w:val="22"/>
        </w:rPr>
        <w:t xml:space="preserve"> i kształtowania umiejętności cyfrowych.</w:t>
      </w:r>
      <w:r w:rsidR="00DD56D7" w:rsidRPr="00BC7429">
        <w:rPr>
          <w:rFonts w:asciiTheme="minorHAnsi" w:hAnsiTheme="minorHAnsi" w:cstheme="minorHAnsi"/>
          <w:sz w:val="22"/>
          <w:szCs w:val="22"/>
        </w:rPr>
        <w:t xml:space="preserve"> </w:t>
      </w:r>
      <w:r w:rsidR="00F60A8F" w:rsidRPr="00BC7429">
        <w:rPr>
          <w:rFonts w:asciiTheme="minorHAnsi" w:hAnsiTheme="minorHAnsi" w:cstheme="minorHAnsi"/>
          <w:sz w:val="22"/>
          <w:szCs w:val="22"/>
        </w:rPr>
        <w:t>W</w:t>
      </w:r>
      <w:r w:rsidR="00DD56D7" w:rsidRPr="00BC7429">
        <w:rPr>
          <w:rFonts w:asciiTheme="minorHAnsi" w:hAnsiTheme="minorHAnsi" w:cstheme="minorHAnsi"/>
          <w:sz w:val="22"/>
          <w:szCs w:val="22"/>
        </w:rPr>
        <w:t xml:space="preserve">yzwaniem </w:t>
      </w:r>
      <w:r w:rsidR="003428A8" w:rsidRPr="00BC7429">
        <w:rPr>
          <w:rFonts w:asciiTheme="minorHAnsi" w:hAnsiTheme="minorHAnsi" w:cstheme="minorHAnsi"/>
          <w:sz w:val="22"/>
          <w:szCs w:val="22"/>
        </w:rPr>
        <w:t>jest</w:t>
      </w:r>
      <w:r w:rsidR="007C79D2" w:rsidRPr="00BC7429">
        <w:rPr>
          <w:rFonts w:asciiTheme="minorHAnsi" w:hAnsiTheme="minorHAnsi" w:cstheme="minorHAnsi"/>
          <w:sz w:val="22"/>
          <w:szCs w:val="22"/>
        </w:rPr>
        <w:t xml:space="preserve"> </w:t>
      </w:r>
      <w:r w:rsidR="00F60A8F" w:rsidRPr="00BC7429">
        <w:rPr>
          <w:rFonts w:asciiTheme="minorHAnsi" w:hAnsiTheme="minorHAnsi" w:cstheme="minorHAnsi"/>
          <w:sz w:val="22"/>
          <w:szCs w:val="22"/>
        </w:rPr>
        <w:t xml:space="preserve">ponadto </w:t>
      </w:r>
      <w:r w:rsidR="007C79D2" w:rsidRPr="00BC7429">
        <w:rPr>
          <w:rFonts w:asciiTheme="minorHAnsi" w:hAnsiTheme="minorHAnsi" w:cstheme="minorHAnsi"/>
          <w:sz w:val="22"/>
          <w:szCs w:val="22"/>
        </w:rPr>
        <w:t>zapewnienie stabilności finansów publicznych</w:t>
      </w:r>
      <w:r w:rsidR="003428A8" w:rsidRPr="00BC7429">
        <w:rPr>
          <w:rFonts w:asciiTheme="minorHAnsi" w:hAnsiTheme="minorHAnsi" w:cstheme="minorHAnsi"/>
          <w:sz w:val="22"/>
          <w:szCs w:val="22"/>
        </w:rPr>
        <w:t xml:space="preserve"> </w:t>
      </w:r>
      <w:r w:rsidR="00F60A8F" w:rsidRPr="00BC7429">
        <w:rPr>
          <w:rFonts w:asciiTheme="minorHAnsi" w:hAnsiTheme="minorHAnsi" w:cstheme="minorHAnsi"/>
          <w:sz w:val="22"/>
          <w:szCs w:val="22"/>
        </w:rPr>
        <w:t>czy poprawa skuteczności funkcjonowania sądów oraz prokuratury.</w:t>
      </w:r>
    </w:p>
    <w:p w14:paraId="4578B834" w14:textId="77777777" w:rsidR="000C0292" w:rsidRPr="00BC7429" w:rsidRDefault="000C0292" w:rsidP="00BC7429">
      <w:pPr>
        <w:pStyle w:val="Tekstprzypisudolnego"/>
        <w:spacing w:before="120" w:line="276" w:lineRule="auto"/>
        <w:jc w:val="both"/>
        <w:rPr>
          <w:rFonts w:asciiTheme="minorHAnsi" w:hAnsiTheme="minorHAnsi" w:cstheme="minorHAnsi"/>
          <w:sz w:val="22"/>
          <w:szCs w:val="22"/>
        </w:rPr>
      </w:pPr>
    </w:p>
    <w:p w14:paraId="433F88A5" w14:textId="77777777" w:rsidR="000C0292" w:rsidRPr="00BC7429" w:rsidRDefault="00FA4518" w:rsidP="00BC7429">
      <w:pPr>
        <w:autoSpaceDE w:val="0"/>
        <w:autoSpaceDN w:val="0"/>
        <w:adjustRightInd w:val="0"/>
        <w:spacing w:before="120" w:after="0" w:line="276" w:lineRule="auto"/>
        <w:jc w:val="both"/>
        <w:rPr>
          <w:rFonts w:cstheme="minorHAnsi"/>
        </w:rPr>
      </w:pPr>
      <w:r w:rsidRPr="00BC7429">
        <w:rPr>
          <w:rFonts w:cstheme="minorHAnsi"/>
          <w:noProof/>
          <w:lang w:eastAsia="pl-PL"/>
        </w:rPr>
        <mc:AlternateContent>
          <mc:Choice Requires="wps">
            <w:drawing>
              <wp:anchor distT="0" distB="0" distL="114300" distR="114300" simplePos="0" relativeHeight="252041216" behindDoc="0" locked="0" layoutInCell="1" allowOverlap="1" wp14:anchorId="473884CE" wp14:editId="5E4B9BD1">
                <wp:simplePos x="0" y="0"/>
                <wp:positionH relativeFrom="column">
                  <wp:posOffset>238506</wp:posOffset>
                </wp:positionH>
                <wp:positionV relativeFrom="paragraph">
                  <wp:posOffset>5283</wp:posOffset>
                </wp:positionV>
                <wp:extent cx="2790825" cy="321945"/>
                <wp:effectExtent l="0" t="0" r="28575" b="20955"/>
                <wp:wrapNone/>
                <wp:docPr id="17" name="Prostokąt 17"/>
                <wp:cNvGraphicFramePr/>
                <a:graphic xmlns:a="http://schemas.openxmlformats.org/drawingml/2006/main">
                  <a:graphicData uri="http://schemas.microsoft.com/office/word/2010/wordprocessingShape">
                    <wps:wsp>
                      <wps:cNvSpPr/>
                      <wps:spPr>
                        <a:xfrm>
                          <a:off x="0" y="0"/>
                          <a:ext cx="2790825" cy="3219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D430C2" w14:textId="77777777" w:rsidR="005D4C4C" w:rsidRPr="006E18CF" w:rsidRDefault="005D4C4C" w:rsidP="000C0292">
                            <w:pPr>
                              <w:autoSpaceDE w:val="0"/>
                              <w:autoSpaceDN w:val="0"/>
                              <w:adjustRightInd w:val="0"/>
                              <w:spacing w:line="300" w:lineRule="auto"/>
                              <w:jc w:val="both"/>
                              <w:rPr>
                                <w:rFonts w:cs="Arial"/>
                                <w:b/>
                                <w:sz w:val="24"/>
                              </w:rPr>
                            </w:pPr>
                            <w:r w:rsidRPr="006E18CF">
                              <w:rPr>
                                <w:rFonts w:cs="Arial"/>
                                <w:b/>
                                <w:sz w:val="24"/>
                              </w:rPr>
                              <w:t>Wyzwania rozwojowe</w:t>
                            </w:r>
                          </w:p>
                          <w:p w14:paraId="345F411E" w14:textId="77777777" w:rsidR="005D4C4C" w:rsidRDefault="005D4C4C" w:rsidP="000C02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884CE" id="Prostokąt 17" o:spid="_x0000_s1026" style="position:absolute;left:0;text-align:left;margin-left:18.8pt;margin-top:.4pt;width:219.75pt;height:25.3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xV/gAIAAEcFAAAOAAAAZHJzL2Uyb0RvYy54bWysVMFu2zAMvQ/YPwi6r3ayZG2DOkXQosOA&#10;og3WDj0rslQbk0VNYmJn9/3ZPmyU7LhFW+wwzAeZEslH8onU2XnXGLZTPtRgCz45yjlTVkJZ28eC&#10;f7u/+nDCWUBhS2HAqoLvVeDny/fvzlq3UFOowJTKMwKxYdG6gleIbpFlQVaqEeEInLKk1OAbgbT1&#10;j1npRUvojcmmef4pa8GXzoNUIdDpZa/ky4SvtZJ4q3VQyEzBKTdMq0/rJq7Z8kwsHr1wVS2HNMQ/&#10;ZNGI2lLQEepSoGBbX7+CamrpIYDGIwlNBlrXUqUaqJpJ/qKau0o4lWohcoIbaQr/D1be7Nae1SXd&#10;3TFnVjR0R2vKEOH771/I6JAYal1YkOGdW/thF0iM5XbaN/FPhbAusbofWVUdMkmH0+PT/GQ650yS&#10;7uN0cjqbR9Dsydv5gJ8VNCwKBfd0a4lMsbsO2JseTMgvZtPHTxLujYopGPtVaaokRkzeqYfUhfFs&#10;J+j2hZTK4qRXVaJU/fE8p2/IZ/RI2SXAiKxrY0bsASD252vsPtfBPrqq1IKjc/63xHrn0SNFBouj&#10;c1Nb8G8BGKpqiNzbH0jqqYksYbfpyCSKGyj3dOUe+lkITl7VRPu1CLgWnpqfxoQGGm9p0QbagsMg&#10;cVaB//nWebSnniQtZy0NU8HDj63wijPzxVK3nk5mszh9aTObH09p459rNs81dttcAN3YhJ4OJ5MY&#10;7dEcRO2heaC5X8WopBJWUuyCS/SHzQX2Q04vh1SrVTKjiXMCr+2dkxE8Ehzb6r57EN4NvYfUtTdw&#10;GDyxeNGCvW30tLDaIug69ecTrwP1NK2ph4aXJT4Hz/fJ6un9W/4BAAD//wMAUEsDBBQABgAIAAAA&#10;IQDqd9F32QAAAAYBAAAPAAAAZHJzL2Rvd25yZXYueG1sTI7NTsMwEITvSLyDtUjcqBOgTRXiVKgS&#10;FyQOLTzANt7Gof6JYqdJ3p7lBMfRjL75qt3srLjSELvgFeSrDAT5JujOtwq+Pt8etiBiQq/RBk8K&#10;Foqwq29vKix1mPyBrsfUCob4WKICk1JfShkbQw7jKvTkuTuHwWHiOLRSDzgx3Fn5mGUb6bDz/GCw&#10;p72h5nIcHZ8gHZa8mPaXDzO/d2SXbxoXpe7v5tcXEInm9DeGX31Wh5qdTmH0Ogqr4KnY8FIB+3P7&#10;XBQ5iJOCdb4GWVfyv379AwAA//8DAFBLAQItABQABgAIAAAAIQC2gziS/gAAAOEBAAATAAAAAAAA&#10;AAAAAAAAAAAAAABbQ29udGVudF9UeXBlc10ueG1sUEsBAi0AFAAGAAgAAAAhADj9If/WAAAAlAEA&#10;AAsAAAAAAAAAAAAAAAAALwEAAF9yZWxzLy5yZWxzUEsBAi0AFAAGAAgAAAAhAFnrFX+AAgAARwUA&#10;AA4AAAAAAAAAAAAAAAAALgIAAGRycy9lMm9Eb2MueG1sUEsBAi0AFAAGAAgAAAAhAOp30XfZAAAA&#10;BgEAAA8AAAAAAAAAAAAAAAAA2gQAAGRycy9kb3ducmV2LnhtbFBLBQYAAAAABAAEAPMAAADgBQAA&#10;AAA=&#10;" fillcolor="#5b9bd5 [3204]" strokecolor="#1f4d78 [1604]" strokeweight="1pt">
                <v:textbox>
                  <w:txbxContent>
                    <w:p w14:paraId="31D430C2" w14:textId="77777777" w:rsidR="005D4C4C" w:rsidRPr="006E18CF" w:rsidRDefault="005D4C4C" w:rsidP="000C0292">
                      <w:pPr>
                        <w:autoSpaceDE w:val="0"/>
                        <w:autoSpaceDN w:val="0"/>
                        <w:adjustRightInd w:val="0"/>
                        <w:spacing w:line="300" w:lineRule="auto"/>
                        <w:jc w:val="both"/>
                        <w:rPr>
                          <w:rFonts w:cs="Arial"/>
                          <w:b/>
                          <w:sz w:val="24"/>
                        </w:rPr>
                      </w:pPr>
                      <w:r w:rsidRPr="006E18CF">
                        <w:rPr>
                          <w:rFonts w:cs="Arial"/>
                          <w:b/>
                          <w:sz w:val="24"/>
                        </w:rPr>
                        <w:t>Wyzwania rozwojowe</w:t>
                      </w:r>
                    </w:p>
                    <w:p w14:paraId="345F411E" w14:textId="77777777" w:rsidR="005D4C4C" w:rsidRDefault="005D4C4C" w:rsidP="000C0292">
                      <w:pPr>
                        <w:jc w:val="center"/>
                      </w:pPr>
                    </w:p>
                  </w:txbxContent>
                </v:textbox>
              </v:rect>
            </w:pict>
          </mc:Fallback>
        </mc:AlternateContent>
      </w:r>
    </w:p>
    <w:p w14:paraId="7769EF0A" w14:textId="77777777" w:rsidR="000C0292" w:rsidRPr="00BC7429" w:rsidRDefault="00F60A8F" w:rsidP="00BC7429">
      <w:pPr>
        <w:autoSpaceDE w:val="0"/>
        <w:autoSpaceDN w:val="0"/>
        <w:adjustRightInd w:val="0"/>
        <w:spacing w:before="120" w:after="0" w:line="276" w:lineRule="auto"/>
        <w:jc w:val="both"/>
        <w:rPr>
          <w:rFonts w:cstheme="minorHAnsi"/>
        </w:rPr>
      </w:pPr>
      <w:r w:rsidRPr="00BC7429">
        <w:rPr>
          <w:rFonts w:cstheme="minorHAnsi"/>
          <w:noProof/>
          <w:lang w:eastAsia="pl-PL"/>
        </w:rPr>
        <mc:AlternateContent>
          <mc:Choice Requires="wps">
            <w:drawing>
              <wp:anchor distT="0" distB="0" distL="114300" distR="114300" simplePos="0" relativeHeight="252047360" behindDoc="0" locked="0" layoutInCell="1" allowOverlap="1" wp14:anchorId="15A5779F" wp14:editId="07EAC84F">
                <wp:simplePos x="0" y="0"/>
                <wp:positionH relativeFrom="column">
                  <wp:posOffset>442015</wp:posOffset>
                </wp:positionH>
                <wp:positionV relativeFrom="paragraph">
                  <wp:posOffset>135586</wp:posOffset>
                </wp:positionV>
                <wp:extent cx="347472" cy="279400"/>
                <wp:effectExtent l="0" t="19050" r="33655" b="44450"/>
                <wp:wrapNone/>
                <wp:docPr id="18" name="Strzałka w prawo 18"/>
                <wp:cNvGraphicFramePr/>
                <a:graphic xmlns:a="http://schemas.openxmlformats.org/drawingml/2006/main">
                  <a:graphicData uri="http://schemas.microsoft.com/office/word/2010/wordprocessingShape">
                    <wps:wsp>
                      <wps:cNvSpPr/>
                      <wps:spPr>
                        <a:xfrm>
                          <a:off x="0" y="0"/>
                          <a:ext cx="347472" cy="279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8B86B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18" o:spid="_x0000_s1026" type="#_x0000_t13" style="position:absolute;margin-left:34.8pt;margin-top:10.7pt;width:27.35pt;height:22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hjhAIAAEgFAAAOAAAAZHJzL2Uyb0RvYy54bWysVMFu2zAMvQ/YPwi6r3aydFmDOkWQosOA&#10;oi2WDj0rshQbk0WNUuKkx/3b/muU7LhFW+wwzAdZFMlH8onU+cW+MWyn0NdgCz46yTlTVkJZ203B&#10;v99fffjMmQ/ClsKAVQU/KM8v5u/fnbdupsZQgSkVMgKxfta6glchuFmWeVmpRvgTcMqSUgM2IpCI&#10;m6xE0RJ6Y7Jxnn/KWsDSIUjlPZ1edko+T/haKxlutfYqMFNwyi2kFdO6jms2PxezDQpX1bJPQ/xD&#10;Fo2oLQUdoC5FEGyL9SuoppYIHnQ4kdBkoHUtVaqBqhnlL6pZVcKpVAuR491Ak/9/sPJmd4esLunu&#10;6KasaOiOVgEfxe9fPwRrmSNCgZGOiGqdn5H9yt1hL3naxqr3Gpv4p3rYPpF7GMhV+8AkHX6cTCfT&#10;MWeSVOPp2SRP5GdPzg59+KKgoZie7gnrTRUWiNAmYsXu2gcKSw5HQxJiSl0SaRcORsU8jP2mNFVF&#10;YcfJO/WTWhpkO0GdIKRUNow6VSVK1R2f5vTFSinI4JGkBBiRdW3MgN0DxF59jd3B9PbRVaV2HJzz&#10;vyXWOQ8eKTLYMDg3tQV8C8BQVX3kzv5IUkdNZGkN5YHuHKEbBu/kVU2MXwsf7gRS99Oc0ESHW1q0&#10;gbbg0O84qwAf3zqP9tSUpOWspWkquP+5Fag4M18ttevZaDKJ45eEyel0TAI+16yfa+y2WQJd04je&#10;DifTNtoHc9xqhOaBBn8Ro5JKWEmxCy4DHoVl6Kacng6pFotkRiPnRLi2KycjeGQ19tL9/kGg69su&#10;UL/ewHHyxOxF33W20dPCYhtA16kpn3jt+aZxTY3TPy3xPXguJ6unB3D+BwAA//8DAFBLAwQUAAYA&#10;CAAAACEABVOu4t0AAAAIAQAADwAAAGRycy9kb3ducmV2LnhtbEyPwU7DMBBE70j8g7VI3KjTkEQQ&#10;4lQIwYUeUEvFeRtvkwh7HWKnDXw97gmOqzeaeVutZmvEkUbfO1awXCQgiBune24V7N5fbu5A+ICs&#10;0TgmBd/kYVVfXlRYanfiDR23oRWxhH2JCroQhlJK33Rk0S/cQBzZwY0WQzzHVuoRT7HcGpkmSSEt&#10;9hwXOhzoqaPmcztZBW+vw096+MjRNEX/9ZxN63y3HpW6vpofH0AEmsNfGM76UR3q6LR3E2svjILi&#10;vohJBekyA3HmaXYLYh9BnoGsK/n/gfoXAAD//wMAUEsBAi0AFAAGAAgAAAAhALaDOJL+AAAA4QEA&#10;ABMAAAAAAAAAAAAAAAAAAAAAAFtDb250ZW50X1R5cGVzXS54bWxQSwECLQAUAAYACAAAACEAOP0h&#10;/9YAAACUAQAACwAAAAAAAAAAAAAAAAAvAQAAX3JlbHMvLnJlbHNQSwECLQAUAAYACAAAACEAZoD4&#10;Y4QCAABIBQAADgAAAAAAAAAAAAAAAAAuAgAAZHJzL2Uyb0RvYy54bWxQSwECLQAUAAYACAAAACEA&#10;BVOu4t0AAAAIAQAADwAAAAAAAAAAAAAAAADeBAAAZHJzL2Rvd25yZXYueG1sUEsFBgAAAAAEAAQA&#10;8wAAAOgFAAAAAA==&#10;" adj="12916" fillcolor="#5b9bd5 [3204]" strokecolor="#1f4d78 [1604]" strokeweight="1pt"/>
            </w:pict>
          </mc:Fallback>
        </mc:AlternateContent>
      </w:r>
      <w:r w:rsidRPr="00BC7429">
        <w:rPr>
          <w:rFonts w:cstheme="minorHAnsi"/>
          <w:noProof/>
          <w:lang w:eastAsia="pl-PL"/>
        </w:rPr>
        <mc:AlternateContent>
          <mc:Choice Requires="wps">
            <w:drawing>
              <wp:anchor distT="0" distB="0" distL="114300" distR="114300" simplePos="0" relativeHeight="252042240" behindDoc="0" locked="0" layoutInCell="1" allowOverlap="1" wp14:anchorId="5513455B" wp14:editId="5F5898E9">
                <wp:simplePos x="0" y="0"/>
                <wp:positionH relativeFrom="page">
                  <wp:align>center</wp:align>
                </wp:positionH>
                <wp:positionV relativeFrom="paragraph">
                  <wp:posOffset>131141</wp:posOffset>
                </wp:positionV>
                <wp:extent cx="4794250" cy="322418"/>
                <wp:effectExtent l="0" t="0" r="25400" b="20955"/>
                <wp:wrapNone/>
                <wp:docPr id="19" name="Prostokąt 19"/>
                <wp:cNvGraphicFramePr/>
                <a:graphic xmlns:a="http://schemas.openxmlformats.org/drawingml/2006/main">
                  <a:graphicData uri="http://schemas.microsoft.com/office/word/2010/wordprocessingShape">
                    <wps:wsp>
                      <wps:cNvSpPr/>
                      <wps:spPr>
                        <a:xfrm>
                          <a:off x="0" y="0"/>
                          <a:ext cx="4794250" cy="322418"/>
                        </a:xfrm>
                        <a:prstGeom prst="rect">
                          <a:avLst/>
                        </a:prstGeom>
                        <a:solidFill>
                          <a:schemeClr val="bg1">
                            <a:lumMod val="95000"/>
                          </a:schemeClr>
                        </a:solidFill>
                        <a:ln w="12700" cap="flat" cmpd="sng" algn="ctr">
                          <a:solidFill>
                            <a:srgbClr val="5B9BD5">
                              <a:shade val="50000"/>
                            </a:srgbClr>
                          </a:solidFill>
                          <a:prstDash val="solid"/>
                          <a:miter lim="800000"/>
                        </a:ln>
                        <a:effectLst/>
                      </wps:spPr>
                      <wps:txbx>
                        <w:txbxContent>
                          <w:p w14:paraId="7372AF28" w14:textId="77777777" w:rsidR="005D4C4C" w:rsidRDefault="005D4C4C" w:rsidP="000C0292">
                            <w:r>
                              <w:rPr>
                                <w:rFonts w:cs="Calibri,Bold"/>
                                <w:b/>
                                <w:bCs/>
                              </w:rPr>
                              <w:t>1. Usprawnienie procesu stanowienia prawa i poprawa jego jakości.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3455B" id="Prostokąt 19" o:spid="_x0000_s1027" style="position:absolute;left:0;text-align:left;margin-left:0;margin-top:10.35pt;width:377.5pt;height:25.4pt;z-index:2520422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1YcogIAAEoFAAAOAAAAZHJzL2Uyb0RvYy54bWysVMlu2zAQvRfoPxC8N7JVu7GNyIETI0WB&#10;NDGQFDnTFCkR5VaStpTe+2f9sA5J2dl6KnqRZjjDWd6b4dl5ryTaM+eF0RUen4wwYpqaWuimwt/u&#10;rz7MMPKB6JpIo1mFH5nH58v37846u2ClaY2smUMQRPtFZyvchmAXReFpyxTxJ8YyDUZunCIBVNcU&#10;tSMdRFeyKEejT0VnXG2docx7OF1nI16m+JwzGm459ywgWWGoLaSvS99t/BbLM7JoHLGtoEMZ5B+q&#10;UERoSHoMtSaBoJ0Tb0IpQZ3xhocTalRhOBeUpR6gm/HoVTd3LbEs9QLgeHuEyf+/sPRmv3FI1MDd&#10;HCNNFHC0gQqD+f77V0BwCAh11i/A8c5u3KB5EGO7PXcq/qER1CdUH4+osj4gCoeT0/mknAL4FGwf&#10;y3IynsWgxdNt63z4zIxCUaiwA9YSmGR/7UN2PbjEZN5IUV8JKZMSJ4VdSof2BDjeNuN0Ve7UV1Pn&#10;s/l0NEpMQ8o0WNE9FfAiktSoAxjKU3BGlMAwckkCiMoCPF43GBHZwJTT4FKOF7e9a7bHKqYX84v1&#10;NDu1pGa5jljGsY7s/raK2Oia+DZfSSnykCoRYFOkUBWexUCHSFJHGFia9QGuyFdmKEqh3/aZ4QOX&#10;W1M/AuvO5HXwll4JSHtNfNgQB/MPAMBOh1v4cGkAFTNIGLXG/fzbefSHsQQrRh3sEyD2Y0ccw0h+&#10;0TCw8/FkEhcwKZPpaQmKe27ZPrfonbo0QOcYXg9Lkxj9gzyI3Bn1AKu/ilnBRDSF3JmbQbkMec/h&#10;8aBstUpusHSWhGt9Z2kMHpGLgN/3D8TZYfwCDO6NOeweWbyawuwbb2qz2gXDRRrRiHTGFTiNCixs&#10;Ynd4XOKL8FxPXk9P4PIPAAAA//8DAFBLAwQUAAYACAAAACEAEzsDxNoAAAAGAQAADwAAAGRycy9k&#10;b3ducmV2LnhtbEyPzU7DMBCE70i8g7VI3KjdVulPiFMhEOLUAy0S1028TSJiO7KdNLw9ywluuzOr&#10;2W+Kw2x7MVGInXcalgsFglztTecaDR/n14cdiJjQGey9Iw3fFOFQ3t4UmBt/de80nVIjOMTFHDW0&#10;KQ25lLFuyWJc+IEcexcfLCZeQyNNwCuH216ulNpIi53jDy0O9NxS/XUarYYNjmtW1KddTy/hLR7j&#10;sdrvtL6/m58eQSSa098x/OIzOpTMVPnRmSh6DVwkaVipLQh2t1nGQsXDMgNZFvI/fvkDAAD//wMA&#10;UEsBAi0AFAAGAAgAAAAhALaDOJL+AAAA4QEAABMAAAAAAAAAAAAAAAAAAAAAAFtDb250ZW50X1R5&#10;cGVzXS54bWxQSwECLQAUAAYACAAAACEAOP0h/9YAAACUAQAACwAAAAAAAAAAAAAAAAAvAQAAX3Jl&#10;bHMvLnJlbHNQSwECLQAUAAYACAAAACEAyZdWHKICAABKBQAADgAAAAAAAAAAAAAAAAAuAgAAZHJz&#10;L2Uyb0RvYy54bWxQSwECLQAUAAYACAAAACEAEzsDxNoAAAAGAQAADwAAAAAAAAAAAAAAAAD8BAAA&#10;ZHJzL2Rvd25yZXYueG1sUEsFBgAAAAAEAAQA8wAAAAMGAAAAAA==&#10;" fillcolor="#f2f2f2 [3052]" strokecolor="#41719c" strokeweight="1pt">
                <v:textbox>
                  <w:txbxContent>
                    <w:p w14:paraId="7372AF28" w14:textId="77777777" w:rsidR="005D4C4C" w:rsidRDefault="005D4C4C" w:rsidP="000C0292">
                      <w:r>
                        <w:rPr>
                          <w:rFonts w:cs="Calibri,Bold"/>
                          <w:b/>
                          <w:bCs/>
                        </w:rPr>
                        <w:t>1. Usprawnienie procesu stanowienia prawa i poprawa jego jakości.</w:t>
                      </w:r>
                    </w:p>
                  </w:txbxContent>
                </v:textbox>
                <w10:wrap anchorx="page"/>
              </v:rect>
            </w:pict>
          </mc:Fallback>
        </mc:AlternateContent>
      </w:r>
    </w:p>
    <w:p w14:paraId="36044F50" w14:textId="77777777" w:rsidR="000C0292" w:rsidRPr="00BC7429" w:rsidRDefault="000C0292" w:rsidP="00BC7429">
      <w:pPr>
        <w:autoSpaceDE w:val="0"/>
        <w:autoSpaceDN w:val="0"/>
        <w:adjustRightInd w:val="0"/>
        <w:spacing w:before="120" w:after="0" w:line="276" w:lineRule="auto"/>
        <w:jc w:val="both"/>
        <w:rPr>
          <w:rFonts w:cstheme="minorHAnsi"/>
        </w:rPr>
      </w:pPr>
    </w:p>
    <w:p w14:paraId="5E63937E" w14:textId="77777777" w:rsidR="000C0292" w:rsidRPr="00BC7429" w:rsidRDefault="00F60A8F" w:rsidP="00BC7429">
      <w:pPr>
        <w:autoSpaceDE w:val="0"/>
        <w:autoSpaceDN w:val="0"/>
        <w:adjustRightInd w:val="0"/>
        <w:spacing w:before="120" w:after="0" w:line="276" w:lineRule="auto"/>
        <w:jc w:val="both"/>
        <w:rPr>
          <w:rFonts w:cstheme="minorHAnsi"/>
        </w:rPr>
      </w:pPr>
      <w:r w:rsidRPr="00BC7429">
        <w:rPr>
          <w:rFonts w:cstheme="minorHAnsi"/>
          <w:noProof/>
          <w:lang w:eastAsia="pl-PL"/>
        </w:rPr>
        <mc:AlternateContent>
          <mc:Choice Requires="wps">
            <w:drawing>
              <wp:anchor distT="0" distB="0" distL="114300" distR="114300" simplePos="0" relativeHeight="252050432" behindDoc="0" locked="0" layoutInCell="1" allowOverlap="1" wp14:anchorId="64EF0F37" wp14:editId="42279263">
                <wp:simplePos x="0" y="0"/>
                <wp:positionH relativeFrom="column">
                  <wp:posOffset>453694</wp:posOffset>
                </wp:positionH>
                <wp:positionV relativeFrom="paragraph">
                  <wp:posOffset>29210</wp:posOffset>
                </wp:positionV>
                <wp:extent cx="354787" cy="279400"/>
                <wp:effectExtent l="0" t="19050" r="45720" b="44450"/>
                <wp:wrapNone/>
                <wp:docPr id="54" name="Strzałka w prawo 54"/>
                <wp:cNvGraphicFramePr/>
                <a:graphic xmlns:a="http://schemas.openxmlformats.org/drawingml/2006/main">
                  <a:graphicData uri="http://schemas.microsoft.com/office/word/2010/wordprocessingShape">
                    <wps:wsp>
                      <wps:cNvSpPr/>
                      <wps:spPr>
                        <a:xfrm>
                          <a:off x="0" y="0"/>
                          <a:ext cx="354787" cy="2794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E0E8B" id="Strzałka w prawo 54" o:spid="_x0000_s1026" type="#_x0000_t13" style="position:absolute;margin-left:35.7pt;margin-top:2.3pt;width:27.95pt;height:22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gfOjAIAACEFAAAOAAAAZHJzL2Uyb0RvYy54bWysVEtv2zAMvg/YfxB0X51kydIGdYq0QYcB&#10;xVogHXpmZDkWptcoJU573H/b/xolO32fhuWgkObjEz+SOj3bG812EoNytuTDowFn0gpXKbsp+Y/b&#10;y0/HnIUItgLtrCz5vQz8bP7xw2nrZ3LkGqcriYyS2DBrfcmbGP2sKIJopIFw5Ly0ZKwdGoik4qao&#10;EFrKbnQxGgy+FK3DyqMTMgT6uuyMfJ7z17UU8bqug4xMl5zuFvOJ+Vyns5ifwmyD4Bsl+mvAP9zC&#10;gLIE+phqCRHYFtWbVEYJdMHV8Ug4U7i6VkLmGqia4eBVNasGvMy1EDnBP9IU/l9a8X13g0xVJZ+M&#10;ObNgqEeriA/w5/dPYC3zRKhjZCOiWh9m5L/yN9hrgcRU9b5Gk/6pHrbP5N4/kiv3kQn6+Hkynh5P&#10;ORNkGk1PxoNMfvEU7DHEr9IZwgzUJ1SbJi4QXZuJhd1ViARLAQfHhBicVtWl0joruFlfaGQ7oG5P&#10;zk/Ol5N0bwp54aYta2lWR1O6AhNAU1driCQaTzwEu+EM9IbGWUTM2C+iwzsgGbyBSvbQA/odkDv3&#10;t7dIVSwhNF1IhkghMDMq0kpoZUp+nBIdMmmbrDIPdc9F6kjXgyStXXVPzUTXTXnw4lIRyBWEeANI&#10;Y03l0qrGazpq7YgD10ucNQ4f3vue/GnayMpZS2tC/PzaAkrO9DdLc3gyHI/TXmVlPJmOSMHnlvVz&#10;i92aC0e9GdKj4EUWk3/UB7FGZ+5ooxcJlUxgBWF3neiVi9itL70JQi4W2Y12yUO8sisvUvLEU6L3&#10;dn8H6Pt5ijSI391hpWD2aqA63xRp3WIbXa3ytD3xSh1MCu1h7mX/ZqRFf65nr6eXbf4XAAD//wMA&#10;UEsDBBQABgAIAAAAIQDz4lo02wAAAAcBAAAPAAAAZHJzL2Rvd25yZXYueG1sTI7BTsMwEETvSPyD&#10;tUhcEHXaRmkb4lQFxKESF1o+wIm3cdR4HcVuE/6e7QmOoxm9ecV2cp244hBaTwrmswQEUu1NS42C&#10;7+PH8xpEiJqM7jyhgh8MsC3v7wqdGz/SF14PsREMoZBrBTbGPpcy1BadDjPfI3F38oPTkePQSDPo&#10;keGuk4skyaTTLfGD1T2+WazPh4tTsEqXE+13r91Yvdvzno5x8/kUlXp8mHYvICJO8W8MN31Wh5Kd&#10;Kn8hE0THjHnKSwVpBuJWL1ZLEBXndQayLOR///IXAAD//wMAUEsBAi0AFAAGAAgAAAAhALaDOJL+&#10;AAAA4QEAABMAAAAAAAAAAAAAAAAAAAAAAFtDb250ZW50X1R5cGVzXS54bWxQSwECLQAUAAYACAAA&#10;ACEAOP0h/9YAAACUAQAACwAAAAAAAAAAAAAAAAAvAQAAX3JlbHMvLnJlbHNQSwECLQAUAAYACAAA&#10;ACEAqnIHzowCAAAhBQAADgAAAAAAAAAAAAAAAAAuAgAAZHJzL2Uyb0RvYy54bWxQSwECLQAUAAYA&#10;CAAAACEA8+JaNNsAAAAHAQAADwAAAAAAAAAAAAAAAADmBAAAZHJzL2Rvd25yZXYueG1sUEsFBgAA&#10;AAAEAAQA8wAAAO4FAAAAAA==&#10;" adj="13095" fillcolor="#5b9bd5" strokecolor="#41719c" strokeweight="1pt"/>
            </w:pict>
          </mc:Fallback>
        </mc:AlternateContent>
      </w:r>
      <w:r w:rsidRPr="00BC7429">
        <w:rPr>
          <w:rFonts w:cstheme="minorHAnsi"/>
          <w:noProof/>
          <w:lang w:eastAsia="pl-PL"/>
        </w:rPr>
        <mc:AlternateContent>
          <mc:Choice Requires="wps">
            <w:drawing>
              <wp:anchor distT="0" distB="0" distL="114300" distR="114300" simplePos="0" relativeHeight="252044288" behindDoc="0" locked="0" layoutInCell="1" allowOverlap="1" wp14:anchorId="0327BEE7" wp14:editId="26D35CB7">
                <wp:simplePos x="0" y="0"/>
                <wp:positionH relativeFrom="page">
                  <wp:align>center</wp:align>
                </wp:positionH>
                <wp:positionV relativeFrom="paragraph">
                  <wp:posOffset>30480</wp:posOffset>
                </wp:positionV>
                <wp:extent cx="4781550" cy="321945"/>
                <wp:effectExtent l="0" t="0" r="19050" b="20955"/>
                <wp:wrapNone/>
                <wp:docPr id="20" name="Prostokąt 20"/>
                <wp:cNvGraphicFramePr/>
                <a:graphic xmlns:a="http://schemas.openxmlformats.org/drawingml/2006/main">
                  <a:graphicData uri="http://schemas.microsoft.com/office/word/2010/wordprocessingShape">
                    <wps:wsp>
                      <wps:cNvSpPr/>
                      <wps:spPr>
                        <a:xfrm>
                          <a:off x="0" y="0"/>
                          <a:ext cx="4781550" cy="321945"/>
                        </a:xfrm>
                        <a:prstGeom prst="rect">
                          <a:avLst/>
                        </a:prstGeom>
                        <a:solidFill>
                          <a:schemeClr val="bg1">
                            <a:lumMod val="95000"/>
                          </a:schemeClr>
                        </a:solidFill>
                        <a:ln w="12700" cap="flat" cmpd="sng" algn="ctr">
                          <a:solidFill>
                            <a:srgbClr val="5B9BD5">
                              <a:shade val="50000"/>
                            </a:srgbClr>
                          </a:solidFill>
                          <a:prstDash val="solid"/>
                          <a:miter lim="800000"/>
                        </a:ln>
                        <a:effectLst/>
                      </wps:spPr>
                      <wps:txbx>
                        <w:txbxContent>
                          <w:p w14:paraId="24E1E0F5" w14:textId="77777777" w:rsidR="005D4C4C" w:rsidRDefault="005D4C4C" w:rsidP="000C0292">
                            <w:pPr>
                              <w:autoSpaceDE w:val="0"/>
                              <w:autoSpaceDN w:val="0"/>
                              <w:adjustRightInd w:val="0"/>
                              <w:jc w:val="both"/>
                              <w:rPr>
                                <w:rFonts w:cs="Calibri"/>
                                <w:b/>
                                <w:color w:val="000000"/>
                              </w:rPr>
                            </w:pPr>
                            <w:r>
                              <w:rPr>
                                <w:rFonts w:cs="Calibri"/>
                                <w:b/>
                                <w:color w:val="000000"/>
                              </w:rPr>
                              <w:t>2. Sprawne i efektywne instytucje świadczące usługi o wysokiej jakości.</w:t>
                            </w:r>
                          </w:p>
                          <w:p w14:paraId="087FE8D4" w14:textId="77777777" w:rsidR="005D4C4C" w:rsidRDefault="005D4C4C" w:rsidP="000C0292">
                            <w:pPr>
                              <w:autoSpaceDE w:val="0"/>
                              <w:autoSpaceDN w:val="0"/>
                              <w:adjustRightInd w:val="0"/>
                              <w:spacing w:line="300" w:lineRule="auto"/>
                              <w:jc w:val="both"/>
                              <w:rPr>
                                <w:rFonts w:ascii="Arial" w:hAnsi="Arial" w:cs="Arial"/>
                                <w:sz w:val="18"/>
                                <w:szCs w:val="18"/>
                              </w:rPr>
                            </w:pPr>
                            <w:r>
                              <w:rPr>
                                <w:rFonts w:ascii="Arial" w:hAnsi="Arial" w:cs="Arial"/>
                                <w:sz w:val="18"/>
                                <w:szCs w:val="18"/>
                              </w:rPr>
                              <w:t>Wyzwania rozwojowe</w:t>
                            </w:r>
                          </w:p>
                          <w:p w14:paraId="2E13CDFB" w14:textId="77777777" w:rsidR="005D4C4C" w:rsidRDefault="005D4C4C" w:rsidP="000C02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7BEE7" id="Prostokąt 20" o:spid="_x0000_s1028" style="position:absolute;left:0;text-align:left;margin-left:0;margin-top:2.4pt;width:376.5pt;height:25.35pt;z-index:2520442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IYZogIAAEoFAAAOAAAAZHJzL2Uyb0RvYy54bWysVMlu2zAQvRfoPxC8N7Jcq7ENy4FjI0WB&#10;NDGQFDnTFCUR5VaStpTe+2f9sA5J2dl6KnqRZjjDWd684eKilwIdmHVcqxLnZyOMmKK64qop8bf7&#10;qw9TjJwnqiJCK1biR+bwxfL9u0Vn5mysWy0qZhEEUW7emRK33pt5ljnaMkncmTZMgbHWVhIPqm2y&#10;ypIOokuRjUejT1mnbWWspsw5ON0kI17G+HXNqL+ta8c8EiWG2nz82vjdhW+2XJB5Y4lpOR3KIP9Q&#10;hSRcQdJTqA3xBO0tfxNKcmq107U/o1pmuq45ZbEH6CYfvermriWGxV4AHGdOMLn/F5beHLYW8arE&#10;Y4BHEQkz2kKFXn///csjOASEOuPm4HhntnbQHIih3b62MvyhEdRHVB9PqLLeIwqHk/NpXhQQnYLt&#10;4zifTYoQNHu6bazzn5mWKAgltjC1CCY5XDufXI8uIZnTgldXXIioBKawtbDoQGDGuyaPV8VeftVV&#10;OpsVo1HsA1JGYgX3WMCLSEKhDig8PgdnRAmQsRbEgygNwONUgxERDbCcehtzvLjtbLM7VVFczi43&#10;RXJqScVSHaGMUx3J/W0VodENcW26ElMkkkruYVMElyWehkDHSEIFGFjk+gBXmFeaUJB8v+vThI+z&#10;3OnqEaZudVoHZ+gVh7TXxPktscB/AAB22t/CpxYaUNGDhFGr7c+/nQd/oCVYMepgnwCxH3tiGUbi&#10;iwLCzvLJBML6qEyK80A3+9yye25Re7nWMM4cXg9Doxj8vTiKtdXyAVZ/FbKCiSgKudNsBmXt057D&#10;40HZahXdYOkM8dfqztAQPCAXAL/vH4g1A/08EPdGH3ePzF+xMPmGm0qv9l7XPFI0IJ1whZkGBRY2&#10;Tnd4XMKL8FyPXk9P4PIPAAAA//8DAFBLAwQUAAYACAAAACEASdjMttkAAAAFAQAADwAAAGRycy9k&#10;b3ducmV2LnhtbEyPQU+DQBCF7yb+h82YeLOLIrVFhsZojKcerCa9DrACkZ0luwvFf+94ssc3b/Le&#10;94rdYgc1Gx96xwi3qwSU4do1PbcInx+vNxtQIRI3NDg2CD8mwK68vCgob9yJ3818iK2SEA45IXQx&#10;jrnWoe6MpbByo2Hxvpy3FEX6VjeeThJuB32XJGttqWdp6Gg0z52pvw+TRVjTlMolOdp0fvFvYR/2&#10;1XaDeH21PD2CimaJ/8/why/oUApT5SZughoQZEhEuBd8MR+yVHSFkGUZ6LLQ5/TlLwAAAP//AwBQ&#10;SwECLQAUAAYACAAAACEAtoM4kv4AAADhAQAAEwAAAAAAAAAAAAAAAAAAAAAAW0NvbnRlbnRfVHlw&#10;ZXNdLnhtbFBLAQItABQABgAIAAAAIQA4/SH/1gAAAJQBAAALAAAAAAAAAAAAAAAAAC8BAABfcmVs&#10;cy8ucmVsc1BLAQItABQABgAIAAAAIQC0qIYZogIAAEoFAAAOAAAAAAAAAAAAAAAAAC4CAABkcnMv&#10;ZTJvRG9jLnhtbFBLAQItABQABgAIAAAAIQBJ2My22QAAAAUBAAAPAAAAAAAAAAAAAAAAAPwEAABk&#10;cnMvZG93bnJldi54bWxQSwUGAAAAAAQABADzAAAAAgYAAAAA&#10;" fillcolor="#f2f2f2 [3052]" strokecolor="#41719c" strokeweight="1pt">
                <v:textbox>
                  <w:txbxContent>
                    <w:p w14:paraId="24E1E0F5" w14:textId="77777777" w:rsidR="005D4C4C" w:rsidRDefault="005D4C4C" w:rsidP="000C0292">
                      <w:pPr>
                        <w:autoSpaceDE w:val="0"/>
                        <w:autoSpaceDN w:val="0"/>
                        <w:adjustRightInd w:val="0"/>
                        <w:jc w:val="both"/>
                        <w:rPr>
                          <w:rFonts w:cs="Calibri"/>
                          <w:b/>
                          <w:color w:val="000000"/>
                        </w:rPr>
                      </w:pPr>
                      <w:r>
                        <w:rPr>
                          <w:rFonts w:cs="Calibri"/>
                          <w:b/>
                          <w:color w:val="000000"/>
                        </w:rPr>
                        <w:t>2. Sprawne i efektywne instytucje świadczące usługi o wysokiej jakości.</w:t>
                      </w:r>
                    </w:p>
                    <w:p w14:paraId="087FE8D4" w14:textId="77777777" w:rsidR="005D4C4C" w:rsidRDefault="005D4C4C" w:rsidP="000C0292">
                      <w:pPr>
                        <w:autoSpaceDE w:val="0"/>
                        <w:autoSpaceDN w:val="0"/>
                        <w:adjustRightInd w:val="0"/>
                        <w:spacing w:line="300" w:lineRule="auto"/>
                        <w:jc w:val="both"/>
                        <w:rPr>
                          <w:rFonts w:ascii="Arial" w:hAnsi="Arial" w:cs="Arial"/>
                          <w:sz w:val="18"/>
                          <w:szCs w:val="18"/>
                        </w:rPr>
                      </w:pPr>
                      <w:r>
                        <w:rPr>
                          <w:rFonts w:ascii="Arial" w:hAnsi="Arial" w:cs="Arial"/>
                          <w:sz w:val="18"/>
                          <w:szCs w:val="18"/>
                        </w:rPr>
                        <w:t>Wyzwania rozwojowe</w:t>
                      </w:r>
                    </w:p>
                    <w:p w14:paraId="2E13CDFB" w14:textId="77777777" w:rsidR="005D4C4C" w:rsidRDefault="005D4C4C" w:rsidP="000C0292">
                      <w:pPr>
                        <w:jc w:val="center"/>
                      </w:pPr>
                    </w:p>
                  </w:txbxContent>
                </v:textbox>
                <w10:wrap anchorx="page"/>
              </v:rect>
            </w:pict>
          </mc:Fallback>
        </mc:AlternateContent>
      </w:r>
    </w:p>
    <w:p w14:paraId="2D1E240A" w14:textId="77777777" w:rsidR="000C0292" w:rsidRPr="00BC7429" w:rsidRDefault="00F60A8F" w:rsidP="00BC7429">
      <w:pPr>
        <w:autoSpaceDE w:val="0"/>
        <w:autoSpaceDN w:val="0"/>
        <w:adjustRightInd w:val="0"/>
        <w:spacing w:before="120" w:after="0" w:line="276" w:lineRule="auto"/>
        <w:jc w:val="both"/>
        <w:rPr>
          <w:rFonts w:cstheme="minorHAnsi"/>
        </w:rPr>
      </w:pPr>
      <w:r w:rsidRPr="00BC7429">
        <w:rPr>
          <w:rFonts w:cstheme="minorHAnsi"/>
          <w:noProof/>
          <w:lang w:eastAsia="pl-PL"/>
        </w:rPr>
        <mc:AlternateContent>
          <mc:Choice Requires="wps">
            <w:drawing>
              <wp:anchor distT="0" distB="0" distL="114300" distR="114300" simplePos="0" relativeHeight="252051456" behindDoc="0" locked="0" layoutInCell="1" allowOverlap="1" wp14:anchorId="1598A630" wp14:editId="1C2C316B">
                <wp:simplePos x="0" y="0"/>
                <wp:positionH relativeFrom="column">
                  <wp:posOffset>432131</wp:posOffset>
                </wp:positionH>
                <wp:positionV relativeFrom="paragraph">
                  <wp:posOffset>160103</wp:posOffset>
                </wp:positionV>
                <wp:extent cx="376733" cy="279400"/>
                <wp:effectExtent l="0" t="19050" r="42545" b="44450"/>
                <wp:wrapNone/>
                <wp:docPr id="99" name="Strzałka w prawo 99"/>
                <wp:cNvGraphicFramePr/>
                <a:graphic xmlns:a="http://schemas.openxmlformats.org/drawingml/2006/main">
                  <a:graphicData uri="http://schemas.microsoft.com/office/word/2010/wordprocessingShape">
                    <wps:wsp>
                      <wps:cNvSpPr/>
                      <wps:spPr>
                        <a:xfrm>
                          <a:off x="0" y="0"/>
                          <a:ext cx="376733" cy="2794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CCFAE" id="Strzałka w prawo 99" o:spid="_x0000_s1026" type="#_x0000_t13" style="position:absolute;margin-left:34.05pt;margin-top:12.6pt;width:29.65pt;height:22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3zjQIAACEFAAAOAAAAZHJzL2Uyb0RvYy54bWysVEtPGzEQvlfqf7B8L5uEQEhEggIRVSUE&#10;SKHiPPF6s1b96tjJBo79b/yvjr0b3qeqOTgzO4/P882MT892RrOtxKCcnfL+QY8zaYUrlV1P+c+7&#10;y28nnIUItgTtrJzyBxn42ezrl9PGT+TA1U6XEhklsWHS+CmvY/STogiilgbCgfPSkrFyaCCSiuui&#10;RGgou9HFoNc7LhqHpUcnZAj0ddEa+Sznryop4k1VBRmZnnK6W8wn5nOVzmJ2CpM1gq+V6K4B/3AL&#10;A8oS6HOqBURgG1QfUhkl0AVXxQPhTOGqSgmZa6Bq+r131Sxr8DLXQuQE/0xT+H9pxfX2Fpkqp3w8&#10;5syCoR4tIz7C059fwBrmiVDHyEZENT5MyH/pb7HTAomp6l2FJv1TPWyXyX14JlfuIhP08XB0PDo8&#10;5EyQaTAaD3uZ/OIl2GOI36UzhBmoT6jWdZwjuiYTC9urEAmWAvaOCTE4rcpLpXVWcL260Mi2QN0+&#10;Oh+fL47SvSnkjZu2rKFZHYzoCkwATV2lIZJoPPEQ7Joz0GsaZxExY7+JDp+AZPAaStlB9+i3R27d&#10;P94iVbGAULchGSKFwMSoSCuhlZnyk5Ron0nbZJV5qDsuUkfaHiRp5coHaia6dsqDF5eKQK4gxFtA&#10;Gmsql1Y13tBRaUccuE7irHb4+Nn35E/TRlbOGloT4uf3BlBypn9YmsNxfzhMe5WV4dFoQAq+tqxe&#10;W+zGXDjqTZ8eBS+ymPyj3osVOnNPGz1PqGQCKwi77USnXMR2felNEHI+z260Sx7ilV16kZInnhK9&#10;d7t7QN/NU6RBvHb7lYLJu4FqfVOkdfNNdJXK0/bCK3UwKbSHuZfdm5EW/bWevV5ettlfAAAA//8D&#10;AFBLAwQUAAYACAAAACEAD09+j9sAAAAIAQAADwAAAGRycy9kb3ducmV2LnhtbEyPy07DMBBF90j8&#10;gzVI7KiTKJQQ4lRVBB9A6KLLaTyNI/yIbDcNf4+7guXoXN17ptmtRrOFfJicFZBvMmBkBycnOwo4&#10;fH08VcBCRCtRO0sCfijArr2/a7CW7mo/aenjyFKJDTUKUDHONedhUGQwbNxMNrGz8wZjOv3Ipcdr&#10;KjeaF1m25QYnmxYUztQpGr77ixHwbrBXZbf2x/NxX/osrxbdDUI8Pqz7N2CR1vgXhpt+Uoc2OZ3c&#10;xcrAtIBtlaekgOK5AHbjxUsJ7JTAawG8bfj/B9pfAAAA//8DAFBLAQItABQABgAIAAAAIQC2gziS&#10;/gAAAOEBAAATAAAAAAAAAAAAAAAAAAAAAABbQ29udGVudF9UeXBlc10ueG1sUEsBAi0AFAAGAAgA&#10;AAAhADj9If/WAAAAlAEAAAsAAAAAAAAAAAAAAAAALwEAAF9yZWxzLy5yZWxzUEsBAi0AFAAGAAgA&#10;AAAhAAs8LfONAgAAIQUAAA4AAAAAAAAAAAAAAAAALgIAAGRycy9lMm9Eb2MueG1sUEsBAi0AFAAG&#10;AAgAAAAhAA9Pfo/bAAAACAEAAA8AAAAAAAAAAAAAAAAA5wQAAGRycy9kb3ducmV2LnhtbFBLBQYA&#10;AAAABAAEAPMAAADvBQAAAAA=&#10;" adj="13590" fillcolor="#5b9bd5" strokecolor="#41719c" strokeweight="1pt"/>
            </w:pict>
          </mc:Fallback>
        </mc:AlternateContent>
      </w:r>
      <w:r w:rsidRPr="00BC7429">
        <w:rPr>
          <w:rFonts w:cstheme="minorHAnsi"/>
          <w:noProof/>
          <w:lang w:eastAsia="pl-PL"/>
        </w:rPr>
        <mc:AlternateContent>
          <mc:Choice Requires="wps">
            <w:drawing>
              <wp:anchor distT="0" distB="0" distL="114300" distR="114300" simplePos="0" relativeHeight="252053504" behindDoc="0" locked="0" layoutInCell="1" allowOverlap="1" wp14:anchorId="66708F44" wp14:editId="073502CA">
                <wp:simplePos x="0" y="0"/>
                <wp:positionH relativeFrom="page">
                  <wp:align>center</wp:align>
                </wp:positionH>
                <wp:positionV relativeFrom="paragraph">
                  <wp:posOffset>150826</wp:posOffset>
                </wp:positionV>
                <wp:extent cx="4781550" cy="321945"/>
                <wp:effectExtent l="0" t="0" r="19050" b="20955"/>
                <wp:wrapNone/>
                <wp:docPr id="55" name="Prostokąt 55"/>
                <wp:cNvGraphicFramePr/>
                <a:graphic xmlns:a="http://schemas.openxmlformats.org/drawingml/2006/main">
                  <a:graphicData uri="http://schemas.microsoft.com/office/word/2010/wordprocessingShape">
                    <wps:wsp>
                      <wps:cNvSpPr/>
                      <wps:spPr>
                        <a:xfrm>
                          <a:off x="0" y="0"/>
                          <a:ext cx="4781550" cy="321945"/>
                        </a:xfrm>
                        <a:prstGeom prst="rect">
                          <a:avLst/>
                        </a:prstGeom>
                        <a:solidFill>
                          <a:sysClr val="window" lastClr="FFFFFF">
                            <a:lumMod val="95000"/>
                          </a:sysClr>
                        </a:solidFill>
                        <a:ln w="12700" cap="flat" cmpd="sng" algn="ctr">
                          <a:solidFill>
                            <a:srgbClr val="5B9BD5">
                              <a:shade val="50000"/>
                            </a:srgbClr>
                          </a:solidFill>
                          <a:prstDash val="solid"/>
                          <a:miter lim="800000"/>
                        </a:ln>
                        <a:effectLst/>
                      </wps:spPr>
                      <wps:txbx>
                        <w:txbxContent>
                          <w:p w14:paraId="35F82A20" w14:textId="77777777" w:rsidR="005D4C4C" w:rsidRPr="00CF3954" w:rsidRDefault="005D4C4C" w:rsidP="000C0292">
                            <w:pPr>
                              <w:spacing w:after="0" w:line="276" w:lineRule="auto"/>
                              <w:jc w:val="both"/>
                              <w:rPr>
                                <w:b/>
                              </w:rPr>
                            </w:pPr>
                            <w:r w:rsidRPr="00CF3954">
                              <w:rPr>
                                <w:rFonts w:cs="Calibri"/>
                                <w:b/>
                                <w:color w:val="000000"/>
                              </w:rPr>
                              <w:t>3. E</w:t>
                            </w:r>
                            <w:r w:rsidRPr="00CF3954">
                              <w:rPr>
                                <w:b/>
                                <w:lang w:eastAsia="pl-PL"/>
                              </w:rPr>
                              <w:t>fektywne i sprawne działani</w:t>
                            </w:r>
                            <w:r>
                              <w:rPr>
                                <w:b/>
                                <w:lang w:eastAsia="pl-PL"/>
                              </w:rPr>
                              <w:t>e</w:t>
                            </w:r>
                            <w:r w:rsidRPr="00CF3954">
                              <w:rPr>
                                <w:b/>
                                <w:lang w:eastAsia="pl-PL"/>
                              </w:rPr>
                              <w:t xml:space="preserve"> sądów i prokuratury.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08F44" id="Prostokąt 55" o:spid="_x0000_s1029" style="position:absolute;left:0;text-align:left;margin-left:0;margin-top:11.9pt;width:376.5pt;height:25.35pt;z-index:2520535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0MFrAIAAFgFAAAOAAAAZHJzL2Uyb0RvYy54bWysVNtuGjEQfa/Uf7D83iwQtgkoS0SCqCql&#10;CVJS5dl4veyqvtU2LPQ9f9YP67EXyK1PVXlYZjzjuZw544vLrZJkI5xvjC5o/6RHidDclI1eFfT7&#10;w/zTOSU+MF0yabQo6E54ejn5+OGitWMxMLWRpXAEQbQft7agdQh2nGWe10Ixf2Ks0DBWxikWoLpV&#10;VjrWIrqS2aDX+5y1xpXWGS68x+msM9JJil9Vgoe7qvIiEFlQ1BbS16XvMn6zyQUbrxyzdcP3ZbB/&#10;qEKxRiPpMdSMBUbWrnkXSjXcGW+qcMKNykxVNVykHtBNv/emm/uaWZF6ATjeHmHy/y8sv90sHGnK&#10;guY5JZopzGiBCoP58fspEBwCodb6MRzv7cLtNQ8xtrutnIr/aIRsE6q7I6piGwjH4fDsvJ/nAJ/D&#10;djroj4YpaPZ82zofvgijSBQK6jC1BCbb3PiAjHA9uMRk3simnDdSJmXnr6UjG4YBgxelaSmRzAcc&#10;FnSefimWXKtvpuz8Rnmvl0aPwD7dTzlexZWatCD04AyehDNQs5IsQFQWYHm9ooTJFTjPg0sJXt32&#10;brU8lpVfja5meedUs1J0RcQajkV07u+riG3PmK+7KylFR1nVBOyNbFRBz2OgQySpIygiMX8PXpxe&#10;N68ohe1ym+Z9epjs0pQ7cMCZbjm85fMGaW8A4oI5bAMAwIaHO3wqaYCK2UuU1Mb9+tt59AdJYaWk&#10;xXYBsZ9r5gRm81WDvqP+cBjXMSnD/GwAxb20LF9a9FpdG8y3j7fE8iRG/yAPYuWMesRDMI1ZYWKa&#10;I3c3m71yHbqtx1PCxXSa3LCCloUbfW95DB6Ri4A/bB+Zs3syBtD41hw2kY3fcLLzjTe1ma6DqZpE&#10;2Ih0hytmGhWsb5ru/qmJ78NLPXk9P4iTPwAAAP//AwBQSwMEFAAGAAgAAAAhAEUJNZveAAAABgEA&#10;AA8AAABkcnMvZG93bnJldi54bWxMj0FLw0AQhe+C/2EZwZvd2FqVmE0RQYogltYeepxkp0kwO5tm&#10;t2nqr3c86W3evOG9b7LF6Fo1UB8azwZuJwko4tLbhisD28/Xm0dQISJbbD2TgTMFWOSXFxmm1p94&#10;TcMmVkpCOKRooI6xS7UOZU0Ow8R3xOLtfe8wiuwrbXs8Sbhr9TRJ7rXDhqWhxo5eaiq/NkdnoFkv&#10;Kb4fPs7j7tAVy+Jt5b+HvTHXV+PzE6hIY/w7hl98QYdcmAp/ZBtUa0AeiQamM+EX92E+k0Uhw90c&#10;dJ7p//j5DwAAAP//AwBQSwECLQAUAAYACAAAACEAtoM4kv4AAADhAQAAEwAAAAAAAAAAAAAAAAAA&#10;AAAAW0NvbnRlbnRfVHlwZXNdLnhtbFBLAQItABQABgAIAAAAIQA4/SH/1gAAAJQBAAALAAAAAAAA&#10;AAAAAAAAAC8BAABfcmVscy8ucmVsc1BLAQItABQABgAIAAAAIQAKd0MFrAIAAFgFAAAOAAAAAAAA&#10;AAAAAAAAAC4CAABkcnMvZTJvRG9jLnhtbFBLAQItABQABgAIAAAAIQBFCTWb3gAAAAYBAAAPAAAA&#10;AAAAAAAAAAAAAAYFAABkcnMvZG93bnJldi54bWxQSwUGAAAAAAQABADzAAAAEQYAAAAA&#10;" fillcolor="#f2f2f2" strokecolor="#41719c" strokeweight="1pt">
                <v:textbox>
                  <w:txbxContent>
                    <w:p w14:paraId="35F82A20" w14:textId="77777777" w:rsidR="005D4C4C" w:rsidRPr="00CF3954" w:rsidRDefault="005D4C4C" w:rsidP="000C0292">
                      <w:pPr>
                        <w:spacing w:after="0" w:line="276" w:lineRule="auto"/>
                        <w:jc w:val="both"/>
                        <w:rPr>
                          <w:b/>
                        </w:rPr>
                      </w:pPr>
                      <w:r w:rsidRPr="00CF3954">
                        <w:rPr>
                          <w:rFonts w:cs="Calibri"/>
                          <w:b/>
                          <w:color w:val="000000"/>
                        </w:rPr>
                        <w:t>3. E</w:t>
                      </w:r>
                      <w:r w:rsidRPr="00CF3954">
                        <w:rPr>
                          <w:b/>
                          <w:lang w:eastAsia="pl-PL"/>
                        </w:rPr>
                        <w:t>fektywne i sprawne działani</w:t>
                      </w:r>
                      <w:r>
                        <w:rPr>
                          <w:b/>
                          <w:lang w:eastAsia="pl-PL"/>
                        </w:rPr>
                        <w:t>e</w:t>
                      </w:r>
                      <w:r w:rsidRPr="00CF3954">
                        <w:rPr>
                          <w:b/>
                          <w:lang w:eastAsia="pl-PL"/>
                        </w:rPr>
                        <w:t xml:space="preserve"> sądów i prokuratury.</w:t>
                      </w:r>
                    </w:p>
                  </w:txbxContent>
                </v:textbox>
                <w10:wrap anchorx="page"/>
              </v:rect>
            </w:pict>
          </mc:Fallback>
        </mc:AlternateContent>
      </w:r>
    </w:p>
    <w:p w14:paraId="7859503F" w14:textId="77777777" w:rsidR="000C0292" w:rsidRPr="00BC7429" w:rsidRDefault="000C0292" w:rsidP="00BC7429">
      <w:pPr>
        <w:autoSpaceDE w:val="0"/>
        <w:autoSpaceDN w:val="0"/>
        <w:adjustRightInd w:val="0"/>
        <w:spacing w:before="120" w:after="0" w:line="276" w:lineRule="auto"/>
        <w:jc w:val="both"/>
        <w:rPr>
          <w:rFonts w:cstheme="minorHAnsi"/>
        </w:rPr>
      </w:pPr>
    </w:p>
    <w:p w14:paraId="15687F12" w14:textId="77777777" w:rsidR="000C0292" w:rsidRPr="00BC7429" w:rsidRDefault="00F60A8F" w:rsidP="00BC7429">
      <w:pPr>
        <w:autoSpaceDE w:val="0"/>
        <w:autoSpaceDN w:val="0"/>
        <w:adjustRightInd w:val="0"/>
        <w:spacing w:before="120" w:after="0" w:line="276" w:lineRule="auto"/>
        <w:jc w:val="both"/>
        <w:rPr>
          <w:rFonts w:cstheme="minorHAnsi"/>
        </w:rPr>
      </w:pPr>
      <w:r w:rsidRPr="00BC7429">
        <w:rPr>
          <w:rFonts w:cstheme="minorHAnsi"/>
          <w:noProof/>
          <w:lang w:eastAsia="pl-PL"/>
        </w:rPr>
        <mc:AlternateContent>
          <mc:Choice Requires="wps">
            <w:drawing>
              <wp:anchor distT="0" distB="0" distL="114300" distR="114300" simplePos="0" relativeHeight="252048384" behindDoc="0" locked="0" layoutInCell="1" allowOverlap="1" wp14:anchorId="17B8C61E" wp14:editId="2695325C">
                <wp:simplePos x="0" y="0"/>
                <wp:positionH relativeFrom="column">
                  <wp:posOffset>417830</wp:posOffset>
                </wp:positionH>
                <wp:positionV relativeFrom="paragraph">
                  <wp:posOffset>28188</wp:posOffset>
                </wp:positionV>
                <wp:extent cx="384048" cy="279400"/>
                <wp:effectExtent l="0" t="19050" r="35560" b="44450"/>
                <wp:wrapNone/>
                <wp:docPr id="116" name="Strzałka w prawo 116"/>
                <wp:cNvGraphicFramePr/>
                <a:graphic xmlns:a="http://schemas.openxmlformats.org/drawingml/2006/main">
                  <a:graphicData uri="http://schemas.microsoft.com/office/word/2010/wordprocessingShape">
                    <wps:wsp>
                      <wps:cNvSpPr/>
                      <wps:spPr>
                        <a:xfrm>
                          <a:off x="0" y="0"/>
                          <a:ext cx="384048" cy="2794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8DA37" id="Strzałka w prawo 116" o:spid="_x0000_s1026" type="#_x0000_t13" style="position:absolute;margin-left:32.9pt;margin-top:2.2pt;width:30.25pt;height:22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HIVjQIAACMFAAAOAAAAZHJzL2Uyb0RvYy54bWysVEtv2zAMvg/YfxB0X+1kaZsGTYq0QYcB&#10;RVsgHXpmZDkWptcoJU573H/b/xolO32fhuWgkObjEz+SOj3bGc22EoNydsoHByVn0gpXKbue8h93&#10;l1/GnIUItgLtrJzyBxn42ezzp9PWT+TQNU5XEhklsWHS+ilvYvSTogiikQbCgfPSkrF2aCCSiuui&#10;Qmgpu9HFsCyPitZh5dEJGQJ9XXRGPsv561qKeFPXQUamp5zuFvOJ+Vyls5idwmSN4Bsl+mvAP9zC&#10;gLIE+pRqARHYBtW7VEYJdMHV8UA4U7i6VkLmGqiaQfmmmmUDXuZaiJzgn2gK/y+tuN7eIlMV9W5w&#10;xJkFQ01aRnyEP79/AmuZJ0YdS0aiqvVhQhFLf4u9FkhMde9qNOmfKmK7TO/DE71yF5mgj1/Ho3JE&#10;8yDINDw+GZWZ/uI52GOI36QzBBqoU6jWTZwjujZTC9urEAmWAvaOCTE4rapLpXVWcL260Mi2QP0+&#10;PD85Xxyme1PIKzdtWUsVD4/pCkwAzV2tIZJoPDER7Joz0GsaaBExY7+KDh+AZPAGKtlDl/TbI3fu&#10;72+RqlhAaLqQDJFCYGJUpKXQykz5OCXaZ9I2WWUe656L1JGuB0laueqB2omum/PgxaUikCsI8RaQ&#10;BpvKpWWNN3TU2hEHrpc4axw+fvQ9+dO8kZWzlhaF+Pm1AZSc6e+WJvFkMBqlzcrK6PB4SAq+tKxe&#10;WuzGXDjqzYCeBS+ymPyj3os1OnNPOz1PqGQCKwi760SvXMRugelVEHI+z260TR7ilV16kZInnhK9&#10;d7t7QN/PU6RBvHb7pYLJm4HqfFOkdfNNdLXK0/bMK3UwKbSJuZf9q5FW/aWevZ7fttlfAAAA//8D&#10;AFBLAwQUAAYACAAAACEA2JBH1t0AAAAHAQAADwAAAGRycy9kb3ducmV2LnhtbEzOQUvDQBAF4Lvg&#10;f1hG8GY31hhKzKZYoQjipbWIx2l2TJbuzobspk399W5Peny84c1XLSdnxZGGYDwruJ9lIIgbrw23&#10;CnYf67sFiBCRNVrPpOBMAZb19VWFpfYn3tBxG1uRRjiUqKCLsS+lDE1HDsPM98Sp+/aDw5ji0Eo9&#10;4CmNOyvnWVZIh4bThw57eumoOWxHpwCNeTuYd/u5G9sfv34Nq9X5a6PU7c30/AQi0hT/juHCT3So&#10;k2nvR9ZBWAXFY5JHBXkO4lLPiwcQ+5QXOci6kv/99S8AAAD//wMAUEsBAi0AFAAGAAgAAAAhALaD&#10;OJL+AAAA4QEAABMAAAAAAAAAAAAAAAAAAAAAAFtDb250ZW50X1R5cGVzXS54bWxQSwECLQAUAAYA&#10;CAAAACEAOP0h/9YAAACUAQAACwAAAAAAAAAAAAAAAAAvAQAAX3JlbHMvLnJlbHNQSwECLQAUAAYA&#10;CAAAACEAVGhyFY0CAAAjBQAADgAAAAAAAAAAAAAAAAAuAgAAZHJzL2Uyb0RvYy54bWxQSwECLQAU&#10;AAYACAAAACEA2JBH1t0AAAAHAQAADwAAAAAAAAAAAAAAAADnBAAAZHJzL2Rvd25yZXYueG1sUEsF&#10;BgAAAAAEAAQA8wAAAPEFAAAAAA==&#10;" adj="13743" fillcolor="#5b9bd5" strokecolor="#41719c" strokeweight="1pt"/>
            </w:pict>
          </mc:Fallback>
        </mc:AlternateContent>
      </w:r>
      <w:r w:rsidR="000C0292" w:rsidRPr="00BC7429">
        <w:rPr>
          <w:rFonts w:cstheme="minorHAnsi"/>
          <w:noProof/>
          <w:lang w:eastAsia="pl-PL"/>
        </w:rPr>
        <mc:AlternateContent>
          <mc:Choice Requires="wps">
            <w:drawing>
              <wp:anchor distT="0" distB="0" distL="114300" distR="114300" simplePos="0" relativeHeight="252043264" behindDoc="0" locked="0" layoutInCell="1" allowOverlap="1" wp14:anchorId="44B9B582" wp14:editId="23751E03">
                <wp:simplePos x="0" y="0"/>
                <wp:positionH relativeFrom="page">
                  <wp:align>center</wp:align>
                </wp:positionH>
                <wp:positionV relativeFrom="paragraph">
                  <wp:posOffset>8255</wp:posOffset>
                </wp:positionV>
                <wp:extent cx="4793615" cy="321945"/>
                <wp:effectExtent l="0" t="0" r="26035" b="20955"/>
                <wp:wrapNone/>
                <wp:docPr id="109" name="Prostokąt 109"/>
                <wp:cNvGraphicFramePr/>
                <a:graphic xmlns:a="http://schemas.openxmlformats.org/drawingml/2006/main">
                  <a:graphicData uri="http://schemas.microsoft.com/office/word/2010/wordprocessingShape">
                    <wps:wsp>
                      <wps:cNvSpPr/>
                      <wps:spPr>
                        <a:xfrm>
                          <a:off x="0" y="0"/>
                          <a:ext cx="4793615" cy="321945"/>
                        </a:xfrm>
                        <a:prstGeom prst="rect">
                          <a:avLst/>
                        </a:prstGeom>
                        <a:solidFill>
                          <a:schemeClr val="bg1">
                            <a:lumMod val="95000"/>
                          </a:schemeClr>
                        </a:solidFill>
                        <a:ln w="12700" cap="flat" cmpd="sng" algn="ctr">
                          <a:solidFill>
                            <a:srgbClr val="5B9BD5">
                              <a:shade val="50000"/>
                            </a:srgbClr>
                          </a:solidFill>
                          <a:prstDash val="solid"/>
                          <a:miter lim="800000"/>
                        </a:ln>
                        <a:effectLst/>
                      </wps:spPr>
                      <wps:txbx>
                        <w:txbxContent>
                          <w:p w14:paraId="78BE95FB" w14:textId="77777777" w:rsidR="005D4C4C" w:rsidRPr="0046040A" w:rsidRDefault="005D4C4C" w:rsidP="000C0292">
                            <w:pPr>
                              <w:autoSpaceDE w:val="0"/>
                              <w:autoSpaceDN w:val="0"/>
                              <w:adjustRightInd w:val="0"/>
                              <w:jc w:val="both"/>
                              <w:rPr>
                                <w:rFonts w:cs="Calibri"/>
                                <w:b/>
                                <w:color w:val="000000"/>
                              </w:rPr>
                            </w:pPr>
                            <w:r>
                              <w:rPr>
                                <w:rFonts w:cs="Calibri"/>
                                <w:b/>
                                <w:color w:val="000000"/>
                              </w:rPr>
                              <w:t>4. Stabilne f</w:t>
                            </w:r>
                            <w:r w:rsidRPr="0046040A">
                              <w:rPr>
                                <w:rFonts w:cs="Calibri"/>
                                <w:b/>
                                <w:color w:val="000000"/>
                              </w:rPr>
                              <w:t>inanse publiczne</w:t>
                            </w:r>
                            <w:r>
                              <w:rPr>
                                <w:rFonts w:cs="Calibri"/>
                                <w:b/>
                                <w:color w:val="000000"/>
                              </w:rPr>
                              <w:t>.</w:t>
                            </w:r>
                          </w:p>
                          <w:p w14:paraId="428CBCD0" w14:textId="77777777" w:rsidR="005D4C4C" w:rsidRDefault="005D4C4C" w:rsidP="000C02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9B582" id="Prostokąt 109" o:spid="_x0000_s1030" style="position:absolute;left:0;text-align:left;margin-left:0;margin-top:.65pt;width:377.45pt;height:25.35pt;z-index:252043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FjZpAIAAEwFAAAOAAAAZHJzL2Uyb0RvYy54bWysVMlu2zAQvRfoPxC8N5IcO4kNy4FjI0WB&#10;NDGQFDnTFCUR5VaStpTe+2f9sA5J2dl6KnqRZjjDWd6b4fyylwLtmXVcqxIXJzlGTFFdcdWU+NvD&#10;9acLjJwnqiJCK1biJ+bw5eLjh3lnZmykWy0qZhEEUW7WmRK33ptZljnaMknciTZMgbHWVhIPqm2y&#10;ypIOokuRjfL8LOu0rYzVlDkHp+tkxIsYv64Z9Xd17ZhHosRQm49fG7/b8M0WczJrLDEtp0MZ5B+q&#10;kIQrSHoMtSaeoJ3l70JJTq12uvYnVMtM1zWnLPYA3RT5m27uW2JY7AXAceYIk/t/YentfmMRr4C7&#10;fIqRIhJI2kCJXn///cujcAoYdcbNwPXebOygORBDw31tZfhDK6iPuD4dcWW9RxQOx+fT07NighEF&#10;2+momI4nIWj2fNtY5z8zLVEQSmyBtwgn2d84n1wPLiGZ04JX11yIqIRZYSth0Z4Ay9umiFfFTn7V&#10;VTqbTvI8cg0p42gF91jAq0hCoQ6AGJ2DM6IExrEWxIMoDQDkVIMREQ3MOfU25nh129lme6xicjW9&#10;Wk+SU0sqluoIZRzrSO7vqwiNrolr05WYIo2p5B52RXBZ4osQ6BBJqAADi9M+wBX4SgwFyffbPnI8&#10;PnC51dUT8G51Wghn6DWHtDfE+Q2xsAEAAGy1v4NPLTSgogcJo1bbn387D/4wmGDFqIONAsR+7Ihl&#10;GIkvCkZ2WozHYQWjMp6cj0CxLy3blxa1kysNdBbwfhgaxeDvxUGsrZaPsPzLkBVMRFHInbgZlJVP&#10;mw7PB2XLZXSDtTPE36h7Q0PwgFwA/KF/JNYM4+dhcG/1YfvI7M0UJt9wU+nlzuuaxxENSCdcgdOg&#10;wMpGdofnJbwJL/Xo9fwILv4AAAD//wMAUEsDBBQABgAIAAAAIQCIRuY72gAAAAUBAAAPAAAAZHJz&#10;L2Rvd25yZXYueG1sTI/BTsMwEETvSPyDtUjcqE1DSxviVAiEOPVAQep1E7tJRLyObCcNf89yoseZ&#10;Wc28LXaz68VkQ+w8abhfKBCWam86ajR8fb7dbUDEhGSw92Q1/NgIu/L6qsDc+DN92OmQGsElFHPU&#10;0KY05FLGurUO48IPljg7+eAwsQyNNAHPXO56uVRqLR12xAstDvaltfX3YXQa1jhm7Kijy6bX8B73&#10;cV9tN1rf3szPTyCSndP/MfzhMzqUzFT5kUwUvQZ+JLGbgeDwcfWwBVFpWC0VyLKQl/TlLwAAAP//&#10;AwBQSwECLQAUAAYACAAAACEAtoM4kv4AAADhAQAAEwAAAAAAAAAAAAAAAAAAAAAAW0NvbnRlbnRf&#10;VHlwZXNdLnhtbFBLAQItABQABgAIAAAAIQA4/SH/1gAAAJQBAAALAAAAAAAAAAAAAAAAAC8BAABf&#10;cmVscy8ucmVsc1BLAQItABQABgAIAAAAIQCUWFjZpAIAAEwFAAAOAAAAAAAAAAAAAAAAAC4CAABk&#10;cnMvZTJvRG9jLnhtbFBLAQItABQABgAIAAAAIQCIRuY72gAAAAUBAAAPAAAAAAAAAAAAAAAAAP4E&#10;AABkcnMvZG93bnJldi54bWxQSwUGAAAAAAQABADzAAAABQYAAAAA&#10;" fillcolor="#f2f2f2 [3052]" strokecolor="#41719c" strokeweight="1pt">
                <v:textbox>
                  <w:txbxContent>
                    <w:p w14:paraId="78BE95FB" w14:textId="77777777" w:rsidR="005D4C4C" w:rsidRPr="0046040A" w:rsidRDefault="005D4C4C" w:rsidP="000C0292">
                      <w:pPr>
                        <w:autoSpaceDE w:val="0"/>
                        <w:autoSpaceDN w:val="0"/>
                        <w:adjustRightInd w:val="0"/>
                        <w:jc w:val="both"/>
                        <w:rPr>
                          <w:rFonts w:cs="Calibri"/>
                          <w:b/>
                          <w:color w:val="000000"/>
                        </w:rPr>
                      </w:pPr>
                      <w:r>
                        <w:rPr>
                          <w:rFonts w:cs="Calibri"/>
                          <w:b/>
                          <w:color w:val="000000"/>
                        </w:rPr>
                        <w:t>4. Stabilne f</w:t>
                      </w:r>
                      <w:r w:rsidRPr="0046040A">
                        <w:rPr>
                          <w:rFonts w:cs="Calibri"/>
                          <w:b/>
                          <w:color w:val="000000"/>
                        </w:rPr>
                        <w:t>inanse publiczne</w:t>
                      </w:r>
                      <w:r>
                        <w:rPr>
                          <w:rFonts w:cs="Calibri"/>
                          <w:b/>
                          <w:color w:val="000000"/>
                        </w:rPr>
                        <w:t>.</w:t>
                      </w:r>
                    </w:p>
                    <w:p w14:paraId="428CBCD0" w14:textId="77777777" w:rsidR="005D4C4C" w:rsidRDefault="005D4C4C" w:rsidP="000C0292">
                      <w:pPr>
                        <w:jc w:val="center"/>
                      </w:pPr>
                    </w:p>
                  </w:txbxContent>
                </v:textbox>
                <w10:wrap anchorx="page"/>
              </v:rect>
            </w:pict>
          </mc:Fallback>
        </mc:AlternateContent>
      </w:r>
    </w:p>
    <w:p w14:paraId="64DF8484" w14:textId="77777777" w:rsidR="000C0292" w:rsidRPr="00BC7429" w:rsidRDefault="00F60A8F" w:rsidP="00BC7429">
      <w:pPr>
        <w:autoSpaceDE w:val="0"/>
        <w:autoSpaceDN w:val="0"/>
        <w:adjustRightInd w:val="0"/>
        <w:spacing w:before="120" w:after="0" w:line="276" w:lineRule="auto"/>
        <w:jc w:val="both"/>
        <w:rPr>
          <w:rFonts w:cstheme="minorHAnsi"/>
        </w:rPr>
      </w:pPr>
      <w:r w:rsidRPr="00BC7429">
        <w:rPr>
          <w:rFonts w:cstheme="minorHAnsi"/>
          <w:noProof/>
          <w:lang w:eastAsia="pl-PL"/>
        </w:rPr>
        <mc:AlternateContent>
          <mc:Choice Requires="wps">
            <w:drawing>
              <wp:anchor distT="0" distB="0" distL="114300" distR="114300" simplePos="0" relativeHeight="252049408" behindDoc="0" locked="0" layoutInCell="1" allowOverlap="1" wp14:anchorId="5F0D0E23" wp14:editId="12E445A3">
                <wp:simplePos x="0" y="0"/>
                <wp:positionH relativeFrom="column">
                  <wp:posOffset>418161</wp:posOffset>
                </wp:positionH>
                <wp:positionV relativeFrom="paragraph">
                  <wp:posOffset>156762</wp:posOffset>
                </wp:positionV>
                <wp:extent cx="391363" cy="279400"/>
                <wp:effectExtent l="0" t="19050" r="46990" b="44450"/>
                <wp:wrapNone/>
                <wp:docPr id="120" name="Strzałka w prawo 120"/>
                <wp:cNvGraphicFramePr/>
                <a:graphic xmlns:a="http://schemas.openxmlformats.org/drawingml/2006/main">
                  <a:graphicData uri="http://schemas.microsoft.com/office/word/2010/wordprocessingShape">
                    <wps:wsp>
                      <wps:cNvSpPr/>
                      <wps:spPr>
                        <a:xfrm>
                          <a:off x="0" y="0"/>
                          <a:ext cx="391363" cy="2794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C0CD9" id="Strzałka w prawo 120" o:spid="_x0000_s1026" type="#_x0000_t13" style="position:absolute;margin-left:32.95pt;margin-top:12.35pt;width:30.8pt;height:22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XoJjAIAACMFAAAOAAAAZHJzL2Uyb0RvYy54bWysVMluGzEMvRfoPwi6N2M7zmIjduDESFEg&#10;aAI4Rc60RjMjVFsp2ePk2H/rf5XSjLOfivogk8PliY+kzs53RrOtxKCcnfHhwYAzaYUrla1n/Mfd&#10;1ZdTzkIEW4J2Vs74gwz8fP7501nrp3LkGqdLiYyS2DBt/Yw3MfppUQTRSAPhwHlpyVg5NBBJxboo&#10;EVrKbnQxGgyOi9Zh6dEJGQJ9XXZGPs/5q0qKeFNVQUamZ5zuFvOJ+Vyns5ifwbRG8I0S/TXgH25h&#10;QFkCfUq1hAhsg+pdKqMEuuCqeCCcKVxVKSFzDVTNcPCmmlUDXuZaiJzgn2gK/y+t+L69RaZK6t2I&#10;+LFgqEmriI/w5/dPYC3zxKhjyUhUtT5MKWLlb7HXAomp7l2FJv1TRWyX6X14olfuIhP08XAyPDw+&#10;5EyQaXQyGQ9yzuI52GOIX6UzBBqoU6jqJi4QXZuphe11iARLAXvHhBicVuWV0jorWK8vNbItUL+P&#10;LiYXy6N0bwp55aYta1PFJ3QFJoDmrtIQSTSemAi25gx0TQMtImbsV9HhA5AM3kApe+gB/fbInfv7&#10;W6QqlhCaLiRDpBCYGhVpKbQyM36aEu0zaZusMo91z0XqSNeDJK1d+UDtRNfNefDiShHINYR4C0iD&#10;TeXSssYbOirtiAPXS5w1Dh8/+p78ad7IyllLi0L8/NoASs70N0uTOBmOx2mzsjI+OkljhC8t65cW&#10;uzGXjnozpGfBiywm/6j3YoXO3NNOLxIqmcAKwu460SuXsVtgehWEXCyyG22Th3htV16k5ImnRO/d&#10;7h7Q9/MUaRC/u/1SwfTNQHW+KdK6xSa6SuVpe+aVOpgU2sTcy/7VSKv+Us9ez2/b/C8AAAD//wMA&#10;UEsDBBQABgAIAAAAIQAVlQjz3QAAAAgBAAAPAAAAZHJzL2Rvd25yZXYueG1sTI/BbsIwEETvlfoP&#10;1lbiVpxEkEAaByEQUg+9kKKeTbwkUe11FJsQ/r7mVI6rN5p5W2wmo9mIg+ssCYjnETCk2qqOGgGn&#10;78P7CpjzkpTUllDAHR1syteXQubK3uiIY+UbFkrI5VJA632fc+7qFo10c9sjBXaxg5E+nEPD1SBv&#10;odxonkRRyo3sKCy0ssddi/VvdTUCttlu/TnWTXxx+6+RTtVB/6SxELO3afsBzOPk/8Pw0A/qUAan&#10;s72SckwLSJfrkBSQLDJgD55kS2DnAFYZ8LLgzw+UfwAAAP//AwBQSwECLQAUAAYACAAAACEAtoM4&#10;kv4AAADhAQAAEwAAAAAAAAAAAAAAAAAAAAAAW0NvbnRlbnRfVHlwZXNdLnhtbFBLAQItABQABgAI&#10;AAAAIQA4/SH/1gAAAJQBAAALAAAAAAAAAAAAAAAAAC8BAABfcmVscy8ucmVsc1BLAQItABQABgAI&#10;AAAAIQAoxXoJjAIAACMFAAAOAAAAAAAAAAAAAAAAAC4CAABkcnMvZTJvRG9jLnhtbFBLAQItABQA&#10;BgAIAAAAIQAVlQjz3QAAAAgBAAAPAAAAAAAAAAAAAAAAAOYEAABkcnMvZG93bnJldi54bWxQSwUG&#10;AAAAAAQABADzAAAA8AUAAAAA&#10;" adj="13890" fillcolor="#5b9bd5" strokecolor="#41719c" strokeweight="1pt"/>
            </w:pict>
          </mc:Fallback>
        </mc:AlternateContent>
      </w:r>
      <w:r w:rsidRPr="00BC7429">
        <w:rPr>
          <w:rFonts w:cstheme="minorHAnsi"/>
          <w:noProof/>
          <w:lang w:eastAsia="pl-PL"/>
        </w:rPr>
        <mc:AlternateContent>
          <mc:Choice Requires="wps">
            <w:drawing>
              <wp:anchor distT="0" distB="0" distL="114300" distR="114300" simplePos="0" relativeHeight="252045312" behindDoc="0" locked="0" layoutInCell="1" allowOverlap="1" wp14:anchorId="5A50276D" wp14:editId="500556B1">
                <wp:simplePos x="0" y="0"/>
                <wp:positionH relativeFrom="page">
                  <wp:align>center</wp:align>
                </wp:positionH>
                <wp:positionV relativeFrom="paragraph">
                  <wp:posOffset>140860</wp:posOffset>
                </wp:positionV>
                <wp:extent cx="4793993" cy="322418"/>
                <wp:effectExtent l="0" t="0" r="26035" b="20955"/>
                <wp:wrapNone/>
                <wp:docPr id="121" name="Prostokąt 121"/>
                <wp:cNvGraphicFramePr/>
                <a:graphic xmlns:a="http://schemas.openxmlformats.org/drawingml/2006/main">
                  <a:graphicData uri="http://schemas.microsoft.com/office/word/2010/wordprocessingShape">
                    <wps:wsp>
                      <wps:cNvSpPr/>
                      <wps:spPr>
                        <a:xfrm>
                          <a:off x="0" y="0"/>
                          <a:ext cx="4793993" cy="322418"/>
                        </a:xfrm>
                        <a:prstGeom prst="rect">
                          <a:avLst/>
                        </a:prstGeom>
                        <a:solidFill>
                          <a:schemeClr val="bg1">
                            <a:lumMod val="95000"/>
                          </a:schemeClr>
                        </a:solidFill>
                        <a:ln w="12700" cap="flat" cmpd="sng" algn="ctr">
                          <a:solidFill>
                            <a:srgbClr val="5B9BD5">
                              <a:shade val="50000"/>
                            </a:srgbClr>
                          </a:solidFill>
                          <a:prstDash val="solid"/>
                          <a:miter lim="800000"/>
                        </a:ln>
                        <a:effectLst/>
                      </wps:spPr>
                      <wps:txbx>
                        <w:txbxContent>
                          <w:p w14:paraId="6E012FA4" w14:textId="77777777" w:rsidR="005D4C4C" w:rsidRPr="0046040A" w:rsidRDefault="005D4C4C" w:rsidP="000C0292">
                            <w:pPr>
                              <w:autoSpaceDE w:val="0"/>
                              <w:autoSpaceDN w:val="0"/>
                              <w:adjustRightInd w:val="0"/>
                              <w:jc w:val="both"/>
                              <w:rPr>
                                <w:rFonts w:cs="Calibri"/>
                                <w:b/>
                                <w:color w:val="000000"/>
                              </w:rPr>
                            </w:pPr>
                            <w:r>
                              <w:rPr>
                                <w:rFonts w:cs="Calibri"/>
                                <w:b/>
                                <w:color w:val="000000"/>
                              </w:rPr>
                              <w:t>5. Wzmocnienie s</w:t>
                            </w:r>
                            <w:r w:rsidRPr="00725B8F">
                              <w:rPr>
                                <w:rFonts w:cs="Calibri"/>
                                <w:b/>
                                <w:color w:val="000000"/>
                              </w:rPr>
                              <w:t>ystem</w:t>
                            </w:r>
                            <w:r>
                              <w:rPr>
                                <w:rFonts w:cs="Calibri"/>
                                <w:b/>
                                <w:color w:val="000000"/>
                              </w:rPr>
                              <w:t>u</w:t>
                            </w:r>
                            <w:r w:rsidRPr="00725B8F">
                              <w:rPr>
                                <w:rFonts w:cs="Calibri"/>
                                <w:b/>
                                <w:color w:val="000000"/>
                              </w:rPr>
                              <w:t xml:space="preserve"> bezpieczeństwa i porządku publicznego</w:t>
                            </w:r>
                            <w:r>
                              <w:rPr>
                                <w:rFonts w:cs="Calibri"/>
                                <w:b/>
                                <w:color w:val="000000"/>
                              </w:rPr>
                              <w:t>.</w:t>
                            </w:r>
                          </w:p>
                          <w:p w14:paraId="3E8D8B0F" w14:textId="77777777" w:rsidR="005D4C4C" w:rsidRDefault="005D4C4C" w:rsidP="000C02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0276D" id="Prostokąt 121" o:spid="_x0000_s1031" style="position:absolute;left:0;text-align:left;margin-left:0;margin-top:11.1pt;width:377.5pt;height:25.4pt;z-index:252045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JaBowIAAEwFAAAOAAAAZHJzL2Uyb0RvYy54bWysVM1u2zAMvg/YOwi6r07SZG2COkXaoMOA&#10;rg3QDj0rsmwLk0RNUuJ0977ZHmyU5KR/Ow272KRI8ef7SJ2d77QiW+G8BFPS4dGAEmE4VNI0Jf1+&#10;f/XplBIfmKmYAiNK+ig8PZ9//HDW2ZkYQQuqEo5gEONnnS1pG4KdFYXnrdDMH4EVBo01OM0Cqq4p&#10;Ksc6jK5VMRoMPhcduMo64MJ7PF1mI52n+HUteLitay8CUSXF2kL6uvRdx28xP2OzxjHbSt6Xwf6h&#10;Cs2kwaSHUEsWGNk4+S6UltyBhzoccdAF1LXkIvWA3QwHb7q5a5kVqRcEx9sDTP7/heU325UjskLu&#10;RkNKDNNI0gpLDPDj91Mg8RQx6qyfoeudXble8yjGhne10/GPrZBdwvXxgKvYBcLxcHwyPZ5Ojynh&#10;aDsejcbD0xi0eL5tnQ9fBGgShZI65C3BybbXPmTXvUtM5kHJ6koqlZQ4K+JSObJlyPK6GaaraqO/&#10;QZXPppPBIHGNKdNoRfdUwKtIypAuAnGCzoQzHMdasYCitgiQNw0lTDU45zy4lOPVbe+a9aGKycX0&#10;YjnJTi2rRK4jlnGoI7u/ryI2umS+zVdSijymWgbcFSV1SU9joH0kZSIMIk17D1fkKzMUpbBb7xLH&#10;kz2Xa6gekXcHeSG85VcS014zH1bM4QYgALjV4RY/tQJEBXqJkhbcr7+dR38cTLRS0uFGIWI/N8wJ&#10;StRXgyM7HY7HcQWTMp6cjFBxLy3rlxaz0ZeAdOJQYnVJjP5B7cXagX7A5V/ErGhihmPuzE2vXIa8&#10;6fh8cLFYJDdcO8vCtbmzPAaPyEXA73cPzNl+/AIO7g3st4/N3kxh9o03DSw2AWqZRjQinXFFTqOC&#10;K5vY7Z+X+Ca81JPX8yM4/wMAAP//AwBQSwMEFAAGAAgAAAAhAFhk9kfaAAAABgEAAA8AAABkcnMv&#10;ZG93bnJldi54bWxMj0FPwzAMhe9I/IfISNxYQquN0TWdEAhx2oENiavbZG1F41RJ2pV/jznBzX7P&#10;ev5euV/cIGYbYu9Jw/1KgbDUeNNTq+Hj9Hq3BRETksHBk9XwbSPsq+urEgvjL/Ru52NqBYdQLFBD&#10;l9JYSBmbzjqMKz9aYu/sg8PEa2ilCXjhcDfITKmNdNgTf+hwtM+dbb6Ok9OwwSlnRX26fH4Jb/EQ&#10;D/XjVuvbm+VpByLZJf0dwy8+o0PFTLWfyEQxaOAiSUOWZSDYfVivWah5yBXIqpT/8asfAAAA//8D&#10;AFBLAQItABQABgAIAAAAIQC2gziS/gAAAOEBAAATAAAAAAAAAAAAAAAAAAAAAABbQ29udGVudF9U&#10;eXBlc10ueG1sUEsBAi0AFAAGAAgAAAAhADj9If/WAAAAlAEAAAsAAAAAAAAAAAAAAAAALwEAAF9y&#10;ZWxzLy5yZWxzUEsBAi0AFAAGAAgAAAAhAFg8loGjAgAATAUAAA4AAAAAAAAAAAAAAAAALgIAAGRy&#10;cy9lMm9Eb2MueG1sUEsBAi0AFAAGAAgAAAAhAFhk9kfaAAAABgEAAA8AAAAAAAAAAAAAAAAA/QQA&#10;AGRycy9kb3ducmV2LnhtbFBLBQYAAAAABAAEAPMAAAAEBgAAAAA=&#10;" fillcolor="#f2f2f2 [3052]" strokecolor="#41719c" strokeweight="1pt">
                <v:textbox>
                  <w:txbxContent>
                    <w:p w14:paraId="6E012FA4" w14:textId="77777777" w:rsidR="005D4C4C" w:rsidRPr="0046040A" w:rsidRDefault="005D4C4C" w:rsidP="000C0292">
                      <w:pPr>
                        <w:autoSpaceDE w:val="0"/>
                        <w:autoSpaceDN w:val="0"/>
                        <w:adjustRightInd w:val="0"/>
                        <w:jc w:val="both"/>
                        <w:rPr>
                          <w:rFonts w:cs="Calibri"/>
                          <w:b/>
                          <w:color w:val="000000"/>
                        </w:rPr>
                      </w:pPr>
                      <w:r>
                        <w:rPr>
                          <w:rFonts w:cs="Calibri"/>
                          <w:b/>
                          <w:color w:val="000000"/>
                        </w:rPr>
                        <w:t>5. Wzmocnienie s</w:t>
                      </w:r>
                      <w:r w:rsidRPr="00725B8F">
                        <w:rPr>
                          <w:rFonts w:cs="Calibri"/>
                          <w:b/>
                          <w:color w:val="000000"/>
                        </w:rPr>
                        <w:t>ystem</w:t>
                      </w:r>
                      <w:r>
                        <w:rPr>
                          <w:rFonts w:cs="Calibri"/>
                          <w:b/>
                          <w:color w:val="000000"/>
                        </w:rPr>
                        <w:t>u</w:t>
                      </w:r>
                      <w:r w:rsidRPr="00725B8F">
                        <w:rPr>
                          <w:rFonts w:cs="Calibri"/>
                          <w:b/>
                          <w:color w:val="000000"/>
                        </w:rPr>
                        <w:t xml:space="preserve"> bezpieczeństwa i porządku publicznego</w:t>
                      </w:r>
                      <w:r>
                        <w:rPr>
                          <w:rFonts w:cs="Calibri"/>
                          <w:b/>
                          <w:color w:val="000000"/>
                        </w:rPr>
                        <w:t>.</w:t>
                      </w:r>
                    </w:p>
                    <w:p w14:paraId="3E8D8B0F" w14:textId="77777777" w:rsidR="005D4C4C" w:rsidRDefault="005D4C4C" w:rsidP="000C0292">
                      <w:pPr>
                        <w:jc w:val="center"/>
                      </w:pPr>
                    </w:p>
                  </w:txbxContent>
                </v:textbox>
                <w10:wrap anchorx="page"/>
              </v:rect>
            </w:pict>
          </mc:Fallback>
        </mc:AlternateContent>
      </w:r>
    </w:p>
    <w:p w14:paraId="6DEBB7E2" w14:textId="77777777" w:rsidR="000C0292" w:rsidRPr="00BC7429" w:rsidRDefault="000C0292" w:rsidP="00BC7429">
      <w:pPr>
        <w:autoSpaceDE w:val="0"/>
        <w:autoSpaceDN w:val="0"/>
        <w:adjustRightInd w:val="0"/>
        <w:spacing w:before="120" w:after="0" w:line="276" w:lineRule="auto"/>
        <w:jc w:val="both"/>
        <w:rPr>
          <w:rFonts w:cstheme="minorHAnsi"/>
        </w:rPr>
      </w:pPr>
    </w:p>
    <w:p w14:paraId="06FA4394" w14:textId="77777777" w:rsidR="000C0292" w:rsidRPr="00BC7429" w:rsidRDefault="00F60A8F" w:rsidP="00BC7429">
      <w:pPr>
        <w:autoSpaceDE w:val="0"/>
        <w:autoSpaceDN w:val="0"/>
        <w:adjustRightInd w:val="0"/>
        <w:spacing w:before="120" w:after="0" w:line="276" w:lineRule="auto"/>
        <w:jc w:val="both"/>
        <w:rPr>
          <w:rFonts w:cstheme="minorHAnsi"/>
        </w:rPr>
      </w:pPr>
      <w:r w:rsidRPr="00BC7429">
        <w:rPr>
          <w:rFonts w:cstheme="minorHAnsi"/>
          <w:noProof/>
          <w:lang w:eastAsia="pl-PL"/>
        </w:rPr>
        <mc:AlternateContent>
          <mc:Choice Requires="wps">
            <w:drawing>
              <wp:anchor distT="0" distB="0" distL="114300" distR="114300" simplePos="0" relativeHeight="252052480" behindDoc="0" locked="0" layoutInCell="1" allowOverlap="1" wp14:anchorId="77DB92D3" wp14:editId="3D9C9047">
                <wp:simplePos x="0" y="0"/>
                <wp:positionH relativeFrom="column">
                  <wp:posOffset>417527</wp:posOffset>
                </wp:positionH>
                <wp:positionV relativeFrom="paragraph">
                  <wp:posOffset>32854</wp:posOffset>
                </wp:positionV>
                <wp:extent cx="391363" cy="279400"/>
                <wp:effectExtent l="0" t="19050" r="46990" b="44450"/>
                <wp:wrapNone/>
                <wp:docPr id="123" name="Strzałka w prawo 123"/>
                <wp:cNvGraphicFramePr/>
                <a:graphic xmlns:a="http://schemas.openxmlformats.org/drawingml/2006/main">
                  <a:graphicData uri="http://schemas.microsoft.com/office/word/2010/wordprocessingShape">
                    <wps:wsp>
                      <wps:cNvSpPr/>
                      <wps:spPr>
                        <a:xfrm>
                          <a:off x="0" y="0"/>
                          <a:ext cx="391363" cy="2794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55BDF" id="Strzałka w prawo 123" o:spid="_x0000_s1026" type="#_x0000_t13" style="position:absolute;margin-left:32.9pt;margin-top:2.6pt;width:30.8pt;height:22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BaiwIAACMFAAAOAAAAZHJzL2Uyb0RvYy54bWysVMluGzEMvRfoPwi6N2M7zmIjduDESFEg&#10;aAI4Rc60RjMjVFsp2ePk2H/rf5XSjLOfivogk8PliY+kzs53RrOtxKCcnfHhwYAzaYUrla1n/Mfd&#10;1ZdTzkIEW4J2Vs74gwz8fP7501nrp3LkGqdLiYyS2DBt/Yw3MfppUQTRSAPhwHlpyVg5NBBJxboo&#10;EVrKbnQxGgyOi9Zh6dEJGQJ9XXZGPs/5q0qKeFNVQUamZ5zuFvOJ+Vyns5ifwbRG8I0S/TXgH25h&#10;QFkCfUq1hAhsg+pdKqMEuuCqeCCcKVxVKSFzDVTNcPCmmlUDXuZaiJzgn2gK/y+t+L69RaZK6t3o&#10;kDMLhpq0ivgIf37/BNYyT4w6loxEVevDlCJW/hZ7LZCY6t5VaNI/VcR2md6HJ3rlLjJBHw8nw8Nj&#10;AhFkGp1MxoNMf/Ec7DHEr9IZAg3UKVR1ExeIrs3UwvY6RIKlgL1jQgxOq/JKaZ0VrNeXGtkWqN9H&#10;F5OL5VG6N4W8ctOWtaniE7oCE0BzV2mIJBpPTARbcwa6poEWETP2q+jwAUgGb6CUPfSAfnvkzv39&#10;LVIVSwhNF5IhUghMjYq0FFqZGT9NifaZtE1Wmce65yJ1pOtBktaufKB2ouvmPHhxpQjkGkK8BaTB&#10;pnJpWeMNHZV2xIHrJc4ah48ffU/+NG9k5aylRSF+fm0AJWf6m6VJnAzH47RZWRkfnYxIwZeW9UuL&#10;3ZhLR70Z0rPgRRaTf9R7sUJn7mmnFwmVTGAFYXed6JXL2C0wvQpCLhbZjbbJQ7y2Ky9S8sRTovdu&#10;dw/o+3mKNIjf3X6pYPpmoDrfFGndYhNdpfK0PfNKHUwKbWLuZf9qpFV/qWev57dt/hcAAP//AwBQ&#10;SwMEFAAGAAgAAAAhAA+IszrcAAAABwEAAA8AAABkcnMvZG93bnJldi54bWxMzjFPwzAQBeAdif9g&#10;HRIbdRK1KQ25VFVRJQYWQsXsxtckwj5HsZuGf487wXh6p/e+cjtbIyYafe8YIV0kIIgbp3tuEY6f&#10;h6dnED4o1so4JoQf8rCt7u9KVWh35Q+a6tCKWMK+UAhdCEMhpW86ssov3EAcs7MbrQrxHFupR3WN&#10;5dbILElyaVXPcaFTA+07ar7ri0XYrfebt6lp07N/fZ/4WB/MV54iPj7MuxcQgebw9ww3fqRDFU0n&#10;d2HthUHIV1EeEFYZiFucrZcgTgjLTQayKuV/f/ULAAD//wMAUEsBAi0AFAAGAAgAAAAhALaDOJL+&#10;AAAA4QEAABMAAAAAAAAAAAAAAAAAAAAAAFtDb250ZW50X1R5cGVzXS54bWxQSwECLQAUAAYACAAA&#10;ACEAOP0h/9YAAACUAQAACwAAAAAAAAAAAAAAAAAvAQAAX3JlbHMvLnJlbHNQSwECLQAUAAYACAAA&#10;ACEA/gewWosCAAAjBQAADgAAAAAAAAAAAAAAAAAuAgAAZHJzL2Uyb0RvYy54bWxQSwECLQAUAAYA&#10;CAAAACEAD4izOtwAAAAHAQAADwAAAAAAAAAAAAAAAADlBAAAZHJzL2Rvd25yZXYueG1sUEsFBgAA&#10;AAAEAAQA8wAAAO4FAAAAAA==&#10;" adj="13890" fillcolor="#5b9bd5" strokecolor="#41719c" strokeweight="1pt"/>
            </w:pict>
          </mc:Fallback>
        </mc:AlternateContent>
      </w:r>
      <w:r w:rsidR="000C0292" w:rsidRPr="00BC7429">
        <w:rPr>
          <w:rFonts w:cstheme="minorHAnsi"/>
          <w:noProof/>
          <w:lang w:eastAsia="pl-PL"/>
        </w:rPr>
        <mc:AlternateContent>
          <mc:Choice Requires="wps">
            <w:drawing>
              <wp:anchor distT="0" distB="0" distL="114300" distR="114300" simplePos="0" relativeHeight="252046336" behindDoc="0" locked="0" layoutInCell="1" allowOverlap="1" wp14:anchorId="3A57D5BA" wp14:editId="56AF038E">
                <wp:simplePos x="0" y="0"/>
                <wp:positionH relativeFrom="page">
                  <wp:align>center</wp:align>
                </wp:positionH>
                <wp:positionV relativeFrom="paragraph">
                  <wp:posOffset>28437</wp:posOffset>
                </wp:positionV>
                <wp:extent cx="4793993" cy="322418"/>
                <wp:effectExtent l="0" t="0" r="26035" b="20955"/>
                <wp:wrapNone/>
                <wp:docPr id="122" name="Prostokąt 122"/>
                <wp:cNvGraphicFramePr/>
                <a:graphic xmlns:a="http://schemas.openxmlformats.org/drawingml/2006/main">
                  <a:graphicData uri="http://schemas.microsoft.com/office/word/2010/wordprocessingShape">
                    <wps:wsp>
                      <wps:cNvSpPr/>
                      <wps:spPr>
                        <a:xfrm>
                          <a:off x="0" y="0"/>
                          <a:ext cx="4793993" cy="322418"/>
                        </a:xfrm>
                        <a:prstGeom prst="rect">
                          <a:avLst/>
                        </a:prstGeom>
                        <a:solidFill>
                          <a:schemeClr val="bg1">
                            <a:lumMod val="95000"/>
                          </a:schemeClr>
                        </a:solidFill>
                        <a:ln w="12700" cap="flat" cmpd="sng" algn="ctr">
                          <a:solidFill>
                            <a:srgbClr val="5B9BD5">
                              <a:shade val="50000"/>
                            </a:srgbClr>
                          </a:solidFill>
                          <a:prstDash val="solid"/>
                          <a:miter lim="800000"/>
                        </a:ln>
                        <a:effectLst/>
                      </wps:spPr>
                      <wps:txbx>
                        <w:txbxContent>
                          <w:p w14:paraId="7CA3FC3A" w14:textId="77777777" w:rsidR="005D4C4C" w:rsidRDefault="005D4C4C" w:rsidP="000C0292">
                            <w:pPr>
                              <w:autoSpaceDE w:val="0"/>
                              <w:autoSpaceDN w:val="0"/>
                              <w:adjustRightInd w:val="0"/>
                              <w:jc w:val="both"/>
                            </w:pPr>
                            <w:r>
                              <w:rPr>
                                <w:rFonts w:cs="Calibri"/>
                                <w:b/>
                                <w:color w:val="000000"/>
                              </w:rPr>
                              <w:t>6. Szerokie wykorzystanie technologii cyfrowych.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7D5BA" id="Prostokąt 122" o:spid="_x0000_s1032" style="position:absolute;left:0;text-align:left;margin-left:0;margin-top:2.25pt;width:377.5pt;height:25.4pt;z-index:252046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0M9pAIAAEwFAAAOAAAAZHJzL2Uyb0RvYy54bWysVMlu2zAQvRfoPxC8N7IVO4mNyIETI0WB&#10;NDGQFDnTFCkR5VaStpTe+2f9sA5J2dl6KnqRZjjDWd6b4flFryTaMeeF0RUeH40wYpqaWuimwt8e&#10;rj+dYeQD0TWRRrMKPzGPLxYfP5x3ds5K0xpZM4cgiPbzzla4DcHOi8LTlinij4xlGozcOEUCqK4p&#10;akc6iK5kUY5GJ0VnXG2docx7OF1lI16k+JwzGu449ywgWWGoLaSvS99N/BaLczJvHLGtoEMZ5B+q&#10;UERoSHoItSKBoK0T70IpQZ3xhocjalRhOBeUpR6gm/HoTTf3LbEs9QLgeHuAyf+/sPR2t3ZI1MBd&#10;WWKkiQKS1lBiMN9//woongJGnfVzcL23azdoHsTYcM+din9oBfUJ16cDrqwPiMLh5HR2PJsdY0TB&#10;dlyWk/FZDFo837bOh8/MKBSFCjvgLcFJdjc+ZNe9S0zmjRT1tZAyKXFW2JV0aEeA5U0zTlflVn01&#10;dT6bTUejxDWkTKMV3VMBryJJjboIxCk4I0pgHLkkAURlASCvG4yIbGDOaXApx6vb3jWbQxXTy9nl&#10;apqdWlKzXEcs41BHdn9fRWx0RXybr6QUeUyVCLArUqgKn8VA+0hSRxhYmvYBrshXZihKod/0ieOT&#10;PZcbUz8B787khfCWXgtIe0N8WBMHGwAAwFaHO/hwaQAVM0gYtcb9/Nt59IfBBCtGHWwUIPZjSxzD&#10;SH7RMLKz8WQSVzApk+lpCYp7adm8tOitujJA5xjeD0uTGP2D3IvcGfUIy7+MWcFENIXcmZtBuQp5&#10;0+H5oGy5TG6wdpaEG31vaQwekYuAP/SPxNlh/AIM7q3Zbx+Zv5nC7BtvarPcBsNFGtGIdMYVOI0K&#10;rGxid3he4pvwUk9ez4/g4g8AAAD//wMAUEsDBBQABgAIAAAAIQA44Czz2QAAAAUBAAAPAAAAZHJz&#10;L2Rvd25yZXYueG1sTI/BTsMwEETvSPyDtUjcqAPBpQ3ZVAiEOPVAQerViU0SEa8j20nD37Oc6HF2&#10;VjNvyt3iBjHbEHtPCLerDISlxpueWoTPj9ebDYiYNBk9eLIIPzbCrrq8KHVh/Ine7XxIreAQioVG&#10;6FIaCylj01mn48qPltj78sHpxDK00gR94nA3yLssW0une+KGTo/2ubPN92FyCGs95XzJji6fX8Jb&#10;3Md9vd0gXl8tT48gkl3S/zP84TM6VMxU+4lMFAMCD0kI9woEmw9Ksa4RlMpBVqU8p69+AQAA//8D&#10;AFBLAQItABQABgAIAAAAIQC2gziS/gAAAOEBAAATAAAAAAAAAAAAAAAAAAAAAABbQ29udGVudF9U&#10;eXBlc10ueG1sUEsBAi0AFAAGAAgAAAAhADj9If/WAAAAlAEAAAsAAAAAAAAAAAAAAAAALwEAAF9y&#10;ZWxzLy5yZWxzUEsBAi0AFAAGAAgAAAAhAAwzQz2kAgAATAUAAA4AAAAAAAAAAAAAAAAALgIAAGRy&#10;cy9lMm9Eb2MueG1sUEsBAi0AFAAGAAgAAAAhADjgLPPZAAAABQEAAA8AAAAAAAAAAAAAAAAA/gQA&#10;AGRycy9kb3ducmV2LnhtbFBLBQYAAAAABAAEAPMAAAAEBgAAAAA=&#10;" fillcolor="#f2f2f2 [3052]" strokecolor="#41719c" strokeweight="1pt">
                <v:textbox>
                  <w:txbxContent>
                    <w:p w14:paraId="7CA3FC3A" w14:textId="77777777" w:rsidR="005D4C4C" w:rsidRDefault="005D4C4C" w:rsidP="000C0292">
                      <w:pPr>
                        <w:autoSpaceDE w:val="0"/>
                        <w:autoSpaceDN w:val="0"/>
                        <w:adjustRightInd w:val="0"/>
                        <w:jc w:val="both"/>
                      </w:pPr>
                      <w:r>
                        <w:rPr>
                          <w:rFonts w:cs="Calibri"/>
                          <w:b/>
                          <w:color w:val="000000"/>
                        </w:rPr>
                        <w:t>6. Szerokie wykorzystanie technologii cyfrowych.</w:t>
                      </w:r>
                    </w:p>
                  </w:txbxContent>
                </v:textbox>
                <w10:wrap anchorx="page"/>
              </v:rect>
            </w:pict>
          </mc:Fallback>
        </mc:AlternateContent>
      </w:r>
    </w:p>
    <w:p w14:paraId="49FF3C96" w14:textId="77777777" w:rsidR="000C0292" w:rsidRPr="00BC7429" w:rsidRDefault="000C0292" w:rsidP="00BC7429">
      <w:pPr>
        <w:autoSpaceDE w:val="0"/>
        <w:autoSpaceDN w:val="0"/>
        <w:adjustRightInd w:val="0"/>
        <w:spacing w:before="120" w:after="0" w:line="276" w:lineRule="auto"/>
        <w:jc w:val="both"/>
        <w:rPr>
          <w:rFonts w:cstheme="minorHAnsi"/>
        </w:rPr>
      </w:pPr>
    </w:p>
    <w:p w14:paraId="03F37937" w14:textId="4F1EB324" w:rsidR="00D95E85" w:rsidRPr="00BC7429" w:rsidRDefault="004451E6" w:rsidP="00BC7429">
      <w:pPr>
        <w:spacing w:before="120" w:after="0" w:line="276" w:lineRule="auto"/>
        <w:jc w:val="both"/>
        <w:rPr>
          <w:rFonts w:cstheme="minorHAnsi"/>
          <w:color w:val="000000"/>
        </w:rPr>
      </w:pPr>
      <w:r w:rsidRPr="00BC7429">
        <w:rPr>
          <w:rFonts w:cstheme="minorHAnsi"/>
        </w:rPr>
        <w:t>Sprawne i nowoczesne państwo</w:t>
      </w:r>
      <w:r w:rsidR="00BB7530" w:rsidRPr="00BC7429">
        <w:rPr>
          <w:rFonts w:cstheme="minorHAnsi"/>
        </w:rPr>
        <w:t xml:space="preserve">, </w:t>
      </w:r>
      <w:r w:rsidRPr="00BC7429">
        <w:rPr>
          <w:rFonts w:cstheme="minorHAnsi"/>
        </w:rPr>
        <w:t xml:space="preserve">w którym </w:t>
      </w:r>
      <w:r w:rsidR="00BB7530" w:rsidRPr="00BC7429">
        <w:rPr>
          <w:rFonts w:cstheme="minorHAnsi"/>
        </w:rPr>
        <w:t>głównymi podmiotami są obywatel i gospodarka</w:t>
      </w:r>
      <w:r w:rsidRPr="00BC7429">
        <w:rPr>
          <w:rFonts w:cstheme="minorHAnsi"/>
        </w:rPr>
        <w:t>,</w:t>
      </w:r>
      <w:r w:rsidR="00BB7530" w:rsidRPr="00BC7429">
        <w:rPr>
          <w:rFonts w:cstheme="minorHAnsi"/>
        </w:rPr>
        <w:t xml:space="preserve"> wymaga odejścia od wąskiego sektorowego myślenia na rzecz myślenia zintegrowanego poprzez tematyczne powiązanie zidentyfikowanych zjawisk czy problemów, a także odejścia od </w:t>
      </w:r>
      <w:r w:rsidR="008E1564" w:rsidRPr="00BC7429">
        <w:rPr>
          <w:rFonts w:cstheme="minorHAnsi"/>
        </w:rPr>
        <w:t>nadmierne</w:t>
      </w:r>
      <w:r w:rsidR="00BC7429" w:rsidRPr="00BC7429">
        <w:rPr>
          <w:rFonts w:cstheme="minorHAnsi"/>
        </w:rPr>
        <w:t>go</w:t>
      </w:r>
      <w:r w:rsidR="008E1564" w:rsidRPr="00BC7429">
        <w:rPr>
          <w:rFonts w:cstheme="minorHAnsi"/>
        </w:rPr>
        <w:t xml:space="preserve"> </w:t>
      </w:r>
      <w:r w:rsidR="00BB7530" w:rsidRPr="00BC7429">
        <w:rPr>
          <w:rFonts w:cstheme="minorHAnsi"/>
        </w:rPr>
        <w:t xml:space="preserve">formalizmu na rzecz zdecydowanych i konsekwentnych działań </w:t>
      </w:r>
      <w:r w:rsidR="00DF57F3" w:rsidRPr="00BC7429">
        <w:rPr>
          <w:rFonts w:cstheme="minorHAnsi"/>
        </w:rPr>
        <w:t>w wielu dziedzinach i zapewnienia ergonomii cyfrowej usług administracji publicznej</w:t>
      </w:r>
      <w:r w:rsidR="00BB7530" w:rsidRPr="00BC7429">
        <w:rPr>
          <w:rFonts w:cstheme="minorHAnsi"/>
        </w:rPr>
        <w:t xml:space="preserve">. </w:t>
      </w:r>
      <w:r w:rsidR="00BC7429" w:rsidRPr="00BC7429">
        <w:rPr>
          <w:rFonts w:cstheme="minorHAnsi"/>
        </w:rPr>
        <w:t>S</w:t>
      </w:r>
      <w:r w:rsidR="00D95E85" w:rsidRPr="00BC7429">
        <w:rPr>
          <w:rFonts w:cstheme="minorHAnsi"/>
          <w:color w:val="000000"/>
        </w:rPr>
        <w:t>prawne</w:t>
      </w:r>
      <w:r w:rsidR="00BC7429" w:rsidRPr="00BC7429">
        <w:rPr>
          <w:rFonts w:cstheme="minorHAnsi"/>
          <w:color w:val="000000"/>
        </w:rPr>
        <w:t xml:space="preserve"> państwo</w:t>
      </w:r>
      <w:r w:rsidR="00D95E85" w:rsidRPr="00BC7429">
        <w:rPr>
          <w:rFonts w:cstheme="minorHAnsi"/>
          <w:color w:val="000000"/>
        </w:rPr>
        <w:t xml:space="preserve">, w którym obywatele mają realne przełożenie na sprawy publiczne, </w:t>
      </w:r>
      <w:r w:rsidR="00BC7429" w:rsidRPr="00BC7429">
        <w:rPr>
          <w:rFonts w:cstheme="minorHAnsi"/>
          <w:color w:val="000000"/>
        </w:rPr>
        <w:t>wymusza</w:t>
      </w:r>
      <w:r w:rsidR="00D95E85" w:rsidRPr="00BC7429">
        <w:rPr>
          <w:rFonts w:cstheme="minorHAnsi"/>
          <w:color w:val="000000"/>
        </w:rPr>
        <w:t xml:space="preserve"> </w:t>
      </w:r>
      <w:r w:rsidR="00BC7429" w:rsidRPr="00BC7429">
        <w:rPr>
          <w:rFonts w:cstheme="minorHAnsi"/>
          <w:color w:val="000000"/>
        </w:rPr>
        <w:t xml:space="preserve">prowadzenie </w:t>
      </w:r>
      <w:r w:rsidR="00D95E85" w:rsidRPr="00BC7429">
        <w:rPr>
          <w:rFonts w:cstheme="minorHAnsi"/>
          <w:color w:val="000000"/>
        </w:rPr>
        <w:t>skoordynowanych działań, podwyższenia istniejących i uzupełnienia brakujących kompetencji, oraz wsparcia finansowego i merytorycznego obecnie prowadzonych działań.</w:t>
      </w:r>
    </w:p>
    <w:p w14:paraId="7BB82904" w14:textId="7E45C305" w:rsidR="00826C56" w:rsidRPr="00BC7429" w:rsidRDefault="00C56EC7" w:rsidP="00BC7429">
      <w:pPr>
        <w:spacing w:before="120" w:after="0" w:line="276" w:lineRule="auto"/>
        <w:jc w:val="both"/>
        <w:rPr>
          <w:rFonts w:cstheme="minorHAnsi"/>
        </w:rPr>
      </w:pPr>
      <w:r w:rsidRPr="00BC7429">
        <w:rPr>
          <w:rFonts w:cstheme="minorHAnsi"/>
        </w:rPr>
        <w:t xml:space="preserve">Nowoczesne państwo to nowoczesne instytucje państwa działające kompetentnie, sprawie i efektywnie. Metody zarządcze służące podnoszeniu skuteczności działania powinny być </w:t>
      </w:r>
      <w:r w:rsidR="00BC7429" w:rsidRPr="00BC7429">
        <w:rPr>
          <w:rFonts w:cstheme="minorHAnsi"/>
        </w:rPr>
        <w:t xml:space="preserve">szeroko </w:t>
      </w:r>
      <w:r w:rsidRPr="00BC7429">
        <w:rPr>
          <w:rFonts w:cstheme="minorHAnsi"/>
        </w:rPr>
        <w:t xml:space="preserve">wykorzystywane przez administrację publiczną w kierunku usprawniania ich działalności i lepszego świadczenia usług publicznych. </w:t>
      </w:r>
      <w:r w:rsidR="00826C56" w:rsidRPr="00BC7429">
        <w:rPr>
          <w:rFonts w:cstheme="minorHAnsi"/>
        </w:rPr>
        <w:t xml:space="preserve">Kluczowe znaczenie w tym kontekście ma budowa sprawnej i przyjaznej e-administracji korzystającej z nowoczesnych rozwiązań technologicznych, które sprzyjają rozwijaniu kompetencji cyfrowych, podnoszeniu jakości i dostępności, w tym dostępności cyfrowej, usług publicznych oraz danych publicznych, a także lepszemu stanowieniu prawa i polityk publicznych. </w:t>
      </w:r>
    </w:p>
    <w:p w14:paraId="3082F6B8" w14:textId="630A6793" w:rsidR="004B6D63" w:rsidRPr="00BC7429" w:rsidRDefault="004B6D63" w:rsidP="00BC7429">
      <w:pPr>
        <w:spacing w:before="120" w:after="0" w:line="276" w:lineRule="auto"/>
        <w:jc w:val="both"/>
        <w:rPr>
          <w:rFonts w:cstheme="minorHAnsi"/>
        </w:rPr>
      </w:pPr>
      <w:r w:rsidRPr="00BC7429">
        <w:rPr>
          <w:rFonts w:cstheme="minorHAnsi"/>
          <w:bCs/>
        </w:rPr>
        <w:t xml:space="preserve">SNP </w:t>
      </w:r>
      <w:r w:rsidR="00B067A8" w:rsidRPr="00BC7429">
        <w:rPr>
          <w:rFonts w:cstheme="minorHAnsi"/>
          <w:bCs/>
        </w:rPr>
        <w:t>wyznacza</w:t>
      </w:r>
      <w:r w:rsidRPr="00BC7429">
        <w:rPr>
          <w:rFonts w:cstheme="minorHAnsi"/>
          <w:bCs/>
        </w:rPr>
        <w:t xml:space="preserve"> cel główny i cele szczegółowe oraz kierunki interwencji; </w:t>
      </w:r>
      <w:r w:rsidR="00B067A8" w:rsidRPr="00BC7429">
        <w:rPr>
          <w:rFonts w:cstheme="minorHAnsi"/>
          <w:bCs/>
        </w:rPr>
        <w:t xml:space="preserve">zawiera </w:t>
      </w:r>
      <w:r w:rsidRPr="00BC7429">
        <w:rPr>
          <w:rFonts w:cstheme="minorHAnsi"/>
          <w:bCs/>
        </w:rPr>
        <w:t>diagnozę opracowaną dla każdego celu szczegółowego w oparciu o dostępne raporty, sprawozdania czy opinie; wskazuje t</w:t>
      </w:r>
      <w:r w:rsidRPr="00BC7429">
        <w:rPr>
          <w:rFonts w:eastAsia="Times New Roman" w:cstheme="minorHAnsi"/>
          <w:lang w:eastAsia="pl-PL"/>
        </w:rPr>
        <w:t>rendy rozwojowe i oczekiwane efekty dla każdego celu szczegółowego</w:t>
      </w:r>
      <w:r w:rsidRPr="00BC7429">
        <w:rPr>
          <w:rFonts w:cstheme="minorHAnsi"/>
          <w:bCs/>
        </w:rPr>
        <w:t xml:space="preserve">; podnosi </w:t>
      </w:r>
      <w:r w:rsidR="00B067A8" w:rsidRPr="00BC7429">
        <w:rPr>
          <w:rFonts w:cstheme="minorHAnsi"/>
          <w:bCs/>
        </w:rPr>
        <w:t>zagadnienia</w:t>
      </w:r>
      <w:r w:rsidRPr="00BC7429">
        <w:rPr>
          <w:rFonts w:cstheme="minorHAnsi"/>
          <w:bCs/>
        </w:rPr>
        <w:t xml:space="preserve"> realizacji, wdrażania </w:t>
      </w:r>
      <w:r w:rsidR="00E14C1D" w:rsidRPr="00BC7429">
        <w:rPr>
          <w:rFonts w:cstheme="minorHAnsi"/>
          <w:bCs/>
        </w:rPr>
        <w:br/>
      </w:r>
      <w:r w:rsidRPr="00BC7429">
        <w:rPr>
          <w:rFonts w:cstheme="minorHAnsi"/>
          <w:bCs/>
        </w:rPr>
        <w:t xml:space="preserve">i monitorowania, a także określa ramy finansowania. Punktem wyjścia do wypracowania celów była diagnoza, która </w:t>
      </w:r>
      <w:r w:rsidRPr="00BC7429">
        <w:rPr>
          <w:rFonts w:cstheme="minorHAnsi"/>
        </w:rPr>
        <w:t xml:space="preserve">dostarczyła aktualnych i wiarygodnych informacji w obszarach tematycznych wskazanych przez KKPR </w:t>
      </w:r>
      <w:r w:rsidR="00E14C1D" w:rsidRPr="00BC7429">
        <w:rPr>
          <w:rFonts w:cstheme="minorHAnsi"/>
        </w:rPr>
        <w:br/>
      </w:r>
      <w:r w:rsidRPr="00BC7429">
        <w:rPr>
          <w:rFonts w:cstheme="minorHAnsi"/>
        </w:rPr>
        <w:t>i równocześnie stanowiła podstawę do interwencji w danym obszarze.</w:t>
      </w:r>
    </w:p>
    <w:p w14:paraId="3CC81A08" w14:textId="77777777" w:rsidR="0099223C" w:rsidRPr="00BC7429" w:rsidRDefault="00186001" w:rsidP="00BC7429">
      <w:pPr>
        <w:spacing w:before="120" w:after="0" w:line="276" w:lineRule="auto"/>
        <w:jc w:val="both"/>
        <w:rPr>
          <w:rFonts w:cstheme="minorHAnsi"/>
          <w:b/>
          <w:bCs/>
          <w:color w:val="2E74B5" w:themeColor="accent1" w:themeShade="BF"/>
        </w:rPr>
      </w:pPr>
      <w:r w:rsidRPr="00BC7429">
        <w:rPr>
          <w:rFonts w:cstheme="minorHAnsi"/>
          <w:bCs/>
          <w:noProof/>
          <w:lang w:eastAsia="pl-PL"/>
        </w:rPr>
        <mc:AlternateContent>
          <mc:Choice Requires="wps">
            <w:drawing>
              <wp:anchor distT="0" distB="0" distL="114300" distR="114300" simplePos="0" relativeHeight="251659264" behindDoc="0" locked="0" layoutInCell="1" allowOverlap="1" wp14:anchorId="13284744" wp14:editId="0B42A5AB">
                <wp:simplePos x="0" y="0"/>
                <wp:positionH relativeFrom="column">
                  <wp:posOffset>-16510</wp:posOffset>
                </wp:positionH>
                <wp:positionV relativeFrom="paragraph">
                  <wp:posOffset>253365</wp:posOffset>
                </wp:positionV>
                <wp:extent cx="6073775" cy="866775"/>
                <wp:effectExtent l="0" t="0" r="22225" b="28575"/>
                <wp:wrapNone/>
                <wp:docPr id="1" name="Prostokąt zaokrąglony 1"/>
                <wp:cNvGraphicFramePr/>
                <a:graphic xmlns:a="http://schemas.openxmlformats.org/drawingml/2006/main">
                  <a:graphicData uri="http://schemas.microsoft.com/office/word/2010/wordprocessingShape">
                    <wps:wsp>
                      <wps:cNvSpPr/>
                      <wps:spPr>
                        <a:xfrm>
                          <a:off x="0" y="0"/>
                          <a:ext cx="6073775" cy="866775"/>
                        </a:xfrm>
                        <a:prstGeom prst="round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E8F9BB" w14:textId="77777777" w:rsidR="005D4C4C" w:rsidRDefault="005D4C4C" w:rsidP="00B66189">
                            <w:pPr>
                              <w:spacing w:after="0"/>
                              <w:jc w:val="center"/>
                              <w:rPr>
                                <w:rFonts w:cs="Calibri"/>
                                <w:b/>
                                <w:sz w:val="24"/>
                                <w:szCs w:val="18"/>
                              </w:rPr>
                            </w:pPr>
                            <w:r>
                              <w:rPr>
                                <w:rFonts w:cs="Calibri"/>
                                <w:b/>
                                <w:sz w:val="24"/>
                                <w:szCs w:val="18"/>
                              </w:rPr>
                              <w:t xml:space="preserve">SPRAWNE I NOWOCZESNE PAŃSTWO </w:t>
                            </w:r>
                          </w:p>
                          <w:p w14:paraId="53C14004" w14:textId="77777777" w:rsidR="005D4C4C" w:rsidRPr="0088186F" w:rsidRDefault="005D4C4C" w:rsidP="00B66189">
                            <w:pPr>
                              <w:spacing w:after="0"/>
                              <w:jc w:val="center"/>
                              <w:rPr>
                                <w:color w:val="FFFFFF" w:themeColor="background1"/>
                                <w:sz w:val="28"/>
                              </w:rPr>
                            </w:pPr>
                            <w:r>
                              <w:rPr>
                                <w:rFonts w:cs="Calibri"/>
                                <w:b/>
                                <w:sz w:val="24"/>
                                <w:szCs w:val="18"/>
                              </w:rPr>
                              <w:t>SŁUŻĄCE OBYWATELOM, ŚRODOWISKU ORAZ GOSPODARCE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284744" id="Prostokąt zaokrąglony 1" o:spid="_x0000_s1033" style="position:absolute;left:0;text-align:left;margin-left:-1.3pt;margin-top:19.95pt;width:478.25pt;height:6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ktEqwIAALkFAAAOAAAAZHJzL2Uyb0RvYy54bWysVF9P2zAQf5+072D5fSTtoGUVKapATJMY&#10;VMDEs+vYbYTt82y3SXnnm/HBODtpqIDtYdpLcue7+93/OzlttCIb4XwFpqCDg5wSYTiUlVkW9Nfd&#10;xZdjSnxgpmQKjCjoVnh6Ov386aS2EzGEFahSOIIgxk9qW9BVCHaSZZ6vhGb+AKwwKJTgNAvIumVW&#10;OlYjulbZMM9HWQ2utA648B5fz1shnSZ8KQUP11J6EYgqKMYW0tel7yJ+s+kJmywds6uKd2Gwf4hC&#10;s8qg0x7qnAVG1q56B6Ur7sCDDAccdAZSVlykHDCbQf4mm9sVsyLlgsXxti+T/3+w/Gozd6QqsXeU&#10;GKaxRXMMMMDD81Mgjwwe3PPTEnu3JYNYrNr6Cdrc2rnrOI9kzLyRTsc/5kSaVOBtX2DRBMLxcZSP&#10;v47HR5RwlB2PRpFGmOzV2jofvgvQJBIFdbA25Q12MRWXbS59aPV3etGjB1WVF5VSiYmTI86UIxuG&#10;PWecCxMGyVyt9U8o2/fxUZ6n7qPvNGzRJEWyh5bFbNv8EhW2SkQfytwIiUXDjIYJuUd479SvWCna&#10;5+jyY58JMCJLzKLHbqP+A3Zbhk4/moo07b1x/rfAWuPeInkGE3pjXRlwHwEoLGXnudXHku2VJpKh&#10;WTRpoMa7eVlAucUhc9Bun7f8osLuXjIf5szhuuFi4gkJ1/iRCuqCQkdRsgL3+NF71MctQCklNa5v&#10;Qf3vNXOCEvXD4H58Gxwexn1PzOHReIiM25cs9iVmrc8ApwV3AKNLZNQPakdKB/oeL80sekURMxx9&#10;F5QHt2POQntW8FZxMZslNdxxy8KlubU8gsc6x8G9a+6Zs92IB1yOK9itOpu8GfJWN1oamK0DyCpt&#10;QKx0W9euA3gf0vh2tyweoH0+ab1e3OkLAAAA//8DAFBLAwQUAAYACAAAACEAxXpC7NwAAAAJAQAA&#10;DwAAAGRycy9kb3ducmV2LnhtbEyPwW6DMAyG75P2DpEr7daGthsDRqgqpJ6n0T1AIB6gEgeRtLA+&#10;/bzTdrP1f/r9OT8sdhA3nHzvSMF2E4FAapzpqVXweT6tExA+aDJ6cIQKvtHDoXh8yHVm3EwfeKtC&#10;K7iEfKYVdCGMmZS+6dBqv3EjEmdfbrI68Dq10kx65nI7yF0UxdLqnvhCp0csO2wu1dUqaMO9PSXv&#10;xyqp5SxdWpZ3c+mVelotxzcQAZfwB8OvPqtDwU61u5LxYlCw3sVMKtinKQjO05c9DzWDr/EzyCKX&#10;/z8ofgAAAP//AwBQSwECLQAUAAYACAAAACEAtoM4kv4AAADhAQAAEwAAAAAAAAAAAAAAAAAAAAAA&#10;W0NvbnRlbnRfVHlwZXNdLnhtbFBLAQItABQABgAIAAAAIQA4/SH/1gAAAJQBAAALAAAAAAAAAAAA&#10;AAAAAC8BAABfcmVscy8ucmVsc1BLAQItABQABgAIAAAAIQDdsktEqwIAALkFAAAOAAAAAAAAAAAA&#10;AAAAAC4CAABkcnMvZTJvRG9jLnhtbFBLAQItABQABgAIAAAAIQDFekLs3AAAAAkBAAAPAAAAAAAA&#10;AAAAAAAAAAUFAABkcnMvZG93bnJldi54bWxQSwUGAAAAAAQABADzAAAADgYAAAAA&#10;" fillcolor="#2e74b5 [2404]" strokecolor="#1f4d78 [1604]" strokeweight="1pt">
                <v:stroke joinstyle="miter"/>
                <v:textbox>
                  <w:txbxContent>
                    <w:p w14:paraId="1BE8F9BB" w14:textId="77777777" w:rsidR="005D4C4C" w:rsidRDefault="005D4C4C" w:rsidP="00B66189">
                      <w:pPr>
                        <w:spacing w:after="0"/>
                        <w:jc w:val="center"/>
                        <w:rPr>
                          <w:rFonts w:cs="Calibri"/>
                          <w:b/>
                          <w:sz w:val="24"/>
                          <w:szCs w:val="18"/>
                        </w:rPr>
                      </w:pPr>
                      <w:r>
                        <w:rPr>
                          <w:rFonts w:cs="Calibri"/>
                          <w:b/>
                          <w:sz w:val="24"/>
                          <w:szCs w:val="18"/>
                        </w:rPr>
                        <w:t xml:space="preserve">SPRAWNE I NOWOCZESNE PAŃSTWO </w:t>
                      </w:r>
                    </w:p>
                    <w:p w14:paraId="53C14004" w14:textId="77777777" w:rsidR="005D4C4C" w:rsidRPr="0088186F" w:rsidRDefault="005D4C4C" w:rsidP="00B66189">
                      <w:pPr>
                        <w:spacing w:after="0"/>
                        <w:jc w:val="center"/>
                        <w:rPr>
                          <w:color w:val="FFFFFF" w:themeColor="background1"/>
                          <w:sz w:val="28"/>
                        </w:rPr>
                      </w:pPr>
                      <w:r>
                        <w:rPr>
                          <w:rFonts w:cs="Calibri"/>
                          <w:b/>
                          <w:sz w:val="24"/>
                          <w:szCs w:val="18"/>
                        </w:rPr>
                        <w:t>SŁUŻĄCE OBYWATELOM, ŚRODOWISKU ORAZ GOSPODARCE</w:t>
                      </w:r>
                    </w:p>
                  </w:txbxContent>
                </v:textbox>
              </v:roundrect>
            </w:pict>
          </mc:Fallback>
        </mc:AlternateContent>
      </w:r>
      <w:r w:rsidR="0099223C" w:rsidRPr="00BC7429">
        <w:rPr>
          <w:rFonts w:cstheme="minorHAnsi"/>
          <w:b/>
          <w:bCs/>
          <w:color w:val="2E74B5" w:themeColor="accent1" w:themeShade="BF"/>
        </w:rPr>
        <w:t>Cel główny:</w:t>
      </w:r>
    </w:p>
    <w:p w14:paraId="639B83B0" w14:textId="77777777" w:rsidR="00613494" w:rsidRPr="00BC7429" w:rsidRDefault="00613494" w:rsidP="00BC7429">
      <w:pPr>
        <w:spacing w:before="120" w:after="0" w:line="276" w:lineRule="auto"/>
        <w:ind w:left="66" w:hanging="142"/>
        <w:jc w:val="both"/>
        <w:rPr>
          <w:rFonts w:cstheme="minorHAnsi"/>
          <w:bCs/>
        </w:rPr>
      </w:pPr>
    </w:p>
    <w:p w14:paraId="6017EE85" w14:textId="77777777" w:rsidR="00613494" w:rsidRPr="00BC7429" w:rsidRDefault="00613494" w:rsidP="00BC7429">
      <w:pPr>
        <w:spacing w:before="120" w:after="0" w:line="276" w:lineRule="auto"/>
        <w:ind w:left="66"/>
        <w:jc w:val="both"/>
        <w:rPr>
          <w:rFonts w:cstheme="minorHAnsi"/>
          <w:bCs/>
        </w:rPr>
      </w:pPr>
    </w:p>
    <w:p w14:paraId="112660A0" w14:textId="77777777" w:rsidR="0088186F" w:rsidRPr="00BC7429" w:rsidRDefault="0088186F" w:rsidP="00BC7429">
      <w:pPr>
        <w:spacing w:before="120" w:after="0" w:line="276" w:lineRule="auto"/>
        <w:ind w:left="66"/>
        <w:jc w:val="both"/>
        <w:rPr>
          <w:rFonts w:cstheme="minorHAnsi"/>
          <w:bCs/>
        </w:rPr>
      </w:pPr>
    </w:p>
    <w:p w14:paraId="571D27FC" w14:textId="4EF1CCA5" w:rsidR="002536FD" w:rsidRPr="00BC7429" w:rsidRDefault="0099223C" w:rsidP="00BC7429">
      <w:pPr>
        <w:pStyle w:val="Tekstkomentarza"/>
        <w:spacing w:before="240" w:after="0" w:line="276" w:lineRule="auto"/>
        <w:jc w:val="both"/>
        <w:rPr>
          <w:rFonts w:cstheme="minorHAnsi"/>
          <w:sz w:val="22"/>
          <w:szCs w:val="22"/>
        </w:rPr>
      </w:pPr>
      <w:r w:rsidRPr="00BC7429">
        <w:rPr>
          <w:rFonts w:cstheme="minorHAnsi"/>
          <w:bCs/>
          <w:sz w:val="22"/>
          <w:szCs w:val="22"/>
        </w:rPr>
        <w:t xml:space="preserve">Cel główny </w:t>
      </w:r>
      <w:r w:rsidR="00C758BD" w:rsidRPr="00BC7429">
        <w:rPr>
          <w:rFonts w:cstheme="minorHAnsi"/>
          <w:bCs/>
          <w:sz w:val="22"/>
          <w:szCs w:val="22"/>
        </w:rPr>
        <w:t xml:space="preserve">SNP </w:t>
      </w:r>
      <w:r w:rsidRPr="00BC7429">
        <w:rPr>
          <w:rFonts w:cstheme="minorHAnsi"/>
          <w:bCs/>
          <w:sz w:val="22"/>
          <w:szCs w:val="22"/>
        </w:rPr>
        <w:t xml:space="preserve">odpowiada celowi szczegółowemu III SOR: </w:t>
      </w:r>
      <w:r w:rsidRPr="00BC7429">
        <w:rPr>
          <w:rFonts w:cstheme="minorHAnsi"/>
          <w:b/>
          <w:bCs/>
          <w:i/>
          <w:color w:val="2E74B5" w:themeColor="accent1" w:themeShade="BF"/>
          <w:sz w:val="22"/>
          <w:szCs w:val="22"/>
        </w:rPr>
        <w:t>Skuteczne państwo i instytucje służące wzrostowi oraz włączeniu społecznemu i gospodarczemu.</w:t>
      </w:r>
      <w:r w:rsidRPr="00BC7429">
        <w:rPr>
          <w:rFonts w:cstheme="minorHAnsi"/>
          <w:bCs/>
          <w:i/>
          <w:color w:val="2E74B5" w:themeColor="accent1" w:themeShade="BF"/>
          <w:sz w:val="22"/>
          <w:szCs w:val="22"/>
        </w:rPr>
        <w:t xml:space="preserve"> </w:t>
      </w:r>
      <w:r w:rsidR="00613494" w:rsidRPr="00BC7429">
        <w:rPr>
          <w:rFonts w:cstheme="minorHAnsi"/>
          <w:sz w:val="22"/>
          <w:szCs w:val="22"/>
        </w:rPr>
        <w:t xml:space="preserve">Do </w:t>
      </w:r>
      <w:r w:rsidR="00BC7429">
        <w:rPr>
          <w:rFonts w:cstheme="minorHAnsi"/>
          <w:sz w:val="22"/>
          <w:szCs w:val="22"/>
        </w:rPr>
        <w:t>jego osi</w:t>
      </w:r>
      <w:r w:rsidR="005D4C4C">
        <w:rPr>
          <w:rFonts w:cstheme="minorHAnsi"/>
          <w:sz w:val="22"/>
          <w:szCs w:val="22"/>
        </w:rPr>
        <w:t>ą</w:t>
      </w:r>
      <w:r w:rsidR="00BC7429">
        <w:rPr>
          <w:rFonts w:cstheme="minorHAnsi"/>
          <w:sz w:val="22"/>
          <w:szCs w:val="22"/>
        </w:rPr>
        <w:t>gnięcia</w:t>
      </w:r>
      <w:r w:rsidR="00613494" w:rsidRPr="00BC7429">
        <w:rPr>
          <w:rFonts w:cstheme="minorHAnsi"/>
          <w:sz w:val="22"/>
          <w:szCs w:val="22"/>
        </w:rPr>
        <w:t xml:space="preserve"> w perspektywie do 2030 r. przyczyniać się </w:t>
      </w:r>
      <w:r w:rsidR="00004DB1" w:rsidRPr="00BC7429">
        <w:rPr>
          <w:rFonts w:cstheme="minorHAnsi"/>
          <w:sz w:val="22"/>
          <w:szCs w:val="22"/>
        </w:rPr>
        <w:t>będzie 5</w:t>
      </w:r>
      <w:r w:rsidR="00613494" w:rsidRPr="00BC7429">
        <w:rPr>
          <w:rFonts w:cstheme="minorHAnsi"/>
          <w:sz w:val="22"/>
          <w:szCs w:val="22"/>
        </w:rPr>
        <w:t xml:space="preserve"> cel</w:t>
      </w:r>
      <w:r w:rsidR="00004DB1" w:rsidRPr="00BC7429">
        <w:rPr>
          <w:rFonts w:cstheme="minorHAnsi"/>
          <w:sz w:val="22"/>
          <w:szCs w:val="22"/>
        </w:rPr>
        <w:t>ów</w:t>
      </w:r>
      <w:r w:rsidR="00613494" w:rsidRPr="00BC7429">
        <w:rPr>
          <w:rFonts w:cstheme="minorHAnsi"/>
          <w:sz w:val="22"/>
          <w:szCs w:val="22"/>
        </w:rPr>
        <w:t xml:space="preserve"> </w:t>
      </w:r>
      <w:r w:rsidR="00875EF0" w:rsidRPr="00BC7429">
        <w:rPr>
          <w:rFonts w:cstheme="minorHAnsi"/>
          <w:sz w:val="22"/>
          <w:szCs w:val="22"/>
        </w:rPr>
        <w:t>szczegółow</w:t>
      </w:r>
      <w:r w:rsidR="00004DB1" w:rsidRPr="00BC7429">
        <w:rPr>
          <w:rFonts w:cstheme="minorHAnsi"/>
          <w:sz w:val="22"/>
          <w:szCs w:val="22"/>
        </w:rPr>
        <w:t>ych</w:t>
      </w:r>
      <w:r w:rsidR="002536FD" w:rsidRPr="00BC7429">
        <w:rPr>
          <w:rFonts w:cstheme="minorHAnsi"/>
          <w:sz w:val="22"/>
          <w:szCs w:val="22"/>
        </w:rPr>
        <w:t xml:space="preserve"> stanowią</w:t>
      </w:r>
      <w:r w:rsidR="00BC7429">
        <w:rPr>
          <w:rFonts w:cstheme="minorHAnsi"/>
          <w:sz w:val="22"/>
          <w:szCs w:val="22"/>
        </w:rPr>
        <w:t>cych</w:t>
      </w:r>
      <w:r w:rsidR="002536FD" w:rsidRPr="00BC7429">
        <w:rPr>
          <w:rFonts w:cstheme="minorHAnsi"/>
          <w:sz w:val="22"/>
          <w:szCs w:val="22"/>
        </w:rPr>
        <w:t xml:space="preserve"> silne nawiązanie do obszarów celu szczegółowego III SOR (o</w:t>
      </w:r>
      <w:r w:rsidR="002536FD" w:rsidRPr="00BC7429">
        <w:rPr>
          <w:rFonts w:eastAsia="Times New Roman" w:cstheme="minorHAnsi"/>
          <w:sz w:val="22"/>
          <w:szCs w:val="22"/>
          <w:lang w:eastAsia="pl-PL"/>
        </w:rPr>
        <w:t>bszary</w:t>
      </w:r>
      <w:r w:rsidR="002536FD" w:rsidRPr="00BC7429">
        <w:rPr>
          <w:rFonts w:eastAsia="Times New Roman" w:cstheme="minorHAnsi"/>
          <w:i/>
          <w:sz w:val="22"/>
          <w:szCs w:val="22"/>
          <w:lang w:eastAsia="pl-PL"/>
        </w:rPr>
        <w:t>: Prawo w służbie obywatelom i gospodarce, Instytucje prorozwojowe</w:t>
      </w:r>
      <w:r w:rsidR="00BC7429">
        <w:rPr>
          <w:rFonts w:eastAsia="Times New Roman" w:cstheme="minorHAnsi"/>
          <w:i/>
          <w:sz w:val="22"/>
          <w:szCs w:val="22"/>
          <w:lang w:eastAsia="pl-PL"/>
        </w:rPr>
        <w:t xml:space="preserve"> </w:t>
      </w:r>
      <w:r w:rsidR="002536FD" w:rsidRPr="00BC7429">
        <w:rPr>
          <w:rFonts w:eastAsia="Times New Roman" w:cstheme="minorHAnsi"/>
          <w:i/>
          <w:sz w:val="22"/>
          <w:szCs w:val="22"/>
          <w:lang w:eastAsia="pl-PL"/>
        </w:rPr>
        <w:t>i strategiczne zarządzanie rozwojem, E-państwo, Finanse publiczne, Efektywność wykorzystania środków UE</w:t>
      </w:r>
      <w:r w:rsidR="002536FD" w:rsidRPr="00BC7429">
        <w:rPr>
          <w:rFonts w:eastAsia="Times New Roman" w:cstheme="minorHAnsi"/>
          <w:sz w:val="22"/>
          <w:szCs w:val="22"/>
          <w:lang w:eastAsia="pl-PL"/>
        </w:rPr>
        <w:t xml:space="preserve">), gdzie cel szczegółowy V </w:t>
      </w:r>
      <w:r w:rsidR="002536FD" w:rsidRPr="00BC7429">
        <w:rPr>
          <w:rFonts w:cstheme="minorHAnsi"/>
          <w:i/>
          <w:sz w:val="22"/>
          <w:szCs w:val="22"/>
        </w:rPr>
        <w:t>Zapewnienie obywatelom bezpieczeństwa wewnętrznego i zewnętrznego</w:t>
      </w:r>
      <w:r w:rsidR="002536FD" w:rsidRPr="00BC7429">
        <w:rPr>
          <w:rFonts w:eastAsia="Times New Roman" w:cstheme="minorHAnsi"/>
          <w:sz w:val="22"/>
          <w:szCs w:val="22"/>
          <w:lang w:eastAsia="pl-PL"/>
        </w:rPr>
        <w:t xml:space="preserve"> stanowi odniesienie do tzw. obszarów horyzontalnych (obszary wpływające na osiągnięcie celów SOR) w szczególności dotyczących cyfryzacji i bezpieczeństwa narodowego.</w:t>
      </w:r>
    </w:p>
    <w:p w14:paraId="4ED46472" w14:textId="3FFB731D" w:rsidR="00ED4283" w:rsidRPr="00BC7429" w:rsidRDefault="00ED4283" w:rsidP="00BC7429">
      <w:pPr>
        <w:spacing w:before="120" w:after="0" w:line="276" w:lineRule="auto"/>
        <w:ind w:left="34" w:hanging="34"/>
        <w:jc w:val="both"/>
        <w:rPr>
          <w:rFonts w:cstheme="minorHAnsi"/>
        </w:rPr>
      </w:pPr>
      <w:r w:rsidRPr="00BC7429">
        <w:rPr>
          <w:rFonts w:eastAsia="Times New Roman" w:cstheme="minorHAnsi"/>
          <w:b/>
          <w:lang w:eastAsia="pl-PL"/>
        </w:rPr>
        <w:t xml:space="preserve">Cel szczegółowy I: </w:t>
      </w:r>
      <w:r w:rsidRPr="00F76699">
        <w:rPr>
          <w:rFonts w:eastAsia="Times New Roman" w:cstheme="minorHAnsi"/>
          <w:b/>
          <w:i/>
          <w:color w:val="2F5496" w:themeColor="accent5" w:themeShade="BF"/>
          <w:lang w:eastAsia="pl-PL"/>
        </w:rPr>
        <w:t>Lepsze prawo</w:t>
      </w:r>
      <w:r w:rsidRPr="00F76699">
        <w:rPr>
          <w:rFonts w:eastAsia="Times New Roman" w:cstheme="minorHAnsi"/>
          <w:color w:val="2F5496" w:themeColor="accent5" w:themeShade="BF"/>
          <w:lang w:eastAsia="pl-PL"/>
        </w:rPr>
        <w:t xml:space="preserve"> </w:t>
      </w:r>
      <w:r w:rsidRPr="00BC7429">
        <w:rPr>
          <w:rFonts w:eastAsia="Times New Roman" w:cstheme="minorHAnsi"/>
          <w:lang w:eastAsia="pl-PL"/>
        </w:rPr>
        <w:t xml:space="preserve">dotyczy </w:t>
      </w:r>
      <w:r w:rsidRPr="00BC7429">
        <w:rPr>
          <w:rFonts w:cstheme="minorHAnsi"/>
          <w:color w:val="000000"/>
          <w:lang w:eastAsia="pl-PL"/>
        </w:rPr>
        <w:t>redukcji obciążeń regulacyjnych oraz eliminacj</w:t>
      </w:r>
      <w:r w:rsidR="005D4C4C">
        <w:rPr>
          <w:rFonts w:cstheme="minorHAnsi"/>
          <w:color w:val="000000"/>
          <w:lang w:eastAsia="pl-PL"/>
        </w:rPr>
        <w:t>i</w:t>
      </w:r>
      <w:r w:rsidRPr="00BC7429">
        <w:rPr>
          <w:rFonts w:cstheme="minorHAnsi"/>
          <w:color w:val="000000"/>
          <w:lang w:eastAsia="pl-PL"/>
        </w:rPr>
        <w:t xml:space="preserve"> niespójności i niejednoznaczności przepisów prawnych,</w:t>
      </w:r>
      <w:r w:rsidRPr="00BC7429">
        <w:rPr>
          <w:rFonts w:cstheme="minorHAnsi"/>
        </w:rPr>
        <w:t xml:space="preserve"> upowszechnienia zasad oceny</w:t>
      </w:r>
      <w:r w:rsidRPr="00BC7429">
        <w:rPr>
          <w:rFonts w:cstheme="minorHAnsi"/>
          <w:color w:val="000000"/>
          <w:lang w:eastAsia="pl-PL"/>
        </w:rPr>
        <w:t xml:space="preserve"> wpływu regulacji, zwiększenia przejrzystości stanowienia prawa i wzmocnieni</w:t>
      </w:r>
      <w:r w:rsidR="005D4C4C">
        <w:rPr>
          <w:rFonts w:cstheme="minorHAnsi"/>
          <w:color w:val="000000"/>
          <w:lang w:eastAsia="pl-PL"/>
        </w:rPr>
        <w:t>a</w:t>
      </w:r>
      <w:r w:rsidRPr="00BC7429">
        <w:rPr>
          <w:rFonts w:cstheme="minorHAnsi"/>
          <w:color w:val="000000"/>
          <w:lang w:eastAsia="pl-PL"/>
        </w:rPr>
        <w:t xml:space="preserve"> współpracy z podmiotami społecznymi i korporacyjnymi</w:t>
      </w:r>
      <w:r w:rsidRPr="00BC7429">
        <w:rPr>
          <w:rFonts w:eastAsia="Times New Roman" w:cstheme="minorHAnsi"/>
        </w:rPr>
        <w:t>.</w:t>
      </w:r>
    </w:p>
    <w:p w14:paraId="2185AA7F" w14:textId="61B8CE85" w:rsidR="00ED4283" w:rsidRPr="00BC7429" w:rsidRDefault="00ED4283" w:rsidP="00BC7429">
      <w:pPr>
        <w:autoSpaceDE w:val="0"/>
        <w:autoSpaceDN w:val="0"/>
        <w:adjustRightInd w:val="0"/>
        <w:spacing w:before="120" w:after="0" w:line="276" w:lineRule="auto"/>
        <w:jc w:val="both"/>
        <w:rPr>
          <w:rFonts w:eastAsia="Times New Roman" w:cstheme="minorHAnsi"/>
          <w:lang w:eastAsia="pl-PL"/>
        </w:rPr>
      </w:pPr>
      <w:r w:rsidRPr="00BC7429">
        <w:rPr>
          <w:rFonts w:eastAsia="Times New Roman" w:cstheme="minorHAnsi"/>
          <w:b/>
          <w:lang w:eastAsia="pl-PL"/>
        </w:rPr>
        <w:t xml:space="preserve">Cel szczegółowy II: </w:t>
      </w:r>
      <w:r w:rsidRPr="00F76699">
        <w:rPr>
          <w:rFonts w:eastAsia="Times New Roman" w:cstheme="minorHAnsi"/>
          <w:b/>
          <w:i/>
          <w:color w:val="2F5496" w:themeColor="accent5" w:themeShade="BF"/>
          <w:lang w:eastAsia="pl-PL"/>
        </w:rPr>
        <w:t>Sprawne instytucje państwa</w:t>
      </w:r>
      <w:r w:rsidRPr="00F76699">
        <w:rPr>
          <w:rFonts w:eastAsia="Times New Roman" w:cstheme="minorHAnsi"/>
          <w:color w:val="2F5496" w:themeColor="accent5" w:themeShade="BF"/>
          <w:lang w:eastAsia="pl-PL"/>
        </w:rPr>
        <w:t xml:space="preserve"> </w:t>
      </w:r>
      <w:r w:rsidRPr="00BC7429">
        <w:rPr>
          <w:rFonts w:eastAsia="Times New Roman" w:cstheme="minorHAnsi"/>
          <w:lang w:eastAsia="pl-PL"/>
        </w:rPr>
        <w:t>obejmuje problematykę d</w:t>
      </w:r>
      <w:r w:rsidRPr="00BC7429">
        <w:rPr>
          <w:rFonts w:cstheme="minorHAnsi"/>
          <w:bCs/>
          <w:color w:val="000000"/>
          <w:lang w:eastAsia="en-GB"/>
        </w:rPr>
        <w:t>oskonalenia funkcjonowania jednostek samorządu terytorialnego</w:t>
      </w:r>
      <w:r w:rsidRPr="00BC7429">
        <w:rPr>
          <w:rFonts w:eastAsia="Times New Roman" w:cstheme="minorHAnsi"/>
          <w:lang w:eastAsia="pl-PL"/>
        </w:rPr>
        <w:t>, z</w:t>
      </w:r>
      <w:r w:rsidRPr="00BC7429">
        <w:rPr>
          <w:rFonts w:cstheme="minorHAnsi"/>
          <w:bCs/>
          <w:color w:val="000000"/>
          <w:lang w:eastAsia="en-GB"/>
        </w:rPr>
        <w:t xml:space="preserve">większenia sprawności </w:t>
      </w:r>
      <w:r w:rsidR="00F76699">
        <w:rPr>
          <w:rFonts w:cstheme="minorHAnsi"/>
          <w:bCs/>
          <w:color w:val="000000"/>
          <w:lang w:eastAsia="en-GB"/>
        </w:rPr>
        <w:t xml:space="preserve">działania </w:t>
      </w:r>
      <w:r w:rsidRPr="00BC7429">
        <w:rPr>
          <w:rFonts w:cstheme="minorHAnsi"/>
          <w:bCs/>
          <w:color w:val="000000"/>
          <w:lang w:eastAsia="en-GB"/>
        </w:rPr>
        <w:t>administracji rządowej</w:t>
      </w:r>
      <w:r w:rsidR="00F76699">
        <w:rPr>
          <w:rFonts w:cstheme="minorHAnsi"/>
          <w:bCs/>
          <w:color w:val="000000"/>
          <w:lang w:eastAsia="en-GB"/>
        </w:rPr>
        <w:t xml:space="preserve"> poprzez</w:t>
      </w:r>
      <w:r w:rsidR="00F76699">
        <w:rPr>
          <w:rFonts w:cstheme="minorHAnsi"/>
          <w:bCs/>
        </w:rPr>
        <w:t xml:space="preserve"> zwiększenie jej </w:t>
      </w:r>
      <w:r w:rsidRPr="00BC7429">
        <w:rPr>
          <w:rFonts w:cstheme="minorHAnsi"/>
          <w:bCs/>
        </w:rPr>
        <w:t>zdolności do kreowania i zarządzania polityką państwa, p</w:t>
      </w:r>
      <w:r w:rsidRPr="00BC7429">
        <w:rPr>
          <w:rFonts w:eastAsia="Times New Roman" w:cstheme="minorHAnsi"/>
        </w:rPr>
        <w:t>oprawy funkcjonowania organów wymiar</w:t>
      </w:r>
      <w:r w:rsidR="00F76699">
        <w:rPr>
          <w:rFonts w:eastAsia="Times New Roman" w:cstheme="minorHAnsi"/>
        </w:rPr>
        <w:t xml:space="preserve">u sprawiedliwości i prokuratury. Cel szczegółowy II odnosi się także do zagadnień </w:t>
      </w:r>
      <w:r w:rsidRPr="00BC7429">
        <w:rPr>
          <w:rFonts w:eastAsia="Times New Roman" w:cstheme="minorHAnsi"/>
        </w:rPr>
        <w:t>z</w:t>
      </w:r>
      <w:r w:rsidRPr="00BC7429">
        <w:rPr>
          <w:rFonts w:eastAsia="Times New Roman" w:cstheme="minorHAnsi"/>
          <w:lang w:eastAsia="pl-PL"/>
        </w:rPr>
        <w:t>integrowan</w:t>
      </w:r>
      <w:r w:rsidR="00F76699">
        <w:rPr>
          <w:rFonts w:eastAsia="Times New Roman" w:cstheme="minorHAnsi"/>
          <w:lang w:eastAsia="pl-PL"/>
        </w:rPr>
        <w:t>ego</w:t>
      </w:r>
      <w:r w:rsidRPr="00BC7429">
        <w:rPr>
          <w:rFonts w:eastAsia="Times New Roman" w:cstheme="minorHAnsi"/>
          <w:lang w:eastAsia="pl-PL"/>
        </w:rPr>
        <w:t xml:space="preserve"> planowania społecznego, gospodarczego i przestrzennego, w tym </w:t>
      </w:r>
      <w:r w:rsidRPr="00BC7429">
        <w:rPr>
          <w:rFonts w:eastAsia="Times New Roman" w:cstheme="minorHAnsi"/>
          <w:iCs/>
          <w:lang w:eastAsia="pl-PL"/>
        </w:rPr>
        <w:t>zagospodarowania przestrzennego obszarów morskich.</w:t>
      </w:r>
      <w:r w:rsidRPr="00BC7429">
        <w:rPr>
          <w:rFonts w:eastAsia="Times New Roman" w:cstheme="minorHAnsi"/>
          <w:lang w:eastAsia="pl-PL"/>
        </w:rPr>
        <w:t xml:space="preserve"> </w:t>
      </w:r>
    </w:p>
    <w:p w14:paraId="78E15357" w14:textId="77777777" w:rsidR="00DF4C05" w:rsidRDefault="00826C56" w:rsidP="00BC7429">
      <w:pPr>
        <w:spacing w:before="120" w:after="0" w:line="276" w:lineRule="auto"/>
        <w:jc w:val="both"/>
        <w:rPr>
          <w:rFonts w:eastAsia="Times New Roman" w:cstheme="minorHAnsi"/>
          <w:lang w:eastAsia="pl-PL"/>
        </w:rPr>
      </w:pPr>
      <w:r w:rsidRPr="00BC7429">
        <w:rPr>
          <w:rFonts w:eastAsia="Times New Roman" w:cstheme="minorHAnsi"/>
          <w:bCs/>
          <w:lang w:eastAsia="pl-PL"/>
        </w:rPr>
        <w:t xml:space="preserve">W </w:t>
      </w:r>
      <w:r w:rsidRPr="00BC7429">
        <w:rPr>
          <w:rFonts w:eastAsia="Times New Roman" w:cstheme="minorHAnsi"/>
          <w:b/>
          <w:bCs/>
          <w:lang w:eastAsia="pl-PL"/>
        </w:rPr>
        <w:t>celu szczegółowym III:</w:t>
      </w:r>
      <w:r w:rsidRPr="00BC7429">
        <w:rPr>
          <w:rFonts w:eastAsia="Times New Roman" w:cstheme="minorHAnsi"/>
          <w:bCs/>
          <w:lang w:eastAsia="pl-PL"/>
        </w:rPr>
        <w:t xml:space="preserve"> </w:t>
      </w:r>
      <w:r w:rsidR="0085639F" w:rsidRPr="00F76699">
        <w:rPr>
          <w:rFonts w:eastAsia="Times New Roman" w:cstheme="minorHAnsi"/>
          <w:b/>
          <w:i/>
          <w:iCs/>
          <w:color w:val="2F5496" w:themeColor="accent5" w:themeShade="BF"/>
        </w:rPr>
        <w:t>Podniesienie sprawności realizacji zadań państwa poprzez wykorzystanie technologii cyfrowych i zmianę sposobu działania stosownie do możliwości, jakie stwarza technologia</w:t>
      </w:r>
      <w:r w:rsidR="0085639F" w:rsidRPr="00F76699">
        <w:rPr>
          <w:rFonts w:eastAsia="Times New Roman" w:cstheme="minorHAnsi"/>
          <w:bCs/>
          <w:color w:val="2F5496" w:themeColor="accent5" w:themeShade="BF"/>
          <w:lang w:eastAsia="pl-PL"/>
        </w:rPr>
        <w:t xml:space="preserve"> </w:t>
      </w:r>
      <w:r w:rsidRPr="00BC7429">
        <w:rPr>
          <w:rFonts w:eastAsia="Times New Roman" w:cstheme="minorHAnsi"/>
          <w:bCs/>
          <w:lang w:eastAsia="pl-PL"/>
        </w:rPr>
        <w:t xml:space="preserve">podnoszona jest kwestia </w:t>
      </w:r>
      <w:r w:rsidRPr="00BC7429">
        <w:rPr>
          <w:rFonts w:eastAsia="Times New Roman" w:cstheme="minorHAnsi"/>
          <w:iCs/>
        </w:rPr>
        <w:t>stworzenia spójnego systemu informacyjnego państwa zapewniającego efektywną komunik</w:t>
      </w:r>
      <w:r w:rsidRPr="00BC7429">
        <w:rPr>
          <w:rFonts w:cstheme="minorHAnsi"/>
          <w:iCs/>
        </w:rPr>
        <w:t xml:space="preserve">ację drogą elektroniczną. W ramach tego celu podejmowane będą działania związane z: </w:t>
      </w:r>
      <w:r w:rsidRPr="00BC7429">
        <w:rPr>
          <w:rFonts w:eastAsia="Times New Roman" w:cstheme="minorHAnsi"/>
          <w:lang w:eastAsia="pl-PL"/>
        </w:rPr>
        <w:t xml:space="preserve">udostępnieniem szerokiego zakresu usług administracji publicznej drogą elektroniczną, które będą na coraz wyższym poziomie dojrzałości (np. usługi transakcyjne eliminujące udział urzędnika w procesie obsługi), wykorzystaniem zestandaryzowanych, interoperacyjnych i horyzontalnych rozwiązań informatycznych, </w:t>
      </w:r>
      <w:r w:rsidR="006F51F7" w:rsidRPr="00BC7429">
        <w:rPr>
          <w:rFonts w:eastAsia="Times New Roman" w:cstheme="minorHAnsi"/>
          <w:lang w:eastAsia="pl-PL"/>
        </w:rPr>
        <w:t xml:space="preserve">wsparciem rozwiązań cyfrowych w zakresie zarządzania zasobami w różnych gałęziach gospodarki, </w:t>
      </w:r>
      <w:r w:rsidRPr="00BC7429">
        <w:rPr>
          <w:rFonts w:eastAsia="Times New Roman" w:cstheme="minorHAnsi"/>
          <w:lang w:eastAsia="pl-PL"/>
        </w:rPr>
        <w:t>elektronizacją procesów wewnątrz administracji umożliwiające przeniesienie obowiązków z obywatela na administrację, udostępnianiem danych publicznych</w:t>
      </w:r>
      <w:r w:rsidRPr="00BC7429">
        <w:rPr>
          <w:rFonts w:cstheme="minorHAnsi"/>
        </w:rPr>
        <w:t xml:space="preserve"> </w:t>
      </w:r>
      <w:r w:rsidRPr="00BC7429">
        <w:rPr>
          <w:rFonts w:eastAsia="Times New Roman" w:cstheme="minorHAnsi"/>
          <w:lang w:eastAsia="pl-PL"/>
        </w:rPr>
        <w:t xml:space="preserve">przy zachowaniu standardów ochrony danych osobowych, ich ponownym wykorzystywaniem i promocją. </w:t>
      </w:r>
      <w:r w:rsidR="007146DB">
        <w:rPr>
          <w:rFonts w:eastAsia="Times New Roman" w:cstheme="minorHAnsi"/>
          <w:lang w:eastAsia="pl-PL"/>
        </w:rPr>
        <w:t xml:space="preserve">Ponadto w celu III podnoszone są </w:t>
      </w:r>
      <w:r w:rsidR="00DF4C05">
        <w:rPr>
          <w:rFonts w:eastAsia="Times New Roman" w:cstheme="minorHAnsi"/>
          <w:lang w:eastAsia="pl-PL"/>
        </w:rPr>
        <w:t xml:space="preserve">zagadnienia </w:t>
      </w:r>
      <w:r w:rsidR="007146DB">
        <w:rPr>
          <w:rFonts w:eastAsia="Times New Roman" w:cstheme="minorHAnsi"/>
          <w:lang w:eastAsia="pl-PL"/>
        </w:rPr>
        <w:t xml:space="preserve">związane z </w:t>
      </w:r>
      <w:r w:rsidR="0000548E" w:rsidRPr="00BC7429">
        <w:rPr>
          <w:rFonts w:eastAsia="Times New Roman" w:cstheme="minorHAnsi"/>
          <w:lang w:eastAsia="pl-PL"/>
        </w:rPr>
        <w:t>zapewnienie</w:t>
      </w:r>
      <w:r w:rsidR="007146DB">
        <w:rPr>
          <w:rFonts w:eastAsia="Times New Roman" w:cstheme="minorHAnsi"/>
          <w:lang w:eastAsia="pl-PL"/>
        </w:rPr>
        <w:t>m</w:t>
      </w:r>
      <w:r w:rsidR="0000548E" w:rsidRPr="00BC7429">
        <w:rPr>
          <w:rFonts w:eastAsia="Times New Roman" w:cstheme="minorHAnsi"/>
          <w:lang w:eastAsia="pl-PL"/>
        </w:rPr>
        <w:t xml:space="preserve"> dostępu do Internetu o bardzo wysokich przepustowościach</w:t>
      </w:r>
      <w:r w:rsidR="007146DB">
        <w:rPr>
          <w:rFonts w:eastAsia="Times New Roman" w:cstheme="minorHAnsi"/>
          <w:lang w:eastAsia="pl-PL"/>
        </w:rPr>
        <w:t>,</w:t>
      </w:r>
      <w:r w:rsidR="0000548E" w:rsidRPr="00BC7429">
        <w:rPr>
          <w:rFonts w:eastAsia="Times New Roman" w:cstheme="minorHAnsi"/>
          <w:lang w:eastAsia="pl-PL"/>
        </w:rPr>
        <w:t xml:space="preserve"> </w:t>
      </w:r>
      <w:r w:rsidRPr="00BC7429">
        <w:rPr>
          <w:rFonts w:eastAsia="Times New Roman" w:cstheme="minorHAnsi"/>
          <w:lang w:eastAsia="pl-PL"/>
        </w:rPr>
        <w:t>prowadz</w:t>
      </w:r>
      <w:r w:rsidR="007146DB">
        <w:rPr>
          <w:rFonts w:eastAsia="Times New Roman" w:cstheme="minorHAnsi"/>
          <w:lang w:eastAsia="pl-PL"/>
        </w:rPr>
        <w:t>eniem</w:t>
      </w:r>
      <w:r w:rsidRPr="00BC7429">
        <w:rPr>
          <w:rFonts w:eastAsia="Times New Roman" w:cstheme="minorHAnsi"/>
          <w:lang w:eastAsia="pl-PL"/>
        </w:rPr>
        <w:t xml:space="preserve"> działa</w:t>
      </w:r>
      <w:r w:rsidR="007146DB">
        <w:rPr>
          <w:rFonts w:eastAsia="Times New Roman" w:cstheme="minorHAnsi"/>
          <w:lang w:eastAsia="pl-PL"/>
        </w:rPr>
        <w:t>ń</w:t>
      </w:r>
      <w:r w:rsidRPr="00BC7429">
        <w:rPr>
          <w:rFonts w:eastAsia="Times New Roman" w:cstheme="minorHAnsi"/>
          <w:lang w:eastAsia="pl-PL"/>
        </w:rPr>
        <w:t xml:space="preserve"> na rzecz dostępności cyfrowej</w:t>
      </w:r>
      <w:r w:rsidR="00DF4C05">
        <w:rPr>
          <w:rFonts w:eastAsia="Times New Roman" w:cstheme="minorHAnsi"/>
          <w:lang w:eastAsia="pl-PL"/>
        </w:rPr>
        <w:t xml:space="preserve"> czy </w:t>
      </w:r>
      <w:r w:rsidRPr="00BC7429">
        <w:rPr>
          <w:rFonts w:eastAsia="Times New Roman" w:cstheme="minorHAnsi"/>
          <w:lang w:eastAsia="pl-PL"/>
        </w:rPr>
        <w:t>stworzeni</w:t>
      </w:r>
      <w:r w:rsidR="007146DB">
        <w:rPr>
          <w:rFonts w:eastAsia="Times New Roman" w:cstheme="minorHAnsi"/>
          <w:lang w:eastAsia="pl-PL"/>
        </w:rPr>
        <w:t>em</w:t>
      </w:r>
      <w:r w:rsidRPr="00BC7429">
        <w:rPr>
          <w:rFonts w:eastAsia="Times New Roman" w:cstheme="minorHAnsi"/>
          <w:lang w:eastAsia="pl-PL"/>
        </w:rPr>
        <w:t xml:space="preserve"> warunków dla tworzenia i rozwoju sztucznej inteligencji</w:t>
      </w:r>
      <w:r w:rsidR="007146DB">
        <w:rPr>
          <w:rFonts w:eastAsia="Times New Roman" w:cstheme="minorHAnsi"/>
          <w:lang w:eastAsia="pl-PL"/>
        </w:rPr>
        <w:t>,</w:t>
      </w:r>
      <w:r w:rsidR="00DF4C05">
        <w:rPr>
          <w:rFonts w:eastAsia="Times New Roman" w:cstheme="minorHAnsi"/>
          <w:lang w:eastAsia="pl-PL"/>
        </w:rPr>
        <w:t xml:space="preserve"> a także p</w:t>
      </w:r>
      <w:r w:rsidRPr="00BC7429">
        <w:rPr>
          <w:rFonts w:eastAsia="Times New Roman" w:cstheme="minorHAnsi"/>
          <w:lang w:eastAsia="pl-PL"/>
        </w:rPr>
        <w:t>odniesieni</w:t>
      </w:r>
      <w:r w:rsidR="00DF4C05">
        <w:rPr>
          <w:rFonts w:eastAsia="Times New Roman" w:cstheme="minorHAnsi"/>
          <w:lang w:eastAsia="pl-PL"/>
        </w:rPr>
        <w:t>em</w:t>
      </w:r>
      <w:r w:rsidRPr="00BC7429">
        <w:rPr>
          <w:rFonts w:eastAsia="Times New Roman" w:cstheme="minorHAnsi"/>
          <w:lang w:eastAsia="pl-PL"/>
        </w:rPr>
        <w:t xml:space="preserve"> poziomu cyberbezpieczeństwa</w:t>
      </w:r>
      <w:r w:rsidR="00DF4C05">
        <w:rPr>
          <w:rFonts w:eastAsia="Times New Roman" w:cstheme="minorHAnsi"/>
          <w:lang w:eastAsia="pl-PL"/>
        </w:rPr>
        <w:t>.</w:t>
      </w:r>
    </w:p>
    <w:p w14:paraId="024EFCCC" w14:textId="07227C39" w:rsidR="00ED4283" w:rsidRPr="00BC7429" w:rsidRDefault="00ED4283" w:rsidP="00BC7429">
      <w:pPr>
        <w:spacing w:before="120" w:after="0" w:line="276" w:lineRule="auto"/>
        <w:jc w:val="both"/>
        <w:rPr>
          <w:rFonts w:eastAsia="Times New Roman" w:cstheme="minorHAnsi"/>
          <w:b/>
          <w:color w:val="2F5496"/>
          <w:lang w:eastAsia="pl-PL"/>
        </w:rPr>
      </w:pPr>
      <w:r w:rsidRPr="00BC7429">
        <w:rPr>
          <w:rFonts w:eastAsia="Times New Roman" w:cstheme="minorHAnsi"/>
          <w:b/>
          <w:lang w:eastAsia="pl-PL"/>
        </w:rPr>
        <w:t>Cel szczegółowy</w:t>
      </w:r>
      <w:r w:rsidRPr="00BC7429">
        <w:rPr>
          <w:rFonts w:eastAsia="Times New Roman" w:cstheme="minorHAnsi"/>
          <w:lang w:eastAsia="pl-PL"/>
        </w:rPr>
        <w:t xml:space="preserve"> </w:t>
      </w:r>
      <w:r w:rsidRPr="00BC7429">
        <w:rPr>
          <w:rFonts w:eastAsia="Times New Roman" w:cstheme="minorHAnsi"/>
          <w:b/>
          <w:lang w:eastAsia="pl-PL"/>
        </w:rPr>
        <w:t xml:space="preserve">IV: </w:t>
      </w:r>
      <w:r w:rsidRPr="00DF4C05">
        <w:rPr>
          <w:rFonts w:cstheme="minorHAnsi"/>
          <w:b/>
          <w:i/>
          <w:color w:val="2F5496" w:themeColor="accent5" w:themeShade="BF"/>
        </w:rPr>
        <w:t>Efektywne planowanie i wykorzystanie środków finansowych</w:t>
      </w:r>
      <w:r w:rsidRPr="00DF4C05">
        <w:rPr>
          <w:rFonts w:eastAsia="Times New Roman" w:cstheme="minorHAnsi"/>
          <w:color w:val="2F5496" w:themeColor="accent5" w:themeShade="BF"/>
          <w:lang w:eastAsia="pl-PL"/>
        </w:rPr>
        <w:t xml:space="preserve"> </w:t>
      </w:r>
      <w:r w:rsidRPr="00BC7429">
        <w:rPr>
          <w:rFonts w:eastAsia="Times New Roman" w:cstheme="minorHAnsi"/>
          <w:lang w:eastAsia="pl-PL"/>
        </w:rPr>
        <w:t>podnosi zagadnienia wprowadzenia z</w:t>
      </w:r>
      <w:r w:rsidRPr="00BC7429">
        <w:rPr>
          <w:rFonts w:cstheme="minorHAnsi"/>
          <w:bCs/>
          <w:color w:val="000000"/>
          <w:lang w:eastAsia="en-GB"/>
        </w:rPr>
        <w:t>mian regulacyjno-instytucjonalne zmierzających do zapewnienia dochodów budżetowych niezbędnych dla sfinansowania wydatków państwa,</w:t>
      </w:r>
      <w:r w:rsidRPr="00BC7429">
        <w:rPr>
          <w:rFonts w:cstheme="minorHAnsi"/>
        </w:rPr>
        <w:t xml:space="preserve"> wdrożenia nowego systemu budżetowego wspierającego osiąganie celów strategicznych i priorytetów rozwojowych w perspektywie wieloletniej, reformy</w:t>
      </w:r>
      <w:r w:rsidRPr="00BC7429">
        <w:rPr>
          <w:rFonts w:eastAsia="Times New Roman" w:cstheme="minorHAnsi"/>
          <w:lang w:eastAsia="pl-PL"/>
        </w:rPr>
        <w:t xml:space="preserve"> systemu rachunkowości publicznej i reformy</w:t>
      </w:r>
      <w:r w:rsidRPr="00BC7429">
        <w:rPr>
          <w:rFonts w:eastAsia="Times New Roman" w:cstheme="minorHAnsi"/>
        </w:rPr>
        <w:t xml:space="preserve"> systemu finansowania jednostek samorządu terytorialnego,</w:t>
      </w:r>
      <w:r w:rsidRPr="00BC7429">
        <w:rPr>
          <w:rFonts w:eastAsia="Times New Roman" w:cstheme="minorHAnsi"/>
          <w:lang w:eastAsia="pl-PL"/>
        </w:rPr>
        <w:t xml:space="preserve"> </w:t>
      </w:r>
      <w:r w:rsidR="00B76715" w:rsidRPr="00BC7429">
        <w:rPr>
          <w:rFonts w:cstheme="minorHAnsi"/>
        </w:rPr>
        <w:t>m</w:t>
      </w:r>
      <w:r w:rsidR="00B76715" w:rsidRPr="00BC7429">
        <w:rPr>
          <w:rFonts w:eastAsia="Times New Roman" w:cstheme="minorHAnsi"/>
        </w:rPr>
        <w:t xml:space="preserve">odernizacji systemu sprawozdawczości finansowej, </w:t>
      </w:r>
      <w:r w:rsidRPr="00BC7429">
        <w:rPr>
          <w:rFonts w:eastAsia="Times New Roman" w:cstheme="minorHAnsi"/>
          <w:lang w:eastAsia="pl-PL"/>
        </w:rPr>
        <w:t xml:space="preserve">a także </w:t>
      </w:r>
      <w:r w:rsidRPr="00BC7429">
        <w:rPr>
          <w:rFonts w:cstheme="minorHAnsi"/>
        </w:rPr>
        <w:t>wykorzystania środków Unii Europejskiej na rzecz innowacyjności, konkurencyjności i zrównoważonego rozwoju.</w:t>
      </w:r>
    </w:p>
    <w:p w14:paraId="2B44CDFD" w14:textId="77777777" w:rsidR="00ED4283" w:rsidRPr="00BC7429" w:rsidRDefault="00ED4283" w:rsidP="00BC7429">
      <w:pPr>
        <w:spacing w:before="120" w:after="0" w:line="276" w:lineRule="auto"/>
        <w:jc w:val="both"/>
        <w:rPr>
          <w:rFonts w:cstheme="minorHAnsi"/>
        </w:rPr>
      </w:pPr>
      <w:r w:rsidRPr="00BC7429">
        <w:rPr>
          <w:rFonts w:eastAsia="Times New Roman" w:cstheme="minorHAnsi"/>
          <w:b/>
          <w:lang w:eastAsia="pl-PL"/>
        </w:rPr>
        <w:t xml:space="preserve">Cel szczegółowy V: </w:t>
      </w:r>
      <w:r w:rsidRPr="00DF4C05">
        <w:rPr>
          <w:rFonts w:cstheme="minorHAnsi"/>
          <w:b/>
          <w:i/>
          <w:color w:val="2F5496" w:themeColor="accent5" w:themeShade="BF"/>
        </w:rPr>
        <w:t>Zapewnienie obywatelom bezpieczeństwa wewnętrznego i zewnętrznego</w:t>
      </w:r>
      <w:r w:rsidRPr="00DF4C05">
        <w:rPr>
          <w:rFonts w:eastAsia="Times New Roman" w:cstheme="minorHAnsi"/>
          <w:color w:val="2F5496" w:themeColor="accent5" w:themeShade="BF"/>
          <w:lang w:eastAsia="pl-PL"/>
        </w:rPr>
        <w:t xml:space="preserve"> </w:t>
      </w:r>
      <w:r w:rsidRPr="00BC7429">
        <w:rPr>
          <w:rFonts w:cstheme="minorHAnsi"/>
        </w:rPr>
        <w:t xml:space="preserve">zorientowany jest na </w:t>
      </w:r>
      <w:r w:rsidRPr="00BC7429">
        <w:rPr>
          <w:rFonts w:cstheme="minorHAnsi"/>
          <w:bCs/>
        </w:rPr>
        <w:t>zwiększenie potencjału Sił Zbrojnych RP, p</w:t>
      </w:r>
      <w:r w:rsidRPr="00BC7429">
        <w:rPr>
          <w:rFonts w:eastAsia="Times New Roman" w:cstheme="minorHAnsi"/>
          <w:lang w:eastAsia="pl-PL"/>
        </w:rPr>
        <w:t>rzeciwdziałanie i zwalczanie przestępczości oraz zagrożeń dla bezpieczeństwa i porządku publicznego, usprawnienie r</w:t>
      </w:r>
      <w:r w:rsidRPr="00BC7429">
        <w:rPr>
          <w:rFonts w:eastAsia="Times New Roman" w:cstheme="minorHAnsi"/>
        </w:rPr>
        <w:t>atownictwa, ochrony ludności i zarządzania kryzysowego, z</w:t>
      </w:r>
      <w:r w:rsidRPr="00BC7429">
        <w:rPr>
          <w:rFonts w:eastAsia="Times New Roman" w:cstheme="minorHAnsi"/>
          <w:iCs/>
        </w:rPr>
        <w:t>apewnienie bezpieczeństwa migracyjnego, z</w:t>
      </w:r>
      <w:r w:rsidRPr="00BC7429">
        <w:rPr>
          <w:rFonts w:eastAsia="Times New Roman" w:cstheme="minorHAnsi"/>
        </w:rPr>
        <w:t>integrowanie zarządzania granicą RP z uwzględnieniem z</w:t>
      </w:r>
      <w:r w:rsidRPr="00BC7429">
        <w:rPr>
          <w:rFonts w:eastAsia="Times New Roman" w:cstheme="minorHAnsi"/>
          <w:iCs/>
        </w:rPr>
        <w:t>apewnienia bezpieczeństwa granicy UE/Schengen</w:t>
      </w:r>
      <w:r w:rsidRPr="00BC7429">
        <w:rPr>
          <w:rFonts w:cstheme="minorHAnsi"/>
          <w:bCs/>
          <w:color w:val="000000"/>
          <w:lang w:eastAsia="en-GB"/>
        </w:rPr>
        <w:t xml:space="preserve">, wzmocnienie pozycji Polski w środowisku międzynarodowym. </w:t>
      </w:r>
    </w:p>
    <w:p w14:paraId="1F5AB74E" w14:textId="6D3D8251" w:rsidR="0011313C" w:rsidRPr="00BC7429" w:rsidRDefault="00720CE4" w:rsidP="0011313C">
      <w:pPr>
        <w:spacing w:before="120" w:after="0" w:line="276" w:lineRule="auto"/>
        <w:jc w:val="both"/>
        <w:rPr>
          <w:rFonts w:cstheme="minorHAnsi"/>
        </w:rPr>
      </w:pPr>
      <w:r w:rsidRPr="00BC7429">
        <w:rPr>
          <w:rFonts w:cstheme="minorHAnsi"/>
        </w:rPr>
        <w:t xml:space="preserve">Na osiągnięcie niektórych celów szczegółowych w perspektywie do 2030 roku będą miały wpływ </w:t>
      </w:r>
      <w:r w:rsidR="00DF4C05">
        <w:rPr>
          <w:rFonts w:cstheme="minorHAnsi"/>
        </w:rPr>
        <w:t>rezultaty</w:t>
      </w:r>
      <w:r w:rsidRPr="00BC7429">
        <w:rPr>
          <w:rFonts w:cstheme="minorHAnsi"/>
        </w:rPr>
        <w:t xml:space="preserve"> działa</w:t>
      </w:r>
      <w:r w:rsidR="00DF4C05">
        <w:rPr>
          <w:rFonts w:cstheme="minorHAnsi"/>
        </w:rPr>
        <w:t xml:space="preserve">ń </w:t>
      </w:r>
      <w:r w:rsidR="0011313C">
        <w:rPr>
          <w:rFonts w:cstheme="minorHAnsi"/>
        </w:rPr>
        <w:t>podejmowanych</w:t>
      </w:r>
      <w:r w:rsidR="00DF4C05">
        <w:rPr>
          <w:rFonts w:cstheme="minorHAnsi"/>
        </w:rPr>
        <w:t xml:space="preserve"> na podstawie </w:t>
      </w:r>
      <w:r w:rsidRPr="00BC7429">
        <w:rPr>
          <w:rFonts w:cstheme="minorHAnsi"/>
        </w:rPr>
        <w:t>programów/planów o charakterze strategicznym</w:t>
      </w:r>
      <w:r w:rsidR="0011313C">
        <w:rPr>
          <w:rFonts w:cstheme="minorHAnsi"/>
        </w:rPr>
        <w:t xml:space="preserve">, a także </w:t>
      </w:r>
      <w:r w:rsidR="0011313C" w:rsidRPr="00BC7429">
        <w:rPr>
          <w:rFonts w:cstheme="minorHAnsi"/>
        </w:rPr>
        <w:t xml:space="preserve">działania o charakterze krótkoterminowym, mieszczące się w ramach stałej, operacyjnej działalności danej instytucji. </w:t>
      </w:r>
      <w:r w:rsidR="00AD28D0">
        <w:rPr>
          <w:rFonts w:cstheme="minorHAnsi"/>
        </w:rPr>
        <w:t xml:space="preserve">SNP będzie wdrażana dzięki nowym inicjatywom podejmowanym zgodnie z wytyczonym kierunkami rozwoju (tj. akty prawne, programy rozwoju, projekty strategiczne, itd.). Dodatkowo </w:t>
      </w:r>
      <w:r w:rsidR="0011313C" w:rsidRPr="00BC7429">
        <w:rPr>
          <w:rFonts w:cstheme="minorHAnsi"/>
          <w:bCs/>
          <w:iCs/>
        </w:rPr>
        <w:t>SNP</w:t>
      </w:r>
      <w:r w:rsidR="0011313C" w:rsidRPr="00BC7429">
        <w:rPr>
          <w:rFonts w:cstheme="minorHAnsi"/>
          <w:bCs/>
          <w:i/>
          <w:iCs/>
        </w:rPr>
        <w:t xml:space="preserve"> </w:t>
      </w:r>
      <w:r w:rsidR="0011313C" w:rsidRPr="00BC7429">
        <w:rPr>
          <w:rFonts w:cstheme="minorHAnsi"/>
          <w:bCs/>
        </w:rPr>
        <w:t>będzie realizowana z wykorzystaniem podejścia projektowego,</w:t>
      </w:r>
      <w:r w:rsidR="0011313C" w:rsidRPr="00BC7429">
        <w:rPr>
          <w:rFonts w:cstheme="minorHAnsi"/>
        </w:rPr>
        <w:t xml:space="preserve"> łącząc - podobnie jak SOR - wymiar strategiczny z wymiarem operacyjnym.</w:t>
      </w:r>
      <w:r w:rsidR="0011313C" w:rsidRPr="00BC7429">
        <w:rPr>
          <w:rFonts w:cstheme="minorHAnsi"/>
          <w:bCs/>
        </w:rPr>
        <w:t xml:space="preserve"> </w:t>
      </w:r>
      <w:r w:rsidR="0011313C" w:rsidRPr="00BC7429">
        <w:rPr>
          <w:rFonts w:cstheme="minorHAnsi"/>
        </w:rPr>
        <w:t>Celom szczegółowym</w:t>
      </w:r>
      <w:r w:rsidR="0011313C" w:rsidRPr="00BC7429">
        <w:rPr>
          <w:rFonts w:cstheme="minorHAnsi"/>
          <w:bCs/>
        </w:rPr>
        <w:t xml:space="preserve"> przyporządkowano </w:t>
      </w:r>
      <w:r w:rsidR="0011313C" w:rsidRPr="00BC7429">
        <w:rPr>
          <w:rFonts w:cstheme="minorHAnsi"/>
        </w:rPr>
        <w:t xml:space="preserve">realizowane lub planowane projekty strategiczne, w tym projekty SOR, których wykazy mają charakter otwarty i będą aktualizowane zgodnie z zasadami zawartymi w dokumencie pn. </w:t>
      </w:r>
      <w:r w:rsidR="0011313C" w:rsidRPr="00BC7429">
        <w:rPr>
          <w:rFonts w:eastAsia="Times New Roman" w:cstheme="minorHAnsi"/>
          <w:i/>
          <w:lang w:eastAsia="pl-PL"/>
        </w:rPr>
        <w:t>System Monitorowania „Strategii Na Rzecz Odpowiedzialnego Rozwoju” oraz dziewięciu strategii rozwoju.</w:t>
      </w:r>
      <w:r w:rsidR="0011313C" w:rsidRPr="00BC7429">
        <w:rPr>
          <w:rFonts w:eastAsia="Times New Roman" w:cstheme="minorHAnsi"/>
          <w:b/>
          <w:i/>
          <w:lang w:eastAsia="pl-PL"/>
        </w:rPr>
        <w:t xml:space="preserve"> </w:t>
      </w:r>
      <w:r w:rsidR="0011313C" w:rsidRPr="00BC7429">
        <w:rPr>
          <w:rFonts w:cstheme="minorHAnsi"/>
        </w:rPr>
        <w:t xml:space="preserve">Zagadnienia koordynacji i monitorowania omówiono w rozdziale V. </w:t>
      </w:r>
      <w:r w:rsidR="00AD28D0">
        <w:rPr>
          <w:rFonts w:cstheme="minorHAnsi"/>
        </w:rPr>
        <w:t>P</w:t>
      </w:r>
      <w:r w:rsidR="0011313C" w:rsidRPr="00BC7429">
        <w:rPr>
          <w:rFonts w:cstheme="minorHAnsi"/>
        </w:rPr>
        <w:t xml:space="preserve">onadto </w:t>
      </w:r>
      <w:r w:rsidR="00AD28D0">
        <w:rPr>
          <w:rFonts w:cstheme="minorHAnsi"/>
        </w:rPr>
        <w:t>SNP</w:t>
      </w:r>
      <w:r w:rsidR="0011313C" w:rsidRPr="00BC7429">
        <w:rPr>
          <w:rFonts w:cstheme="minorHAnsi"/>
        </w:rPr>
        <w:t xml:space="preserve"> będzie stanowi</w:t>
      </w:r>
      <w:r w:rsidR="00AD28D0">
        <w:rPr>
          <w:rFonts w:cstheme="minorHAnsi"/>
        </w:rPr>
        <w:t>ć</w:t>
      </w:r>
      <w:r w:rsidR="0011313C" w:rsidRPr="00BC7429">
        <w:rPr>
          <w:rFonts w:cstheme="minorHAnsi"/>
        </w:rPr>
        <w:t xml:space="preserve"> swego rodzaju wytyczne podczas bieżącego zarządzania funduszami, które są m.in. narzędziem do realizacji celów polityki państwa, a także programowania funduszy UE w różnych obszarach, w tym w obszarze migracji i bezpieczeństwa na lata 2021-2027.</w:t>
      </w:r>
    </w:p>
    <w:p w14:paraId="31408519" w14:textId="77777777" w:rsidR="00AD28D0" w:rsidRPr="00BC7429" w:rsidRDefault="00AD28D0" w:rsidP="00AD28D0">
      <w:pPr>
        <w:spacing w:before="120" w:after="0" w:line="276" w:lineRule="auto"/>
        <w:jc w:val="both"/>
        <w:rPr>
          <w:rFonts w:eastAsia="Times New Roman" w:cstheme="minorHAnsi"/>
          <w:b/>
          <w:lang w:eastAsia="pl-PL"/>
        </w:rPr>
      </w:pPr>
      <w:r w:rsidRPr="00BC7429">
        <w:rPr>
          <w:rFonts w:cstheme="minorHAnsi"/>
        </w:rPr>
        <w:t xml:space="preserve">Podmiotami zaangażowanymi w realizację strategii będą podmioty administracji rządowej. Z kolei dla podmiotów zaangażowanych pośrednio - organów jednostek samorządu terytorialnego - SNP stanowić będzie inspirację do podejmowania działań dla sprawnego funkcjonowania urzędów, wzrostu zaangażowania obywateli w życie społeczne wspólnoty samorządowej, aktywnego uczestnictwa w procesach tworzenia regulacji prawnych, opiniowania rozwiązań i przedstawiania propozycji usprawnień w zakresie funkcjonowania samorządu terytorialnego, </w:t>
      </w:r>
      <w:r>
        <w:rPr>
          <w:rFonts w:cstheme="minorHAnsi"/>
        </w:rPr>
        <w:t>itp.</w:t>
      </w:r>
    </w:p>
    <w:p w14:paraId="133EE8CD" w14:textId="77777777" w:rsidR="00AD28D0" w:rsidRPr="00F21196" w:rsidRDefault="00AD28D0" w:rsidP="00AD28D0">
      <w:pPr>
        <w:autoSpaceDE w:val="0"/>
        <w:autoSpaceDN w:val="0"/>
        <w:adjustRightInd w:val="0"/>
        <w:spacing w:after="0" w:line="276" w:lineRule="auto"/>
        <w:jc w:val="both"/>
        <w:rPr>
          <w:rFonts w:cs="Arial"/>
        </w:rPr>
      </w:pPr>
      <w:r>
        <w:rPr>
          <w:rFonts w:cs="Calibri"/>
          <w:szCs w:val="21"/>
        </w:rPr>
        <w:t xml:space="preserve"> </w:t>
      </w:r>
      <w:r w:rsidRPr="00F21196">
        <w:rPr>
          <w:rFonts w:cs="Calibri"/>
          <w:szCs w:val="21"/>
        </w:rPr>
        <w:t xml:space="preserve"> </w:t>
      </w:r>
    </w:p>
    <w:p w14:paraId="6F75B658" w14:textId="77777777" w:rsidR="00AD28D0" w:rsidRPr="001C42A9" w:rsidRDefault="00AD28D0" w:rsidP="00AD28D0">
      <w:pPr>
        <w:pStyle w:val="Tekstpodstawowy"/>
        <w:spacing w:line="276" w:lineRule="auto"/>
        <w:jc w:val="both"/>
        <w:rPr>
          <w:rFonts w:cs="Arial"/>
        </w:rPr>
        <w:sectPr w:rsidR="00AD28D0" w:rsidRPr="001C42A9" w:rsidSect="00BA39D4">
          <w:footerReference w:type="default" r:id="rId10"/>
          <w:pgSz w:w="11906" w:h="16838"/>
          <w:pgMar w:top="851" w:right="1418" w:bottom="1134" w:left="851" w:header="708" w:footer="708" w:gutter="0"/>
          <w:pgNumType w:start="0"/>
          <w:cols w:space="708"/>
          <w:titlePg/>
          <w:docGrid w:linePitch="360"/>
        </w:sectPr>
      </w:pPr>
    </w:p>
    <w:p w14:paraId="62149A57" w14:textId="72D3D2DF" w:rsidR="0011313C" w:rsidRDefault="0011313C">
      <w:pPr>
        <w:rPr>
          <w:rFonts w:cstheme="minorHAnsi"/>
          <w:sz w:val="20"/>
        </w:rPr>
      </w:pPr>
    </w:p>
    <w:p w14:paraId="22598FF1" w14:textId="01F9AAA8" w:rsidR="00152AA0" w:rsidRPr="00F76699" w:rsidRDefault="00152AA0" w:rsidP="00BC7429">
      <w:pPr>
        <w:spacing w:before="120" w:after="0" w:line="276" w:lineRule="auto"/>
        <w:rPr>
          <w:rFonts w:cstheme="minorHAnsi"/>
          <w:sz w:val="20"/>
        </w:rPr>
      </w:pPr>
      <w:r w:rsidRPr="00F76699">
        <w:rPr>
          <w:rFonts w:cstheme="minorHAnsi"/>
          <w:sz w:val="20"/>
        </w:rPr>
        <w:t xml:space="preserve">Tabela 1. Wykaz dokumentów rządowych </w:t>
      </w:r>
      <w:r w:rsidR="00970490" w:rsidRPr="00F76699">
        <w:rPr>
          <w:rFonts w:cstheme="minorHAnsi"/>
          <w:sz w:val="20"/>
        </w:rPr>
        <w:t>o charakterze programów rozwoju</w:t>
      </w:r>
      <w:r w:rsidR="009A0B0A" w:rsidRPr="00F76699">
        <w:rPr>
          <w:rStyle w:val="Odwoanieprzypisudolnego"/>
          <w:rFonts w:cstheme="minorHAnsi"/>
          <w:sz w:val="20"/>
        </w:rPr>
        <w:footnoteReference w:id="9"/>
      </w:r>
      <w:r w:rsidR="00970490" w:rsidRPr="00F76699">
        <w:rPr>
          <w:rFonts w:cstheme="minorHAnsi"/>
          <w:sz w:val="20"/>
        </w:rPr>
        <w:t xml:space="preserve"> </w:t>
      </w:r>
      <w:r w:rsidRPr="00F76699">
        <w:rPr>
          <w:rFonts w:cstheme="minorHAnsi"/>
          <w:sz w:val="20"/>
        </w:rPr>
        <w:t>wpływających na osiągniecie celów SNP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ayout w:type="fixed"/>
        <w:tblLook w:val="01E0" w:firstRow="1" w:lastRow="1" w:firstColumn="1" w:lastColumn="1" w:noHBand="0" w:noVBand="0"/>
      </w:tblPr>
      <w:tblGrid>
        <w:gridCol w:w="846"/>
        <w:gridCol w:w="7654"/>
        <w:gridCol w:w="1276"/>
      </w:tblGrid>
      <w:tr w:rsidR="00152AA0" w:rsidRPr="00BC7429" w14:paraId="4F50FD49" w14:textId="77777777" w:rsidTr="00E703C7">
        <w:trPr>
          <w:trHeight w:val="604"/>
        </w:trPr>
        <w:tc>
          <w:tcPr>
            <w:tcW w:w="846" w:type="dxa"/>
            <w:shd w:val="clear" w:color="auto" w:fill="5B9BD5" w:themeFill="accent1"/>
            <w:vAlign w:val="center"/>
          </w:tcPr>
          <w:p w14:paraId="60F3CEF7" w14:textId="77777777" w:rsidR="00152AA0" w:rsidRPr="00BC7429" w:rsidRDefault="00152AA0" w:rsidP="00BC7429">
            <w:pPr>
              <w:spacing w:before="120" w:after="0" w:line="276" w:lineRule="auto"/>
              <w:jc w:val="center"/>
              <w:rPr>
                <w:rFonts w:cstheme="minorHAnsi"/>
                <w:b/>
                <w:color w:val="FFFFFF" w:themeColor="background1"/>
                <w:sz w:val="20"/>
              </w:rPr>
            </w:pPr>
            <w:r w:rsidRPr="00BC7429">
              <w:rPr>
                <w:rFonts w:cstheme="minorHAnsi"/>
                <w:b/>
                <w:color w:val="FFFFFF" w:themeColor="background1"/>
                <w:sz w:val="20"/>
              </w:rPr>
              <w:t>Lp.</w:t>
            </w:r>
          </w:p>
          <w:p w14:paraId="0457BF56" w14:textId="77777777" w:rsidR="00152AA0" w:rsidRPr="00BC7429" w:rsidRDefault="00152AA0" w:rsidP="00BC7429">
            <w:pPr>
              <w:spacing w:before="120" w:after="0" w:line="276" w:lineRule="auto"/>
              <w:jc w:val="center"/>
              <w:rPr>
                <w:rFonts w:cstheme="minorHAnsi"/>
                <w:b/>
                <w:color w:val="FFFFFF" w:themeColor="background1"/>
                <w:sz w:val="20"/>
              </w:rPr>
            </w:pPr>
          </w:p>
        </w:tc>
        <w:tc>
          <w:tcPr>
            <w:tcW w:w="7654" w:type="dxa"/>
            <w:shd w:val="clear" w:color="auto" w:fill="5B9BD5" w:themeFill="accent1"/>
            <w:vAlign w:val="center"/>
          </w:tcPr>
          <w:p w14:paraId="35540568" w14:textId="77777777" w:rsidR="00152AA0" w:rsidRPr="00BC7429" w:rsidRDefault="00970490" w:rsidP="00BC7429">
            <w:pPr>
              <w:spacing w:before="120" w:after="0" w:line="276" w:lineRule="auto"/>
              <w:jc w:val="center"/>
              <w:rPr>
                <w:rFonts w:cstheme="minorHAnsi"/>
                <w:b/>
                <w:color w:val="FFFFFF" w:themeColor="background1"/>
                <w:sz w:val="20"/>
              </w:rPr>
            </w:pPr>
            <w:r w:rsidRPr="00BC7429">
              <w:rPr>
                <w:rFonts w:cstheme="minorHAnsi"/>
                <w:color w:val="FFFFFF" w:themeColor="background1"/>
                <w:sz w:val="20"/>
              </w:rPr>
              <w:t>Tytuł dokumentu o charakterze programu rozwoju wpływający na osiągniecie celów SNP</w:t>
            </w:r>
          </w:p>
        </w:tc>
        <w:tc>
          <w:tcPr>
            <w:tcW w:w="1276" w:type="dxa"/>
            <w:shd w:val="clear" w:color="auto" w:fill="5B9BD5" w:themeFill="accent1"/>
          </w:tcPr>
          <w:p w14:paraId="73604557" w14:textId="77777777" w:rsidR="00152AA0" w:rsidRPr="00BC7429" w:rsidRDefault="00152AA0" w:rsidP="00BC7429">
            <w:pPr>
              <w:spacing w:before="120" w:after="0" w:line="276" w:lineRule="auto"/>
              <w:jc w:val="center"/>
              <w:rPr>
                <w:rFonts w:cstheme="minorHAnsi"/>
                <w:b/>
                <w:color w:val="FFFFFF" w:themeColor="background1"/>
                <w:sz w:val="20"/>
              </w:rPr>
            </w:pPr>
            <w:r w:rsidRPr="00BC7429">
              <w:rPr>
                <w:rFonts w:cstheme="minorHAnsi"/>
                <w:b/>
                <w:color w:val="FFFFFF" w:themeColor="background1"/>
                <w:sz w:val="20"/>
              </w:rPr>
              <w:t>Powiązanie z celem SNP</w:t>
            </w:r>
          </w:p>
        </w:tc>
      </w:tr>
      <w:tr w:rsidR="001F574A" w:rsidRPr="00BC7429" w14:paraId="3FDB49F9" w14:textId="77777777" w:rsidTr="00BF3D2A">
        <w:tblPrEx>
          <w:tblCellMar>
            <w:left w:w="70" w:type="dxa"/>
            <w:right w:w="70" w:type="dxa"/>
          </w:tblCellMar>
          <w:tblLook w:val="0000" w:firstRow="0" w:lastRow="0" w:firstColumn="0" w:lastColumn="0" w:noHBand="0" w:noVBand="0"/>
        </w:tblPrEx>
        <w:trPr>
          <w:trHeight w:val="340"/>
        </w:trPr>
        <w:tc>
          <w:tcPr>
            <w:tcW w:w="846" w:type="dxa"/>
            <w:shd w:val="clear" w:color="auto" w:fill="5B9BD5" w:themeFill="accent1"/>
          </w:tcPr>
          <w:p w14:paraId="5528D670" w14:textId="24E90DA2" w:rsidR="001F574A" w:rsidRPr="00BC7429" w:rsidRDefault="001F574A" w:rsidP="00BC7429">
            <w:pPr>
              <w:spacing w:before="120" w:after="0" w:line="276" w:lineRule="auto"/>
              <w:jc w:val="center"/>
              <w:rPr>
                <w:rFonts w:cstheme="minorHAnsi"/>
                <w:color w:val="FFFFFF" w:themeColor="background1"/>
                <w:sz w:val="20"/>
              </w:rPr>
            </w:pPr>
            <w:r w:rsidRPr="00BC7429">
              <w:rPr>
                <w:rFonts w:cstheme="minorHAnsi"/>
                <w:color w:val="FFFFFF" w:themeColor="background1"/>
                <w:sz w:val="20"/>
              </w:rPr>
              <w:t>1</w:t>
            </w:r>
          </w:p>
        </w:tc>
        <w:tc>
          <w:tcPr>
            <w:tcW w:w="7654" w:type="dxa"/>
            <w:shd w:val="clear" w:color="auto" w:fill="auto"/>
          </w:tcPr>
          <w:p w14:paraId="1AB76E2B" w14:textId="655C6EA4" w:rsidR="001F574A" w:rsidRPr="00BC7429" w:rsidRDefault="001F574A" w:rsidP="00BC7429">
            <w:pPr>
              <w:autoSpaceDE w:val="0"/>
              <w:autoSpaceDN w:val="0"/>
              <w:adjustRightInd w:val="0"/>
              <w:spacing w:before="120" w:after="0" w:line="276" w:lineRule="auto"/>
              <w:ind w:left="72"/>
              <w:rPr>
                <w:rFonts w:cstheme="minorHAnsi"/>
                <w:sz w:val="20"/>
              </w:rPr>
            </w:pPr>
            <w:r w:rsidRPr="00BC7429">
              <w:rPr>
                <w:rFonts w:cstheme="minorHAnsi"/>
                <w:sz w:val="20"/>
              </w:rPr>
              <w:t>Narodowy Program Bezpieczeństwa Ruchu Drogowego 2021-2030</w:t>
            </w:r>
          </w:p>
        </w:tc>
        <w:tc>
          <w:tcPr>
            <w:tcW w:w="1276" w:type="dxa"/>
          </w:tcPr>
          <w:p w14:paraId="0A0A152E" w14:textId="260D8955" w:rsidR="001F574A" w:rsidRPr="00BC7429" w:rsidRDefault="001F574A" w:rsidP="00BC7429">
            <w:pPr>
              <w:spacing w:before="120" w:after="0" w:line="276" w:lineRule="auto"/>
              <w:ind w:left="214"/>
              <w:outlineLvl w:val="0"/>
              <w:rPr>
                <w:rFonts w:cstheme="minorHAnsi"/>
                <w:sz w:val="20"/>
              </w:rPr>
            </w:pPr>
            <w:r w:rsidRPr="00BC7429">
              <w:rPr>
                <w:rFonts w:cstheme="minorHAnsi"/>
                <w:sz w:val="20"/>
              </w:rPr>
              <w:t>cel V</w:t>
            </w:r>
          </w:p>
        </w:tc>
      </w:tr>
      <w:tr w:rsidR="001F574A" w:rsidRPr="00BC7429" w14:paraId="54B0022F" w14:textId="77777777" w:rsidTr="00BF3D2A">
        <w:tblPrEx>
          <w:tblCellMar>
            <w:left w:w="70" w:type="dxa"/>
            <w:right w:w="70" w:type="dxa"/>
          </w:tblCellMar>
          <w:tblLook w:val="0000" w:firstRow="0" w:lastRow="0" w:firstColumn="0" w:lastColumn="0" w:noHBand="0" w:noVBand="0"/>
        </w:tblPrEx>
        <w:trPr>
          <w:trHeight w:val="340"/>
        </w:trPr>
        <w:tc>
          <w:tcPr>
            <w:tcW w:w="846" w:type="dxa"/>
            <w:shd w:val="clear" w:color="auto" w:fill="5B9BD5" w:themeFill="accent1"/>
          </w:tcPr>
          <w:p w14:paraId="3FB23B64" w14:textId="3379CC4E" w:rsidR="001F574A" w:rsidRPr="00BC7429" w:rsidRDefault="001F574A" w:rsidP="00BC7429">
            <w:pPr>
              <w:spacing w:before="120" w:after="0" w:line="276" w:lineRule="auto"/>
              <w:jc w:val="center"/>
              <w:rPr>
                <w:rFonts w:cstheme="minorHAnsi"/>
                <w:color w:val="FFFFFF" w:themeColor="background1"/>
                <w:sz w:val="20"/>
              </w:rPr>
            </w:pPr>
            <w:r w:rsidRPr="00BC7429">
              <w:rPr>
                <w:rFonts w:cstheme="minorHAnsi"/>
                <w:color w:val="FFFFFF" w:themeColor="background1"/>
                <w:sz w:val="20"/>
              </w:rPr>
              <w:t>2</w:t>
            </w:r>
          </w:p>
        </w:tc>
        <w:tc>
          <w:tcPr>
            <w:tcW w:w="7654" w:type="dxa"/>
            <w:shd w:val="clear" w:color="auto" w:fill="auto"/>
          </w:tcPr>
          <w:p w14:paraId="339D4997" w14:textId="6581AFA7" w:rsidR="001F574A" w:rsidRPr="00BC7429" w:rsidRDefault="001F574A" w:rsidP="00BC7429">
            <w:pPr>
              <w:autoSpaceDE w:val="0"/>
              <w:autoSpaceDN w:val="0"/>
              <w:adjustRightInd w:val="0"/>
              <w:spacing w:before="120" w:after="0" w:line="276" w:lineRule="auto"/>
              <w:ind w:left="72"/>
              <w:rPr>
                <w:rFonts w:cstheme="minorHAnsi"/>
                <w:iCs/>
                <w:color w:val="000000"/>
                <w:sz w:val="20"/>
              </w:rPr>
            </w:pPr>
            <w:r w:rsidRPr="00BC7429">
              <w:rPr>
                <w:rFonts w:cstheme="minorHAnsi"/>
                <w:iCs/>
                <w:color w:val="000000"/>
                <w:sz w:val="20"/>
              </w:rPr>
              <w:t>Krajowy Program Rozwoju Ekonomii Społecznej do 2023 roku. Ekonomia Solidarności Społecznej.</w:t>
            </w:r>
          </w:p>
        </w:tc>
        <w:tc>
          <w:tcPr>
            <w:tcW w:w="1276" w:type="dxa"/>
          </w:tcPr>
          <w:p w14:paraId="341CECAA" w14:textId="3B3C90E1" w:rsidR="001F574A" w:rsidRPr="00BC7429" w:rsidRDefault="001F574A" w:rsidP="00BC7429">
            <w:pPr>
              <w:spacing w:before="120" w:after="0" w:line="276" w:lineRule="auto"/>
              <w:ind w:left="214"/>
              <w:outlineLvl w:val="0"/>
              <w:rPr>
                <w:rFonts w:cstheme="minorHAnsi"/>
                <w:sz w:val="20"/>
              </w:rPr>
            </w:pPr>
            <w:r w:rsidRPr="00BC7429">
              <w:rPr>
                <w:rFonts w:cstheme="minorHAnsi"/>
                <w:sz w:val="20"/>
              </w:rPr>
              <w:t>cel II</w:t>
            </w:r>
          </w:p>
        </w:tc>
      </w:tr>
      <w:tr w:rsidR="001F574A" w:rsidRPr="00BC7429" w14:paraId="010CC18B" w14:textId="77777777" w:rsidTr="00BF3D2A">
        <w:tblPrEx>
          <w:tblCellMar>
            <w:left w:w="70" w:type="dxa"/>
            <w:right w:w="70" w:type="dxa"/>
          </w:tblCellMar>
          <w:tblLook w:val="0000" w:firstRow="0" w:lastRow="0" w:firstColumn="0" w:lastColumn="0" w:noHBand="0" w:noVBand="0"/>
        </w:tblPrEx>
        <w:trPr>
          <w:trHeight w:val="397"/>
        </w:trPr>
        <w:tc>
          <w:tcPr>
            <w:tcW w:w="846" w:type="dxa"/>
            <w:shd w:val="clear" w:color="auto" w:fill="5B9BD5" w:themeFill="accent1"/>
          </w:tcPr>
          <w:p w14:paraId="5AB19B24" w14:textId="629FA726" w:rsidR="001F574A" w:rsidRPr="00BC7429" w:rsidRDefault="001F574A" w:rsidP="00BC7429">
            <w:pPr>
              <w:spacing w:before="120" w:after="0" w:line="276" w:lineRule="auto"/>
              <w:jc w:val="center"/>
              <w:rPr>
                <w:rFonts w:cstheme="minorHAnsi"/>
                <w:color w:val="FFFFFF" w:themeColor="background1"/>
                <w:sz w:val="20"/>
              </w:rPr>
            </w:pPr>
            <w:r w:rsidRPr="00BC7429">
              <w:rPr>
                <w:rFonts w:cstheme="minorHAnsi"/>
                <w:color w:val="FFFFFF" w:themeColor="background1"/>
                <w:sz w:val="20"/>
              </w:rPr>
              <w:t>3</w:t>
            </w:r>
          </w:p>
        </w:tc>
        <w:tc>
          <w:tcPr>
            <w:tcW w:w="7654" w:type="dxa"/>
            <w:shd w:val="clear" w:color="auto" w:fill="auto"/>
          </w:tcPr>
          <w:p w14:paraId="6A998B11" w14:textId="7FACFC29" w:rsidR="001F574A" w:rsidRPr="00BC7429" w:rsidRDefault="001F574A" w:rsidP="00DF4C05">
            <w:pPr>
              <w:spacing w:before="120" w:after="0" w:line="276" w:lineRule="auto"/>
              <w:ind w:left="72"/>
              <w:rPr>
                <w:rFonts w:cstheme="minorHAnsi"/>
                <w:iCs/>
                <w:sz w:val="20"/>
              </w:rPr>
            </w:pPr>
            <w:r w:rsidRPr="00BC7429">
              <w:rPr>
                <w:rFonts w:cstheme="minorHAnsi"/>
                <w:sz w:val="20"/>
              </w:rPr>
              <w:t>Program</w:t>
            </w:r>
            <w:r w:rsidR="0007464E" w:rsidRPr="00BC7429">
              <w:rPr>
                <w:rStyle w:val="Odwoanieprzypisudolnego"/>
                <w:rFonts w:cstheme="minorHAnsi"/>
                <w:sz w:val="20"/>
              </w:rPr>
              <w:footnoteReference w:id="10"/>
            </w:r>
            <w:r w:rsidR="0007464E" w:rsidRPr="00BC7429">
              <w:rPr>
                <w:rFonts w:cstheme="minorHAnsi"/>
                <w:sz w:val="20"/>
              </w:rPr>
              <w:t xml:space="preserve"> </w:t>
            </w:r>
            <w:r w:rsidRPr="00BC7429">
              <w:rPr>
                <w:rFonts w:cstheme="minorHAnsi"/>
                <w:sz w:val="20"/>
              </w:rPr>
              <w:t>KIBICE RAZEM dotyczący poprawy organizacji i bezpieczeństwa imprez sportowych w Polsce poprzez budowę struktur dialogu i współpracy ze środowiskiem kibiców na lata 2019 – 2021</w:t>
            </w:r>
          </w:p>
        </w:tc>
        <w:tc>
          <w:tcPr>
            <w:tcW w:w="1276" w:type="dxa"/>
          </w:tcPr>
          <w:p w14:paraId="1F7906F6" w14:textId="77777777" w:rsidR="001F574A" w:rsidRPr="00BC7429" w:rsidRDefault="001F574A" w:rsidP="00BC7429">
            <w:pPr>
              <w:spacing w:before="120" w:after="0" w:line="276" w:lineRule="auto"/>
              <w:ind w:left="214"/>
              <w:rPr>
                <w:rFonts w:cstheme="minorHAnsi"/>
                <w:b/>
                <w:sz w:val="20"/>
              </w:rPr>
            </w:pPr>
            <w:r w:rsidRPr="00BC7429">
              <w:rPr>
                <w:rFonts w:cstheme="minorHAnsi"/>
                <w:sz w:val="20"/>
              </w:rPr>
              <w:t>cel V</w:t>
            </w:r>
          </w:p>
        </w:tc>
      </w:tr>
      <w:tr w:rsidR="001F574A" w:rsidRPr="00BC7429" w14:paraId="0B5B57AE" w14:textId="77777777" w:rsidTr="00BF3D2A">
        <w:tblPrEx>
          <w:tblCellMar>
            <w:left w:w="70" w:type="dxa"/>
            <w:right w:w="70" w:type="dxa"/>
          </w:tblCellMar>
          <w:tblLook w:val="0000" w:firstRow="0" w:lastRow="0" w:firstColumn="0" w:lastColumn="0" w:noHBand="0" w:noVBand="0"/>
        </w:tblPrEx>
        <w:trPr>
          <w:trHeight w:val="397"/>
        </w:trPr>
        <w:tc>
          <w:tcPr>
            <w:tcW w:w="846" w:type="dxa"/>
            <w:shd w:val="clear" w:color="auto" w:fill="5B9BD5" w:themeFill="accent1"/>
          </w:tcPr>
          <w:p w14:paraId="5795F4E0" w14:textId="21DC3C57" w:rsidR="001F574A" w:rsidRPr="00BC7429" w:rsidRDefault="001F574A" w:rsidP="00BC7429">
            <w:pPr>
              <w:spacing w:before="120" w:after="0" w:line="276" w:lineRule="auto"/>
              <w:jc w:val="center"/>
              <w:rPr>
                <w:rFonts w:cstheme="minorHAnsi"/>
                <w:color w:val="FFFFFF" w:themeColor="background1"/>
                <w:sz w:val="20"/>
              </w:rPr>
            </w:pPr>
            <w:r w:rsidRPr="00BC7429">
              <w:rPr>
                <w:rFonts w:cstheme="minorHAnsi"/>
                <w:color w:val="FFFFFF" w:themeColor="background1"/>
                <w:sz w:val="20"/>
              </w:rPr>
              <w:t>4</w:t>
            </w:r>
          </w:p>
        </w:tc>
        <w:tc>
          <w:tcPr>
            <w:tcW w:w="7654" w:type="dxa"/>
            <w:shd w:val="clear" w:color="auto" w:fill="auto"/>
          </w:tcPr>
          <w:p w14:paraId="2EE01FED" w14:textId="77777777" w:rsidR="001F574A" w:rsidRPr="00BC7429" w:rsidRDefault="001F574A" w:rsidP="00BC7429">
            <w:pPr>
              <w:pStyle w:val="Tekstprzypisudolnego"/>
              <w:spacing w:before="120" w:line="276" w:lineRule="auto"/>
              <w:ind w:left="72"/>
              <w:rPr>
                <w:rFonts w:asciiTheme="minorHAnsi" w:hAnsiTheme="minorHAnsi" w:cstheme="minorHAnsi"/>
                <w:szCs w:val="22"/>
              </w:rPr>
            </w:pPr>
            <w:r w:rsidRPr="00BC7429">
              <w:rPr>
                <w:rFonts w:asciiTheme="minorHAnsi" w:hAnsiTheme="minorHAnsi" w:cstheme="minorHAnsi"/>
                <w:szCs w:val="22"/>
              </w:rPr>
              <w:t xml:space="preserve">Program Zintegrowanej Informatyzacji Państwa </w:t>
            </w:r>
          </w:p>
        </w:tc>
        <w:tc>
          <w:tcPr>
            <w:tcW w:w="1276" w:type="dxa"/>
          </w:tcPr>
          <w:p w14:paraId="673585D0" w14:textId="77777777" w:rsidR="001F574A" w:rsidRPr="00BC7429" w:rsidRDefault="001F574A" w:rsidP="00BC7429">
            <w:pPr>
              <w:pStyle w:val="Tekstprzypisudolnego"/>
              <w:spacing w:before="120" w:line="276" w:lineRule="auto"/>
              <w:ind w:left="214"/>
              <w:rPr>
                <w:rFonts w:asciiTheme="minorHAnsi" w:hAnsiTheme="minorHAnsi" w:cstheme="minorHAnsi"/>
                <w:b/>
                <w:szCs w:val="22"/>
              </w:rPr>
            </w:pPr>
            <w:r w:rsidRPr="00BC7429">
              <w:rPr>
                <w:rFonts w:asciiTheme="minorHAnsi" w:hAnsiTheme="minorHAnsi" w:cstheme="minorHAnsi"/>
                <w:szCs w:val="22"/>
              </w:rPr>
              <w:t>cel III</w:t>
            </w:r>
          </w:p>
        </w:tc>
      </w:tr>
      <w:tr w:rsidR="001F574A" w:rsidRPr="00BC7429" w14:paraId="3EB79723" w14:textId="77777777" w:rsidTr="00BF3D2A">
        <w:tblPrEx>
          <w:tblCellMar>
            <w:left w:w="70" w:type="dxa"/>
            <w:right w:w="70" w:type="dxa"/>
          </w:tblCellMar>
          <w:tblLook w:val="0000" w:firstRow="0" w:lastRow="0" w:firstColumn="0" w:lastColumn="0" w:noHBand="0" w:noVBand="0"/>
        </w:tblPrEx>
        <w:trPr>
          <w:trHeight w:val="397"/>
        </w:trPr>
        <w:tc>
          <w:tcPr>
            <w:tcW w:w="846" w:type="dxa"/>
            <w:shd w:val="clear" w:color="auto" w:fill="5B9BD5" w:themeFill="accent1"/>
          </w:tcPr>
          <w:p w14:paraId="4A3F5CE4" w14:textId="19039FCA" w:rsidR="001F574A" w:rsidRPr="00BC7429" w:rsidRDefault="001F574A" w:rsidP="00BC7429">
            <w:pPr>
              <w:spacing w:before="120" w:after="0" w:line="276" w:lineRule="auto"/>
              <w:jc w:val="center"/>
              <w:rPr>
                <w:rFonts w:cstheme="minorHAnsi"/>
                <w:color w:val="FFFFFF" w:themeColor="background1"/>
                <w:sz w:val="20"/>
              </w:rPr>
            </w:pPr>
            <w:r w:rsidRPr="00BC7429">
              <w:rPr>
                <w:rFonts w:cstheme="minorHAnsi"/>
                <w:color w:val="FFFFFF" w:themeColor="background1"/>
                <w:sz w:val="20"/>
              </w:rPr>
              <w:t>5</w:t>
            </w:r>
          </w:p>
        </w:tc>
        <w:tc>
          <w:tcPr>
            <w:tcW w:w="7654" w:type="dxa"/>
            <w:shd w:val="clear" w:color="auto" w:fill="auto"/>
          </w:tcPr>
          <w:p w14:paraId="7BDB76E2" w14:textId="77777777" w:rsidR="001F574A" w:rsidRPr="00BC7429" w:rsidRDefault="001F574A" w:rsidP="00BC7429">
            <w:pPr>
              <w:pStyle w:val="Tekstprzypisudolnego"/>
              <w:spacing w:before="120" w:line="276" w:lineRule="auto"/>
              <w:ind w:left="72"/>
              <w:rPr>
                <w:rStyle w:val="Odwoanieprzypisudolnego"/>
                <w:rFonts w:asciiTheme="minorHAnsi" w:hAnsiTheme="minorHAnsi" w:cstheme="minorHAnsi"/>
                <w:szCs w:val="22"/>
              </w:rPr>
            </w:pPr>
            <w:r w:rsidRPr="00BC7429">
              <w:rPr>
                <w:rFonts w:asciiTheme="minorHAnsi" w:hAnsiTheme="minorHAnsi" w:cstheme="minorHAnsi"/>
                <w:iCs/>
                <w:szCs w:val="22"/>
              </w:rPr>
              <w:t>Narodowy Plan Szerokopasmowy</w:t>
            </w:r>
          </w:p>
        </w:tc>
        <w:tc>
          <w:tcPr>
            <w:tcW w:w="1276" w:type="dxa"/>
          </w:tcPr>
          <w:p w14:paraId="2D6CB70F" w14:textId="77777777" w:rsidR="001F574A" w:rsidRPr="00BC7429" w:rsidRDefault="001F574A" w:rsidP="00BC7429">
            <w:pPr>
              <w:pStyle w:val="Tekstprzypisudolnego"/>
              <w:spacing w:before="120" w:line="276" w:lineRule="auto"/>
              <w:ind w:left="214"/>
              <w:rPr>
                <w:rFonts w:asciiTheme="minorHAnsi" w:hAnsiTheme="minorHAnsi" w:cstheme="minorHAnsi"/>
                <w:b/>
                <w:iCs/>
                <w:szCs w:val="22"/>
              </w:rPr>
            </w:pPr>
            <w:r w:rsidRPr="00BC7429">
              <w:rPr>
                <w:rFonts w:asciiTheme="minorHAnsi" w:hAnsiTheme="minorHAnsi" w:cstheme="minorHAnsi"/>
                <w:szCs w:val="22"/>
              </w:rPr>
              <w:t>cel III</w:t>
            </w:r>
          </w:p>
        </w:tc>
      </w:tr>
      <w:tr w:rsidR="001F574A" w:rsidRPr="00BC7429" w14:paraId="4AFE1D22" w14:textId="77777777" w:rsidTr="00BF3D2A">
        <w:tblPrEx>
          <w:tblCellMar>
            <w:left w:w="70" w:type="dxa"/>
            <w:right w:w="70" w:type="dxa"/>
          </w:tblCellMar>
          <w:tblLook w:val="0000" w:firstRow="0" w:lastRow="0" w:firstColumn="0" w:lastColumn="0" w:noHBand="0" w:noVBand="0"/>
        </w:tblPrEx>
        <w:trPr>
          <w:trHeight w:val="397"/>
        </w:trPr>
        <w:tc>
          <w:tcPr>
            <w:tcW w:w="846" w:type="dxa"/>
            <w:shd w:val="clear" w:color="auto" w:fill="5B9BD5" w:themeFill="accent1"/>
          </w:tcPr>
          <w:p w14:paraId="242DE7A4" w14:textId="3B15B51E" w:rsidR="001F574A" w:rsidRPr="00BC7429" w:rsidRDefault="001F574A" w:rsidP="00BC7429">
            <w:pPr>
              <w:spacing w:before="120" w:after="0" w:line="276" w:lineRule="auto"/>
              <w:jc w:val="center"/>
              <w:rPr>
                <w:rFonts w:cstheme="minorHAnsi"/>
                <w:color w:val="FFFFFF" w:themeColor="background1"/>
                <w:sz w:val="20"/>
              </w:rPr>
            </w:pPr>
            <w:r w:rsidRPr="00BC7429">
              <w:rPr>
                <w:rFonts w:cstheme="minorHAnsi"/>
                <w:color w:val="FFFFFF" w:themeColor="background1"/>
                <w:sz w:val="20"/>
              </w:rPr>
              <w:t>6</w:t>
            </w:r>
          </w:p>
        </w:tc>
        <w:tc>
          <w:tcPr>
            <w:tcW w:w="7654" w:type="dxa"/>
            <w:shd w:val="clear" w:color="auto" w:fill="auto"/>
          </w:tcPr>
          <w:p w14:paraId="101C54D3" w14:textId="77777777" w:rsidR="001F574A" w:rsidRPr="00BC7429" w:rsidRDefault="001F574A" w:rsidP="00BC7429">
            <w:pPr>
              <w:pStyle w:val="Tekstprzypisudolnego"/>
              <w:spacing w:before="120" w:line="276" w:lineRule="auto"/>
              <w:ind w:left="72"/>
              <w:rPr>
                <w:rFonts w:asciiTheme="minorHAnsi" w:hAnsiTheme="minorHAnsi" w:cstheme="minorHAnsi"/>
                <w:iCs/>
                <w:szCs w:val="22"/>
              </w:rPr>
            </w:pPr>
            <w:r w:rsidRPr="00BC7429">
              <w:rPr>
                <w:rFonts w:asciiTheme="minorHAnsi" w:hAnsiTheme="minorHAnsi" w:cstheme="minorHAnsi"/>
                <w:iCs/>
                <w:szCs w:val="22"/>
              </w:rPr>
              <w:t>Program Otwierania Danych Publicznych</w:t>
            </w:r>
            <w:r w:rsidRPr="00BC7429">
              <w:rPr>
                <w:rFonts w:asciiTheme="minorHAnsi" w:hAnsiTheme="minorHAnsi" w:cstheme="minorHAnsi"/>
                <w:iCs/>
                <w:szCs w:val="22"/>
              </w:rPr>
              <w:tab/>
            </w:r>
          </w:p>
        </w:tc>
        <w:tc>
          <w:tcPr>
            <w:tcW w:w="1276" w:type="dxa"/>
          </w:tcPr>
          <w:p w14:paraId="29EED8C1" w14:textId="77777777" w:rsidR="001F574A" w:rsidRPr="00BC7429" w:rsidRDefault="001F574A" w:rsidP="00BC7429">
            <w:pPr>
              <w:pStyle w:val="Tekstprzypisudolnego"/>
              <w:spacing w:before="120" w:line="276" w:lineRule="auto"/>
              <w:ind w:left="214"/>
              <w:rPr>
                <w:rFonts w:asciiTheme="minorHAnsi" w:hAnsiTheme="minorHAnsi" w:cstheme="minorHAnsi"/>
                <w:szCs w:val="22"/>
              </w:rPr>
            </w:pPr>
            <w:r w:rsidRPr="00BC7429">
              <w:rPr>
                <w:rFonts w:asciiTheme="minorHAnsi" w:hAnsiTheme="minorHAnsi" w:cstheme="minorHAnsi"/>
                <w:iCs/>
                <w:szCs w:val="22"/>
              </w:rPr>
              <w:t>cel III</w:t>
            </w:r>
          </w:p>
        </w:tc>
      </w:tr>
      <w:tr w:rsidR="001F574A" w:rsidRPr="00BC7429" w14:paraId="7B7119B0" w14:textId="77777777" w:rsidTr="00BF3D2A">
        <w:tblPrEx>
          <w:tblCellMar>
            <w:left w:w="70" w:type="dxa"/>
            <w:right w:w="70" w:type="dxa"/>
          </w:tblCellMar>
          <w:tblLook w:val="0000" w:firstRow="0" w:lastRow="0" w:firstColumn="0" w:lastColumn="0" w:noHBand="0" w:noVBand="0"/>
        </w:tblPrEx>
        <w:trPr>
          <w:trHeight w:val="397"/>
        </w:trPr>
        <w:tc>
          <w:tcPr>
            <w:tcW w:w="846" w:type="dxa"/>
            <w:shd w:val="clear" w:color="auto" w:fill="5B9BD5" w:themeFill="accent1"/>
          </w:tcPr>
          <w:p w14:paraId="6032B417" w14:textId="286460FA" w:rsidR="001F574A" w:rsidRPr="00BC7429" w:rsidRDefault="001F574A" w:rsidP="00BC7429">
            <w:pPr>
              <w:spacing w:before="120" w:after="0" w:line="276" w:lineRule="auto"/>
              <w:jc w:val="center"/>
              <w:rPr>
                <w:rFonts w:cstheme="minorHAnsi"/>
                <w:color w:val="FFFFFF" w:themeColor="background1"/>
                <w:sz w:val="20"/>
              </w:rPr>
            </w:pPr>
            <w:r w:rsidRPr="00BC7429">
              <w:rPr>
                <w:rFonts w:cstheme="minorHAnsi"/>
                <w:color w:val="FFFFFF" w:themeColor="background1"/>
                <w:sz w:val="20"/>
              </w:rPr>
              <w:t>7</w:t>
            </w:r>
          </w:p>
        </w:tc>
        <w:tc>
          <w:tcPr>
            <w:tcW w:w="7654" w:type="dxa"/>
            <w:shd w:val="clear" w:color="auto" w:fill="auto"/>
          </w:tcPr>
          <w:p w14:paraId="1433C7CD" w14:textId="3530BD87" w:rsidR="001F574A" w:rsidRPr="00BC7429" w:rsidRDefault="001F574A" w:rsidP="00BC7429">
            <w:pPr>
              <w:pStyle w:val="Tekstprzypisudolnego"/>
              <w:spacing w:before="120" w:line="276" w:lineRule="auto"/>
              <w:ind w:left="72"/>
              <w:rPr>
                <w:rFonts w:asciiTheme="minorHAnsi" w:hAnsiTheme="minorHAnsi" w:cstheme="minorHAnsi"/>
                <w:iCs/>
                <w:szCs w:val="22"/>
              </w:rPr>
            </w:pPr>
            <w:r w:rsidRPr="00BC7429">
              <w:rPr>
                <w:rFonts w:asciiTheme="minorHAnsi" w:hAnsiTheme="minorHAnsi" w:cstheme="minorHAnsi"/>
                <w:szCs w:val="22"/>
              </w:rPr>
              <w:t>Polityka rozwoju sztucznej inteligencji w  Polsce na lata 2020-2027</w:t>
            </w:r>
          </w:p>
        </w:tc>
        <w:tc>
          <w:tcPr>
            <w:tcW w:w="1276" w:type="dxa"/>
          </w:tcPr>
          <w:p w14:paraId="2184B71A" w14:textId="29E3B2F2" w:rsidR="001F574A" w:rsidRPr="00BC7429" w:rsidRDefault="001F574A" w:rsidP="00BC7429">
            <w:pPr>
              <w:pStyle w:val="Tekstprzypisudolnego"/>
              <w:spacing w:before="120" w:line="276" w:lineRule="auto"/>
              <w:ind w:left="214"/>
              <w:rPr>
                <w:rFonts w:asciiTheme="minorHAnsi" w:hAnsiTheme="minorHAnsi" w:cstheme="minorHAnsi"/>
                <w:iCs/>
                <w:szCs w:val="22"/>
              </w:rPr>
            </w:pPr>
            <w:r w:rsidRPr="00BC7429">
              <w:rPr>
                <w:rFonts w:asciiTheme="minorHAnsi" w:hAnsiTheme="minorHAnsi" w:cstheme="minorHAnsi"/>
                <w:szCs w:val="22"/>
              </w:rPr>
              <w:t>Cel III</w:t>
            </w:r>
          </w:p>
        </w:tc>
      </w:tr>
      <w:tr w:rsidR="001F574A" w:rsidRPr="00BC7429" w14:paraId="50A6BFC9" w14:textId="77777777" w:rsidTr="00BF3D2A">
        <w:tblPrEx>
          <w:tblCellMar>
            <w:left w:w="70" w:type="dxa"/>
            <w:right w:w="70" w:type="dxa"/>
          </w:tblCellMar>
          <w:tblLook w:val="0000" w:firstRow="0" w:lastRow="0" w:firstColumn="0" w:lastColumn="0" w:noHBand="0" w:noVBand="0"/>
        </w:tblPrEx>
        <w:trPr>
          <w:trHeight w:val="397"/>
        </w:trPr>
        <w:tc>
          <w:tcPr>
            <w:tcW w:w="846" w:type="dxa"/>
            <w:shd w:val="clear" w:color="auto" w:fill="5B9BD5" w:themeFill="accent1"/>
          </w:tcPr>
          <w:p w14:paraId="056F460D" w14:textId="5D463DB1" w:rsidR="001F574A" w:rsidRPr="00BC7429" w:rsidRDefault="001F574A" w:rsidP="00BC7429">
            <w:pPr>
              <w:spacing w:before="120" w:after="0" w:line="276" w:lineRule="auto"/>
              <w:jc w:val="center"/>
              <w:rPr>
                <w:rFonts w:cstheme="minorHAnsi"/>
                <w:color w:val="FFFFFF" w:themeColor="background1"/>
                <w:sz w:val="20"/>
              </w:rPr>
            </w:pPr>
            <w:r w:rsidRPr="00BC7429">
              <w:rPr>
                <w:rFonts w:cstheme="minorHAnsi"/>
                <w:color w:val="FFFFFF" w:themeColor="background1"/>
                <w:sz w:val="20"/>
              </w:rPr>
              <w:t>8</w:t>
            </w:r>
          </w:p>
        </w:tc>
        <w:tc>
          <w:tcPr>
            <w:tcW w:w="7654" w:type="dxa"/>
            <w:shd w:val="clear" w:color="auto" w:fill="auto"/>
          </w:tcPr>
          <w:p w14:paraId="18DF1F5E" w14:textId="77777777" w:rsidR="001F574A" w:rsidRPr="00BC7429" w:rsidRDefault="001F574A" w:rsidP="00BC7429">
            <w:pPr>
              <w:spacing w:before="120" w:after="0" w:line="276" w:lineRule="auto"/>
              <w:ind w:left="72"/>
              <w:jc w:val="both"/>
              <w:rPr>
                <w:rFonts w:eastAsia="Times New Roman" w:cstheme="minorHAnsi"/>
                <w:sz w:val="20"/>
              </w:rPr>
            </w:pPr>
            <w:r w:rsidRPr="00BC7429">
              <w:rPr>
                <w:rFonts w:cstheme="minorHAnsi"/>
                <w:bCs/>
                <w:sz w:val="20"/>
              </w:rPr>
              <w:t>Strategia Polskiej Polityki Zagranicznej 2017-2021</w:t>
            </w:r>
          </w:p>
        </w:tc>
        <w:tc>
          <w:tcPr>
            <w:tcW w:w="1276" w:type="dxa"/>
          </w:tcPr>
          <w:p w14:paraId="42C3126D" w14:textId="77777777" w:rsidR="001F574A" w:rsidRPr="00BC7429" w:rsidRDefault="001F574A" w:rsidP="00BC7429">
            <w:pPr>
              <w:spacing w:before="120" w:after="0" w:line="276" w:lineRule="auto"/>
              <w:ind w:left="214"/>
              <w:jc w:val="both"/>
              <w:rPr>
                <w:rFonts w:cstheme="minorHAnsi"/>
                <w:b/>
                <w:bCs/>
                <w:sz w:val="20"/>
              </w:rPr>
            </w:pPr>
            <w:r w:rsidRPr="00BC7429">
              <w:rPr>
                <w:rFonts w:cstheme="minorHAnsi"/>
                <w:sz w:val="20"/>
              </w:rPr>
              <w:t>cel V</w:t>
            </w:r>
          </w:p>
        </w:tc>
      </w:tr>
      <w:tr w:rsidR="001F574A" w:rsidRPr="00BC7429" w14:paraId="05A023B6" w14:textId="77777777" w:rsidTr="00BF3D2A">
        <w:tblPrEx>
          <w:tblCellMar>
            <w:left w:w="70" w:type="dxa"/>
            <w:right w:w="70" w:type="dxa"/>
          </w:tblCellMar>
          <w:tblLook w:val="0000" w:firstRow="0" w:lastRow="0" w:firstColumn="0" w:lastColumn="0" w:noHBand="0" w:noVBand="0"/>
        </w:tblPrEx>
        <w:trPr>
          <w:trHeight w:val="397"/>
        </w:trPr>
        <w:tc>
          <w:tcPr>
            <w:tcW w:w="846" w:type="dxa"/>
            <w:shd w:val="clear" w:color="auto" w:fill="5B9BD5" w:themeFill="accent1"/>
          </w:tcPr>
          <w:p w14:paraId="28186C6B" w14:textId="6AB9A982" w:rsidR="001F574A" w:rsidRPr="00BC7429" w:rsidRDefault="001F574A" w:rsidP="00BC7429">
            <w:pPr>
              <w:spacing w:before="120" w:after="0" w:line="276" w:lineRule="auto"/>
              <w:jc w:val="center"/>
              <w:rPr>
                <w:rFonts w:cstheme="minorHAnsi"/>
                <w:color w:val="FFFFFF" w:themeColor="background1"/>
                <w:sz w:val="20"/>
              </w:rPr>
            </w:pPr>
            <w:r w:rsidRPr="00BC7429">
              <w:rPr>
                <w:rFonts w:cstheme="minorHAnsi"/>
                <w:color w:val="FFFFFF" w:themeColor="background1"/>
                <w:sz w:val="20"/>
              </w:rPr>
              <w:t>9</w:t>
            </w:r>
          </w:p>
        </w:tc>
        <w:tc>
          <w:tcPr>
            <w:tcW w:w="7654" w:type="dxa"/>
            <w:shd w:val="clear" w:color="auto" w:fill="auto"/>
          </w:tcPr>
          <w:p w14:paraId="4C041C03" w14:textId="54051A15" w:rsidR="001F574A" w:rsidRPr="00BC7429" w:rsidRDefault="001F574A" w:rsidP="00EE0BB9">
            <w:pPr>
              <w:spacing w:before="120" w:after="0" w:line="276" w:lineRule="auto"/>
              <w:ind w:left="72"/>
              <w:jc w:val="both"/>
              <w:rPr>
                <w:rFonts w:cstheme="minorHAnsi"/>
                <w:bCs/>
                <w:sz w:val="20"/>
              </w:rPr>
            </w:pPr>
            <w:r w:rsidRPr="00BC7429">
              <w:rPr>
                <w:rFonts w:cstheme="minorHAnsi"/>
                <w:sz w:val="20"/>
              </w:rPr>
              <w:t>Strategi</w:t>
            </w:r>
            <w:r w:rsidR="00EE0BB9">
              <w:rPr>
                <w:rFonts w:cstheme="minorHAnsi"/>
                <w:sz w:val="20"/>
              </w:rPr>
              <w:t>a</w:t>
            </w:r>
            <w:r w:rsidRPr="00BC7429">
              <w:rPr>
                <w:rFonts w:cstheme="minorHAnsi"/>
                <w:sz w:val="20"/>
              </w:rPr>
              <w:t xml:space="preserve"> Cyberbezpieczeństwa Rzeczypospolitej Polskiej na lata 2019–2024</w:t>
            </w:r>
          </w:p>
        </w:tc>
        <w:tc>
          <w:tcPr>
            <w:tcW w:w="1276" w:type="dxa"/>
          </w:tcPr>
          <w:p w14:paraId="54B38272" w14:textId="77777777" w:rsidR="001F574A" w:rsidRPr="00BC7429" w:rsidRDefault="001F574A" w:rsidP="00BC7429">
            <w:pPr>
              <w:spacing w:before="120" w:after="0" w:line="276" w:lineRule="auto"/>
              <w:ind w:left="214"/>
              <w:jc w:val="both"/>
              <w:rPr>
                <w:rFonts w:cstheme="minorHAnsi"/>
                <w:sz w:val="20"/>
              </w:rPr>
            </w:pPr>
            <w:r w:rsidRPr="00BC7429">
              <w:rPr>
                <w:rFonts w:cstheme="minorHAnsi"/>
                <w:sz w:val="20"/>
              </w:rPr>
              <w:t>cel III i V</w:t>
            </w:r>
          </w:p>
        </w:tc>
      </w:tr>
      <w:tr w:rsidR="001F574A" w:rsidRPr="00BC7429" w14:paraId="1ED3C255" w14:textId="77777777" w:rsidTr="00BF3D2A">
        <w:tblPrEx>
          <w:tblCellMar>
            <w:left w:w="70" w:type="dxa"/>
            <w:right w:w="70" w:type="dxa"/>
          </w:tblCellMar>
          <w:tblLook w:val="0000" w:firstRow="0" w:lastRow="0" w:firstColumn="0" w:lastColumn="0" w:noHBand="0" w:noVBand="0"/>
        </w:tblPrEx>
        <w:trPr>
          <w:trHeight w:val="397"/>
        </w:trPr>
        <w:tc>
          <w:tcPr>
            <w:tcW w:w="846" w:type="dxa"/>
            <w:shd w:val="clear" w:color="auto" w:fill="5B9BD5" w:themeFill="accent1"/>
          </w:tcPr>
          <w:p w14:paraId="6B86BDDA" w14:textId="6FA8C3E1" w:rsidR="001F574A" w:rsidRPr="00BC7429" w:rsidRDefault="001F574A" w:rsidP="00BC7429">
            <w:pPr>
              <w:spacing w:before="120" w:after="0" w:line="276" w:lineRule="auto"/>
              <w:jc w:val="center"/>
              <w:rPr>
                <w:rFonts w:cstheme="minorHAnsi"/>
                <w:color w:val="FFFFFF" w:themeColor="background1"/>
                <w:sz w:val="20"/>
              </w:rPr>
            </w:pPr>
            <w:r w:rsidRPr="00BC7429">
              <w:rPr>
                <w:rFonts w:cstheme="minorHAnsi"/>
                <w:color w:val="FFFFFF" w:themeColor="background1"/>
                <w:sz w:val="20"/>
              </w:rPr>
              <w:t>10</w:t>
            </w:r>
          </w:p>
        </w:tc>
        <w:tc>
          <w:tcPr>
            <w:tcW w:w="7654" w:type="dxa"/>
            <w:shd w:val="clear" w:color="auto" w:fill="auto"/>
          </w:tcPr>
          <w:p w14:paraId="2B2E5200" w14:textId="77777777" w:rsidR="001F574A" w:rsidRPr="00BC7429" w:rsidRDefault="001F574A" w:rsidP="00BC7429">
            <w:pPr>
              <w:spacing w:before="120" w:after="0" w:line="276" w:lineRule="auto"/>
              <w:ind w:left="72"/>
              <w:jc w:val="both"/>
              <w:rPr>
                <w:rFonts w:cstheme="minorHAnsi"/>
                <w:sz w:val="20"/>
              </w:rPr>
            </w:pPr>
            <w:r w:rsidRPr="00BC7429">
              <w:rPr>
                <w:rFonts w:cstheme="minorHAnsi"/>
                <w:sz w:val="20"/>
              </w:rPr>
              <w:t>Strategia Zintegrowanego Zarządzania Granicą Państwową RP</w:t>
            </w:r>
          </w:p>
        </w:tc>
        <w:tc>
          <w:tcPr>
            <w:tcW w:w="1276" w:type="dxa"/>
          </w:tcPr>
          <w:p w14:paraId="2B0CA2F1" w14:textId="37B10EF3" w:rsidR="001F574A" w:rsidRPr="00BC7429" w:rsidRDefault="001F574A" w:rsidP="00BC7429">
            <w:pPr>
              <w:spacing w:before="120" w:after="0" w:line="276" w:lineRule="auto"/>
              <w:ind w:left="214"/>
              <w:jc w:val="both"/>
              <w:rPr>
                <w:rFonts w:cstheme="minorHAnsi"/>
                <w:sz w:val="20"/>
              </w:rPr>
            </w:pPr>
            <w:r w:rsidRPr="00BC7429">
              <w:rPr>
                <w:rFonts w:cstheme="minorHAnsi"/>
                <w:sz w:val="20"/>
              </w:rPr>
              <w:t>cel II i V</w:t>
            </w:r>
          </w:p>
        </w:tc>
      </w:tr>
      <w:tr w:rsidR="001F574A" w:rsidRPr="00BC7429" w14:paraId="0EB8642C" w14:textId="77777777" w:rsidTr="00BF3D2A">
        <w:tblPrEx>
          <w:tblCellMar>
            <w:left w:w="70" w:type="dxa"/>
            <w:right w:w="70" w:type="dxa"/>
          </w:tblCellMar>
          <w:tblLook w:val="0000" w:firstRow="0" w:lastRow="0" w:firstColumn="0" w:lastColumn="0" w:noHBand="0" w:noVBand="0"/>
        </w:tblPrEx>
        <w:trPr>
          <w:trHeight w:val="397"/>
        </w:trPr>
        <w:tc>
          <w:tcPr>
            <w:tcW w:w="846" w:type="dxa"/>
            <w:shd w:val="clear" w:color="auto" w:fill="5B9BD5" w:themeFill="accent1"/>
          </w:tcPr>
          <w:p w14:paraId="3CD2F4FF" w14:textId="386F7EE8" w:rsidR="001F574A" w:rsidRPr="00BC7429" w:rsidRDefault="001F574A" w:rsidP="00BC7429">
            <w:pPr>
              <w:spacing w:before="120" w:after="0" w:line="276" w:lineRule="auto"/>
              <w:jc w:val="center"/>
              <w:rPr>
                <w:rFonts w:cstheme="minorHAnsi"/>
                <w:color w:val="FFFFFF" w:themeColor="background1"/>
                <w:sz w:val="20"/>
              </w:rPr>
            </w:pPr>
            <w:r w:rsidRPr="00BC7429">
              <w:rPr>
                <w:rFonts w:cstheme="minorHAnsi"/>
                <w:color w:val="FFFFFF" w:themeColor="background1"/>
                <w:sz w:val="20"/>
              </w:rPr>
              <w:t>11</w:t>
            </w:r>
          </w:p>
        </w:tc>
        <w:tc>
          <w:tcPr>
            <w:tcW w:w="7654" w:type="dxa"/>
            <w:shd w:val="clear" w:color="auto" w:fill="auto"/>
          </w:tcPr>
          <w:p w14:paraId="040DA45F" w14:textId="77777777" w:rsidR="001F574A" w:rsidRPr="00BC7429" w:rsidRDefault="001F574A" w:rsidP="00BC7429">
            <w:pPr>
              <w:spacing w:before="120" w:after="0" w:line="276" w:lineRule="auto"/>
              <w:ind w:left="72"/>
              <w:jc w:val="both"/>
              <w:rPr>
                <w:rFonts w:cstheme="minorHAnsi"/>
                <w:sz w:val="20"/>
              </w:rPr>
            </w:pPr>
            <w:r w:rsidRPr="00BC7429">
              <w:rPr>
                <w:rFonts w:cstheme="minorHAnsi"/>
                <w:sz w:val="20"/>
              </w:rPr>
              <w:t>Rządowy Program Dostępność Plus 2018-2025</w:t>
            </w:r>
          </w:p>
        </w:tc>
        <w:tc>
          <w:tcPr>
            <w:tcW w:w="1276" w:type="dxa"/>
          </w:tcPr>
          <w:p w14:paraId="1A6779CD" w14:textId="1E975EEA" w:rsidR="001F574A" w:rsidRPr="00BC7429" w:rsidRDefault="001F574A" w:rsidP="00BC7429">
            <w:pPr>
              <w:spacing w:before="120" w:after="0" w:line="276" w:lineRule="auto"/>
              <w:ind w:left="214"/>
              <w:jc w:val="both"/>
              <w:rPr>
                <w:rFonts w:cstheme="minorHAnsi"/>
                <w:sz w:val="20"/>
              </w:rPr>
            </w:pPr>
            <w:r w:rsidRPr="00BC7429">
              <w:rPr>
                <w:rFonts w:cstheme="minorHAnsi"/>
                <w:sz w:val="20"/>
              </w:rPr>
              <w:t>cel II i III</w:t>
            </w:r>
          </w:p>
        </w:tc>
      </w:tr>
      <w:tr w:rsidR="001F574A" w:rsidRPr="00BC7429" w14:paraId="146637A3" w14:textId="77777777" w:rsidTr="00BF3D2A">
        <w:tblPrEx>
          <w:tblCellMar>
            <w:left w:w="70" w:type="dxa"/>
            <w:right w:w="70" w:type="dxa"/>
          </w:tblCellMar>
          <w:tblLook w:val="0000" w:firstRow="0" w:lastRow="0" w:firstColumn="0" w:lastColumn="0" w:noHBand="0" w:noVBand="0"/>
        </w:tblPrEx>
        <w:trPr>
          <w:trHeight w:val="397"/>
        </w:trPr>
        <w:tc>
          <w:tcPr>
            <w:tcW w:w="846" w:type="dxa"/>
            <w:shd w:val="clear" w:color="auto" w:fill="5B9BD5" w:themeFill="accent1"/>
          </w:tcPr>
          <w:p w14:paraId="2160B8E8" w14:textId="35B058A8" w:rsidR="001F574A" w:rsidRPr="00BC7429" w:rsidRDefault="001F574A" w:rsidP="00BC7429">
            <w:pPr>
              <w:spacing w:before="120" w:after="0" w:line="276" w:lineRule="auto"/>
              <w:jc w:val="center"/>
              <w:rPr>
                <w:rFonts w:cstheme="minorHAnsi"/>
                <w:color w:val="FFFFFF" w:themeColor="background1"/>
                <w:sz w:val="20"/>
              </w:rPr>
            </w:pPr>
            <w:r w:rsidRPr="00BC7429">
              <w:rPr>
                <w:rFonts w:cstheme="minorHAnsi"/>
                <w:color w:val="FFFFFF" w:themeColor="background1"/>
                <w:sz w:val="20"/>
              </w:rPr>
              <w:t>12</w:t>
            </w:r>
          </w:p>
        </w:tc>
        <w:tc>
          <w:tcPr>
            <w:tcW w:w="7654" w:type="dxa"/>
            <w:shd w:val="clear" w:color="auto" w:fill="auto"/>
          </w:tcPr>
          <w:p w14:paraId="16A25441" w14:textId="071E6FB6" w:rsidR="001F574A" w:rsidRPr="00BC7429" w:rsidRDefault="001F574A" w:rsidP="00BC7429">
            <w:pPr>
              <w:spacing w:before="120" w:after="0" w:line="276" w:lineRule="auto"/>
              <w:ind w:left="72"/>
              <w:jc w:val="both"/>
              <w:rPr>
                <w:rFonts w:cstheme="minorHAnsi"/>
                <w:sz w:val="20"/>
              </w:rPr>
            </w:pPr>
            <w:r w:rsidRPr="00BC7429">
              <w:rPr>
                <w:rFonts w:cstheme="minorHAnsi"/>
                <w:sz w:val="20"/>
              </w:rPr>
              <w:t>Strategia Zrównoważonego Rozwoju Transportu do 2030 roku</w:t>
            </w:r>
          </w:p>
        </w:tc>
        <w:tc>
          <w:tcPr>
            <w:tcW w:w="1276" w:type="dxa"/>
          </w:tcPr>
          <w:p w14:paraId="6C870F63" w14:textId="7C2EED6D" w:rsidR="001F574A" w:rsidRPr="00BC7429" w:rsidRDefault="002E7B5F" w:rsidP="00BC7429">
            <w:pPr>
              <w:spacing w:before="120" w:after="0" w:line="276" w:lineRule="auto"/>
              <w:ind w:left="214"/>
              <w:jc w:val="both"/>
              <w:rPr>
                <w:rFonts w:cstheme="minorHAnsi"/>
                <w:sz w:val="20"/>
              </w:rPr>
            </w:pPr>
            <w:r w:rsidRPr="00BC7429">
              <w:rPr>
                <w:rFonts w:cstheme="minorHAnsi"/>
                <w:sz w:val="20"/>
              </w:rPr>
              <w:t>c</w:t>
            </w:r>
            <w:r w:rsidR="001F574A" w:rsidRPr="00BC7429">
              <w:rPr>
                <w:rFonts w:cstheme="minorHAnsi"/>
                <w:sz w:val="20"/>
              </w:rPr>
              <w:t>el II</w:t>
            </w:r>
            <w:r w:rsidRPr="00BC7429">
              <w:rPr>
                <w:rFonts w:cstheme="minorHAnsi"/>
                <w:sz w:val="20"/>
              </w:rPr>
              <w:t>, III</w:t>
            </w:r>
            <w:r w:rsidR="001F574A" w:rsidRPr="00BC7429">
              <w:rPr>
                <w:rFonts w:cstheme="minorHAnsi"/>
                <w:sz w:val="20"/>
              </w:rPr>
              <w:t xml:space="preserve"> i </w:t>
            </w:r>
            <w:r w:rsidRPr="00BC7429">
              <w:rPr>
                <w:rFonts w:cstheme="minorHAnsi"/>
                <w:sz w:val="20"/>
              </w:rPr>
              <w:t>V</w:t>
            </w:r>
          </w:p>
        </w:tc>
      </w:tr>
    </w:tbl>
    <w:p w14:paraId="50C166F3" w14:textId="77777777" w:rsidR="00660F91" w:rsidRPr="00F21196" w:rsidRDefault="00290BC0" w:rsidP="004B6D63">
      <w:pPr>
        <w:autoSpaceDE w:val="0"/>
        <w:autoSpaceDN w:val="0"/>
        <w:adjustRightInd w:val="0"/>
        <w:spacing w:after="0" w:line="276" w:lineRule="auto"/>
        <w:jc w:val="both"/>
        <w:rPr>
          <w:rFonts w:cs="Arial"/>
        </w:rPr>
      </w:pPr>
      <w:r>
        <w:rPr>
          <w:rFonts w:cs="Calibri"/>
          <w:szCs w:val="21"/>
        </w:rPr>
        <w:t xml:space="preserve"> </w:t>
      </w:r>
      <w:r w:rsidR="00DC00B9" w:rsidRPr="00F21196">
        <w:rPr>
          <w:rFonts w:cs="Calibri"/>
          <w:szCs w:val="21"/>
        </w:rPr>
        <w:t xml:space="preserve"> </w:t>
      </w:r>
    </w:p>
    <w:p w14:paraId="1955369F" w14:textId="0C291D9D" w:rsidR="00660F91" w:rsidRPr="001C42A9" w:rsidRDefault="00660F91" w:rsidP="001C42A9">
      <w:pPr>
        <w:pStyle w:val="Tekstpodstawowy"/>
        <w:spacing w:line="276" w:lineRule="auto"/>
        <w:jc w:val="both"/>
        <w:rPr>
          <w:rFonts w:cs="Arial"/>
        </w:rPr>
        <w:sectPr w:rsidR="00660F91" w:rsidRPr="001C42A9" w:rsidSect="00BA39D4">
          <w:footerReference w:type="default" r:id="rId11"/>
          <w:pgSz w:w="11906" w:h="16838"/>
          <w:pgMar w:top="851" w:right="1418" w:bottom="1134" w:left="851" w:header="708" w:footer="708" w:gutter="0"/>
          <w:pgNumType w:start="0"/>
          <w:cols w:space="708"/>
          <w:titlePg/>
          <w:docGrid w:linePitch="360"/>
        </w:sectPr>
      </w:pPr>
    </w:p>
    <w:p w14:paraId="751D2A08" w14:textId="77777777" w:rsidR="00FD441B" w:rsidRPr="00F21196" w:rsidRDefault="00BD7254" w:rsidP="00FD441B">
      <w:pPr>
        <w:spacing w:after="0" w:line="240" w:lineRule="auto"/>
        <w:rPr>
          <w:b/>
          <w:szCs w:val="18"/>
        </w:rPr>
      </w:pPr>
      <w:r w:rsidRPr="00F21196">
        <w:rPr>
          <w:b/>
          <w:szCs w:val="18"/>
        </w:rPr>
        <w:t xml:space="preserve">MATRYCA: </w:t>
      </w:r>
      <w:r w:rsidR="00FD441B" w:rsidRPr="00F21196">
        <w:rPr>
          <w:b/>
          <w:szCs w:val="18"/>
        </w:rPr>
        <w:t>Układ celów S</w:t>
      </w:r>
      <w:r w:rsidR="0009026A" w:rsidRPr="00F21196">
        <w:rPr>
          <w:b/>
          <w:szCs w:val="18"/>
        </w:rPr>
        <w:t>NP</w:t>
      </w:r>
      <w:r w:rsidR="00FD441B" w:rsidRPr="00F21196">
        <w:rPr>
          <w:b/>
          <w:szCs w:val="18"/>
        </w:rPr>
        <w:t xml:space="preserve"> i kierunków interwencji</w:t>
      </w:r>
    </w:p>
    <w:tbl>
      <w:tblPr>
        <w:tblW w:w="15735" w:type="dxa"/>
        <w:tblInd w:w="-866" w:type="dxa"/>
        <w:tblBorders>
          <w:top w:val="double" w:sz="4" w:space="0" w:color="1F4E79" w:themeColor="accent1" w:themeShade="80"/>
          <w:left w:val="double" w:sz="4" w:space="0" w:color="1F4E79" w:themeColor="accent1" w:themeShade="80"/>
          <w:bottom w:val="double" w:sz="4" w:space="0" w:color="1F4E79" w:themeColor="accent1" w:themeShade="80"/>
          <w:right w:val="double" w:sz="4" w:space="0" w:color="1F4E79" w:themeColor="accent1" w:themeShade="80"/>
          <w:insideH w:val="double" w:sz="4" w:space="0" w:color="1F4E79" w:themeColor="accent1" w:themeShade="80"/>
          <w:insideV w:val="double" w:sz="4" w:space="0" w:color="1F4E79" w:themeColor="accent1" w:themeShade="80"/>
        </w:tblBorders>
        <w:tblLayout w:type="fixed"/>
        <w:tblLook w:val="01E0" w:firstRow="1" w:lastRow="1" w:firstColumn="1" w:lastColumn="1" w:noHBand="0" w:noVBand="0"/>
      </w:tblPr>
      <w:tblGrid>
        <w:gridCol w:w="2694"/>
        <w:gridCol w:w="3501"/>
        <w:gridCol w:w="2736"/>
        <w:gridCol w:w="4253"/>
        <w:gridCol w:w="2551"/>
      </w:tblGrid>
      <w:tr w:rsidR="00EB2D3B" w:rsidRPr="00F21196" w14:paraId="7A00CBC3" w14:textId="77777777" w:rsidTr="00864658">
        <w:trPr>
          <w:trHeight w:val="570"/>
        </w:trPr>
        <w:tc>
          <w:tcPr>
            <w:tcW w:w="15735" w:type="dxa"/>
            <w:gridSpan w:val="5"/>
            <w:shd w:val="clear" w:color="auto" w:fill="B4C6E7" w:themeFill="accent5" w:themeFillTint="66"/>
          </w:tcPr>
          <w:p w14:paraId="7AE25E8D" w14:textId="77777777" w:rsidR="00EB2D3B" w:rsidRPr="00F21196" w:rsidRDefault="00EB2D3B" w:rsidP="00DA16FF">
            <w:pPr>
              <w:spacing w:after="0" w:line="240" w:lineRule="auto"/>
              <w:rPr>
                <w:rFonts w:cs="Arial"/>
                <w:b/>
                <w:spacing w:val="18"/>
                <w:sz w:val="18"/>
                <w:szCs w:val="18"/>
              </w:rPr>
            </w:pPr>
            <w:r w:rsidRPr="00F21196">
              <w:rPr>
                <w:rFonts w:cs="Arial"/>
                <w:b/>
                <w:spacing w:val="18"/>
                <w:sz w:val="18"/>
                <w:szCs w:val="18"/>
              </w:rPr>
              <w:t xml:space="preserve">Cel główny: </w:t>
            </w:r>
          </w:p>
          <w:p w14:paraId="59524BEB" w14:textId="77777777" w:rsidR="00186001" w:rsidRPr="00F21196" w:rsidRDefault="00186001" w:rsidP="00186001">
            <w:pPr>
              <w:spacing w:after="0"/>
              <w:jc w:val="center"/>
              <w:rPr>
                <w:rFonts w:cs="Calibri"/>
                <w:b/>
                <w:sz w:val="24"/>
                <w:szCs w:val="18"/>
              </w:rPr>
            </w:pPr>
            <w:r w:rsidRPr="00F21196">
              <w:rPr>
                <w:rFonts w:cs="Calibri"/>
                <w:b/>
                <w:sz w:val="24"/>
                <w:szCs w:val="18"/>
              </w:rPr>
              <w:t xml:space="preserve">SPRAWNE I NOWOCZESNE PAŃSTWO </w:t>
            </w:r>
          </w:p>
          <w:p w14:paraId="45376A96" w14:textId="77777777" w:rsidR="00EB2D3B" w:rsidRPr="00F21196" w:rsidRDefault="00186001" w:rsidP="00B12BF9">
            <w:pPr>
              <w:spacing w:after="0"/>
              <w:jc w:val="center"/>
              <w:rPr>
                <w:rFonts w:cs="Arial"/>
                <w:b/>
                <w:sz w:val="18"/>
                <w:szCs w:val="18"/>
                <w14:shadow w14:blurRad="50800" w14:dist="38100" w14:dir="2700000" w14:sx="100000" w14:sy="100000" w14:kx="0" w14:ky="0" w14:algn="tl">
                  <w14:srgbClr w14:val="000000">
                    <w14:alpha w14:val="60000"/>
                  </w14:srgbClr>
                </w14:shadow>
              </w:rPr>
            </w:pPr>
            <w:r w:rsidRPr="00F21196">
              <w:rPr>
                <w:rFonts w:cs="Calibri"/>
                <w:b/>
                <w:sz w:val="24"/>
                <w:szCs w:val="18"/>
              </w:rPr>
              <w:t>SŁUŻĄCE OBYWATELOM</w:t>
            </w:r>
            <w:r w:rsidR="0049624B">
              <w:rPr>
                <w:rFonts w:cs="Calibri"/>
                <w:b/>
                <w:sz w:val="24"/>
                <w:szCs w:val="18"/>
              </w:rPr>
              <w:t>, ŚRODOWISKU</w:t>
            </w:r>
            <w:r w:rsidRPr="00F21196">
              <w:rPr>
                <w:rFonts w:cs="Calibri"/>
                <w:b/>
                <w:sz w:val="24"/>
                <w:szCs w:val="18"/>
              </w:rPr>
              <w:t xml:space="preserve"> ORAZ GOSPODARC</w:t>
            </w:r>
            <w:r w:rsidR="00B12BF9">
              <w:rPr>
                <w:rFonts w:cs="Calibri"/>
                <w:b/>
                <w:sz w:val="24"/>
                <w:szCs w:val="18"/>
              </w:rPr>
              <w:t>E</w:t>
            </w:r>
          </w:p>
        </w:tc>
      </w:tr>
      <w:tr w:rsidR="00EB2D3B" w:rsidRPr="00F21196" w14:paraId="4FD6AFFF" w14:textId="77777777" w:rsidTr="00864658">
        <w:trPr>
          <w:trHeight w:val="1833"/>
        </w:trPr>
        <w:tc>
          <w:tcPr>
            <w:tcW w:w="2694" w:type="dxa"/>
            <w:shd w:val="clear" w:color="auto" w:fill="9999FF"/>
          </w:tcPr>
          <w:p w14:paraId="0B95FECA" w14:textId="77777777" w:rsidR="00EB2D3B" w:rsidRPr="00F21196" w:rsidRDefault="00EB2D3B" w:rsidP="00DA16FF">
            <w:pPr>
              <w:spacing w:after="0" w:line="240" w:lineRule="auto"/>
              <w:rPr>
                <w:rFonts w:cs="Arial"/>
                <w:b/>
                <w:sz w:val="18"/>
                <w:szCs w:val="18"/>
              </w:rPr>
            </w:pPr>
            <w:r w:rsidRPr="00F21196">
              <w:rPr>
                <w:rFonts w:cs="Arial"/>
                <w:b/>
                <w:sz w:val="18"/>
                <w:szCs w:val="18"/>
              </w:rPr>
              <w:t>I. CEL SZCZEGÓŁOWY:</w:t>
            </w:r>
          </w:p>
          <w:p w14:paraId="145C441B" w14:textId="77777777" w:rsidR="00611810" w:rsidRPr="00F21196" w:rsidRDefault="00611810" w:rsidP="00DA16FF">
            <w:pPr>
              <w:spacing w:after="0" w:line="240" w:lineRule="auto"/>
              <w:rPr>
                <w:rFonts w:cs="Arial"/>
                <w:b/>
                <w:sz w:val="18"/>
                <w:szCs w:val="18"/>
              </w:rPr>
            </w:pPr>
          </w:p>
          <w:p w14:paraId="32AD868B" w14:textId="77777777" w:rsidR="00EB2D3B" w:rsidRPr="00F21196" w:rsidRDefault="00EB2D3B" w:rsidP="00DA16FF">
            <w:pPr>
              <w:spacing w:after="0" w:line="240" w:lineRule="auto"/>
              <w:rPr>
                <w:rFonts w:cs="Arial"/>
                <w:b/>
                <w:sz w:val="18"/>
                <w:szCs w:val="18"/>
              </w:rPr>
            </w:pPr>
            <w:r w:rsidRPr="00F21196">
              <w:rPr>
                <w:rFonts w:cs="Arial"/>
                <w:b/>
                <w:sz w:val="18"/>
                <w:szCs w:val="18"/>
              </w:rPr>
              <w:t>Lepsze prawo</w:t>
            </w:r>
          </w:p>
        </w:tc>
        <w:tc>
          <w:tcPr>
            <w:tcW w:w="3501" w:type="dxa"/>
            <w:shd w:val="clear" w:color="auto" w:fill="A8D08D" w:themeFill="accent6" w:themeFillTint="99"/>
          </w:tcPr>
          <w:p w14:paraId="460F47F4" w14:textId="77777777" w:rsidR="00EB2D3B" w:rsidRPr="00F21196" w:rsidRDefault="00EB2D3B" w:rsidP="00DA16FF">
            <w:pPr>
              <w:spacing w:after="0" w:line="240" w:lineRule="auto"/>
              <w:rPr>
                <w:rFonts w:cs="Arial"/>
                <w:b/>
                <w:sz w:val="18"/>
                <w:szCs w:val="18"/>
              </w:rPr>
            </w:pPr>
            <w:r w:rsidRPr="00F21196">
              <w:rPr>
                <w:rFonts w:cs="Arial"/>
                <w:b/>
                <w:sz w:val="18"/>
                <w:szCs w:val="18"/>
              </w:rPr>
              <w:t>II. CEL SZCZEGÓŁOWY</w:t>
            </w:r>
          </w:p>
          <w:p w14:paraId="53484417" w14:textId="77777777" w:rsidR="00EB2D3B" w:rsidRPr="00F21196" w:rsidRDefault="00EB2D3B" w:rsidP="00DA16FF">
            <w:pPr>
              <w:spacing w:after="0" w:line="240" w:lineRule="auto"/>
              <w:rPr>
                <w:rFonts w:cs="Arial"/>
                <w:b/>
                <w:sz w:val="18"/>
                <w:szCs w:val="18"/>
              </w:rPr>
            </w:pPr>
          </w:p>
          <w:p w14:paraId="16690824" w14:textId="77777777" w:rsidR="00EB2D3B" w:rsidRPr="00F21196" w:rsidRDefault="002C12E1" w:rsidP="00DA16FF">
            <w:pPr>
              <w:spacing w:after="0" w:line="240" w:lineRule="auto"/>
              <w:rPr>
                <w:rFonts w:cs="Arial"/>
                <w:b/>
                <w:sz w:val="18"/>
                <w:szCs w:val="18"/>
              </w:rPr>
            </w:pPr>
            <w:r w:rsidRPr="00F21196">
              <w:rPr>
                <w:rFonts w:cs="Arial"/>
                <w:b/>
                <w:sz w:val="18"/>
                <w:szCs w:val="18"/>
              </w:rPr>
              <w:t>Sprawne instytucje państwa</w:t>
            </w:r>
          </w:p>
        </w:tc>
        <w:tc>
          <w:tcPr>
            <w:tcW w:w="2736" w:type="dxa"/>
            <w:shd w:val="clear" w:color="auto" w:fill="FFD966" w:themeFill="accent4" w:themeFillTint="99"/>
          </w:tcPr>
          <w:p w14:paraId="566A0220" w14:textId="77777777" w:rsidR="00EB2D3B" w:rsidRPr="00F21196" w:rsidRDefault="00EB2D3B" w:rsidP="00DA16FF">
            <w:pPr>
              <w:spacing w:after="0" w:line="240" w:lineRule="auto"/>
              <w:rPr>
                <w:rFonts w:cs="Arial"/>
                <w:b/>
                <w:sz w:val="18"/>
                <w:szCs w:val="18"/>
              </w:rPr>
            </w:pPr>
            <w:r w:rsidRPr="00F21196">
              <w:rPr>
                <w:rFonts w:cs="Arial"/>
                <w:b/>
                <w:sz w:val="18"/>
                <w:szCs w:val="18"/>
              </w:rPr>
              <w:t>III. CEL SZCZEGÓŁOWY:</w:t>
            </w:r>
          </w:p>
          <w:p w14:paraId="3BE0768B" w14:textId="77777777" w:rsidR="00EB2D3B" w:rsidRPr="00F21196" w:rsidRDefault="00EB2D3B" w:rsidP="00DA16FF">
            <w:pPr>
              <w:spacing w:after="0" w:line="240" w:lineRule="auto"/>
              <w:rPr>
                <w:rFonts w:cs="Arial"/>
                <w:b/>
                <w:sz w:val="18"/>
                <w:szCs w:val="18"/>
              </w:rPr>
            </w:pPr>
          </w:p>
          <w:p w14:paraId="2D308212" w14:textId="1DF5DECB" w:rsidR="00EB2D3B" w:rsidRPr="00F21196" w:rsidRDefault="00A07A38" w:rsidP="002C7119">
            <w:pPr>
              <w:spacing w:after="0" w:line="240" w:lineRule="auto"/>
              <w:rPr>
                <w:rFonts w:cs="Arial"/>
                <w:b/>
                <w:sz w:val="18"/>
                <w:szCs w:val="18"/>
              </w:rPr>
            </w:pPr>
            <w:r w:rsidRPr="00F21196">
              <w:rPr>
                <w:rFonts w:eastAsia="Times New Roman" w:cstheme="minorHAnsi"/>
                <w:b/>
                <w:iCs/>
                <w:color w:val="000000" w:themeColor="text1"/>
                <w:sz w:val="18"/>
              </w:rPr>
              <w:t xml:space="preserve">Podniesienie sprawności realizacji zadań państwa poprzez wykorzystanie technologii cyfrowych </w:t>
            </w:r>
            <w:r w:rsidRPr="002124E3">
              <w:rPr>
                <w:rFonts w:eastAsia="Times New Roman" w:cstheme="minorHAnsi"/>
                <w:b/>
                <w:iCs/>
                <w:color w:val="000000" w:themeColor="text1"/>
                <w:sz w:val="18"/>
              </w:rPr>
              <w:t xml:space="preserve">i zmianę sposobu działania stosownie do </w:t>
            </w:r>
            <w:r w:rsidR="00A35051" w:rsidRPr="002124E3">
              <w:rPr>
                <w:rFonts w:eastAsia="Times New Roman" w:cstheme="minorHAnsi"/>
                <w:b/>
                <w:iCs/>
                <w:color w:val="000000" w:themeColor="text1"/>
                <w:sz w:val="18"/>
              </w:rPr>
              <w:t>możliwości, jakie</w:t>
            </w:r>
            <w:r w:rsidRPr="002124E3">
              <w:rPr>
                <w:rFonts w:eastAsia="Times New Roman" w:cstheme="minorHAnsi"/>
                <w:b/>
                <w:iCs/>
                <w:color w:val="000000" w:themeColor="text1"/>
                <w:sz w:val="18"/>
              </w:rPr>
              <w:t xml:space="preserve"> stwarza technologia</w:t>
            </w:r>
          </w:p>
        </w:tc>
        <w:tc>
          <w:tcPr>
            <w:tcW w:w="4253" w:type="dxa"/>
            <w:shd w:val="clear" w:color="auto" w:fill="F7CAAC" w:themeFill="accent2" w:themeFillTint="66"/>
          </w:tcPr>
          <w:p w14:paraId="38FAC2A2" w14:textId="77777777" w:rsidR="00EB2D3B" w:rsidRPr="00F21196" w:rsidRDefault="00EB2D3B" w:rsidP="00DA16FF">
            <w:pPr>
              <w:spacing w:after="0" w:line="240" w:lineRule="auto"/>
              <w:rPr>
                <w:rFonts w:cs="Arial"/>
                <w:b/>
                <w:sz w:val="18"/>
                <w:szCs w:val="18"/>
              </w:rPr>
            </w:pPr>
            <w:r w:rsidRPr="00F21196">
              <w:rPr>
                <w:rFonts w:cs="Arial"/>
                <w:b/>
                <w:sz w:val="18"/>
                <w:szCs w:val="18"/>
              </w:rPr>
              <w:t>IV. CEL SZCZEGÓŁOWY:</w:t>
            </w:r>
          </w:p>
          <w:p w14:paraId="07098F61" w14:textId="77777777" w:rsidR="00EB2D3B" w:rsidRPr="00F21196" w:rsidRDefault="00EB2D3B" w:rsidP="00DA16FF">
            <w:pPr>
              <w:spacing w:after="0" w:line="240" w:lineRule="auto"/>
              <w:rPr>
                <w:rFonts w:cs="Arial"/>
                <w:b/>
                <w:sz w:val="18"/>
                <w:szCs w:val="18"/>
              </w:rPr>
            </w:pPr>
          </w:p>
          <w:p w14:paraId="14CE3D81" w14:textId="77777777" w:rsidR="00EB2D3B" w:rsidRPr="00F21196" w:rsidRDefault="00EB2D3B" w:rsidP="00DA16FF">
            <w:pPr>
              <w:spacing w:after="0" w:line="240" w:lineRule="auto"/>
              <w:rPr>
                <w:rFonts w:cs="Arial"/>
                <w:b/>
                <w:sz w:val="18"/>
                <w:szCs w:val="18"/>
              </w:rPr>
            </w:pPr>
            <w:r w:rsidRPr="00F21196">
              <w:rPr>
                <w:rFonts w:cs="Arial"/>
                <w:b/>
                <w:sz w:val="18"/>
                <w:szCs w:val="18"/>
              </w:rPr>
              <w:t>Efektywne planowanie i wykorzystanie środków finansowych</w:t>
            </w:r>
          </w:p>
        </w:tc>
        <w:tc>
          <w:tcPr>
            <w:tcW w:w="2551" w:type="dxa"/>
            <w:shd w:val="clear" w:color="auto" w:fill="BDD6EE" w:themeFill="accent1" w:themeFillTint="66"/>
          </w:tcPr>
          <w:p w14:paraId="471A395B" w14:textId="77777777" w:rsidR="00EB2D3B" w:rsidRPr="00F21196" w:rsidRDefault="00EB2D3B" w:rsidP="00DA16FF">
            <w:pPr>
              <w:spacing w:after="0" w:line="240" w:lineRule="auto"/>
              <w:rPr>
                <w:rFonts w:cs="Arial"/>
                <w:b/>
                <w:sz w:val="18"/>
                <w:szCs w:val="18"/>
              </w:rPr>
            </w:pPr>
            <w:r w:rsidRPr="00F21196">
              <w:rPr>
                <w:rFonts w:cs="Arial"/>
                <w:b/>
                <w:sz w:val="18"/>
                <w:szCs w:val="18"/>
              </w:rPr>
              <w:t>V. CEL SZCZEGÓŁOWY:</w:t>
            </w:r>
          </w:p>
          <w:p w14:paraId="54173A70" w14:textId="77777777" w:rsidR="00EB2D3B" w:rsidRPr="00F21196" w:rsidRDefault="00EB2D3B" w:rsidP="00DA16FF">
            <w:pPr>
              <w:spacing w:after="0" w:line="240" w:lineRule="auto"/>
              <w:rPr>
                <w:rFonts w:cs="Arial"/>
                <w:b/>
                <w:sz w:val="18"/>
                <w:szCs w:val="18"/>
              </w:rPr>
            </w:pPr>
          </w:p>
          <w:p w14:paraId="1A29C77C" w14:textId="77777777" w:rsidR="00EB2D3B" w:rsidRPr="00F21196" w:rsidRDefault="00EB2D3B" w:rsidP="00DA16FF">
            <w:pPr>
              <w:spacing w:after="0" w:line="240" w:lineRule="auto"/>
              <w:rPr>
                <w:rFonts w:cs="Arial"/>
                <w:b/>
                <w:sz w:val="18"/>
                <w:szCs w:val="18"/>
              </w:rPr>
            </w:pPr>
            <w:r w:rsidRPr="00F21196">
              <w:rPr>
                <w:rFonts w:cs="Arial"/>
                <w:b/>
                <w:sz w:val="18"/>
                <w:szCs w:val="18"/>
              </w:rPr>
              <w:t>Zapewnienie obywatelom bezpieczeństwa wewnętrznego i zewnętrznego</w:t>
            </w:r>
          </w:p>
        </w:tc>
      </w:tr>
      <w:tr w:rsidR="00E90F90" w:rsidRPr="00F21196" w14:paraId="5E3D3A80" w14:textId="77777777" w:rsidTr="00864658">
        <w:trPr>
          <w:trHeight w:val="920"/>
        </w:trPr>
        <w:tc>
          <w:tcPr>
            <w:tcW w:w="2694" w:type="dxa"/>
            <w:vMerge w:val="restart"/>
            <w:shd w:val="clear" w:color="auto" w:fill="CCCCFF"/>
          </w:tcPr>
          <w:p w14:paraId="7A2A9C34" w14:textId="77777777" w:rsidR="00E90F90" w:rsidRPr="00F21196" w:rsidRDefault="00E90F90" w:rsidP="00141BD5">
            <w:pPr>
              <w:autoSpaceDE w:val="0"/>
              <w:autoSpaceDN w:val="0"/>
              <w:adjustRightInd w:val="0"/>
              <w:spacing w:after="0" w:line="240" w:lineRule="auto"/>
              <w:rPr>
                <w:rFonts w:cs="Calibri"/>
                <w:b/>
                <w:color w:val="2F5496" w:themeColor="accent5" w:themeShade="BF"/>
                <w:sz w:val="18"/>
                <w:szCs w:val="20"/>
              </w:rPr>
            </w:pPr>
            <w:r w:rsidRPr="00F21196">
              <w:rPr>
                <w:rFonts w:cs="Calibri"/>
                <w:b/>
                <w:color w:val="2F5496" w:themeColor="accent5" w:themeShade="BF"/>
                <w:sz w:val="18"/>
                <w:szCs w:val="20"/>
              </w:rPr>
              <w:t>Kierunki interwencji</w:t>
            </w:r>
          </w:p>
          <w:p w14:paraId="4D57DA58" w14:textId="77777777" w:rsidR="00E90F90" w:rsidRPr="00F21196" w:rsidRDefault="00E90F90" w:rsidP="00141BD5">
            <w:pPr>
              <w:spacing w:after="0" w:line="240" w:lineRule="auto"/>
              <w:rPr>
                <w:rFonts w:cs="Arial"/>
                <w:b/>
                <w:sz w:val="18"/>
                <w:szCs w:val="20"/>
              </w:rPr>
            </w:pPr>
            <w:r w:rsidRPr="00F21196">
              <w:rPr>
                <w:rFonts w:cs="Helv"/>
                <w:b/>
                <w:color w:val="000000"/>
                <w:sz w:val="18"/>
                <w:szCs w:val="20"/>
                <w:lang w:eastAsia="en-GB"/>
              </w:rPr>
              <w:t>1.</w:t>
            </w:r>
            <w:r w:rsidRPr="00F21196">
              <w:rPr>
                <w:rFonts w:cs="Helv"/>
                <w:color w:val="000000"/>
                <w:sz w:val="18"/>
                <w:szCs w:val="20"/>
                <w:lang w:eastAsia="en-GB"/>
              </w:rPr>
              <w:t xml:space="preserve"> Identyfikacja, analiza i redukcja obciążeń regulacyjnych oraz upowszechnienie zasad oceny wpływu regulacji i zasad identyfikacji obciążeń regulacyjnych.</w:t>
            </w:r>
          </w:p>
        </w:tc>
        <w:tc>
          <w:tcPr>
            <w:tcW w:w="3501" w:type="dxa"/>
            <w:shd w:val="clear" w:color="auto" w:fill="E2EFD9" w:themeFill="accent6" w:themeFillTint="33"/>
          </w:tcPr>
          <w:p w14:paraId="3E603930" w14:textId="77777777" w:rsidR="00E90F90" w:rsidRPr="00F21196" w:rsidRDefault="00E90F90" w:rsidP="00141BD5">
            <w:pPr>
              <w:autoSpaceDE w:val="0"/>
              <w:autoSpaceDN w:val="0"/>
              <w:adjustRightInd w:val="0"/>
              <w:spacing w:after="0" w:line="240" w:lineRule="auto"/>
              <w:rPr>
                <w:rFonts w:cs="Calibri"/>
                <w:b/>
                <w:color w:val="2F5496" w:themeColor="accent5" w:themeShade="BF"/>
                <w:sz w:val="18"/>
                <w:szCs w:val="18"/>
              </w:rPr>
            </w:pPr>
            <w:r w:rsidRPr="00F21196">
              <w:rPr>
                <w:rFonts w:cs="Calibri"/>
                <w:b/>
                <w:color w:val="2F5496" w:themeColor="accent5" w:themeShade="BF"/>
                <w:sz w:val="18"/>
                <w:szCs w:val="18"/>
              </w:rPr>
              <w:t>Kierunki interwencji</w:t>
            </w:r>
          </w:p>
          <w:p w14:paraId="725BDB3A" w14:textId="77777777" w:rsidR="00E90F90" w:rsidRPr="00F21196" w:rsidRDefault="00E90F90" w:rsidP="00141BD5">
            <w:pPr>
              <w:spacing w:after="0" w:line="240" w:lineRule="auto"/>
              <w:ind w:left="31" w:hanging="31"/>
              <w:rPr>
                <w:rFonts w:cs="Calibri,Bold"/>
                <w:bCs/>
                <w:sz w:val="18"/>
                <w:szCs w:val="18"/>
              </w:rPr>
            </w:pPr>
            <w:r w:rsidRPr="00F21196">
              <w:rPr>
                <w:rFonts w:cs="Calibri,Bold"/>
                <w:b/>
                <w:bCs/>
                <w:sz w:val="18"/>
                <w:szCs w:val="18"/>
              </w:rPr>
              <w:t>1.</w:t>
            </w:r>
            <w:r w:rsidRPr="00F21196">
              <w:rPr>
                <w:rFonts w:cs="Calibri,Bold"/>
                <w:bCs/>
                <w:sz w:val="18"/>
                <w:szCs w:val="18"/>
              </w:rPr>
              <w:t xml:space="preserve"> Doskonalenie funkcjonowania jednostek samorządu terytorialnego.</w:t>
            </w:r>
          </w:p>
          <w:p w14:paraId="48F6278C" w14:textId="77777777" w:rsidR="00E90F90" w:rsidRPr="00F21196" w:rsidRDefault="00E90F90" w:rsidP="00141BD5">
            <w:pPr>
              <w:spacing w:after="0" w:line="240" w:lineRule="auto"/>
              <w:ind w:left="49" w:hanging="16"/>
              <w:rPr>
                <w:rFonts w:cs="Arial"/>
                <w:sz w:val="18"/>
                <w:szCs w:val="18"/>
              </w:rPr>
            </w:pPr>
          </w:p>
        </w:tc>
        <w:tc>
          <w:tcPr>
            <w:tcW w:w="2736" w:type="dxa"/>
            <w:vMerge w:val="restart"/>
            <w:shd w:val="clear" w:color="auto" w:fill="FFF2CC" w:themeFill="accent4" w:themeFillTint="33"/>
          </w:tcPr>
          <w:p w14:paraId="2657F9DB" w14:textId="77777777" w:rsidR="00E90F90" w:rsidRPr="00F21196" w:rsidRDefault="00E90F90" w:rsidP="00141BD5">
            <w:pPr>
              <w:autoSpaceDE w:val="0"/>
              <w:autoSpaceDN w:val="0"/>
              <w:adjustRightInd w:val="0"/>
              <w:spacing w:after="0" w:line="240" w:lineRule="auto"/>
              <w:rPr>
                <w:rFonts w:cs="Calibri"/>
                <w:b/>
                <w:color w:val="2F5496" w:themeColor="accent5" w:themeShade="BF"/>
                <w:sz w:val="18"/>
                <w:szCs w:val="18"/>
              </w:rPr>
            </w:pPr>
            <w:r w:rsidRPr="00F21196">
              <w:rPr>
                <w:rFonts w:cs="Calibri"/>
                <w:b/>
                <w:color w:val="2F5496" w:themeColor="accent5" w:themeShade="BF"/>
                <w:sz w:val="18"/>
                <w:szCs w:val="18"/>
              </w:rPr>
              <w:t>Kierunki interwencji</w:t>
            </w:r>
          </w:p>
          <w:p w14:paraId="14CC33F3" w14:textId="63E3886E" w:rsidR="00E90F90" w:rsidRPr="00F21196" w:rsidRDefault="00E90F90" w:rsidP="003A65F6">
            <w:pPr>
              <w:autoSpaceDE w:val="0"/>
              <w:autoSpaceDN w:val="0"/>
              <w:adjustRightInd w:val="0"/>
              <w:spacing w:after="0" w:line="240" w:lineRule="auto"/>
              <w:rPr>
                <w:rFonts w:cs="Calibri"/>
                <w:sz w:val="18"/>
                <w:szCs w:val="18"/>
              </w:rPr>
            </w:pPr>
            <w:r>
              <w:rPr>
                <w:rFonts w:cs="Arial"/>
                <w:b/>
                <w:iCs/>
                <w:sz w:val="18"/>
                <w:szCs w:val="18"/>
              </w:rPr>
              <w:t>1</w:t>
            </w:r>
            <w:r w:rsidRPr="00F21196">
              <w:rPr>
                <w:rFonts w:cs="Arial"/>
                <w:b/>
                <w:iCs/>
                <w:sz w:val="18"/>
                <w:szCs w:val="18"/>
              </w:rPr>
              <w:t>.</w:t>
            </w:r>
            <w:r w:rsidRPr="00F21196">
              <w:rPr>
                <w:rFonts w:cs="Arial"/>
                <w:iCs/>
                <w:sz w:val="18"/>
                <w:szCs w:val="18"/>
              </w:rPr>
              <w:t xml:space="preserve"> </w:t>
            </w:r>
            <w:r w:rsidR="00A07A38" w:rsidRPr="00F21196">
              <w:rPr>
                <w:rFonts w:cs="Arial"/>
                <w:iCs/>
                <w:sz w:val="18"/>
                <w:szCs w:val="18"/>
              </w:rPr>
              <w:t>Tworzenie warunków dla efektywnej</w:t>
            </w:r>
            <w:r w:rsidR="00A07A38">
              <w:rPr>
                <w:rFonts w:cs="Arial"/>
                <w:iCs/>
                <w:sz w:val="18"/>
                <w:szCs w:val="18"/>
              </w:rPr>
              <w:t>,</w:t>
            </w:r>
            <w:r w:rsidR="00A07A38">
              <w:t xml:space="preserve"> </w:t>
            </w:r>
            <w:r w:rsidR="00A07A38" w:rsidRPr="00E30E66">
              <w:rPr>
                <w:rFonts w:cs="Arial"/>
                <w:iCs/>
                <w:sz w:val="18"/>
                <w:szCs w:val="18"/>
              </w:rPr>
              <w:t xml:space="preserve">dostępnej </w:t>
            </w:r>
            <w:r w:rsidR="00B8422A" w:rsidRPr="00E30E66">
              <w:rPr>
                <w:rFonts w:cs="Arial"/>
                <w:iCs/>
                <w:sz w:val="18"/>
                <w:szCs w:val="18"/>
              </w:rPr>
              <w:t>cyfrowo</w:t>
            </w:r>
            <w:r w:rsidR="00B8422A">
              <w:rPr>
                <w:rFonts w:cs="Arial"/>
                <w:iCs/>
                <w:sz w:val="18"/>
                <w:szCs w:val="18"/>
              </w:rPr>
              <w:t xml:space="preserve"> </w:t>
            </w:r>
            <w:r w:rsidR="00B8422A" w:rsidRPr="00F21196">
              <w:rPr>
                <w:rFonts w:cs="Arial"/>
                <w:iCs/>
                <w:sz w:val="18"/>
                <w:szCs w:val="18"/>
              </w:rPr>
              <w:t>i</w:t>
            </w:r>
            <w:r w:rsidR="00A07A38" w:rsidRPr="00F21196">
              <w:rPr>
                <w:rFonts w:cs="Arial"/>
                <w:iCs/>
                <w:sz w:val="18"/>
                <w:szCs w:val="18"/>
              </w:rPr>
              <w:t xml:space="preserve"> bezpiecznej e-administracji.</w:t>
            </w:r>
          </w:p>
        </w:tc>
        <w:tc>
          <w:tcPr>
            <w:tcW w:w="4253" w:type="dxa"/>
            <w:shd w:val="clear" w:color="auto" w:fill="FBE4D5" w:themeFill="accent2" w:themeFillTint="33"/>
          </w:tcPr>
          <w:p w14:paraId="78F1A247" w14:textId="77777777" w:rsidR="00E90F90" w:rsidRPr="00F21196" w:rsidRDefault="00E90F90" w:rsidP="00141BD5">
            <w:pPr>
              <w:autoSpaceDE w:val="0"/>
              <w:autoSpaceDN w:val="0"/>
              <w:adjustRightInd w:val="0"/>
              <w:spacing w:after="0" w:line="240" w:lineRule="auto"/>
              <w:rPr>
                <w:rFonts w:cs="Calibri"/>
                <w:b/>
                <w:color w:val="2F5496" w:themeColor="accent5" w:themeShade="BF"/>
                <w:sz w:val="18"/>
                <w:szCs w:val="20"/>
              </w:rPr>
            </w:pPr>
            <w:r w:rsidRPr="00F21196">
              <w:rPr>
                <w:rFonts w:cs="Calibri"/>
                <w:b/>
                <w:color w:val="2F5496" w:themeColor="accent5" w:themeShade="BF"/>
                <w:sz w:val="18"/>
                <w:szCs w:val="20"/>
              </w:rPr>
              <w:t>Kierunki interwencji</w:t>
            </w:r>
          </w:p>
          <w:p w14:paraId="2C1CBF18" w14:textId="77777777" w:rsidR="00E90F90" w:rsidRPr="00F21196" w:rsidRDefault="00E90F90" w:rsidP="00141BD5">
            <w:pPr>
              <w:spacing w:line="240" w:lineRule="auto"/>
              <w:rPr>
                <w:rFonts w:cs="Arial"/>
                <w:sz w:val="18"/>
                <w:szCs w:val="20"/>
              </w:rPr>
            </w:pPr>
            <w:r w:rsidRPr="00F21196">
              <w:rPr>
                <w:rFonts w:cs="Calibri"/>
                <w:b/>
                <w:sz w:val="18"/>
                <w:szCs w:val="20"/>
              </w:rPr>
              <w:t xml:space="preserve">1. </w:t>
            </w:r>
            <w:r w:rsidRPr="00F21196">
              <w:rPr>
                <w:sz w:val="18"/>
                <w:szCs w:val="20"/>
              </w:rPr>
              <w:t>Zmiany regulacyjno-instytucjonalne zmierzające do zapewnienia dochodów budżetowych niezbędn</w:t>
            </w:r>
            <w:r>
              <w:rPr>
                <w:sz w:val="18"/>
                <w:szCs w:val="20"/>
              </w:rPr>
              <w:t>ych dla sfinansowania wydatków p</w:t>
            </w:r>
            <w:r w:rsidRPr="00F21196">
              <w:rPr>
                <w:sz w:val="18"/>
                <w:szCs w:val="20"/>
              </w:rPr>
              <w:t>aństwa.</w:t>
            </w:r>
          </w:p>
        </w:tc>
        <w:tc>
          <w:tcPr>
            <w:tcW w:w="2551" w:type="dxa"/>
            <w:shd w:val="clear" w:color="auto" w:fill="DEEAF6" w:themeFill="accent1" w:themeFillTint="33"/>
          </w:tcPr>
          <w:p w14:paraId="65DBC48C" w14:textId="77777777" w:rsidR="00E90F90" w:rsidRPr="00F21196" w:rsidRDefault="00E90F90" w:rsidP="00141BD5">
            <w:pPr>
              <w:autoSpaceDE w:val="0"/>
              <w:autoSpaceDN w:val="0"/>
              <w:adjustRightInd w:val="0"/>
              <w:spacing w:after="0" w:line="240" w:lineRule="auto"/>
              <w:rPr>
                <w:rFonts w:cs="Calibri"/>
                <w:b/>
                <w:color w:val="2F5496" w:themeColor="accent5" w:themeShade="BF"/>
                <w:sz w:val="18"/>
                <w:szCs w:val="20"/>
              </w:rPr>
            </w:pPr>
            <w:r w:rsidRPr="00F21196">
              <w:rPr>
                <w:rFonts w:cs="Calibri"/>
                <w:b/>
                <w:color w:val="2F5496" w:themeColor="accent5" w:themeShade="BF"/>
                <w:sz w:val="18"/>
                <w:szCs w:val="20"/>
              </w:rPr>
              <w:t>Kierunki interwencji</w:t>
            </w:r>
          </w:p>
          <w:p w14:paraId="745AE7F8" w14:textId="77777777" w:rsidR="00E90F90" w:rsidRPr="00F21196" w:rsidRDefault="00E90F90" w:rsidP="00141BD5">
            <w:pPr>
              <w:spacing w:after="0" w:line="240" w:lineRule="auto"/>
              <w:rPr>
                <w:rFonts w:cs="Arial"/>
                <w:sz w:val="18"/>
                <w:szCs w:val="20"/>
              </w:rPr>
            </w:pPr>
            <w:r w:rsidRPr="00F21196">
              <w:rPr>
                <w:rFonts w:cs="Calibri,Bold"/>
                <w:b/>
                <w:bCs/>
                <w:sz w:val="18"/>
                <w:szCs w:val="20"/>
              </w:rPr>
              <w:t>1.</w:t>
            </w:r>
            <w:r w:rsidRPr="00F21196">
              <w:rPr>
                <w:rFonts w:cs="Calibri,Bold"/>
                <w:bCs/>
                <w:sz w:val="18"/>
                <w:szCs w:val="20"/>
              </w:rPr>
              <w:t xml:space="preserve"> Zwiększenie potencjału Sił Zbrojnych RP.</w:t>
            </w:r>
          </w:p>
          <w:p w14:paraId="5E82015D" w14:textId="77777777" w:rsidR="00E90F90" w:rsidRPr="00F21196" w:rsidRDefault="00E90F90" w:rsidP="00141BD5">
            <w:pPr>
              <w:spacing w:after="0" w:line="240" w:lineRule="auto"/>
              <w:ind w:left="214" w:hanging="141"/>
              <w:rPr>
                <w:rFonts w:cs="Calibri"/>
                <w:i/>
                <w:sz w:val="18"/>
                <w:szCs w:val="20"/>
              </w:rPr>
            </w:pPr>
          </w:p>
          <w:p w14:paraId="3C7B38C2" w14:textId="77777777" w:rsidR="00E90F90" w:rsidRPr="00F21196" w:rsidRDefault="00E90F90" w:rsidP="00141BD5">
            <w:pPr>
              <w:spacing w:after="0" w:line="240" w:lineRule="auto"/>
              <w:rPr>
                <w:rFonts w:cs="Arial"/>
                <w:sz w:val="18"/>
                <w:szCs w:val="20"/>
              </w:rPr>
            </w:pPr>
          </w:p>
        </w:tc>
      </w:tr>
      <w:tr w:rsidR="00E90F90" w:rsidRPr="00F21196" w14:paraId="1F54CCA5" w14:textId="77777777" w:rsidTr="00864658">
        <w:trPr>
          <w:trHeight w:val="781"/>
        </w:trPr>
        <w:tc>
          <w:tcPr>
            <w:tcW w:w="2694" w:type="dxa"/>
            <w:vMerge/>
            <w:shd w:val="clear" w:color="auto" w:fill="CCCCFF"/>
          </w:tcPr>
          <w:p w14:paraId="6DFA1A09" w14:textId="77777777" w:rsidR="00E90F90" w:rsidRPr="00F21196" w:rsidRDefault="00E90F90" w:rsidP="00141BD5">
            <w:pPr>
              <w:autoSpaceDE w:val="0"/>
              <w:autoSpaceDN w:val="0"/>
              <w:adjustRightInd w:val="0"/>
              <w:spacing w:after="0" w:line="240" w:lineRule="auto"/>
              <w:rPr>
                <w:rFonts w:cs="Calibri"/>
                <w:b/>
                <w:color w:val="2F5496" w:themeColor="accent5" w:themeShade="BF"/>
                <w:sz w:val="18"/>
                <w:szCs w:val="20"/>
              </w:rPr>
            </w:pPr>
          </w:p>
        </w:tc>
        <w:tc>
          <w:tcPr>
            <w:tcW w:w="3501" w:type="dxa"/>
            <w:tcBorders>
              <w:bottom w:val="double" w:sz="4" w:space="0" w:color="1F4E79" w:themeColor="accent1" w:themeShade="80"/>
            </w:tcBorders>
            <w:shd w:val="clear" w:color="auto" w:fill="E2EFD9" w:themeFill="accent6" w:themeFillTint="33"/>
          </w:tcPr>
          <w:p w14:paraId="2EC5CDCC" w14:textId="44F2A450" w:rsidR="00E90F90" w:rsidRPr="00F21196" w:rsidRDefault="00E90F90" w:rsidP="00473590">
            <w:pPr>
              <w:autoSpaceDE w:val="0"/>
              <w:autoSpaceDN w:val="0"/>
              <w:adjustRightInd w:val="0"/>
              <w:spacing w:after="0" w:line="240" w:lineRule="auto"/>
              <w:rPr>
                <w:rFonts w:cs="Calibri"/>
                <w:b/>
                <w:color w:val="2F5496" w:themeColor="accent5" w:themeShade="BF"/>
                <w:sz w:val="18"/>
                <w:szCs w:val="18"/>
              </w:rPr>
            </w:pPr>
            <w:r w:rsidRPr="00F21196">
              <w:rPr>
                <w:rFonts w:cs="Calibri,Bold"/>
                <w:b/>
                <w:bCs/>
                <w:sz w:val="18"/>
                <w:szCs w:val="18"/>
              </w:rPr>
              <w:t>2.</w:t>
            </w:r>
            <w:r w:rsidRPr="00F21196">
              <w:rPr>
                <w:rFonts w:cs="Calibri,Bold"/>
                <w:bCs/>
                <w:sz w:val="18"/>
                <w:szCs w:val="18"/>
              </w:rPr>
              <w:t xml:space="preserve"> </w:t>
            </w:r>
            <w:r w:rsidR="00473590">
              <w:rPr>
                <w:rFonts w:cs="Calibri,Bold"/>
                <w:bCs/>
                <w:sz w:val="18"/>
                <w:szCs w:val="18"/>
              </w:rPr>
              <w:t>Podniesienie</w:t>
            </w:r>
            <w:r w:rsidRPr="00F21196">
              <w:rPr>
                <w:rFonts w:cs="Calibri,Bold"/>
                <w:bCs/>
                <w:sz w:val="18"/>
                <w:szCs w:val="18"/>
              </w:rPr>
              <w:t xml:space="preserve"> sprawności funkcjonowania administracji rządowej.</w:t>
            </w:r>
          </w:p>
        </w:tc>
        <w:tc>
          <w:tcPr>
            <w:tcW w:w="2736" w:type="dxa"/>
            <w:vMerge/>
            <w:tcBorders>
              <w:bottom w:val="double" w:sz="4" w:space="0" w:color="1F4E79" w:themeColor="accent1" w:themeShade="80"/>
            </w:tcBorders>
            <w:shd w:val="clear" w:color="auto" w:fill="FFF2CC" w:themeFill="accent4" w:themeFillTint="33"/>
          </w:tcPr>
          <w:p w14:paraId="7574CEC4" w14:textId="77777777" w:rsidR="00E90F90" w:rsidRPr="00F21196" w:rsidRDefault="00E90F90" w:rsidP="001F5D56">
            <w:pPr>
              <w:autoSpaceDE w:val="0"/>
              <w:autoSpaceDN w:val="0"/>
              <w:adjustRightInd w:val="0"/>
              <w:spacing w:after="0" w:line="240" w:lineRule="auto"/>
              <w:rPr>
                <w:rFonts w:cs="Calibri"/>
                <w:b/>
                <w:color w:val="2F5496" w:themeColor="accent5" w:themeShade="BF"/>
                <w:sz w:val="18"/>
                <w:szCs w:val="18"/>
              </w:rPr>
            </w:pPr>
          </w:p>
        </w:tc>
        <w:tc>
          <w:tcPr>
            <w:tcW w:w="4253" w:type="dxa"/>
            <w:tcBorders>
              <w:bottom w:val="double" w:sz="4" w:space="0" w:color="1F4E79" w:themeColor="accent1" w:themeShade="80"/>
            </w:tcBorders>
            <w:shd w:val="clear" w:color="auto" w:fill="FBE4D5" w:themeFill="accent2" w:themeFillTint="33"/>
          </w:tcPr>
          <w:p w14:paraId="1D2D363B" w14:textId="0F85FDE6" w:rsidR="00E90F90" w:rsidRPr="00F21196" w:rsidRDefault="00E90F90" w:rsidP="00141BD5">
            <w:pPr>
              <w:autoSpaceDE w:val="0"/>
              <w:autoSpaceDN w:val="0"/>
              <w:adjustRightInd w:val="0"/>
              <w:spacing w:after="0" w:line="240" w:lineRule="auto"/>
              <w:rPr>
                <w:rFonts w:cs="Calibri"/>
                <w:b/>
                <w:color w:val="2F5496" w:themeColor="accent5" w:themeShade="BF"/>
                <w:sz w:val="18"/>
                <w:szCs w:val="20"/>
              </w:rPr>
            </w:pPr>
            <w:r w:rsidRPr="00F21196">
              <w:rPr>
                <w:rFonts w:cs="TimesNewRomanPSMT"/>
                <w:b/>
                <w:color w:val="000000"/>
                <w:sz w:val="18"/>
                <w:szCs w:val="20"/>
              </w:rPr>
              <w:t>2.</w:t>
            </w:r>
            <w:r w:rsidRPr="00F21196">
              <w:rPr>
                <w:rFonts w:cs="TimesNewRomanPSMT"/>
                <w:color w:val="000000"/>
                <w:sz w:val="18"/>
                <w:szCs w:val="20"/>
              </w:rPr>
              <w:t xml:space="preserve"> </w:t>
            </w:r>
            <w:r w:rsidRPr="00F21196">
              <w:rPr>
                <w:sz w:val="18"/>
                <w:szCs w:val="20"/>
              </w:rPr>
              <w:t xml:space="preserve">Nowy system budżetowy </w:t>
            </w:r>
            <w:r w:rsidR="00B8422A" w:rsidRPr="00F21196">
              <w:rPr>
                <w:sz w:val="18"/>
                <w:szCs w:val="20"/>
              </w:rPr>
              <w:t>wspierające osiąganie</w:t>
            </w:r>
            <w:r w:rsidRPr="00F21196">
              <w:rPr>
                <w:sz w:val="18"/>
                <w:szCs w:val="20"/>
              </w:rPr>
              <w:t xml:space="preserve"> celów strategicznych i priorytetów rozwojowych w perspektywie wieloletniej.</w:t>
            </w:r>
          </w:p>
        </w:tc>
        <w:tc>
          <w:tcPr>
            <w:tcW w:w="2551" w:type="dxa"/>
            <w:tcBorders>
              <w:bottom w:val="double" w:sz="4" w:space="0" w:color="1F4E79" w:themeColor="accent1" w:themeShade="80"/>
            </w:tcBorders>
            <w:shd w:val="clear" w:color="auto" w:fill="DEEAF6" w:themeFill="accent1" w:themeFillTint="33"/>
          </w:tcPr>
          <w:p w14:paraId="3C659012" w14:textId="2E4B8B1E" w:rsidR="00E90F90" w:rsidRPr="00F21196" w:rsidRDefault="00E90F90" w:rsidP="00864658">
            <w:pPr>
              <w:spacing w:after="0" w:line="240" w:lineRule="auto"/>
              <w:rPr>
                <w:rFonts w:cs="Calibri"/>
                <w:b/>
                <w:color w:val="2F5496" w:themeColor="accent5" w:themeShade="BF"/>
                <w:sz w:val="18"/>
                <w:szCs w:val="20"/>
              </w:rPr>
            </w:pPr>
            <w:r w:rsidRPr="00F21196">
              <w:rPr>
                <w:rFonts w:cs="Calibri,Bold"/>
                <w:b/>
                <w:bCs/>
                <w:sz w:val="18"/>
                <w:szCs w:val="20"/>
              </w:rPr>
              <w:t>2.</w:t>
            </w:r>
            <w:r w:rsidRPr="00F21196">
              <w:rPr>
                <w:rFonts w:cs="Calibri,Bold"/>
                <w:bCs/>
                <w:sz w:val="18"/>
                <w:szCs w:val="20"/>
              </w:rPr>
              <w:t xml:space="preserve"> </w:t>
            </w:r>
            <w:r w:rsidRPr="00F21196">
              <w:rPr>
                <w:rFonts w:cs="Calibri"/>
                <w:sz w:val="18"/>
                <w:szCs w:val="20"/>
              </w:rPr>
              <w:t>Przeciwdziałanie i zwalczanie przestępczości oraz zagrożeń dla bezpieczeństwa i porządku publicznego.</w:t>
            </w:r>
            <w:r w:rsidRPr="00F21196">
              <w:rPr>
                <w:rFonts w:cs="Calibri"/>
                <w:b/>
                <w:i/>
                <w:sz w:val="18"/>
                <w:szCs w:val="20"/>
              </w:rPr>
              <w:t xml:space="preserve"> </w:t>
            </w:r>
          </w:p>
        </w:tc>
      </w:tr>
      <w:tr w:rsidR="00E90F90" w:rsidRPr="00F21196" w14:paraId="4924F6EB" w14:textId="77777777" w:rsidTr="00864658">
        <w:trPr>
          <w:trHeight w:val="848"/>
        </w:trPr>
        <w:tc>
          <w:tcPr>
            <w:tcW w:w="2694" w:type="dxa"/>
            <w:vMerge/>
            <w:tcBorders>
              <w:bottom w:val="double" w:sz="4" w:space="0" w:color="1F4E79" w:themeColor="accent1" w:themeShade="80"/>
            </w:tcBorders>
            <w:shd w:val="clear" w:color="auto" w:fill="CCCCFF"/>
          </w:tcPr>
          <w:p w14:paraId="133BA212" w14:textId="7E708108" w:rsidR="00E90F90" w:rsidRPr="00F21196" w:rsidRDefault="00E90F90" w:rsidP="00E90F90">
            <w:pPr>
              <w:spacing w:after="0" w:line="240" w:lineRule="auto"/>
              <w:ind w:left="31"/>
              <w:rPr>
                <w:rFonts w:cs="Arial"/>
                <w:b/>
                <w:sz w:val="18"/>
                <w:szCs w:val="20"/>
              </w:rPr>
            </w:pPr>
          </w:p>
        </w:tc>
        <w:tc>
          <w:tcPr>
            <w:tcW w:w="3501" w:type="dxa"/>
            <w:tcBorders>
              <w:bottom w:val="double" w:sz="4" w:space="0" w:color="1F4E79" w:themeColor="accent1" w:themeShade="80"/>
            </w:tcBorders>
            <w:shd w:val="clear" w:color="auto" w:fill="E2EFD9" w:themeFill="accent6" w:themeFillTint="33"/>
          </w:tcPr>
          <w:p w14:paraId="71C554FE" w14:textId="77777777" w:rsidR="00E90F90" w:rsidRPr="00F21196" w:rsidRDefault="00E90F90" w:rsidP="00E90F90">
            <w:pPr>
              <w:spacing w:after="0" w:line="240" w:lineRule="auto"/>
              <w:rPr>
                <w:sz w:val="18"/>
                <w:szCs w:val="16"/>
              </w:rPr>
            </w:pPr>
            <w:r w:rsidRPr="00F21196">
              <w:rPr>
                <w:rFonts w:cs="Calibri,Bold"/>
                <w:b/>
                <w:bCs/>
                <w:sz w:val="18"/>
                <w:szCs w:val="16"/>
              </w:rPr>
              <w:t>3.</w:t>
            </w:r>
            <w:r w:rsidRPr="00F21196">
              <w:rPr>
                <w:rFonts w:cs="Calibri,Bold"/>
                <w:bCs/>
                <w:sz w:val="18"/>
                <w:szCs w:val="16"/>
              </w:rPr>
              <w:t xml:space="preserve"> </w:t>
            </w:r>
            <w:r w:rsidRPr="00F21196">
              <w:rPr>
                <w:rFonts w:cs="Calibri,Bold"/>
                <w:bCs/>
                <w:sz w:val="18"/>
                <w:szCs w:val="18"/>
              </w:rPr>
              <w:t>Zwiększenie zdolności administracji rządowej i służby publicznej do kreowania i zarządzania polityką państwa</w:t>
            </w:r>
            <w:r w:rsidRPr="00F21196">
              <w:rPr>
                <w:sz w:val="18"/>
                <w:szCs w:val="18"/>
              </w:rPr>
              <w:t>.</w:t>
            </w:r>
          </w:p>
          <w:p w14:paraId="3A5A86EA" w14:textId="77777777" w:rsidR="00E90F90" w:rsidRPr="00F21196" w:rsidRDefault="00E90F90" w:rsidP="00E90F90">
            <w:pPr>
              <w:spacing w:after="0" w:line="240" w:lineRule="auto"/>
              <w:rPr>
                <w:rFonts w:cs="Arial"/>
                <w:sz w:val="18"/>
                <w:szCs w:val="18"/>
              </w:rPr>
            </w:pPr>
          </w:p>
        </w:tc>
        <w:tc>
          <w:tcPr>
            <w:tcW w:w="2736" w:type="dxa"/>
            <w:vMerge w:val="restart"/>
            <w:tcBorders>
              <w:bottom w:val="double" w:sz="4" w:space="0" w:color="1F4E79" w:themeColor="accent1" w:themeShade="80"/>
            </w:tcBorders>
            <w:shd w:val="clear" w:color="auto" w:fill="FFF2CC" w:themeFill="accent4" w:themeFillTint="33"/>
          </w:tcPr>
          <w:p w14:paraId="3DF6958D" w14:textId="77777777" w:rsidR="00E90F90" w:rsidRPr="00F21196" w:rsidRDefault="00E90F90" w:rsidP="00E90F90">
            <w:pPr>
              <w:spacing w:after="0" w:line="240" w:lineRule="auto"/>
              <w:rPr>
                <w:rFonts w:cs="TimesNewRomanPSMT"/>
                <w:sz w:val="18"/>
                <w:szCs w:val="18"/>
              </w:rPr>
            </w:pPr>
            <w:r>
              <w:rPr>
                <w:rFonts w:cs="Calibri,Bold"/>
                <w:b/>
                <w:bCs/>
                <w:sz w:val="18"/>
                <w:szCs w:val="20"/>
              </w:rPr>
              <w:t>2</w:t>
            </w:r>
            <w:r w:rsidRPr="00F21196">
              <w:rPr>
                <w:rFonts w:cs="Calibri,Bold"/>
                <w:b/>
                <w:bCs/>
                <w:sz w:val="18"/>
                <w:szCs w:val="20"/>
              </w:rPr>
              <w:t>.</w:t>
            </w:r>
            <w:r w:rsidRPr="00F21196">
              <w:rPr>
                <w:rFonts w:cs="Calibri,Bold"/>
                <w:bCs/>
                <w:sz w:val="18"/>
                <w:szCs w:val="20"/>
              </w:rPr>
              <w:t xml:space="preserve"> </w:t>
            </w:r>
            <w:r w:rsidRPr="00F21196">
              <w:rPr>
                <w:rFonts w:eastAsia="Times New Roman" w:cstheme="minorHAnsi"/>
                <w:sz w:val="18"/>
                <w:szCs w:val="20"/>
              </w:rPr>
              <w:t>Zapewnienie dostępu do Internetu szerokopasmowego</w:t>
            </w:r>
          </w:p>
        </w:tc>
        <w:tc>
          <w:tcPr>
            <w:tcW w:w="4253" w:type="dxa"/>
            <w:tcBorders>
              <w:bottom w:val="double" w:sz="4" w:space="0" w:color="1F4E79" w:themeColor="accent1" w:themeShade="80"/>
            </w:tcBorders>
            <w:shd w:val="clear" w:color="auto" w:fill="FBE4D5" w:themeFill="accent2" w:themeFillTint="33"/>
          </w:tcPr>
          <w:p w14:paraId="37D41432" w14:textId="31AD0591" w:rsidR="00E90F90" w:rsidRPr="00F21196" w:rsidRDefault="00E90F90" w:rsidP="00E90F90">
            <w:pPr>
              <w:autoSpaceDE w:val="0"/>
              <w:autoSpaceDN w:val="0"/>
              <w:adjustRightInd w:val="0"/>
              <w:spacing w:after="0" w:line="240" w:lineRule="auto"/>
              <w:rPr>
                <w:rFonts w:cs="Arial"/>
                <w:sz w:val="18"/>
                <w:szCs w:val="20"/>
              </w:rPr>
            </w:pPr>
            <w:r w:rsidRPr="00F21196">
              <w:rPr>
                <w:rFonts w:eastAsia="Times New Roman" w:cs="Calibri"/>
                <w:b/>
                <w:sz w:val="18"/>
                <w:szCs w:val="20"/>
                <w:lang w:eastAsia="pl-PL"/>
              </w:rPr>
              <w:t>3.</w:t>
            </w:r>
            <w:r w:rsidRPr="00F21196">
              <w:rPr>
                <w:rFonts w:eastAsia="Times New Roman" w:cs="Calibri"/>
                <w:sz w:val="18"/>
                <w:szCs w:val="20"/>
                <w:lang w:eastAsia="pl-PL"/>
              </w:rPr>
              <w:t xml:space="preserve"> </w:t>
            </w:r>
            <w:r w:rsidR="000D6404" w:rsidRPr="00A44F31">
              <w:rPr>
                <w:rFonts w:eastAsia="Times New Roman" w:cs="Calibri"/>
                <w:sz w:val="18"/>
                <w:szCs w:val="20"/>
                <w:lang w:eastAsia="pl-PL"/>
              </w:rPr>
              <w:t xml:space="preserve">Zmiany regulacyjne w </w:t>
            </w:r>
            <w:r w:rsidR="00B8422A" w:rsidRPr="00A44F31">
              <w:rPr>
                <w:rFonts w:eastAsia="Times New Roman" w:cs="Calibri"/>
                <w:sz w:val="18"/>
                <w:szCs w:val="20"/>
                <w:lang w:eastAsia="pl-PL"/>
              </w:rPr>
              <w:t>przepisach o</w:t>
            </w:r>
            <w:r w:rsidR="000D6404" w:rsidRPr="00A44F31">
              <w:rPr>
                <w:rFonts w:eastAsia="Times New Roman" w:cs="Calibri"/>
                <w:sz w:val="18"/>
                <w:szCs w:val="20"/>
                <w:lang w:eastAsia="pl-PL"/>
              </w:rPr>
              <w:t xml:space="preserve"> rachunkowości pod kątem</w:t>
            </w:r>
            <w:r w:rsidR="000D6404">
              <w:rPr>
                <w:rFonts w:eastAsia="Times New Roman" w:cs="Calibri"/>
                <w:sz w:val="18"/>
                <w:szCs w:val="20"/>
                <w:lang w:eastAsia="pl-PL"/>
              </w:rPr>
              <w:t xml:space="preserve"> ich</w:t>
            </w:r>
            <w:r w:rsidR="000D6404" w:rsidRPr="00A44F31">
              <w:rPr>
                <w:rFonts w:eastAsia="Times New Roman" w:cs="Calibri"/>
                <w:sz w:val="18"/>
                <w:szCs w:val="20"/>
                <w:lang w:eastAsia="pl-PL"/>
              </w:rPr>
              <w:t xml:space="preserve"> adekwatności do sytuacji prawnej i gospodarczej jednostek.</w:t>
            </w:r>
          </w:p>
        </w:tc>
        <w:tc>
          <w:tcPr>
            <w:tcW w:w="2551" w:type="dxa"/>
            <w:tcBorders>
              <w:bottom w:val="double" w:sz="4" w:space="0" w:color="1F4E79" w:themeColor="accent1" w:themeShade="80"/>
            </w:tcBorders>
            <w:shd w:val="clear" w:color="auto" w:fill="DEEAF6" w:themeFill="accent1" w:themeFillTint="33"/>
          </w:tcPr>
          <w:p w14:paraId="5E179110" w14:textId="77777777" w:rsidR="00E90F90" w:rsidRPr="00F21196" w:rsidRDefault="00E90F90" w:rsidP="00E90F90">
            <w:pPr>
              <w:spacing w:after="0" w:line="240" w:lineRule="auto"/>
              <w:ind w:left="34" w:hanging="34"/>
              <w:rPr>
                <w:rFonts w:cs="Arial"/>
                <w:sz w:val="18"/>
                <w:szCs w:val="20"/>
              </w:rPr>
            </w:pPr>
            <w:r w:rsidRPr="00F21196">
              <w:rPr>
                <w:rFonts w:cs="Calibri,Bold"/>
                <w:b/>
                <w:bCs/>
                <w:sz w:val="18"/>
                <w:szCs w:val="20"/>
              </w:rPr>
              <w:t>3.</w:t>
            </w:r>
            <w:r w:rsidRPr="00F21196">
              <w:rPr>
                <w:rFonts w:cs="Calibri,Bold"/>
                <w:bCs/>
                <w:sz w:val="18"/>
                <w:szCs w:val="20"/>
              </w:rPr>
              <w:t xml:space="preserve"> </w:t>
            </w:r>
            <w:r w:rsidRPr="00F21196">
              <w:rPr>
                <w:rFonts w:cs="Calibri"/>
                <w:sz w:val="18"/>
                <w:szCs w:val="20"/>
              </w:rPr>
              <w:t>Ratownictwo, ochrona ludności i zarządzanie kryzysowe.</w:t>
            </w:r>
          </w:p>
        </w:tc>
      </w:tr>
      <w:tr w:rsidR="00E90F90" w:rsidRPr="00F21196" w14:paraId="7CE2AA91" w14:textId="77777777" w:rsidTr="00864658">
        <w:trPr>
          <w:trHeight w:val="701"/>
        </w:trPr>
        <w:tc>
          <w:tcPr>
            <w:tcW w:w="2694" w:type="dxa"/>
            <w:vMerge w:val="restart"/>
            <w:shd w:val="clear" w:color="auto" w:fill="CCCCFF"/>
          </w:tcPr>
          <w:p w14:paraId="2A2162A0" w14:textId="3D131C8C" w:rsidR="00E90F90" w:rsidRPr="00F21196" w:rsidRDefault="00E90F90" w:rsidP="00E90F90">
            <w:pPr>
              <w:spacing w:after="0" w:line="240" w:lineRule="auto"/>
              <w:rPr>
                <w:rFonts w:cs="Arial"/>
                <w:b/>
                <w:sz w:val="18"/>
                <w:szCs w:val="20"/>
              </w:rPr>
            </w:pPr>
            <w:r w:rsidRPr="00F21196">
              <w:rPr>
                <w:b/>
                <w:sz w:val="18"/>
                <w:szCs w:val="20"/>
              </w:rPr>
              <w:t>2.</w:t>
            </w:r>
            <w:r w:rsidRPr="00F21196">
              <w:rPr>
                <w:sz w:val="18"/>
                <w:szCs w:val="20"/>
              </w:rPr>
              <w:t xml:space="preserve"> Eliminacja niespójności i niejednoznaczności przepisów prawnych i istniejących luk prawnych.</w:t>
            </w:r>
          </w:p>
        </w:tc>
        <w:tc>
          <w:tcPr>
            <w:tcW w:w="3501" w:type="dxa"/>
            <w:shd w:val="clear" w:color="auto" w:fill="E2EFD9" w:themeFill="accent6" w:themeFillTint="33"/>
          </w:tcPr>
          <w:p w14:paraId="5DD15204" w14:textId="60CDA287" w:rsidR="00E90F90" w:rsidRPr="00F21196" w:rsidRDefault="00E90F90" w:rsidP="00646504">
            <w:pPr>
              <w:spacing w:after="0" w:line="240" w:lineRule="auto"/>
              <w:rPr>
                <w:rFonts w:cs="Arial"/>
                <w:b/>
                <w:i/>
                <w:sz w:val="18"/>
                <w:szCs w:val="18"/>
              </w:rPr>
            </w:pPr>
            <w:r w:rsidRPr="00F21196">
              <w:rPr>
                <w:rFonts w:cs="Arial"/>
                <w:b/>
                <w:sz w:val="18"/>
                <w:szCs w:val="18"/>
              </w:rPr>
              <w:t xml:space="preserve">4. </w:t>
            </w:r>
            <w:r w:rsidR="00646504" w:rsidRPr="00DE63A8">
              <w:rPr>
                <w:sz w:val="18"/>
              </w:rPr>
              <w:t>Trwałe włączenie dostępności do wszystkich polityk publicznych.</w:t>
            </w:r>
          </w:p>
        </w:tc>
        <w:tc>
          <w:tcPr>
            <w:tcW w:w="2736" w:type="dxa"/>
            <w:vMerge/>
            <w:shd w:val="clear" w:color="auto" w:fill="FFF2CC" w:themeFill="accent4" w:themeFillTint="33"/>
          </w:tcPr>
          <w:p w14:paraId="42443EA4" w14:textId="77777777" w:rsidR="00E90F90" w:rsidRPr="00F21196" w:rsidRDefault="00E90F90" w:rsidP="00E90F90">
            <w:pPr>
              <w:autoSpaceDE w:val="0"/>
              <w:autoSpaceDN w:val="0"/>
              <w:adjustRightInd w:val="0"/>
              <w:spacing w:after="0" w:line="240" w:lineRule="auto"/>
              <w:rPr>
                <w:rFonts w:cs="TimesNewRomanPSMT"/>
                <w:sz w:val="18"/>
                <w:szCs w:val="20"/>
              </w:rPr>
            </w:pPr>
          </w:p>
        </w:tc>
        <w:tc>
          <w:tcPr>
            <w:tcW w:w="4253" w:type="dxa"/>
            <w:shd w:val="clear" w:color="auto" w:fill="FBE4D5" w:themeFill="accent2" w:themeFillTint="33"/>
          </w:tcPr>
          <w:p w14:paraId="4F23F597" w14:textId="6ED1AB15" w:rsidR="00E90F90" w:rsidRPr="00E90F90" w:rsidRDefault="00E90F90" w:rsidP="00E90F90">
            <w:pPr>
              <w:autoSpaceDE w:val="0"/>
              <w:autoSpaceDN w:val="0"/>
              <w:adjustRightInd w:val="0"/>
              <w:spacing w:after="0" w:line="240" w:lineRule="auto"/>
              <w:rPr>
                <w:rFonts w:cs="Arial"/>
                <w:sz w:val="18"/>
                <w:szCs w:val="18"/>
              </w:rPr>
            </w:pPr>
            <w:r w:rsidRPr="001C42A9">
              <w:rPr>
                <w:rFonts w:eastAsia="Times New Roman" w:cs="Calibri"/>
                <w:b/>
                <w:sz w:val="18"/>
                <w:szCs w:val="18"/>
                <w:lang w:eastAsia="pl-PL"/>
              </w:rPr>
              <w:t>4.</w:t>
            </w:r>
            <w:r>
              <w:rPr>
                <w:rFonts w:eastAsia="Times New Roman" w:cs="Calibri"/>
                <w:sz w:val="18"/>
                <w:szCs w:val="18"/>
                <w:lang w:eastAsia="pl-PL"/>
              </w:rPr>
              <w:t xml:space="preserve"> </w:t>
            </w:r>
            <w:r w:rsidRPr="00E90F90">
              <w:rPr>
                <w:rFonts w:eastAsia="Times New Roman" w:cs="Calibri"/>
                <w:sz w:val="18"/>
                <w:szCs w:val="18"/>
                <w:lang w:eastAsia="pl-PL"/>
              </w:rPr>
              <w:t>Modernizacja systemu sprawozdawczości finansowej - uproszczenia w zakresie</w:t>
            </w:r>
            <w:r w:rsidRPr="00E90F90">
              <w:rPr>
                <w:rFonts w:eastAsia="Times New Roman" w:cs="Calibri"/>
                <w:sz w:val="18"/>
                <w:szCs w:val="18"/>
              </w:rPr>
              <w:t xml:space="preserve"> rachunkowości</w:t>
            </w:r>
          </w:p>
        </w:tc>
        <w:tc>
          <w:tcPr>
            <w:tcW w:w="2551" w:type="dxa"/>
            <w:shd w:val="clear" w:color="auto" w:fill="DEEAF6" w:themeFill="accent1" w:themeFillTint="33"/>
          </w:tcPr>
          <w:p w14:paraId="31917DCB" w14:textId="77777777" w:rsidR="00E90F90" w:rsidRPr="00F21196" w:rsidRDefault="00E90F90" w:rsidP="00E90F90">
            <w:pPr>
              <w:spacing w:after="0" w:line="240" w:lineRule="auto"/>
              <w:ind w:left="34"/>
              <w:rPr>
                <w:rFonts w:cs="Calibri"/>
                <w:sz w:val="18"/>
                <w:szCs w:val="20"/>
              </w:rPr>
            </w:pPr>
            <w:r w:rsidRPr="00F21196">
              <w:rPr>
                <w:rFonts w:cs="Calibri,Bold"/>
                <w:b/>
                <w:bCs/>
                <w:sz w:val="18"/>
                <w:szCs w:val="20"/>
              </w:rPr>
              <w:t>4.</w:t>
            </w:r>
            <w:r w:rsidRPr="00F21196">
              <w:rPr>
                <w:rFonts w:cs="Calibri,Bold"/>
                <w:bCs/>
                <w:sz w:val="18"/>
                <w:szCs w:val="20"/>
              </w:rPr>
              <w:t xml:space="preserve"> </w:t>
            </w:r>
            <w:r w:rsidRPr="00F21196">
              <w:rPr>
                <w:rFonts w:cs="Calibri"/>
                <w:sz w:val="18"/>
                <w:szCs w:val="20"/>
              </w:rPr>
              <w:t>Zapewnienie bezpieczeństwa migracyjnego.</w:t>
            </w:r>
          </w:p>
          <w:p w14:paraId="3593A9B7" w14:textId="77777777" w:rsidR="00E90F90" w:rsidRPr="00F21196" w:rsidRDefault="00E90F90" w:rsidP="00E90F90">
            <w:pPr>
              <w:spacing w:after="0" w:line="240" w:lineRule="auto"/>
              <w:ind w:left="34"/>
              <w:rPr>
                <w:rFonts w:cs="Arial"/>
                <w:sz w:val="18"/>
                <w:szCs w:val="20"/>
              </w:rPr>
            </w:pPr>
          </w:p>
        </w:tc>
      </w:tr>
      <w:tr w:rsidR="00E90F90" w:rsidRPr="00F21196" w14:paraId="13F2E1B6" w14:textId="77777777" w:rsidTr="00864658">
        <w:trPr>
          <w:trHeight w:val="700"/>
        </w:trPr>
        <w:tc>
          <w:tcPr>
            <w:tcW w:w="2694" w:type="dxa"/>
            <w:vMerge/>
            <w:shd w:val="clear" w:color="auto" w:fill="CCCCFF"/>
          </w:tcPr>
          <w:p w14:paraId="1EB67BC2" w14:textId="77777777" w:rsidR="00E90F90" w:rsidRPr="00F21196" w:rsidRDefault="00E90F90" w:rsidP="00E90F90">
            <w:pPr>
              <w:spacing w:after="0" w:line="240" w:lineRule="auto"/>
              <w:rPr>
                <w:rFonts w:cs="Arial"/>
                <w:sz w:val="18"/>
                <w:szCs w:val="20"/>
              </w:rPr>
            </w:pPr>
          </w:p>
        </w:tc>
        <w:tc>
          <w:tcPr>
            <w:tcW w:w="3501" w:type="dxa"/>
            <w:shd w:val="clear" w:color="auto" w:fill="E2EFD9" w:themeFill="accent6" w:themeFillTint="33"/>
          </w:tcPr>
          <w:p w14:paraId="59B67759" w14:textId="60E0647F" w:rsidR="00E90F90" w:rsidRPr="00F21196" w:rsidRDefault="00E90F90" w:rsidP="00646504">
            <w:pPr>
              <w:spacing w:after="0" w:line="240" w:lineRule="auto"/>
              <w:rPr>
                <w:rFonts w:cs="Arial"/>
                <w:b/>
                <w:sz w:val="18"/>
                <w:szCs w:val="18"/>
              </w:rPr>
            </w:pPr>
            <w:r w:rsidRPr="00F21196">
              <w:rPr>
                <w:rFonts w:cs="Calibri,Bold"/>
                <w:b/>
                <w:bCs/>
                <w:sz w:val="18"/>
                <w:szCs w:val="18"/>
              </w:rPr>
              <w:t>5.</w:t>
            </w:r>
            <w:r w:rsidRPr="00F21196">
              <w:rPr>
                <w:rFonts w:cs="Calibri,Bold"/>
                <w:bCs/>
                <w:sz w:val="18"/>
                <w:szCs w:val="18"/>
              </w:rPr>
              <w:t xml:space="preserve"> </w:t>
            </w:r>
            <w:r w:rsidR="00646504" w:rsidRPr="00F21196">
              <w:rPr>
                <w:rFonts w:cs="Arial"/>
                <w:sz w:val="18"/>
                <w:szCs w:val="18"/>
              </w:rPr>
              <w:t>Poprawa funkcjonowania wymiaru sprawiedliwości</w:t>
            </w:r>
            <w:r w:rsidR="00646504">
              <w:rPr>
                <w:rFonts w:cs="Arial"/>
                <w:sz w:val="18"/>
                <w:szCs w:val="18"/>
              </w:rPr>
              <w:t xml:space="preserve">, w tym </w:t>
            </w:r>
            <w:r w:rsidR="00646504" w:rsidRPr="00F21196">
              <w:rPr>
                <w:rFonts w:cs="Arial"/>
                <w:sz w:val="18"/>
                <w:szCs w:val="18"/>
              </w:rPr>
              <w:t>prokuratury.</w:t>
            </w:r>
          </w:p>
        </w:tc>
        <w:tc>
          <w:tcPr>
            <w:tcW w:w="2736" w:type="dxa"/>
            <w:vMerge w:val="restart"/>
            <w:shd w:val="clear" w:color="auto" w:fill="FFF2CC" w:themeFill="accent4" w:themeFillTint="33"/>
          </w:tcPr>
          <w:p w14:paraId="480D822D" w14:textId="77777777" w:rsidR="00E90F90" w:rsidRPr="00F21196" w:rsidRDefault="00E90F90" w:rsidP="00E90F90">
            <w:pPr>
              <w:autoSpaceDE w:val="0"/>
              <w:autoSpaceDN w:val="0"/>
              <w:adjustRightInd w:val="0"/>
              <w:spacing w:after="0" w:line="240" w:lineRule="auto"/>
              <w:rPr>
                <w:rFonts w:cs="TimesNewRomanPSMT"/>
                <w:sz w:val="18"/>
                <w:szCs w:val="20"/>
              </w:rPr>
            </w:pPr>
            <w:r>
              <w:rPr>
                <w:rFonts w:cs="Calibri,Bold"/>
                <w:b/>
                <w:bCs/>
                <w:sz w:val="18"/>
                <w:szCs w:val="20"/>
              </w:rPr>
              <w:t>3</w:t>
            </w:r>
            <w:r w:rsidRPr="00F21196">
              <w:rPr>
                <w:rFonts w:cs="Calibri,Bold"/>
                <w:b/>
                <w:bCs/>
                <w:sz w:val="18"/>
                <w:szCs w:val="20"/>
              </w:rPr>
              <w:t>.</w:t>
            </w:r>
            <w:r w:rsidRPr="00F21196">
              <w:rPr>
                <w:rFonts w:cs="Calibri,Bold"/>
                <w:bCs/>
                <w:sz w:val="18"/>
                <w:szCs w:val="20"/>
              </w:rPr>
              <w:t xml:space="preserve"> </w:t>
            </w:r>
            <w:r w:rsidRPr="00F21196">
              <w:rPr>
                <w:rFonts w:cstheme="minorHAnsi"/>
                <w:sz w:val="18"/>
                <w:szCs w:val="20"/>
              </w:rPr>
              <w:t>Otwarty rząd i wspieranie rozwoju społeczeństwa informacyjnego</w:t>
            </w:r>
            <w:r w:rsidRPr="00F21196">
              <w:rPr>
                <w:sz w:val="18"/>
                <w:szCs w:val="20"/>
              </w:rPr>
              <w:t>.</w:t>
            </w:r>
          </w:p>
        </w:tc>
        <w:tc>
          <w:tcPr>
            <w:tcW w:w="4253" w:type="dxa"/>
            <w:shd w:val="clear" w:color="auto" w:fill="FBE4D5" w:themeFill="accent2" w:themeFillTint="33"/>
          </w:tcPr>
          <w:p w14:paraId="4947C0F4" w14:textId="3791BAB2" w:rsidR="00E90F90" w:rsidRPr="00F21196" w:rsidRDefault="00E90F90" w:rsidP="00E90F90">
            <w:pPr>
              <w:spacing w:after="0" w:line="240" w:lineRule="auto"/>
              <w:rPr>
                <w:rFonts w:cs="Arial"/>
                <w:b/>
                <w:sz w:val="18"/>
                <w:szCs w:val="20"/>
              </w:rPr>
            </w:pPr>
            <w:r w:rsidRPr="001C42A9">
              <w:rPr>
                <w:rFonts w:cs="TimesNewRomanPSMT"/>
                <w:b/>
                <w:color w:val="000000"/>
                <w:sz w:val="18"/>
                <w:szCs w:val="20"/>
              </w:rPr>
              <w:t>5.</w:t>
            </w:r>
            <w:r w:rsidRPr="00F21196">
              <w:rPr>
                <w:rFonts w:cs="TimesNewRomanPSMT"/>
                <w:color w:val="000000"/>
                <w:sz w:val="18"/>
                <w:szCs w:val="20"/>
              </w:rPr>
              <w:t xml:space="preserve"> </w:t>
            </w:r>
            <w:r w:rsidRPr="00F21196">
              <w:rPr>
                <w:sz w:val="18"/>
                <w:szCs w:val="20"/>
              </w:rPr>
              <w:t xml:space="preserve">Reforma systemu finansowania jednostek samorządu terytorialnego w celu powiązania go z ich potrzebami </w:t>
            </w:r>
            <w:r>
              <w:rPr>
                <w:sz w:val="18"/>
                <w:szCs w:val="20"/>
              </w:rPr>
              <w:t>wydatkowymi</w:t>
            </w:r>
            <w:r w:rsidRPr="00F21196">
              <w:rPr>
                <w:sz w:val="18"/>
                <w:szCs w:val="20"/>
              </w:rPr>
              <w:t>.</w:t>
            </w:r>
          </w:p>
        </w:tc>
        <w:tc>
          <w:tcPr>
            <w:tcW w:w="2551" w:type="dxa"/>
            <w:shd w:val="clear" w:color="auto" w:fill="DEEAF6" w:themeFill="accent1" w:themeFillTint="33"/>
          </w:tcPr>
          <w:p w14:paraId="60C22ADA" w14:textId="77777777" w:rsidR="00E90F90" w:rsidRPr="00F21196" w:rsidRDefault="00E90F90" w:rsidP="00E90F90">
            <w:pPr>
              <w:spacing w:after="0" w:line="240" w:lineRule="auto"/>
              <w:ind w:left="34"/>
              <w:rPr>
                <w:rFonts w:cs="Calibri,Bold"/>
                <w:b/>
                <w:bCs/>
                <w:color w:val="365F92"/>
                <w:sz w:val="18"/>
                <w:szCs w:val="20"/>
              </w:rPr>
            </w:pPr>
            <w:r w:rsidRPr="00F21196">
              <w:rPr>
                <w:rFonts w:cs="Calibri,Bold"/>
                <w:b/>
                <w:bCs/>
                <w:sz w:val="18"/>
                <w:szCs w:val="20"/>
              </w:rPr>
              <w:t>5.</w:t>
            </w:r>
            <w:r w:rsidRPr="00F21196">
              <w:rPr>
                <w:rFonts w:cs="Calibri"/>
                <w:sz w:val="18"/>
                <w:szCs w:val="20"/>
              </w:rPr>
              <w:t xml:space="preserve"> </w:t>
            </w:r>
            <w:r w:rsidRPr="00B96807">
              <w:rPr>
                <w:rFonts w:cs="Calibri"/>
                <w:sz w:val="18"/>
                <w:szCs w:val="20"/>
              </w:rPr>
              <w:t xml:space="preserve">Zintegrowane zarządzanie granicą państwową RP, w tym </w:t>
            </w:r>
            <w:r>
              <w:rPr>
                <w:rFonts w:cs="Calibri"/>
                <w:sz w:val="18"/>
                <w:szCs w:val="20"/>
              </w:rPr>
              <w:t>z</w:t>
            </w:r>
            <w:r w:rsidRPr="00F21196">
              <w:rPr>
                <w:rFonts w:cs="Calibri"/>
                <w:sz w:val="18"/>
                <w:szCs w:val="20"/>
              </w:rPr>
              <w:t>apewnienie bezpieczeństwa granicy UE/Schengen.</w:t>
            </w:r>
          </w:p>
        </w:tc>
      </w:tr>
      <w:tr w:rsidR="00E90F90" w:rsidRPr="00F21196" w14:paraId="2DD92AA9" w14:textId="77777777" w:rsidTr="00864658">
        <w:trPr>
          <w:trHeight w:val="44"/>
        </w:trPr>
        <w:tc>
          <w:tcPr>
            <w:tcW w:w="2694" w:type="dxa"/>
            <w:vMerge/>
            <w:shd w:val="clear" w:color="auto" w:fill="CCCCFF"/>
          </w:tcPr>
          <w:p w14:paraId="67C9C7E6" w14:textId="77777777" w:rsidR="00E90F90" w:rsidRPr="00F21196" w:rsidRDefault="00E90F90" w:rsidP="00E90F90">
            <w:pPr>
              <w:spacing w:after="0" w:line="240" w:lineRule="auto"/>
              <w:ind w:left="31" w:firstLine="12"/>
              <w:rPr>
                <w:rFonts w:cs="Arial"/>
                <w:b/>
                <w:sz w:val="18"/>
                <w:szCs w:val="18"/>
              </w:rPr>
            </w:pPr>
          </w:p>
        </w:tc>
        <w:tc>
          <w:tcPr>
            <w:tcW w:w="3501" w:type="dxa"/>
            <w:shd w:val="clear" w:color="auto" w:fill="E2EFD9" w:themeFill="accent6" w:themeFillTint="33"/>
          </w:tcPr>
          <w:p w14:paraId="73F4AEF5" w14:textId="2324D14C" w:rsidR="00E90F90" w:rsidRPr="00F21196" w:rsidRDefault="00E90F90" w:rsidP="00864658">
            <w:pPr>
              <w:pStyle w:val="Tekstkomentarza"/>
              <w:rPr>
                <w:rFonts w:cs="Arial"/>
                <w:sz w:val="18"/>
                <w:szCs w:val="18"/>
              </w:rPr>
            </w:pPr>
            <w:r w:rsidRPr="001C42A9">
              <w:rPr>
                <w:b/>
                <w:sz w:val="18"/>
              </w:rPr>
              <w:t>6.</w:t>
            </w:r>
            <w:r w:rsidRPr="00DE63A8">
              <w:rPr>
                <w:sz w:val="18"/>
              </w:rPr>
              <w:t xml:space="preserve"> </w:t>
            </w:r>
            <w:r w:rsidR="00646504" w:rsidRPr="00F21196">
              <w:rPr>
                <w:sz w:val="18"/>
                <w:szCs w:val="18"/>
              </w:rPr>
              <w:t xml:space="preserve">Zintegrowanie planowania społecznego, gospodarczego i przestrzennego, w tym </w:t>
            </w:r>
            <w:r w:rsidR="00646504" w:rsidRPr="00F21196">
              <w:rPr>
                <w:rFonts w:cs="Arial"/>
                <w:iCs/>
                <w:sz w:val="18"/>
                <w:szCs w:val="18"/>
              </w:rPr>
              <w:t>zagospodarowani</w:t>
            </w:r>
            <w:r w:rsidR="00646504">
              <w:rPr>
                <w:rFonts w:cs="Arial"/>
                <w:iCs/>
                <w:sz w:val="18"/>
                <w:szCs w:val="18"/>
              </w:rPr>
              <w:t>a</w:t>
            </w:r>
            <w:r w:rsidR="00646504" w:rsidRPr="00F21196">
              <w:rPr>
                <w:rFonts w:cs="Arial"/>
                <w:iCs/>
                <w:sz w:val="18"/>
                <w:szCs w:val="18"/>
              </w:rPr>
              <w:t xml:space="preserve"> przestrzenne</w:t>
            </w:r>
            <w:r w:rsidR="00646504">
              <w:rPr>
                <w:rFonts w:cs="Arial"/>
                <w:iCs/>
                <w:sz w:val="18"/>
                <w:szCs w:val="18"/>
              </w:rPr>
              <w:t>go</w:t>
            </w:r>
            <w:r w:rsidR="00646504" w:rsidRPr="00F21196">
              <w:rPr>
                <w:rFonts w:cs="Arial"/>
                <w:iCs/>
                <w:sz w:val="18"/>
                <w:szCs w:val="18"/>
              </w:rPr>
              <w:t xml:space="preserve"> obszarów morskich.</w:t>
            </w:r>
          </w:p>
        </w:tc>
        <w:tc>
          <w:tcPr>
            <w:tcW w:w="2736" w:type="dxa"/>
            <w:vMerge/>
            <w:shd w:val="clear" w:color="auto" w:fill="FFF2CC" w:themeFill="accent4" w:themeFillTint="33"/>
          </w:tcPr>
          <w:p w14:paraId="0CE8EB69" w14:textId="77777777" w:rsidR="00E90F90" w:rsidRPr="00F21196" w:rsidRDefault="00E90F90" w:rsidP="00E90F90">
            <w:pPr>
              <w:autoSpaceDE w:val="0"/>
              <w:autoSpaceDN w:val="0"/>
              <w:adjustRightInd w:val="0"/>
              <w:spacing w:after="0" w:line="240" w:lineRule="auto"/>
              <w:rPr>
                <w:rFonts w:cs="Calibri,Bold"/>
                <w:b/>
                <w:bCs/>
                <w:sz w:val="18"/>
                <w:szCs w:val="20"/>
              </w:rPr>
            </w:pPr>
          </w:p>
        </w:tc>
        <w:tc>
          <w:tcPr>
            <w:tcW w:w="4253" w:type="dxa"/>
            <w:shd w:val="clear" w:color="auto" w:fill="FBE4D5" w:themeFill="accent2" w:themeFillTint="33"/>
          </w:tcPr>
          <w:p w14:paraId="5E9BDF1A" w14:textId="437C7578" w:rsidR="00E90F90" w:rsidRPr="003D6AA0" w:rsidRDefault="00E90F90" w:rsidP="00E90F90">
            <w:pPr>
              <w:spacing w:after="0" w:line="240" w:lineRule="auto"/>
              <w:rPr>
                <w:rFonts w:cs="Arial"/>
                <w:sz w:val="18"/>
                <w:szCs w:val="18"/>
              </w:rPr>
            </w:pPr>
            <w:r w:rsidRPr="001C42A9">
              <w:rPr>
                <w:rFonts w:cs="Arial"/>
                <w:b/>
                <w:sz w:val="18"/>
                <w:szCs w:val="18"/>
              </w:rPr>
              <w:t>6.</w:t>
            </w:r>
            <w:r w:rsidRPr="003D6AA0">
              <w:rPr>
                <w:rFonts w:cs="Arial"/>
                <w:sz w:val="18"/>
                <w:szCs w:val="18"/>
              </w:rPr>
              <w:t xml:space="preserve"> </w:t>
            </w:r>
            <w:r w:rsidRPr="003D6AA0">
              <w:rPr>
                <w:sz w:val="18"/>
                <w:szCs w:val="18"/>
              </w:rPr>
              <w:t xml:space="preserve">Zwiększenie efektywności wykorzystania środków UE </w:t>
            </w:r>
            <w:r w:rsidR="00E51FB1" w:rsidRPr="00E51FB1">
              <w:rPr>
                <w:sz w:val="18"/>
              </w:rPr>
              <w:t>oraz międzynarodowych instytucji finansowych</w:t>
            </w:r>
            <w:r w:rsidR="00E51FB1" w:rsidRPr="00E51FB1">
              <w:rPr>
                <w:b/>
                <w:i/>
                <w:sz w:val="18"/>
              </w:rPr>
              <w:t xml:space="preserve"> </w:t>
            </w:r>
            <w:r w:rsidRPr="003D6AA0">
              <w:rPr>
                <w:sz w:val="18"/>
                <w:szCs w:val="18"/>
              </w:rPr>
              <w:t>dostępnych w ramach różnych źródeł krajowych i zewnętrznych na rzecz innowacyjności, konkurencyjności i zrównoważonego rozwoju</w:t>
            </w:r>
            <w:r>
              <w:rPr>
                <w:sz w:val="18"/>
                <w:szCs w:val="18"/>
              </w:rPr>
              <w:t>.</w:t>
            </w:r>
          </w:p>
        </w:tc>
        <w:tc>
          <w:tcPr>
            <w:tcW w:w="2551" w:type="dxa"/>
            <w:shd w:val="clear" w:color="auto" w:fill="DEEAF6" w:themeFill="accent1" w:themeFillTint="33"/>
          </w:tcPr>
          <w:p w14:paraId="1CCADEFC" w14:textId="7B210BD3" w:rsidR="00E90F90" w:rsidRPr="00F21196" w:rsidRDefault="00E90F90" w:rsidP="00C758BD">
            <w:pPr>
              <w:spacing w:after="0" w:line="240" w:lineRule="auto"/>
              <w:ind w:left="34"/>
              <w:rPr>
                <w:rFonts w:cs="Arial"/>
                <w:sz w:val="18"/>
                <w:szCs w:val="20"/>
              </w:rPr>
            </w:pPr>
            <w:r w:rsidRPr="00F21196">
              <w:rPr>
                <w:b/>
                <w:sz w:val="18"/>
                <w:szCs w:val="20"/>
              </w:rPr>
              <w:t>6.</w:t>
            </w:r>
            <w:r w:rsidRPr="00F21196">
              <w:rPr>
                <w:sz w:val="18"/>
                <w:szCs w:val="20"/>
              </w:rPr>
              <w:t xml:space="preserve"> </w:t>
            </w:r>
            <w:r w:rsidR="00C758BD">
              <w:rPr>
                <w:sz w:val="18"/>
                <w:szCs w:val="20"/>
              </w:rPr>
              <w:t>Wzmocnienie pozycji międzynarodowej Polski</w:t>
            </w:r>
            <w:r w:rsidRPr="00F21196">
              <w:rPr>
                <w:sz w:val="18"/>
                <w:szCs w:val="20"/>
              </w:rPr>
              <w:t>.</w:t>
            </w:r>
          </w:p>
        </w:tc>
      </w:tr>
    </w:tbl>
    <w:p w14:paraId="7F466950" w14:textId="77777777" w:rsidR="00EB2D3B" w:rsidRPr="00F21196" w:rsidRDefault="00EB2D3B" w:rsidP="00FD441B">
      <w:pPr>
        <w:spacing w:after="0" w:line="240" w:lineRule="auto"/>
        <w:rPr>
          <w:b/>
          <w:sz w:val="20"/>
          <w:szCs w:val="18"/>
        </w:rPr>
      </w:pPr>
    </w:p>
    <w:p w14:paraId="4B430CAF" w14:textId="77777777" w:rsidR="00EB2D3B" w:rsidRPr="00F21196" w:rsidRDefault="00EB2D3B" w:rsidP="00FD441B">
      <w:pPr>
        <w:spacing w:after="0" w:line="240" w:lineRule="auto"/>
        <w:rPr>
          <w:b/>
          <w:sz w:val="20"/>
          <w:szCs w:val="18"/>
        </w:rPr>
      </w:pPr>
    </w:p>
    <w:p w14:paraId="664A81B2" w14:textId="77777777" w:rsidR="00FD441B" w:rsidRPr="00F21196" w:rsidRDefault="00FD441B">
      <w:pPr>
        <w:rPr>
          <w:rFonts w:eastAsia="Times New Roman" w:cs="Calibri"/>
          <w:b/>
          <w:bCs/>
          <w:color w:val="2F5496" w:themeColor="accent5" w:themeShade="BF"/>
          <w:lang w:eastAsia="pl-PL"/>
        </w:rPr>
        <w:sectPr w:rsidR="00FD441B" w:rsidRPr="00F21196" w:rsidSect="00864658">
          <w:pgSz w:w="16839" w:h="11907" w:orient="landscape" w:code="9"/>
          <w:pgMar w:top="1134" w:right="1418" w:bottom="142" w:left="1418" w:header="709" w:footer="709" w:gutter="0"/>
          <w:cols w:space="708"/>
          <w:docGrid w:linePitch="360"/>
        </w:sectPr>
      </w:pPr>
    </w:p>
    <w:p w14:paraId="535E67A0" w14:textId="77777777" w:rsidR="002E050A" w:rsidRPr="00F21196" w:rsidRDefault="002E050A" w:rsidP="002E050A">
      <w:pPr>
        <w:shd w:val="clear" w:color="auto" w:fill="DEEAF6" w:themeFill="accent1" w:themeFillTint="33"/>
        <w:rPr>
          <w:rFonts w:eastAsia="Times New Roman" w:cs="Calibri"/>
          <w:b/>
          <w:bCs/>
          <w:sz w:val="28"/>
          <w:lang w:eastAsia="pl-PL"/>
        </w:rPr>
      </w:pPr>
      <w:r w:rsidRPr="00F21196">
        <w:rPr>
          <w:rFonts w:eastAsia="Times New Roman" w:cs="Calibri"/>
          <w:b/>
          <w:bCs/>
          <w:sz w:val="28"/>
          <w:lang w:eastAsia="pl-PL"/>
        </w:rPr>
        <w:t>II. POWIĄZANIE STRATEGII Z DOKUMENTAMI STRATEGICZNYMI</w:t>
      </w:r>
    </w:p>
    <w:p w14:paraId="67BA366C" w14:textId="575CD605" w:rsidR="0002700B" w:rsidRDefault="00F4001B" w:rsidP="00434C8B">
      <w:pPr>
        <w:spacing w:before="120" w:after="0" w:line="276" w:lineRule="auto"/>
        <w:jc w:val="both"/>
      </w:pPr>
      <w:r w:rsidRPr="00654DEC">
        <w:rPr>
          <w:color w:val="000000"/>
          <w:spacing w:val="-2"/>
        </w:rPr>
        <w:t>W systemie dokumentów strategicznych SNP stanowi doprecyzowanie i operacjonalizację</w:t>
      </w:r>
      <w:r w:rsidRPr="00654DEC">
        <w:t xml:space="preserve"> SOR</w:t>
      </w:r>
      <w:r w:rsidR="00CC38E9">
        <w:t>, z którą z</w:t>
      </w:r>
      <w:r w:rsidR="00BB7530" w:rsidRPr="00654DEC">
        <w:t xml:space="preserve">achowuje </w:t>
      </w:r>
      <w:r w:rsidRPr="00654DEC">
        <w:t>spójność i komplementarność</w:t>
      </w:r>
      <w:r w:rsidR="00CC38E9">
        <w:t xml:space="preserve">. Dodatkowo SNP </w:t>
      </w:r>
      <w:r w:rsidR="00BB7530" w:rsidRPr="00654DEC">
        <w:rPr>
          <w:rFonts w:cs="Arial"/>
          <w:bCs/>
        </w:rPr>
        <w:t xml:space="preserve">jest </w:t>
      </w:r>
      <w:r w:rsidR="00BB7530" w:rsidRPr="00654DEC">
        <w:rPr>
          <w:rFonts w:cs="Arial"/>
        </w:rPr>
        <w:t>uzupełniająca</w:t>
      </w:r>
      <w:r w:rsidR="00BB7530" w:rsidRPr="00654DEC">
        <w:rPr>
          <w:rFonts w:cs="Arial"/>
          <w:bCs/>
        </w:rPr>
        <w:t xml:space="preserve"> </w:t>
      </w:r>
      <w:r w:rsidR="0002700B" w:rsidRPr="00654DEC">
        <w:rPr>
          <w:rFonts w:cs="Arial"/>
          <w:bCs/>
        </w:rPr>
        <w:t xml:space="preserve">w stosunku do </w:t>
      </w:r>
      <w:r w:rsidR="00651672" w:rsidRPr="00654DEC">
        <w:rPr>
          <w:rFonts w:cs="Arial"/>
          <w:bCs/>
        </w:rPr>
        <w:t xml:space="preserve">celów i inicjatyw wskazanych w </w:t>
      </w:r>
      <w:r w:rsidR="00BB7530" w:rsidRPr="00654DEC">
        <w:t xml:space="preserve">ośmiu zintegrowanych strategiach rozwoju kraju. </w:t>
      </w:r>
      <w:r w:rsidR="008D429A">
        <w:t xml:space="preserve">Ponadto </w:t>
      </w:r>
      <w:r w:rsidR="009C5596" w:rsidRPr="00654DEC">
        <w:t xml:space="preserve">SNP </w:t>
      </w:r>
      <w:r w:rsidR="00651672" w:rsidRPr="00654DEC">
        <w:t xml:space="preserve">zakłada kontynuację zamierzeń </w:t>
      </w:r>
      <w:r w:rsidR="00347F05" w:rsidRPr="00654DEC">
        <w:t>wynikających z</w:t>
      </w:r>
      <w:r w:rsidR="00651672" w:rsidRPr="00654DEC">
        <w:t xml:space="preserve"> aktualnych krajowych dokument</w:t>
      </w:r>
      <w:r w:rsidR="00347F05" w:rsidRPr="00654DEC">
        <w:t>ów (</w:t>
      </w:r>
      <w:r w:rsidR="00651672" w:rsidRPr="00654DEC">
        <w:t>tj. programy, polit</w:t>
      </w:r>
      <w:r w:rsidR="00347F05" w:rsidRPr="00654DEC">
        <w:t>yki</w:t>
      </w:r>
      <w:r w:rsidR="00C00152" w:rsidRPr="00654DEC">
        <w:t>,</w:t>
      </w:r>
      <w:r w:rsidR="00347F05" w:rsidRPr="00654DEC">
        <w:t xml:space="preserve"> strategie sektorowe), </w:t>
      </w:r>
      <w:r w:rsidR="00651672" w:rsidRPr="00654DEC">
        <w:t>które wiążą się z zakresem tematycznym strategii</w:t>
      </w:r>
      <w:r w:rsidR="0002700B" w:rsidRPr="00654DEC">
        <w:t xml:space="preserve"> i przyczyniać się będą do osiągnięcia wyznaczonych wartości wskaźników monitorowania dla danego celu szczegółowego. </w:t>
      </w:r>
      <w:r w:rsidR="00651672" w:rsidRPr="00654DEC">
        <w:t xml:space="preserve">  </w:t>
      </w:r>
    </w:p>
    <w:p w14:paraId="6DC6AA25" w14:textId="77777777" w:rsidR="00436E62" w:rsidRPr="00654DEC" w:rsidRDefault="00436E62" w:rsidP="00434C8B">
      <w:pPr>
        <w:spacing w:before="120" w:after="0" w:line="276" w:lineRule="auto"/>
        <w:jc w:val="both"/>
      </w:pPr>
    </w:p>
    <w:p w14:paraId="797A3045" w14:textId="77777777" w:rsidR="008D429A" w:rsidRDefault="008D429A" w:rsidP="00434C8B">
      <w:pPr>
        <w:pStyle w:val="NormalnyWeb"/>
        <w:spacing w:before="0" w:beforeAutospacing="0" w:after="0" w:afterAutospacing="0"/>
        <w:jc w:val="center"/>
        <w:rPr>
          <w:rFonts w:asciiTheme="minorHAnsi" w:eastAsiaTheme="minorEastAsia" w:hAnsiTheme="minorHAnsi" w:cstheme="minorBidi"/>
          <w:bCs/>
          <w:color w:val="000000" w:themeColor="text1"/>
          <w:kern w:val="24"/>
          <w:sz w:val="20"/>
          <w:szCs w:val="22"/>
        </w:rPr>
      </w:pPr>
    </w:p>
    <w:p w14:paraId="5F9AB762" w14:textId="19228F24" w:rsidR="008D429A" w:rsidRPr="001B45A1" w:rsidRDefault="008D429A" w:rsidP="008D429A">
      <w:pPr>
        <w:pStyle w:val="NormalnyWeb"/>
        <w:spacing w:before="0" w:beforeAutospacing="0" w:after="0" w:afterAutospacing="0"/>
        <w:rPr>
          <w:rFonts w:asciiTheme="minorHAnsi" w:eastAsiaTheme="minorEastAsia" w:hAnsiTheme="minorHAnsi" w:cstheme="minorBidi"/>
          <w:b/>
          <w:bCs/>
          <w:color w:val="000000" w:themeColor="text1"/>
          <w:kern w:val="24"/>
          <w:sz w:val="22"/>
          <w:szCs w:val="22"/>
        </w:rPr>
      </w:pPr>
      <w:r w:rsidRPr="001B45A1">
        <w:rPr>
          <w:rFonts w:asciiTheme="minorHAnsi" w:eastAsiaTheme="minorEastAsia" w:hAnsiTheme="minorHAnsi" w:cstheme="minorBidi"/>
          <w:b/>
          <w:bCs/>
          <w:color w:val="000000" w:themeColor="text1"/>
          <w:kern w:val="24"/>
          <w:sz w:val="22"/>
          <w:szCs w:val="22"/>
        </w:rPr>
        <w:t xml:space="preserve">Rysunek </w:t>
      </w:r>
      <w:r w:rsidR="00D14DC2" w:rsidRPr="001B45A1">
        <w:rPr>
          <w:rFonts w:asciiTheme="minorHAnsi" w:eastAsiaTheme="minorEastAsia" w:hAnsiTheme="minorHAnsi" w:cstheme="minorBidi"/>
          <w:b/>
          <w:bCs/>
          <w:color w:val="000000" w:themeColor="text1"/>
          <w:kern w:val="24"/>
          <w:sz w:val="22"/>
          <w:szCs w:val="22"/>
        </w:rPr>
        <w:t>2.</w:t>
      </w:r>
      <w:r w:rsidRPr="001B45A1">
        <w:rPr>
          <w:rFonts w:asciiTheme="minorHAnsi" w:eastAsiaTheme="minorEastAsia" w:hAnsiTheme="minorHAnsi" w:cstheme="minorBidi"/>
          <w:b/>
          <w:bCs/>
          <w:color w:val="000000" w:themeColor="text1"/>
          <w:kern w:val="24"/>
          <w:sz w:val="22"/>
          <w:szCs w:val="22"/>
        </w:rPr>
        <w:t xml:space="preserve">  Powiązanie </w:t>
      </w:r>
      <w:r w:rsidR="004550B3">
        <w:rPr>
          <w:rFonts w:asciiTheme="minorHAnsi" w:eastAsiaTheme="minorEastAsia" w:hAnsiTheme="minorHAnsi" w:cstheme="minorBidi"/>
          <w:b/>
          <w:bCs/>
          <w:color w:val="000000" w:themeColor="text1"/>
          <w:kern w:val="24"/>
          <w:sz w:val="22"/>
          <w:szCs w:val="22"/>
        </w:rPr>
        <w:t xml:space="preserve">celów </w:t>
      </w:r>
      <w:r w:rsidRPr="001B45A1">
        <w:rPr>
          <w:rFonts w:asciiTheme="minorHAnsi" w:eastAsiaTheme="minorEastAsia" w:hAnsiTheme="minorHAnsi" w:cstheme="minorBidi"/>
          <w:b/>
          <w:bCs/>
          <w:color w:val="000000" w:themeColor="text1"/>
          <w:kern w:val="24"/>
          <w:sz w:val="22"/>
          <w:szCs w:val="22"/>
        </w:rPr>
        <w:t xml:space="preserve">SNP z </w:t>
      </w:r>
      <w:r w:rsidR="004550B3">
        <w:rPr>
          <w:rFonts w:asciiTheme="minorHAnsi" w:eastAsiaTheme="minorEastAsia" w:hAnsiTheme="minorHAnsi" w:cstheme="minorBidi"/>
          <w:b/>
          <w:bCs/>
          <w:color w:val="000000" w:themeColor="text1"/>
          <w:kern w:val="24"/>
          <w:sz w:val="22"/>
          <w:szCs w:val="22"/>
        </w:rPr>
        <w:t xml:space="preserve">celami i obszarami </w:t>
      </w:r>
      <w:r w:rsidRPr="001B45A1">
        <w:rPr>
          <w:rFonts w:asciiTheme="minorHAnsi" w:eastAsiaTheme="minorEastAsia" w:hAnsiTheme="minorHAnsi" w:cstheme="minorBidi"/>
          <w:b/>
          <w:bCs/>
          <w:color w:val="000000" w:themeColor="text1"/>
          <w:kern w:val="24"/>
          <w:sz w:val="22"/>
          <w:szCs w:val="22"/>
        </w:rPr>
        <w:t>SOR</w:t>
      </w:r>
      <w:r w:rsidR="002D6B5E" w:rsidRPr="001B45A1">
        <w:rPr>
          <w:rFonts w:asciiTheme="minorHAnsi" w:eastAsiaTheme="minorEastAsia" w:hAnsiTheme="minorHAnsi" w:cstheme="minorBidi"/>
          <w:b/>
          <w:bCs/>
          <w:color w:val="000000" w:themeColor="text1"/>
          <w:kern w:val="24"/>
          <w:sz w:val="22"/>
          <w:szCs w:val="22"/>
        </w:rPr>
        <w:t xml:space="preserve"> </w:t>
      </w:r>
    </w:p>
    <w:p w14:paraId="4D7A0F3B" w14:textId="77777777" w:rsidR="008D429A" w:rsidRDefault="008D429A" w:rsidP="00434C8B">
      <w:pPr>
        <w:pStyle w:val="NormalnyWeb"/>
        <w:spacing w:before="0" w:beforeAutospacing="0" w:after="0" w:afterAutospacing="0"/>
        <w:jc w:val="center"/>
        <w:rPr>
          <w:rFonts w:asciiTheme="minorHAnsi" w:eastAsiaTheme="minorEastAsia" w:hAnsiTheme="minorHAnsi" w:cstheme="minorBidi"/>
          <w:bCs/>
          <w:color w:val="000000" w:themeColor="text1"/>
          <w:kern w:val="24"/>
          <w:sz w:val="20"/>
          <w:szCs w:val="22"/>
        </w:rPr>
      </w:pPr>
    </w:p>
    <w:p w14:paraId="5EA72219" w14:textId="77777777" w:rsidR="008D429A" w:rsidRDefault="002942D6" w:rsidP="00434C8B">
      <w:pPr>
        <w:pStyle w:val="NormalnyWeb"/>
        <w:spacing w:before="0" w:beforeAutospacing="0" w:after="0" w:afterAutospacing="0"/>
        <w:jc w:val="center"/>
        <w:rPr>
          <w:rFonts w:asciiTheme="minorHAnsi" w:eastAsiaTheme="minorEastAsia" w:hAnsiTheme="minorHAnsi" w:cstheme="minorBidi"/>
          <w:bCs/>
          <w:color w:val="000000" w:themeColor="text1"/>
          <w:kern w:val="24"/>
          <w:sz w:val="20"/>
          <w:szCs w:val="22"/>
        </w:rPr>
      </w:pPr>
      <w:r w:rsidRPr="008D429A">
        <w:rPr>
          <w:rFonts w:asciiTheme="minorHAnsi" w:eastAsiaTheme="minorEastAsia" w:hAnsiTheme="minorHAnsi" w:cstheme="minorBidi"/>
          <w:bCs/>
          <w:noProof/>
          <w:color w:val="000000" w:themeColor="text1"/>
          <w:kern w:val="24"/>
          <w:sz w:val="20"/>
          <w:szCs w:val="22"/>
        </w:rPr>
        <mc:AlternateContent>
          <mc:Choice Requires="wps">
            <w:drawing>
              <wp:anchor distT="0" distB="0" distL="114300" distR="114300" simplePos="0" relativeHeight="252119040" behindDoc="0" locked="0" layoutInCell="1" allowOverlap="1" wp14:anchorId="16DA39CF" wp14:editId="63A03126">
                <wp:simplePos x="0" y="0"/>
                <wp:positionH relativeFrom="margin">
                  <wp:align>right</wp:align>
                </wp:positionH>
                <wp:positionV relativeFrom="paragraph">
                  <wp:posOffset>5715</wp:posOffset>
                </wp:positionV>
                <wp:extent cx="2456953" cy="1141171"/>
                <wp:effectExtent l="0" t="0" r="19685" b="20955"/>
                <wp:wrapNone/>
                <wp:docPr id="40" name="Prostokąt 40"/>
                <wp:cNvGraphicFramePr/>
                <a:graphic xmlns:a="http://schemas.openxmlformats.org/drawingml/2006/main">
                  <a:graphicData uri="http://schemas.microsoft.com/office/word/2010/wordprocessingShape">
                    <wps:wsp>
                      <wps:cNvSpPr/>
                      <wps:spPr>
                        <a:xfrm>
                          <a:off x="0" y="0"/>
                          <a:ext cx="2456953" cy="1141171"/>
                        </a:xfrm>
                        <a:prstGeom prst="rect">
                          <a:avLst/>
                        </a:prstGeom>
                        <a:solidFill>
                          <a:schemeClr val="accent1">
                            <a:lumMod val="40000"/>
                            <a:lumOff val="60000"/>
                          </a:schemeClr>
                        </a:solidFill>
                        <a:ln w="12700" cap="flat" cmpd="sng" algn="ctr">
                          <a:solidFill>
                            <a:schemeClr val="accent1">
                              <a:lumMod val="40000"/>
                              <a:lumOff val="60000"/>
                            </a:schemeClr>
                          </a:solidFill>
                          <a:prstDash val="solid"/>
                          <a:miter lim="800000"/>
                        </a:ln>
                        <a:effectLst/>
                      </wps:spPr>
                      <wps:txbx>
                        <w:txbxContent>
                          <w:p w14:paraId="1FBFB6A0" w14:textId="77777777" w:rsidR="005D4C4C" w:rsidRPr="008D429A" w:rsidRDefault="005D4C4C" w:rsidP="008D429A">
                            <w:pPr>
                              <w:pStyle w:val="Default"/>
                              <w:rPr>
                                <w:sz w:val="22"/>
                                <w:szCs w:val="18"/>
                              </w:rPr>
                            </w:pPr>
                            <w:r w:rsidRPr="008D429A">
                              <w:rPr>
                                <w:sz w:val="22"/>
                              </w:rPr>
                              <w:t>Cel główny S</w:t>
                            </w:r>
                            <w:r>
                              <w:rPr>
                                <w:sz w:val="22"/>
                              </w:rPr>
                              <w:t>OR</w:t>
                            </w:r>
                            <w:r w:rsidRPr="008D429A">
                              <w:rPr>
                                <w:sz w:val="22"/>
                                <w:szCs w:val="18"/>
                              </w:rPr>
                              <w:t xml:space="preserve"> </w:t>
                            </w:r>
                          </w:p>
                          <w:p w14:paraId="18CDCB4E" w14:textId="77777777" w:rsidR="005D4C4C" w:rsidRPr="00D81AC1" w:rsidRDefault="005D4C4C" w:rsidP="00540F63">
                            <w:pPr>
                              <w:jc w:val="center"/>
                              <w:rPr>
                                <w:b/>
                                <w:szCs w:val="20"/>
                              </w:rPr>
                            </w:pPr>
                            <w:r w:rsidRPr="00D81AC1">
                              <w:rPr>
                                <w:b/>
                                <w:sz w:val="20"/>
                              </w:rPr>
                              <w:t>Tworzenie warunków dla wzrostu dochodów mieszkańców, przy jednoczesnym wzroście spójności w wymiarze społecznym, ekonomicznym, środowiskowym i terytorialnym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A39CF" id="Prostokąt 40" o:spid="_x0000_s1034" style="position:absolute;left:0;text-align:left;margin-left:142.25pt;margin-top:.45pt;width:193.45pt;height:89.85pt;z-index:252119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7iPmwIAAIMFAAAOAAAAZHJzL2Uyb0RvYy54bWy0VMlu2zAQvRfoPxC8N7JcZzMiB0aCFAXS&#10;xEBS5ExTlEWUW0nacnrvn+XD+kjJztKeitYHeWY4nOXxzZydb7UiG+GDtKai5cGIEmG4raVZVfTr&#10;/dWHE0pCZKZmyhpR0UcR6Pns/buzzk3F2LZW1cITBDFh2rmKtjG6aVEE3grNwoF1wuCwsV6zCNWv&#10;itqzDtG1Ksaj0VHRWV87b7kIAdbL/pDOcvymETzeNk0QkaiKoraYvz5/l+lbzM7YdOWZayUfymB/&#10;UYVm0iDpPtQli4ysvfwtlJbc22CbeMCtLmzTSC5yD+imHL3p5q5lTuReAE5we5jCvwvLbzYLT2Rd&#10;0QngMUzjjRaoMNpvTz8jgREIdS5M4XjnFn7QAsTU7rbxOv2jEbLNqD7uURXbSDiM48nh0enhR0o4&#10;zspyUpbHZYpaPF93PsRPwmqShIp6PFtGk22uQ+xddy4pW7BK1ldSqawkqogL5cmG4ZEZ58LEMl9X&#10;a/3F1r19MsKvf26YQYrefLQzo5pMuhQp1/YqiTKkQ/HjY8QgnIGojWIRonaALpgVJUytMAE8+pz6&#10;1e194P9ZYgLokoW2z5Hz9+1qGTFiSuqKnqRuMwpoV5kEn8hDMsCcHrp/2iTF7XKbqXGSAiXL0taP&#10;oIu3/RwFx68k0l6zEBfMY3CADpZBvMWnURaQ2UGipLX+x5/syR98xiklHQYRcH5fMy8oUZ8NmH5a&#10;ThI1Y1Ymh8djKP7lyfLliVnrCwsalFg7jmcx+Ue1Extv9QN2xjxlxREzHLn7hxuUi9gvCGwdLubz&#10;7IZpdSxemzvHU/CEXAL8fvvAvBtoG8H4G7sbWjZ9w97eN900dr6OtpGZ2s+4gnZJwaRnAg5bKa2S&#10;l3r2et6ds18AAAD//wMAUEsDBBQABgAIAAAAIQBxAPBP2wAAAAUBAAAPAAAAZHJzL2Rvd25yZXYu&#10;eG1sTI/NTsMwEITvSLyDtUjcqAOFKA1xKhQEQqIXCurZjZc4Il6H2M3P27Oc4DarGc18W2xn14kR&#10;h9B6UnC9SkAg1d601Cj4eH+6ykCEqMnozhMqWDDAtjw/K3Ru/ERvOO5jI7iEQq4V2Bj7XMpQW3Q6&#10;rHyPxN6nH5yOfA6NNIOeuNx18iZJUul0S7xgdY+Vxfprf3IK1q9tdTsd7O65eozfLyMt/s4tSl1e&#10;zA/3ICLO8S8Mv/iMDiUzHf2JTBCdAn4kKtiAYG+dpSyOHMqSFGRZyP/05Q8AAAD//wMAUEsBAi0A&#10;FAAGAAgAAAAhALaDOJL+AAAA4QEAABMAAAAAAAAAAAAAAAAAAAAAAFtDb250ZW50X1R5cGVzXS54&#10;bWxQSwECLQAUAAYACAAAACEAOP0h/9YAAACUAQAACwAAAAAAAAAAAAAAAAAvAQAAX3JlbHMvLnJl&#10;bHNQSwECLQAUAAYACAAAACEAPUO4j5sCAACDBQAADgAAAAAAAAAAAAAAAAAuAgAAZHJzL2Uyb0Rv&#10;Yy54bWxQSwECLQAUAAYACAAAACEAcQDwT9sAAAAFAQAADwAAAAAAAAAAAAAAAAD1BAAAZHJzL2Rv&#10;d25yZXYueG1sUEsFBgAAAAAEAAQA8wAAAP0FAAAAAA==&#10;" fillcolor="#bdd6ee [1300]" strokecolor="#bdd6ee [1300]" strokeweight="1pt">
                <v:textbox>
                  <w:txbxContent>
                    <w:p w14:paraId="1FBFB6A0" w14:textId="77777777" w:rsidR="005D4C4C" w:rsidRPr="008D429A" w:rsidRDefault="005D4C4C" w:rsidP="008D429A">
                      <w:pPr>
                        <w:pStyle w:val="Default"/>
                        <w:rPr>
                          <w:sz w:val="22"/>
                          <w:szCs w:val="18"/>
                        </w:rPr>
                      </w:pPr>
                      <w:r w:rsidRPr="008D429A">
                        <w:rPr>
                          <w:sz w:val="22"/>
                        </w:rPr>
                        <w:t>Cel główny S</w:t>
                      </w:r>
                      <w:r>
                        <w:rPr>
                          <w:sz w:val="22"/>
                        </w:rPr>
                        <w:t>OR</w:t>
                      </w:r>
                      <w:r w:rsidRPr="008D429A">
                        <w:rPr>
                          <w:sz w:val="22"/>
                          <w:szCs w:val="18"/>
                        </w:rPr>
                        <w:t xml:space="preserve"> </w:t>
                      </w:r>
                    </w:p>
                    <w:p w14:paraId="18CDCB4E" w14:textId="77777777" w:rsidR="005D4C4C" w:rsidRPr="00D81AC1" w:rsidRDefault="005D4C4C" w:rsidP="00540F63">
                      <w:pPr>
                        <w:jc w:val="center"/>
                        <w:rPr>
                          <w:b/>
                          <w:szCs w:val="20"/>
                        </w:rPr>
                      </w:pPr>
                      <w:r w:rsidRPr="00D81AC1">
                        <w:rPr>
                          <w:b/>
                          <w:sz w:val="20"/>
                        </w:rPr>
                        <w:t>Tworzenie warunków dla wzrostu dochodów mieszkańców, przy jednoczesnym wzroście spójności w wymiarze społecznym, ekonomicznym, środowiskowym i terytorialnym</w:t>
                      </w:r>
                    </w:p>
                  </w:txbxContent>
                </v:textbox>
                <w10:wrap anchorx="margin"/>
              </v:rect>
            </w:pict>
          </mc:Fallback>
        </mc:AlternateContent>
      </w:r>
      <w:r w:rsidR="00B10769">
        <w:rPr>
          <w:rFonts w:asciiTheme="minorHAnsi" w:eastAsiaTheme="minorEastAsia" w:hAnsiTheme="minorHAnsi" w:cstheme="minorBidi"/>
          <w:bCs/>
          <w:noProof/>
          <w:color w:val="000000" w:themeColor="text1"/>
          <w:kern w:val="24"/>
          <w:sz w:val="20"/>
          <w:szCs w:val="22"/>
        </w:rPr>
        <mc:AlternateContent>
          <mc:Choice Requires="wps">
            <w:drawing>
              <wp:anchor distT="0" distB="0" distL="114300" distR="114300" simplePos="0" relativeHeight="252104704" behindDoc="0" locked="0" layoutInCell="1" allowOverlap="1" wp14:anchorId="0F64CDC0" wp14:editId="2935FD64">
                <wp:simplePos x="0" y="0"/>
                <wp:positionH relativeFrom="margin">
                  <wp:align>left</wp:align>
                </wp:positionH>
                <wp:positionV relativeFrom="paragraph">
                  <wp:posOffset>6613</wp:posOffset>
                </wp:positionV>
                <wp:extent cx="2654834" cy="836762"/>
                <wp:effectExtent l="0" t="0" r="12700" b="20955"/>
                <wp:wrapNone/>
                <wp:docPr id="12" name="Prostokąt 12"/>
                <wp:cNvGraphicFramePr/>
                <a:graphic xmlns:a="http://schemas.openxmlformats.org/drawingml/2006/main">
                  <a:graphicData uri="http://schemas.microsoft.com/office/word/2010/wordprocessingShape">
                    <wps:wsp>
                      <wps:cNvSpPr/>
                      <wps:spPr>
                        <a:xfrm>
                          <a:off x="0" y="0"/>
                          <a:ext cx="2654834" cy="836762"/>
                        </a:xfrm>
                        <a:prstGeom prst="rect">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867339" w14:textId="77777777" w:rsidR="005D4C4C" w:rsidRPr="008D429A" w:rsidRDefault="005D4C4C" w:rsidP="008D429A">
                            <w:pPr>
                              <w:pStyle w:val="Default"/>
                              <w:rPr>
                                <w:sz w:val="22"/>
                                <w:szCs w:val="18"/>
                              </w:rPr>
                            </w:pPr>
                            <w:r w:rsidRPr="008D429A">
                              <w:rPr>
                                <w:sz w:val="22"/>
                              </w:rPr>
                              <w:t>Cel główny SNP</w:t>
                            </w:r>
                            <w:r w:rsidRPr="008D429A">
                              <w:rPr>
                                <w:sz w:val="22"/>
                                <w:szCs w:val="18"/>
                              </w:rPr>
                              <w:t xml:space="preserve"> </w:t>
                            </w:r>
                          </w:p>
                          <w:p w14:paraId="13FF44CD" w14:textId="77777777" w:rsidR="005D4C4C" w:rsidRPr="00D81AC1" w:rsidRDefault="005D4C4C" w:rsidP="00D81AC1">
                            <w:pPr>
                              <w:pStyle w:val="Default"/>
                              <w:jc w:val="center"/>
                              <w:rPr>
                                <w:b/>
                                <w:sz w:val="20"/>
                              </w:rPr>
                            </w:pPr>
                            <w:r w:rsidRPr="00D81AC1">
                              <w:rPr>
                                <w:b/>
                                <w:sz w:val="20"/>
                              </w:rPr>
                              <w:t>Sprawne i nowoczesne państwo służące obywatelom, środowisku oraz gospodarce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4CDC0" id="Prostokąt 12" o:spid="_x0000_s1035" style="position:absolute;left:0;text-align:left;margin-left:0;margin-top:.5pt;width:209.05pt;height:65.9pt;z-index:252104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2FftQIAAD8GAAAOAAAAZHJzL2Uyb0RvYy54bWzEVM1OGzEQvlfqO1i+l01CCBCxQRGIqhKF&#10;qFBxdrxedlXb49pOdtM7b9YH69jeXSg/PVSVmsPGM54fzzcz38lpqyTZCutq0Dkd740oEZpDUev7&#10;nH69vfhwRInzTBdMghY53QlHTxfv3500Zi4mUIEshCUYRLt5Y3JaeW/mWeZ4JRRze2CExssSrGIe&#10;RXufFZY1GF3JbDIazbIGbGEscOEcas/TJV3E+GUpuL8uSyc8kTnFt/n4tfG7Dt9sccLm95aZqubd&#10;M9hfvEKxWmPSIdQ584xsbP0ilKq5BQel3+OgMijLmotYA1YzHj2r5qZiRsRaEBxnBpjcvwvLr7Yr&#10;S+oCezehRDOFPVrhCz18+/ngCSoRoca4ORremJXtJIfHUG5bWhX+sRDSRlR3A6qi9YSjcjI7mB7t&#10;TynheHe0PzucxaDZo7exzn8UoEg45NRi1yKYbHvpPGZE094kJHMg6+KiljIKYVLEmbRky7DHjHOh&#10;/Ti6y436DEXST0f4S91GNc5EUs96NaaIMxcixYS/JZH6f+TFN4XEWYA/AR5PfidFeI7UX0SJrQsQ&#10;x3qHAl5C4SpWiKQ+eLPkGDBELhHbIXbC8o3YqTmdfXAVcecG59GfHpacB4+YGbQfnFWtwb4WQGKD&#10;u8zJvgcpQRNQ8u26jWN93A/wGoodjrqFxAHO8Isax+2SOb9iFpce6QGJzF/jp5TQ5BS6EyUV2B+v&#10;6YM97iLeUtIgieTUfd8wKyiRnzRu6fF4Og2sE4XpweEEBfv0Zv30Rm/UGeAMj5EyDY/HYO9lfywt&#10;qDvku2XIildMc8ydU+5tL5z5RG7ImFwsl9EMmcYwf6lvDA/BA85hnW7bO2ZNt3Met/UKesJh82er&#10;l2yDp4blxkNZx70MSCdcuw4gS8Xt6Rg10OBTOVo98v7iFwAAAP//AwBQSwMEFAAGAAgAAAAhAPUq&#10;GJbbAAAABgEAAA8AAABkcnMvZG93bnJldi54bWxMj81OwzAQhO9IvIO1SNyok7agKI1ToSAQElwo&#10;qGc3XuKIeB1iNz9vz3KC02p2VrPfFPvZdWLEIbSeFKSrBARS7U1LjYKP98ebDESImozuPKGCBQPs&#10;y8uLQufGT/SG4yE2gkMo5FqBjbHPpQy1RafDyvdI7H36wenIcmikGfTE4a6T6yS5k063xB+s7rGy&#10;WH8dzk7B5qWtttPRvj5VD/H7eaTF37pFqeur+X4HIuIc/47hF5/RoWSmkz+TCaJTwEUib3mwuU2z&#10;FMSJ9WadgSwL+R+//AEAAP//AwBQSwECLQAUAAYACAAAACEAtoM4kv4AAADhAQAAEwAAAAAAAAAA&#10;AAAAAAAAAAAAW0NvbnRlbnRfVHlwZXNdLnhtbFBLAQItABQABgAIAAAAIQA4/SH/1gAAAJQBAAAL&#10;AAAAAAAAAAAAAAAAAC8BAABfcmVscy8ucmVsc1BLAQItABQABgAIAAAAIQAhC2FftQIAAD8GAAAO&#10;AAAAAAAAAAAAAAAAAC4CAABkcnMvZTJvRG9jLnhtbFBLAQItABQABgAIAAAAIQD1KhiW2wAAAAYB&#10;AAAPAAAAAAAAAAAAAAAAAA8FAABkcnMvZG93bnJldi54bWxQSwUGAAAAAAQABADzAAAAFwYAAAAA&#10;" fillcolor="#bdd6ee [1300]" strokecolor="#bdd6ee [1300]" strokeweight="1pt">
                <v:textbox>
                  <w:txbxContent>
                    <w:p w14:paraId="6F867339" w14:textId="77777777" w:rsidR="005D4C4C" w:rsidRPr="008D429A" w:rsidRDefault="005D4C4C" w:rsidP="008D429A">
                      <w:pPr>
                        <w:pStyle w:val="Default"/>
                        <w:rPr>
                          <w:sz w:val="22"/>
                          <w:szCs w:val="18"/>
                        </w:rPr>
                      </w:pPr>
                      <w:r w:rsidRPr="008D429A">
                        <w:rPr>
                          <w:sz w:val="22"/>
                        </w:rPr>
                        <w:t>Cel główny SNP</w:t>
                      </w:r>
                      <w:r w:rsidRPr="008D429A">
                        <w:rPr>
                          <w:sz w:val="22"/>
                          <w:szCs w:val="18"/>
                        </w:rPr>
                        <w:t xml:space="preserve"> </w:t>
                      </w:r>
                    </w:p>
                    <w:p w14:paraId="13FF44CD" w14:textId="77777777" w:rsidR="005D4C4C" w:rsidRPr="00D81AC1" w:rsidRDefault="005D4C4C" w:rsidP="00D81AC1">
                      <w:pPr>
                        <w:pStyle w:val="Default"/>
                        <w:jc w:val="center"/>
                        <w:rPr>
                          <w:b/>
                          <w:sz w:val="20"/>
                        </w:rPr>
                      </w:pPr>
                      <w:r w:rsidRPr="00D81AC1">
                        <w:rPr>
                          <w:b/>
                          <w:sz w:val="20"/>
                        </w:rPr>
                        <w:t>Sprawne i nowoczesne państwo służące obywatelom, środowisku oraz gospodarce</w:t>
                      </w:r>
                    </w:p>
                  </w:txbxContent>
                </v:textbox>
                <w10:wrap anchorx="margin"/>
              </v:rect>
            </w:pict>
          </mc:Fallback>
        </mc:AlternateContent>
      </w:r>
    </w:p>
    <w:p w14:paraId="4CD406DA" w14:textId="77777777" w:rsidR="008D429A" w:rsidRDefault="00D81AC1" w:rsidP="00434C8B">
      <w:pPr>
        <w:pStyle w:val="NormalnyWeb"/>
        <w:spacing w:before="0" w:beforeAutospacing="0" w:after="0" w:afterAutospacing="0"/>
        <w:jc w:val="center"/>
        <w:rPr>
          <w:rFonts w:asciiTheme="minorHAnsi" w:eastAsiaTheme="minorEastAsia" w:hAnsiTheme="minorHAnsi" w:cstheme="minorBidi"/>
          <w:bCs/>
          <w:color w:val="000000" w:themeColor="text1"/>
          <w:kern w:val="24"/>
          <w:sz w:val="20"/>
          <w:szCs w:val="22"/>
        </w:rPr>
      </w:pPr>
      <w:r>
        <w:rPr>
          <w:rFonts w:asciiTheme="minorHAnsi" w:eastAsiaTheme="minorEastAsia" w:hAnsiTheme="minorHAnsi" w:cstheme="minorBidi"/>
          <w:bCs/>
          <w:noProof/>
          <w:color w:val="000000" w:themeColor="text1"/>
          <w:kern w:val="24"/>
          <w:sz w:val="20"/>
          <w:szCs w:val="22"/>
        </w:rPr>
        <mc:AlternateContent>
          <mc:Choice Requires="wps">
            <w:drawing>
              <wp:anchor distT="0" distB="0" distL="114300" distR="114300" simplePos="0" relativeHeight="252126208" behindDoc="0" locked="0" layoutInCell="1" allowOverlap="1" wp14:anchorId="1746B97A" wp14:editId="0F463020">
                <wp:simplePos x="0" y="0"/>
                <wp:positionH relativeFrom="page">
                  <wp:posOffset>3278038</wp:posOffset>
                </wp:positionH>
                <wp:positionV relativeFrom="paragraph">
                  <wp:posOffset>58791</wp:posOffset>
                </wp:positionV>
                <wp:extent cx="871268" cy="310551"/>
                <wp:effectExtent l="19050" t="19050" r="24130" b="32385"/>
                <wp:wrapNone/>
                <wp:docPr id="45" name="Strzałka w lewo i prawo 45"/>
                <wp:cNvGraphicFramePr/>
                <a:graphic xmlns:a="http://schemas.openxmlformats.org/drawingml/2006/main">
                  <a:graphicData uri="http://schemas.microsoft.com/office/word/2010/wordprocessingShape">
                    <wps:wsp>
                      <wps:cNvSpPr/>
                      <wps:spPr>
                        <a:xfrm>
                          <a:off x="0" y="0"/>
                          <a:ext cx="871268" cy="310551"/>
                        </a:xfrm>
                        <a:prstGeom prst="leftRightArrow">
                          <a:avLst/>
                        </a:prstGeom>
                        <a:solidFill>
                          <a:srgbClr val="00B0F0"/>
                        </a:solidFill>
                        <a:ln w="12700" cap="flat" cmpd="sng" algn="ctr">
                          <a:solidFill>
                            <a:schemeClr val="accent5">
                              <a:lumMod val="20000"/>
                              <a:lumOff val="8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D96FE4"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Strzałka w lewo i prawo 45" o:spid="_x0000_s1026" type="#_x0000_t69" style="position:absolute;margin-left:258.1pt;margin-top:4.65pt;width:68.6pt;height:24.45pt;z-index:25212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izKqAIAAEkFAAAOAAAAZHJzL2Uyb0RvYy54bWysVM1uEzEQviPxDpbvdDchacuqSRVaBSGV&#10;tiJFPU+83qyF7TG2k0175N14L8beJP2BE+Ky6/n3fPONz863RrON9EGhnfDBUcmZtAJrZVcT/u1u&#10;/u6UsxDB1qDRygl/kIGfT9++OetcJYfYoq6lZ5TEhqpzE97G6KqiCKKVBsIROmnJ2KA3EEn0q6L2&#10;0FF2o4thWR4XHfraeRQyBNJe9kY+zfmbRop40zRBRqYnnO4W89fn7zJ9i+kZVCsPrlVidw34h1sY&#10;UJaKHlJdQgS29uqPVEYJjwGbeCTQFNg0SsjcA3UzKF91s2jBydwLgRPcAabw/9KK682tZ6qe8NGY&#10;MwuGZrSI/hF+/fwOrGNadsgUc4QrMnIhvDoXKgpbuFu/kwIdU/Pbxpv0p7bYNmP8cMBYbiMTpDw9&#10;GQyPiRSCTO8H5Xg8SDmLp2DnQ/wk0VDNQOPSsolf1aqNM++xyxjD5irEPmjvnKoG1KqeK62z4FfL&#10;C+3ZBtLgy4/lPM+a6rxw05Z1RNvhSUnkEEAEbDREOhpHkAS74gz0ipgtos+1X0RnlspDGRBC2jjO&#10;fnptvmDdlyeeUnq6MFSkJj726tO9Ol0q8T1lylC8KJJavITQ9kHZ1OcyKtLqaGUI1JRq36C2qZLM&#10;5N8BlUbWDymdllg/0NA99tsQnJgrKnIFId6CJ/oTFrTS8YY+jUYCCHcnzlr0j3/TJ39iJVk562id&#10;CLwfa/CSM/3ZEl8/DEajtH9ZGI1PhiT455blc4tdmwukwQ3o8XAiH5N/1Ptj49Hc0+bPUlUygRVU&#10;ux/TTriI/ZrT2yHkbJbdaOccxCu7cCIlTzgleO+29+DdjnCRmHqN+9WD6hXbet8UaXG2jtioTMUn&#10;XGmCSaB9zbPcvS3pQXguZ6+nF3D6GwAA//8DAFBLAwQUAAYACAAAACEAFQokU98AAAAIAQAADwAA&#10;AGRycy9kb3ducmV2LnhtbEyPTU+DQBCG7yb+h82YeDF2gQqpyNIYv9KkJ1u9LzCyRHYW2S2l/nrH&#10;kx4nz5v3faZYz7YXE46+c6QgXkQgkGrXdNQqeNs/X69A+KCp0b0jVHBCD+vy/KzQeeOO9IrTLrSC&#10;S8jnWoEJYcil9LVBq/3CDUjMPtxodeBzbGUz6iOX214mUZRJqzviBaMHfDBYf+4OVsH0+L69Sqr9&#10;S2q/nr438fZkbNopdXkx39+BCDiHvzD86rM6lOxUuQM1XvQK0jhLOKrgdgmCeZYub0BUDFYJyLKQ&#10;/x8ofwAAAP//AwBQSwECLQAUAAYACAAAACEAtoM4kv4AAADhAQAAEwAAAAAAAAAAAAAAAAAAAAAA&#10;W0NvbnRlbnRfVHlwZXNdLnhtbFBLAQItABQABgAIAAAAIQA4/SH/1gAAAJQBAAALAAAAAAAAAAAA&#10;AAAAAC8BAABfcmVscy8ucmVsc1BLAQItABQABgAIAAAAIQC1LizKqAIAAEkFAAAOAAAAAAAAAAAA&#10;AAAAAC4CAABkcnMvZTJvRG9jLnhtbFBLAQItABQABgAIAAAAIQAVCiRT3wAAAAgBAAAPAAAAAAAA&#10;AAAAAAAAAAIFAABkcnMvZG93bnJldi54bWxQSwUGAAAAAAQABADzAAAADgYAAAAA&#10;" adj="3850" fillcolor="#00b0f0" strokecolor="#d9e2f3 [664]" strokeweight="1pt">
                <w10:wrap anchorx="page"/>
              </v:shape>
            </w:pict>
          </mc:Fallback>
        </mc:AlternateContent>
      </w:r>
    </w:p>
    <w:p w14:paraId="7D17B701" w14:textId="77777777" w:rsidR="008D429A" w:rsidRDefault="008D429A" w:rsidP="00434C8B">
      <w:pPr>
        <w:pStyle w:val="NormalnyWeb"/>
        <w:spacing w:before="0" w:beforeAutospacing="0" w:after="0" w:afterAutospacing="0"/>
        <w:jc w:val="center"/>
        <w:rPr>
          <w:rFonts w:asciiTheme="minorHAnsi" w:eastAsiaTheme="minorEastAsia" w:hAnsiTheme="minorHAnsi" w:cstheme="minorBidi"/>
          <w:bCs/>
          <w:color w:val="000000" w:themeColor="text1"/>
          <w:kern w:val="24"/>
          <w:sz w:val="20"/>
          <w:szCs w:val="22"/>
        </w:rPr>
      </w:pPr>
    </w:p>
    <w:p w14:paraId="11D48B17" w14:textId="77777777" w:rsidR="008D429A" w:rsidRDefault="008D429A" w:rsidP="00434C8B">
      <w:pPr>
        <w:pStyle w:val="NormalnyWeb"/>
        <w:spacing w:before="0" w:beforeAutospacing="0" w:after="0" w:afterAutospacing="0"/>
        <w:jc w:val="center"/>
        <w:rPr>
          <w:rFonts w:asciiTheme="minorHAnsi" w:eastAsiaTheme="minorEastAsia" w:hAnsiTheme="minorHAnsi" w:cstheme="minorBidi"/>
          <w:bCs/>
          <w:color w:val="000000" w:themeColor="text1"/>
          <w:kern w:val="24"/>
          <w:sz w:val="20"/>
          <w:szCs w:val="22"/>
        </w:rPr>
      </w:pPr>
    </w:p>
    <w:p w14:paraId="21E8B039" w14:textId="77777777" w:rsidR="008D429A" w:rsidRDefault="008D429A" w:rsidP="00434C8B">
      <w:pPr>
        <w:pStyle w:val="NormalnyWeb"/>
        <w:spacing w:before="0" w:beforeAutospacing="0" w:after="0" w:afterAutospacing="0"/>
        <w:jc w:val="center"/>
        <w:rPr>
          <w:rFonts w:asciiTheme="minorHAnsi" w:eastAsiaTheme="minorEastAsia" w:hAnsiTheme="minorHAnsi" w:cstheme="minorBidi"/>
          <w:bCs/>
          <w:color w:val="000000" w:themeColor="text1"/>
          <w:kern w:val="24"/>
          <w:sz w:val="20"/>
          <w:szCs w:val="22"/>
        </w:rPr>
      </w:pPr>
    </w:p>
    <w:p w14:paraId="76BD3D64" w14:textId="77777777" w:rsidR="008D429A" w:rsidRPr="008D429A" w:rsidRDefault="008D429A" w:rsidP="00434C8B">
      <w:pPr>
        <w:pStyle w:val="NormalnyWeb"/>
        <w:spacing w:before="0" w:beforeAutospacing="0" w:after="0" w:afterAutospacing="0"/>
        <w:jc w:val="center"/>
        <w:rPr>
          <w:rFonts w:asciiTheme="minorHAnsi" w:eastAsiaTheme="minorEastAsia" w:hAnsiTheme="minorHAnsi" w:cstheme="minorBidi"/>
          <w:bCs/>
          <w:color w:val="000000" w:themeColor="text1"/>
          <w:kern w:val="24"/>
          <w:sz w:val="18"/>
          <w:szCs w:val="18"/>
        </w:rPr>
      </w:pPr>
    </w:p>
    <w:p w14:paraId="54E9187E" w14:textId="77777777" w:rsidR="008D429A" w:rsidRPr="008D429A" w:rsidRDefault="00D81AC1" w:rsidP="00434C8B">
      <w:pPr>
        <w:pStyle w:val="NormalnyWeb"/>
        <w:spacing w:before="0" w:beforeAutospacing="0" w:after="0" w:afterAutospacing="0"/>
        <w:jc w:val="center"/>
        <w:rPr>
          <w:rFonts w:asciiTheme="minorHAnsi" w:eastAsiaTheme="minorEastAsia" w:hAnsiTheme="minorHAnsi" w:cstheme="minorBidi"/>
          <w:bCs/>
          <w:color w:val="000000" w:themeColor="text1"/>
          <w:kern w:val="24"/>
          <w:sz w:val="18"/>
          <w:szCs w:val="18"/>
        </w:rPr>
      </w:pPr>
      <w:r>
        <w:rPr>
          <w:rFonts w:asciiTheme="minorHAnsi" w:eastAsiaTheme="minorEastAsia" w:hAnsiTheme="minorHAnsi" w:cstheme="minorBidi"/>
          <w:bCs/>
          <w:noProof/>
          <w:color w:val="000000" w:themeColor="text1"/>
          <w:kern w:val="24"/>
          <w:sz w:val="20"/>
          <w:szCs w:val="22"/>
        </w:rPr>
        <mc:AlternateContent>
          <mc:Choice Requires="wps">
            <w:drawing>
              <wp:anchor distT="0" distB="0" distL="114300" distR="114300" simplePos="0" relativeHeight="252129280" behindDoc="0" locked="0" layoutInCell="1" allowOverlap="1" wp14:anchorId="12B0F4F3" wp14:editId="29B1C008">
                <wp:simplePos x="0" y="0"/>
                <wp:positionH relativeFrom="page">
                  <wp:posOffset>3756455</wp:posOffset>
                </wp:positionH>
                <wp:positionV relativeFrom="paragraph">
                  <wp:posOffset>106742</wp:posOffset>
                </wp:positionV>
                <wp:extent cx="331293" cy="1239295"/>
                <wp:effectExtent l="0" t="206375" r="0" b="205740"/>
                <wp:wrapNone/>
                <wp:docPr id="48" name="Strzałka w górę i w dół 48"/>
                <wp:cNvGraphicFramePr/>
                <a:graphic xmlns:a="http://schemas.openxmlformats.org/drawingml/2006/main">
                  <a:graphicData uri="http://schemas.microsoft.com/office/word/2010/wordprocessingShape">
                    <wps:wsp>
                      <wps:cNvSpPr/>
                      <wps:spPr>
                        <a:xfrm rot="7236908">
                          <a:off x="0" y="0"/>
                          <a:ext cx="331293" cy="1239295"/>
                        </a:xfrm>
                        <a:prstGeom prst="upDownArrow">
                          <a:avLst>
                            <a:gd name="adj1" fmla="val 50000"/>
                            <a:gd name="adj2" fmla="val 60501"/>
                          </a:avLst>
                        </a:prstGeom>
                        <a:solidFill>
                          <a:srgbClr val="00B0F0"/>
                        </a:solidFill>
                        <a:ln w="12700" cap="flat" cmpd="sng" algn="ctr">
                          <a:solidFill>
                            <a:schemeClr val="accent5">
                              <a:lumMod val="20000"/>
                              <a:lumOff val="8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C9AB53"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Strzałka w górę i w dół 48" o:spid="_x0000_s1026" type="#_x0000_t70" style="position:absolute;margin-left:295.8pt;margin-top:8.4pt;width:26.1pt;height:97.6pt;rotation:7904633fd;z-index:25212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zG4AIAAKoFAAAOAAAAZHJzL2Uyb0RvYy54bWysVEtu2zAQ3RfoHQjuG31sJ7ERuXBjuCiQ&#10;JgGcIusxRdlq+StJW06WuUXPkSOkuVeHlOw4bVdFtRBmOMM3nDefs/dbKciGW1drVdDsKKWEK6bL&#10;Wi0L+uVm9u6UEudBlSC04gW9446+H799c9aYEc/1SouSW4Igyo0aU9CV92aUJI6tuAR3pA1XaKy0&#10;leBRtcuktNAguhRJnqbHSaNtaaxm3Dk8nbZGOo74VcWZv6oqxz0RBcW3+fi38b8I/2R8BqOlBbOq&#10;WfcM+IdXSKgVBt1DTcEDWdv6DyhZM6udrvwR0zLRVVUzHnPAbLL0t2zmKzA85oLkOLOnyf0/WHa5&#10;ubakLgvax0opkFijubf38PzwDUhDlk+P9ucPUqNYPj0+PxB0Q84a40Z4dW6ubac5FAMB28pKYjUS&#10;fZL3jofpaaQFEyXbyPrdnnW+9YThYa+X5cMeJQxNWd4b5sNBCJG0WAHTWOc/ci1JEAq6NlPdqIm1&#10;uongsLlwPpJfdhlA+TWjpJICa7kBQQYpfl2tD3zyQ5/jdJBmXeAOEZ+wCx3gnRZ1OauFiIpdLs6F&#10;JQiPGaUf0lkMgFdeuQlFmpDWCcYnDLDDKwEeRWmQc6eWlIBY4ugwb2Myr27HMeD7MMAYV34Q/cRa&#10;ftZlGx4HYZceHmPDt8enu+PwqDBQASkS+ypISHEKbtVeiqaWKll7nE1Ry4JGqF2CQgUCeJwuZD7U&#10;KvRD2wFBWujyDrsqdgGm7Qyb1RjkApy/Bos1wUPcGf4Kf5XQSJDuJEpW2t7/7Tz4Y9ujlZIG5xXJ&#10;+74GyykRnxQOxDDr9xHWR6U/OMlRsYeWxaFFreW5xsJhl+Drohj8vdiJldXyFlfLJERFEyiGsdsy&#10;dcq5b/cILifGJ5PohkNtwF+ouWEBPPAU6L3Z3oI1Xft6bPxLvZttGMVmaxv+xTfcVHqy9rqq9wy3&#10;vHZ040KIteyWV9g4h3r0elmx418AAAD//wMAUEsDBBQABgAIAAAAIQDTmEOq3QAAAAoBAAAPAAAA&#10;ZHJzL2Rvd25yZXYueG1sTI/BTsMwDIbvSLxDZCRuLOmgUJWmEyBNO6JtHDhmiWkrGqdqsrbw9JgT&#10;3Gz50+/vrzaL78WEY+wCachWCgSSDa6jRsPbcXtTgIjJkDN9INTwhRE29eVFZUoXZtrjdEiN4BCK&#10;pdHQpjSUUkbbojdxFQYkvn2E0ZvE69hIN5qZw30v10rdS2864g+tGfClRft5OHsN8/duL+3zrnh9&#10;J++2g5vscpy0vr5anh5BJFzSHwy/+qwONTudwplcFL2GfK0yRjUUxS0IBh6ynIcTk3cqB1lX8n+F&#10;+gcAAP//AwBQSwECLQAUAAYACAAAACEAtoM4kv4AAADhAQAAEwAAAAAAAAAAAAAAAAAAAAAAW0Nv&#10;bnRlbnRfVHlwZXNdLnhtbFBLAQItABQABgAIAAAAIQA4/SH/1gAAAJQBAAALAAAAAAAAAAAAAAAA&#10;AC8BAABfcmVscy8ucmVsc1BLAQItABQABgAIAAAAIQC8/8zG4AIAAKoFAAAOAAAAAAAAAAAAAAAA&#10;AC4CAABkcnMvZTJvRG9jLnhtbFBLAQItABQABgAIAAAAIQDTmEOq3QAAAAoBAAAPAAAAAAAAAAAA&#10;AAAAADoFAABkcnMvZG93bnJldi54bWxQSwUGAAAAAAQABADzAAAARAYAAAAA&#10;" adj=",3493" fillcolor="#00b0f0" strokecolor="#d9e2f3 [664]" strokeweight="1pt">
                <w10:wrap anchorx="page"/>
              </v:shape>
            </w:pict>
          </mc:Fallback>
        </mc:AlternateContent>
      </w:r>
    </w:p>
    <w:p w14:paraId="0D5D7AA9" w14:textId="77777777" w:rsidR="008D429A" w:rsidRDefault="008D429A" w:rsidP="00434C8B">
      <w:pPr>
        <w:pStyle w:val="NormalnyWeb"/>
        <w:spacing w:before="0" w:beforeAutospacing="0" w:after="0" w:afterAutospacing="0"/>
        <w:jc w:val="center"/>
        <w:rPr>
          <w:rFonts w:asciiTheme="minorHAnsi" w:eastAsiaTheme="minorEastAsia" w:hAnsiTheme="minorHAnsi" w:cstheme="minorBidi"/>
          <w:bCs/>
          <w:color w:val="000000" w:themeColor="text1"/>
          <w:kern w:val="24"/>
          <w:sz w:val="20"/>
          <w:szCs w:val="22"/>
        </w:rPr>
      </w:pPr>
      <w:r>
        <w:rPr>
          <w:rFonts w:asciiTheme="minorHAnsi" w:eastAsiaTheme="minorEastAsia" w:hAnsiTheme="minorHAnsi" w:cstheme="minorBidi"/>
          <w:bCs/>
          <w:noProof/>
          <w:color w:val="000000" w:themeColor="text1"/>
          <w:kern w:val="24"/>
          <w:sz w:val="20"/>
          <w:szCs w:val="22"/>
        </w:rPr>
        <mc:AlternateContent>
          <mc:Choice Requires="wps">
            <w:drawing>
              <wp:anchor distT="0" distB="0" distL="114300" distR="114300" simplePos="0" relativeHeight="252108800" behindDoc="0" locked="0" layoutInCell="1" allowOverlap="1" wp14:anchorId="2320BDC3" wp14:editId="3A1CA6ED">
                <wp:simplePos x="0" y="0"/>
                <wp:positionH relativeFrom="column">
                  <wp:posOffset>370109</wp:posOffset>
                </wp:positionH>
                <wp:positionV relativeFrom="paragraph">
                  <wp:posOffset>10016</wp:posOffset>
                </wp:positionV>
                <wp:extent cx="2302882" cy="552090"/>
                <wp:effectExtent l="0" t="0" r="21590" b="19685"/>
                <wp:wrapNone/>
                <wp:docPr id="33" name="Prostokąt 33"/>
                <wp:cNvGraphicFramePr/>
                <a:graphic xmlns:a="http://schemas.openxmlformats.org/drawingml/2006/main">
                  <a:graphicData uri="http://schemas.microsoft.com/office/word/2010/wordprocessingShape">
                    <wps:wsp>
                      <wps:cNvSpPr/>
                      <wps:spPr>
                        <a:xfrm>
                          <a:off x="0" y="0"/>
                          <a:ext cx="2302882" cy="552090"/>
                        </a:xfrm>
                        <a:prstGeom prst="rect">
                          <a:avLst/>
                        </a:prstGeom>
                        <a:solidFill>
                          <a:srgbClr val="9999FF"/>
                        </a:solidFill>
                        <a:ln w="12700" cap="flat" cmpd="sng" algn="ctr">
                          <a:solidFill>
                            <a:srgbClr val="9999FF"/>
                          </a:solidFill>
                          <a:prstDash val="solid"/>
                          <a:miter lim="800000"/>
                        </a:ln>
                        <a:effectLst/>
                      </wps:spPr>
                      <wps:txbx>
                        <w:txbxContent>
                          <w:p w14:paraId="50797EF3" w14:textId="77777777" w:rsidR="005D4C4C" w:rsidRDefault="005D4C4C" w:rsidP="00540F63">
                            <w:pPr>
                              <w:spacing w:after="0"/>
                            </w:pPr>
                            <w:r>
                              <w:t>Cel I. SNP</w:t>
                            </w:r>
                          </w:p>
                          <w:p w14:paraId="600809AA" w14:textId="77777777" w:rsidR="005D4C4C" w:rsidRPr="00540F63" w:rsidRDefault="005D4C4C" w:rsidP="00540F63">
                            <w:pPr>
                              <w:spacing w:after="0"/>
                              <w:jc w:val="center"/>
                              <w:rPr>
                                <w:b/>
                              </w:rPr>
                            </w:pPr>
                            <w:r w:rsidRPr="00540F63">
                              <w:rPr>
                                <w:b/>
                              </w:rPr>
                              <w:t>Lepsze prawo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0BDC3" id="Prostokąt 33" o:spid="_x0000_s1036" style="position:absolute;left:0;text-align:left;margin-left:29.15pt;margin-top:.8pt;width:181.35pt;height:43.4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aG/fQIAAAcFAAAOAAAAZHJzL2Uyb0RvYy54bWysVMlu2zAQvRfoPxC8N5KVpHGMyIGRwEWB&#10;IDGQFDnTFGUR5VaStpze+2f9sD5SytoeiqI+0DOc4Sxv3ujsfK8V2QkfpDU1nRyUlAjDbSPNpqZf&#10;7pYfppSEyEzDlDWipg8i0PP5+3dnvZuJynZWNcITBDFh1ruadjG6WVEE3gnNwoF1wsDYWq9ZhOo3&#10;ReNZj+haFVVZfix66xvnLRch4PZyMNJ5jt+2gsebtg0iElVT1Bbz6fO5TmcxP2OzjWeuk3wsg/1D&#10;FZpJg6RPoS5ZZGTr5W+htOTeBtvGA251YdtWcpF7QDeT8k03tx1zIvcCcIJ7gin8v7D8erfyRDY1&#10;PTykxDCNGa1QYbRff/6IBJdAqHdhBsdbt/KjFiCmdvet1+kfjZB9RvXhCVWxj4Tjsjosq+m0ooTD&#10;dnxclacZ9uL5tfMhfhJWkyTU1GNqGUy2uwoRGeH66JKSBatks5RKZcVv1hfKkx3DhE/xWy5TyXjy&#10;yk0Z0oOf1UkJFnAGprWKRYjaofdgNpQwtQGFefQ596vX4e+SpCIvWeiGYnKEgWBaRrBcSV3TaZl+&#10;Y4nKpBZE5unYasJ6QDdJcb/e5+lM8pN0tbbNA0bm7cDl4PhSIu8VC3HFPMiLBrGQ8QZHqyy6tqNE&#10;SWf99z/dJ39wClZKeiwDEPm2ZV5Qoj4bsO10cnSUticrR8cnFRT/0rJ+aTFbfWExjQlW3/EsJv+o&#10;HsXWW32PvV2krDAxw5F7wH5ULuKwpNh8LhaL7IaNcSxemVvHU/AEXUL8bn/PvBu5E8G6a/u4OGz2&#10;hkKDb3pp7GIbbSszv55xBXOSgm3LHBq/DGmdX+rZ6/n7Nf8FAAD//wMAUEsDBBQABgAIAAAAIQAQ&#10;/fXR3gAAAAcBAAAPAAAAZHJzL2Rvd25yZXYueG1sTI9BS8NAEIXvgv9hGcFLsZu2psSYTRGhJ0Gx&#10;Cu1xmp0mwexsyG6b+O8dT3p88x7vfVNsJtepCw2h9WxgMU9AEVfetlwb+PzY3mWgQkS22HkmA98U&#10;YFNeXxWYWz/yO112sVZSwiFHA02Mfa51qBpyGOa+Jxbv5AeHUeRQazvgKOWu08skWWuHLctCgz09&#10;N1R97c7OwB7Tw348vb68pbNq20cbV4fZgzG3N9PTI6hIU/wLwy++oEMpTEd/ZhtUZyDNVpKU+xqU&#10;2PfLhbx2NJBlKeiy0P/5yx8AAAD//wMAUEsBAi0AFAAGAAgAAAAhALaDOJL+AAAA4QEAABMAAAAA&#10;AAAAAAAAAAAAAAAAAFtDb250ZW50X1R5cGVzXS54bWxQSwECLQAUAAYACAAAACEAOP0h/9YAAACU&#10;AQAACwAAAAAAAAAAAAAAAAAvAQAAX3JlbHMvLnJlbHNQSwECLQAUAAYACAAAACEA0smhv30CAAAH&#10;BQAADgAAAAAAAAAAAAAAAAAuAgAAZHJzL2Uyb0RvYy54bWxQSwECLQAUAAYACAAAACEAEP310d4A&#10;AAAHAQAADwAAAAAAAAAAAAAAAADXBAAAZHJzL2Rvd25yZXYueG1sUEsFBgAAAAAEAAQA8wAAAOIF&#10;AAAAAA==&#10;" fillcolor="#99f" strokecolor="#99f" strokeweight="1pt">
                <v:textbox>
                  <w:txbxContent>
                    <w:p w14:paraId="50797EF3" w14:textId="77777777" w:rsidR="005D4C4C" w:rsidRDefault="005D4C4C" w:rsidP="00540F63">
                      <w:pPr>
                        <w:spacing w:after="0"/>
                      </w:pPr>
                      <w:r>
                        <w:t>Cel I. SNP</w:t>
                      </w:r>
                    </w:p>
                    <w:p w14:paraId="600809AA" w14:textId="77777777" w:rsidR="005D4C4C" w:rsidRPr="00540F63" w:rsidRDefault="005D4C4C" w:rsidP="00540F63">
                      <w:pPr>
                        <w:spacing w:after="0"/>
                        <w:jc w:val="center"/>
                        <w:rPr>
                          <w:b/>
                        </w:rPr>
                      </w:pPr>
                      <w:r w:rsidRPr="00540F63">
                        <w:rPr>
                          <w:b/>
                        </w:rPr>
                        <w:t>Lepsze prawo</w:t>
                      </w:r>
                    </w:p>
                  </w:txbxContent>
                </v:textbox>
              </v:rect>
            </w:pict>
          </mc:Fallback>
        </mc:AlternateContent>
      </w:r>
    </w:p>
    <w:p w14:paraId="5637538D" w14:textId="77777777" w:rsidR="008D429A" w:rsidRDefault="008D429A" w:rsidP="00434C8B">
      <w:pPr>
        <w:pStyle w:val="NormalnyWeb"/>
        <w:spacing w:before="0" w:beforeAutospacing="0" w:after="0" w:afterAutospacing="0"/>
        <w:jc w:val="center"/>
        <w:rPr>
          <w:rFonts w:asciiTheme="minorHAnsi" w:eastAsiaTheme="minorEastAsia" w:hAnsiTheme="minorHAnsi" w:cstheme="minorBidi"/>
          <w:bCs/>
          <w:color w:val="000000" w:themeColor="text1"/>
          <w:kern w:val="24"/>
          <w:sz w:val="20"/>
          <w:szCs w:val="22"/>
        </w:rPr>
      </w:pPr>
    </w:p>
    <w:p w14:paraId="238D1DDE" w14:textId="77777777" w:rsidR="008D429A" w:rsidRDefault="008D429A" w:rsidP="00434C8B">
      <w:pPr>
        <w:pStyle w:val="NormalnyWeb"/>
        <w:spacing w:before="0" w:beforeAutospacing="0" w:after="0" w:afterAutospacing="0"/>
        <w:jc w:val="center"/>
        <w:rPr>
          <w:rFonts w:asciiTheme="minorHAnsi" w:eastAsiaTheme="minorEastAsia" w:hAnsiTheme="minorHAnsi" w:cstheme="minorBidi"/>
          <w:bCs/>
          <w:color w:val="000000" w:themeColor="text1"/>
          <w:kern w:val="24"/>
          <w:sz w:val="20"/>
          <w:szCs w:val="22"/>
        </w:rPr>
      </w:pPr>
    </w:p>
    <w:p w14:paraId="77BF98B9" w14:textId="77777777" w:rsidR="008D429A" w:rsidRDefault="008D429A" w:rsidP="00434C8B">
      <w:pPr>
        <w:pStyle w:val="NormalnyWeb"/>
        <w:spacing w:before="0" w:beforeAutospacing="0" w:after="0" w:afterAutospacing="0"/>
        <w:jc w:val="center"/>
        <w:rPr>
          <w:rFonts w:asciiTheme="minorHAnsi" w:eastAsiaTheme="minorEastAsia" w:hAnsiTheme="minorHAnsi" w:cstheme="minorBidi"/>
          <w:bCs/>
          <w:color w:val="000000" w:themeColor="text1"/>
          <w:kern w:val="24"/>
          <w:sz w:val="20"/>
          <w:szCs w:val="22"/>
        </w:rPr>
      </w:pPr>
    </w:p>
    <w:p w14:paraId="0C52F190" w14:textId="1BA58354" w:rsidR="008D429A" w:rsidRDefault="00135280" w:rsidP="00434C8B">
      <w:pPr>
        <w:pStyle w:val="NormalnyWeb"/>
        <w:spacing w:before="0" w:beforeAutospacing="0" w:after="0" w:afterAutospacing="0"/>
        <w:jc w:val="center"/>
        <w:rPr>
          <w:rFonts w:asciiTheme="minorHAnsi" w:eastAsiaTheme="minorEastAsia" w:hAnsiTheme="minorHAnsi" w:cstheme="minorBidi"/>
          <w:bCs/>
          <w:color w:val="000000" w:themeColor="text1"/>
          <w:kern w:val="24"/>
          <w:sz w:val="20"/>
          <w:szCs w:val="22"/>
        </w:rPr>
      </w:pPr>
      <w:r w:rsidRPr="00540F63">
        <w:rPr>
          <w:rFonts w:asciiTheme="minorHAnsi" w:eastAsiaTheme="minorEastAsia" w:hAnsiTheme="minorHAnsi" w:cstheme="minorBidi"/>
          <w:bCs/>
          <w:noProof/>
          <w:color w:val="000000" w:themeColor="text1"/>
          <w:kern w:val="24"/>
          <w:sz w:val="20"/>
          <w:szCs w:val="22"/>
        </w:rPr>
        <mc:AlternateContent>
          <mc:Choice Requires="wps">
            <w:drawing>
              <wp:anchor distT="0" distB="0" distL="114300" distR="114300" simplePos="0" relativeHeight="252121088" behindDoc="0" locked="0" layoutInCell="1" allowOverlap="1" wp14:anchorId="2B671802" wp14:editId="36E50914">
                <wp:simplePos x="0" y="0"/>
                <wp:positionH relativeFrom="margin">
                  <wp:posOffset>4053588</wp:posOffset>
                </wp:positionH>
                <wp:positionV relativeFrom="paragraph">
                  <wp:posOffset>53614</wp:posOffset>
                </wp:positionV>
                <wp:extent cx="2211705" cy="1058464"/>
                <wp:effectExtent l="0" t="0" r="17145" b="27940"/>
                <wp:wrapNone/>
                <wp:docPr id="41" name="Prostokąt 41"/>
                <wp:cNvGraphicFramePr/>
                <a:graphic xmlns:a="http://schemas.openxmlformats.org/drawingml/2006/main">
                  <a:graphicData uri="http://schemas.microsoft.com/office/word/2010/wordprocessingShape">
                    <wps:wsp>
                      <wps:cNvSpPr/>
                      <wps:spPr>
                        <a:xfrm>
                          <a:off x="0" y="0"/>
                          <a:ext cx="2211705" cy="1058464"/>
                        </a:xfrm>
                        <a:prstGeom prst="rect">
                          <a:avLst/>
                        </a:prstGeom>
                        <a:solidFill>
                          <a:schemeClr val="accent1">
                            <a:lumMod val="40000"/>
                            <a:lumOff val="60000"/>
                          </a:schemeClr>
                        </a:solidFill>
                        <a:ln w="12700" cap="flat" cmpd="sng" algn="ctr">
                          <a:solidFill>
                            <a:schemeClr val="accent1">
                              <a:lumMod val="40000"/>
                              <a:lumOff val="60000"/>
                            </a:schemeClr>
                          </a:solidFill>
                          <a:prstDash val="solid"/>
                          <a:miter lim="800000"/>
                        </a:ln>
                        <a:effectLst/>
                      </wps:spPr>
                      <wps:txbx>
                        <w:txbxContent>
                          <w:p w14:paraId="7839C956" w14:textId="77777777" w:rsidR="005D4C4C" w:rsidRDefault="005D4C4C" w:rsidP="00540F63">
                            <w:pPr>
                              <w:spacing w:after="0"/>
                            </w:pPr>
                            <w:r>
                              <w:t>Cel III. SOR</w:t>
                            </w:r>
                          </w:p>
                          <w:p w14:paraId="5BEDE43F" w14:textId="77777777" w:rsidR="005D4C4C" w:rsidRPr="00D81AC1" w:rsidRDefault="005D4C4C" w:rsidP="00D81AC1">
                            <w:pPr>
                              <w:jc w:val="center"/>
                              <w:rPr>
                                <w:b/>
                                <w:sz w:val="20"/>
                              </w:rPr>
                            </w:pPr>
                            <w:r w:rsidRPr="00D81AC1">
                              <w:rPr>
                                <w:rFonts w:eastAsia="Times New Roman" w:cs="Calibri"/>
                                <w:b/>
                                <w:sz w:val="20"/>
                                <w:lang w:eastAsia="pl-PL"/>
                              </w:rPr>
                              <w:t>Skuteczne państwo i instytucje służące wzrostowi oraz włączeniu społecznemu i gospodarczemu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71802" id="Prostokąt 41" o:spid="_x0000_s1037" style="position:absolute;left:0;text-align:left;margin-left:319.2pt;margin-top:4.2pt;width:174.15pt;height:83.35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rcBmwIAAIQFAAAOAAAAZHJzL2Uyb0RvYy54bWy0VMlu2zAQvRfoPxC8N5IMZakROTASpCiQ&#10;pgaSImeaoiyh3ErSltJ7/6wf1kdKdpb2VLQ+yJyFszy+mfOLQUmyE853Rle0OMopEZqbutObin65&#10;v353RokPTNdMGi0q+ig8vVi8fXPe27mYmdbIWjiCINrPe1vRNgQ7zzLPW6GYPzJWaBgb4xQLEN0m&#10;qx3rEV3JbJbnJ1lvXG2d4cJ7aK9GI12k+E0jePjcNF4EIiuK2kL6uvRdx2+2OGfzjWO27fhUBvuL&#10;KhTrNJIeQl2xwMjWdb+FUh13xpsmHHGjMtM0HRepB3RT5K+6uWuZFakXgOPtASb/78Ly293Kka6u&#10;aFlQopnCG61QYTBff/4IBEog1Fs/h+OdXblJ8jjGdofGqfiPRsiQUH08oCqGQDiUs1lRnObHlHDY&#10;ivz4rDwpY9Ts6bp1PnwQRpF4qKjDsyU02e7Gh9F17xKzeSO7+rqTMgmRKuJSOrJjeGTGudChSNfl&#10;Vn0y9agvc/zG54YapBjVJ3s1qkmki5FSbS+SSE16FD87RQzCGYjaSBZwVBbQeb2hhMkNJoAHl1K/&#10;uH0I/D9LjABdMd+OOVL+sV3VBYyY7FRFz2K3CQW0K3WET6QhmWCODz0+bTyFYT0kahQHFqxN/Qi+&#10;ODMOkrf8ukPeG+bDijlMDuDBNgif8WmkAWZmOlHSGvf9T/roD0LDSkmPSQSe37bMCUrkRw2qvy/K&#10;Mo5uEsrj0xkE99yyfm7RW3VpwAOwGdWlY/QPcn9snFEPWBrLmBUmpjlyjy83CZdh3BBYO1wsl8kN&#10;42pZuNF3lsfgEbqI+P3wwJydeBtA+Vuzn1o2f0Xf0Tfe1Ga5DabpErcj1COu4F0UMOqJgdNairvk&#10;uZy8npbn4hcAAAD//wMAUEsDBBQABgAIAAAAIQAX31vk3wAAAAkBAAAPAAAAZHJzL2Rvd25yZXYu&#10;eG1sTI9NT8MwDIbvSPyHyEjcWDq2daU0nVARCGlcGIhz1pqmonFKk/Xj3+Od4GRZ76PXj7PdZFsx&#10;YO8bRwqWiwgEUumqhmoFH+9PNwkIHzRVunWECmb0sMsvLzKdVm6kNxwOoRZcQj7VCkwIXSqlLw1a&#10;7ReuQ+Lsy/VWB177Wla9HrnctvI2imJpdUN8wegOC4Pl9+FkFaz2TbEeP83rc/EYfl4Gmt3Gzkpd&#10;X00P9yACTuEPhrM+q0POTkd3osqLVkG8StaMKjgPzu+SeAviyOB2swSZZ/L/B/kvAAAA//8DAFBL&#10;AQItABQABgAIAAAAIQC2gziS/gAAAOEBAAATAAAAAAAAAAAAAAAAAAAAAABbQ29udGVudF9UeXBl&#10;c10ueG1sUEsBAi0AFAAGAAgAAAAhADj9If/WAAAAlAEAAAsAAAAAAAAAAAAAAAAALwEAAF9yZWxz&#10;Ly5yZWxzUEsBAi0AFAAGAAgAAAAhAKNqtwGbAgAAhAUAAA4AAAAAAAAAAAAAAAAALgIAAGRycy9l&#10;Mm9Eb2MueG1sUEsBAi0AFAAGAAgAAAAhABffW+TfAAAACQEAAA8AAAAAAAAAAAAAAAAA9QQAAGRy&#10;cy9kb3ducmV2LnhtbFBLBQYAAAAABAAEAPMAAAABBgAAAAA=&#10;" fillcolor="#bdd6ee [1300]" strokecolor="#bdd6ee [1300]" strokeweight="1pt">
                <v:textbox>
                  <w:txbxContent>
                    <w:p w14:paraId="7839C956" w14:textId="77777777" w:rsidR="005D4C4C" w:rsidRDefault="005D4C4C" w:rsidP="00540F63">
                      <w:pPr>
                        <w:spacing w:after="0"/>
                      </w:pPr>
                      <w:r>
                        <w:t>Cel III. SOR</w:t>
                      </w:r>
                    </w:p>
                    <w:p w14:paraId="5BEDE43F" w14:textId="77777777" w:rsidR="005D4C4C" w:rsidRPr="00D81AC1" w:rsidRDefault="005D4C4C" w:rsidP="00D81AC1">
                      <w:pPr>
                        <w:jc w:val="center"/>
                        <w:rPr>
                          <w:b/>
                          <w:sz w:val="20"/>
                        </w:rPr>
                      </w:pPr>
                      <w:r w:rsidRPr="00D81AC1">
                        <w:rPr>
                          <w:rFonts w:eastAsia="Times New Roman" w:cs="Calibri"/>
                          <w:b/>
                          <w:sz w:val="20"/>
                          <w:lang w:eastAsia="pl-PL"/>
                        </w:rPr>
                        <w:t>Skuteczne państwo i instytucje służące wzrostowi oraz włączeniu społecznemu i gospodarczemu</w:t>
                      </w:r>
                    </w:p>
                  </w:txbxContent>
                </v:textbox>
                <w10:wrap anchorx="margin"/>
              </v:rect>
            </w:pict>
          </mc:Fallback>
        </mc:AlternateContent>
      </w:r>
      <w:r w:rsidR="008D429A">
        <w:rPr>
          <w:rFonts w:asciiTheme="minorHAnsi" w:eastAsiaTheme="minorEastAsia" w:hAnsiTheme="minorHAnsi" w:cstheme="minorBidi"/>
          <w:bCs/>
          <w:noProof/>
          <w:color w:val="000000" w:themeColor="text1"/>
          <w:kern w:val="24"/>
          <w:sz w:val="20"/>
          <w:szCs w:val="22"/>
        </w:rPr>
        <mc:AlternateContent>
          <mc:Choice Requires="wps">
            <w:drawing>
              <wp:anchor distT="0" distB="0" distL="114300" distR="114300" simplePos="0" relativeHeight="252116992" behindDoc="0" locked="0" layoutInCell="1" allowOverlap="1" wp14:anchorId="783C97B4" wp14:editId="4794CAC7">
                <wp:simplePos x="0" y="0"/>
                <wp:positionH relativeFrom="column">
                  <wp:posOffset>378736</wp:posOffset>
                </wp:positionH>
                <wp:positionV relativeFrom="paragraph">
                  <wp:posOffset>96987</wp:posOffset>
                </wp:positionV>
                <wp:extent cx="2294626" cy="552090"/>
                <wp:effectExtent l="0" t="0" r="10795" b="19685"/>
                <wp:wrapNone/>
                <wp:docPr id="39" name="Prostokąt 39"/>
                <wp:cNvGraphicFramePr/>
                <a:graphic xmlns:a="http://schemas.openxmlformats.org/drawingml/2006/main">
                  <a:graphicData uri="http://schemas.microsoft.com/office/word/2010/wordprocessingShape">
                    <wps:wsp>
                      <wps:cNvSpPr/>
                      <wps:spPr>
                        <a:xfrm>
                          <a:off x="0" y="0"/>
                          <a:ext cx="2294626" cy="552090"/>
                        </a:xfrm>
                        <a:prstGeom prst="rect">
                          <a:avLst/>
                        </a:prstGeom>
                        <a:solidFill>
                          <a:schemeClr val="accent6">
                            <a:lumMod val="40000"/>
                            <a:lumOff val="60000"/>
                          </a:schemeClr>
                        </a:solidFill>
                        <a:ln w="12700" cap="flat" cmpd="sng" algn="ctr">
                          <a:solidFill>
                            <a:schemeClr val="accent6">
                              <a:lumMod val="40000"/>
                              <a:lumOff val="60000"/>
                            </a:schemeClr>
                          </a:solidFill>
                          <a:prstDash val="solid"/>
                          <a:miter lim="800000"/>
                        </a:ln>
                        <a:effectLst/>
                      </wps:spPr>
                      <wps:txbx>
                        <w:txbxContent>
                          <w:p w14:paraId="38582916" w14:textId="77777777" w:rsidR="005D4C4C" w:rsidRPr="00540F63" w:rsidRDefault="005D4C4C" w:rsidP="00540F63">
                            <w:pPr>
                              <w:spacing w:after="0"/>
                              <w:rPr>
                                <w:sz w:val="20"/>
                                <w:szCs w:val="20"/>
                              </w:rPr>
                            </w:pPr>
                            <w:r w:rsidRPr="00540F63">
                              <w:rPr>
                                <w:sz w:val="20"/>
                                <w:szCs w:val="20"/>
                              </w:rPr>
                              <w:t>Cel II. SNP</w:t>
                            </w:r>
                          </w:p>
                          <w:p w14:paraId="292CFCF9" w14:textId="77777777" w:rsidR="005D4C4C" w:rsidRPr="00540F63" w:rsidRDefault="005D4C4C" w:rsidP="00540F63">
                            <w:pPr>
                              <w:spacing w:after="0"/>
                              <w:jc w:val="center"/>
                              <w:rPr>
                                <w:sz w:val="20"/>
                                <w:szCs w:val="20"/>
                              </w:rPr>
                            </w:pPr>
                            <w:r w:rsidRPr="00540F63">
                              <w:rPr>
                                <w:rFonts w:cs="Arial"/>
                                <w:b/>
                                <w:sz w:val="20"/>
                                <w:szCs w:val="20"/>
                              </w:rPr>
                              <w:t>Sprawne instytucje państwa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C97B4" id="Prostokąt 39" o:spid="_x0000_s1038" style="position:absolute;left:0;text-align:left;margin-left:29.8pt;margin-top:7.65pt;width:180.7pt;height:43.4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I01nAIAAIMFAAAOAAAAZHJzL2Uyb0RvYy54bWy0VE1v2zAMvQ/YfxB0X514adoEdYqgRYcB&#10;XRugHXpWZDk2pq9JSuzuvn/WH7Yn2Uk/ttOw5eCQFEWKj488O++UJDvhfGN0QcdHI0qE5qZs9Kag&#10;X++vPpxS4gPTJZNGi4I+Ck/PF+/fnbV2LnJTG1kKRxBE+3lrC1qHYOdZ5nktFPNHxgqNw8o4xQJU&#10;t8lKx1pEVzLLR6Np1hpXWme48B7Wy/6QLlL8qhI83FaVF4HIguJtIX1d+q7jN1ucsfnGMVs3fHgG&#10;+4tXKNZoJD2EumSBka1rfgulGu6MN1U44kZlpqoaLlINqGY8elPNXc2sSLUAHG8PMPl/F5bf7FaO&#10;NGVBP84o0UyhRyu8MJhvTz8DgREItdbP4XhnV27QPMRYblc5Ff9RCOkSqo8HVEUXCIcxz2eTaT6l&#10;hOPs+DgfzRLs2fNt63z4JIwiUSioQ9cSmGx37QMywnXvEpN5I5vyqpEyKZEp4kI6smPoMeNc6DBN&#10;1+VWfTFlb5+M8Ou7DTM40ZunezNSJM7FSCnhqyRSkxbszk8Qg3AGnlaSBYjKAjmvN5QwucEA8OBS&#10;6le3D4H/5xMjQJfM132OlL8vVzUBEyYbVdDTWO0efKkjfCLNyABz7HPf2SiFbt0lZozzPQnWpnwE&#10;XZzp58hbftUg7zXzYcUcBgfwYBmEW3wqaYCZGSRKauN+/Mke/cFnnFLSYhCB5/ctc4IS+VmD6bPx&#10;ZBInNymT45Mcint5sn55orfqwoAHY6wdy5MY/YPci5Uz6gE7Yxmz4ohpjtx95wblIvQLAluHi+Uy&#10;uWFaLQvX+s7yGDxCFxG/7x6YswNvAxh/Y/ZDy+Zv6Nv7xpvaLLfBVE3idoS6xxW8iwomPTFw2Epx&#10;lbzUk9fz7lz8AgAA//8DAFBLAwQUAAYACAAAACEAVerXKd8AAAAJAQAADwAAAGRycy9kb3ducmV2&#10;LnhtbEyPwU7DMBBE70j8g7VIXBC1a9qqTeNUCIkDohcK6tmJt0lEvI5itw39epYTPe7MaPZNvhl9&#10;J044xDaQgelEgUCqgmupNvD1+fq4BBGTJWe7QGjgByNsitub3GYunOkDT7tUCy6hmFkDTUp9JmWs&#10;GvQ2TkKPxN4hDN4mPodausGeudx3Uiu1kN62xB8a2+NLg9X37ugNJLyUdTW8r/b6jR62+9lWXeLS&#10;mPu78XkNIuGY/sPwh8/oUDBTGY7kougMzFcLTrI+fwLB/kxPeVvJgtIaZJHL6wXFLwAAAP//AwBQ&#10;SwECLQAUAAYACAAAACEAtoM4kv4AAADhAQAAEwAAAAAAAAAAAAAAAAAAAAAAW0NvbnRlbnRfVHlw&#10;ZXNdLnhtbFBLAQItABQABgAIAAAAIQA4/SH/1gAAAJQBAAALAAAAAAAAAAAAAAAAAC8BAABfcmVs&#10;cy8ucmVsc1BLAQItABQABgAIAAAAIQCMQI01nAIAAIMFAAAOAAAAAAAAAAAAAAAAAC4CAABkcnMv&#10;ZTJvRG9jLnhtbFBLAQItABQABgAIAAAAIQBV6tcp3wAAAAkBAAAPAAAAAAAAAAAAAAAAAPYEAABk&#10;cnMvZG93bnJldi54bWxQSwUGAAAAAAQABADzAAAAAgYAAAAA&#10;" fillcolor="#c5e0b3 [1305]" strokecolor="#c5e0b3 [1305]" strokeweight="1pt">
                <v:textbox>
                  <w:txbxContent>
                    <w:p w14:paraId="38582916" w14:textId="77777777" w:rsidR="005D4C4C" w:rsidRPr="00540F63" w:rsidRDefault="005D4C4C" w:rsidP="00540F63">
                      <w:pPr>
                        <w:spacing w:after="0"/>
                        <w:rPr>
                          <w:sz w:val="20"/>
                          <w:szCs w:val="20"/>
                        </w:rPr>
                      </w:pPr>
                      <w:r w:rsidRPr="00540F63">
                        <w:rPr>
                          <w:sz w:val="20"/>
                          <w:szCs w:val="20"/>
                        </w:rPr>
                        <w:t>Cel II. SNP</w:t>
                      </w:r>
                    </w:p>
                    <w:p w14:paraId="292CFCF9" w14:textId="77777777" w:rsidR="005D4C4C" w:rsidRPr="00540F63" w:rsidRDefault="005D4C4C" w:rsidP="00540F63">
                      <w:pPr>
                        <w:spacing w:after="0"/>
                        <w:jc w:val="center"/>
                        <w:rPr>
                          <w:sz w:val="20"/>
                          <w:szCs w:val="20"/>
                        </w:rPr>
                      </w:pPr>
                      <w:r w:rsidRPr="00540F63">
                        <w:rPr>
                          <w:rFonts w:cs="Arial"/>
                          <w:b/>
                          <w:sz w:val="20"/>
                          <w:szCs w:val="20"/>
                        </w:rPr>
                        <w:t>Sprawne instytucje państwa</w:t>
                      </w:r>
                    </w:p>
                  </w:txbxContent>
                </v:textbox>
              </v:rect>
            </w:pict>
          </mc:Fallback>
        </mc:AlternateContent>
      </w:r>
    </w:p>
    <w:p w14:paraId="6509DAA1" w14:textId="119BA8C0" w:rsidR="008D429A" w:rsidRDefault="008D429A" w:rsidP="00434C8B">
      <w:pPr>
        <w:pStyle w:val="NormalnyWeb"/>
        <w:spacing w:before="0" w:beforeAutospacing="0" w:after="0" w:afterAutospacing="0"/>
        <w:jc w:val="center"/>
        <w:rPr>
          <w:rFonts w:asciiTheme="minorHAnsi" w:eastAsiaTheme="minorEastAsia" w:hAnsiTheme="minorHAnsi" w:cstheme="minorBidi"/>
          <w:bCs/>
          <w:color w:val="000000" w:themeColor="text1"/>
          <w:kern w:val="24"/>
          <w:sz w:val="20"/>
          <w:szCs w:val="22"/>
        </w:rPr>
      </w:pPr>
    </w:p>
    <w:p w14:paraId="461550F8" w14:textId="6254C908" w:rsidR="008D429A" w:rsidRDefault="00324C76" w:rsidP="00434C8B">
      <w:pPr>
        <w:pStyle w:val="NormalnyWeb"/>
        <w:spacing w:before="0" w:beforeAutospacing="0" w:after="0" w:afterAutospacing="0"/>
        <w:jc w:val="center"/>
        <w:rPr>
          <w:rFonts w:asciiTheme="minorHAnsi" w:eastAsiaTheme="minorEastAsia" w:hAnsiTheme="minorHAnsi" w:cstheme="minorBidi"/>
          <w:bCs/>
          <w:color w:val="000000" w:themeColor="text1"/>
          <w:kern w:val="24"/>
          <w:sz w:val="20"/>
          <w:szCs w:val="22"/>
        </w:rPr>
      </w:pPr>
      <w:r>
        <w:rPr>
          <w:rFonts w:asciiTheme="minorHAnsi" w:eastAsiaTheme="minorEastAsia" w:hAnsiTheme="minorHAnsi" w:cstheme="minorBidi"/>
          <w:bCs/>
          <w:noProof/>
          <w:color w:val="000000" w:themeColor="text1"/>
          <w:kern w:val="24"/>
          <w:sz w:val="20"/>
          <w:szCs w:val="22"/>
        </w:rPr>
        <mc:AlternateContent>
          <mc:Choice Requires="wps">
            <w:drawing>
              <wp:anchor distT="0" distB="0" distL="114300" distR="114300" simplePos="0" relativeHeight="252133376" behindDoc="0" locked="0" layoutInCell="1" allowOverlap="1" wp14:anchorId="32340DD5" wp14:editId="26D6DF2D">
                <wp:simplePos x="0" y="0"/>
                <wp:positionH relativeFrom="column">
                  <wp:posOffset>2652425</wp:posOffset>
                </wp:positionH>
                <wp:positionV relativeFrom="paragraph">
                  <wp:posOffset>3616</wp:posOffset>
                </wp:positionV>
                <wp:extent cx="1252873" cy="289560"/>
                <wp:effectExtent l="0" t="228600" r="0" b="224790"/>
                <wp:wrapNone/>
                <wp:docPr id="50" name="Strzałka w lewo i prawo 50"/>
                <wp:cNvGraphicFramePr/>
                <a:graphic xmlns:a="http://schemas.openxmlformats.org/drawingml/2006/main">
                  <a:graphicData uri="http://schemas.microsoft.com/office/word/2010/wordprocessingShape">
                    <wps:wsp>
                      <wps:cNvSpPr/>
                      <wps:spPr>
                        <a:xfrm rot="1560502">
                          <a:off x="0" y="0"/>
                          <a:ext cx="1252873" cy="289560"/>
                        </a:xfrm>
                        <a:prstGeom prst="leftRightArrow">
                          <a:avLst/>
                        </a:prstGeom>
                        <a:solidFill>
                          <a:srgbClr val="00B0F0"/>
                        </a:solidFill>
                        <a:ln w="12700" cap="flat" cmpd="sng" algn="ctr">
                          <a:solidFill>
                            <a:schemeClr val="accent5">
                              <a:lumMod val="20000"/>
                              <a:lumOff val="8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B0DCA" id="Strzałka w lewo i prawo 50" o:spid="_x0000_s1026" type="#_x0000_t69" style="position:absolute;margin-left:208.85pt;margin-top:.3pt;width:98.65pt;height:22.8pt;rotation:1704484fd;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vgzrgIAAFgFAAAOAAAAZHJzL2Uyb0RvYy54bWysVM1uEzEQviPxDpbvdDehoWnUTRVaBSGV&#10;tiJFPU+83qyF7TG2k0175N14L8beJP2BE+JieX78zcw3Mz473xrNNtIHhbbig6OSM2kF1squKv7t&#10;bv5uzFmIYGvQaGXFH2Tg59O3b846N5FDbFHX0jMCsWHSuYq3MbpJUQTRSgPhCJ20ZGzQG4gk+lVR&#10;e+gI3ehiWJYfig597TwKGQJpL3sjn2b8ppEi3jRNkJHpilNuMZ8+n8t0FtMzmKw8uFaJXRrwD1kY&#10;UJaCHqAuIQJbe/UHlFHCY8AmHgk0BTaNEjLXQNUMylfVLFpwMtdC5AR3oCn8P1hxvbn1TNUVHxE9&#10;Fgz1aBH9I/z6+R1Yx7TskCnmiFdk5EJ8dS5M6NnC3fqdFOiait823jCPRPJg9KEclcNMCRXJtpnx&#10;hwPjchuZIOVgOBqOT95zJsg2HJ/SsxSi6LESpvMhfpJoKIVAwFo28atatXHmPXYZHzZXIfaP9s7p&#10;YUCt6rnSOgt+tbzQnm0gzUH5sZzv47xw05Z1KamTksgQQPPYaIh0NY4YCnbFGegVDbqIPsd+8ToP&#10;rTyEASGkjaPsp9fmC9Z9eBpbgqeEYUJqGs9ePd6rqfgDUqbiRZBU4iWEtn+UTT2WUZE2SStT8Qy1&#10;L1DbFEnmXdgRlTrY9yzdllg/0AzkvlHZwYm5oiBXEOIteNoGUtKGxxs6Go1EEO5unLXoH/+mT/40&#10;pGTlrKPtIvJ+rMFLzvRnS+N7Ojg+JtiYhePRyZAE/9yyfG6xa3OB1LhBzi5fk3/U+2vj0dzTRzBL&#10;UckEVlDsvk074SL2W09fiZCzWXajFXQQr+zCiQSeeEr03m3vwbvdwEUa1WvcbyJMXk1b75teWpyt&#10;IzYqj+ITr9TBJND65l7uvpr0PzyXs9fThzj9DQAA//8DAFBLAwQUAAYACAAAACEAL1QjMt4AAAAH&#10;AQAADwAAAGRycy9kb3ducmV2LnhtbEyPzU7DMBCE70i8g7VIXBB1EsCFEKdCRdALElA4cHTiJYnw&#10;T7CdNn17lhMcZ2c08221mq1hOwxx8E5CvsiAoWu9Hlwn4f3t4fwaWEzKaWW8QwkHjLCqj48qVWq/&#10;d6+426aOUYmLpZLQpzSWnMe2R6viwo/oyPv0wapEMnRcB7Wncmt4kWWCWzU4WujViOse26/tZCU8&#10;Ft06M83Z0/PFtBH34UUcPm6+pTw9me9ugSWc018YfvEJHWpiavzkdGRGwmW+XFJUggBGtsiv6LWG&#10;7qIAXlf8P3/9AwAA//8DAFBLAQItABQABgAIAAAAIQC2gziS/gAAAOEBAAATAAAAAAAAAAAAAAAA&#10;AAAAAABbQ29udGVudF9UeXBlc10ueG1sUEsBAi0AFAAGAAgAAAAhADj9If/WAAAAlAEAAAsAAAAA&#10;AAAAAAAAAAAALwEAAF9yZWxzLy5yZWxzUEsBAi0AFAAGAAgAAAAhAMPm+DOuAgAAWAUAAA4AAAAA&#10;AAAAAAAAAAAALgIAAGRycy9lMm9Eb2MueG1sUEsBAi0AFAAGAAgAAAAhAC9UIzLeAAAABwEAAA8A&#10;AAAAAAAAAAAAAAAACAUAAGRycy9kb3ducmV2LnhtbFBLBQYAAAAABAAEAPMAAAATBgAAAAA=&#10;" adj="2496" fillcolor="#00b0f0" strokecolor="#d9e2f3 [664]" strokeweight="1pt"/>
            </w:pict>
          </mc:Fallback>
        </mc:AlternateContent>
      </w:r>
    </w:p>
    <w:p w14:paraId="3AD004F3" w14:textId="77777777" w:rsidR="008D429A" w:rsidRDefault="008D429A" w:rsidP="00434C8B">
      <w:pPr>
        <w:pStyle w:val="NormalnyWeb"/>
        <w:spacing w:before="0" w:beforeAutospacing="0" w:after="0" w:afterAutospacing="0"/>
        <w:jc w:val="center"/>
        <w:rPr>
          <w:rFonts w:asciiTheme="minorHAnsi" w:eastAsiaTheme="minorEastAsia" w:hAnsiTheme="minorHAnsi" w:cstheme="minorBidi"/>
          <w:bCs/>
          <w:color w:val="000000" w:themeColor="text1"/>
          <w:kern w:val="24"/>
          <w:sz w:val="20"/>
          <w:szCs w:val="22"/>
        </w:rPr>
      </w:pPr>
    </w:p>
    <w:p w14:paraId="595AA35C" w14:textId="77777777" w:rsidR="008D429A" w:rsidRDefault="008D429A" w:rsidP="00434C8B">
      <w:pPr>
        <w:pStyle w:val="NormalnyWeb"/>
        <w:spacing w:before="0" w:beforeAutospacing="0" w:after="0" w:afterAutospacing="0"/>
        <w:jc w:val="center"/>
        <w:rPr>
          <w:rFonts w:asciiTheme="minorHAnsi" w:eastAsiaTheme="minorEastAsia" w:hAnsiTheme="minorHAnsi" w:cstheme="minorBidi"/>
          <w:bCs/>
          <w:color w:val="000000" w:themeColor="text1"/>
          <w:kern w:val="24"/>
          <w:sz w:val="20"/>
          <w:szCs w:val="22"/>
        </w:rPr>
      </w:pPr>
    </w:p>
    <w:p w14:paraId="0539EC66" w14:textId="77777777" w:rsidR="008D429A" w:rsidRDefault="00324C76" w:rsidP="00434C8B">
      <w:pPr>
        <w:pStyle w:val="NormalnyWeb"/>
        <w:spacing w:before="0" w:beforeAutospacing="0" w:after="0" w:afterAutospacing="0"/>
        <w:jc w:val="center"/>
        <w:rPr>
          <w:rFonts w:asciiTheme="minorHAnsi" w:eastAsiaTheme="minorEastAsia" w:hAnsiTheme="minorHAnsi" w:cstheme="minorBidi"/>
          <w:bCs/>
          <w:color w:val="000000" w:themeColor="text1"/>
          <w:kern w:val="24"/>
          <w:sz w:val="20"/>
          <w:szCs w:val="22"/>
        </w:rPr>
      </w:pPr>
      <w:r>
        <w:rPr>
          <w:rFonts w:asciiTheme="minorHAnsi" w:eastAsiaTheme="minorEastAsia" w:hAnsiTheme="minorHAnsi" w:cstheme="minorBidi"/>
          <w:bCs/>
          <w:noProof/>
          <w:color w:val="000000" w:themeColor="text1"/>
          <w:kern w:val="24"/>
          <w:sz w:val="20"/>
          <w:szCs w:val="22"/>
        </w:rPr>
        <mc:AlternateContent>
          <mc:Choice Requires="wps">
            <w:drawing>
              <wp:anchor distT="0" distB="0" distL="114300" distR="114300" simplePos="0" relativeHeight="252139520" behindDoc="0" locked="0" layoutInCell="1" allowOverlap="1" wp14:anchorId="794028FA" wp14:editId="5C953F1E">
                <wp:simplePos x="0" y="0"/>
                <wp:positionH relativeFrom="column">
                  <wp:posOffset>2641600</wp:posOffset>
                </wp:positionH>
                <wp:positionV relativeFrom="paragraph">
                  <wp:posOffset>113030</wp:posOffset>
                </wp:positionV>
                <wp:extent cx="1535204" cy="289560"/>
                <wp:effectExtent l="0" t="323850" r="0" b="320040"/>
                <wp:wrapNone/>
                <wp:docPr id="52" name="Strzałka w lewo i prawo 52"/>
                <wp:cNvGraphicFramePr/>
                <a:graphic xmlns:a="http://schemas.openxmlformats.org/drawingml/2006/main">
                  <a:graphicData uri="http://schemas.microsoft.com/office/word/2010/wordprocessingShape">
                    <wps:wsp>
                      <wps:cNvSpPr/>
                      <wps:spPr>
                        <a:xfrm rot="1862066">
                          <a:off x="0" y="0"/>
                          <a:ext cx="1535204" cy="289560"/>
                        </a:xfrm>
                        <a:prstGeom prst="leftRightArrow">
                          <a:avLst/>
                        </a:prstGeom>
                        <a:solidFill>
                          <a:schemeClr val="bg2">
                            <a:lumMod val="90000"/>
                          </a:schemeClr>
                        </a:solidFill>
                        <a:ln w="12700" cap="flat" cmpd="sng" algn="ctr">
                          <a:solidFill>
                            <a:schemeClr val="bg2">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632D2" id="Strzałka w lewo i prawo 52" o:spid="_x0000_s1026" type="#_x0000_t69" style="position:absolute;margin-left:208pt;margin-top:8.9pt;width:120.9pt;height:22.8pt;rotation:2033873fd;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SyNogIAAGAFAAAOAAAAZHJzL2Uyb0RvYy54bWysVMFu2zAMvQ/YPwi6r3a8JE2DOkXQosOA&#10;rg2WDj0rsmwLk0RNUuK0x/3b/muU7LRBt8M2zAdDFKkn8vFR5xd7rchOOC/BlHR0klMiDIdKmqak&#10;X+6v380o8YGZiikwoqSPwtOLxds3552diwJaUJVwBEGMn3e2pG0Idp5lnrdCM38CVhh01uA0C2i6&#10;Jqsc6xBdq6zI82nWgausAy68x92r3kkXCb+uBQ93de1FIKqkmFtIf5f+m/jPFuds3jhmW8mHNNg/&#10;ZKGZNHjpM9QVC4xsnfwFSkvuwEMdTjjoDOpacpFqwGpG+atq1i2zItWC5Hj7TJP/f7D8drdyRFYl&#10;nRSUGKaxR+vgntiP718Z6YgSHRBJLPIKBEOQr876OR5b25UbLI/LWPy+dpo4QJJHs2mRT6eJEiyS&#10;7BPjj8+Mi30gHDdHk/eTIh9TwtFXzM4m09SSrMeKmNb58EGAxhQ8AitRh8+yacPSOegSPtvd+ICZ&#10;4KFDcDzoQcnqWiqVjKgncakc2TFUwqYp0lG11Z+g6vfOcvxifYiT5BfDe+sYSRnSYd7FKQYTzlCy&#10;tWIBl9oiid40lDDV4Czw4NIdf5vH6eSP8oilXjHf9smnS3oxaxlwopTUJZ3Fkg41KROJEGkmBsJi&#10;J/vexdUGqkfUQuof1uYtv5Z4yQ3zYcUcTgVu4qSHO/zVCpAFGFaUtOCefrcf41Gs6KWkwylDhr5t&#10;mROUqI8GZXw2Go/jWCZjPDkt0HDHns2xx2z1JWD7Rim7tIzxQR2WtQP9gA/CMt6KLmY43t33YjAu&#10;Qz/9+KRwsVymMBxFy8KNWVsewQ+yu98/MGcH4QWU7C0cJpLNX6muj40nDSy3AWqZJPnCKyopGjjG&#10;SVPDkxPfiWM7Rb08jIufAAAA//8DAFBLAwQUAAYACAAAACEAU2inIdwAAAAJAQAADwAAAGRycy9k&#10;b3ducmV2LnhtbEyPzU7DQAyE70i8w8pI3OimpaRVyKaqkBAHTg0VXN3E+VGy3pDdpuHtcU9wG2tG&#10;4/nS3Wx7NdHoW8cGlosIFHHhypZrA8eP14ctKB+QS+wdk4Ef8rDLbm9STEp34QNNeaiVlLBP0EAT&#10;wpBo7YuGLPqFG4jFq9xoMcg51roc8SLltterKIq1xZblQ4MDvTRUdPnZSssUHZj3b/n7cVV19NVh&#10;ZT+/jbm/m/fPoALN4S8M1/kyHTLZdHJnLr3qDayXsbAEMTaCIIH46SpOIh7XoLNU/yfIfgEAAP//&#10;AwBQSwECLQAUAAYACAAAACEAtoM4kv4AAADhAQAAEwAAAAAAAAAAAAAAAAAAAAAAW0NvbnRlbnRf&#10;VHlwZXNdLnhtbFBLAQItABQABgAIAAAAIQA4/SH/1gAAAJQBAAALAAAAAAAAAAAAAAAAAC8BAABf&#10;cmVscy8ucmVsc1BLAQItABQABgAIAAAAIQC9mSyNogIAAGAFAAAOAAAAAAAAAAAAAAAAAC4CAABk&#10;cnMvZTJvRG9jLnhtbFBLAQItABQABgAIAAAAIQBTaKch3AAAAAkBAAAPAAAAAAAAAAAAAAAAAPwE&#10;AABkcnMvZG93bnJldi54bWxQSwUGAAAAAAQABADzAAAABQYAAAAA&#10;" adj="2037" fillcolor="#cfcdcd [2894]" strokecolor="#aeaaaa [2414]" strokeweight="1pt"/>
            </w:pict>
          </mc:Fallback>
        </mc:AlternateContent>
      </w:r>
      <w:r>
        <w:rPr>
          <w:rFonts w:asciiTheme="minorHAnsi" w:eastAsiaTheme="minorEastAsia" w:hAnsiTheme="minorHAnsi" w:cstheme="minorBidi"/>
          <w:bCs/>
          <w:noProof/>
          <w:color w:val="000000" w:themeColor="text1"/>
          <w:kern w:val="24"/>
          <w:sz w:val="20"/>
          <w:szCs w:val="22"/>
        </w:rPr>
        <mc:AlternateContent>
          <mc:Choice Requires="wps">
            <w:drawing>
              <wp:anchor distT="0" distB="0" distL="114300" distR="114300" simplePos="0" relativeHeight="252127232" behindDoc="0" locked="0" layoutInCell="1" allowOverlap="1" wp14:anchorId="61BB0919" wp14:editId="5F58E03E">
                <wp:simplePos x="0" y="0"/>
                <wp:positionH relativeFrom="page">
                  <wp:posOffset>3932009</wp:posOffset>
                </wp:positionH>
                <wp:positionV relativeFrom="paragraph">
                  <wp:posOffset>12730</wp:posOffset>
                </wp:positionV>
                <wp:extent cx="294640" cy="1752246"/>
                <wp:effectExtent l="0" t="404813" r="0" b="405447"/>
                <wp:wrapNone/>
                <wp:docPr id="47" name="Strzałka w górę i w dół 47"/>
                <wp:cNvGraphicFramePr/>
                <a:graphic xmlns:a="http://schemas.openxmlformats.org/drawingml/2006/main">
                  <a:graphicData uri="http://schemas.microsoft.com/office/word/2010/wordprocessingShape">
                    <wps:wsp>
                      <wps:cNvSpPr/>
                      <wps:spPr>
                        <a:xfrm rot="3243187">
                          <a:off x="0" y="0"/>
                          <a:ext cx="294640" cy="1752246"/>
                        </a:xfrm>
                        <a:prstGeom prst="upDownArrow">
                          <a:avLst>
                            <a:gd name="adj1" fmla="val 50000"/>
                            <a:gd name="adj2" fmla="val 60501"/>
                          </a:avLst>
                        </a:prstGeom>
                        <a:solidFill>
                          <a:srgbClr val="00B0F0"/>
                        </a:solidFill>
                        <a:ln>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88723" id="Strzałka w górę i w dół 47" o:spid="_x0000_s1026" type="#_x0000_t70" style="position:absolute;margin-left:309.6pt;margin-top:1pt;width:23.2pt;height:137.95pt;rotation:3542425fd;z-index:25212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k0T/QIAAGcGAAAOAAAAZHJzL2Uyb0RvYy54bWysVdtOGzEQfa/Uf7D8XvbSXCBig1JQqkoU&#10;UEPFs+O1s9t6bdd2sgmP/EW/g0+g/FfH3guhoD5UzcPKnsuZmTPjyfHJthJow4wtlcxwchBjxCRV&#10;eSlXGf56PX93iJF1ROZEKMkyvGMWn0zfvjmu9YSlqlAiZwYBiLSTWme4cE5PosjSglXEHijNJCi5&#10;MhVxcDWrKDekBvRKRGkcj6JamVwbRZm1ID1rlHga8Dln1F1ybplDIsOQmwtfE75L/42mx2SyMkQX&#10;JW3TIP+QRUVKCUF7qDPiCFqb8gVUVVKjrOLugKoqUpyXlIUaoJok/qOaRUE0C7UAOVb3NNn/B0sv&#10;NlcGlXmGB2OMJKmgRwtnbsnj3XeCarR6uDe/fqISjvnD/eMdAjPgrNZ2Aq4LfWXam4WjJ2DLTYWM&#10;AqLfp4P3yeE40AKFom1gfdezzrYOURCmR4PRAHpDQZWMh2k6GPkQUYPlMbWx7iNTFfKHDK/1marl&#10;zBhVB3CyObcukJ+3FZD8W4IRrwT0ckMEGsbwa3u9Z5Pu24ziYZy0gVtESKEL7eGtEmU+L4UIF7Na&#10;ngqDAB4qij/E8xAAXJ6ZCfnS0882630JpUy6YahErKvPKm8wYbq7nEEMU9yIDzuxj9QhBbb24oLO&#10;B458m5rGhJPbCebTEfIL49B0T36I2wM1MZqUkkZVkJw14p7FF6EDoEfmwE6P3QJ0ST7Hbjrc2ntX&#10;Fl5r7xz/LbHGufcIkZV0vXNVSmVeAxCuazFv7DuSGmo8S0uV7+BJhBGGqbSazksYu3Ni3RUxMFAg&#10;hIXnLuHDhaozrNoTRoUyt6/JvT28WdBiVMOyybD9sSaGYSQ+SXjNR8nAvwAXLoPhOIWL2dcs9zVy&#10;XZ0qmDoYccguHL29E92RG1XdwF6c+aigIpJC7AxTZ7rLqWuWIGxWymazYAYbSRN3LheaenDPqh//&#10;6+0NMbp9ew5e7YXqFhOZhJfStOPJ1ntKNVs7xUvnlU+8thfYZnB6ti7378Hq6f9h+hsAAP//AwBQ&#10;SwMEFAAGAAgAAAAhAE3PbjXgAAAACwEAAA8AAABkcnMvZG93bnJldi54bWxMj81OwzAQhO9IvIO1&#10;SNyo3R/SksapKiSgh1za8gBuvE1S4nUUu014e5YTHHdndvabbDO6VtywD40nDdOJAoFUettQpeHz&#10;+Pa0AhGiIWtaT6jhGwNs8vu7zKTWD7TH2yFWgkMopEZDHWOXShnKGp0JE98hsXb2vTORx76StjcD&#10;h7tWzpRKpDMN8YfadPhaY/l1uDrGOO/ry+CPu22RvCzlThX48V5o/fgwbtcgIo7xzwy/+HwDOTOd&#10;/JVsEK2GZ7VYsJWFacId2LFcqTmIE2+S+Qxknsn/HfIfAAAA//8DAFBLAQItABQABgAIAAAAIQC2&#10;gziS/gAAAOEBAAATAAAAAAAAAAAAAAAAAAAAAABbQ29udGVudF9UeXBlc10ueG1sUEsBAi0AFAAG&#10;AAgAAAAhADj9If/WAAAAlAEAAAsAAAAAAAAAAAAAAAAALwEAAF9yZWxzLy5yZWxzUEsBAi0AFAAG&#10;AAgAAAAhABcKTRP9AgAAZwYAAA4AAAAAAAAAAAAAAAAALgIAAGRycy9lMm9Eb2MueG1sUEsBAi0A&#10;FAAGAAgAAAAhAE3PbjXgAAAACwEAAA8AAAAAAAAAAAAAAAAAVwUAAGRycy9kb3ducmV2LnhtbFBL&#10;BQYAAAAABAAEAPMAAABkBgAAAAA=&#10;" adj=",2197" fillcolor="#00b0f0" strokecolor="#d9e2f3 [664]" strokeweight="1pt">
                <w10:wrap anchorx="page"/>
              </v:shape>
            </w:pict>
          </mc:Fallback>
        </mc:AlternateContent>
      </w:r>
      <w:r w:rsidR="008D429A">
        <w:rPr>
          <w:rFonts w:asciiTheme="minorHAnsi" w:eastAsiaTheme="minorEastAsia" w:hAnsiTheme="minorHAnsi" w:cstheme="minorBidi"/>
          <w:bCs/>
          <w:noProof/>
          <w:color w:val="000000" w:themeColor="text1"/>
          <w:kern w:val="24"/>
          <w:sz w:val="20"/>
          <w:szCs w:val="22"/>
        </w:rPr>
        <mc:AlternateContent>
          <mc:Choice Requires="wps">
            <w:drawing>
              <wp:anchor distT="0" distB="0" distL="114300" distR="114300" simplePos="0" relativeHeight="252114944" behindDoc="0" locked="0" layoutInCell="1" allowOverlap="1" wp14:anchorId="6F9F9465" wp14:editId="580CD9C8">
                <wp:simplePos x="0" y="0"/>
                <wp:positionH relativeFrom="column">
                  <wp:posOffset>395988</wp:posOffset>
                </wp:positionH>
                <wp:positionV relativeFrom="paragraph">
                  <wp:posOffset>98665</wp:posOffset>
                </wp:positionV>
                <wp:extent cx="2294627" cy="698739"/>
                <wp:effectExtent l="0" t="0" r="10795" b="25400"/>
                <wp:wrapNone/>
                <wp:docPr id="38" name="Prostokąt 38"/>
                <wp:cNvGraphicFramePr/>
                <a:graphic xmlns:a="http://schemas.openxmlformats.org/drawingml/2006/main">
                  <a:graphicData uri="http://schemas.microsoft.com/office/word/2010/wordprocessingShape">
                    <wps:wsp>
                      <wps:cNvSpPr/>
                      <wps:spPr>
                        <a:xfrm>
                          <a:off x="0" y="0"/>
                          <a:ext cx="2294627" cy="698739"/>
                        </a:xfrm>
                        <a:prstGeom prst="rect">
                          <a:avLst/>
                        </a:prstGeom>
                        <a:solidFill>
                          <a:schemeClr val="accent4">
                            <a:lumMod val="40000"/>
                            <a:lumOff val="60000"/>
                          </a:schemeClr>
                        </a:solidFill>
                        <a:ln w="12700" cap="flat" cmpd="sng" algn="ctr">
                          <a:solidFill>
                            <a:schemeClr val="accent4">
                              <a:lumMod val="40000"/>
                              <a:lumOff val="60000"/>
                            </a:schemeClr>
                          </a:solidFill>
                          <a:prstDash val="solid"/>
                          <a:miter lim="800000"/>
                        </a:ln>
                        <a:effectLst/>
                      </wps:spPr>
                      <wps:txbx>
                        <w:txbxContent>
                          <w:p w14:paraId="2FE5EE60" w14:textId="77777777" w:rsidR="005D4C4C" w:rsidRDefault="005D4C4C" w:rsidP="00436E62">
                            <w:pPr>
                              <w:spacing w:after="0"/>
                              <w:jc w:val="center"/>
                              <w:rPr>
                                <w:rFonts w:eastAsia="Times New Roman" w:cstheme="minorHAnsi"/>
                                <w:b/>
                                <w:iCs/>
                                <w:color w:val="000000" w:themeColor="text1"/>
                                <w:sz w:val="18"/>
                              </w:rPr>
                            </w:pPr>
                            <w:r>
                              <w:t>Cel III. SNP</w:t>
                            </w:r>
                            <w:r w:rsidRPr="00540F63">
                              <w:rPr>
                                <w:rFonts w:eastAsia="Times New Roman" w:cstheme="minorHAnsi"/>
                                <w:b/>
                                <w:iCs/>
                                <w:color w:val="000000" w:themeColor="text1"/>
                                <w:sz w:val="18"/>
                              </w:rPr>
                              <w:t xml:space="preserve"> </w:t>
                            </w:r>
                          </w:p>
                          <w:p w14:paraId="22F6B45D" w14:textId="77777777" w:rsidR="005D4C4C" w:rsidRDefault="005D4C4C" w:rsidP="008D429A">
                            <w:pPr>
                              <w:jc w:val="center"/>
                            </w:pPr>
                            <w:r w:rsidRPr="00F21196">
                              <w:rPr>
                                <w:rFonts w:eastAsia="Times New Roman" w:cstheme="minorHAnsi"/>
                                <w:b/>
                                <w:iCs/>
                                <w:color w:val="000000" w:themeColor="text1"/>
                                <w:sz w:val="18"/>
                              </w:rPr>
                              <w:t>Podniesienie sprawności realizacji zadań państwa poprzez wykorzystanie technologii cyfrowych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F9465" id="Prostokąt 38" o:spid="_x0000_s1039" style="position:absolute;left:0;text-align:left;margin-left:31.2pt;margin-top:7.75pt;width:180.7pt;height:5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lscnQIAAIMFAAAOAAAAZHJzL2Uyb0RvYy54bWy0VE1v2zAMvQ/YfxB0X524WdIEdYqgRYcB&#10;3RqgHXpWZDk2pq9JSuzuvn+2H7Yn2Uk/ttOw5eCQFEWKj488v+iUJHvhfGN0QccnI0qE5qZs9Lag&#10;X+6v351R4gPTJZNGi4I+Ck8vlm/fnLd2IXJTG1kKRxBE+0VrC1qHYBdZ5nktFPMnxgqNw8o4xQJU&#10;t81Kx1pEVzLLR6Np1hpXWme48B7Wq/6QLlP8qhI83FaVF4HIguJtIX1d+m7iN1ues8XWMVs3fHgG&#10;+4tXKNZoJD2GumKBkZ1rfgulGu6MN1U44UZlpqoaLlINqGY8elXNXc2sSLUAHG+PMPl/F5Z/3q8d&#10;acqCnqJTmin0aI0XBvP1549AYARCrfULON7ZtRs0DzGW21VOxX8UQrqE6uMRVdEFwmHM8/lkms8o&#10;4Tibzs9mp/MYNHu6bZ0PH4RRJAoFdehaApPtb3zoXQ8uMZk3simvGymTEpkiLqUje4YeM86FDpN0&#10;Xe7UJ1P29skIv77bMIMTvXl6MOM1iXMxUnrbiyRSkxbszmeIQTgDTyvJAkRlgZzXW0qY3GIAeHAp&#10;9Yvbx8D/84kRoCvm6z5Hyt+Xq5qACZONKuhZrDahgHKljvCJNCMDzLHPfWejFLpNl5gxPo2Romlj&#10;ykfQxZl+jrzl1w3y3jAf1sxhcAAPlkG4xaeSBpiZQaKkNu77n+zRH3zGKSUtBhF4ftsxJyiRHzWY&#10;Ph9PJnFykzJ5P8uhuOcnm+cneqcuDXgwxtqxPInRP8iDWDmjHrAzVjErjpjmyN13blAuQ78gsHW4&#10;WK2SG6bVsnCj7yyPwSN0EfH77oE5O/A2gPGfzWFo2eIVfXvfeFOb1S6YqkncfsIVvIsKJj0xcNhK&#10;cZU815PX0+5c/gIAAP//AwBQSwMEFAAGAAgAAAAhAFRh+evbAAAACQEAAA8AAABkcnMvZG93bnJl&#10;di54bWxMj81OwzAQhO9IvIO1SNyog9uGKsSpEOJHPdLSuxMvcUS8DrGbhrdnOcFxZ0az35Tb2fdi&#10;wjF2gTTcLjIQSE2wHbUa3g/PNxsQMRmypg+EGr4xwra6vChNYcOZ3nDap1ZwCcXCaHApDYWUsXHo&#10;TVyEAYm9jzB6k/gcW2lHc+Zy30uVZbn0piP+4MyAjw6bz/3JaziMT3c1HZuw+3LTSz69Kr9beq2v&#10;r+aHexAJ5/QXhl98RoeKmepwIhtFryFXK06yvl6DYH+lljylZkGxIqtS/l9Q/QAAAP//AwBQSwEC&#10;LQAUAAYACAAAACEAtoM4kv4AAADhAQAAEwAAAAAAAAAAAAAAAAAAAAAAW0NvbnRlbnRfVHlwZXNd&#10;LnhtbFBLAQItABQABgAIAAAAIQA4/SH/1gAAAJQBAAALAAAAAAAAAAAAAAAAAC8BAABfcmVscy8u&#10;cmVsc1BLAQItABQABgAIAAAAIQDoslscnQIAAIMFAAAOAAAAAAAAAAAAAAAAAC4CAABkcnMvZTJv&#10;RG9jLnhtbFBLAQItABQABgAIAAAAIQBUYfnr2wAAAAkBAAAPAAAAAAAAAAAAAAAAAPcEAABkcnMv&#10;ZG93bnJldi54bWxQSwUGAAAAAAQABADzAAAA/wUAAAAA&#10;" fillcolor="#ffe599 [1303]" strokecolor="#ffe599 [1303]" strokeweight="1pt">
                <v:textbox>
                  <w:txbxContent>
                    <w:p w14:paraId="2FE5EE60" w14:textId="77777777" w:rsidR="005D4C4C" w:rsidRDefault="005D4C4C" w:rsidP="00436E62">
                      <w:pPr>
                        <w:spacing w:after="0"/>
                        <w:jc w:val="center"/>
                        <w:rPr>
                          <w:rFonts w:eastAsia="Times New Roman" w:cstheme="minorHAnsi"/>
                          <w:b/>
                          <w:iCs/>
                          <w:color w:val="000000" w:themeColor="text1"/>
                          <w:sz w:val="18"/>
                        </w:rPr>
                      </w:pPr>
                      <w:r>
                        <w:t>Cel III. SNP</w:t>
                      </w:r>
                      <w:r w:rsidRPr="00540F63">
                        <w:rPr>
                          <w:rFonts w:eastAsia="Times New Roman" w:cstheme="minorHAnsi"/>
                          <w:b/>
                          <w:iCs/>
                          <w:color w:val="000000" w:themeColor="text1"/>
                          <w:sz w:val="18"/>
                        </w:rPr>
                        <w:t xml:space="preserve"> </w:t>
                      </w:r>
                    </w:p>
                    <w:p w14:paraId="22F6B45D" w14:textId="77777777" w:rsidR="005D4C4C" w:rsidRDefault="005D4C4C" w:rsidP="008D429A">
                      <w:pPr>
                        <w:jc w:val="center"/>
                      </w:pPr>
                      <w:r w:rsidRPr="00F21196">
                        <w:rPr>
                          <w:rFonts w:eastAsia="Times New Roman" w:cstheme="minorHAnsi"/>
                          <w:b/>
                          <w:iCs/>
                          <w:color w:val="000000" w:themeColor="text1"/>
                          <w:sz w:val="18"/>
                        </w:rPr>
                        <w:t>Podniesienie sprawności realizacji zadań państwa poprzez wykorzystanie technologii cyfrowych</w:t>
                      </w:r>
                    </w:p>
                  </w:txbxContent>
                </v:textbox>
              </v:rect>
            </w:pict>
          </mc:Fallback>
        </mc:AlternateContent>
      </w:r>
    </w:p>
    <w:p w14:paraId="1A2EAEB8" w14:textId="77777777" w:rsidR="008D429A" w:rsidRDefault="00D81AC1" w:rsidP="00434C8B">
      <w:pPr>
        <w:pStyle w:val="NormalnyWeb"/>
        <w:spacing w:before="0" w:beforeAutospacing="0" w:after="0" w:afterAutospacing="0"/>
        <w:jc w:val="center"/>
        <w:rPr>
          <w:rFonts w:asciiTheme="minorHAnsi" w:eastAsiaTheme="minorEastAsia" w:hAnsiTheme="minorHAnsi" w:cstheme="minorBidi"/>
          <w:bCs/>
          <w:color w:val="000000" w:themeColor="text1"/>
          <w:kern w:val="24"/>
          <w:sz w:val="20"/>
          <w:szCs w:val="22"/>
        </w:rPr>
      </w:pPr>
      <w:r>
        <w:rPr>
          <w:rFonts w:asciiTheme="minorHAnsi" w:eastAsiaTheme="minorEastAsia" w:hAnsiTheme="minorHAnsi" w:cstheme="minorBidi"/>
          <w:bCs/>
          <w:noProof/>
          <w:color w:val="000000" w:themeColor="text1"/>
          <w:kern w:val="24"/>
          <w:sz w:val="20"/>
          <w:szCs w:val="22"/>
        </w:rPr>
        <mc:AlternateContent>
          <mc:Choice Requires="wps">
            <w:drawing>
              <wp:anchor distT="0" distB="0" distL="114300" distR="114300" simplePos="0" relativeHeight="252131328" behindDoc="0" locked="0" layoutInCell="1" allowOverlap="1" wp14:anchorId="000BA780" wp14:editId="5A2584CF">
                <wp:simplePos x="0" y="0"/>
                <wp:positionH relativeFrom="page">
                  <wp:posOffset>3282711</wp:posOffset>
                </wp:positionH>
                <wp:positionV relativeFrom="paragraph">
                  <wp:posOffset>65585</wp:posOffset>
                </wp:positionV>
                <wp:extent cx="1268759" cy="279467"/>
                <wp:effectExtent l="0" t="228600" r="0" b="234950"/>
                <wp:wrapNone/>
                <wp:docPr id="49" name="Strzałka w lewo i prawo 49"/>
                <wp:cNvGraphicFramePr/>
                <a:graphic xmlns:a="http://schemas.openxmlformats.org/drawingml/2006/main">
                  <a:graphicData uri="http://schemas.microsoft.com/office/word/2010/wordprocessingShape">
                    <wps:wsp>
                      <wps:cNvSpPr/>
                      <wps:spPr>
                        <a:xfrm rot="20059102">
                          <a:off x="0" y="0"/>
                          <a:ext cx="1268759" cy="279467"/>
                        </a:xfrm>
                        <a:prstGeom prst="leftRightArrow">
                          <a:avLst/>
                        </a:prstGeom>
                        <a:solidFill>
                          <a:srgbClr val="00B0F0"/>
                        </a:solidFill>
                        <a:ln w="12700" cap="flat" cmpd="sng" algn="ctr">
                          <a:solidFill>
                            <a:schemeClr val="accent5">
                              <a:lumMod val="20000"/>
                              <a:lumOff val="8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CB8C9" id="Strzałka w lewo i prawo 49" o:spid="_x0000_s1026" type="#_x0000_t69" style="position:absolute;margin-left:258.5pt;margin-top:5.15pt;width:99.9pt;height:22pt;rotation:-1683072fd;z-index:25213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uZwswIAAFkFAAAOAAAAZHJzL2Uyb0RvYy54bWysVM1uGjEQvlfqO1i+N7sgCAEFIpqIqlKa&#10;RCVVzoPXy1q1Pa5tWJJj363v1bEXyE97qnqxPD/+ZuabGZ9f7IxmW+mDQjvlvZOSM2kFVsqup/zb&#10;/eLDGWchgq1Ao5VT/igDv5i9f3feuonsY4O6kp4RiA2T1k15E6ObFEUQjTQQTtBJS8YavYFIol8X&#10;lYeW0I0u+mV5WrToK+dRyBBIe9UZ+Szj17UU8baug4xMTznlFvPp87lKZzE7h8nag2uU2KcB/5CF&#10;AWUp6BHqCiKwjVd/QBklPAas44lAU2BdKyFzDVRNr3xTzbIBJ3MtRE5wR5rC/4MVN9s7z1Q15YMx&#10;ZxYM9WgZ/RP8+vkdWMu0bJEp5ohXZORCfLUuTOjZ0t35vRTomorf1d4wj0QytWY47pX9zAlVyXaZ&#10;8scj5XIXmSBlr396NhpSaEG2/mg8OB2lGEUHlkCdD/GTREM5BELWso5f1bqJc++xzfiwvQ6xe3Rw&#10;Tg8DalUtlNZZ8OvVpfZsC2kQyo/lIvee4rxy05a1KalRScMigAay1hDpahxRFOyaM9BrmnQRfY79&#10;6nWeWnkMA0JIG4fZT2/MF6y68EQOwVPCMCE1zWenPjuoU1Jp/hNSpuJVkFTiFYSme5RNHZZRkVZJ&#10;KzPlGepQoLYpkszLsCcqtbBrWrqtsHqkIciNo7KDEwtFQa4hxDvwtA6kpBWPt3TUGokg3N84a9A/&#10;/U2f/GlKycpZS+tF5P3YgJec6c+W5nfcGwzSPmZhMBz1SfAvLauXFrsxl0iN6+Xs8jX5R3241h7N&#10;A/0E8xSVTGAFxe7atBcuY7f29JcIOZ9nN9pBB/HaLp1I4ImnRO/97gG82w9cpFG9wcMqwuTNtHW+&#10;6aXF+SZirfIoPvNKHUwC7W/u5f6vSR/ESzl7Pf+Is98AAAD//wMAUEsDBBQABgAIAAAAIQAcNl/U&#10;3gAAAAkBAAAPAAAAZHJzL2Rvd25yZXYueG1sTI9BS8NAEIXvgv9hGcGb3aTVpsRsiiiCYhFsPXic&#10;ZsdsNDtbsts2/feOJz0O7/Hm+6rl6Ht1oCF2gQ3kkwwUcRNsx62B983j1QJUTMgW+8Bk4EQRlvX5&#10;WYWlDUd+o8M6tUpGOJZowKW0K7WOjSOPcRJ2xJJ9hsFjknNotR3wKOO+19Msm2uPHcsHhzu6d9R8&#10;r/fewKp5KBwunk4b1+avXx9Tm55frDGXF+PdLahEY/orwy++oEMtTNuwZxtVb+AmL8QlSZDNQEmh&#10;yOfispXkega6rvR/g/oHAAD//wMAUEsBAi0AFAAGAAgAAAAhALaDOJL+AAAA4QEAABMAAAAAAAAA&#10;AAAAAAAAAAAAAFtDb250ZW50X1R5cGVzXS54bWxQSwECLQAUAAYACAAAACEAOP0h/9YAAACUAQAA&#10;CwAAAAAAAAAAAAAAAAAvAQAAX3JlbHMvLnJlbHNQSwECLQAUAAYACAAAACEAddbmcLMCAABZBQAA&#10;DgAAAAAAAAAAAAAAAAAuAgAAZHJzL2Uyb0RvYy54bWxQSwECLQAUAAYACAAAACEAHDZf1N4AAAAJ&#10;AQAADwAAAAAAAAAAAAAAAAANBQAAZHJzL2Rvd25yZXYueG1sUEsFBgAAAAAEAAQA8wAAABgGAAAA&#10;AA==&#10;" adj="2379" fillcolor="#00b0f0" strokecolor="#d9e2f3 [664]" strokeweight="1pt">
                <w10:wrap anchorx="page"/>
              </v:shape>
            </w:pict>
          </mc:Fallback>
        </mc:AlternateContent>
      </w:r>
    </w:p>
    <w:p w14:paraId="0BF17C06" w14:textId="77777777" w:rsidR="008D429A" w:rsidRDefault="008D429A" w:rsidP="00434C8B">
      <w:pPr>
        <w:pStyle w:val="NormalnyWeb"/>
        <w:spacing w:before="0" w:beforeAutospacing="0" w:after="0" w:afterAutospacing="0"/>
        <w:jc w:val="center"/>
        <w:rPr>
          <w:rFonts w:asciiTheme="minorHAnsi" w:eastAsiaTheme="minorEastAsia" w:hAnsiTheme="minorHAnsi" w:cstheme="minorBidi"/>
          <w:bCs/>
          <w:color w:val="000000" w:themeColor="text1"/>
          <w:kern w:val="24"/>
          <w:sz w:val="20"/>
          <w:szCs w:val="22"/>
        </w:rPr>
      </w:pPr>
    </w:p>
    <w:p w14:paraId="4A2FA7FA" w14:textId="77777777" w:rsidR="008D429A" w:rsidRDefault="008D429A" w:rsidP="00434C8B">
      <w:pPr>
        <w:pStyle w:val="NormalnyWeb"/>
        <w:spacing w:before="0" w:beforeAutospacing="0" w:after="0" w:afterAutospacing="0"/>
        <w:jc w:val="center"/>
        <w:rPr>
          <w:rFonts w:asciiTheme="minorHAnsi" w:eastAsiaTheme="minorEastAsia" w:hAnsiTheme="minorHAnsi" w:cstheme="minorBidi"/>
          <w:bCs/>
          <w:color w:val="000000" w:themeColor="text1"/>
          <w:kern w:val="24"/>
          <w:sz w:val="20"/>
          <w:szCs w:val="22"/>
        </w:rPr>
      </w:pPr>
    </w:p>
    <w:p w14:paraId="214C0BB2" w14:textId="70E068D1" w:rsidR="008D429A" w:rsidRDefault="00135280" w:rsidP="00434C8B">
      <w:pPr>
        <w:pStyle w:val="NormalnyWeb"/>
        <w:spacing w:before="0" w:beforeAutospacing="0" w:after="0" w:afterAutospacing="0"/>
        <w:jc w:val="center"/>
        <w:rPr>
          <w:rFonts w:asciiTheme="minorHAnsi" w:eastAsiaTheme="minorEastAsia" w:hAnsiTheme="minorHAnsi" w:cstheme="minorBidi"/>
          <w:bCs/>
          <w:color w:val="000000" w:themeColor="text1"/>
          <w:kern w:val="24"/>
          <w:sz w:val="20"/>
          <w:szCs w:val="22"/>
        </w:rPr>
      </w:pPr>
      <w:r w:rsidRPr="00540F63">
        <w:rPr>
          <w:rFonts w:asciiTheme="minorHAnsi" w:eastAsiaTheme="minorEastAsia" w:hAnsiTheme="minorHAnsi" w:cstheme="minorBidi"/>
          <w:bCs/>
          <w:noProof/>
          <w:color w:val="000000" w:themeColor="text1"/>
          <w:kern w:val="24"/>
          <w:sz w:val="20"/>
          <w:szCs w:val="22"/>
        </w:rPr>
        <mc:AlternateContent>
          <mc:Choice Requires="wps">
            <w:drawing>
              <wp:anchor distT="0" distB="0" distL="114300" distR="114300" simplePos="0" relativeHeight="252135424" behindDoc="0" locked="0" layoutInCell="1" allowOverlap="1" wp14:anchorId="73A74EFE" wp14:editId="5D4F0AF2">
                <wp:simplePos x="0" y="0"/>
                <wp:positionH relativeFrom="margin">
                  <wp:posOffset>4053576</wp:posOffset>
                </wp:positionH>
                <wp:positionV relativeFrom="paragraph">
                  <wp:posOffset>148708</wp:posOffset>
                </wp:positionV>
                <wp:extent cx="2172614" cy="776102"/>
                <wp:effectExtent l="0" t="0" r="18415" b="24130"/>
                <wp:wrapNone/>
                <wp:docPr id="32" name="Prostokąt 32"/>
                <wp:cNvGraphicFramePr/>
                <a:graphic xmlns:a="http://schemas.openxmlformats.org/drawingml/2006/main">
                  <a:graphicData uri="http://schemas.microsoft.com/office/word/2010/wordprocessingShape">
                    <wps:wsp>
                      <wps:cNvSpPr/>
                      <wps:spPr>
                        <a:xfrm>
                          <a:off x="0" y="0"/>
                          <a:ext cx="2172614" cy="776102"/>
                        </a:xfrm>
                        <a:prstGeom prst="rect">
                          <a:avLst/>
                        </a:prstGeom>
                        <a:solidFill>
                          <a:schemeClr val="bg2">
                            <a:lumMod val="90000"/>
                          </a:schemeClr>
                        </a:solidFill>
                        <a:ln w="12700" cap="flat" cmpd="sng" algn="ctr">
                          <a:solidFill>
                            <a:schemeClr val="bg2">
                              <a:lumMod val="75000"/>
                            </a:schemeClr>
                          </a:solidFill>
                          <a:prstDash val="solid"/>
                          <a:miter lim="800000"/>
                        </a:ln>
                        <a:effectLst/>
                      </wps:spPr>
                      <wps:txbx>
                        <w:txbxContent>
                          <w:p w14:paraId="4F0E1327" w14:textId="77777777" w:rsidR="005D4C4C" w:rsidRDefault="005D4C4C" w:rsidP="00324C76">
                            <w:pPr>
                              <w:spacing w:after="0"/>
                            </w:pPr>
                            <w:r>
                              <w:t>Obszar SOR</w:t>
                            </w:r>
                          </w:p>
                          <w:p w14:paraId="6A0195B5" w14:textId="77777777" w:rsidR="005D4C4C" w:rsidRPr="00D81AC1" w:rsidRDefault="005D4C4C" w:rsidP="00324C76">
                            <w:pPr>
                              <w:spacing w:after="0"/>
                              <w:jc w:val="center"/>
                              <w:rPr>
                                <w:b/>
                                <w:sz w:val="20"/>
                              </w:rPr>
                            </w:pPr>
                            <w:r>
                              <w:rPr>
                                <w:b/>
                                <w:sz w:val="20"/>
                              </w:rPr>
                              <w:t>Cyfryzacja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74EFE" id="Prostokąt 32" o:spid="_x0000_s1040" style="position:absolute;left:0;text-align:left;margin-left:319.2pt;margin-top:11.7pt;width:171.05pt;height:61.1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yBHkQIAAE0FAAAOAAAAZHJzL2Uyb0RvYy54bWysVMtu2zAQvBfoPxC8N7JUJ06MyIGRIEWB&#10;NDGQFDnTFGUJ5askbSm998/6YR1ScmKkPbRFfaB3uat9zM7y/KJXkuyE863RJc2PJpQIzU3V6k1J&#10;Pz9cvzulxAemKyaNFiV9Ep5eLN6+Oe/sXBSmMbISjiCI9vPOlrQJwc6zzPNGKOaPjBUaxto4xQJU&#10;t8kqxzpEVzIrJpOTrDOuss5w4T1urwYjXaT4dS14uKtrLwKRJUVtIZ0unet4ZotzNt84ZpuWj2Ww&#10;f6hCsVYj6XOoKxYY2br2l1Cq5c54U4cjblRm6rrlIvWAbvLJq27uG2ZF6gXgePsMk/9/YfntbuVI&#10;W5X0fUGJZgozWqHCYL78+B4ILoFQZ/0cjvd25UbNQ4zt9rVT8R+NkD6h+vSMqugD4bgs8llxkk8p&#10;4bDNZif5JAXNXr62zocPwigShZI6TC2ByXY3PiAjXPcuMZk3sq2uWymTEpkiLqUjO4YZrzdF+lRu&#10;1SdTDXdnE/xiH4iTiBXdB+0wktSkA4WLGZwJZyBjLVmAqCzg8XpDCZMbsJwHl3L8bR2z4z+qI7Z6&#10;xXwzFJ+SDDRVbcCuyFaV9DS2tO9J6giESGwfAYsTG2YUpdCv+zRjTGEc4NpUTxi8M8NGeMuvW+S9&#10;YT6smMMKAAOsdbjDUUsDYMwoUdIY9+1399EfzISVkg4rBdC+bpkTlMiPGpw9y6fTuINJmR7PCiju&#10;0LI+tOitujSYaI4HxPIkRv8g92LtjHrE9i9jVpiY5sg9jGdULsOw6ng/uFgukxv2zrJwo+8tj8Ej&#10;dBHxh/6ROTsyMIC7t2a/fmz+ioiDb/xSm+U2mLpNLI1QD7iCXFHBziaaje9LfBQO9eT18goufgIA&#10;AP//AwBQSwMEFAAGAAgAAAAhADF4UYrfAAAACgEAAA8AAABkcnMvZG93bnJldi54bWxMj01LxDAQ&#10;hu+C/yGM4EXcxP0obW26iOBJENzuxdtsG5tiMilNdrf66x1P7mkY5uGd5622s3fiZKY4BNLwsFAg&#10;DLWhG6jXsG9e7nMQMSF16AIZDd8mwra+vqqw7MKZ3s1pl3rBIRRL1GBTGkspY2uNx7gIoyG+fYbJ&#10;Y+J16mU34ZnDvZNLpTLpcSD+YHE0z9a0X7uj10AJC3yb0dn9a6HuxvnHfzSN1rc389MjiGTm9A/D&#10;nz6rQ81Oh3CkLgqnIVvla0Y1LFc8GShytQFxYHK9yUDWlbysUP8CAAD//wMAUEsBAi0AFAAGAAgA&#10;AAAhALaDOJL+AAAA4QEAABMAAAAAAAAAAAAAAAAAAAAAAFtDb250ZW50X1R5cGVzXS54bWxQSwEC&#10;LQAUAAYACAAAACEAOP0h/9YAAACUAQAACwAAAAAAAAAAAAAAAAAvAQAAX3JlbHMvLnJlbHNQSwEC&#10;LQAUAAYACAAAACEAVMMgR5ECAABNBQAADgAAAAAAAAAAAAAAAAAuAgAAZHJzL2Uyb0RvYy54bWxQ&#10;SwECLQAUAAYACAAAACEAMXhRit8AAAAKAQAADwAAAAAAAAAAAAAAAADrBAAAZHJzL2Rvd25yZXYu&#10;eG1sUEsFBgAAAAAEAAQA8wAAAPcFAAAAAA==&#10;" fillcolor="#cfcdcd [2894]" strokecolor="#aeaaaa [2414]" strokeweight="1pt">
                <v:textbox>
                  <w:txbxContent>
                    <w:p w14:paraId="4F0E1327" w14:textId="77777777" w:rsidR="005D4C4C" w:rsidRDefault="005D4C4C" w:rsidP="00324C76">
                      <w:pPr>
                        <w:spacing w:after="0"/>
                      </w:pPr>
                      <w:r>
                        <w:t>Obszar SOR</w:t>
                      </w:r>
                    </w:p>
                    <w:p w14:paraId="6A0195B5" w14:textId="77777777" w:rsidR="005D4C4C" w:rsidRPr="00D81AC1" w:rsidRDefault="005D4C4C" w:rsidP="00324C76">
                      <w:pPr>
                        <w:spacing w:after="0"/>
                        <w:jc w:val="center"/>
                        <w:rPr>
                          <w:b/>
                          <w:sz w:val="20"/>
                        </w:rPr>
                      </w:pPr>
                      <w:r>
                        <w:rPr>
                          <w:b/>
                          <w:sz w:val="20"/>
                        </w:rPr>
                        <w:t>Cyfryzacja</w:t>
                      </w:r>
                    </w:p>
                  </w:txbxContent>
                </v:textbox>
                <w10:wrap anchorx="margin"/>
              </v:rect>
            </w:pict>
          </mc:Fallback>
        </mc:AlternateContent>
      </w:r>
    </w:p>
    <w:p w14:paraId="7D697863" w14:textId="694756F8" w:rsidR="00436E62" w:rsidRDefault="00324C76" w:rsidP="00434C8B">
      <w:pPr>
        <w:pStyle w:val="NormalnyWeb"/>
        <w:spacing w:before="0" w:beforeAutospacing="0" w:after="0" w:afterAutospacing="0"/>
        <w:jc w:val="center"/>
        <w:rPr>
          <w:rFonts w:asciiTheme="minorHAnsi" w:eastAsiaTheme="minorEastAsia" w:hAnsiTheme="minorHAnsi" w:cstheme="minorBidi"/>
          <w:bCs/>
          <w:color w:val="000000" w:themeColor="text1"/>
          <w:kern w:val="24"/>
          <w:sz w:val="20"/>
          <w:szCs w:val="22"/>
        </w:rPr>
      </w:pPr>
      <w:r>
        <w:rPr>
          <w:rFonts w:asciiTheme="minorHAnsi" w:eastAsiaTheme="minorEastAsia" w:hAnsiTheme="minorHAnsi" w:cstheme="minorBidi"/>
          <w:bCs/>
          <w:noProof/>
          <w:color w:val="000000" w:themeColor="text1"/>
          <w:kern w:val="24"/>
          <w:sz w:val="20"/>
          <w:szCs w:val="22"/>
        </w:rPr>
        <mc:AlternateContent>
          <mc:Choice Requires="wps">
            <w:drawing>
              <wp:anchor distT="0" distB="0" distL="114300" distR="114300" simplePos="0" relativeHeight="252137472" behindDoc="0" locked="0" layoutInCell="1" allowOverlap="1" wp14:anchorId="6C64D296" wp14:editId="3D6C278D">
                <wp:simplePos x="0" y="0"/>
                <wp:positionH relativeFrom="column">
                  <wp:posOffset>2625323</wp:posOffset>
                </wp:positionH>
                <wp:positionV relativeFrom="paragraph">
                  <wp:posOffset>30645</wp:posOffset>
                </wp:positionV>
                <wp:extent cx="1417049" cy="289560"/>
                <wp:effectExtent l="0" t="266700" r="0" b="262890"/>
                <wp:wrapNone/>
                <wp:docPr id="51" name="Strzałka w lewo i prawo 51"/>
                <wp:cNvGraphicFramePr/>
                <a:graphic xmlns:a="http://schemas.openxmlformats.org/drawingml/2006/main">
                  <a:graphicData uri="http://schemas.microsoft.com/office/word/2010/wordprocessingShape">
                    <wps:wsp>
                      <wps:cNvSpPr/>
                      <wps:spPr>
                        <a:xfrm rot="1560502">
                          <a:off x="0" y="0"/>
                          <a:ext cx="1417049" cy="289560"/>
                        </a:xfrm>
                        <a:prstGeom prst="leftRightArrow">
                          <a:avLst/>
                        </a:prstGeom>
                        <a:solidFill>
                          <a:schemeClr val="bg2">
                            <a:lumMod val="90000"/>
                          </a:schemeClr>
                        </a:solidFill>
                        <a:ln w="12700" cap="flat" cmpd="sng" algn="ctr">
                          <a:solidFill>
                            <a:schemeClr val="bg2">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A823C" id="Strzałka w lewo i prawo 51" o:spid="_x0000_s1026" type="#_x0000_t69" style="position:absolute;margin-left:206.7pt;margin-top:2.4pt;width:111.6pt;height:22.8pt;rotation:1704484fd;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JZLpgIAAGAFAAAOAAAAZHJzL2Uyb0RvYy54bWysVE1v2zAMvQ/YfxB0X+0ESdsETYqgRYcB&#10;XVcsHXpmZDkWJomapMRpj/tv+1+jZCf92AYMw3wwRJF6JJ8edXa+M5ptpQ8K7YwPjkrOpBVYKbue&#10;8S93V+9OOQsRbAUarZzxBxn4+fztm7PWTeUQG9SV9IxAbJi2bsabGN20KIJopIFwhE5actboDUQy&#10;/bqoPLSEbnQxLMvjokVfOY9ChkC7l52TzzN+XUsRP9V1kJHpGafaYv77/F+lfzE/g+nag2uU6MuA&#10;f6jCgLKU9AB1CRHYxqtfoIwSHgPW8UigKbCulZC5B+pmUL7qZtmAk7kXIie4A03h/8GKm+2tZ6qa&#10;8fGAMwuG7mgZ/SP8+P4VWMu0bJEp5ohXZBRCfLUuTOnY0t363gq0TM3vam+YRyJ5MD4ux+UwU0JN&#10;sl1m/OHAuNxFJmhzMBqclKMJZ4J8w9MJHUspig4rYTof4nuJhkoIBKxlHT+rdRMX3mOb8WF7HWJ3&#10;aB+cDgbUqrpSWmcj6UleaM+2QEpYrbvS9MZ8xKrbm5T09cmz/FJ4LuUFkraspbqHJxTMBJBkaw2R&#10;lsYRicGuOQO9plkQ0efyXpw+AP+5jpPxX9WRWr2E0HRAOUkqHqZGRZoorcyMn6aW9j1pm7wyz0RP&#10;WLrJ7u7SaoXVA2kh3x/1Fpy4UpTkGkK8BU9TQZs06fET/WqNxAL2K84a9I+/20/xJFbyctbSlBFD&#10;3zbgJWf6gyUZTwajURrLbIzGJ0My/HPP6rnHbswF0vWRUqm6vEzxUe+XtUdzTw/CImUlF1hBubu7&#10;6I2L2E0/PSlCLhY5jEbRQby2SycSeOIp0Xu3uwfveuFFkuwN7icSpq9U18WmkxYXm4i1ypJ84pWU&#10;lAwa46yp/slJ78RzO0c9PYzznwAAAP//AwBQSwMEFAAGAAgAAAAhAG+dWRzgAAAACAEAAA8AAABk&#10;cnMvZG93bnJldi54bWxMj81OwzAQhO9IfQdrK3GjTmmIIMSpAIlDQSqi0ApubrwkEfE6it38vD3L&#10;CW47mtHsN9l6tI3osfO1IwXLRQQCqXCmplLB+9vjxTUIHzQZ3ThCBRN6WOezs0ynxg30iv0ulIJL&#10;yKdaQRVCm0rpiwqt9gvXIrH35TqrA8uulKbTA5fbRl5GUSKtrok/VLrFhwqL793JKjjcxy/BbuQ0&#10;DtPNc795cvvP7YdS5/Px7hZEwDH8heEXn9EhZ6ajO5HxolEQL1cxR/ngBewnqyQBcVRwFcUg80z+&#10;H5D/AAAA//8DAFBLAQItABQABgAIAAAAIQC2gziS/gAAAOEBAAATAAAAAAAAAAAAAAAAAAAAAABb&#10;Q29udGVudF9UeXBlc10ueG1sUEsBAi0AFAAGAAgAAAAhADj9If/WAAAAlAEAAAsAAAAAAAAAAAAA&#10;AAAALwEAAF9yZWxzLy5yZWxzUEsBAi0AFAAGAAgAAAAhAKPYlkumAgAAYAUAAA4AAAAAAAAAAAAA&#10;AAAALgIAAGRycy9lMm9Eb2MueG1sUEsBAi0AFAAGAAgAAAAhAG+dWRzgAAAACAEAAA8AAAAAAAAA&#10;AAAAAAAAAAUAAGRycy9kb3ducmV2LnhtbFBLBQYAAAAABAAEAPMAAAANBgAAAAA=&#10;" adj="2207" fillcolor="#cfcdcd [2894]" strokecolor="#aeaaaa [2414]" strokeweight="1pt"/>
            </w:pict>
          </mc:Fallback>
        </mc:AlternateContent>
      </w:r>
    </w:p>
    <w:p w14:paraId="523C6E2B" w14:textId="77777777" w:rsidR="008D429A" w:rsidRDefault="008D429A" w:rsidP="00434C8B">
      <w:pPr>
        <w:pStyle w:val="NormalnyWeb"/>
        <w:spacing w:before="0" w:beforeAutospacing="0" w:after="0" w:afterAutospacing="0"/>
        <w:jc w:val="center"/>
        <w:rPr>
          <w:rFonts w:asciiTheme="minorHAnsi" w:eastAsiaTheme="minorEastAsia" w:hAnsiTheme="minorHAnsi" w:cstheme="minorBidi"/>
          <w:bCs/>
          <w:color w:val="000000" w:themeColor="text1"/>
          <w:kern w:val="24"/>
          <w:sz w:val="20"/>
          <w:szCs w:val="22"/>
        </w:rPr>
      </w:pPr>
      <w:r>
        <w:rPr>
          <w:rFonts w:asciiTheme="minorHAnsi" w:eastAsiaTheme="minorEastAsia" w:hAnsiTheme="minorHAnsi" w:cstheme="minorBidi"/>
          <w:bCs/>
          <w:noProof/>
          <w:color w:val="000000" w:themeColor="text1"/>
          <w:kern w:val="24"/>
          <w:sz w:val="20"/>
          <w:szCs w:val="22"/>
        </w:rPr>
        <mc:AlternateContent>
          <mc:Choice Requires="wps">
            <w:drawing>
              <wp:anchor distT="0" distB="0" distL="114300" distR="114300" simplePos="0" relativeHeight="252112896" behindDoc="0" locked="0" layoutInCell="1" allowOverlap="1" wp14:anchorId="12D94C48" wp14:editId="35502339">
                <wp:simplePos x="0" y="0"/>
                <wp:positionH relativeFrom="column">
                  <wp:posOffset>404615</wp:posOffset>
                </wp:positionH>
                <wp:positionV relativeFrom="paragraph">
                  <wp:posOffset>82454</wp:posOffset>
                </wp:positionV>
                <wp:extent cx="2328856" cy="552090"/>
                <wp:effectExtent l="0" t="0" r="14605" b="19685"/>
                <wp:wrapNone/>
                <wp:docPr id="36" name="Prostokąt 36"/>
                <wp:cNvGraphicFramePr/>
                <a:graphic xmlns:a="http://schemas.openxmlformats.org/drawingml/2006/main">
                  <a:graphicData uri="http://schemas.microsoft.com/office/word/2010/wordprocessingShape">
                    <wps:wsp>
                      <wps:cNvSpPr/>
                      <wps:spPr>
                        <a:xfrm>
                          <a:off x="0" y="0"/>
                          <a:ext cx="2328856" cy="552090"/>
                        </a:xfrm>
                        <a:prstGeom prst="rect">
                          <a:avLst/>
                        </a:prstGeom>
                        <a:solidFill>
                          <a:schemeClr val="accent2">
                            <a:lumMod val="40000"/>
                            <a:lumOff val="60000"/>
                          </a:schemeClr>
                        </a:solidFill>
                        <a:ln w="12700" cap="flat" cmpd="sng" algn="ctr">
                          <a:solidFill>
                            <a:schemeClr val="accent2">
                              <a:lumMod val="40000"/>
                              <a:lumOff val="60000"/>
                            </a:schemeClr>
                          </a:solidFill>
                          <a:prstDash val="solid"/>
                          <a:miter lim="800000"/>
                        </a:ln>
                        <a:effectLst/>
                      </wps:spPr>
                      <wps:txbx>
                        <w:txbxContent>
                          <w:p w14:paraId="7D6FF640" w14:textId="77777777" w:rsidR="005D4C4C" w:rsidRPr="00F21196" w:rsidRDefault="005D4C4C" w:rsidP="00540F63">
                            <w:pPr>
                              <w:spacing w:after="0" w:line="240" w:lineRule="auto"/>
                              <w:rPr>
                                <w:rFonts w:cs="Arial"/>
                                <w:b/>
                                <w:sz w:val="18"/>
                                <w:szCs w:val="18"/>
                              </w:rPr>
                            </w:pPr>
                            <w:r>
                              <w:t>Cel IV. SNP</w:t>
                            </w:r>
                            <w:r w:rsidRPr="00540F63">
                              <w:rPr>
                                <w:rFonts w:cs="Arial"/>
                                <w:b/>
                                <w:sz w:val="18"/>
                                <w:szCs w:val="18"/>
                              </w:rPr>
                              <w:t xml:space="preserve"> </w:t>
                            </w:r>
                          </w:p>
                          <w:p w14:paraId="4B46FFB8" w14:textId="77777777" w:rsidR="005D4C4C" w:rsidRDefault="005D4C4C" w:rsidP="00540F63">
                            <w:pPr>
                              <w:jc w:val="center"/>
                            </w:pPr>
                            <w:r w:rsidRPr="00F21196">
                              <w:rPr>
                                <w:rFonts w:cs="Arial"/>
                                <w:b/>
                                <w:sz w:val="18"/>
                                <w:szCs w:val="18"/>
                              </w:rPr>
                              <w:t>Efektywne planowanie i wykorzystanie środków finansowych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94C48" id="Prostokąt 36" o:spid="_x0000_s1041" style="position:absolute;left:0;text-align:left;margin-left:31.85pt;margin-top:6.5pt;width:183.35pt;height:43.4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SvrnAIAAIMFAAAOAAAAZHJzL2Uyb0RvYy54bWy0VE1v2zAMvQ/YfxB0X524SZsGdYqgRYcB&#10;XRugHXpWZDk2pq9JSuzuvn+2H7Yn2Uk/ttOw5eCQFEWKj488v+iUJDvhfGN0QcdHI0qE5qZs9Kag&#10;Xx6uP8wo8YHpkkmjRUGfhKcXi/fvzls7F7mpjSyFIwii/by1Ba1DsPMs87wWivkjY4XGYWWcYgGq&#10;22SlYy2iK5nlo9FJ1hpXWme48B7Wq/6QLlL8qhI83FWVF4HIguJtIX1d+q7jN1ucs/nGMVs3fHgG&#10;+4tXKNZoJD2EumKBka1rfgulGu6MN1U44kZlpqoaLlINqGY8elPNfc2sSLUAHG8PMPl/F5bf7laO&#10;NGVBj08o0UyhRyu8MJivP38EAiMQaq2fw/HertygeYix3K5yKv6jENIlVJ8OqIouEA5jfpzPZlNE&#10;5zibTvPRWYI9e75tnQ8fhVEkCgV16FoCk+1ufEBGuO5dYjJvZFNeN1ImJTJFXEpHdgw9ZpwLHfJ0&#10;XW7VZ1P29skIv77bMIMTvflkb0aKxLkYKSV8lURq0oLd+SliEM7A00qyAFFZIOf1hhImNxgAHlxK&#10;/er2IfD/fGIE6Ir5us+R8vflqiZgwmSjCjqL1e7BlzrCJ9KMDDDHPvedjVLo1l1ixni6J8HalE+g&#10;izP9HHnLrxvkvWE+rJjD4AAeLINwh08lDTAzg0RJbdz3P9mjP/iMU0paDCLw/LZlTlAiP2kw/Ww8&#10;mcTJTcpkeppDcS9P1i9P9FZdGvBgjLVjeRKjf5B7sXJGPWJnLGNWHDHNkbvv3KBchn5BYOtwsVwm&#10;N0yrZeFG31seg0foIuIP3SNzduBtAONvzX5o2fwNfXvfeFOb5TaYqkncjlD3uIJ3UcGkJwYOWymu&#10;kpd68nrenYtfAAAA//8DAFBLAwQUAAYACAAAACEAb+6T5OAAAAAIAQAADwAAAGRycy9kb3ducmV2&#10;LnhtbEyPzU7DMBCE70i8g7VI3KhTEhUS4lQIqRygh7b00ts23vwosR3Fbhv69CwnOO7MaPabfDmZ&#10;Xpxp9K2zCuazCATZ0unW1gr2X6uHZxA+oNXYO0sKvsnDsri9yTHT7mK3dN6FWnCJ9RkqaEIYMil9&#10;2ZBBP3MDWfYqNxoMfI611CNeuNz08jGKFtJga/lDgwO9NVR2u5NRsK2atV+9b9afrtNdcr3ivDp8&#10;KHV/N72+gAg0hb8w/OIzOhTMdHQnq73oFSziJ06yHvMk9pM4SkAcFaRpCrLI5f8BxQ8AAAD//wMA&#10;UEsBAi0AFAAGAAgAAAAhALaDOJL+AAAA4QEAABMAAAAAAAAAAAAAAAAAAAAAAFtDb250ZW50X1R5&#10;cGVzXS54bWxQSwECLQAUAAYACAAAACEAOP0h/9YAAACUAQAACwAAAAAAAAAAAAAAAAAvAQAAX3Jl&#10;bHMvLnJlbHNQSwECLQAUAAYACAAAACEA0pEr65wCAACDBQAADgAAAAAAAAAAAAAAAAAuAgAAZHJz&#10;L2Uyb0RvYy54bWxQSwECLQAUAAYACAAAACEAb+6T5OAAAAAIAQAADwAAAAAAAAAAAAAAAAD2BAAA&#10;ZHJzL2Rvd25yZXYueG1sUEsFBgAAAAAEAAQA8wAAAAMGAAAAAA==&#10;" fillcolor="#f7caac [1301]" strokecolor="#f7caac [1301]" strokeweight="1pt">
                <v:textbox>
                  <w:txbxContent>
                    <w:p w14:paraId="7D6FF640" w14:textId="77777777" w:rsidR="005D4C4C" w:rsidRPr="00F21196" w:rsidRDefault="005D4C4C" w:rsidP="00540F63">
                      <w:pPr>
                        <w:spacing w:after="0" w:line="240" w:lineRule="auto"/>
                        <w:rPr>
                          <w:rFonts w:cs="Arial"/>
                          <w:b/>
                          <w:sz w:val="18"/>
                          <w:szCs w:val="18"/>
                        </w:rPr>
                      </w:pPr>
                      <w:r>
                        <w:t>Cel IV. SNP</w:t>
                      </w:r>
                      <w:r w:rsidRPr="00540F63">
                        <w:rPr>
                          <w:rFonts w:cs="Arial"/>
                          <w:b/>
                          <w:sz w:val="18"/>
                          <w:szCs w:val="18"/>
                        </w:rPr>
                        <w:t xml:space="preserve"> </w:t>
                      </w:r>
                    </w:p>
                    <w:p w14:paraId="4B46FFB8" w14:textId="77777777" w:rsidR="005D4C4C" w:rsidRDefault="005D4C4C" w:rsidP="00540F63">
                      <w:pPr>
                        <w:jc w:val="center"/>
                      </w:pPr>
                      <w:r w:rsidRPr="00F21196">
                        <w:rPr>
                          <w:rFonts w:cs="Arial"/>
                          <w:b/>
                          <w:sz w:val="18"/>
                          <w:szCs w:val="18"/>
                        </w:rPr>
                        <w:t>Efektywne planowanie i wykorzystanie środków finansowych</w:t>
                      </w:r>
                    </w:p>
                  </w:txbxContent>
                </v:textbox>
              </v:rect>
            </w:pict>
          </mc:Fallback>
        </mc:AlternateContent>
      </w:r>
    </w:p>
    <w:p w14:paraId="735B395D" w14:textId="77777777" w:rsidR="008D429A" w:rsidRDefault="008D429A" w:rsidP="00434C8B">
      <w:pPr>
        <w:pStyle w:val="NormalnyWeb"/>
        <w:spacing w:before="0" w:beforeAutospacing="0" w:after="0" w:afterAutospacing="0"/>
        <w:jc w:val="center"/>
        <w:rPr>
          <w:rFonts w:asciiTheme="minorHAnsi" w:eastAsiaTheme="minorEastAsia" w:hAnsiTheme="minorHAnsi" w:cstheme="minorBidi"/>
          <w:bCs/>
          <w:color w:val="000000" w:themeColor="text1"/>
          <w:kern w:val="24"/>
          <w:sz w:val="20"/>
          <w:szCs w:val="22"/>
        </w:rPr>
      </w:pPr>
    </w:p>
    <w:p w14:paraId="0DB4AB82" w14:textId="77777777" w:rsidR="008D429A" w:rsidRDefault="008D429A" w:rsidP="00434C8B">
      <w:pPr>
        <w:pStyle w:val="NormalnyWeb"/>
        <w:spacing w:before="0" w:beforeAutospacing="0" w:after="0" w:afterAutospacing="0"/>
        <w:jc w:val="center"/>
        <w:rPr>
          <w:rFonts w:asciiTheme="minorHAnsi" w:eastAsiaTheme="minorEastAsia" w:hAnsiTheme="minorHAnsi" w:cstheme="minorBidi"/>
          <w:bCs/>
          <w:color w:val="000000" w:themeColor="text1"/>
          <w:kern w:val="24"/>
          <w:sz w:val="20"/>
          <w:szCs w:val="22"/>
        </w:rPr>
      </w:pPr>
    </w:p>
    <w:p w14:paraId="6724647A" w14:textId="77777777" w:rsidR="008D429A" w:rsidRDefault="008D429A" w:rsidP="00434C8B">
      <w:pPr>
        <w:pStyle w:val="NormalnyWeb"/>
        <w:spacing w:before="0" w:beforeAutospacing="0" w:after="0" w:afterAutospacing="0"/>
        <w:jc w:val="center"/>
        <w:rPr>
          <w:rFonts w:asciiTheme="minorHAnsi" w:eastAsiaTheme="minorEastAsia" w:hAnsiTheme="minorHAnsi" w:cstheme="minorBidi"/>
          <w:bCs/>
          <w:color w:val="000000" w:themeColor="text1"/>
          <w:kern w:val="24"/>
          <w:sz w:val="20"/>
          <w:szCs w:val="22"/>
        </w:rPr>
      </w:pPr>
    </w:p>
    <w:p w14:paraId="7A2F9CBF" w14:textId="77777777" w:rsidR="008D429A" w:rsidRDefault="008D429A" w:rsidP="00434C8B">
      <w:pPr>
        <w:pStyle w:val="NormalnyWeb"/>
        <w:spacing w:before="0" w:beforeAutospacing="0" w:after="0" w:afterAutospacing="0"/>
        <w:jc w:val="center"/>
        <w:rPr>
          <w:rFonts w:asciiTheme="minorHAnsi" w:eastAsiaTheme="minorEastAsia" w:hAnsiTheme="minorHAnsi" w:cstheme="minorBidi"/>
          <w:bCs/>
          <w:color w:val="000000" w:themeColor="text1"/>
          <w:kern w:val="24"/>
          <w:sz w:val="20"/>
          <w:szCs w:val="22"/>
        </w:rPr>
      </w:pPr>
    </w:p>
    <w:p w14:paraId="0F9D31F8" w14:textId="77777777" w:rsidR="008D429A" w:rsidRDefault="008D429A" w:rsidP="00434C8B">
      <w:pPr>
        <w:pStyle w:val="NormalnyWeb"/>
        <w:spacing w:before="0" w:beforeAutospacing="0" w:after="0" w:afterAutospacing="0"/>
        <w:jc w:val="center"/>
        <w:rPr>
          <w:rFonts w:asciiTheme="minorHAnsi" w:eastAsiaTheme="minorEastAsia" w:hAnsiTheme="minorHAnsi" w:cstheme="minorBidi"/>
          <w:bCs/>
          <w:color w:val="000000" w:themeColor="text1"/>
          <w:kern w:val="24"/>
          <w:sz w:val="20"/>
          <w:szCs w:val="22"/>
        </w:rPr>
      </w:pPr>
      <w:r>
        <w:rPr>
          <w:rFonts w:asciiTheme="minorHAnsi" w:eastAsiaTheme="minorEastAsia" w:hAnsiTheme="minorHAnsi" w:cstheme="minorBidi"/>
          <w:bCs/>
          <w:noProof/>
          <w:color w:val="000000" w:themeColor="text1"/>
          <w:kern w:val="24"/>
          <w:sz w:val="20"/>
          <w:szCs w:val="22"/>
        </w:rPr>
        <mc:AlternateContent>
          <mc:Choice Requires="wps">
            <w:drawing>
              <wp:anchor distT="0" distB="0" distL="114300" distR="114300" simplePos="0" relativeHeight="252110848" behindDoc="0" locked="0" layoutInCell="1" allowOverlap="1" wp14:anchorId="5E641CF8" wp14:editId="41B83913">
                <wp:simplePos x="0" y="0"/>
                <wp:positionH relativeFrom="column">
                  <wp:posOffset>456373</wp:posOffset>
                </wp:positionH>
                <wp:positionV relativeFrom="paragraph">
                  <wp:posOffset>118002</wp:posOffset>
                </wp:positionV>
                <wp:extent cx="2286000" cy="707366"/>
                <wp:effectExtent l="0" t="0" r="19050" b="17145"/>
                <wp:wrapNone/>
                <wp:docPr id="35" name="Prostokąt 35"/>
                <wp:cNvGraphicFramePr/>
                <a:graphic xmlns:a="http://schemas.openxmlformats.org/drawingml/2006/main">
                  <a:graphicData uri="http://schemas.microsoft.com/office/word/2010/wordprocessingShape">
                    <wps:wsp>
                      <wps:cNvSpPr/>
                      <wps:spPr>
                        <a:xfrm>
                          <a:off x="0" y="0"/>
                          <a:ext cx="2286000" cy="707366"/>
                        </a:xfrm>
                        <a:prstGeom prst="rect">
                          <a:avLst/>
                        </a:prstGeom>
                        <a:solidFill>
                          <a:schemeClr val="accent1">
                            <a:lumMod val="40000"/>
                            <a:lumOff val="60000"/>
                          </a:schemeClr>
                        </a:solidFill>
                        <a:ln w="12700" cap="flat" cmpd="sng" algn="ctr">
                          <a:solidFill>
                            <a:schemeClr val="accent1">
                              <a:lumMod val="40000"/>
                              <a:lumOff val="60000"/>
                            </a:schemeClr>
                          </a:solidFill>
                          <a:prstDash val="solid"/>
                          <a:miter lim="800000"/>
                        </a:ln>
                        <a:effectLst/>
                      </wps:spPr>
                      <wps:txbx>
                        <w:txbxContent>
                          <w:p w14:paraId="3CFC93F9" w14:textId="77777777" w:rsidR="005D4C4C" w:rsidRDefault="005D4C4C" w:rsidP="00436E62">
                            <w:pPr>
                              <w:spacing w:after="0"/>
                              <w:rPr>
                                <w:rFonts w:cs="Arial"/>
                                <w:b/>
                                <w:sz w:val="18"/>
                                <w:szCs w:val="18"/>
                              </w:rPr>
                            </w:pPr>
                            <w:r>
                              <w:t>Cel V. SNP</w:t>
                            </w:r>
                            <w:r w:rsidRPr="00540F63">
                              <w:rPr>
                                <w:rFonts w:cs="Arial"/>
                                <w:b/>
                                <w:sz w:val="18"/>
                                <w:szCs w:val="18"/>
                              </w:rPr>
                              <w:t xml:space="preserve"> </w:t>
                            </w:r>
                          </w:p>
                          <w:p w14:paraId="40C592CB" w14:textId="77777777" w:rsidR="005D4C4C" w:rsidRDefault="005D4C4C" w:rsidP="008D429A">
                            <w:pPr>
                              <w:jc w:val="center"/>
                            </w:pPr>
                            <w:r w:rsidRPr="00F21196">
                              <w:rPr>
                                <w:rFonts w:cs="Arial"/>
                                <w:b/>
                                <w:sz w:val="18"/>
                                <w:szCs w:val="18"/>
                              </w:rPr>
                              <w:t>Zapewnienie obywatelom bezpieczeństwa wewnętrznego i zewnętrznego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41CF8" id="Prostokąt 35" o:spid="_x0000_s1042" style="position:absolute;left:0;text-align:left;margin-left:35.95pt;margin-top:9.3pt;width:180pt;height:55.7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vUmgIAAIMFAAAOAAAAZHJzL2Uyb0RvYy54bWy0VM1u2zAMvg/YOwi6r3bSNOmCOkXQosOA&#10;rg3QDj0rshQLk0RNUmJ3971ZH2yU7KQ/22nYLrZIUfz5+JFn553RZCd8UGArOjoqKRGWQ63spqJf&#10;768+nFISIrM102BFRR9FoOeL9+/OWjcXY2hA18ITdGLDvHUVbWJ086IIvBGGhSNwwuKlBG9YRNFv&#10;itqzFr0bXYzLclq04GvngYsQUHvZX9JF9i+l4PFWyiAi0RXF3GL++vxdp2+xOGPzjWeuUXxIg/1F&#10;FoYpi0EPri5ZZGTr1W+ujOIeAsh4xMEUIKXiIteA1YzKN9XcNcyJXAuCE9wBpvDv3PKb3coTVVf0&#10;+IQSywz2aIUZRvj29DMSVCJCrQtzNLxzKz9IAY+p3E56k/5YCOkyqo8HVEUXCUfleHw6LUsEn+Pd&#10;rJwdT6fJafH82vkQPwkwJB0q6rFrGUy2uw6xN92bpGABtKqvlNZZSEwRF9qTHcMeM86FjaP8XG/N&#10;F6h7/QQzGLqNauREr06JZTVmkzmXPOXcXgXRlrTI7vEsl8GQp1KziBUZh8gFu6GE6Q0OAI8+h371&#10;+uD4f6aYALpkoelj5Pg9uY2KOGFamYqepmr35Wqb4BN5RgaYU5/7zqZT7NZdZsYo9yup1lA/Il08&#10;9HMUHL9SGPeahbhiHgcHu4zLIN7iR2pAzGA4UdKA//EnfbJHPuMtJS0OIuL5fcu8oER/tsj0j6PJ&#10;JE1uFiYnszEK/uXN+uWN3ZoLQB6McO04no/JPur9UXowD7gzlikqXjHLMXbfuUG4iP2CwK3DxXKZ&#10;zXBaHYvX9s7x5DxBlxC/7x6YdwNvIzL+BvZDy+Zv6NvbppcWltsIUmVuP+OKvEsCTnpm4LCV0ip5&#10;KWer5925+AUAAP//AwBQSwMEFAAGAAgAAAAhAEdjwcvdAAAACQEAAA8AAABkcnMvZG93bnJldi54&#10;bWxMj81OwzAQhO9IvIO1SNyoXVJKCXEqFARCKhcK4uzGSxIRr0Ps5uft2Z7guN+MZmey7eRaMWAf&#10;Gk8algsFAqn0tqFKw8f709UGRIiGrGk9oYYZA2zz87PMpNaP9IbDPlaCQyikRkMdY5dKGcoanQkL&#10;3yGx9uV7ZyKffSVtb0YOd628VmotnWmIP9Smw6LG8nt/dBqSXVOsxs/69bl4jD8vA83+xs1aX15M&#10;D/cgIk7xzwyn+lwdcu508EeyQbQabpd37GS+WYNgfZWcwIFBohTIPJP/F+S/AAAA//8DAFBLAQIt&#10;ABQABgAIAAAAIQC2gziS/gAAAOEBAAATAAAAAAAAAAAAAAAAAAAAAABbQ29udGVudF9UeXBlc10u&#10;eG1sUEsBAi0AFAAGAAgAAAAhADj9If/WAAAAlAEAAAsAAAAAAAAAAAAAAAAALwEAAF9yZWxzLy5y&#10;ZWxzUEsBAi0AFAAGAAgAAAAhADL9G9SaAgAAgwUAAA4AAAAAAAAAAAAAAAAALgIAAGRycy9lMm9E&#10;b2MueG1sUEsBAi0AFAAGAAgAAAAhAEdjwcvdAAAACQEAAA8AAAAAAAAAAAAAAAAA9AQAAGRycy9k&#10;b3ducmV2LnhtbFBLBQYAAAAABAAEAPMAAAD+BQAAAAA=&#10;" fillcolor="#bdd6ee [1300]" strokecolor="#bdd6ee [1300]" strokeweight="1pt">
                <v:textbox>
                  <w:txbxContent>
                    <w:p w14:paraId="3CFC93F9" w14:textId="77777777" w:rsidR="005D4C4C" w:rsidRDefault="005D4C4C" w:rsidP="00436E62">
                      <w:pPr>
                        <w:spacing w:after="0"/>
                        <w:rPr>
                          <w:rFonts w:cs="Arial"/>
                          <w:b/>
                          <w:sz w:val="18"/>
                          <w:szCs w:val="18"/>
                        </w:rPr>
                      </w:pPr>
                      <w:r>
                        <w:t>Cel V. SNP</w:t>
                      </w:r>
                      <w:r w:rsidRPr="00540F63">
                        <w:rPr>
                          <w:rFonts w:cs="Arial"/>
                          <w:b/>
                          <w:sz w:val="18"/>
                          <w:szCs w:val="18"/>
                        </w:rPr>
                        <w:t xml:space="preserve"> </w:t>
                      </w:r>
                    </w:p>
                    <w:p w14:paraId="40C592CB" w14:textId="77777777" w:rsidR="005D4C4C" w:rsidRDefault="005D4C4C" w:rsidP="008D429A">
                      <w:pPr>
                        <w:jc w:val="center"/>
                      </w:pPr>
                      <w:r w:rsidRPr="00F21196">
                        <w:rPr>
                          <w:rFonts w:cs="Arial"/>
                          <w:b/>
                          <w:sz w:val="18"/>
                          <w:szCs w:val="18"/>
                        </w:rPr>
                        <w:t>Zapewnienie obywatelom bezpieczeństwa wewnętrznego i zewnętrznego</w:t>
                      </w:r>
                    </w:p>
                  </w:txbxContent>
                </v:textbox>
              </v:rect>
            </w:pict>
          </mc:Fallback>
        </mc:AlternateContent>
      </w:r>
    </w:p>
    <w:p w14:paraId="1C929DD6" w14:textId="2A976F3B" w:rsidR="008D429A" w:rsidRDefault="004550B3" w:rsidP="00434C8B">
      <w:pPr>
        <w:pStyle w:val="NormalnyWeb"/>
        <w:spacing w:before="0" w:beforeAutospacing="0" w:after="0" w:afterAutospacing="0"/>
        <w:jc w:val="center"/>
        <w:rPr>
          <w:rFonts w:asciiTheme="minorHAnsi" w:eastAsiaTheme="minorEastAsia" w:hAnsiTheme="minorHAnsi" w:cstheme="minorBidi"/>
          <w:bCs/>
          <w:color w:val="000000" w:themeColor="text1"/>
          <w:kern w:val="24"/>
          <w:sz w:val="20"/>
          <w:szCs w:val="22"/>
        </w:rPr>
      </w:pPr>
      <w:r w:rsidRPr="00540F63">
        <w:rPr>
          <w:rFonts w:asciiTheme="minorHAnsi" w:eastAsiaTheme="minorEastAsia" w:hAnsiTheme="minorHAnsi" w:cstheme="minorBidi"/>
          <w:bCs/>
          <w:noProof/>
          <w:color w:val="000000" w:themeColor="text1"/>
          <w:kern w:val="24"/>
          <w:sz w:val="20"/>
          <w:szCs w:val="22"/>
        </w:rPr>
        <mc:AlternateContent>
          <mc:Choice Requires="wps">
            <w:drawing>
              <wp:anchor distT="0" distB="0" distL="114300" distR="114300" simplePos="0" relativeHeight="252123136" behindDoc="0" locked="0" layoutInCell="1" allowOverlap="1" wp14:anchorId="4C941C01" wp14:editId="14B5A091">
                <wp:simplePos x="0" y="0"/>
                <wp:positionH relativeFrom="margin">
                  <wp:posOffset>4044962</wp:posOffset>
                </wp:positionH>
                <wp:positionV relativeFrom="paragraph">
                  <wp:posOffset>6889</wp:posOffset>
                </wp:positionV>
                <wp:extent cx="2179929" cy="707366"/>
                <wp:effectExtent l="0" t="0" r="11430" b="17145"/>
                <wp:wrapNone/>
                <wp:docPr id="42" name="Prostokąt 42"/>
                <wp:cNvGraphicFramePr/>
                <a:graphic xmlns:a="http://schemas.openxmlformats.org/drawingml/2006/main">
                  <a:graphicData uri="http://schemas.microsoft.com/office/word/2010/wordprocessingShape">
                    <wps:wsp>
                      <wps:cNvSpPr/>
                      <wps:spPr>
                        <a:xfrm>
                          <a:off x="0" y="0"/>
                          <a:ext cx="2179929" cy="707366"/>
                        </a:xfrm>
                        <a:prstGeom prst="rect">
                          <a:avLst/>
                        </a:prstGeom>
                        <a:solidFill>
                          <a:schemeClr val="bg2">
                            <a:lumMod val="90000"/>
                          </a:schemeClr>
                        </a:solidFill>
                        <a:ln w="12700" cap="flat" cmpd="sng" algn="ctr">
                          <a:solidFill>
                            <a:schemeClr val="bg2">
                              <a:lumMod val="75000"/>
                            </a:schemeClr>
                          </a:solidFill>
                          <a:prstDash val="solid"/>
                          <a:miter lim="800000"/>
                        </a:ln>
                        <a:effectLst/>
                      </wps:spPr>
                      <wps:txbx>
                        <w:txbxContent>
                          <w:p w14:paraId="0E6D035D" w14:textId="77777777" w:rsidR="005D4C4C" w:rsidRDefault="005D4C4C" w:rsidP="00540F63">
                            <w:pPr>
                              <w:spacing w:after="0"/>
                            </w:pPr>
                            <w:r>
                              <w:t>Obszar SOR</w:t>
                            </w:r>
                          </w:p>
                          <w:p w14:paraId="0726B638" w14:textId="77777777" w:rsidR="005D4C4C" w:rsidRPr="00D81AC1" w:rsidRDefault="005D4C4C" w:rsidP="00540F63">
                            <w:pPr>
                              <w:spacing w:after="0"/>
                              <w:jc w:val="center"/>
                              <w:rPr>
                                <w:b/>
                                <w:sz w:val="20"/>
                              </w:rPr>
                            </w:pPr>
                            <w:r w:rsidRPr="00324C76">
                              <w:rPr>
                                <w:b/>
                                <w:sz w:val="20"/>
                              </w:rPr>
                              <w:t>Bezpieczeństwo</w:t>
                            </w:r>
                            <w:r w:rsidRPr="00D81AC1">
                              <w:rPr>
                                <w:b/>
                                <w:sz w:val="20"/>
                              </w:rPr>
                              <w:t xml:space="preserve"> narodowe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41C01" id="Prostokąt 42" o:spid="_x0000_s1043" style="position:absolute;left:0;text-align:left;margin-left:318.5pt;margin-top:.55pt;width:171.65pt;height:55.7pt;z-index:25212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HKelQIAAE0FAAAOAAAAZHJzL2Uyb0RvYy54bWysVM1u2zAMvg/YOwi6r068tG6MOkXQosOA&#10;rg3QDj0rshwLk0RNUmJ3973ZHmyU7KQ/24BhWA4OKVL8+fhRZ+e9VmQnnJdgKjo9mlAiDIdamk1F&#10;P99fvTulxAdmaqbAiIo+Ck/PF2/fnHW2FDm0oGrhCAYxvuxsRdsQbJllnrdCM38EVhg0NuA0C6i6&#10;TVY71mF0rbJ8MjnJOnC1dcCF93h6ORjpIsVvGsHDbdN4EYiqKNYW0tel7zp+s8UZKzeO2VbysQz2&#10;D1VoJg0mPYS6ZIGRrZO/hNKSO/DQhCMOOoOmkVykHrCb6eRVN3ctsyL1guB4e4DJ/7+w/Ga3ckTW&#10;FZ3llBimcUYrrDDAlx/fA8FDRKizvkTHO7tyo+ZRjO32jdPxHxshfUL18YCq6APheJhPi/k8n1PC&#10;0VZMivcnJzFo9nTbOh8+CNAkChV1OLUEJttd+zC47l1iMg9K1ldSqaREpogL5ciO4YzXmzxdVVv9&#10;CerhbD7B35gyESu6pwJeRFKGdEjhvEBnwhmSsVEsoKgtwuPNhhKmNshyHlzK8eL2IfCf6yiO/6qO&#10;2Ool8+0QKCWJxbNSy4C7oqSu6Glsad+TMtEqEttHwOLEhhlFKfTrPs14WsRI8WgN9SMO3sGwEd7y&#10;K4l5r5kPK+ZwBRADXOtwi59GAQIDo0RJC+7b786jPzITrZR0uFII2tctc4IS9dEgZ+fT2SzuYFJm&#10;x0WOintuWT+3mK2+AJzoFB8Qy5MY/YPai40D/YDbv4xZ0cQMx9zDeEblIgyrju8HF8tlcsO9syxc&#10;mzvLY/AIXUT8vn9gzo4MDMjdG9ivHytfEXHwjTcNLLcBGplY+oQrkisquLOJZuP7Eh+F53ryenoF&#10;Fz8BAAD//wMAUEsDBBQABgAIAAAAIQBn4Bix3QAAAAkBAAAPAAAAZHJzL2Rvd25yZXYueG1sTI9B&#10;SwMxEIXvgv8hjOBFbLYt1u662SKCJ0Gw24u36SZuFpPJsknb6K93erLHxze8+V69yd6Jo5niEEjB&#10;fFaAMNQFPVCvYNe+3q9BxISk0QUyCn5MhE1zfVVjpcOJPsxxm3rBJRQrVGBTGispY2eNxzgLoyFm&#10;X2HymDhOvdQTnrjcO7koipX0OBB/sDiaF2u67+3BK6CEJb5ndHb3VhZ3Y/71n22r1O1Nfn4CkUxO&#10;/8dw1md1aNhpHw6ko3AKVstH3pIYzEEwL9fFEsT+nBcPIJtaXi5o/gAAAP//AwBQSwECLQAUAAYA&#10;CAAAACEAtoM4kv4AAADhAQAAEwAAAAAAAAAAAAAAAAAAAAAAW0NvbnRlbnRfVHlwZXNdLnhtbFBL&#10;AQItABQABgAIAAAAIQA4/SH/1gAAAJQBAAALAAAAAAAAAAAAAAAAAC8BAABfcmVscy8ucmVsc1BL&#10;AQItABQABgAIAAAAIQA1iHKelQIAAE0FAAAOAAAAAAAAAAAAAAAAAC4CAABkcnMvZTJvRG9jLnht&#10;bFBLAQItABQABgAIAAAAIQBn4Bix3QAAAAkBAAAPAAAAAAAAAAAAAAAAAO8EAABkcnMvZG93bnJl&#10;di54bWxQSwUGAAAAAAQABADzAAAA+QUAAAAA&#10;" fillcolor="#cfcdcd [2894]" strokecolor="#aeaaaa [2414]" strokeweight="1pt">
                <v:textbox>
                  <w:txbxContent>
                    <w:p w14:paraId="0E6D035D" w14:textId="77777777" w:rsidR="005D4C4C" w:rsidRDefault="005D4C4C" w:rsidP="00540F63">
                      <w:pPr>
                        <w:spacing w:after="0"/>
                      </w:pPr>
                      <w:r>
                        <w:t>Obszar SOR</w:t>
                      </w:r>
                    </w:p>
                    <w:p w14:paraId="0726B638" w14:textId="77777777" w:rsidR="005D4C4C" w:rsidRPr="00D81AC1" w:rsidRDefault="005D4C4C" w:rsidP="00540F63">
                      <w:pPr>
                        <w:spacing w:after="0"/>
                        <w:jc w:val="center"/>
                        <w:rPr>
                          <w:b/>
                          <w:sz w:val="20"/>
                        </w:rPr>
                      </w:pPr>
                      <w:r w:rsidRPr="00324C76">
                        <w:rPr>
                          <w:b/>
                          <w:sz w:val="20"/>
                        </w:rPr>
                        <w:t>Bezpieczeństwo</w:t>
                      </w:r>
                      <w:r w:rsidRPr="00D81AC1">
                        <w:rPr>
                          <w:b/>
                          <w:sz w:val="20"/>
                        </w:rPr>
                        <w:t xml:space="preserve"> narodowe</w:t>
                      </w:r>
                    </w:p>
                  </w:txbxContent>
                </v:textbox>
                <w10:wrap anchorx="margin"/>
              </v:rect>
            </w:pict>
          </mc:Fallback>
        </mc:AlternateContent>
      </w:r>
      <w:r w:rsidR="00324C76">
        <w:rPr>
          <w:rFonts w:asciiTheme="minorHAnsi" w:eastAsiaTheme="minorEastAsia" w:hAnsiTheme="minorHAnsi" w:cstheme="minorBidi"/>
          <w:bCs/>
          <w:noProof/>
          <w:color w:val="000000" w:themeColor="text1"/>
          <w:kern w:val="24"/>
          <w:sz w:val="20"/>
          <w:szCs w:val="22"/>
        </w:rPr>
        <mc:AlternateContent>
          <mc:Choice Requires="wps">
            <w:drawing>
              <wp:anchor distT="0" distB="0" distL="114300" distR="114300" simplePos="0" relativeHeight="252124160" behindDoc="0" locked="0" layoutInCell="1" allowOverlap="1" wp14:anchorId="537265B8" wp14:editId="0E92EDF3">
                <wp:simplePos x="0" y="0"/>
                <wp:positionH relativeFrom="column">
                  <wp:posOffset>2764651</wp:posOffset>
                </wp:positionH>
                <wp:positionV relativeFrom="paragraph">
                  <wp:posOffset>109551</wp:posOffset>
                </wp:positionV>
                <wp:extent cx="1248355" cy="335915"/>
                <wp:effectExtent l="19050" t="19050" r="28575" b="45085"/>
                <wp:wrapNone/>
                <wp:docPr id="44" name="Strzałka w lewo i prawo 44"/>
                <wp:cNvGraphicFramePr/>
                <a:graphic xmlns:a="http://schemas.openxmlformats.org/drawingml/2006/main">
                  <a:graphicData uri="http://schemas.microsoft.com/office/word/2010/wordprocessingShape">
                    <wps:wsp>
                      <wps:cNvSpPr/>
                      <wps:spPr>
                        <a:xfrm>
                          <a:off x="0" y="0"/>
                          <a:ext cx="1248355" cy="335915"/>
                        </a:xfrm>
                        <a:prstGeom prst="leftRightArrow">
                          <a:avLst/>
                        </a:prstGeom>
                        <a:solidFill>
                          <a:schemeClr val="bg2">
                            <a:lumMod val="90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65BC2" id="Strzałka w lewo i prawo 44" o:spid="_x0000_s1026" type="#_x0000_t69" style="position:absolute;margin-left:217.7pt;margin-top:8.65pt;width:98.3pt;height:26.4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BQKugIAAA8GAAAOAAAAZHJzL2Uyb0RvYy54bWysVE1vGyEQvVfqf0Dcm7Udu0msrCMrUapK&#10;aRPFqXLGLHhRWYYC9to59r/1f3WA9eajUVVF9QEzzMwb5i3zTs+2jSYb4bwCU9LhwYASYThUyqxK&#10;+u3u8sMxJT4wUzENRpR0Jzw9m71/d9raqRhBDboSjiCI8dPWlrQOwU6LwvNaNMwfgBUGnRJcwwKa&#10;blVUjrWI3uhiNBh8LFpwlXXAhfd4epGddJbwpRQ8XEvpRSC6pHi3kFaX1mVci9kpm64cs7Xi3TXY&#10;G27RMGWwaA91wQIja6f+gGoUd+BBhgMOTQFSKi5SD9jNcPCim0XNrEi9IDne9jT5/wfLv25uHFFV&#10;ScdjSgxr8Bstgntgv35+Z6QlWrRAFLHIKxAMQb5a66eYtrA3rrM8bmPzW+ma+I9tkW3ieNdzLLaB&#10;cDwcjsbHh5MJJRx9h4eTk+EkghaP2db58ElAg0U9fi8tZLhVqzrMnYM2kcw2Vz7kpH1wLOtBq+pS&#10;aZ2M+ILEuXZkw/DbL1ejlKrXzReo8tnJAH9d8fTgYni6yjMkbd4CfjT5B3DsOqIXkdJMYtqFnRax&#10;pja3QuLHQdry7ftb5gYY58KEYWrM16wS+ThWfr2vBBiRJbLUY3cAzwnbY2eau/iYKtJU9cmDXP1v&#10;yX1Gqgwm9MmNMuBeA9DYVVc5x+9JytRElpZQ7fDpOsgz7S2/VPhgrpgPN8zhEOO4ozCFa1ykhrak&#10;0O0oqcE9vHYe43G20EtJi6JQUv9jzZygRH82OHUnw/E4qkgyxpOjERruqWf51GPWzTng2xuiBFqe&#10;tjE+6P1WOmjuUb/msSq6mOFYu6Q8uL1xHrJYoQJyMZ+nMFQOy8KVWVgewSOrcQzutvfM2W5qAs7b&#10;V9gLCJu+GJkcGzMNzNcBpErz9MhrxzeqThqITiGjrD21U9Sjjs9+AwAA//8DAFBLAwQUAAYACAAA&#10;ACEAR2exQd4AAAAJAQAADwAAAGRycy9kb3ducmV2LnhtbEyPwU7DMBBE70j8g7VI3KhDUpIqxKmq&#10;Ig6IA6VUnN14SSLidWQ7bfr3LCc4ruZp9k21nu0gTuhD70jB/SIBgdQ401Or4PDxfLcCEaImowdH&#10;qOCCAdb19VWlS+PO9I6nfWwFl1AotYIuxrGUMjQdWh0WbkTi7Mt5qyOfvpXG6zOX20GmSZJLq3vi&#10;D50ecdth872frAIzffq3fCr8Sx+3h1X2tLkUrzulbm/mzSOIiHP8g+FXn9WhZqejm8gEMShYZg9L&#10;RjkoMhAM5FnK444KiiQFWVfy/4L6BwAA//8DAFBLAQItABQABgAIAAAAIQC2gziS/gAAAOEBAAAT&#10;AAAAAAAAAAAAAAAAAAAAAABbQ29udGVudF9UeXBlc10ueG1sUEsBAi0AFAAGAAgAAAAhADj9If/W&#10;AAAAlAEAAAsAAAAAAAAAAAAAAAAALwEAAF9yZWxzLy5yZWxzUEsBAi0AFAAGAAgAAAAhAGDoFAq6&#10;AgAADwYAAA4AAAAAAAAAAAAAAAAALgIAAGRycy9lMm9Eb2MueG1sUEsBAi0AFAAGAAgAAAAhAEdn&#10;sUHeAAAACQEAAA8AAAAAAAAAAAAAAAAAFAUAAGRycy9kb3ducmV2LnhtbFBLBQYAAAAABAAEAPMA&#10;AAAfBgAAAAA=&#10;" adj="2906" fillcolor="#cfcdcd [2894]" strokecolor="#aeaaaa [2414]" strokeweight="1pt"/>
            </w:pict>
          </mc:Fallback>
        </mc:AlternateContent>
      </w:r>
    </w:p>
    <w:p w14:paraId="3FBDCAB2" w14:textId="77777777" w:rsidR="008D429A" w:rsidRDefault="008D429A" w:rsidP="00434C8B">
      <w:pPr>
        <w:pStyle w:val="NormalnyWeb"/>
        <w:spacing w:before="0" w:beforeAutospacing="0" w:after="0" w:afterAutospacing="0"/>
        <w:jc w:val="center"/>
        <w:rPr>
          <w:rFonts w:asciiTheme="minorHAnsi" w:eastAsiaTheme="minorEastAsia" w:hAnsiTheme="minorHAnsi" w:cstheme="minorBidi"/>
          <w:bCs/>
          <w:color w:val="000000" w:themeColor="text1"/>
          <w:kern w:val="24"/>
          <w:sz w:val="20"/>
          <w:szCs w:val="22"/>
        </w:rPr>
      </w:pPr>
    </w:p>
    <w:p w14:paraId="6F15F217" w14:textId="77777777" w:rsidR="008D429A" w:rsidRDefault="008D429A" w:rsidP="00434C8B">
      <w:pPr>
        <w:pStyle w:val="NormalnyWeb"/>
        <w:spacing w:before="0" w:beforeAutospacing="0" w:after="0" w:afterAutospacing="0"/>
        <w:jc w:val="center"/>
        <w:rPr>
          <w:rFonts w:asciiTheme="minorHAnsi" w:eastAsiaTheme="minorEastAsia" w:hAnsiTheme="minorHAnsi" w:cstheme="minorBidi"/>
          <w:bCs/>
          <w:color w:val="000000" w:themeColor="text1"/>
          <w:kern w:val="24"/>
          <w:sz w:val="20"/>
          <w:szCs w:val="22"/>
        </w:rPr>
      </w:pPr>
    </w:p>
    <w:p w14:paraId="37F55DFB" w14:textId="77777777" w:rsidR="008D429A" w:rsidRDefault="008D429A" w:rsidP="00434C8B">
      <w:pPr>
        <w:pStyle w:val="NormalnyWeb"/>
        <w:spacing w:before="0" w:beforeAutospacing="0" w:after="0" w:afterAutospacing="0"/>
        <w:jc w:val="center"/>
        <w:rPr>
          <w:rFonts w:asciiTheme="minorHAnsi" w:eastAsiaTheme="minorEastAsia" w:hAnsiTheme="minorHAnsi" w:cstheme="minorBidi"/>
          <w:bCs/>
          <w:color w:val="000000" w:themeColor="text1"/>
          <w:kern w:val="24"/>
          <w:sz w:val="20"/>
          <w:szCs w:val="22"/>
        </w:rPr>
      </w:pPr>
    </w:p>
    <w:p w14:paraId="5B234950" w14:textId="77777777" w:rsidR="00436E62" w:rsidRDefault="00436E62" w:rsidP="00434C8B">
      <w:pPr>
        <w:pStyle w:val="NormalnyWeb"/>
        <w:spacing w:before="0" w:beforeAutospacing="0" w:after="0" w:afterAutospacing="0"/>
        <w:jc w:val="center"/>
        <w:rPr>
          <w:rFonts w:asciiTheme="minorHAnsi" w:eastAsiaTheme="minorEastAsia" w:hAnsiTheme="minorHAnsi" w:cstheme="minorBidi"/>
          <w:bCs/>
          <w:color w:val="000000" w:themeColor="text1"/>
          <w:kern w:val="24"/>
          <w:sz w:val="20"/>
          <w:szCs w:val="22"/>
        </w:rPr>
      </w:pPr>
    </w:p>
    <w:p w14:paraId="73C067D0" w14:textId="77777777" w:rsidR="00436E62" w:rsidRDefault="00436E62" w:rsidP="00434C8B">
      <w:pPr>
        <w:pStyle w:val="NormalnyWeb"/>
        <w:spacing w:before="0" w:beforeAutospacing="0" w:after="0" w:afterAutospacing="0"/>
        <w:jc w:val="center"/>
        <w:rPr>
          <w:rFonts w:asciiTheme="minorHAnsi" w:eastAsiaTheme="minorEastAsia" w:hAnsiTheme="minorHAnsi" w:cstheme="minorBidi"/>
          <w:bCs/>
          <w:color w:val="000000" w:themeColor="text1"/>
          <w:kern w:val="24"/>
          <w:sz w:val="20"/>
          <w:szCs w:val="22"/>
        </w:rPr>
      </w:pPr>
    </w:p>
    <w:p w14:paraId="4DCB04EF" w14:textId="77777777" w:rsidR="00D14DC2" w:rsidRPr="00F21196" w:rsidRDefault="00D14DC2" w:rsidP="00D14DC2">
      <w:pPr>
        <w:autoSpaceDE w:val="0"/>
        <w:autoSpaceDN w:val="0"/>
        <w:adjustRightInd w:val="0"/>
        <w:spacing w:after="0" w:line="276" w:lineRule="auto"/>
        <w:jc w:val="both"/>
        <w:rPr>
          <w:rFonts w:cs="Calibri"/>
          <w:i/>
        </w:rPr>
      </w:pPr>
      <w:r w:rsidRPr="00F21196">
        <w:rPr>
          <w:rFonts w:cs="Calibri"/>
          <w:i/>
          <w:color w:val="000000"/>
          <w:sz w:val="18"/>
          <w:szCs w:val="18"/>
        </w:rPr>
        <w:t xml:space="preserve">Źródło: </w:t>
      </w:r>
      <w:r>
        <w:rPr>
          <w:rFonts w:cs="Calibri"/>
          <w:i/>
          <w:color w:val="000000"/>
          <w:sz w:val="18"/>
          <w:szCs w:val="18"/>
        </w:rPr>
        <w:t>opracowanie własne</w:t>
      </w:r>
    </w:p>
    <w:p w14:paraId="00892F3A" w14:textId="77777777" w:rsidR="00436E62" w:rsidRDefault="00436E62" w:rsidP="00434C8B">
      <w:pPr>
        <w:pStyle w:val="NormalnyWeb"/>
        <w:spacing w:before="0" w:beforeAutospacing="0" w:after="0" w:afterAutospacing="0"/>
        <w:jc w:val="center"/>
        <w:rPr>
          <w:rFonts w:asciiTheme="minorHAnsi" w:eastAsiaTheme="minorEastAsia" w:hAnsiTheme="minorHAnsi" w:cstheme="minorBidi"/>
          <w:bCs/>
          <w:color w:val="000000" w:themeColor="text1"/>
          <w:kern w:val="24"/>
          <w:sz w:val="20"/>
          <w:szCs w:val="22"/>
        </w:rPr>
      </w:pPr>
    </w:p>
    <w:p w14:paraId="29E574DA" w14:textId="77777777" w:rsidR="008D429A" w:rsidRDefault="008D429A">
      <w:pPr>
        <w:rPr>
          <w:rFonts w:eastAsiaTheme="minorEastAsia"/>
          <w:bCs/>
          <w:color w:val="000000" w:themeColor="text1"/>
          <w:kern w:val="24"/>
          <w:sz w:val="20"/>
          <w:lang w:eastAsia="pl-PL"/>
        </w:rPr>
      </w:pPr>
      <w:r>
        <w:rPr>
          <w:rFonts w:eastAsiaTheme="minorEastAsia"/>
          <w:bCs/>
          <w:color w:val="000000" w:themeColor="text1"/>
          <w:kern w:val="24"/>
          <w:sz w:val="20"/>
        </w:rPr>
        <w:br w:type="page"/>
      </w:r>
    </w:p>
    <w:p w14:paraId="62C08C30" w14:textId="77777777" w:rsidR="00434C8B" w:rsidRPr="00436E62" w:rsidRDefault="00434C8B" w:rsidP="00434C8B">
      <w:pPr>
        <w:pStyle w:val="NormalnyWeb"/>
        <w:spacing w:before="0" w:beforeAutospacing="0" w:after="0" w:afterAutospacing="0"/>
        <w:jc w:val="center"/>
        <w:rPr>
          <w:rFonts w:asciiTheme="minorHAnsi" w:hAnsiTheme="minorHAnsi"/>
          <w:b/>
          <w:sz w:val="20"/>
          <w:szCs w:val="22"/>
        </w:rPr>
      </w:pPr>
      <w:r w:rsidRPr="00436E62">
        <w:rPr>
          <w:rFonts w:asciiTheme="minorHAnsi" w:eastAsiaTheme="minorEastAsia" w:hAnsiTheme="minorHAnsi" w:cstheme="minorBidi"/>
          <w:b/>
          <w:bCs/>
          <w:color w:val="000000" w:themeColor="text1"/>
          <w:kern w:val="24"/>
          <w:sz w:val="20"/>
          <w:szCs w:val="22"/>
        </w:rPr>
        <w:t>Tabela</w:t>
      </w:r>
      <w:r w:rsidR="003F7108" w:rsidRPr="00436E62">
        <w:rPr>
          <w:rFonts w:asciiTheme="minorHAnsi" w:eastAsiaTheme="minorEastAsia" w:hAnsiTheme="minorHAnsi" w:cstheme="minorBidi"/>
          <w:b/>
          <w:bCs/>
          <w:color w:val="000000" w:themeColor="text1"/>
          <w:kern w:val="24"/>
          <w:sz w:val="20"/>
          <w:szCs w:val="22"/>
        </w:rPr>
        <w:t xml:space="preserve"> 2.</w:t>
      </w:r>
      <w:r w:rsidRPr="00436E62">
        <w:rPr>
          <w:rFonts w:asciiTheme="minorHAnsi" w:eastAsiaTheme="minorEastAsia" w:hAnsiTheme="minorHAnsi" w:cstheme="minorBidi"/>
          <w:b/>
          <w:bCs/>
          <w:color w:val="000000" w:themeColor="text1"/>
          <w:kern w:val="24"/>
          <w:sz w:val="20"/>
          <w:szCs w:val="22"/>
        </w:rPr>
        <w:t xml:space="preserve"> Powiązanie tematyczne SNP z</w:t>
      </w:r>
      <w:r w:rsidR="00324C76">
        <w:rPr>
          <w:rFonts w:asciiTheme="minorHAnsi" w:eastAsiaTheme="minorEastAsia" w:hAnsiTheme="minorHAnsi" w:cstheme="minorBidi"/>
          <w:b/>
          <w:bCs/>
          <w:color w:val="000000" w:themeColor="text1"/>
          <w:kern w:val="24"/>
          <w:sz w:val="20"/>
          <w:szCs w:val="22"/>
        </w:rPr>
        <w:t xml:space="preserve"> innymi </w:t>
      </w:r>
      <w:r w:rsidRPr="00436E62">
        <w:rPr>
          <w:rFonts w:asciiTheme="minorHAnsi" w:hAnsiTheme="minorHAnsi"/>
          <w:b/>
          <w:sz w:val="20"/>
          <w:szCs w:val="22"/>
        </w:rPr>
        <w:t>zintegrowanym</w:t>
      </w:r>
      <w:r w:rsidR="00324C76">
        <w:rPr>
          <w:rFonts w:asciiTheme="minorHAnsi" w:hAnsiTheme="minorHAnsi"/>
          <w:b/>
          <w:sz w:val="20"/>
          <w:szCs w:val="22"/>
        </w:rPr>
        <w:t>i</w:t>
      </w:r>
      <w:r w:rsidRPr="00436E62">
        <w:rPr>
          <w:rFonts w:asciiTheme="minorHAnsi" w:hAnsiTheme="minorHAnsi"/>
          <w:b/>
          <w:sz w:val="20"/>
          <w:szCs w:val="22"/>
        </w:rPr>
        <w:t xml:space="preserve"> strategiami rozwoju</w:t>
      </w:r>
      <w:r w:rsidR="00F4001B" w:rsidRPr="00436E62">
        <w:rPr>
          <w:rFonts w:asciiTheme="minorHAnsi" w:hAnsiTheme="minorHAnsi"/>
          <w:b/>
          <w:sz w:val="20"/>
          <w:szCs w:val="22"/>
        </w:rPr>
        <w:t xml:space="preserve"> kraju</w:t>
      </w:r>
    </w:p>
    <w:tbl>
      <w:tblPr>
        <w:tblW w:w="10207" w:type="dxa"/>
        <w:tblInd w:w="-10" w:type="dxa"/>
        <w:tblCellMar>
          <w:left w:w="0" w:type="dxa"/>
          <w:right w:w="0" w:type="dxa"/>
        </w:tblCellMar>
        <w:tblLook w:val="0420" w:firstRow="1" w:lastRow="0" w:firstColumn="0" w:lastColumn="0" w:noHBand="0" w:noVBand="1"/>
      </w:tblPr>
      <w:tblGrid>
        <w:gridCol w:w="4253"/>
        <w:gridCol w:w="5954"/>
      </w:tblGrid>
      <w:tr w:rsidR="00434C8B" w:rsidRPr="00F21196" w14:paraId="2FDFE0DD" w14:textId="77777777" w:rsidTr="00654DEC">
        <w:trPr>
          <w:trHeight w:val="584"/>
        </w:trPr>
        <w:tc>
          <w:tcPr>
            <w:tcW w:w="4253" w:type="dxa"/>
            <w:tcBorders>
              <w:top w:val="single" w:sz="8" w:space="0" w:color="FFFFFF"/>
              <w:left w:val="single" w:sz="8" w:space="0" w:color="FFFFFF"/>
              <w:bottom w:val="single" w:sz="24" w:space="0" w:color="FFFFFF"/>
              <w:right w:val="single" w:sz="8" w:space="0" w:color="FFFFFF"/>
            </w:tcBorders>
            <w:shd w:val="clear" w:color="auto" w:fill="BDD6EE" w:themeFill="accent1" w:themeFillTint="66"/>
            <w:tcMar>
              <w:top w:w="72" w:type="dxa"/>
              <w:left w:w="144" w:type="dxa"/>
              <w:bottom w:w="72" w:type="dxa"/>
              <w:right w:w="144" w:type="dxa"/>
            </w:tcMar>
            <w:hideMark/>
          </w:tcPr>
          <w:p w14:paraId="0FCEED3D" w14:textId="77777777" w:rsidR="00434C8B" w:rsidRPr="00F21196" w:rsidRDefault="00434C8B" w:rsidP="00A70F60">
            <w:r w:rsidRPr="00F21196">
              <w:rPr>
                <w:b/>
                <w:bCs/>
              </w:rPr>
              <w:t>Strategia</w:t>
            </w:r>
          </w:p>
        </w:tc>
        <w:tc>
          <w:tcPr>
            <w:tcW w:w="5954" w:type="dxa"/>
            <w:tcBorders>
              <w:top w:val="single" w:sz="8" w:space="0" w:color="FFFFFF"/>
              <w:left w:val="single" w:sz="8" w:space="0" w:color="FFFFFF"/>
              <w:bottom w:val="single" w:sz="24" w:space="0" w:color="FFFFFF"/>
              <w:right w:val="single" w:sz="8" w:space="0" w:color="FFFFFF"/>
            </w:tcBorders>
            <w:shd w:val="clear" w:color="auto" w:fill="BDD6EE" w:themeFill="accent1" w:themeFillTint="66"/>
            <w:tcMar>
              <w:top w:w="72" w:type="dxa"/>
              <w:left w:w="144" w:type="dxa"/>
              <w:bottom w:w="72" w:type="dxa"/>
              <w:right w:w="144" w:type="dxa"/>
            </w:tcMar>
            <w:hideMark/>
          </w:tcPr>
          <w:p w14:paraId="106FE639" w14:textId="77777777" w:rsidR="00434C8B" w:rsidRPr="00F21196" w:rsidRDefault="00434C8B" w:rsidP="003F7108">
            <w:r w:rsidRPr="00F21196">
              <w:rPr>
                <w:b/>
                <w:bCs/>
              </w:rPr>
              <w:t>Powiązanie tematyczne innych strategii z S</w:t>
            </w:r>
            <w:r w:rsidR="003F7108" w:rsidRPr="00F21196">
              <w:rPr>
                <w:b/>
                <w:bCs/>
              </w:rPr>
              <w:t>NP</w:t>
            </w:r>
          </w:p>
        </w:tc>
      </w:tr>
      <w:tr w:rsidR="00434C8B" w:rsidRPr="00F21196" w14:paraId="695E539D" w14:textId="77777777" w:rsidTr="00654DEC">
        <w:trPr>
          <w:trHeight w:val="584"/>
        </w:trPr>
        <w:tc>
          <w:tcPr>
            <w:tcW w:w="4253" w:type="dxa"/>
            <w:tcBorders>
              <w:top w:val="single" w:sz="24"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tcPr>
          <w:p w14:paraId="3AC2550E" w14:textId="77777777" w:rsidR="00434C8B" w:rsidRPr="00F21196" w:rsidRDefault="00BC2237" w:rsidP="00BC2237">
            <w:pPr>
              <w:ind w:left="-12"/>
              <w:rPr>
                <w:b/>
              </w:rPr>
            </w:pPr>
            <w:r w:rsidRPr="006F38AD">
              <w:rPr>
                <w:b/>
              </w:rPr>
              <w:t>Strategia Produktywności</w:t>
            </w:r>
            <w:r>
              <w:rPr>
                <w:rStyle w:val="Odwoanieprzypisudolnego"/>
                <w:b/>
              </w:rPr>
              <w:footnoteReference w:id="11"/>
            </w:r>
          </w:p>
        </w:tc>
        <w:tc>
          <w:tcPr>
            <w:tcW w:w="5954"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tcPr>
          <w:p w14:paraId="4C45BA99" w14:textId="77777777" w:rsidR="00434C8B" w:rsidRPr="00436E62" w:rsidRDefault="00434C8B" w:rsidP="00723B3F">
            <w:pPr>
              <w:numPr>
                <w:ilvl w:val="0"/>
                <w:numId w:val="28"/>
              </w:numPr>
              <w:spacing w:after="60" w:line="240" w:lineRule="auto"/>
              <w:ind w:left="255" w:hanging="255"/>
              <w:rPr>
                <w:sz w:val="19"/>
              </w:rPr>
            </w:pPr>
            <w:r w:rsidRPr="00436E62">
              <w:rPr>
                <w:rFonts w:eastAsia="Times New Roman" w:cs="Calibri"/>
                <w:sz w:val="19"/>
                <w:lang w:eastAsia="pl-PL"/>
              </w:rPr>
              <w:t>Inteligentne rozwiązania oparte na sieciach szerokopasmowych; gospodarka cyfrowa</w:t>
            </w:r>
          </w:p>
          <w:p w14:paraId="2A14687C" w14:textId="77777777" w:rsidR="00434C8B" w:rsidRPr="00436E62" w:rsidRDefault="00434C8B" w:rsidP="00723B3F">
            <w:pPr>
              <w:numPr>
                <w:ilvl w:val="0"/>
                <w:numId w:val="28"/>
              </w:numPr>
              <w:spacing w:after="60" w:line="240" w:lineRule="auto"/>
              <w:ind w:left="255" w:hanging="255"/>
              <w:jc w:val="both"/>
              <w:rPr>
                <w:rFonts w:eastAsia="Times New Roman" w:cs="Calibri"/>
                <w:sz w:val="19"/>
                <w:lang w:eastAsia="pl-PL"/>
              </w:rPr>
            </w:pPr>
            <w:r w:rsidRPr="00436E62">
              <w:rPr>
                <w:rFonts w:eastAsia="Times New Roman" w:cs="Calibri"/>
                <w:sz w:val="19"/>
                <w:lang w:eastAsia="pl-PL"/>
              </w:rPr>
              <w:t>Zwiększenie dostępności finansowania zewnętrznego dla przedsiębiorstw</w:t>
            </w:r>
          </w:p>
          <w:p w14:paraId="6BF91BE9" w14:textId="77777777" w:rsidR="00434C8B" w:rsidRPr="00436E62" w:rsidRDefault="00434C8B" w:rsidP="00723B3F">
            <w:pPr>
              <w:numPr>
                <w:ilvl w:val="0"/>
                <w:numId w:val="28"/>
              </w:numPr>
              <w:spacing w:after="60" w:line="240" w:lineRule="auto"/>
              <w:ind w:left="255" w:hanging="255"/>
              <w:jc w:val="both"/>
              <w:rPr>
                <w:rFonts w:eastAsia="Times New Roman" w:cs="Calibri"/>
                <w:sz w:val="19"/>
                <w:lang w:eastAsia="pl-PL"/>
              </w:rPr>
            </w:pPr>
            <w:r w:rsidRPr="00436E62">
              <w:rPr>
                <w:rFonts w:eastAsia="Times New Roman" w:cs="Calibri"/>
                <w:sz w:val="19"/>
                <w:lang w:eastAsia="pl-PL"/>
              </w:rPr>
              <w:t>Zapewnienie otoczenia wspierającego konkurencyjność przedsiębiorstw na rynkach globalnych (warunki instytucjonalne, prawne i finansowe); zmniejszenie barier rozwojowych (poprawa jakości ustawodawstwa gospodarczego)</w:t>
            </w:r>
          </w:p>
          <w:p w14:paraId="4EB0A2B2" w14:textId="77777777" w:rsidR="00434C8B" w:rsidRPr="00436E62" w:rsidRDefault="00434C8B" w:rsidP="00723B3F">
            <w:pPr>
              <w:numPr>
                <w:ilvl w:val="0"/>
                <w:numId w:val="28"/>
              </w:numPr>
              <w:spacing w:after="60" w:line="240" w:lineRule="auto"/>
              <w:ind w:left="255" w:hanging="255"/>
              <w:jc w:val="both"/>
              <w:rPr>
                <w:sz w:val="19"/>
              </w:rPr>
            </w:pPr>
            <w:r w:rsidRPr="00436E62">
              <w:rPr>
                <w:rFonts w:cs="Calibri"/>
                <w:sz w:val="19"/>
                <w:lang w:eastAsia="pl-PL"/>
              </w:rPr>
              <w:t>Rozwój źródeł finansowania inwestycji prywatnych i publicznych oraz instrumentów finansowania rozwoju bieżącej i przyszłej działalności przedsiębiorstw (środki krajowe, środki zagraniczne, w tym z UE)</w:t>
            </w:r>
          </w:p>
        </w:tc>
      </w:tr>
      <w:tr w:rsidR="00434C8B" w:rsidRPr="00F21196" w14:paraId="07B42242" w14:textId="77777777" w:rsidTr="00654DEC">
        <w:trPr>
          <w:trHeight w:val="1433"/>
        </w:trPr>
        <w:tc>
          <w:tcPr>
            <w:tcW w:w="4253"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tcPr>
          <w:p w14:paraId="62BA9CC7" w14:textId="77777777" w:rsidR="00434C8B" w:rsidRPr="00F21196" w:rsidRDefault="00434C8B" w:rsidP="00A70F60">
            <w:pPr>
              <w:spacing w:after="0" w:line="240" w:lineRule="auto"/>
              <w:ind w:left="-12"/>
              <w:rPr>
                <w:rFonts w:eastAsia="Times New Roman" w:cs="Calibri"/>
                <w:b/>
                <w:lang w:eastAsia="pl-PL"/>
              </w:rPr>
            </w:pPr>
            <w:r w:rsidRPr="00F21196">
              <w:rPr>
                <w:rFonts w:eastAsia="Times New Roman" w:cs="Calibri"/>
                <w:b/>
                <w:bCs/>
                <w:lang w:eastAsia="pl-PL"/>
              </w:rPr>
              <w:t>Strategia Rozwoju Kapitału Ludzkiego</w:t>
            </w:r>
            <w:r w:rsidR="00FD0EDA">
              <w:rPr>
                <w:rFonts w:eastAsia="Times New Roman" w:cs="Calibri"/>
                <w:b/>
                <w:bCs/>
                <w:lang w:eastAsia="pl-PL"/>
              </w:rPr>
              <w:t xml:space="preserve"> 2030</w:t>
            </w:r>
            <w:r w:rsidR="00204D93">
              <w:rPr>
                <w:rStyle w:val="Odwoanieprzypisudolnego"/>
                <w:rFonts w:eastAsia="Times New Roman" w:cs="Calibri"/>
                <w:b/>
                <w:bCs/>
                <w:lang w:eastAsia="pl-PL"/>
              </w:rPr>
              <w:footnoteReference w:id="12"/>
            </w:r>
          </w:p>
          <w:p w14:paraId="2C1D69F7" w14:textId="77777777" w:rsidR="00434C8B" w:rsidRPr="00F21196" w:rsidRDefault="00434C8B" w:rsidP="00434C8B">
            <w:pPr>
              <w:ind w:left="-12" w:right="-144"/>
              <w:rPr>
                <w:b/>
              </w:rPr>
            </w:pPr>
          </w:p>
        </w:tc>
        <w:tc>
          <w:tcPr>
            <w:tcW w:w="5954"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tcPr>
          <w:p w14:paraId="7F77033E" w14:textId="77777777" w:rsidR="00FD0EDA" w:rsidRPr="00436E62" w:rsidRDefault="00FD0EDA" w:rsidP="00723B3F">
            <w:pPr>
              <w:numPr>
                <w:ilvl w:val="0"/>
                <w:numId w:val="28"/>
              </w:numPr>
              <w:spacing w:after="60" w:line="240" w:lineRule="auto"/>
              <w:ind w:left="255" w:hanging="255"/>
              <w:rPr>
                <w:sz w:val="19"/>
              </w:rPr>
            </w:pPr>
            <w:r w:rsidRPr="00436E62">
              <w:rPr>
                <w:rFonts w:eastAsia="Times New Roman" w:cs="Calibri"/>
                <w:sz w:val="19"/>
                <w:lang w:eastAsia="pl-PL"/>
              </w:rPr>
              <w:t>Spójna polityka integracji społecznej, rozwijanie sektora ekonomii społecznej</w:t>
            </w:r>
          </w:p>
          <w:p w14:paraId="13C44B8D" w14:textId="77777777" w:rsidR="00FD0EDA" w:rsidRPr="0000548E" w:rsidRDefault="00FD0EDA" w:rsidP="00723B3F">
            <w:pPr>
              <w:numPr>
                <w:ilvl w:val="0"/>
                <w:numId w:val="28"/>
              </w:numPr>
              <w:spacing w:after="60" w:line="240" w:lineRule="auto"/>
              <w:ind w:left="281" w:hanging="281"/>
              <w:rPr>
                <w:sz w:val="19"/>
              </w:rPr>
            </w:pPr>
            <w:r w:rsidRPr="00436E62">
              <w:rPr>
                <w:rFonts w:eastAsia="Times New Roman" w:cs="Calibri"/>
                <w:sz w:val="19"/>
                <w:lang w:eastAsia="pl-PL"/>
              </w:rPr>
              <w:t>Poprawa dostępności do usług</w:t>
            </w:r>
            <w:r>
              <w:rPr>
                <w:rFonts w:eastAsia="Times New Roman" w:cs="Calibri"/>
                <w:sz w:val="19"/>
                <w:lang w:eastAsia="pl-PL"/>
              </w:rPr>
              <w:t xml:space="preserve"> (w tym usług asystenckich i opiekuńczych dla osób starszych</w:t>
            </w:r>
          </w:p>
          <w:p w14:paraId="6910D1A5" w14:textId="77777777" w:rsidR="0000548E" w:rsidRPr="00643E3B" w:rsidRDefault="0000548E" w:rsidP="00723B3F">
            <w:pPr>
              <w:numPr>
                <w:ilvl w:val="0"/>
                <w:numId w:val="28"/>
              </w:numPr>
              <w:spacing w:after="60" w:line="240" w:lineRule="auto"/>
              <w:ind w:left="281" w:hanging="281"/>
              <w:rPr>
                <w:sz w:val="19"/>
              </w:rPr>
            </w:pPr>
            <w:r>
              <w:rPr>
                <w:rFonts w:eastAsia="Times New Roman" w:cs="Calibri"/>
                <w:sz w:val="19"/>
                <w:lang w:eastAsia="pl-PL"/>
              </w:rPr>
              <w:t>Cyfrowe kompetencje społeczeństwa</w:t>
            </w:r>
          </w:p>
          <w:p w14:paraId="6C931498" w14:textId="77777777" w:rsidR="00FD0EDA" w:rsidRPr="00436E62" w:rsidRDefault="00FD0EDA" w:rsidP="00723B3F">
            <w:pPr>
              <w:numPr>
                <w:ilvl w:val="0"/>
                <w:numId w:val="28"/>
              </w:numPr>
              <w:spacing w:after="60" w:line="240" w:lineRule="auto"/>
              <w:ind w:left="281" w:hanging="281"/>
              <w:rPr>
                <w:sz w:val="19"/>
              </w:rPr>
            </w:pPr>
            <w:r w:rsidRPr="000D10FE">
              <w:rPr>
                <w:rFonts w:eastAsia="Times New Roman" w:cs="Calibri"/>
                <w:sz w:val="19"/>
                <w:lang w:eastAsia="pl-PL"/>
              </w:rPr>
              <w:t>Rozbudowa systemu usług skierowanych do osób starszych, pozwalająca na maksymalne wydłużenie ich samodzielności i aktywności</w:t>
            </w:r>
            <w:r>
              <w:rPr>
                <w:rFonts w:eastAsia="Times New Roman" w:cs="Calibri"/>
                <w:sz w:val="19"/>
                <w:lang w:eastAsia="pl-PL"/>
              </w:rPr>
              <w:t>)</w:t>
            </w:r>
          </w:p>
          <w:p w14:paraId="618A0A25" w14:textId="77777777" w:rsidR="00434C8B" w:rsidRPr="00436E62" w:rsidRDefault="00FD0EDA" w:rsidP="00723B3F">
            <w:pPr>
              <w:numPr>
                <w:ilvl w:val="0"/>
                <w:numId w:val="28"/>
              </w:numPr>
              <w:spacing w:after="60" w:line="240" w:lineRule="auto"/>
              <w:ind w:left="255" w:hanging="255"/>
              <w:rPr>
                <w:sz w:val="19"/>
              </w:rPr>
            </w:pPr>
            <w:r w:rsidRPr="00436E62">
              <w:rPr>
                <w:rFonts w:eastAsia="Times New Roman" w:cs="Calibri"/>
                <w:sz w:val="19"/>
                <w:lang w:eastAsia="pl-PL"/>
              </w:rPr>
              <w:t>Polityka migracyjna</w:t>
            </w:r>
          </w:p>
        </w:tc>
      </w:tr>
      <w:tr w:rsidR="00434C8B" w:rsidRPr="00F21196" w14:paraId="3F1DA8FB" w14:textId="77777777" w:rsidTr="00654DEC">
        <w:trPr>
          <w:trHeight w:val="584"/>
        </w:trPr>
        <w:tc>
          <w:tcPr>
            <w:tcW w:w="4253"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hideMark/>
          </w:tcPr>
          <w:p w14:paraId="2492F846" w14:textId="77777777" w:rsidR="00434C8B" w:rsidRPr="00F21196" w:rsidRDefault="00A9118B" w:rsidP="00DF57F3">
            <w:pPr>
              <w:pStyle w:val="Bezodstpw"/>
              <w:spacing w:before="60" w:after="60"/>
              <w:rPr>
                <w:b/>
              </w:rPr>
            </w:pPr>
            <w:r w:rsidRPr="00A34B2F">
              <w:rPr>
                <w:b/>
              </w:rPr>
              <w:t>Strategia Rozwoju Kapitału Społecznego</w:t>
            </w:r>
            <w:r w:rsidR="00A34B2F" w:rsidRPr="00A34B2F">
              <w:rPr>
                <w:b/>
              </w:rPr>
              <w:t xml:space="preserve"> </w:t>
            </w:r>
            <w:r w:rsidR="00A34B2F" w:rsidRPr="00A34B2F">
              <w:rPr>
                <w:b/>
                <w:i/>
              </w:rPr>
              <w:t>(współdziałanie, kultura, kreatywność)</w:t>
            </w:r>
            <w:r w:rsidR="00A34B2F" w:rsidRPr="00A34B2F">
              <w:rPr>
                <w:b/>
                <w:color w:val="AC2424"/>
              </w:rPr>
              <w:br/>
            </w:r>
            <w:r w:rsidR="00A34B2F" w:rsidRPr="00A34B2F">
              <w:t>2030</w:t>
            </w:r>
            <w:r>
              <w:rPr>
                <w:rStyle w:val="Odwoanieprzypisudolnego"/>
                <w:b/>
              </w:rPr>
              <w:footnoteReference w:id="13"/>
            </w:r>
          </w:p>
        </w:tc>
        <w:tc>
          <w:tcPr>
            <w:tcW w:w="5954"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tcPr>
          <w:p w14:paraId="354B550B" w14:textId="77777777" w:rsidR="00434C8B" w:rsidRPr="00436E62" w:rsidRDefault="00434C8B" w:rsidP="00723B3F">
            <w:pPr>
              <w:numPr>
                <w:ilvl w:val="0"/>
                <w:numId w:val="27"/>
              </w:numPr>
              <w:spacing w:after="60" w:line="240" w:lineRule="auto"/>
              <w:ind w:left="255" w:hanging="255"/>
              <w:rPr>
                <w:sz w:val="19"/>
              </w:rPr>
            </w:pPr>
            <w:r w:rsidRPr="00436E62">
              <w:rPr>
                <w:rFonts w:eastAsia="Times New Roman" w:cs="Calibri"/>
                <w:sz w:val="19"/>
                <w:lang w:eastAsia="pl-PL"/>
              </w:rPr>
              <w:t>Promocja dialogu społecznego; zwiększenie partycypacji społecznej i wpływu obywateli (oraz organizacji pozarządowych) na życie publiczne</w:t>
            </w:r>
          </w:p>
          <w:p w14:paraId="260A6901" w14:textId="77777777" w:rsidR="00434C8B" w:rsidRPr="00436E62" w:rsidRDefault="00434C8B" w:rsidP="00723B3F">
            <w:pPr>
              <w:numPr>
                <w:ilvl w:val="0"/>
                <w:numId w:val="27"/>
              </w:numPr>
              <w:spacing w:after="60" w:line="240" w:lineRule="auto"/>
              <w:ind w:left="255" w:hanging="255"/>
              <w:rPr>
                <w:sz w:val="19"/>
              </w:rPr>
            </w:pPr>
            <w:r w:rsidRPr="00436E62">
              <w:rPr>
                <w:rFonts w:eastAsia="Times New Roman" w:cs="Calibri"/>
                <w:sz w:val="19"/>
                <w:lang w:eastAsia="pl-PL"/>
              </w:rPr>
              <w:t>Usprawnienie systemu konsultacji publicznych</w:t>
            </w:r>
          </w:p>
          <w:p w14:paraId="786B1550" w14:textId="77777777" w:rsidR="00434C8B" w:rsidRPr="00436E62" w:rsidRDefault="00434C8B" w:rsidP="00723B3F">
            <w:pPr>
              <w:numPr>
                <w:ilvl w:val="0"/>
                <w:numId w:val="27"/>
              </w:numPr>
              <w:spacing w:after="60" w:line="240" w:lineRule="auto"/>
              <w:ind w:left="255" w:hanging="255"/>
              <w:rPr>
                <w:sz w:val="19"/>
              </w:rPr>
            </w:pPr>
            <w:r w:rsidRPr="00436E62">
              <w:rPr>
                <w:rFonts w:eastAsia="Times New Roman" w:cs="Calibri"/>
                <w:sz w:val="19"/>
                <w:lang w:eastAsia="pl-PL"/>
              </w:rPr>
              <w:t>Zwiększanie dostępu do instytucji i dzieł kultury na wszystkich poziomach funkcjonowania wspólnoty (lokalnym, regionalnym, narodowym)</w:t>
            </w:r>
          </w:p>
        </w:tc>
      </w:tr>
      <w:tr w:rsidR="00434C8B" w:rsidRPr="00F21196" w14:paraId="2261EC09" w14:textId="77777777" w:rsidTr="00654DEC">
        <w:trPr>
          <w:trHeight w:val="584"/>
        </w:trPr>
        <w:tc>
          <w:tcPr>
            <w:tcW w:w="4253"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hideMark/>
          </w:tcPr>
          <w:p w14:paraId="6FE87607" w14:textId="77777777" w:rsidR="00434C8B" w:rsidRPr="00F21196" w:rsidRDefault="00A9118B" w:rsidP="00A70F60">
            <w:pPr>
              <w:ind w:left="-12"/>
              <w:rPr>
                <w:b/>
                <w:bCs/>
              </w:rPr>
            </w:pPr>
            <w:r w:rsidRPr="006F38AD">
              <w:rPr>
                <w:b/>
              </w:rPr>
              <w:t>Krajowa Strategia Rozwoju Regionalnego 2030</w:t>
            </w:r>
            <w:r>
              <w:rPr>
                <w:rStyle w:val="Odwoanieprzypisudolnego"/>
                <w:b/>
              </w:rPr>
              <w:footnoteReference w:id="14"/>
            </w:r>
          </w:p>
        </w:tc>
        <w:tc>
          <w:tcPr>
            <w:tcW w:w="5954"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tcPr>
          <w:p w14:paraId="4404EA5F" w14:textId="77777777" w:rsidR="00434C8B" w:rsidRPr="00436E62" w:rsidRDefault="00434C8B" w:rsidP="00723B3F">
            <w:pPr>
              <w:pStyle w:val="Akapitzlist"/>
              <w:numPr>
                <w:ilvl w:val="0"/>
                <w:numId w:val="27"/>
              </w:numPr>
              <w:spacing w:after="60"/>
              <w:ind w:left="255" w:hanging="255"/>
              <w:rPr>
                <w:rFonts w:asciiTheme="minorHAnsi" w:hAnsiTheme="minorHAnsi" w:cstheme="minorBidi"/>
                <w:sz w:val="19"/>
                <w:szCs w:val="20"/>
                <w:lang w:eastAsia="en-US"/>
              </w:rPr>
            </w:pPr>
            <w:r w:rsidRPr="00436E62">
              <w:rPr>
                <w:rFonts w:asciiTheme="minorHAnsi" w:eastAsia="Times New Roman" w:hAnsiTheme="minorHAnsi" w:cs="Calibri"/>
                <w:sz w:val="19"/>
                <w:szCs w:val="20"/>
              </w:rPr>
              <w:t>Wieloszczeblowe zarządzanie procesami rozwojowymi</w:t>
            </w:r>
            <w:r w:rsidR="002536FD" w:rsidRPr="00436E62">
              <w:rPr>
                <w:rFonts w:asciiTheme="minorHAnsi" w:eastAsia="Times New Roman" w:hAnsiTheme="minorHAnsi" w:cs="Calibri"/>
                <w:sz w:val="19"/>
                <w:szCs w:val="20"/>
              </w:rPr>
              <w:t xml:space="preserve"> na poziomie samorządowym</w:t>
            </w:r>
            <w:r w:rsidRPr="00436E62">
              <w:rPr>
                <w:rFonts w:asciiTheme="minorHAnsi" w:eastAsia="Times New Roman" w:hAnsiTheme="minorHAnsi" w:cs="Calibri"/>
                <w:sz w:val="19"/>
                <w:szCs w:val="20"/>
              </w:rPr>
              <w:t>, zasada zrównoważonego rozwoju terytorialnego</w:t>
            </w:r>
          </w:p>
          <w:p w14:paraId="0BA013DC" w14:textId="77777777" w:rsidR="00434C8B" w:rsidRPr="00436E62" w:rsidRDefault="00434C8B" w:rsidP="00723B3F">
            <w:pPr>
              <w:pStyle w:val="Akapitzlist"/>
              <w:numPr>
                <w:ilvl w:val="0"/>
                <w:numId w:val="27"/>
              </w:numPr>
              <w:spacing w:after="60"/>
              <w:ind w:left="255" w:hanging="255"/>
              <w:rPr>
                <w:rFonts w:asciiTheme="minorHAnsi" w:hAnsiTheme="minorHAnsi" w:cstheme="minorBidi"/>
                <w:sz w:val="19"/>
                <w:szCs w:val="20"/>
              </w:rPr>
            </w:pPr>
            <w:r w:rsidRPr="00436E62">
              <w:rPr>
                <w:rFonts w:asciiTheme="minorHAnsi" w:hAnsiTheme="minorHAnsi" w:cs="Calibri"/>
                <w:sz w:val="19"/>
                <w:szCs w:val="20"/>
              </w:rPr>
              <w:t>Wzmacnianie współpracy i integracja wysiłków pomiędzy rządem, samorządem wojewódzkim i innymi samorządami oraz podmiotami niepublicznymi</w:t>
            </w:r>
          </w:p>
          <w:p w14:paraId="17268E21" w14:textId="77777777" w:rsidR="00434C8B" w:rsidRPr="00436E62" w:rsidRDefault="00434C8B" w:rsidP="00723B3F">
            <w:pPr>
              <w:pStyle w:val="Akapitzlist"/>
              <w:numPr>
                <w:ilvl w:val="0"/>
                <w:numId w:val="27"/>
              </w:numPr>
              <w:spacing w:after="60"/>
              <w:ind w:left="255" w:hanging="255"/>
              <w:rPr>
                <w:rFonts w:asciiTheme="minorHAnsi" w:hAnsiTheme="minorHAnsi" w:cstheme="minorBidi"/>
                <w:sz w:val="19"/>
                <w:szCs w:val="20"/>
              </w:rPr>
            </w:pPr>
            <w:r w:rsidRPr="00436E62">
              <w:rPr>
                <w:rFonts w:asciiTheme="minorHAnsi" w:hAnsiTheme="minorHAnsi" w:cs="Calibri"/>
                <w:sz w:val="19"/>
                <w:szCs w:val="20"/>
              </w:rPr>
              <w:t>Wsparcie służące wzmocnieniu potencjału administracyjnego i zarządczego jednostek samorządu terytorialnego na obszarach zagrożonych marginalizacją</w:t>
            </w:r>
          </w:p>
          <w:p w14:paraId="3D274C19" w14:textId="77777777" w:rsidR="00434C8B" w:rsidRPr="00436E62" w:rsidRDefault="00434C8B" w:rsidP="00723B3F">
            <w:pPr>
              <w:pStyle w:val="Akapitzlist"/>
              <w:numPr>
                <w:ilvl w:val="0"/>
                <w:numId w:val="27"/>
              </w:numPr>
              <w:spacing w:after="60"/>
              <w:ind w:left="255" w:hanging="255"/>
              <w:rPr>
                <w:rFonts w:asciiTheme="minorHAnsi" w:hAnsiTheme="minorHAnsi" w:cstheme="minorBidi"/>
                <w:sz w:val="19"/>
                <w:szCs w:val="20"/>
              </w:rPr>
            </w:pPr>
            <w:r w:rsidRPr="00436E62">
              <w:rPr>
                <w:rFonts w:asciiTheme="minorHAnsi" w:hAnsiTheme="minorHAnsi" w:cs="Calibri"/>
                <w:sz w:val="19"/>
                <w:szCs w:val="20"/>
              </w:rPr>
              <w:t>Poprawa systemu finansowania, zarządzania, programowania i koordynowania działań społeczno-gospodarczych na wszystkich poziomach terytorialnej organizacji kraju</w:t>
            </w:r>
          </w:p>
          <w:p w14:paraId="19899E67" w14:textId="77777777" w:rsidR="00434C8B" w:rsidRPr="0000548E" w:rsidRDefault="00434C8B" w:rsidP="00723B3F">
            <w:pPr>
              <w:pStyle w:val="Akapitzlist"/>
              <w:numPr>
                <w:ilvl w:val="0"/>
                <w:numId w:val="27"/>
              </w:numPr>
              <w:spacing w:after="60"/>
              <w:ind w:left="255" w:hanging="255"/>
              <w:rPr>
                <w:rFonts w:asciiTheme="minorHAnsi" w:hAnsiTheme="minorHAnsi"/>
                <w:sz w:val="19"/>
                <w:szCs w:val="20"/>
              </w:rPr>
            </w:pPr>
            <w:r w:rsidRPr="00436E62">
              <w:rPr>
                <w:rFonts w:asciiTheme="minorHAnsi" w:eastAsia="Times New Roman" w:hAnsiTheme="minorHAnsi" w:cs="Calibri"/>
                <w:sz w:val="19"/>
                <w:szCs w:val="20"/>
              </w:rPr>
              <w:t>Wypracowanie zmian systemowych związanych z finansowaniem JST i zwiększeniem efektywności finansowania polityk ukierunkowanych terytorialnie, w tym systemu finansowania przedsięwzięć rozwojowych w regionach</w:t>
            </w:r>
          </w:p>
          <w:p w14:paraId="279F3932" w14:textId="4F8EA2AB" w:rsidR="0000548E" w:rsidRPr="00436E62" w:rsidRDefault="0000548E" w:rsidP="00723B3F">
            <w:pPr>
              <w:pStyle w:val="Akapitzlist"/>
              <w:numPr>
                <w:ilvl w:val="0"/>
                <w:numId w:val="27"/>
              </w:numPr>
              <w:spacing w:after="60"/>
              <w:ind w:left="255" w:hanging="255"/>
              <w:rPr>
                <w:rFonts w:asciiTheme="minorHAnsi" w:hAnsiTheme="minorHAnsi"/>
                <w:sz w:val="19"/>
                <w:szCs w:val="20"/>
              </w:rPr>
            </w:pPr>
            <w:r>
              <w:rPr>
                <w:rFonts w:asciiTheme="minorHAnsi" w:eastAsia="Times New Roman" w:hAnsiTheme="minorHAnsi" w:cs="Calibri"/>
                <w:sz w:val="19"/>
                <w:szCs w:val="20"/>
              </w:rPr>
              <w:t>Wzmocnienie spójności regionalnej w zakresie infrastruktury połączeń cyfrowych i wymiany informacji</w:t>
            </w:r>
          </w:p>
        </w:tc>
      </w:tr>
      <w:tr w:rsidR="00434C8B" w:rsidRPr="00F21196" w14:paraId="79CA2927" w14:textId="77777777" w:rsidTr="00654DEC">
        <w:trPr>
          <w:trHeight w:val="584"/>
        </w:trPr>
        <w:tc>
          <w:tcPr>
            <w:tcW w:w="4253"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hideMark/>
          </w:tcPr>
          <w:p w14:paraId="21A8E9F1" w14:textId="77777777" w:rsidR="00434C8B" w:rsidRPr="00F21196" w:rsidRDefault="00A9118B" w:rsidP="00A70F60">
            <w:pPr>
              <w:ind w:left="-12"/>
              <w:rPr>
                <w:b/>
                <w:bCs/>
              </w:rPr>
            </w:pPr>
            <w:r w:rsidRPr="006F38AD">
              <w:rPr>
                <w:b/>
              </w:rPr>
              <w:t>Strategia Zrównoważonego Rozwoju Wsi, Rolnictwa i Rybactwa 20</w:t>
            </w:r>
            <w:r>
              <w:rPr>
                <w:b/>
              </w:rPr>
              <w:t>3</w:t>
            </w:r>
            <w:r w:rsidRPr="006F38AD">
              <w:rPr>
                <w:b/>
              </w:rPr>
              <w:t>0</w:t>
            </w:r>
            <w:r>
              <w:rPr>
                <w:rStyle w:val="Odwoanieprzypisudolnego"/>
                <w:b/>
              </w:rPr>
              <w:footnoteReference w:id="15"/>
            </w:r>
          </w:p>
        </w:tc>
        <w:tc>
          <w:tcPr>
            <w:tcW w:w="5954"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tcPr>
          <w:p w14:paraId="68237FC4" w14:textId="77777777" w:rsidR="00434C8B" w:rsidRPr="00436E62" w:rsidRDefault="00434C8B" w:rsidP="00723B3F">
            <w:pPr>
              <w:numPr>
                <w:ilvl w:val="0"/>
                <w:numId w:val="29"/>
              </w:numPr>
              <w:tabs>
                <w:tab w:val="clear" w:pos="720"/>
              </w:tabs>
              <w:spacing w:after="60" w:line="240" w:lineRule="auto"/>
              <w:ind w:left="255" w:hanging="255"/>
              <w:rPr>
                <w:sz w:val="19"/>
                <w:szCs w:val="20"/>
              </w:rPr>
            </w:pPr>
            <w:r w:rsidRPr="00436E62">
              <w:rPr>
                <w:rFonts w:eastAsia="Times New Roman" w:cs="Calibri"/>
                <w:sz w:val="19"/>
                <w:szCs w:val="20"/>
                <w:lang w:eastAsia="pl-PL"/>
              </w:rPr>
              <w:t>Zapobieganie powodziom i suszy, minimalizacja negatywnych skutków zjawisk naturalnych</w:t>
            </w:r>
          </w:p>
          <w:p w14:paraId="34E96B67" w14:textId="77777777" w:rsidR="00434C8B" w:rsidRPr="00436E62" w:rsidRDefault="00434C8B" w:rsidP="00723B3F">
            <w:pPr>
              <w:numPr>
                <w:ilvl w:val="0"/>
                <w:numId w:val="29"/>
              </w:numPr>
              <w:tabs>
                <w:tab w:val="clear" w:pos="720"/>
              </w:tabs>
              <w:spacing w:after="60" w:line="240" w:lineRule="auto"/>
              <w:ind w:left="255" w:hanging="255"/>
              <w:jc w:val="both"/>
              <w:rPr>
                <w:sz w:val="19"/>
                <w:szCs w:val="20"/>
              </w:rPr>
            </w:pPr>
            <w:r w:rsidRPr="00436E62">
              <w:rPr>
                <w:rFonts w:eastAsia="Times New Roman" w:cs="Calibri"/>
                <w:sz w:val="19"/>
                <w:szCs w:val="20"/>
                <w:lang w:eastAsia="pl-PL"/>
              </w:rPr>
              <w:t xml:space="preserve">Wykorzystanie ICT w procesach modernizacyjnych sektora rolnego oraz jakości życia na wsi, zwiększenie dostępu do szerokopasmowego </w:t>
            </w:r>
            <w:r w:rsidR="00BC61AE" w:rsidRPr="00436E62">
              <w:rPr>
                <w:rFonts w:eastAsia="Times New Roman" w:cs="Calibri"/>
                <w:sz w:val="19"/>
                <w:szCs w:val="20"/>
                <w:lang w:eastAsia="pl-PL"/>
              </w:rPr>
              <w:t>Internetu</w:t>
            </w:r>
            <w:r w:rsidRPr="00436E62">
              <w:rPr>
                <w:rFonts w:eastAsia="Times New Roman" w:cs="Calibri"/>
                <w:sz w:val="19"/>
                <w:szCs w:val="20"/>
                <w:lang w:eastAsia="pl-PL"/>
              </w:rPr>
              <w:t xml:space="preserve"> oraz wprowadzenie e-administracji; przeciwdziałanie wykluczeniu cyfrowemu na wsi</w:t>
            </w:r>
          </w:p>
        </w:tc>
      </w:tr>
      <w:tr w:rsidR="00434C8B" w:rsidRPr="00F21196" w14:paraId="1D537564" w14:textId="77777777" w:rsidTr="00654DEC">
        <w:trPr>
          <w:trHeight w:val="584"/>
        </w:trPr>
        <w:tc>
          <w:tcPr>
            <w:tcW w:w="4253"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hideMark/>
          </w:tcPr>
          <w:p w14:paraId="5B99BC18" w14:textId="77777777" w:rsidR="00434C8B" w:rsidRPr="00F21196" w:rsidRDefault="00BC2237" w:rsidP="00A70F60">
            <w:pPr>
              <w:ind w:left="-12"/>
              <w:rPr>
                <w:b/>
                <w:bCs/>
              </w:rPr>
            </w:pPr>
            <w:r w:rsidRPr="006F38AD">
              <w:rPr>
                <w:b/>
              </w:rPr>
              <w:t>Strategia Zrównoważonego Rozwoju Transportu</w:t>
            </w:r>
            <w:r>
              <w:rPr>
                <w:b/>
              </w:rPr>
              <w:t xml:space="preserve"> do 2030 roku</w:t>
            </w:r>
            <w:r>
              <w:rPr>
                <w:rStyle w:val="Odwoanieprzypisudolnego"/>
                <w:b/>
              </w:rPr>
              <w:footnoteReference w:id="16"/>
            </w:r>
          </w:p>
        </w:tc>
        <w:tc>
          <w:tcPr>
            <w:tcW w:w="5954"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hideMark/>
          </w:tcPr>
          <w:p w14:paraId="33D1D988" w14:textId="77777777" w:rsidR="00434C8B" w:rsidRPr="00436E62" w:rsidRDefault="00434C8B" w:rsidP="00723B3F">
            <w:pPr>
              <w:numPr>
                <w:ilvl w:val="0"/>
                <w:numId w:val="30"/>
              </w:numPr>
              <w:spacing w:after="60" w:line="276" w:lineRule="auto"/>
              <w:ind w:left="281" w:hanging="281"/>
              <w:rPr>
                <w:sz w:val="19"/>
                <w:szCs w:val="20"/>
              </w:rPr>
            </w:pPr>
            <w:r w:rsidRPr="00436E62">
              <w:rPr>
                <w:rFonts w:eastAsia="Times New Roman" w:cs="Calibri"/>
                <w:sz w:val="19"/>
                <w:szCs w:val="20"/>
                <w:lang w:eastAsia="pl-PL"/>
              </w:rPr>
              <w:t>Bezpieczeństwo w ruchu drogowym</w:t>
            </w:r>
            <w:r w:rsidRPr="00436E62">
              <w:rPr>
                <w:sz w:val="19"/>
                <w:szCs w:val="20"/>
              </w:rPr>
              <w:t xml:space="preserve"> i morskim</w:t>
            </w:r>
          </w:p>
          <w:p w14:paraId="14931711" w14:textId="77777777" w:rsidR="00434C8B" w:rsidRDefault="00434C8B" w:rsidP="00723B3F">
            <w:pPr>
              <w:numPr>
                <w:ilvl w:val="0"/>
                <w:numId w:val="30"/>
              </w:numPr>
              <w:spacing w:after="60" w:line="276" w:lineRule="auto"/>
              <w:ind w:left="281" w:hanging="281"/>
              <w:rPr>
                <w:sz w:val="19"/>
                <w:szCs w:val="20"/>
              </w:rPr>
            </w:pPr>
            <w:r w:rsidRPr="00436E62">
              <w:rPr>
                <w:sz w:val="19"/>
                <w:szCs w:val="20"/>
              </w:rPr>
              <w:t>Zwiększenie konkurencyjności transportu morskiego</w:t>
            </w:r>
          </w:p>
          <w:p w14:paraId="050ED5CC" w14:textId="77777777" w:rsidR="002E7B5F" w:rsidRPr="00F70C65" w:rsidRDefault="002E7B5F" w:rsidP="00723B3F">
            <w:pPr>
              <w:pStyle w:val="Akapitzlist"/>
              <w:numPr>
                <w:ilvl w:val="0"/>
                <w:numId w:val="30"/>
              </w:numPr>
              <w:spacing w:after="60"/>
              <w:ind w:left="281" w:hanging="281"/>
              <w:contextualSpacing w:val="0"/>
              <w:jc w:val="both"/>
              <w:rPr>
                <w:rFonts w:asciiTheme="minorHAnsi" w:hAnsiTheme="minorHAnsi" w:cs="Arial"/>
                <w:color w:val="000000" w:themeColor="text1"/>
                <w:sz w:val="19"/>
                <w:szCs w:val="19"/>
              </w:rPr>
            </w:pPr>
            <w:r w:rsidRPr="00CD0BB2">
              <w:rPr>
                <w:rFonts w:asciiTheme="minorHAnsi" w:hAnsiTheme="minorHAnsi" w:cs="Arial"/>
                <w:color w:val="000000" w:themeColor="text1"/>
                <w:sz w:val="19"/>
                <w:szCs w:val="19"/>
              </w:rPr>
              <w:t>Z</w:t>
            </w:r>
            <w:r w:rsidRPr="00F70C65">
              <w:rPr>
                <w:rFonts w:asciiTheme="minorHAnsi" w:hAnsiTheme="minorHAnsi" w:cs="Arial"/>
                <w:color w:val="000000" w:themeColor="text1"/>
                <w:sz w:val="19"/>
                <w:szCs w:val="19"/>
              </w:rPr>
              <w:t>astosowanie nowych technologii, w tym cyfryzacji procedur oraz systemów wspierających zarządzanie, a także unowocześnianie i zapewnienie wewnętrznej interoperacyjności systemów telematycznych obsługujących poszczególne gałęzie transportu;</w:t>
            </w:r>
          </w:p>
          <w:p w14:paraId="2AEDEFA2" w14:textId="294505C5" w:rsidR="002E7B5F" w:rsidRPr="00B41688" w:rsidRDefault="002E7B5F" w:rsidP="00723B3F">
            <w:pPr>
              <w:pStyle w:val="Akapitzlist"/>
              <w:numPr>
                <w:ilvl w:val="0"/>
                <w:numId w:val="30"/>
              </w:numPr>
              <w:spacing w:after="60"/>
              <w:ind w:left="281" w:hanging="281"/>
              <w:contextualSpacing w:val="0"/>
              <w:jc w:val="both"/>
              <w:rPr>
                <w:sz w:val="19"/>
                <w:szCs w:val="20"/>
              </w:rPr>
            </w:pPr>
            <w:r w:rsidRPr="00B41688">
              <w:rPr>
                <w:rFonts w:asciiTheme="minorHAnsi" w:hAnsiTheme="minorHAnsi" w:cs="Arial"/>
                <w:color w:val="000000" w:themeColor="text1"/>
                <w:sz w:val="19"/>
                <w:szCs w:val="19"/>
              </w:rPr>
              <w:t>Zapewnienie systemowego dostępu do danych transportowych, w szczególności w transporcie drogowym i publicznym p</w:t>
            </w:r>
            <w:r w:rsidR="00B41688" w:rsidRPr="00B41688">
              <w:rPr>
                <w:rFonts w:asciiTheme="minorHAnsi" w:hAnsiTheme="minorHAnsi" w:cs="Arial"/>
                <w:color w:val="000000" w:themeColor="text1"/>
                <w:sz w:val="19"/>
                <w:szCs w:val="19"/>
              </w:rPr>
              <w:t>oprzez otwarte punkty dostępowe</w:t>
            </w:r>
          </w:p>
          <w:p w14:paraId="69E8A6CA" w14:textId="1F1EEF59" w:rsidR="00434C8B" w:rsidRPr="00436E62" w:rsidRDefault="00434C8B" w:rsidP="00723B3F">
            <w:pPr>
              <w:numPr>
                <w:ilvl w:val="0"/>
                <w:numId w:val="30"/>
              </w:numPr>
              <w:spacing w:after="60" w:line="240" w:lineRule="auto"/>
              <w:ind w:left="281" w:hanging="281"/>
              <w:rPr>
                <w:sz w:val="19"/>
                <w:szCs w:val="20"/>
              </w:rPr>
            </w:pPr>
            <w:r w:rsidRPr="00436E62">
              <w:rPr>
                <w:rFonts w:eastAsia="Times New Roman" w:cs="Calibri"/>
                <w:sz w:val="19"/>
                <w:szCs w:val="20"/>
                <w:lang w:eastAsia="pl-PL"/>
              </w:rPr>
              <w:t xml:space="preserve">Cyfrowe modele zarządzania transportem, cyfrowa infrastruktura sieciowa stymulująca rozwój samochodów </w:t>
            </w:r>
            <w:r w:rsidR="002E7220" w:rsidRPr="00436E62">
              <w:rPr>
                <w:rFonts w:eastAsia="Times New Roman" w:cs="Calibri"/>
                <w:sz w:val="19"/>
                <w:szCs w:val="20"/>
                <w:lang w:eastAsia="pl-PL"/>
              </w:rPr>
              <w:t>elektrycznych</w:t>
            </w:r>
            <w:r w:rsidR="002E7220">
              <w:rPr>
                <w:rFonts w:eastAsia="Times New Roman" w:cs="Calibri"/>
                <w:sz w:val="19"/>
                <w:szCs w:val="20"/>
                <w:lang w:eastAsia="pl-PL"/>
              </w:rPr>
              <w:t xml:space="preserve"> i pojazdów autonomicznych</w:t>
            </w:r>
          </w:p>
        </w:tc>
      </w:tr>
      <w:tr w:rsidR="00434C8B" w:rsidRPr="00F21196" w14:paraId="2F9C0BD1" w14:textId="77777777" w:rsidTr="00654DEC">
        <w:trPr>
          <w:trHeight w:val="584"/>
        </w:trPr>
        <w:tc>
          <w:tcPr>
            <w:tcW w:w="4253"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hideMark/>
          </w:tcPr>
          <w:p w14:paraId="25CB4749" w14:textId="1ECB7E5B" w:rsidR="00434C8B" w:rsidRPr="00F21196" w:rsidRDefault="00BC2237" w:rsidP="00654DEC">
            <w:pPr>
              <w:spacing w:after="0" w:line="240" w:lineRule="auto"/>
              <w:ind w:right="-144"/>
              <w:rPr>
                <w:b/>
                <w:bCs/>
              </w:rPr>
            </w:pPr>
            <w:r w:rsidRPr="006F38AD">
              <w:rPr>
                <w:b/>
              </w:rPr>
              <w:t>Polityka Energetyczna Polski</w:t>
            </w:r>
            <w:r>
              <w:rPr>
                <w:b/>
              </w:rPr>
              <w:t xml:space="preserve"> do 2040 r.</w:t>
            </w:r>
            <w:r>
              <w:rPr>
                <w:rStyle w:val="Odwoanieprzypisudolnego"/>
                <w:b/>
              </w:rPr>
              <w:footnoteReference w:id="17"/>
            </w:r>
          </w:p>
        </w:tc>
        <w:tc>
          <w:tcPr>
            <w:tcW w:w="5954"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hideMark/>
          </w:tcPr>
          <w:p w14:paraId="027A79B7" w14:textId="77777777" w:rsidR="00434C8B" w:rsidRPr="00436E62" w:rsidRDefault="00434C8B" w:rsidP="00723B3F">
            <w:pPr>
              <w:numPr>
                <w:ilvl w:val="0"/>
                <w:numId w:val="30"/>
              </w:numPr>
              <w:spacing w:line="240" w:lineRule="auto"/>
              <w:ind w:left="255" w:hanging="255"/>
              <w:rPr>
                <w:sz w:val="19"/>
                <w:szCs w:val="20"/>
              </w:rPr>
            </w:pPr>
            <w:r w:rsidRPr="00436E62">
              <w:rPr>
                <w:sz w:val="19"/>
                <w:szCs w:val="20"/>
              </w:rPr>
              <w:t>Stworzenie przejrzystego i przewidywalnego otoczenia regulacyjnego umożliwiającego inwestycje w nowe źródła wytwórcze</w:t>
            </w:r>
          </w:p>
        </w:tc>
      </w:tr>
      <w:tr w:rsidR="00434C8B" w:rsidRPr="00F21196" w14:paraId="30E2341C" w14:textId="77777777" w:rsidTr="00654DEC">
        <w:trPr>
          <w:trHeight w:val="584"/>
        </w:trPr>
        <w:tc>
          <w:tcPr>
            <w:tcW w:w="4253" w:type="dxa"/>
            <w:tcBorders>
              <w:top w:val="single" w:sz="8" w:space="0" w:color="FFFFFF"/>
              <w:left w:val="single" w:sz="8" w:space="0" w:color="FFFFFF"/>
              <w:bottom w:val="single" w:sz="8" w:space="0" w:color="FFFFFF"/>
              <w:right w:val="single" w:sz="8" w:space="0" w:color="FFFFFF"/>
            </w:tcBorders>
            <w:shd w:val="clear" w:color="auto" w:fill="BDD6EE" w:themeFill="accent1" w:themeFillTint="66"/>
            <w:tcMar>
              <w:top w:w="72" w:type="dxa"/>
              <w:left w:w="144" w:type="dxa"/>
              <w:bottom w:w="72" w:type="dxa"/>
              <w:right w:w="144" w:type="dxa"/>
            </w:tcMar>
            <w:hideMark/>
          </w:tcPr>
          <w:p w14:paraId="107E1C76" w14:textId="370E5FD9" w:rsidR="00434C8B" w:rsidRPr="00347496" w:rsidRDefault="00347496" w:rsidP="00347496">
            <w:pPr>
              <w:rPr>
                <w:b/>
                <w:bCs/>
              </w:rPr>
            </w:pPr>
            <w:r w:rsidRPr="00347496">
              <w:rPr>
                <w:rStyle w:val="highlight"/>
                <w:b/>
              </w:rPr>
              <w:t>Polityka</w:t>
            </w:r>
            <w:r w:rsidRPr="00347496">
              <w:rPr>
                <w:b/>
              </w:rPr>
              <w:t xml:space="preserve"> </w:t>
            </w:r>
            <w:r w:rsidRPr="00347496">
              <w:rPr>
                <w:rStyle w:val="highlight"/>
                <w:b/>
              </w:rPr>
              <w:t>ekologiczna</w:t>
            </w:r>
            <w:r w:rsidRPr="00347496">
              <w:rPr>
                <w:b/>
              </w:rPr>
              <w:t xml:space="preserve"> </w:t>
            </w:r>
            <w:r w:rsidRPr="00347496">
              <w:rPr>
                <w:rStyle w:val="highlight"/>
                <w:b/>
              </w:rPr>
              <w:t>państwa</w:t>
            </w:r>
            <w:r w:rsidRPr="00347496">
              <w:rPr>
                <w:b/>
              </w:rPr>
              <w:t xml:space="preserve"> </w:t>
            </w:r>
            <w:r w:rsidRPr="00347496">
              <w:rPr>
                <w:rStyle w:val="highlight"/>
                <w:b/>
              </w:rPr>
              <w:t>2030</w:t>
            </w:r>
            <w:r w:rsidRPr="00347496">
              <w:rPr>
                <w:b/>
              </w:rPr>
              <w:t xml:space="preserve"> - strategii rozwoju w obszarze środowiska i gospodarki wodnej</w:t>
            </w:r>
            <w:r w:rsidR="00204D93" w:rsidRPr="00347496">
              <w:rPr>
                <w:b/>
                <w:vertAlign w:val="superscript"/>
              </w:rPr>
              <w:footnoteReference w:id="18"/>
            </w:r>
          </w:p>
        </w:tc>
        <w:tc>
          <w:tcPr>
            <w:tcW w:w="5954"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hideMark/>
          </w:tcPr>
          <w:p w14:paraId="51168294" w14:textId="77777777" w:rsidR="00434C8B" w:rsidRPr="00436E62" w:rsidRDefault="00434C8B" w:rsidP="00723B3F">
            <w:pPr>
              <w:numPr>
                <w:ilvl w:val="0"/>
                <w:numId w:val="31"/>
              </w:numPr>
              <w:tabs>
                <w:tab w:val="clear" w:pos="720"/>
              </w:tabs>
              <w:spacing w:after="60" w:line="240" w:lineRule="auto"/>
              <w:ind w:left="256" w:hanging="284"/>
              <w:rPr>
                <w:sz w:val="19"/>
              </w:rPr>
            </w:pPr>
            <w:r w:rsidRPr="00436E62">
              <w:rPr>
                <w:rFonts w:eastAsia="Times New Roman" w:cs="Calibri"/>
                <w:sz w:val="19"/>
                <w:lang w:eastAsia="pl-PL"/>
              </w:rPr>
              <w:t>Ochrona przed powodzią, suszą</w:t>
            </w:r>
          </w:p>
          <w:p w14:paraId="679C4BF1" w14:textId="77777777" w:rsidR="00434C8B" w:rsidRPr="00436E62" w:rsidRDefault="00434C8B" w:rsidP="00723B3F">
            <w:pPr>
              <w:numPr>
                <w:ilvl w:val="0"/>
                <w:numId w:val="31"/>
              </w:numPr>
              <w:tabs>
                <w:tab w:val="clear" w:pos="720"/>
              </w:tabs>
              <w:spacing w:after="60" w:line="240" w:lineRule="auto"/>
              <w:ind w:left="256" w:hanging="284"/>
              <w:rPr>
                <w:sz w:val="19"/>
              </w:rPr>
            </w:pPr>
            <w:r w:rsidRPr="00436E62">
              <w:rPr>
                <w:rFonts w:eastAsia="Times New Roman" w:cs="Calibri"/>
                <w:sz w:val="19"/>
                <w:lang w:eastAsia="pl-PL"/>
              </w:rPr>
              <w:t>Rozwój usług spełniających wysokie standardy w obszarze ochrony środowiska</w:t>
            </w:r>
          </w:p>
          <w:p w14:paraId="721A5721" w14:textId="77777777" w:rsidR="00434C8B" w:rsidRPr="00436E62" w:rsidRDefault="00434C8B" w:rsidP="00723B3F">
            <w:pPr>
              <w:numPr>
                <w:ilvl w:val="0"/>
                <w:numId w:val="31"/>
              </w:numPr>
              <w:tabs>
                <w:tab w:val="clear" w:pos="720"/>
              </w:tabs>
              <w:spacing w:after="60" w:line="240" w:lineRule="auto"/>
              <w:ind w:left="256" w:hanging="284"/>
              <w:rPr>
                <w:sz w:val="19"/>
              </w:rPr>
            </w:pPr>
            <w:r w:rsidRPr="00436E62">
              <w:rPr>
                <w:rFonts w:eastAsia="Times New Roman" w:cs="Calibri"/>
                <w:sz w:val="19"/>
                <w:lang w:eastAsia="pl-PL"/>
              </w:rPr>
              <w:t>Zabezpieczenia przed niekorzystnymi zjawiskami pogodowym (wichury, powodzie, oblodzenia, susze)</w:t>
            </w:r>
          </w:p>
          <w:p w14:paraId="778D937B" w14:textId="77777777" w:rsidR="00434C8B" w:rsidRPr="00436E62" w:rsidRDefault="00434C8B" w:rsidP="00723B3F">
            <w:pPr>
              <w:numPr>
                <w:ilvl w:val="0"/>
                <w:numId w:val="31"/>
              </w:numPr>
              <w:tabs>
                <w:tab w:val="clear" w:pos="720"/>
              </w:tabs>
              <w:spacing w:after="60" w:line="240" w:lineRule="auto"/>
              <w:ind w:left="256" w:hanging="284"/>
              <w:rPr>
                <w:sz w:val="19"/>
              </w:rPr>
            </w:pPr>
            <w:r w:rsidRPr="00436E62">
              <w:rPr>
                <w:rFonts w:eastAsia="Times New Roman" w:cs="Calibri"/>
                <w:sz w:val="19"/>
                <w:lang w:eastAsia="pl-PL"/>
              </w:rPr>
              <w:t>Wdrożenie programu rozwoju innowacyjnych technologii środowiskowych, wsparcie wiodących w tym obszarze ośrodków badawczych oraz przedsiębiorstw, zielone technologie ICT</w:t>
            </w:r>
          </w:p>
          <w:p w14:paraId="0D5FD7B0" w14:textId="77777777" w:rsidR="00434C8B" w:rsidRPr="00436E62" w:rsidRDefault="00434C8B" w:rsidP="00723B3F">
            <w:pPr>
              <w:numPr>
                <w:ilvl w:val="0"/>
                <w:numId w:val="31"/>
              </w:numPr>
              <w:tabs>
                <w:tab w:val="clear" w:pos="720"/>
              </w:tabs>
              <w:spacing w:after="60" w:line="240" w:lineRule="auto"/>
              <w:ind w:left="256" w:hanging="284"/>
              <w:rPr>
                <w:sz w:val="19"/>
              </w:rPr>
            </w:pPr>
            <w:r w:rsidRPr="00436E62">
              <w:rPr>
                <w:rFonts w:eastAsia="Times New Roman" w:cs="Calibri"/>
                <w:sz w:val="19"/>
                <w:lang w:eastAsia="pl-PL"/>
              </w:rPr>
              <w:t>Aspekty ekologiczne w zarządzaniu przestrzenią</w:t>
            </w:r>
          </w:p>
        </w:tc>
      </w:tr>
    </w:tbl>
    <w:p w14:paraId="70F5E059" w14:textId="05BEC8F0" w:rsidR="00434C8B" w:rsidRPr="00135280" w:rsidRDefault="00434C8B" w:rsidP="00434C8B">
      <w:pPr>
        <w:spacing w:after="120"/>
        <w:ind w:left="567" w:hanging="567"/>
        <w:jc w:val="both"/>
        <w:rPr>
          <w:rFonts w:eastAsia="Times New Roman" w:cs="Calibri"/>
          <w:i/>
          <w:sz w:val="18"/>
          <w:szCs w:val="28"/>
          <w:lang w:eastAsia="pl-PL"/>
        </w:rPr>
      </w:pPr>
      <w:r w:rsidRPr="00F21196">
        <w:rPr>
          <w:sz w:val="18"/>
        </w:rPr>
        <w:t xml:space="preserve">Źródło: </w:t>
      </w:r>
      <w:r w:rsidR="00135280" w:rsidRPr="00135280">
        <w:rPr>
          <w:rFonts w:eastAsia="Times New Roman" w:cs="Calibri"/>
          <w:i/>
          <w:sz w:val="18"/>
          <w:szCs w:val="28"/>
          <w:lang w:eastAsia="pl-PL"/>
        </w:rPr>
        <w:t>opracowanie własne</w:t>
      </w:r>
    </w:p>
    <w:p w14:paraId="23ACAFCB" w14:textId="77777777" w:rsidR="00434C8B" w:rsidRPr="00F21196" w:rsidRDefault="00434C8B" w:rsidP="00434C8B"/>
    <w:p w14:paraId="32E0C328" w14:textId="77777777" w:rsidR="00FA3332" w:rsidRPr="00F21196" w:rsidRDefault="007F2047" w:rsidP="00654DEC">
      <w:pPr>
        <w:spacing w:after="120" w:line="276" w:lineRule="auto"/>
        <w:jc w:val="both"/>
      </w:pPr>
      <w:r w:rsidRPr="00F21196">
        <w:t xml:space="preserve">SNP wyznacza ramy dla innych zintegrowanych strategii rozwoju w </w:t>
      </w:r>
      <w:r w:rsidR="00FC36C2">
        <w:t>obszarze</w:t>
      </w:r>
      <w:r w:rsidRPr="00F21196">
        <w:t xml:space="preserve"> organizacji terenowej administracji publicznej, określa reguły do stosowania przy podejmowaniu inicjatyw legislacyjnych, </w:t>
      </w:r>
      <w:r w:rsidR="00FA3332" w:rsidRPr="00F21196">
        <w:t xml:space="preserve">wskazuje zasady </w:t>
      </w:r>
      <w:r w:rsidR="00FA3332" w:rsidRPr="00F21196">
        <w:rPr>
          <w:rFonts w:eastAsia="Times New Roman" w:cs="Calibri"/>
          <w:lang w:eastAsia="pl-PL"/>
        </w:rPr>
        <w:t>udostępnienia szerokiego zakresu usług administracji publicznej drogą elektroniczną czy wykorzystania zestandaryzowanych i interoperacyjnych rozwiązań informatycznych</w:t>
      </w:r>
      <w:r w:rsidR="00FA3332" w:rsidRPr="00F21196">
        <w:t xml:space="preserve"> wykorzystywanych we wszystkich dziedzinach funkcjonowania państwa.</w:t>
      </w:r>
    </w:p>
    <w:p w14:paraId="5A270C9D" w14:textId="38CE2586" w:rsidR="00F54A91" w:rsidRPr="009A454F" w:rsidRDefault="00F54A91" w:rsidP="001B45A1">
      <w:pPr>
        <w:autoSpaceDE w:val="0"/>
        <w:autoSpaceDN w:val="0"/>
        <w:adjustRightInd w:val="0"/>
        <w:spacing w:after="120" w:line="276" w:lineRule="auto"/>
        <w:jc w:val="both"/>
        <w:rPr>
          <w:rFonts w:cs="Calibri"/>
          <w:szCs w:val="21"/>
        </w:rPr>
      </w:pPr>
      <w:r w:rsidRPr="009A454F">
        <w:rPr>
          <w:rFonts w:cs="Calibri"/>
          <w:szCs w:val="21"/>
        </w:rPr>
        <w:t xml:space="preserve">SNP uwzględnia realizację przedsięwzięć służących zwiększeniu bezpieczeństwa migracyjnego i granicy państwowej RP, które wynikają z </w:t>
      </w:r>
      <w:r w:rsidRPr="000810E2">
        <w:rPr>
          <w:rFonts w:cs="Calibri"/>
          <w:i/>
          <w:szCs w:val="21"/>
        </w:rPr>
        <w:t>„Europejskiego programu na rzecz migracji”</w:t>
      </w:r>
      <w:r w:rsidRPr="009A454F">
        <w:rPr>
          <w:rFonts w:cs="Calibri"/>
          <w:szCs w:val="21"/>
        </w:rPr>
        <w:t xml:space="preserve"> i </w:t>
      </w:r>
      <w:r w:rsidRPr="000810E2">
        <w:rPr>
          <w:rFonts w:cs="Calibri"/>
          <w:i/>
          <w:szCs w:val="21"/>
        </w:rPr>
        <w:t>„Europejskiej agendy Bezpieczeństwa”</w:t>
      </w:r>
      <w:r w:rsidRPr="009A454F">
        <w:rPr>
          <w:rFonts w:cs="Calibri"/>
          <w:szCs w:val="21"/>
        </w:rPr>
        <w:t>. Dotyczy to wdrożenia zintegrowanego systemu zarządzania granicą państwową RP</w:t>
      </w:r>
      <w:r w:rsidRPr="009A454F">
        <w:rPr>
          <w:rStyle w:val="Odwoanieprzypisudolnego"/>
          <w:rFonts w:cs="Calibri"/>
          <w:szCs w:val="21"/>
        </w:rPr>
        <w:footnoteReference w:id="19"/>
      </w:r>
      <w:r w:rsidRPr="009A454F">
        <w:rPr>
          <w:rFonts w:cs="Calibri"/>
          <w:szCs w:val="21"/>
        </w:rPr>
        <w:t>.</w:t>
      </w:r>
    </w:p>
    <w:p w14:paraId="271BBF80" w14:textId="77777777" w:rsidR="00F54A91" w:rsidRPr="00F21196" w:rsidRDefault="00F54A91" w:rsidP="007846F6">
      <w:pPr>
        <w:autoSpaceDE w:val="0"/>
        <w:autoSpaceDN w:val="0"/>
        <w:adjustRightInd w:val="0"/>
        <w:spacing w:after="120" w:line="276" w:lineRule="auto"/>
        <w:jc w:val="both"/>
        <w:rPr>
          <w:rFonts w:cs="Arial"/>
          <w:i/>
        </w:rPr>
      </w:pPr>
      <w:r w:rsidRPr="00F21196">
        <w:rPr>
          <w:rFonts w:cs="Calibri"/>
          <w:szCs w:val="21"/>
        </w:rPr>
        <w:t xml:space="preserve">Podejmowane przedsięwzięcia </w:t>
      </w:r>
      <w:r w:rsidRPr="00F21196">
        <w:t xml:space="preserve">przyczynią się również do </w:t>
      </w:r>
      <w:r>
        <w:t xml:space="preserve">realizacji </w:t>
      </w:r>
      <w:r w:rsidRPr="00F21196">
        <w:t xml:space="preserve">przyjętej przez Zgromadzenie Ogólne ONZ w 2015 r. </w:t>
      </w:r>
      <w:r w:rsidRPr="000810E2">
        <w:rPr>
          <w:i/>
        </w:rPr>
        <w:t xml:space="preserve">„Agendy na Rzecz Zrównoważonego Rozwoju – 2030” </w:t>
      </w:r>
      <w:r w:rsidRPr="00F21196">
        <w:t xml:space="preserve">i </w:t>
      </w:r>
      <w:r>
        <w:t xml:space="preserve">osiągnięcia sformułowanych </w:t>
      </w:r>
      <w:r w:rsidRPr="00F21196">
        <w:t xml:space="preserve">w </w:t>
      </w:r>
      <w:r>
        <w:t xml:space="preserve">tym dokumencie </w:t>
      </w:r>
      <w:r w:rsidRPr="00F21196">
        <w:t>17 Celów Zrównoważonego Rozwoju (</w:t>
      </w:r>
      <w:r w:rsidRPr="00F21196">
        <w:rPr>
          <w:i/>
        </w:rPr>
        <w:t>Sustainable Development Goals - SDGs</w:t>
      </w:r>
      <w:r w:rsidRPr="00F21196">
        <w:t xml:space="preserve">), a w szczególności </w:t>
      </w:r>
      <w:r>
        <w:t xml:space="preserve">Celu </w:t>
      </w:r>
      <w:r w:rsidRPr="00F21196">
        <w:t>1</w:t>
      </w:r>
      <w:r w:rsidRPr="00F21196">
        <w:rPr>
          <w:rFonts w:cs="Arial"/>
        </w:rPr>
        <w:t xml:space="preserve">6. </w:t>
      </w:r>
      <w:r w:rsidRPr="00F21196">
        <w:rPr>
          <w:rFonts w:cs="Arial"/>
          <w:i/>
        </w:rPr>
        <w:t>Promować pokojowe i inkluzywne społeczeństwa, zapewni wszystkim ludziom dostęp do wymiaru sprawiedliwości oraz budować na wszystkich szczeblach skuteczne i odpowiedzialne instytucje, sprzyjające włączeniu społecznemu.</w:t>
      </w:r>
    </w:p>
    <w:p w14:paraId="6B3173E9" w14:textId="3E2E595D" w:rsidR="00D07A86" w:rsidRPr="00106F0C" w:rsidRDefault="000E31D0" w:rsidP="00D07A86">
      <w:pPr>
        <w:autoSpaceDE w:val="0"/>
        <w:autoSpaceDN w:val="0"/>
        <w:adjustRightInd w:val="0"/>
        <w:spacing w:after="120" w:line="276" w:lineRule="auto"/>
        <w:jc w:val="both"/>
        <w:rPr>
          <w:rFonts w:cs="Arial"/>
        </w:rPr>
      </w:pPr>
      <w:r>
        <w:rPr>
          <w:rFonts w:cs="Arial"/>
        </w:rPr>
        <w:t xml:space="preserve">Dodatkowo </w:t>
      </w:r>
      <w:r w:rsidR="00D07A86">
        <w:rPr>
          <w:rFonts w:cs="Arial"/>
        </w:rPr>
        <w:t xml:space="preserve">SNP wpisuje się również w </w:t>
      </w:r>
      <w:r w:rsidR="006F51F7">
        <w:rPr>
          <w:rFonts w:cs="Arial"/>
        </w:rPr>
        <w:t>założenia Europejskiego</w:t>
      </w:r>
      <w:r w:rsidR="00D07A86">
        <w:rPr>
          <w:rFonts w:cs="Arial"/>
        </w:rPr>
        <w:t xml:space="preserve"> Zielonego Ładu i dokumentów powiązanych. Zakładają </w:t>
      </w:r>
      <w:r w:rsidR="006F51F7">
        <w:rPr>
          <w:rFonts w:cs="Arial"/>
        </w:rPr>
        <w:t>one reformę</w:t>
      </w:r>
      <w:r w:rsidR="00D07A86">
        <w:rPr>
          <w:rFonts w:cs="Arial"/>
        </w:rPr>
        <w:t xml:space="preserve"> europejskiej gospodarki </w:t>
      </w:r>
      <w:r w:rsidR="00D07A86" w:rsidRPr="00CC7EBA">
        <w:rPr>
          <w:rFonts w:cs="Arial"/>
        </w:rPr>
        <w:t>do 2050 r. (osiągniecie neutralności oddziaływania gospodarki europe</w:t>
      </w:r>
      <w:r w:rsidR="00D07A86">
        <w:rPr>
          <w:rFonts w:cs="Arial"/>
        </w:rPr>
        <w:t xml:space="preserve">jskiej na klimat i środowisko), </w:t>
      </w:r>
      <w:r w:rsidR="00D07A86" w:rsidRPr="00CC7EBA">
        <w:rPr>
          <w:rFonts w:cs="Arial"/>
        </w:rPr>
        <w:t>bardziej efektywne wykorzystanie zasobów dzięki przejściu na czystą gospodarkę o obiegu</w:t>
      </w:r>
      <w:r w:rsidR="00D07A86">
        <w:rPr>
          <w:rFonts w:cs="Arial"/>
        </w:rPr>
        <w:t xml:space="preserve"> z</w:t>
      </w:r>
      <w:r w:rsidR="00D07A86" w:rsidRPr="00CC7EBA">
        <w:rPr>
          <w:rFonts w:cs="Arial"/>
        </w:rPr>
        <w:t>amkniętym, w tym generalne zmiany, które muszą z</w:t>
      </w:r>
      <w:r w:rsidR="00D07A86">
        <w:rPr>
          <w:rFonts w:cs="Arial"/>
        </w:rPr>
        <w:t xml:space="preserve">ajść w poszczególnych sektorach </w:t>
      </w:r>
      <w:r w:rsidR="00D07A86" w:rsidRPr="00CC7EBA">
        <w:rPr>
          <w:rFonts w:cs="Arial"/>
        </w:rPr>
        <w:t>gospodarczych. Proponowane zmiany będą wymagały wielorak</w:t>
      </w:r>
      <w:r w:rsidR="00D07A86">
        <w:rPr>
          <w:rFonts w:cs="Arial"/>
        </w:rPr>
        <w:t xml:space="preserve">ich dostosowań technologicznych </w:t>
      </w:r>
      <w:r w:rsidR="00D07A86" w:rsidRPr="00CC7EBA">
        <w:rPr>
          <w:rFonts w:cs="Arial"/>
        </w:rPr>
        <w:t>i organizacyjnych, w tym szeregu kapitałochłonnych inwe</w:t>
      </w:r>
      <w:r w:rsidR="00D07A86">
        <w:rPr>
          <w:rFonts w:cs="Arial"/>
        </w:rPr>
        <w:t xml:space="preserve">stycji, wdrażania innowacyjnych </w:t>
      </w:r>
      <w:r w:rsidR="00D07A86" w:rsidRPr="00CC7EBA">
        <w:rPr>
          <w:rFonts w:cs="Arial"/>
        </w:rPr>
        <w:t xml:space="preserve">rozwiązań, realizacji badań, przebranżowienia, zapewnienia </w:t>
      </w:r>
      <w:r w:rsidR="00D07A86">
        <w:rPr>
          <w:rFonts w:cs="Arial"/>
        </w:rPr>
        <w:t xml:space="preserve">efektywnego systemu doradztwa i </w:t>
      </w:r>
      <w:r w:rsidR="00D07A86" w:rsidRPr="00CC7EBA">
        <w:rPr>
          <w:rFonts w:cs="Arial"/>
        </w:rPr>
        <w:t>transferu nowej wiedzy.</w:t>
      </w:r>
      <w:r w:rsidR="00D07A86">
        <w:rPr>
          <w:rFonts w:cs="Arial"/>
        </w:rPr>
        <w:t xml:space="preserve"> Projekty inwestycyjne </w:t>
      </w:r>
      <w:r w:rsidR="00D07A86" w:rsidRPr="00CC7EBA">
        <w:rPr>
          <w:rFonts w:cs="Arial"/>
        </w:rPr>
        <w:t>oraz projekty wprowadzające re</w:t>
      </w:r>
      <w:r w:rsidR="00D07A86">
        <w:rPr>
          <w:rFonts w:cs="Arial"/>
        </w:rPr>
        <w:t xml:space="preserve">formy w określonych dziedzinach, wprowadzone zgodnie z Krajowym Planem Odbudowy, powinny m.in. łagodzić skutki </w:t>
      </w:r>
      <w:r w:rsidR="00D07A86" w:rsidRPr="00CC7EBA">
        <w:rPr>
          <w:rFonts w:cs="Arial"/>
        </w:rPr>
        <w:t>wpływu COVID-19 oraz wzmacniać odporności gospodarki i sp</w:t>
      </w:r>
      <w:r w:rsidR="00D07A86">
        <w:rPr>
          <w:rFonts w:cs="Arial"/>
        </w:rPr>
        <w:t xml:space="preserve">ołeczeństwa na szoki, przy czym </w:t>
      </w:r>
      <w:r w:rsidR="00D07A86" w:rsidRPr="00CC7EBA">
        <w:rPr>
          <w:rFonts w:cs="Arial"/>
        </w:rPr>
        <w:t>powinny wzmacniać potencjał wzrostu gospodarczego, w szczegó</w:t>
      </w:r>
      <w:r w:rsidR="00D07A86">
        <w:rPr>
          <w:rFonts w:cs="Arial"/>
        </w:rPr>
        <w:t xml:space="preserve">lności jego trwałość, wzmacniać </w:t>
      </w:r>
      <w:r w:rsidR="00D07A86" w:rsidRPr="00CC7EBA">
        <w:rPr>
          <w:rFonts w:cs="Arial"/>
        </w:rPr>
        <w:t>potencja</w:t>
      </w:r>
      <w:r w:rsidR="00D07A86">
        <w:rPr>
          <w:rFonts w:cs="Arial"/>
        </w:rPr>
        <w:t>ł tworzenia nowych miejsc pracy,</w:t>
      </w:r>
      <w:r w:rsidR="00D07A86" w:rsidRPr="00CC7EBA">
        <w:rPr>
          <w:rFonts w:cs="Arial"/>
        </w:rPr>
        <w:t xml:space="preserve"> wspierać zmiany w kie</w:t>
      </w:r>
      <w:r w:rsidR="00D07A86">
        <w:rPr>
          <w:rFonts w:cs="Arial"/>
        </w:rPr>
        <w:t xml:space="preserve">runku tzw. zielonej gospodarki i </w:t>
      </w:r>
      <w:r w:rsidR="00D07A86" w:rsidRPr="00CC7EBA">
        <w:rPr>
          <w:rFonts w:cs="Arial"/>
        </w:rPr>
        <w:t>wzmacniać cyfrowe zmiany w gospodarce i społeczeństwie</w:t>
      </w:r>
      <w:r w:rsidR="00D07A86">
        <w:rPr>
          <w:rFonts w:cs="Arial"/>
        </w:rPr>
        <w:t>.</w:t>
      </w:r>
    </w:p>
    <w:p w14:paraId="6E8E4A85" w14:textId="68F37FCA" w:rsidR="00A70F60" w:rsidRPr="00B30688" w:rsidRDefault="00BB7530" w:rsidP="00654DEC">
      <w:pPr>
        <w:spacing w:after="120" w:line="276" w:lineRule="auto"/>
        <w:jc w:val="both"/>
        <w:rPr>
          <w:noProof/>
          <w:lang w:eastAsia="pl-PL" w:bidi="pl-PL"/>
        </w:rPr>
      </w:pPr>
      <w:r w:rsidRPr="00B30688">
        <w:rPr>
          <w:rFonts w:cs="Calibri,BoldItalic"/>
          <w:bCs/>
          <w:iCs/>
        </w:rPr>
        <w:t xml:space="preserve">SNP nie </w:t>
      </w:r>
      <w:r w:rsidRPr="00B30688">
        <w:rPr>
          <w:rFonts w:eastAsia="Times New Roman" w:cs="Calibri"/>
          <w:bCs/>
          <w:lang w:eastAsia="pl-PL"/>
        </w:rPr>
        <w:t>narusza warunkowości ex ante</w:t>
      </w:r>
      <w:r w:rsidRPr="00B30688">
        <w:rPr>
          <w:rStyle w:val="Odwoanieprzypisudolnego"/>
          <w:rFonts w:eastAsia="Times New Roman" w:cs="Calibri"/>
          <w:bCs/>
          <w:lang w:eastAsia="pl-PL"/>
        </w:rPr>
        <w:footnoteReference w:id="20"/>
      </w:r>
      <w:r w:rsidRPr="00B30688">
        <w:rPr>
          <w:rFonts w:eastAsia="Times New Roman" w:cs="Calibri"/>
          <w:bCs/>
          <w:lang w:eastAsia="pl-PL"/>
        </w:rPr>
        <w:t xml:space="preserve"> w odniesieniu do dokumentów programowych przygotowywanych na potrzeby perspektywy finansowej UE 2014-2020. </w:t>
      </w:r>
      <w:r w:rsidR="00B30688" w:rsidRPr="00B30688">
        <w:rPr>
          <w:rFonts w:cs="Arial"/>
        </w:rPr>
        <w:t>Ponadto odnosi się do horyzontalnych i tematycznych warunków podstawowych oraz kryteriów, o których mowa w projekcie Rozporządzenia Ogólnego Komisji Europejskiej</w:t>
      </w:r>
      <w:r w:rsidR="00B30688" w:rsidRPr="00B30688">
        <w:rPr>
          <w:rStyle w:val="Odwoanieprzypisudolnego"/>
          <w:rFonts w:cs="ArialMT"/>
        </w:rPr>
        <w:footnoteReference w:id="21"/>
      </w:r>
      <w:r w:rsidR="00B30688" w:rsidRPr="00B30688">
        <w:rPr>
          <w:rFonts w:cs="Arial"/>
        </w:rPr>
        <w:t xml:space="preserve"> dotyczącego perspektywy finansowej UE 2021-2027.</w:t>
      </w:r>
      <w:r w:rsidRPr="00B30688">
        <w:rPr>
          <w:rFonts w:cs="ArialMT"/>
        </w:rPr>
        <w:t xml:space="preserve"> </w:t>
      </w:r>
      <w:r w:rsidR="00A70F60" w:rsidRPr="00B30688">
        <w:rPr>
          <w:rFonts w:cs="ArialMT"/>
        </w:rPr>
        <w:t xml:space="preserve">W szczególności działania w SNP odnoszą się do </w:t>
      </w:r>
      <w:r w:rsidR="00F256CB">
        <w:rPr>
          <w:rFonts w:cs="ArialMT"/>
        </w:rPr>
        <w:t>dwóch</w:t>
      </w:r>
      <w:r w:rsidR="00A70F60" w:rsidRPr="00B30688">
        <w:rPr>
          <w:rFonts w:cs="ArialMT"/>
        </w:rPr>
        <w:t xml:space="preserve"> </w:t>
      </w:r>
      <w:r w:rsidR="0090006A" w:rsidRPr="00B30688">
        <w:rPr>
          <w:rFonts w:cs="ArialMT"/>
        </w:rPr>
        <w:t xml:space="preserve">horyzontalnych </w:t>
      </w:r>
      <w:r w:rsidR="00A70F60" w:rsidRPr="00B30688">
        <w:rPr>
          <w:rFonts w:cs="ArialMT"/>
        </w:rPr>
        <w:t xml:space="preserve">warunków podstawowych pn. (1) </w:t>
      </w:r>
      <w:r w:rsidR="00A70F60" w:rsidRPr="00B30688">
        <w:rPr>
          <w:rFonts w:cs="ArialMT"/>
          <w:i/>
        </w:rPr>
        <w:t>Skuteczne mechanizmy monitorowania rynku zamówień publicznych</w:t>
      </w:r>
      <w:r w:rsidR="00A70F60" w:rsidRPr="00B30688">
        <w:rPr>
          <w:rFonts w:cs="ArialMT"/>
        </w:rPr>
        <w:t xml:space="preserve"> i (2) </w:t>
      </w:r>
      <w:r w:rsidR="00A70F60" w:rsidRPr="00B30688">
        <w:rPr>
          <w:i/>
          <w:noProof/>
          <w:lang w:eastAsia="pl-PL" w:bidi="pl-PL"/>
        </w:rPr>
        <w:t xml:space="preserve">Narzędzia i zdolności umożliwiające skuteczne stosowanie zasad pomocy państwa </w:t>
      </w:r>
      <w:r w:rsidR="00067DC4" w:rsidRPr="00B30688">
        <w:rPr>
          <w:noProof/>
          <w:lang w:eastAsia="pl-PL" w:bidi="pl-PL"/>
        </w:rPr>
        <w:t>oraz do</w:t>
      </w:r>
      <w:r w:rsidR="00A70F60" w:rsidRPr="00B30688">
        <w:rPr>
          <w:noProof/>
          <w:lang w:eastAsia="pl-PL" w:bidi="pl-PL"/>
        </w:rPr>
        <w:t xml:space="preserve"> tematyczn</w:t>
      </w:r>
      <w:r w:rsidR="00D77FD9">
        <w:rPr>
          <w:noProof/>
          <w:lang w:eastAsia="pl-PL" w:bidi="pl-PL"/>
        </w:rPr>
        <w:t>ych</w:t>
      </w:r>
      <w:r w:rsidR="00A70F60" w:rsidRPr="00B30688">
        <w:rPr>
          <w:noProof/>
          <w:lang w:eastAsia="pl-PL" w:bidi="pl-PL"/>
        </w:rPr>
        <w:t xml:space="preserve"> warunk</w:t>
      </w:r>
      <w:r w:rsidR="00D77FD9">
        <w:rPr>
          <w:noProof/>
          <w:lang w:eastAsia="pl-PL" w:bidi="pl-PL"/>
        </w:rPr>
        <w:t>ów</w:t>
      </w:r>
      <w:r w:rsidR="00A70F60" w:rsidRPr="00B30688">
        <w:rPr>
          <w:noProof/>
          <w:lang w:eastAsia="pl-PL" w:bidi="pl-PL"/>
        </w:rPr>
        <w:t xml:space="preserve"> podstawow</w:t>
      </w:r>
      <w:r w:rsidR="00D77FD9">
        <w:rPr>
          <w:noProof/>
          <w:lang w:eastAsia="pl-PL" w:bidi="pl-PL"/>
        </w:rPr>
        <w:t>ych</w:t>
      </w:r>
      <w:r w:rsidR="00A70F60" w:rsidRPr="00B30688">
        <w:rPr>
          <w:rStyle w:val="Odwoanieprzypisudolnego"/>
          <w:noProof/>
          <w:lang w:eastAsia="pl-PL" w:bidi="pl-PL"/>
        </w:rPr>
        <w:footnoteReference w:id="22"/>
      </w:r>
      <w:r w:rsidR="001306EC" w:rsidRPr="00B30688">
        <w:rPr>
          <w:noProof/>
          <w:lang w:eastAsia="pl-PL" w:bidi="pl-PL"/>
        </w:rPr>
        <w:t xml:space="preserve"> </w:t>
      </w:r>
      <w:r w:rsidR="00D77FD9">
        <w:rPr>
          <w:noProof/>
          <w:lang w:eastAsia="pl-PL" w:bidi="pl-PL"/>
        </w:rPr>
        <w:t xml:space="preserve">dla celu </w:t>
      </w:r>
      <w:r w:rsidR="001306EC" w:rsidRPr="00B30688">
        <w:rPr>
          <w:noProof/>
          <w:lang w:eastAsia="pl-PL" w:bidi="pl-PL"/>
        </w:rPr>
        <w:t xml:space="preserve">pn. </w:t>
      </w:r>
      <w:r w:rsidR="001306EC" w:rsidRPr="00B30688">
        <w:rPr>
          <w:rFonts w:cs="Arial"/>
          <w:i/>
          <w:noProof/>
          <w:lang w:eastAsia="pl-PL" w:bidi="pl-PL"/>
        </w:rPr>
        <w:t>Lepiej połączona Europa dzięki zwiększeniu mobilności i udoskonaleniu regionalnych połączeń teleinformatycznych</w:t>
      </w:r>
      <w:r w:rsidR="00135280">
        <w:rPr>
          <w:rFonts w:cs="Arial"/>
          <w:noProof/>
          <w:lang w:eastAsia="pl-PL" w:bidi="pl-PL"/>
        </w:rPr>
        <w:t>.</w:t>
      </w:r>
    </w:p>
    <w:p w14:paraId="2AF5137D" w14:textId="77777777" w:rsidR="002E050A" w:rsidRPr="00F21196" w:rsidRDefault="002E050A" w:rsidP="002E050A">
      <w:pPr>
        <w:shd w:val="clear" w:color="auto" w:fill="BDD6EE" w:themeFill="accent1" w:themeFillTint="66"/>
        <w:rPr>
          <w:rFonts w:eastAsia="Times New Roman" w:cs="Calibri"/>
          <w:b/>
          <w:bCs/>
          <w:sz w:val="28"/>
          <w:lang w:eastAsia="pl-PL"/>
        </w:rPr>
      </w:pPr>
      <w:r w:rsidRPr="00F21196">
        <w:rPr>
          <w:rFonts w:eastAsia="Times New Roman" w:cs="Calibri"/>
          <w:b/>
          <w:bCs/>
          <w:sz w:val="28"/>
          <w:lang w:eastAsia="pl-PL"/>
        </w:rPr>
        <w:t>III. CEL GŁÓWNY I CELE SZCZEGÓŁ</w:t>
      </w:r>
      <w:r w:rsidR="005B5026">
        <w:rPr>
          <w:rFonts w:eastAsia="Times New Roman" w:cs="Calibri"/>
          <w:b/>
          <w:bCs/>
          <w:sz w:val="28"/>
          <w:lang w:eastAsia="pl-PL"/>
        </w:rPr>
        <w:t>O</w:t>
      </w:r>
      <w:r w:rsidRPr="00F21196">
        <w:rPr>
          <w:rFonts w:eastAsia="Times New Roman" w:cs="Calibri"/>
          <w:b/>
          <w:bCs/>
          <w:sz w:val="28"/>
          <w:lang w:eastAsia="pl-PL"/>
        </w:rPr>
        <w:t>WE</w:t>
      </w:r>
    </w:p>
    <w:p w14:paraId="16F9761C" w14:textId="77777777" w:rsidR="00571334" w:rsidRPr="00F21196" w:rsidRDefault="002E050A" w:rsidP="00662E3D">
      <w:pPr>
        <w:jc w:val="both"/>
        <w:rPr>
          <w:lang w:eastAsia="pl-PL"/>
        </w:rPr>
      </w:pPr>
      <w:r w:rsidRPr="00F21196">
        <w:t>SNP definiuje cel główny, 5 celów szczegółowych oraz 2</w:t>
      </w:r>
      <w:r w:rsidR="00ED1E15">
        <w:t>3</w:t>
      </w:r>
      <w:r w:rsidRPr="00F21196">
        <w:t xml:space="preserve"> kierunk</w:t>
      </w:r>
      <w:r w:rsidR="00742C01">
        <w:t xml:space="preserve">i </w:t>
      </w:r>
      <w:r w:rsidRPr="00F21196">
        <w:t>interwencji. Dodatkowo dla każdego celu szczegółowego opracowano wykaz projektów strategicznych uwzględniają</w:t>
      </w:r>
      <w:r w:rsidR="003E343B">
        <w:t>cy</w:t>
      </w:r>
      <w:r w:rsidRPr="00F21196">
        <w:t xml:space="preserve"> realizowane/wdrażane projekty strategiczne SOR</w:t>
      </w:r>
      <w:r w:rsidR="008F633A" w:rsidRPr="00F21196">
        <w:t>.</w:t>
      </w:r>
    </w:p>
    <w:p w14:paraId="7B34BF86" w14:textId="77777777" w:rsidR="00571334" w:rsidRPr="00F21196" w:rsidRDefault="00571334" w:rsidP="002E050A">
      <w:pPr>
        <w:rPr>
          <w:lang w:eastAsia="pl-PL"/>
        </w:rPr>
      </w:pPr>
    </w:p>
    <w:p w14:paraId="31A47017" w14:textId="77777777" w:rsidR="00080D34" w:rsidRPr="0088393B" w:rsidRDefault="0067797D" w:rsidP="000E63C1">
      <w:pPr>
        <w:pStyle w:val="Spistreci1"/>
      </w:pPr>
      <w:r w:rsidRPr="0088393B">
        <w:t xml:space="preserve">1. </w:t>
      </w:r>
      <w:r w:rsidR="00B21229" w:rsidRPr="0088393B">
        <w:t xml:space="preserve">Cel główny </w:t>
      </w:r>
    </w:p>
    <w:p w14:paraId="0C6CF84D" w14:textId="33DDB9F7" w:rsidR="007201B7" w:rsidRDefault="00F6022D" w:rsidP="00B465B7">
      <w:pPr>
        <w:autoSpaceDE w:val="0"/>
        <w:autoSpaceDN w:val="0"/>
        <w:adjustRightInd w:val="0"/>
        <w:spacing w:before="120" w:after="120" w:line="276" w:lineRule="auto"/>
        <w:jc w:val="both"/>
        <w:rPr>
          <w:rFonts w:cs="Arial"/>
        </w:rPr>
      </w:pPr>
      <w:r w:rsidRPr="00F21196">
        <w:rPr>
          <w:rFonts w:cs="Arial"/>
        </w:rPr>
        <w:t xml:space="preserve">Budowa państwa </w:t>
      </w:r>
      <w:r w:rsidRPr="00F21196">
        <w:rPr>
          <w:rFonts w:cs="Calibri"/>
        </w:rPr>
        <w:t>służącego obywatelom</w:t>
      </w:r>
      <w:r w:rsidR="0049624B">
        <w:rPr>
          <w:rFonts w:cs="Calibri"/>
        </w:rPr>
        <w:t>, środowisku</w:t>
      </w:r>
      <w:r w:rsidRPr="00F21196">
        <w:rPr>
          <w:rFonts w:cs="Calibri"/>
        </w:rPr>
        <w:t xml:space="preserve"> oraz sprzyjającego rozwojowi gospodarczemu</w:t>
      </w:r>
      <w:r w:rsidRPr="00F21196">
        <w:rPr>
          <w:rFonts w:cs="Calibri"/>
          <w:b/>
        </w:rPr>
        <w:t xml:space="preserve"> </w:t>
      </w:r>
      <w:r w:rsidRPr="00F21196">
        <w:rPr>
          <w:rFonts w:cs="Arial"/>
        </w:rPr>
        <w:t xml:space="preserve">wymaga odejścia od wąskiego sektorowego myślenia </w:t>
      </w:r>
      <w:r w:rsidR="00DD6768" w:rsidRPr="00F21196">
        <w:rPr>
          <w:rFonts w:cs="Arial"/>
        </w:rPr>
        <w:t xml:space="preserve">(silosowości) </w:t>
      </w:r>
      <w:r w:rsidRPr="00F21196">
        <w:rPr>
          <w:rFonts w:cs="Arial"/>
        </w:rPr>
        <w:t>na rzecz myślenia zintegrowanego poprzez tematyczne powiązanie zidentyfikowanych z</w:t>
      </w:r>
      <w:r w:rsidR="00374972">
        <w:rPr>
          <w:rFonts w:cs="Arial"/>
        </w:rPr>
        <w:t xml:space="preserve">jawisk, problemów czy procesów. </w:t>
      </w:r>
    </w:p>
    <w:p w14:paraId="4B7E628F" w14:textId="3591985E" w:rsidR="00E71709" w:rsidRDefault="007201B7" w:rsidP="00F95798">
      <w:pPr>
        <w:autoSpaceDE w:val="0"/>
        <w:autoSpaceDN w:val="0"/>
        <w:adjustRightInd w:val="0"/>
        <w:spacing w:line="276" w:lineRule="auto"/>
        <w:jc w:val="both"/>
      </w:pPr>
      <w:r>
        <w:rPr>
          <w:rFonts w:cs="Arial"/>
        </w:rPr>
        <w:t xml:space="preserve">Podejmowane </w:t>
      </w:r>
      <w:r w:rsidR="00921942">
        <w:rPr>
          <w:rFonts w:cs="Arial"/>
        </w:rPr>
        <w:t xml:space="preserve">interwencje </w:t>
      </w:r>
      <w:r>
        <w:rPr>
          <w:rFonts w:cs="Arial"/>
        </w:rPr>
        <w:t xml:space="preserve">w ramach celów </w:t>
      </w:r>
      <w:r w:rsidR="00F256CB">
        <w:rPr>
          <w:rFonts w:cs="Arial"/>
        </w:rPr>
        <w:t xml:space="preserve">szczegółowych </w:t>
      </w:r>
      <w:r>
        <w:rPr>
          <w:rFonts w:cs="Arial"/>
        </w:rPr>
        <w:t xml:space="preserve">i kierunków </w:t>
      </w:r>
      <w:r w:rsidR="00921942">
        <w:rPr>
          <w:rFonts w:cs="Arial"/>
        </w:rPr>
        <w:t xml:space="preserve">interwencji </w:t>
      </w:r>
      <w:r>
        <w:rPr>
          <w:rFonts w:cs="Arial"/>
        </w:rPr>
        <w:t>wytyczonych w SNP b</w:t>
      </w:r>
      <w:r w:rsidR="00F6022D" w:rsidRPr="00F21196">
        <w:rPr>
          <w:rFonts w:cs="Arial"/>
        </w:rPr>
        <w:t xml:space="preserve">ędą koncentrować się na </w:t>
      </w:r>
      <w:r w:rsidR="00921942">
        <w:rPr>
          <w:rFonts w:cs="Arial"/>
        </w:rPr>
        <w:t xml:space="preserve">obszarach/dziedzinach wymagających poprawy i usprawnienia </w:t>
      </w:r>
      <w:r w:rsidR="00F6022D" w:rsidRPr="00F21196">
        <w:rPr>
          <w:rFonts w:cs="Arial"/>
        </w:rPr>
        <w:t>z uwzględnieniem wytycznych sformułowanych w średniookresowej strategii rozwoju kraju</w:t>
      </w:r>
      <w:r w:rsidR="00AB7E65">
        <w:rPr>
          <w:rFonts w:cs="Arial"/>
        </w:rPr>
        <w:t xml:space="preserve"> - </w:t>
      </w:r>
      <w:r w:rsidR="0049624B">
        <w:rPr>
          <w:rFonts w:cs="Arial"/>
        </w:rPr>
        <w:t>SOR</w:t>
      </w:r>
      <w:r w:rsidR="00921942">
        <w:rPr>
          <w:rFonts w:cs="Arial"/>
        </w:rPr>
        <w:t>.</w:t>
      </w:r>
      <w:r w:rsidR="00F6022D" w:rsidRPr="00F21196">
        <w:rPr>
          <w:rFonts w:cs="Arial"/>
        </w:rPr>
        <w:t xml:space="preserve"> </w:t>
      </w:r>
      <w:r w:rsidR="00921942">
        <w:rPr>
          <w:rFonts w:cs="Arial"/>
        </w:rPr>
        <w:t xml:space="preserve">Organy </w:t>
      </w:r>
      <w:r w:rsidR="002F7C0C">
        <w:rPr>
          <w:rFonts w:cs="Arial"/>
        </w:rPr>
        <w:t>władzy publicznej</w:t>
      </w:r>
      <w:r w:rsidR="0049624B">
        <w:t xml:space="preserve"> będą w swoich </w:t>
      </w:r>
      <w:r w:rsidR="00F256CB">
        <w:t>działaniach uwzględniać</w:t>
      </w:r>
      <w:r w:rsidR="0049624B">
        <w:t xml:space="preserve"> jedno ze znaczących współczesnych </w:t>
      </w:r>
      <w:r w:rsidR="00F256CB">
        <w:t xml:space="preserve">wyzwań - </w:t>
      </w:r>
      <w:r w:rsidR="0049624B">
        <w:t xml:space="preserve">oprócz </w:t>
      </w:r>
      <w:r w:rsidR="00F256CB">
        <w:t>dbałości</w:t>
      </w:r>
      <w:r w:rsidR="0049624B">
        <w:t xml:space="preserve"> o obywatela</w:t>
      </w:r>
      <w:r w:rsidR="008C6844">
        <w:rPr>
          <w:rStyle w:val="Odwoanieprzypisudolnego"/>
        </w:rPr>
        <w:footnoteReference w:id="23"/>
      </w:r>
      <w:r w:rsidR="0049624B">
        <w:t xml:space="preserve"> </w:t>
      </w:r>
      <w:r w:rsidR="00F256CB" w:rsidRPr="00402770">
        <w:t>przejawiającej się m</w:t>
      </w:r>
      <w:r w:rsidR="00F256CB">
        <w:t>.in. zapewnieni</w:t>
      </w:r>
      <w:r w:rsidR="00921942">
        <w:t>u</w:t>
      </w:r>
      <w:r w:rsidR="00F256CB">
        <w:t xml:space="preserve"> dobrego i transparentnego prawa</w:t>
      </w:r>
      <w:r w:rsidR="0049624B">
        <w:t>, skutecznie</w:t>
      </w:r>
      <w:r w:rsidR="00F256CB">
        <w:t xml:space="preserve"> funkcjonujących</w:t>
      </w:r>
      <w:r w:rsidR="0049624B">
        <w:t xml:space="preserve"> instytucj</w:t>
      </w:r>
      <w:r w:rsidR="00921942">
        <w:t>ach publicznych</w:t>
      </w:r>
      <w:r w:rsidR="0049624B">
        <w:t xml:space="preserve">, </w:t>
      </w:r>
      <w:r w:rsidR="00F256CB">
        <w:t xml:space="preserve">zapewnieniu przez odpowiednie służby </w:t>
      </w:r>
      <w:r w:rsidR="0049624B">
        <w:t>bezpieczeństw</w:t>
      </w:r>
      <w:r w:rsidR="00F256CB">
        <w:t>a</w:t>
      </w:r>
      <w:r w:rsidR="00921942">
        <w:t xml:space="preserve"> zarówno zewnętrznego jak i wewnętrznego - </w:t>
      </w:r>
      <w:r>
        <w:t>troskę</w:t>
      </w:r>
      <w:r w:rsidR="0049624B">
        <w:t xml:space="preserve"> o środowisko przyrodnicze, w którym obywatel żyje i realizuje swoje cele. </w:t>
      </w:r>
    </w:p>
    <w:p w14:paraId="4A97F7D1" w14:textId="77777777" w:rsidR="002E4F0F" w:rsidRPr="00F21196" w:rsidRDefault="00F6022D" w:rsidP="00F95798">
      <w:pPr>
        <w:autoSpaceDE w:val="0"/>
        <w:autoSpaceDN w:val="0"/>
        <w:adjustRightInd w:val="0"/>
        <w:spacing w:line="276" w:lineRule="auto"/>
        <w:jc w:val="both"/>
        <w:rPr>
          <w:rFonts w:cs="TimesNewRomanPSMT"/>
        </w:rPr>
      </w:pPr>
      <w:r w:rsidRPr="00F21196">
        <w:rPr>
          <w:rFonts w:cs="Arial"/>
        </w:rPr>
        <w:t>Z drugiej strony tempo ich wdrażania będzie uzależnione od wielu czynników, w tym sytuacji makroekonomicznej i może stanowić istotną przyczynę innego podejścia do danego zagadnienia czy wyboru priorytetowych działań.</w:t>
      </w:r>
      <w:r w:rsidR="008C6DFA" w:rsidRPr="00F21196">
        <w:rPr>
          <w:rFonts w:cs="Arial"/>
        </w:rPr>
        <w:t xml:space="preserve"> </w:t>
      </w:r>
      <w:r w:rsidR="008C6DFA" w:rsidRPr="00F21196">
        <w:rPr>
          <w:rFonts w:cs="TimesNewRomanPSMT"/>
        </w:rPr>
        <w:t>Stworzenie państwa sprawnie i skutecznie działającego i równocześnie przyjaznego obywatelom jest kluczowe dla pobudzenia szans na stabilny rozwój.</w:t>
      </w:r>
    </w:p>
    <w:p w14:paraId="430AEE08" w14:textId="39A24760" w:rsidR="00855B0A" w:rsidRPr="00F95798" w:rsidRDefault="00855B0A" w:rsidP="00F95798">
      <w:pPr>
        <w:autoSpaceDE w:val="0"/>
        <w:autoSpaceDN w:val="0"/>
        <w:adjustRightInd w:val="0"/>
        <w:spacing w:after="0" w:line="276" w:lineRule="auto"/>
        <w:jc w:val="both"/>
        <w:rPr>
          <w:rFonts w:cs="Calibri"/>
        </w:rPr>
      </w:pPr>
      <w:r w:rsidRPr="00F95798">
        <w:rPr>
          <w:rFonts w:cs="Calibri,Bold"/>
          <w:bCs/>
        </w:rPr>
        <w:t>E</w:t>
      </w:r>
      <w:r w:rsidRPr="00F95798">
        <w:rPr>
          <w:rFonts w:cs="Calibri"/>
        </w:rPr>
        <w:t>fektem realizacji SNP</w:t>
      </w:r>
      <w:r w:rsidRPr="00F95798">
        <w:rPr>
          <w:rFonts w:cs="Calibri,Italic"/>
          <w:iCs/>
        </w:rPr>
        <w:t xml:space="preserve"> </w:t>
      </w:r>
      <w:r w:rsidRPr="00F95798">
        <w:rPr>
          <w:rFonts w:cs="Calibri"/>
        </w:rPr>
        <w:t xml:space="preserve">będzie państwo przyjazne dla obywateli i przedsiębiorców, a także środowiska. </w:t>
      </w:r>
      <w:r w:rsidR="00402770" w:rsidRPr="00402770">
        <w:rPr>
          <w:rFonts w:cs="Calibri"/>
        </w:rPr>
        <w:t>Objawiać</w:t>
      </w:r>
      <w:r w:rsidRPr="00402770">
        <w:rPr>
          <w:rFonts w:cs="Calibri"/>
        </w:rPr>
        <w:t xml:space="preserve"> się to</w:t>
      </w:r>
      <w:r w:rsidRPr="00F95798">
        <w:rPr>
          <w:rFonts w:cs="Calibri"/>
        </w:rPr>
        <w:t xml:space="preserve"> będzie w </w:t>
      </w:r>
      <w:r w:rsidR="00402770">
        <w:rPr>
          <w:rFonts w:cs="Calibri"/>
        </w:rPr>
        <w:t>podniesieniu</w:t>
      </w:r>
      <w:r w:rsidRPr="00F95798">
        <w:rPr>
          <w:rFonts w:cs="Calibri"/>
        </w:rPr>
        <w:t xml:space="preserve"> jakości i efektywności funkcjonowania organów państwa </w:t>
      </w:r>
      <w:r w:rsidR="00C758BD">
        <w:rPr>
          <w:rFonts w:cs="Calibri"/>
        </w:rPr>
        <w:t>oraz</w:t>
      </w:r>
      <w:r w:rsidRPr="00F95798">
        <w:rPr>
          <w:rFonts w:cs="Calibri"/>
        </w:rPr>
        <w:t xml:space="preserve"> poszczególnych instytucji administracji publicznej, które będą powszechnie korzystać z nowoczesnych technologii cyfrowych. Z kolei elektronizacja procesów obsługi obywateli i przedsiębiorców przyczyni się do poprawy funkcjonowania administracji, obniżenia kosztów obsługi i poprawy efektywności funkcjonowania. Nastąpi odejście od biurokratycznych procedur, a obserwowany będzie wzrost efektywności świadczenia usług. Ponadto podejmowane działania służyć będą zwiększeniu efektywności instytucji publicznych, zmian w strukturze i sposobie działania administracji (odbiurokratyzowanie), zwiększenie skutecznego sądownictwa i całego wymiaru sprawiedliwości.  </w:t>
      </w:r>
    </w:p>
    <w:p w14:paraId="155A9255" w14:textId="77777777" w:rsidR="00855B0A" w:rsidRPr="00F95798" w:rsidRDefault="00855B0A" w:rsidP="00F95798">
      <w:pPr>
        <w:autoSpaceDE w:val="0"/>
        <w:autoSpaceDN w:val="0"/>
        <w:adjustRightInd w:val="0"/>
        <w:spacing w:after="0" w:line="276" w:lineRule="auto"/>
        <w:jc w:val="both"/>
        <w:rPr>
          <w:rFonts w:cs="Calibri"/>
        </w:rPr>
      </w:pPr>
      <w:r w:rsidRPr="00F95798">
        <w:rPr>
          <w:rFonts w:cs="Calibri"/>
        </w:rPr>
        <w:t>Dodatkowo stworzony przejrzysty system zarządzania rozwojem pozwoli na koordynację najważniejszych procesów gospodarczych i społecznych, przy równoczesnym wzmocnieniu roli planowania przestrzennego w realizacji polityki rozwoju oraz zwiększeniu możliwości reagowania państwa na zagrożenia.</w:t>
      </w:r>
    </w:p>
    <w:p w14:paraId="4EAC9029" w14:textId="0A3D3E71" w:rsidR="00855B0A" w:rsidRPr="00F95798" w:rsidRDefault="00855B0A" w:rsidP="00F95798">
      <w:pPr>
        <w:autoSpaceDE w:val="0"/>
        <w:autoSpaceDN w:val="0"/>
        <w:adjustRightInd w:val="0"/>
        <w:spacing w:after="0" w:line="276" w:lineRule="auto"/>
        <w:jc w:val="both"/>
        <w:rPr>
          <w:rFonts w:cs="Calibri"/>
        </w:rPr>
      </w:pPr>
      <w:r w:rsidRPr="00F95798">
        <w:rPr>
          <w:rFonts w:cs="Calibri"/>
        </w:rPr>
        <w:t xml:space="preserve">Ponadto. powinna nastąpić znaczna poprawa jakości stanowionego prawa, w tym zmniejszenie obciążeń regulacyjnych przy równoczesnej </w:t>
      </w:r>
      <w:r w:rsidRPr="00F95798">
        <w:rPr>
          <w:lang w:eastAsia="pl-PL"/>
        </w:rPr>
        <w:t xml:space="preserve">eliminacji niespójności i niejednoznaczności przepisów prawnych oraz </w:t>
      </w:r>
      <w:r w:rsidRPr="00F95798">
        <w:rPr>
          <w:rFonts w:cs="Calibri"/>
        </w:rPr>
        <w:t>usprawnieniu systemu prawnego. Obywatele będą mieć realne przełożenie na sprawy publiczne poprzez wzmocnienie roli dialogu społecznego i obywatelskiego.</w:t>
      </w:r>
    </w:p>
    <w:p w14:paraId="4D234119" w14:textId="77777777" w:rsidR="00855B0A" w:rsidRPr="00F95798" w:rsidRDefault="00855B0A" w:rsidP="00F95798">
      <w:pPr>
        <w:autoSpaceDE w:val="0"/>
        <w:autoSpaceDN w:val="0"/>
        <w:adjustRightInd w:val="0"/>
        <w:spacing w:after="0" w:line="276" w:lineRule="auto"/>
        <w:jc w:val="both"/>
        <w:rPr>
          <w:rFonts w:ascii="Calibri" w:hAnsi="Calibri" w:cs="Calibri"/>
        </w:rPr>
      </w:pPr>
      <w:r w:rsidRPr="00F95798">
        <w:rPr>
          <w:rFonts w:ascii="Calibri" w:hAnsi="Calibri" w:cs="Calibri"/>
        </w:rPr>
        <w:t>Rozwinięta zostanie sieć i infrastruktura telekomunikacyjna. Nastąpi także wzrost świadomości istnienia i korzyści płynących z usług cyfrowych, a w konsekwencji wzrost popytu na te usługi.</w:t>
      </w:r>
    </w:p>
    <w:p w14:paraId="5C852B81" w14:textId="77777777" w:rsidR="00855B0A" w:rsidRPr="004550B3" w:rsidRDefault="00855B0A" w:rsidP="004550B3">
      <w:pPr>
        <w:autoSpaceDE w:val="0"/>
        <w:autoSpaceDN w:val="0"/>
        <w:adjustRightInd w:val="0"/>
        <w:spacing w:after="0" w:line="276" w:lineRule="auto"/>
        <w:jc w:val="both"/>
        <w:rPr>
          <w:rFonts w:cs="Calibri"/>
        </w:rPr>
      </w:pPr>
      <w:r w:rsidRPr="004550B3">
        <w:rPr>
          <w:rFonts w:cs="Calibri"/>
        </w:rPr>
        <w:t xml:space="preserve">Zapewniony będzie również odpowiedni potencjał do przeciwdziałania wewnętrznym i zewnętrznym zagrożeniom z równoczesnym wzrostem skuteczność funkcjonowania systemu bezpieczeństwa przy współpracy i zaangażowaniu wszystkich właściwych w sprawie podmiotów. Wysoki poziom bezpieczeństwa wewnętrznego i zewnętrznego umożliwia zapobieganie i przeciwdziałanie współczesnym zagrożeniom i jest gwarancją rozwoju państwa. </w:t>
      </w:r>
    </w:p>
    <w:p w14:paraId="7BE2E261" w14:textId="106CC91D" w:rsidR="00855B0A" w:rsidRPr="004550B3" w:rsidRDefault="00855B0A" w:rsidP="004550B3">
      <w:pPr>
        <w:autoSpaceDE w:val="0"/>
        <w:autoSpaceDN w:val="0"/>
        <w:adjustRightInd w:val="0"/>
        <w:spacing w:after="0" w:line="276" w:lineRule="auto"/>
        <w:jc w:val="both"/>
        <w:rPr>
          <w:rFonts w:cs="Calibri"/>
        </w:rPr>
      </w:pPr>
      <w:r w:rsidRPr="004550B3">
        <w:rPr>
          <w:rFonts w:cs="Calibri"/>
        </w:rPr>
        <w:t xml:space="preserve">Wszystkie podejmowane działania wymagać będą stabilnych, efektywnych i zrównoważonych finansów publicznych oraz </w:t>
      </w:r>
      <w:r w:rsidRPr="004550B3">
        <w:rPr>
          <w:rFonts w:cs="Calibri,Italic"/>
          <w:iCs/>
        </w:rPr>
        <w:t xml:space="preserve">wykorzystywania środków z budżetu Unii Europejskiej </w:t>
      </w:r>
      <w:r w:rsidR="002C6BF9">
        <w:rPr>
          <w:rFonts w:cs="Calibri,Italic"/>
          <w:iCs/>
        </w:rPr>
        <w:t>i międzynarodowych instytucji finansowych</w:t>
      </w:r>
      <w:r w:rsidR="002C6BF9" w:rsidRPr="004550B3">
        <w:rPr>
          <w:rFonts w:cs="Calibri,Italic"/>
          <w:iCs/>
        </w:rPr>
        <w:t xml:space="preserve"> </w:t>
      </w:r>
      <w:r w:rsidRPr="004550B3">
        <w:rPr>
          <w:rFonts w:cs="Calibri,Italic"/>
          <w:iCs/>
        </w:rPr>
        <w:t>w sposób przekładający się na trwałe efekty rozwojowe</w:t>
      </w:r>
      <w:r w:rsidRPr="004550B3">
        <w:rPr>
          <w:rFonts w:cs="Calibri"/>
        </w:rPr>
        <w:t>.</w:t>
      </w:r>
    </w:p>
    <w:p w14:paraId="4A13A05E" w14:textId="77777777" w:rsidR="00855B0A" w:rsidRDefault="00855B0A" w:rsidP="00855B0A">
      <w:pPr>
        <w:autoSpaceDE w:val="0"/>
        <w:autoSpaceDN w:val="0"/>
        <w:adjustRightInd w:val="0"/>
        <w:spacing w:after="0" w:line="240" w:lineRule="auto"/>
        <w:jc w:val="both"/>
        <w:rPr>
          <w:rFonts w:ascii="Calibri" w:hAnsi="Calibri" w:cs="Calibri"/>
          <w:color w:val="000000"/>
        </w:rPr>
      </w:pPr>
    </w:p>
    <w:p w14:paraId="77B6B06C" w14:textId="3ED61BDA" w:rsidR="008C6DFA" w:rsidRPr="00071CF8" w:rsidRDefault="004550B3" w:rsidP="00855B0A">
      <w:pPr>
        <w:autoSpaceDE w:val="0"/>
        <w:autoSpaceDN w:val="0"/>
        <w:adjustRightInd w:val="0"/>
        <w:spacing w:after="0" w:line="240" w:lineRule="auto"/>
        <w:jc w:val="both"/>
        <w:rPr>
          <w:rFonts w:cs="Calibri,BoldItalic"/>
          <w:bCs/>
          <w:iCs/>
          <w:color w:val="000000"/>
          <w:szCs w:val="20"/>
        </w:rPr>
      </w:pPr>
      <w:r>
        <w:rPr>
          <w:rFonts w:cs="Calibri,BoldItalic"/>
          <w:bCs/>
          <w:iCs/>
          <w:color w:val="000000"/>
          <w:szCs w:val="20"/>
        </w:rPr>
        <w:t xml:space="preserve">Przedstawiona wyżej wizja państwa w 2030 roku i tryb podejmowanych działań </w:t>
      </w:r>
      <w:r w:rsidR="00416FA7">
        <w:rPr>
          <w:rFonts w:cs="Calibri,BoldItalic"/>
          <w:bCs/>
          <w:iCs/>
          <w:color w:val="000000"/>
          <w:szCs w:val="20"/>
        </w:rPr>
        <w:t xml:space="preserve">umożliwiło sformułowanie celu głównego SNP, który </w:t>
      </w:r>
      <w:r w:rsidR="009741C4" w:rsidRPr="00071CF8">
        <w:rPr>
          <w:rFonts w:cs="Calibri,BoldItalic"/>
          <w:bCs/>
          <w:iCs/>
          <w:color w:val="000000"/>
          <w:szCs w:val="20"/>
        </w:rPr>
        <w:t xml:space="preserve">jest </w:t>
      </w:r>
      <w:r w:rsidR="00071CF8">
        <w:rPr>
          <w:rFonts w:cs="Calibri,BoldItalic"/>
          <w:bCs/>
          <w:iCs/>
          <w:color w:val="000000"/>
          <w:szCs w:val="20"/>
        </w:rPr>
        <w:t>spójny</w:t>
      </w:r>
      <w:r w:rsidR="009741C4" w:rsidRPr="00071CF8">
        <w:rPr>
          <w:rFonts w:cs="Calibri,BoldItalic"/>
          <w:bCs/>
          <w:iCs/>
          <w:color w:val="000000"/>
          <w:szCs w:val="20"/>
        </w:rPr>
        <w:t xml:space="preserve"> z celem głównym SOR i równocześnie mieści się w jego granicach. </w:t>
      </w:r>
    </w:p>
    <w:p w14:paraId="369B170C" w14:textId="77777777" w:rsidR="009741C4" w:rsidRPr="00F21196" w:rsidRDefault="009741C4" w:rsidP="008C6DFA">
      <w:pPr>
        <w:autoSpaceDE w:val="0"/>
        <w:autoSpaceDN w:val="0"/>
        <w:adjustRightInd w:val="0"/>
        <w:spacing w:after="0" w:line="240" w:lineRule="auto"/>
        <w:rPr>
          <w:rFonts w:cs="Calibri,BoldItalic"/>
          <w:bCs/>
          <w:iCs/>
          <w:color w:val="000000"/>
          <w:sz w:val="20"/>
          <w:szCs w:val="20"/>
        </w:rPr>
      </w:pPr>
    </w:p>
    <w:p w14:paraId="76CFEBEA" w14:textId="1F1879C0" w:rsidR="00C94495" w:rsidRPr="00092DA5" w:rsidRDefault="00C94495" w:rsidP="004550B3">
      <w:pPr>
        <w:spacing w:after="0"/>
        <w:ind w:left="68"/>
        <w:jc w:val="both"/>
        <w:rPr>
          <w:rFonts w:cs="Calibri,Bold"/>
          <w:b/>
          <w:bCs/>
          <w:color w:val="2F5496" w:themeColor="accent5" w:themeShade="BF"/>
        </w:rPr>
      </w:pPr>
      <w:r w:rsidRPr="00092DA5">
        <w:rPr>
          <w:rFonts w:cs="Calibri,Bold"/>
          <w:b/>
          <w:bCs/>
          <w:color w:val="2F5496" w:themeColor="accent5" w:themeShade="BF"/>
        </w:rPr>
        <w:t>Cel główny</w:t>
      </w:r>
      <w:r w:rsidR="00E73948">
        <w:rPr>
          <w:rFonts w:cs="Calibri,Bold"/>
          <w:b/>
          <w:bCs/>
          <w:color w:val="2F5496" w:themeColor="accent5" w:themeShade="BF"/>
        </w:rPr>
        <w:t xml:space="preserve"> SNP</w:t>
      </w:r>
      <w:r w:rsidRPr="00092DA5">
        <w:rPr>
          <w:rFonts w:cs="Calibri,Bold"/>
          <w:b/>
          <w:bCs/>
          <w:color w:val="2F5496" w:themeColor="accent5" w:themeShade="BF"/>
        </w:rPr>
        <w:t>:</w:t>
      </w:r>
    </w:p>
    <w:p w14:paraId="219A77EE" w14:textId="09037114" w:rsidR="00C94495" w:rsidRPr="00F21196" w:rsidRDefault="004550B3" w:rsidP="00C94495">
      <w:pPr>
        <w:ind w:left="66"/>
        <w:jc w:val="both"/>
        <w:rPr>
          <w:rFonts w:cs="Calibri,Bold"/>
          <w:bCs/>
        </w:rPr>
      </w:pPr>
      <w:r w:rsidRPr="00092DA5">
        <w:rPr>
          <w:rFonts w:cs="Calibri,Bold"/>
          <w:b/>
          <w:bCs/>
          <w:noProof/>
          <w:color w:val="2F5496" w:themeColor="accent5" w:themeShade="BF"/>
          <w:lang w:eastAsia="pl-PL"/>
        </w:rPr>
        <mc:AlternateContent>
          <mc:Choice Requires="wps">
            <w:drawing>
              <wp:anchor distT="0" distB="0" distL="114300" distR="114300" simplePos="0" relativeHeight="251660288" behindDoc="0" locked="0" layoutInCell="1" allowOverlap="1" wp14:anchorId="3C41BBDA" wp14:editId="407D9A70">
                <wp:simplePos x="0" y="0"/>
                <wp:positionH relativeFrom="margin">
                  <wp:align>right</wp:align>
                </wp:positionH>
                <wp:positionV relativeFrom="paragraph">
                  <wp:posOffset>40005</wp:posOffset>
                </wp:positionV>
                <wp:extent cx="6172200" cy="657225"/>
                <wp:effectExtent l="0" t="0" r="19050" b="28575"/>
                <wp:wrapNone/>
                <wp:docPr id="2" name="Prostokąt zaokrąglony 2"/>
                <wp:cNvGraphicFramePr/>
                <a:graphic xmlns:a="http://schemas.openxmlformats.org/drawingml/2006/main">
                  <a:graphicData uri="http://schemas.microsoft.com/office/word/2010/wordprocessingShape">
                    <wps:wsp>
                      <wps:cNvSpPr/>
                      <wps:spPr>
                        <a:xfrm>
                          <a:off x="0" y="0"/>
                          <a:ext cx="6172200" cy="657225"/>
                        </a:xfrm>
                        <a:prstGeom prst="round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E2EC63" w14:textId="77777777" w:rsidR="005D4C4C" w:rsidRDefault="005D4C4C" w:rsidP="00EB07A0">
                            <w:pPr>
                              <w:jc w:val="center"/>
                              <w:rPr>
                                <w:rFonts w:cs="Calibri"/>
                                <w:b/>
                                <w:sz w:val="24"/>
                                <w:szCs w:val="18"/>
                              </w:rPr>
                            </w:pPr>
                            <w:r>
                              <w:rPr>
                                <w:rFonts w:cs="Calibri"/>
                                <w:b/>
                                <w:sz w:val="24"/>
                                <w:szCs w:val="18"/>
                              </w:rPr>
                              <w:t xml:space="preserve">SPRAWNE I NOWOCZESNE PAŃSTWO </w:t>
                            </w:r>
                          </w:p>
                          <w:p w14:paraId="32934C09" w14:textId="77777777" w:rsidR="005D4C4C" w:rsidRPr="0088186F" w:rsidRDefault="005D4C4C" w:rsidP="00EB07A0">
                            <w:pPr>
                              <w:jc w:val="center"/>
                              <w:rPr>
                                <w:color w:val="FFFFFF" w:themeColor="background1"/>
                                <w:sz w:val="28"/>
                              </w:rPr>
                            </w:pPr>
                            <w:r>
                              <w:rPr>
                                <w:rFonts w:cs="Calibri"/>
                                <w:b/>
                                <w:sz w:val="24"/>
                                <w:szCs w:val="18"/>
                              </w:rPr>
                              <w:t>SŁUŻĄCE OBYWATELOM, ŚRODOWISKU ORAZ GOSPODARCE</w:t>
                            </w:r>
                            <w:r>
                              <w:rPr>
                                <w:rFonts w:cs="Calibri"/>
                                <w:b/>
                                <w:sz w:val="24"/>
                                <w:szCs w:val="18"/>
                              </w:rPr>
                              <w:br/>
                            </w:r>
                            <w:r w:rsidRPr="0088186F">
                              <w:rPr>
                                <w:rFonts w:cs="Calibri"/>
                                <w:b/>
                                <w:sz w:val="24"/>
                                <w:szCs w:val="18"/>
                              </w:rPr>
                              <w:t>ORAZ WŁĄCZENIU SPOŁECZNEMU I GOSPODARCZEMU</w:t>
                            </w:r>
                          </w:p>
                          <w:p w14:paraId="57D8C657" w14:textId="77777777" w:rsidR="005D4C4C" w:rsidRPr="00753E2F" w:rsidRDefault="005D4C4C" w:rsidP="0079098B">
                            <w:pPr>
                              <w:jc w:val="center"/>
                              <w:rPr>
                                <w:color w:val="FFFFFF" w:themeColor="background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41BBDA" id="Prostokąt zaokrąglony 2" o:spid="_x0000_s1044" style="position:absolute;left:0;text-align:left;margin-left:434.8pt;margin-top:3.15pt;width:486pt;height:51.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C5mqAIAALoFAAAOAAAAZHJzL2Uyb0RvYy54bWysVM1u2zAMvg/YOwi6r46D/i2oUwQtOgzo&#10;2qDp0LMiS7FRSdQkJXZ675v1wUbJjhu03Q7DLjYpkh//eXbeakU2wvkaTEHzgxElwnAoa7Mq6M/7&#10;qy+nlPjATMkUGFHQrfD0fPr501ljJ2IMFahSOIIgxk8aW9AqBDvJMs8roZk/ACsMCiU4zQKybpWV&#10;jjWIrlU2Ho2OswZcaR1w4T2+XnZCOk34UgoebqX0IhBVUIwtpK9L32X8ZtMzNlk5Zqua92Gwf4hC&#10;s9qg0wHqkgVG1q5+B6Vr7sCDDAccdAZS1lykHDCbfPQmm0XFrEi5YHG8Hcrk/x8sv9nMHanLgo4p&#10;MUxji+YYYIDHl+dAnhg8upfnFfZuS8axWI31E7RZ2LnrOY9kzLyVTsc/5kTaVODtUGDRBsLx8Tg/&#10;GWPXKOEoOz5C5iiCZq/W1vnwTYAmkSiog7Up77CLqbhsc+1Dp7/Tix49qLq8qpVKTJwccaEc2TDs&#10;OeNcmJAnc7XWP6Ds3k+ORhhHh5WGLZqkSPbQsphtl1+iwlaJ6EOZOyGxaJjROCEPCO+d+oqVonuO&#10;Lj/2mQAjssQsBuwu6j9gd6H3+tFUpGkfjEd/C6wzHiySZzBhMNa1AfcRgMJS9p47fSzZXmkiGdpl&#10;mwYqP42q8WkJ5RanzEG3ft7yqxrbe818mDOH+4YTgTck3OJHKmgKCj1FSQXu6aP3qI9rgFJKGtzf&#10;gvpfa+YEJeq7wQX5mh8exoVPzCGOGjJuX7Lcl5i1vgAclxyvleWJjPpB7UjpQD/gqZlFryhihqPv&#10;gvLgdsxF6O4KHisuZrOkhktuWbg2C8sjeCx0nNz79oE52894wO24gd2us8mbKe90o6WB2TqArNMK&#10;vNa1bwEeiDS//TGLF2ifT1qvJ3f6GwAA//8DAFBLAwQUAAYACAAAACEAAzbOidgAAAAGAQAADwAA&#10;AGRycy9kb3ducmV2LnhtbEyPwW6DMBBE75X6D9ZWyq0xTaQUKCaKkHKOSvsBBm8MCl4j7ASSr+/2&#10;1B5HM5p5U+wXN4gbTqH3pOBtnYBAar3pySr4/jq+piBC1GT04AkV3DHAvnx+KnRu/EyfeKujFVxC&#10;IdcKuhjHXMrQduh0WPsRib2zn5yOLCcrzaRnLneD3CTJTjrdEy90esSqw/ZSX50CGx/2mJ4OddrI&#10;Wfqsqh7m0iu1elkOHyAiLvEvDL/4jA4lMzX+SiaIQQEfiQp2WxBsZu8b1g2nkiwFWRbyP375AwAA&#10;//8DAFBLAQItABQABgAIAAAAIQC2gziS/gAAAOEBAAATAAAAAAAAAAAAAAAAAAAAAABbQ29udGVu&#10;dF9UeXBlc10ueG1sUEsBAi0AFAAGAAgAAAAhADj9If/WAAAAlAEAAAsAAAAAAAAAAAAAAAAALwEA&#10;AF9yZWxzLy5yZWxzUEsBAi0AFAAGAAgAAAAhAE4cLmaoAgAAugUAAA4AAAAAAAAAAAAAAAAALgIA&#10;AGRycy9lMm9Eb2MueG1sUEsBAi0AFAAGAAgAAAAhAAM2zonYAAAABgEAAA8AAAAAAAAAAAAAAAAA&#10;AgUAAGRycy9kb3ducmV2LnhtbFBLBQYAAAAABAAEAPMAAAAHBgAAAAA=&#10;" fillcolor="#2e74b5 [2404]" strokecolor="#1f4d78 [1604]" strokeweight="1pt">
                <v:stroke joinstyle="miter"/>
                <v:textbox>
                  <w:txbxContent>
                    <w:p w14:paraId="0EE2EC63" w14:textId="77777777" w:rsidR="005D4C4C" w:rsidRDefault="005D4C4C" w:rsidP="00EB07A0">
                      <w:pPr>
                        <w:jc w:val="center"/>
                        <w:rPr>
                          <w:rFonts w:cs="Calibri"/>
                          <w:b/>
                          <w:sz w:val="24"/>
                          <w:szCs w:val="18"/>
                        </w:rPr>
                      </w:pPr>
                      <w:r>
                        <w:rPr>
                          <w:rFonts w:cs="Calibri"/>
                          <w:b/>
                          <w:sz w:val="24"/>
                          <w:szCs w:val="18"/>
                        </w:rPr>
                        <w:t xml:space="preserve">SPRAWNE I NOWOCZESNE PAŃSTWO </w:t>
                      </w:r>
                    </w:p>
                    <w:p w14:paraId="32934C09" w14:textId="77777777" w:rsidR="005D4C4C" w:rsidRPr="0088186F" w:rsidRDefault="005D4C4C" w:rsidP="00EB07A0">
                      <w:pPr>
                        <w:jc w:val="center"/>
                        <w:rPr>
                          <w:color w:val="FFFFFF" w:themeColor="background1"/>
                          <w:sz w:val="28"/>
                        </w:rPr>
                      </w:pPr>
                      <w:r>
                        <w:rPr>
                          <w:rFonts w:cs="Calibri"/>
                          <w:b/>
                          <w:sz w:val="24"/>
                          <w:szCs w:val="18"/>
                        </w:rPr>
                        <w:t>SŁUŻĄCE OBYWATELOM, ŚRODOWISKU ORAZ GOSPODARCE</w:t>
                      </w:r>
                      <w:r>
                        <w:rPr>
                          <w:rFonts w:cs="Calibri"/>
                          <w:b/>
                          <w:sz w:val="24"/>
                          <w:szCs w:val="18"/>
                        </w:rPr>
                        <w:br/>
                      </w:r>
                      <w:r w:rsidRPr="0088186F">
                        <w:rPr>
                          <w:rFonts w:cs="Calibri"/>
                          <w:b/>
                          <w:sz w:val="24"/>
                          <w:szCs w:val="18"/>
                        </w:rPr>
                        <w:t>ORAZ WŁĄCZENIU SPOŁECZNEMU I GOSPODARCZEMU</w:t>
                      </w:r>
                    </w:p>
                    <w:p w14:paraId="57D8C657" w14:textId="77777777" w:rsidR="005D4C4C" w:rsidRPr="00753E2F" w:rsidRDefault="005D4C4C" w:rsidP="0079098B">
                      <w:pPr>
                        <w:jc w:val="center"/>
                        <w:rPr>
                          <w:color w:val="FFFFFF" w:themeColor="background1"/>
                          <w:sz w:val="24"/>
                        </w:rPr>
                      </w:pPr>
                    </w:p>
                  </w:txbxContent>
                </v:textbox>
                <w10:wrap anchorx="margin"/>
              </v:roundrect>
            </w:pict>
          </mc:Fallback>
        </mc:AlternateContent>
      </w:r>
    </w:p>
    <w:p w14:paraId="3DF7AC1E" w14:textId="77777777" w:rsidR="0079098B" w:rsidRPr="00F21196" w:rsidRDefault="0079098B" w:rsidP="00546CEF">
      <w:pPr>
        <w:pStyle w:val="NormalnyWeb"/>
        <w:spacing w:before="0" w:beforeAutospacing="0" w:after="0" w:afterAutospacing="0" w:line="300" w:lineRule="auto"/>
        <w:jc w:val="both"/>
        <w:rPr>
          <w:rFonts w:asciiTheme="minorHAnsi" w:hAnsiTheme="minorHAnsi" w:cs="Arial"/>
          <w:sz w:val="18"/>
          <w:szCs w:val="18"/>
        </w:rPr>
      </w:pPr>
    </w:p>
    <w:p w14:paraId="6192DFC0" w14:textId="77777777" w:rsidR="0079098B" w:rsidRPr="00F21196" w:rsidRDefault="0079098B" w:rsidP="00546CEF">
      <w:pPr>
        <w:pStyle w:val="NormalnyWeb"/>
        <w:spacing w:before="0" w:beforeAutospacing="0" w:after="0" w:afterAutospacing="0" w:line="300" w:lineRule="auto"/>
        <w:jc w:val="both"/>
        <w:rPr>
          <w:rFonts w:asciiTheme="minorHAnsi" w:hAnsiTheme="minorHAnsi" w:cs="Arial"/>
          <w:sz w:val="18"/>
          <w:szCs w:val="18"/>
        </w:rPr>
      </w:pPr>
    </w:p>
    <w:p w14:paraId="5A9EB552" w14:textId="77777777" w:rsidR="00550F03" w:rsidRPr="00F21196" w:rsidRDefault="00E73948" w:rsidP="00546CEF">
      <w:pPr>
        <w:pStyle w:val="NormalnyWeb"/>
        <w:spacing w:before="0" w:beforeAutospacing="0" w:after="0" w:afterAutospacing="0" w:line="300" w:lineRule="auto"/>
        <w:jc w:val="both"/>
        <w:rPr>
          <w:rFonts w:asciiTheme="minorHAnsi" w:hAnsiTheme="minorHAnsi" w:cs="Arial"/>
          <w:sz w:val="18"/>
          <w:szCs w:val="18"/>
        </w:rPr>
      </w:pPr>
      <w:r>
        <w:rPr>
          <w:rFonts w:cs="Arial"/>
          <w:noProof/>
        </w:rPr>
        <mc:AlternateContent>
          <mc:Choice Requires="wps">
            <w:drawing>
              <wp:anchor distT="0" distB="0" distL="114300" distR="114300" simplePos="0" relativeHeight="252083200" behindDoc="0" locked="0" layoutInCell="1" allowOverlap="1" wp14:anchorId="18CF45A2" wp14:editId="7D842F24">
                <wp:simplePos x="0" y="0"/>
                <wp:positionH relativeFrom="page">
                  <wp:posOffset>3284220</wp:posOffset>
                </wp:positionH>
                <wp:positionV relativeFrom="paragraph">
                  <wp:posOffset>140487</wp:posOffset>
                </wp:positionV>
                <wp:extent cx="384276" cy="607161"/>
                <wp:effectExtent l="19050" t="19050" r="34925" b="40640"/>
                <wp:wrapNone/>
                <wp:docPr id="5" name="Strzałka w górę i w dół 5"/>
                <wp:cNvGraphicFramePr/>
                <a:graphic xmlns:a="http://schemas.openxmlformats.org/drawingml/2006/main">
                  <a:graphicData uri="http://schemas.microsoft.com/office/word/2010/wordprocessingShape">
                    <wps:wsp>
                      <wps:cNvSpPr/>
                      <wps:spPr>
                        <a:xfrm>
                          <a:off x="0" y="0"/>
                          <a:ext cx="384276" cy="607161"/>
                        </a:xfrm>
                        <a:prstGeom prst="upDownArrow">
                          <a:avLst/>
                        </a:prstGeom>
                        <a:solidFill>
                          <a:schemeClr val="accent5">
                            <a:lumMod val="40000"/>
                            <a:lumOff val="6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4EC72" id="Strzałka w górę i w dół 5" o:spid="_x0000_s1026" type="#_x0000_t70" style="position:absolute;margin-left:258.6pt;margin-top:11.05pt;width:30.25pt;height:47.8pt;z-index:25208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33HwwIAAEMGAAAOAAAAZHJzL2Uyb0RvYy54bWzEVM1OGzEQvlfqO1i+l92kSaARGxSBqCpR&#10;QA0VZ+P1Jqt6Pe7YySYceYs+B49Aea+OvZslpbSHqlJz2NjzP59nvsOjdaXZSqErwWS8t5dypoyE&#10;vDTzjH++On1zwJnzwuRCg1EZ3yjHjyavXx3Wdqz6sACdK2QUxLhxbTO+8N6Ok8TJhaqE2wOrDCkL&#10;wEp4uuI8yVHUFL3SST9NR0kNmFsEqZwj6Umj5JMYvyiU9BdF4ZRnOuNUm49fjN+b8E0mh2I8R2EX&#10;pWzLEH9RRSVKQ0m7UCfCC7bE8pdQVSkRHBR+T0KVQFGUUsUeqJte+qyb2UJYFXshcJztYHL/Lqw8&#10;X10iK/OMDzkzoqInmnm8FY93XwSr2fzhHr9/YyUd84f7xzs2DIjV1o3JcWYvsb05Oob21wVW4Z8a&#10;Y+uI8qZDWa09kyR8ezDo7484k6Qapfu9US/ETJ6cLTr/XkHFwiHjS3sCtZkiQh0hFqsz5xuPrWVI&#10;6UCX+WmpdbyE+VHHGtlK0MsLKZXxw+iul9VHyBv5IKVfMwMkpklpxKOtmIqKkxgixRJ/SqLN/8hL&#10;NYXESXiEBvZ48hutQjnafFIFPSgB3Y/9dg3sQtFrVAuRq0Y8/G3LMWCIXBC2Xew2wEswb5+ztQ+u&#10;Km5i55z+qbDmZTuPmBmM75yr0gC+FED7LnNjvwWpgSagdAP5hsYdoeEBZ+VpSTN2Jpy/FEiLTxRB&#10;ZOYv6FNoqDMO7YmzBeDtS/JgT/tIWs5qIpKMu69LgYoz/cHQpr7rDQaBeeJlMNzv0wV3NTe7GrOs&#10;joEmtke0aWU8Bnuvt8cCobomzpuGrKQSRlLujEuP28uxbwiOWFOq6TSaEdtY4c/MzMoQPKAaludq&#10;fS3QtovmaUPPYUs6Yvxs0Rrb4GlguvRQlHELn3Bt8SamirvSsmqgwt17tHri/skPAAAA//8DAFBL&#10;AwQUAAYACAAAACEAmnzZoOEAAAAKAQAADwAAAGRycy9kb3ducmV2LnhtbEyPwU6EMBCG7ya+QzMm&#10;XjZugXXFIGWzMW7cgxfRxGuhI6B0SmhZ0Kd3POltJvPln+/Pd4vtxQlH3zlSEK8jEEi1Mx01Cl5f&#10;Dle3IHzQZHTvCBV8oYddcX6W68y4mZ7xVIZGcAj5TCtoQxgyKX3dotV+7QYkvr270erA69hIM+qZ&#10;w20vkyi6kVZ3xB9aPeB9i/VnOVkF328Pq0P0uCo/NtVx/zRs5uP1NCt1ebHs70AEXMIfDL/6rA4F&#10;O1VuIuNFr2AbpwmjCpIkBsHANk1TEBWTMQ+yyOX/CsUPAAAA//8DAFBLAQItABQABgAIAAAAIQC2&#10;gziS/gAAAOEBAAATAAAAAAAAAAAAAAAAAAAAAABbQ29udGVudF9UeXBlc10ueG1sUEsBAi0AFAAG&#10;AAgAAAAhADj9If/WAAAAlAEAAAsAAAAAAAAAAAAAAAAALwEAAF9yZWxzLy5yZWxzUEsBAi0AFAAG&#10;AAgAAAAhAJwbfcfDAgAAQwYAAA4AAAAAAAAAAAAAAAAALgIAAGRycy9lMm9Eb2MueG1sUEsBAi0A&#10;FAAGAAgAAAAhAJp82aDhAAAACgEAAA8AAAAAAAAAAAAAAAAAHQUAAGRycy9kb3ducmV2LnhtbFBL&#10;BQYAAAAABAAEAPMAAAArBgAAAAA=&#10;" adj=",6835" fillcolor="#b4c6e7 [1304]" strokecolor="#b4c6e7 [1304]" strokeweight="1pt">
                <w10:wrap anchorx="page"/>
              </v:shape>
            </w:pict>
          </mc:Fallback>
        </mc:AlternateContent>
      </w:r>
    </w:p>
    <w:p w14:paraId="0CD8191A" w14:textId="77777777" w:rsidR="00E73948" w:rsidRDefault="00E73948" w:rsidP="000B39F1">
      <w:pPr>
        <w:spacing w:after="0" w:line="276" w:lineRule="auto"/>
        <w:jc w:val="both"/>
        <w:rPr>
          <w:rFonts w:cs="Arial"/>
        </w:rPr>
      </w:pPr>
    </w:p>
    <w:p w14:paraId="5947B33D" w14:textId="77777777" w:rsidR="00E73948" w:rsidRDefault="00E73948" w:rsidP="000B39F1">
      <w:pPr>
        <w:spacing w:after="0" w:line="276" w:lineRule="auto"/>
        <w:jc w:val="both"/>
        <w:rPr>
          <w:rFonts w:cs="Arial"/>
        </w:rPr>
      </w:pPr>
    </w:p>
    <w:p w14:paraId="520615A9" w14:textId="77777777" w:rsidR="004550B3" w:rsidRPr="00E73948" w:rsidRDefault="004550B3" w:rsidP="004550B3">
      <w:pPr>
        <w:spacing w:after="0" w:line="276" w:lineRule="auto"/>
        <w:jc w:val="both"/>
        <w:rPr>
          <w:rFonts w:cs="Arial"/>
          <w:b/>
        </w:rPr>
      </w:pPr>
      <w:r w:rsidRPr="00E73948">
        <w:rPr>
          <w:rFonts w:cs="Arial"/>
          <w:b/>
        </w:rPr>
        <w:t>Cel główny SOR:</w:t>
      </w:r>
    </w:p>
    <w:p w14:paraId="2EB41F3A" w14:textId="77777777" w:rsidR="00E73948" w:rsidRDefault="00FD0EDA" w:rsidP="000B39F1">
      <w:pPr>
        <w:spacing w:after="0" w:line="276" w:lineRule="auto"/>
        <w:jc w:val="both"/>
        <w:rPr>
          <w:rFonts w:cs="Arial"/>
        </w:rPr>
      </w:pPr>
      <w:r>
        <w:rPr>
          <w:rFonts w:cs="Arial"/>
          <w:noProof/>
          <w:lang w:eastAsia="pl-PL"/>
        </w:rPr>
        <mc:AlternateContent>
          <mc:Choice Requires="wps">
            <w:drawing>
              <wp:anchor distT="0" distB="0" distL="114300" distR="114300" simplePos="0" relativeHeight="252082176" behindDoc="0" locked="0" layoutInCell="1" allowOverlap="1" wp14:anchorId="71C8165F" wp14:editId="06890FB5">
                <wp:simplePos x="0" y="0"/>
                <wp:positionH relativeFrom="margin">
                  <wp:posOffset>146649</wp:posOffset>
                </wp:positionH>
                <wp:positionV relativeFrom="paragraph">
                  <wp:posOffset>8255</wp:posOffset>
                </wp:positionV>
                <wp:extent cx="5693410" cy="599847"/>
                <wp:effectExtent l="0" t="0" r="21590" b="10160"/>
                <wp:wrapNone/>
                <wp:docPr id="3" name="Prostokąt 3"/>
                <wp:cNvGraphicFramePr/>
                <a:graphic xmlns:a="http://schemas.openxmlformats.org/drawingml/2006/main">
                  <a:graphicData uri="http://schemas.microsoft.com/office/word/2010/wordprocessingShape">
                    <wps:wsp>
                      <wps:cNvSpPr/>
                      <wps:spPr>
                        <a:xfrm>
                          <a:off x="0" y="0"/>
                          <a:ext cx="5693410" cy="599847"/>
                        </a:xfrm>
                        <a:prstGeom prst="rect">
                          <a:avLst/>
                        </a:prstGeom>
                        <a:solidFill>
                          <a:schemeClr val="accent1">
                            <a:lumMod val="20000"/>
                            <a:lumOff val="80000"/>
                          </a:schemeClr>
                        </a:solidFill>
                        <a:ln>
                          <a:solidFill>
                            <a:schemeClr val="accent1">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0BAC70A7" w14:textId="77777777" w:rsidR="005D4C4C" w:rsidRPr="00E73948" w:rsidRDefault="005D4C4C" w:rsidP="00E73948">
                            <w:pPr>
                              <w:jc w:val="center"/>
                            </w:pPr>
                            <w:r w:rsidRPr="00E73948">
                              <w:t>Tworzenie warunków dla wzrostu dochodów mieszkańców, przy jednoczesnym wzroście spójności w wymiarze społecznym, ekonomicznym, środowiskowym i terytorialnym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8165F" id="Prostokąt 3" o:spid="_x0000_s1045" style="position:absolute;left:0;text-align:left;margin-left:11.55pt;margin-top:.65pt;width:448.3pt;height:47.25pt;z-index:25208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Rr0qwIAABcGAAAOAAAAZHJzL2Uyb0RvYy54bWzEVFtr2zAUfh/sPwi9r47T9JIQp4SWjkHX&#10;hrWjz4osJaaSjiYpsbP3/rP9sB3Jjpt1hcEY7MXWuZ/zncv0otGKbIXzFZiC5kcDSoThUFZmVdCv&#10;D9cfzinxgZmSKTCioDvh6cXs/btpbSdiCGtQpXAEnRg/qW1B1yHYSZZ5vhaa+SOwwqBQgtMsIOlW&#10;WelYjd61yoaDwWlWgyutAy68R+5VK6Sz5F9KwcOdlF4EogqKuYX0dem7jN9sNmWTlWN2XfEuDfYX&#10;WWhWGQzau7pigZGNq35zpSvuwIMMRxx0BlJWXKQasJp88Kqa+zWzItWC4Hjbw+T/nVt+u104UpUF&#10;PabEMI0tWmCCAZ5+PAdyHPGprZ+g2r1duI7y+IzFNtLp+McySJMw3fWYiiYQjsyT0/HxKEfoOcpO&#10;xuPz0Vl0mr1YW+fDRwGaxEdBHfYsQcm2Nz60qnuVGMyDqsrrSqlExDkRl8qRLcMOM86FCXkyVxv9&#10;GcqWj5My6HqNbJyIln2+Z2M2aeKip5TbL0GU+R9xMacYOIvwt4CnV9gpEdNR5ouQ2DiEeJjq7Qs4&#10;hGLYYZ20o5lE4HrDFqhXhgrxa1HvdKOZSKvUGw7+HLG3SFHBhN5YVwbcWw7Kpz5yq7+vvq05lh+a&#10;ZZOmNR/HJCNrCeUOR9hBu9ve8usKB+mG+bBgDpcZZw8PVLjDj1RQFxS6FyVrcN/f4kd93DGUUlLj&#10;cSio/7ZhTlCiPhncvnE+GsVrkojRydkQCXcoWR5KzEZfAk5njqfQ8vSM+kHtn9KBfsQ7No9RUcQM&#10;x9gF5cHticvQHi28hFzM50kNL4hl4cbcWx6dR6Djojw0j8zZbpsC7uEt7A8Jm7xaqlY3WhqYbwLI&#10;Km3cC65dC/D6pL3oLmU8b4d00nq557OfAAAA//8DAFBLAwQUAAYACAAAACEAMwZxMNwAAAAHAQAA&#10;DwAAAGRycy9kb3ducmV2LnhtbEyOzU7DMBCE70i8g7VIXBB10kJ/QpwKIeCIREA9O/E2CdjrKHaT&#10;wNOznOA2OzOa/fL97KwYcQidJwXpIgGBVHvTUaPg/e3pegsiRE1GW0+o4AsD7Ivzs1xnxk/0imMZ&#10;G8EjFDKtoI2xz6QMdYtOh4XvkTg7+sHpyOfQSDPoicedlcskWUunO+IPre7xocX6szw5BTfrQ2+/&#10;x0fyH1dzNT3LUh9fSqUuL+b7OxAR5/hXhl98RoeCmSp/IhOEVbBcpdxkfwWC412624CoWNxuQRa5&#10;/M9f/AAAAP//AwBQSwECLQAUAAYACAAAACEAtoM4kv4AAADhAQAAEwAAAAAAAAAAAAAAAAAAAAAA&#10;W0NvbnRlbnRfVHlwZXNdLnhtbFBLAQItABQABgAIAAAAIQA4/SH/1gAAAJQBAAALAAAAAAAAAAAA&#10;AAAAAC8BAABfcmVscy8ucmVsc1BLAQItABQABgAIAAAAIQB78Rr0qwIAABcGAAAOAAAAAAAAAAAA&#10;AAAAAC4CAABkcnMvZTJvRG9jLnhtbFBLAQItABQABgAIAAAAIQAzBnEw3AAAAAcBAAAPAAAAAAAA&#10;AAAAAAAAAAUFAABkcnMvZG93bnJldi54bWxQSwUGAAAAAAQABADzAAAADgYAAAAA&#10;" fillcolor="#deeaf6 [660]" strokecolor="#deeaf6 [660]" strokeweight="1pt">
                <v:textbox>
                  <w:txbxContent>
                    <w:p w14:paraId="0BAC70A7" w14:textId="77777777" w:rsidR="005D4C4C" w:rsidRPr="00E73948" w:rsidRDefault="005D4C4C" w:rsidP="00E73948">
                      <w:pPr>
                        <w:jc w:val="center"/>
                      </w:pPr>
                      <w:r w:rsidRPr="00E73948">
                        <w:t>Tworzenie warunków dla wzrostu dochodów mieszkańców, przy jednoczesnym wzroście spójności w wymiarze społecznym, ekonomicznym, środowiskowym i terytorialnym</w:t>
                      </w:r>
                    </w:p>
                  </w:txbxContent>
                </v:textbox>
                <w10:wrap anchorx="margin"/>
              </v:rect>
            </w:pict>
          </mc:Fallback>
        </mc:AlternateContent>
      </w:r>
    </w:p>
    <w:p w14:paraId="4F1EB568" w14:textId="77777777" w:rsidR="00E73948" w:rsidRDefault="00E73948" w:rsidP="000B39F1">
      <w:pPr>
        <w:spacing w:after="0" w:line="276" w:lineRule="auto"/>
        <w:jc w:val="both"/>
        <w:rPr>
          <w:rFonts w:cs="Arial"/>
        </w:rPr>
      </w:pPr>
    </w:p>
    <w:p w14:paraId="68223F9B" w14:textId="77777777" w:rsidR="00E73948" w:rsidRDefault="00E73948" w:rsidP="000B39F1">
      <w:pPr>
        <w:spacing w:after="0" w:line="276" w:lineRule="auto"/>
        <w:jc w:val="both"/>
        <w:rPr>
          <w:rFonts w:cs="Arial"/>
        </w:rPr>
      </w:pPr>
    </w:p>
    <w:p w14:paraId="04EEFB93" w14:textId="77777777" w:rsidR="009741C4" w:rsidRDefault="009741C4" w:rsidP="000B39F1">
      <w:pPr>
        <w:spacing w:after="0" w:line="276" w:lineRule="auto"/>
        <w:jc w:val="both"/>
        <w:rPr>
          <w:rFonts w:cs="Arial"/>
        </w:rPr>
      </w:pPr>
    </w:p>
    <w:p w14:paraId="5F35D6D8" w14:textId="77777777" w:rsidR="0079098B" w:rsidRPr="00F21196" w:rsidRDefault="0079098B" w:rsidP="000B39F1">
      <w:pPr>
        <w:spacing w:after="0" w:line="276" w:lineRule="auto"/>
        <w:jc w:val="both"/>
        <w:rPr>
          <w:rFonts w:cs="Arial"/>
          <w:b/>
        </w:rPr>
      </w:pPr>
      <w:r w:rsidRPr="00F21196">
        <w:rPr>
          <w:rFonts w:cs="Arial"/>
        </w:rPr>
        <w:t xml:space="preserve">Osiągnięcie celu głównego będzie możliwe dzięki </w:t>
      </w:r>
      <w:r w:rsidR="003B046D">
        <w:rPr>
          <w:rFonts w:cs="Arial"/>
        </w:rPr>
        <w:t>zaangażowaniu i uczestnictwie wielu podmiotów</w:t>
      </w:r>
      <w:r w:rsidR="00F34A0B">
        <w:rPr>
          <w:rFonts w:cs="Arial"/>
        </w:rPr>
        <w:t xml:space="preserve">, podejmujących przedsięwzięcia w oparciu o zasady: </w:t>
      </w:r>
      <w:r w:rsidRPr="00F21196">
        <w:rPr>
          <w:rFonts w:cs="Arial"/>
          <w:b/>
        </w:rPr>
        <w:t xml:space="preserve"> </w:t>
      </w:r>
    </w:p>
    <w:p w14:paraId="2F800F43" w14:textId="57F1F9AE" w:rsidR="0079098B" w:rsidRPr="007607BD" w:rsidRDefault="0079098B" w:rsidP="007607BD">
      <w:pPr>
        <w:numPr>
          <w:ilvl w:val="0"/>
          <w:numId w:val="2"/>
        </w:numPr>
        <w:tabs>
          <w:tab w:val="clear" w:pos="720"/>
        </w:tabs>
        <w:autoSpaceDE w:val="0"/>
        <w:autoSpaceDN w:val="0"/>
        <w:adjustRightInd w:val="0"/>
        <w:spacing w:after="0" w:line="276" w:lineRule="auto"/>
        <w:ind w:left="567"/>
        <w:jc w:val="both"/>
        <w:rPr>
          <w:rFonts w:cs="Arial"/>
        </w:rPr>
      </w:pPr>
      <w:r w:rsidRPr="007607BD">
        <w:rPr>
          <w:rFonts w:cs="Arial"/>
          <w:b/>
        </w:rPr>
        <w:t xml:space="preserve">partnerstwo i dialog </w:t>
      </w:r>
      <w:r w:rsidR="00A961D4">
        <w:rPr>
          <w:rFonts w:cs="Arial"/>
        </w:rPr>
        <w:t>–</w:t>
      </w:r>
      <w:r w:rsidRPr="007607BD">
        <w:rPr>
          <w:rFonts w:cs="Arial"/>
          <w:b/>
        </w:rPr>
        <w:t xml:space="preserve"> </w:t>
      </w:r>
      <w:r w:rsidR="00A961D4">
        <w:rPr>
          <w:rFonts w:cs="Arial"/>
        </w:rPr>
        <w:t>współudział i</w:t>
      </w:r>
      <w:r w:rsidRPr="007607BD">
        <w:rPr>
          <w:rFonts w:cs="Arial"/>
        </w:rPr>
        <w:t xml:space="preserve"> współdecydowanie w osiągnięciu założonego celu, </w:t>
      </w:r>
    </w:p>
    <w:p w14:paraId="5ED63B4E" w14:textId="77777777" w:rsidR="0079098B" w:rsidRPr="007607BD" w:rsidRDefault="0079098B" w:rsidP="007607BD">
      <w:pPr>
        <w:numPr>
          <w:ilvl w:val="0"/>
          <w:numId w:val="2"/>
        </w:numPr>
        <w:tabs>
          <w:tab w:val="clear" w:pos="720"/>
        </w:tabs>
        <w:autoSpaceDE w:val="0"/>
        <w:autoSpaceDN w:val="0"/>
        <w:adjustRightInd w:val="0"/>
        <w:spacing w:after="0" w:line="276" w:lineRule="auto"/>
        <w:ind w:left="567"/>
        <w:jc w:val="both"/>
        <w:rPr>
          <w:rFonts w:cs="Arial"/>
          <w:b/>
        </w:rPr>
      </w:pPr>
      <w:r w:rsidRPr="007607BD">
        <w:rPr>
          <w:rFonts w:cs="Arial"/>
          <w:b/>
        </w:rPr>
        <w:t xml:space="preserve">polityka oparta na wiedzy </w:t>
      </w:r>
      <w:r w:rsidRPr="007607BD">
        <w:rPr>
          <w:rFonts w:cs="Arial"/>
        </w:rPr>
        <w:t>- wykorzystywanie wiedzy, zgromadzonych danych, rekomendacji, analiz oraz wyciągani</w:t>
      </w:r>
      <w:r w:rsidR="00AF69AA" w:rsidRPr="007607BD">
        <w:rPr>
          <w:rFonts w:cs="Arial"/>
        </w:rPr>
        <w:t>e</w:t>
      </w:r>
      <w:r w:rsidRPr="007607BD">
        <w:rPr>
          <w:rFonts w:cs="Arial"/>
        </w:rPr>
        <w:t xml:space="preserve"> na ich podstawie wniosków do wprowadzania przyszłych zmian oraz dostosowywania do aktualnych potrzeb, </w:t>
      </w:r>
    </w:p>
    <w:p w14:paraId="5BAE017E" w14:textId="4ECE6454" w:rsidR="0079098B" w:rsidRPr="007607BD" w:rsidRDefault="0079098B" w:rsidP="00C56EC7">
      <w:pPr>
        <w:pStyle w:val="Tekstkomentarza"/>
        <w:numPr>
          <w:ilvl w:val="0"/>
          <w:numId w:val="2"/>
        </w:numPr>
        <w:tabs>
          <w:tab w:val="clear" w:pos="720"/>
        </w:tabs>
        <w:spacing w:after="0" w:line="276" w:lineRule="auto"/>
        <w:ind w:left="567"/>
        <w:jc w:val="both"/>
        <w:rPr>
          <w:rFonts w:cs="Arial"/>
          <w:b/>
          <w:sz w:val="22"/>
          <w:szCs w:val="22"/>
        </w:rPr>
      </w:pPr>
      <w:r w:rsidRPr="007607BD">
        <w:rPr>
          <w:rFonts w:cs="Arial"/>
          <w:b/>
          <w:sz w:val="22"/>
          <w:szCs w:val="22"/>
        </w:rPr>
        <w:t xml:space="preserve">koordynacja i współpraca </w:t>
      </w:r>
      <w:r w:rsidRPr="007607BD">
        <w:rPr>
          <w:rFonts w:cs="Arial"/>
          <w:sz w:val="22"/>
          <w:szCs w:val="22"/>
        </w:rPr>
        <w:t>–</w:t>
      </w:r>
      <w:r w:rsidR="007771FF" w:rsidRPr="007607BD">
        <w:rPr>
          <w:rFonts w:cs="Arial"/>
          <w:sz w:val="22"/>
          <w:szCs w:val="22"/>
        </w:rPr>
        <w:t xml:space="preserve"> </w:t>
      </w:r>
      <w:r w:rsidRPr="007607BD">
        <w:rPr>
          <w:rFonts w:cs="Arial"/>
          <w:sz w:val="22"/>
          <w:szCs w:val="22"/>
        </w:rPr>
        <w:t xml:space="preserve">uzgadnianie wspólnego planowania i organizowania działań podejmowanych przez organy administracji rządowej zaangażowane we wdrażanie </w:t>
      </w:r>
      <w:r w:rsidR="00402770" w:rsidRPr="007607BD">
        <w:rPr>
          <w:rFonts w:cs="Arial"/>
          <w:sz w:val="22"/>
          <w:szCs w:val="22"/>
        </w:rPr>
        <w:t>strategii, a</w:t>
      </w:r>
      <w:r w:rsidR="007607BD" w:rsidRPr="007607BD">
        <w:rPr>
          <w:rFonts w:cs="Arial"/>
          <w:sz w:val="22"/>
          <w:szCs w:val="22"/>
        </w:rPr>
        <w:t xml:space="preserve"> także </w:t>
      </w:r>
      <w:r w:rsidR="00B62081" w:rsidRPr="007607BD">
        <w:rPr>
          <w:sz w:val="22"/>
          <w:szCs w:val="22"/>
        </w:rPr>
        <w:t>współpraca administracji rządowej oraz samorządowej</w:t>
      </w:r>
      <w:r w:rsidR="007607BD" w:rsidRPr="007607BD">
        <w:rPr>
          <w:sz w:val="22"/>
          <w:szCs w:val="22"/>
        </w:rPr>
        <w:t xml:space="preserve"> wszystkich szczebli </w:t>
      </w:r>
      <w:r w:rsidRPr="007607BD">
        <w:rPr>
          <w:rFonts w:cs="Arial"/>
          <w:sz w:val="22"/>
          <w:szCs w:val="22"/>
        </w:rPr>
        <w:t>na rzecz wspólnego rozwiązywania problemów w celu osiągania zamierzonych rezultatów,</w:t>
      </w:r>
    </w:p>
    <w:p w14:paraId="3D7C16AA" w14:textId="77777777" w:rsidR="0079098B" w:rsidRPr="007607BD" w:rsidRDefault="0079098B" w:rsidP="000B39F1">
      <w:pPr>
        <w:numPr>
          <w:ilvl w:val="0"/>
          <w:numId w:val="2"/>
        </w:numPr>
        <w:tabs>
          <w:tab w:val="clear" w:pos="720"/>
        </w:tabs>
        <w:spacing w:after="0" w:line="276" w:lineRule="auto"/>
        <w:ind w:left="567"/>
        <w:jc w:val="both"/>
        <w:rPr>
          <w:rFonts w:cs="Arial"/>
          <w:b/>
        </w:rPr>
      </w:pPr>
      <w:r w:rsidRPr="007607BD">
        <w:rPr>
          <w:rFonts w:cs="Arial"/>
          <w:b/>
        </w:rPr>
        <w:t xml:space="preserve">koncentracja tematyczna </w:t>
      </w:r>
      <w:r w:rsidRPr="007607BD">
        <w:rPr>
          <w:rFonts w:cs="Arial"/>
        </w:rPr>
        <w:t>–</w:t>
      </w:r>
      <w:r w:rsidR="007771FF" w:rsidRPr="007607BD">
        <w:rPr>
          <w:rFonts w:cs="Arial"/>
        </w:rPr>
        <w:t xml:space="preserve"> </w:t>
      </w:r>
      <w:r w:rsidRPr="007607BD">
        <w:rPr>
          <w:rFonts w:cs="Arial"/>
        </w:rPr>
        <w:t>spójne i kompleksowe podejście do interwenc</w:t>
      </w:r>
      <w:r w:rsidR="00B54373" w:rsidRPr="007607BD">
        <w:rPr>
          <w:rFonts w:cs="Arial"/>
        </w:rPr>
        <w:t>ji w zakresie objętym strategią,</w:t>
      </w:r>
    </w:p>
    <w:p w14:paraId="756C07FC" w14:textId="41556313" w:rsidR="000340A4" w:rsidRPr="003142D3" w:rsidRDefault="00B54373" w:rsidP="003142D3">
      <w:pPr>
        <w:numPr>
          <w:ilvl w:val="0"/>
          <w:numId w:val="2"/>
        </w:numPr>
        <w:tabs>
          <w:tab w:val="clear" w:pos="720"/>
        </w:tabs>
        <w:spacing w:after="0" w:line="276" w:lineRule="auto"/>
        <w:ind w:left="567"/>
        <w:jc w:val="both"/>
        <w:rPr>
          <w:rFonts w:cs="Arial"/>
          <w:b/>
        </w:rPr>
      </w:pPr>
      <w:r w:rsidRPr="007607BD">
        <w:rPr>
          <w:rFonts w:cs="Arial"/>
          <w:b/>
        </w:rPr>
        <w:t xml:space="preserve">prawa podstawowe </w:t>
      </w:r>
      <w:r w:rsidRPr="007607BD">
        <w:rPr>
          <w:rFonts w:cs="Arial"/>
        </w:rPr>
        <w:t>– poszanowanie i respektowanie praw obywateli, z</w:t>
      </w:r>
      <w:r w:rsidR="000340A4">
        <w:rPr>
          <w:rFonts w:cs="Arial"/>
        </w:rPr>
        <w:t xml:space="preserve"> uwzg</w:t>
      </w:r>
      <w:r w:rsidR="003142D3">
        <w:rPr>
          <w:rFonts w:cs="Arial"/>
        </w:rPr>
        <w:t>lędnieniem przepisów prawa.</w:t>
      </w:r>
      <w:r w:rsidR="000340A4" w:rsidRPr="003142D3">
        <w:rPr>
          <w:rFonts w:cs="Arial"/>
          <w:b/>
        </w:rPr>
        <w:t xml:space="preserve"> </w:t>
      </w:r>
    </w:p>
    <w:p w14:paraId="4C7B3965" w14:textId="77777777" w:rsidR="007E4E6A" w:rsidRPr="007607BD" w:rsidRDefault="007E4E6A" w:rsidP="000B39F1">
      <w:pPr>
        <w:spacing w:after="0" w:line="276" w:lineRule="auto"/>
        <w:jc w:val="both"/>
        <w:rPr>
          <w:rFonts w:cs="Arial"/>
        </w:rPr>
      </w:pPr>
    </w:p>
    <w:p w14:paraId="2E55B26E" w14:textId="489B826C" w:rsidR="00753E2F" w:rsidRPr="007607BD" w:rsidRDefault="0079098B" w:rsidP="000B39F1">
      <w:pPr>
        <w:spacing w:after="0" w:line="276" w:lineRule="auto"/>
        <w:jc w:val="both"/>
        <w:rPr>
          <w:rFonts w:cs="Arial"/>
        </w:rPr>
      </w:pPr>
      <w:r w:rsidRPr="007607BD">
        <w:rPr>
          <w:rFonts w:cs="Arial"/>
        </w:rPr>
        <w:t xml:space="preserve">Zakłada się </w:t>
      </w:r>
      <w:r w:rsidR="007771FF" w:rsidRPr="007607BD">
        <w:rPr>
          <w:rFonts w:cs="Arial"/>
        </w:rPr>
        <w:t>maksymalne</w:t>
      </w:r>
      <w:r w:rsidRPr="007607BD">
        <w:rPr>
          <w:rFonts w:cs="Arial"/>
        </w:rPr>
        <w:t xml:space="preserve"> </w:t>
      </w:r>
      <w:r w:rsidR="00546CEF" w:rsidRPr="007607BD">
        <w:rPr>
          <w:rFonts w:cs="Arial"/>
        </w:rPr>
        <w:t>wykorzystanie potencjału kadrowego</w:t>
      </w:r>
      <w:r w:rsidRPr="007607BD">
        <w:rPr>
          <w:rFonts w:cs="Arial"/>
        </w:rPr>
        <w:t xml:space="preserve"> administracji publicznej</w:t>
      </w:r>
      <w:r w:rsidR="00546CEF" w:rsidRPr="007607BD">
        <w:rPr>
          <w:rFonts w:cs="Arial"/>
        </w:rPr>
        <w:t>, szerokie stosowanie nowoczesnych technologii informacyjno-komunikacyjnych, sprawne</w:t>
      </w:r>
      <w:r w:rsidRPr="007607BD">
        <w:rPr>
          <w:rFonts w:cs="Arial"/>
        </w:rPr>
        <w:t xml:space="preserve"> zarządzanie</w:t>
      </w:r>
      <w:r w:rsidR="00546CEF" w:rsidRPr="007607BD">
        <w:rPr>
          <w:rFonts w:cs="Arial"/>
        </w:rPr>
        <w:t xml:space="preserve"> i koordynac</w:t>
      </w:r>
      <w:r w:rsidR="007771FF" w:rsidRPr="007607BD">
        <w:rPr>
          <w:rFonts w:cs="Arial"/>
        </w:rPr>
        <w:t>ję</w:t>
      </w:r>
      <w:r w:rsidR="00546CEF" w:rsidRPr="007607BD">
        <w:rPr>
          <w:rFonts w:cs="Arial"/>
        </w:rPr>
        <w:t xml:space="preserve"> działania wszystkich organów ad</w:t>
      </w:r>
      <w:r w:rsidR="00571E3E" w:rsidRPr="007607BD">
        <w:rPr>
          <w:rFonts w:cs="Arial"/>
        </w:rPr>
        <w:t xml:space="preserve">ministracji publicznej. </w:t>
      </w:r>
      <w:r w:rsidR="00753E2F" w:rsidRPr="007607BD">
        <w:rPr>
          <w:lang w:eastAsia="pl-PL"/>
        </w:rPr>
        <w:t>Oczekuje się, że podejmowane przedsięwzięcia na podstawie ramowo określonych w S</w:t>
      </w:r>
      <w:r w:rsidR="00137938" w:rsidRPr="007607BD">
        <w:rPr>
          <w:lang w:eastAsia="pl-PL"/>
        </w:rPr>
        <w:t>NP</w:t>
      </w:r>
      <w:r w:rsidR="00753E2F" w:rsidRPr="007607BD">
        <w:rPr>
          <w:lang w:eastAsia="pl-PL"/>
        </w:rPr>
        <w:t xml:space="preserve"> kierunków interwencji przyczynią się do</w:t>
      </w:r>
      <w:r w:rsidR="00753E2F" w:rsidRPr="007607BD">
        <w:rPr>
          <w:rFonts w:cs="Arial"/>
        </w:rPr>
        <w:t>:</w:t>
      </w:r>
    </w:p>
    <w:p w14:paraId="28AAFE87" w14:textId="77777777" w:rsidR="00753E2F" w:rsidRPr="007607BD" w:rsidRDefault="00352ABD" w:rsidP="00F24C94">
      <w:pPr>
        <w:numPr>
          <w:ilvl w:val="0"/>
          <w:numId w:val="3"/>
        </w:numPr>
        <w:tabs>
          <w:tab w:val="clear" w:pos="900"/>
        </w:tabs>
        <w:spacing w:after="0" w:line="276" w:lineRule="auto"/>
        <w:ind w:left="567"/>
        <w:jc w:val="both"/>
        <w:rPr>
          <w:rFonts w:cs="Arial"/>
        </w:rPr>
      </w:pPr>
      <w:r w:rsidRPr="007607BD">
        <w:rPr>
          <w:rFonts w:cs="Arial"/>
        </w:rPr>
        <w:t>skuteczn</w:t>
      </w:r>
      <w:r w:rsidR="007E4E6A" w:rsidRPr="007607BD">
        <w:rPr>
          <w:rFonts w:cs="Arial"/>
        </w:rPr>
        <w:t>ego</w:t>
      </w:r>
      <w:r w:rsidRPr="007607BD">
        <w:rPr>
          <w:rFonts w:cs="Arial"/>
        </w:rPr>
        <w:t xml:space="preserve"> </w:t>
      </w:r>
      <w:r w:rsidR="00753E2F" w:rsidRPr="007607BD">
        <w:rPr>
          <w:rFonts w:cs="Arial"/>
        </w:rPr>
        <w:t>wdraża</w:t>
      </w:r>
      <w:r w:rsidR="007E4E6A" w:rsidRPr="007607BD">
        <w:rPr>
          <w:rFonts w:cs="Arial"/>
        </w:rPr>
        <w:t xml:space="preserve">nia </w:t>
      </w:r>
      <w:r w:rsidR="00753E2F" w:rsidRPr="007607BD">
        <w:rPr>
          <w:rFonts w:cs="Arial"/>
        </w:rPr>
        <w:t>polityk</w:t>
      </w:r>
      <w:r w:rsidR="007E4E6A" w:rsidRPr="007607BD">
        <w:rPr>
          <w:rFonts w:cs="Arial"/>
        </w:rPr>
        <w:t>i</w:t>
      </w:r>
      <w:r w:rsidR="00753E2F" w:rsidRPr="007607BD">
        <w:rPr>
          <w:rFonts w:cs="Arial"/>
        </w:rPr>
        <w:t xml:space="preserve"> rozwoju,</w:t>
      </w:r>
    </w:p>
    <w:p w14:paraId="42F34F58" w14:textId="5E4DE939" w:rsidR="00753E2F" w:rsidRPr="00F21196" w:rsidRDefault="00352ABD" w:rsidP="00F24C94">
      <w:pPr>
        <w:numPr>
          <w:ilvl w:val="0"/>
          <w:numId w:val="3"/>
        </w:numPr>
        <w:tabs>
          <w:tab w:val="clear" w:pos="900"/>
        </w:tabs>
        <w:spacing w:after="0" w:line="276" w:lineRule="auto"/>
        <w:ind w:left="567"/>
        <w:jc w:val="both"/>
        <w:rPr>
          <w:rFonts w:cs="Arial"/>
        </w:rPr>
      </w:pPr>
      <w:r w:rsidRPr="007607BD">
        <w:rPr>
          <w:rFonts w:cs="Arial"/>
        </w:rPr>
        <w:t>efektywn</w:t>
      </w:r>
      <w:r w:rsidR="007E4E6A" w:rsidRPr="007607BD">
        <w:rPr>
          <w:rFonts w:cs="Arial"/>
        </w:rPr>
        <w:t>ego</w:t>
      </w:r>
      <w:r w:rsidR="00753E2F" w:rsidRPr="007607BD">
        <w:rPr>
          <w:rFonts w:cs="Arial"/>
        </w:rPr>
        <w:t xml:space="preserve"> wykorzyst</w:t>
      </w:r>
      <w:r w:rsidR="007E4E6A" w:rsidRPr="007607BD">
        <w:rPr>
          <w:rFonts w:cs="Arial"/>
        </w:rPr>
        <w:t>ywania</w:t>
      </w:r>
      <w:r w:rsidR="00753E2F" w:rsidRPr="007607BD">
        <w:rPr>
          <w:rFonts w:cs="Arial"/>
        </w:rPr>
        <w:t xml:space="preserve"> </w:t>
      </w:r>
      <w:r w:rsidRPr="007607BD">
        <w:rPr>
          <w:rFonts w:cs="Arial"/>
        </w:rPr>
        <w:t>środk</w:t>
      </w:r>
      <w:r w:rsidR="00857040" w:rsidRPr="007607BD">
        <w:rPr>
          <w:rFonts w:cs="Arial"/>
        </w:rPr>
        <w:t>ów</w:t>
      </w:r>
      <w:r w:rsidRPr="007607BD">
        <w:rPr>
          <w:rFonts w:cs="Arial"/>
        </w:rPr>
        <w:t xml:space="preserve"> </w:t>
      </w:r>
      <w:r w:rsidR="002C6BF9">
        <w:rPr>
          <w:rFonts w:cs="Arial"/>
        </w:rPr>
        <w:t xml:space="preserve">publicznych, w tym </w:t>
      </w:r>
      <w:r w:rsidRPr="007607BD">
        <w:rPr>
          <w:rFonts w:cs="Arial"/>
        </w:rPr>
        <w:t>funduszy</w:t>
      </w:r>
      <w:r w:rsidRPr="00F21196">
        <w:rPr>
          <w:rFonts w:cs="Arial"/>
        </w:rPr>
        <w:t xml:space="preserve"> europejskich</w:t>
      </w:r>
      <w:r w:rsidR="00753E2F" w:rsidRPr="00F21196">
        <w:rPr>
          <w:rFonts w:cs="Arial"/>
        </w:rPr>
        <w:t>,</w:t>
      </w:r>
    </w:p>
    <w:p w14:paraId="0B37B5B1" w14:textId="77777777" w:rsidR="00352ABD" w:rsidRPr="00F21196" w:rsidRDefault="00352ABD" w:rsidP="00F24C94">
      <w:pPr>
        <w:numPr>
          <w:ilvl w:val="0"/>
          <w:numId w:val="3"/>
        </w:numPr>
        <w:tabs>
          <w:tab w:val="clear" w:pos="900"/>
        </w:tabs>
        <w:spacing w:after="0" w:line="276" w:lineRule="auto"/>
        <w:ind w:left="567"/>
        <w:jc w:val="both"/>
        <w:rPr>
          <w:rFonts w:cs="Arial"/>
        </w:rPr>
      </w:pPr>
      <w:r w:rsidRPr="00F21196">
        <w:rPr>
          <w:rFonts w:cs="Arial"/>
        </w:rPr>
        <w:t>zapew</w:t>
      </w:r>
      <w:r w:rsidR="007E4E6A" w:rsidRPr="00F21196">
        <w:rPr>
          <w:rFonts w:cs="Arial"/>
        </w:rPr>
        <w:t>nienia</w:t>
      </w:r>
      <w:r w:rsidR="00753E2F" w:rsidRPr="00F21196">
        <w:rPr>
          <w:rFonts w:cs="Arial"/>
        </w:rPr>
        <w:t xml:space="preserve"> obywatelom dostęp</w:t>
      </w:r>
      <w:r w:rsidR="00857040" w:rsidRPr="00F21196">
        <w:rPr>
          <w:rFonts w:cs="Arial"/>
        </w:rPr>
        <w:t>u</w:t>
      </w:r>
      <w:r w:rsidR="00753E2F" w:rsidRPr="00F21196">
        <w:rPr>
          <w:rFonts w:cs="Arial"/>
        </w:rPr>
        <w:t xml:space="preserve"> do wysokiej jakości usług publicznych, </w:t>
      </w:r>
    </w:p>
    <w:p w14:paraId="73420F27" w14:textId="4E4BC1AC" w:rsidR="00753E2F" w:rsidRPr="00F21196" w:rsidRDefault="00857040" w:rsidP="00F24C94">
      <w:pPr>
        <w:numPr>
          <w:ilvl w:val="0"/>
          <w:numId w:val="3"/>
        </w:numPr>
        <w:tabs>
          <w:tab w:val="clear" w:pos="900"/>
        </w:tabs>
        <w:autoSpaceDE w:val="0"/>
        <w:autoSpaceDN w:val="0"/>
        <w:adjustRightInd w:val="0"/>
        <w:spacing w:after="0" w:line="276" w:lineRule="auto"/>
        <w:ind w:left="567"/>
        <w:jc w:val="both"/>
        <w:rPr>
          <w:rFonts w:cs="Arial"/>
          <w:color w:val="000000"/>
        </w:rPr>
      </w:pPr>
      <w:r w:rsidRPr="00F21196">
        <w:rPr>
          <w:rFonts w:cs="Arial"/>
          <w:color w:val="000000"/>
        </w:rPr>
        <w:t xml:space="preserve">usprawnienia </w:t>
      </w:r>
      <w:r w:rsidR="00753E2F" w:rsidRPr="00F21196">
        <w:rPr>
          <w:rFonts w:cs="Arial"/>
          <w:color w:val="000000"/>
        </w:rPr>
        <w:t>postępowani</w:t>
      </w:r>
      <w:r w:rsidR="0098078D">
        <w:rPr>
          <w:rFonts w:cs="Arial"/>
          <w:color w:val="000000"/>
        </w:rPr>
        <w:t>a</w:t>
      </w:r>
      <w:r w:rsidR="00753E2F" w:rsidRPr="00F21196">
        <w:rPr>
          <w:rFonts w:cs="Arial"/>
          <w:color w:val="000000"/>
        </w:rPr>
        <w:t xml:space="preserve"> przed sąd</w:t>
      </w:r>
      <w:r w:rsidR="007E4E6A" w:rsidRPr="00F21196">
        <w:rPr>
          <w:rFonts w:cs="Arial"/>
          <w:color w:val="000000"/>
        </w:rPr>
        <w:t>ami</w:t>
      </w:r>
      <w:r w:rsidR="00FA38B6">
        <w:rPr>
          <w:rFonts w:cs="Arial"/>
          <w:color w:val="000000"/>
        </w:rPr>
        <w:t xml:space="preserve"> powszechnymi</w:t>
      </w:r>
      <w:r w:rsidR="00753E2F" w:rsidRPr="00F21196">
        <w:rPr>
          <w:rFonts w:cs="Arial"/>
          <w:color w:val="000000"/>
        </w:rPr>
        <w:t>,</w:t>
      </w:r>
    </w:p>
    <w:p w14:paraId="484C52CA" w14:textId="6232CE70" w:rsidR="00753E2F" w:rsidRPr="00F21196" w:rsidRDefault="007E4E6A" w:rsidP="00F24C94">
      <w:pPr>
        <w:numPr>
          <w:ilvl w:val="0"/>
          <w:numId w:val="3"/>
        </w:numPr>
        <w:tabs>
          <w:tab w:val="clear" w:pos="900"/>
        </w:tabs>
        <w:spacing w:after="0" w:line="276" w:lineRule="auto"/>
        <w:ind w:left="567"/>
        <w:jc w:val="both"/>
        <w:rPr>
          <w:rFonts w:cs="Arial"/>
          <w:bCs/>
          <w:iCs/>
        </w:rPr>
      </w:pPr>
      <w:r w:rsidRPr="00F21196">
        <w:rPr>
          <w:rFonts w:cs="Arial"/>
          <w:bCs/>
          <w:iCs/>
        </w:rPr>
        <w:t>utrzymania</w:t>
      </w:r>
      <w:r w:rsidR="00753E2F" w:rsidRPr="00F21196">
        <w:rPr>
          <w:rFonts w:cs="Arial"/>
          <w:bCs/>
          <w:iCs/>
        </w:rPr>
        <w:t xml:space="preserve"> wysoki</w:t>
      </w:r>
      <w:r w:rsidRPr="00F21196">
        <w:rPr>
          <w:rFonts w:cs="Arial"/>
          <w:bCs/>
          <w:iCs/>
        </w:rPr>
        <w:t>ego</w:t>
      </w:r>
      <w:r w:rsidR="00753E2F" w:rsidRPr="00F21196">
        <w:rPr>
          <w:rFonts w:cs="Arial"/>
          <w:bCs/>
          <w:iCs/>
        </w:rPr>
        <w:t xml:space="preserve"> poziom</w:t>
      </w:r>
      <w:r w:rsidR="0098078D">
        <w:rPr>
          <w:rFonts w:cs="Arial"/>
          <w:bCs/>
          <w:iCs/>
        </w:rPr>
        <w:t>u</w:t>
      </w:r>
      <w:r w:rsidR="00753E2F" w:rsidRPr="00F21196">
        <w:rPr>
          <w:rFonts w:cs="Arial"/>
          <w:bCs/>
          <w:iCs/>
        </w:rPr>
        <w:t xml:space="preserve"> bezpieczeństwa</w:t>
      </w:r>
      <w:r w:rsidR="00753E2F" w:rsidRPr="00F21196">
        <w:rPr>
          <w:rFonts w:cs="Arial"/>
          <w:bCs/>
        </w:rPr>
        <w:t xml:space="preserve"> </w:t>
      </w:r>
      <w:r w:rsidR="00753E2F" w:rsidRPr="00F21196">
        <w:rPr>
          <w:rFonts w:cs="Arial"/>
          <w:bCs/>
          <w:iCs/>
        </w:rPr>
        <w:t xml:space="preserve">i porządku publicznego oraz </w:t>
      </w:r>
      <w:r w:rsidR="005C3BA7" w:rsidRPr="00F21196">
        <w:rPr>
          <w:rFonts w:cs="Arial"/>
          <w:bCs/>
          <w:iCs/>
        </w:rPr>
        <w:t>gwarancji szybkiej</w:t>
      </w:r>
      <w:r w:rsidR="00386F96">
        <w:rPr>
          <w:rFonts w:cs="Arial"/>
          <w:bCs/>
          <w:iCs/>
        </w:rPr>
        <w:t xml:space="preserve"> </w:t>
      </w:r>
      <w:r w:rsidRPr="00F21196">
        <w:rPr>
          <w:rFonts w:cs="Arial"/>
          <w:bCs/>
          <w:iCs/>
        </w:rPr>
        <w:t>reakcj</w:t>
      </w:r>
      <w:r w:rsidR="0098078D">
        <w:rPr>
          <w:rFonts w:cs="Arial"/>
          <w:bCs/>
          <w:iCs/>
        </w:rPr>
        <w:t>i</w:t>
      </w:r>
      <w:r w:rsidR="00753E2F" w:rsidRPr="00F21196">
        <w:rPr>
          <w:rFonts w:cs="Arial"/>
          <w:bCs/>
          <w:iCs/>
        </w:rPr>
        <w:t xml:space="preserve"> na zgłoszenia o niebezpieczeństwie i potrzebie pomocy,</w:t>
      </w:r>
    </w:p>
    <w:p w14:paraId="3310E088" w14:textId="77777777" w:rsidR="00753E2F" w:rsidRPr="00F21196" w:rsidRDefault="007E4E6A" w:rsidP="00F24C94">
      <w:pPr>
        <w:numPr>
          <w:ilvl w:val="0"/>
          <w:numId w:val="3"/>
        </w:numPr>
        <w:tabs>
          <w:tab w:val="clear" w:pos="900"/>
        </w:tabs>
        <w:spacing w:after="0" w:line="276" w:lineRule="auto"/>
        <w:ind w:left="567"/>
        <w:jc w:val="both"/>
        <w:rPr>
          <w:rFonts w:cs="Arial"/>
        </w:rPr>
      </w:pPr>
      <w:r w:rsidRPr="00F21196">
        <w:rPr>
          <w:rFonts w:cs="Arial"/>
          <w:bCs/>
          <w:iCs/>
        </w:rPr>
        <w:t xml:space="preserve">stworzenia </w:t>
      </w:r>
      <w:r w:rsidR="00753E2F" w:rsidRPr="00F21196">
        <w:rPr>
          <w:rFonts w:cs="Arial"/>
          <w:bCs/>
          <w:iCs/>
        </w:rPr>
        <w:t>silne</w:t>
      </w:r>
      <w:r w:rsidRPr="00F21196">
        <w:rPr>
          <w:rFonts w:cs="Arial"/>
          <w:bCs/>
          <w:iCs/>
        </w:rPr>
        <w:t>go</w:t>
      </w:r>
      <w:r w:rsidR="00753E2F" w:rsidRPr="00F21196">
        <w:rPr>
          <w:rFonts w:cs="Arial"/>
          <w:bCs/>
          <w:iCs/>
        </w:rPr>
        <w:t xml:space="preserve"> ogniw</w:t>
      </w:r>
      <w:r w:rsidRPr="00F21196">
        <w:rPr>
          <w:rFonts w:cs="Arial"/>
          <w:bCs/>
          <w:iCs/>
        </w:rPr>
        <w:t>a</w:t>
      </w:r>
      <w:r w:rsidR="00753E2F" w:rsidRPr="00F21196">
        <w:rPr>
          <w:rFonts w:cs="Arial"/>
          <w:bCs/>
          <w:iCs/>
        </w:rPr>
        <w:t xml:space="preserve"> w europejskim systemie ochrony granic oraz zarządzania migracjami</w:t>
      </w:r>
      <w:r w:rsidR="00352ABD" w:rsidRPr="00F21196">
        <w:rPr>
          <w:rFonts w:cs="Arial"/>
          <w:bCs/>
          <w:iCs/>
        </w:rPr>
        <w:t>.</w:t>
      </w:r>
    </w:p>
    <w:p w14:paraId="29829062" w14:textId="77777777" w:rsidR="00571E3E" w:rsidRPr="00F21196" w:rsidRDefault="00571E3E" w:rsidP="00A30F0F">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ind w:left="567"/>
        <w:jc w:val="both"/>
        <w:rPr>
          <w:rFonts w:cs="Arial"/>
          <w:b/>
          <w:color w:val="000000"/>
          <w:sz w:val="20"/>
          <w:szCs w:val="20"/>
        </w:rPr>
      </w:pPr>
    </w:p>
    <w:p w14:paraId="10E9C450" w14:textId="77777777" w:rsidR="00ED5147" w:rsidRPr="00F21196" w:rsidRDefault="00ED5147" w:rsidP="00F01DA4">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cs="Arial"/>
          <w:b/>
          <w:color w:val="000000"/>
          <w:sz w:val="20"/>
          <w:szCs w:val="20"/>
        </w:rPr>
      </w:pPr>
    </w:p>
    <w:p w14:paraId="731CFA31" w14:textId="77777777" w:rsidR="00F01DA4" w:rsidRPr="00F21196" w:rsidRDefault="00F01DA4" w:rsidP="00F01DA4">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cs="Arial"/>
          <w:color w:val="000000"/>
          <w:sz w:val="20"/>
          <w:szCs w:val="20"/>
        </w:rPr>
      </w:pPr>
      <w:r w:rsidRPr="00F21196">
        <w:rPr>
          <w:rFonts w:cs="Arial"/>
          <w:b/>
          <w:color w:val="000000"/>
          <w:sz w:val="20"/>
          <w:szCs w:val="20"/>
        </w:rPr>
        <w:t>Wskaźniki monitorowania celu głównego</w:t>
      </w:r>
    </w:p>
    <w:tbl>
      <w:tblPr>
        <w:tblStyle w:val="Tabela-Siatka1"/>
        <w:tblW w:w="9482" w:type="dxa"/>
        <w:tblInd w:w="137"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413"/>
        <w:gridCol w:w="8069"/>
      </w:tblGrid>
      <w:tr w:rsidR="002946DE" w:rsidRPr="00F21196" w14:paraId="3730ECC4" w14:textId="77777777" w:rsidTr="002946DE">
        <w:tc>
          <w:tcPr>
            <w:tcW w:w="1413" w:type="dxa"/>
            <w:shd w:val="clear" w:color="auto" w:fill="9CC2E5" w:themeFill="accent1" w:themeFillTint="99"/>
          </w:tcPr>
          <w:p w14:paraId="39B70E6E" w14:textId="77777777" w:rsidR="002946DE" w:rsidRPr="002946DE" w:rsidRDefault="002946DE" w:rsidP="002946DE">
            <w:pPr>
              <w:spacing w:after="60"/>
              <w:rPr>
                <w:rFonts w:cs="Arial"/>
                <w:color w:val="000000"/>
                <w:szCs w:val="20"/>
              </w:rPr>
            </w:pPr>
            <w:r>
              <w:rPr>
                <w:rFonts w:cs="Arial"/>
                <w:color w:val="000000"/>
                <w:szCs w:val="20"/>
              </w:rPr>
              <w:t>Lp.</w:t>
            </w:r>
          </w:p>
        </w:tc>
        <w:tc>
          <w:tcPr>
            <w:tcW w:w="8069" w:type="dxa"/>
            <w:shd w:val="clear" w:color="auto" w:fill="9CC2E5" w:themeFill="accent1" w:themeFillTint="99"/>
          </w:tcPr>
          <w:p w14:paraId="3EB169B4" w14:textId="77777777" w:rsidR="002946DE" w:rsidRPr="002946DE" w:rsidRDefault="002946DE" w:rsidP="00092DA5">
            <w:pPr>
              <w:spacing w:after="120"/>
              <w:rPr>
                <w:rFonts w:eastAsia="Times New Roman" w:cs="Calibri"/>
                <w:b/>
                <w:szCs w:val="20"/>
                <w:lang w:eastAsia="pl-PL"/>
              </w:rPr>
            </w:pPr>
            <w:r w:rsidRPr="002946DE">
              <w:rPr>
                <w:rFonts w:cs="Arial"/>
                <w:color w:val="000000"/>
                <w:szCs w:val="20"/>
              </w:rPr>
              <w:t xml:space="preserve">    </w:t>
            </w:r>
            <w:r w:rsidRPr="002946DE">
              <w:rPr>
                <w:rFonts w:eastAsia="Times New Roman" w:cs="Calibri"/>
                <w:b/>
                <w:szCs w:val="20"/>
                <w:lang w:eastAsia="pl-PL"/>
              </w:rPr>
              <w:t>Wskaźnik</w:t>
            </w:r>
            <w:r>
              <w:rPr>
                <w:rFonts w:eastAsia="Times New Roman" w:cs="Calibri"/>
                <w:b/>
                <w:szCs w:val="20"/>
                <w:lang w:eastAsia="pl-PL"/>
              </w:rPr>
              <w:t xml:space="preserve"> monitorowania</w:t>
            </w:r>
          </w:p>
        </w:tc>
      </w:tr>
      <w:tr w:rsidR="002946DE" w:rsidRPr="00F21196" w14:paraId="10153DBC" w14:textId="77777777" w:rsidTr="002946DE">
        <w:trPr>
          <w:trHeight w:val="275"/>
        </w:trPr>
        <w:tc>
          <w:tcPr>
            <w:tcW w:w="1413" w:type="dxa"/>
            <w:shd w:val="clear" w:color="auto" w:fill="9CC2E5" w:themeFill="accent1" w:themeFillTint="99"/>
          </w:tcPr>
          <w:p w14:paraId="6AF7F4E4" w14:textId="77777777" w:rsidR="002946DE" w:rsidRPr="002946DE" w:rsidRDefault="002946DE" w:rsidP="002946DE">
            <w:pPr>
              <w:spacing w:after="60"/>
              <w:rPr>
                <w:rFonts w:eastAsia="Times New Roman" w:cs="Calibri"/>
                <w:kern w:val="24"/>
                <w:szCs w:val="18"/>
                <w:lang w:eastAsia="pl-PL"/>
              </w:rPr>
            </w:pPr>
            <w:r>
              <w:rPr>
                <w:rFonts w:eastAsia="Times New Roman" w:cs="Calibri"/>
                <w:kern w:val="24"/>
                <w:szCs w:val="18"/>
                <w:lang w:eastAsia="pl-PL"/>
              </w:rPr>
              <w:t>1</w:t>
            </w:r>
          </w:p>
        </w:tc>
        <w:tc>
          <w:tcPr>
            <w:tcW w:w="8069" w:type="dxa"/>
            <w:shd w:val="clear" w:color="auto" w:fill="DEEAF6" w:themeFill="accent1" w:themeFillTint="33"/>
            <w:vAlign w:val="center"/>
          </w:tcPr>
          <w:p w14:paraId="457AB8ED" w14:textId="77777777" w:rsidR="002946DE" w:rsidRPr="002946DE" w:rsidRDefault="002946DE" w:rsidP="00092DA5">
            <w:pPr>
              <w:spacing w:after="120"/>
              <w:rPr>
                <w:rFonts w:eastAsia="Times New Roman" w:cs="Calibri"/>
                <w:kern w:val="24"/>
                <w:szCs w:val="18"/>
                <w:lang w:eastAsia="pl-PL"/>
              </w:rPr>
            </w:pPr>
            <w:r w:rsidRPr="002946DE">
              <w:rPr>
                <w:rFonts w:eastAsia="Times New Roman" w:cs="Calibri"/>
                <w:kern w:val="24"/>
                <w:szCs w:val="18"/>
                <w:lang w:eastAsia="pl-PL"/>
              </w:rPr>
              <w:t>Wskaźnik efektywności rządzenia (pkt)</w:t>
            </w:r>
          </w:p>
        </w:tc>
      </w:tr>
      <w:tr w:rsidR="002946DE" w:rsidRPr="00F21196" w14:paraId="448B5E60" w14:textId="77777777" w:rsidTr="002946DE">
        <w:tc>
          <w:tcPr>
            <w:tcW w:w="1413" w:type="dxa"/>
            <w:shd w:val="clear" w:color="auto" w:fill="9CC2E5" w:themeFill="accent1" w:themeFillTint="99"/>
          </w:tcPr>
          <w:p w14:paraId="19EDFC69" w14:textId="77777777" w:rsidR="002946DE" w:rsidRPr="002946DE" w:rsidRDefault="002946DE" w:rsidP="002946DE">
            <w:pPr>
              <w:spacing w:after="60"/>
              <w:rPr>
                <w:rFonts w:eastAsia="Times New Roman" w:cs="Calibri"/>
                <w:kern w:val="24"/>
                <w:szCs w:val="18"/>
                <w:lang w:eastAsia="pl-PL"/>
              </w:rPr>
            </w:pPr>
            <w:r>
              <w:rPr>
                <w:rFonts w:eastAsia="Times New Roman" w:cs="Calibri"/>
                <w:kern w:val="24"/>
                <w:szCs w:val="18"/>
                <w:lang w:eastAsia="pl-PL"/>
              </w:rPr>
              <w:t>2</w:t>
            </w:r>
          </w:p>
        </w:tc>
        <w:tc>
          <w:tcPr>
            <w:tcW w:w="8069" w:type="dxa"/>
            <w:shd w:val="clear" w:color="auto" w:fill="DEEAF6" w:themeFill="accent1" w:themeFillTint="33"/>
            <w:vAlign w:val="center"/>
          </w:tcPr>
          <w:p w14:paraId="59F91AF0" w14:textId="6E206B2F" w:rsidR="002946DE" w:rsidRPr="002946DE" w:rsidRDefault="002946DE" w:rsidP="00980FE9">
            <w:pPr>
              <w:spacing w:after="120"/>
              <w:rPr>
                <w:rFonts w:eastAsia="Times New Roman" w:cs="Calibri"/>
                <w:kern w:val="24"/>
                <w:szCs w:val="18"/>
                <w:lang w:eastAsia="pl-PL"/>
              </w:rPr>
            </w:pPr>
            <w:r w:rsidRPr="002946DE">
              <w:rPr>
                <w:rFonts w:eastAsia="Times New Roman" w:cs="Calibri"/>
                <w:kern w:val="24"/>
                <w:szCs w:val="18"/>
                <w:lang w:eastAsia="pl-PL"/>
              </w:rPr>
              <w:t>P</w:t>
            </w:r>
            <w:r w:rsidR="00980FE9">
              <w:rPr>
                <w:rFonts w:eastAsia="Times New Roman" w:cs="Calibri"/>
                <w:kern w:val="24"/>
                <w:szCs w:val="18"/>
                <w:lang w:eastAsia="pl-PL"/>
              </w:rPr>
              <w:t xml:space="preserve">KB na 1 mieszkańca wg PPP (UE 27 </w:t>
            </w:r>
            <w:r w:rsidRPr="002946DE">
              <w:rPr>
                <w:rFonts w:eastAsia="Times New Roman" w:cs="Calibri"/>
                <w:kern w:val="24"/>
                <w:szCs w:val="18"/>
                <w:lang w:eastAsia="pl-PL"/>
              </w:rPr>
              <w:t>=100)</w:t>
            </w:r>
          </w:p>
        </w:tc>
      </w:tr>
    </w:tbl>
    <w:p w14:paraId="31B06603" w14:textId="77777777" w:rsidR="00F01DA4" w:rsidRPr="00F21196" w:rsidRDefault="00F01DA4">
      <w:pPr>
        <w:rPr>
          <w:b/>
          <w:lang w:eastAsia="pl-PL"/>
        </w:rPr>
      </w:pPr>
      <w:r w:rsidRPr="00F21196">
        <w:rPr>
          <w:b/>
          <w:lang w:eastAsia="pl-PL"/>
        </w:rPr>
        <w:br w:type="page"/>
      </w:r>
    </w:p>
    <w:p w14:paraId="57465276" w14:textId="77777777" w:rsidR="005D39BA" w:rsidRPr="00F21196" w:rsidRDefault="008F633A" w:rsidP="008F633A">
      <w:pPr>
        <w:shd w:val="clear" w:color="auto" w:fill="DEEAF6" w:themeFill="accent1" w:themeFillTint="33"/>
        <w:spacing w:after="120"/>
        <w:rPr>
          <w:b/>
          <w:sz w:val="28"/>
          <w:lang w:eastAsia="pl-PL"/>
        </w:rPr>
      </w:pPr>
      <w:r w:rsidRPr="00F21196">
        <w:rPr>
          <w:b/>
          <w:sz w:val="28"/>
          <w:lang w:eastAsia="pl-PL"/>
        </w:rPr>
        <w:t>2</w:t>
      </w:r>
      <w:r w:rsidR="005D39BA" w:rsidRPr="00F21196">
        <w:rPr>
          <w:b/>
          <w:sz w:val="28"/>
          <w:lang w:eastAsia="pl-PL"/>
        </w:rPr>
        <w:t xml:space="preserve">. Cele szczegółowe </w:t>
      </w:r>
    </w:p>
    <w:p w14:paraId="3FD65CBF" w14:textId="77777777" w:rsidR="008F65E4" w:rsidRPr="00F21196" w:rsidRDefault="008F65E4" w:rsidP="00C7550E">
      <w:pPr>
        <w:spacing w:after="0" w:line="276" w:lineRule="auto"/>
        <w:ind w:left="284" w:hanging="284"/>
        <w:rPr>
          <w:rFonts w:cs="Calibri"/>
          <w:kern w:val="24"/>
          <w:lang w:eastAsia="pl-PL"/>
        </w:rPr>
      </w:pPr>
    </w:p>
    <w:p w14:paraId="1DB0EA19" w14:textId="77777777" w:rsidR="00B46A53" w:rsidRPr="00F21196" w:rsidRDefault="00B46A53" w:rsidP="00C7550E">
      <w:pPr>
        <w:spacing w:after="0" w:line="276" w:lineRule="auto"/>
        <w:ind w:left="284" w:hanging="284"/>
        <w:rPr>
          <w:rFonts w:cs="Calibri"/>
          <w:kern w:val="24"/>
          <w:lang w:eastAsia="pl-PL"/>
        </w:rPr>
      </w:pPr>
      <w:r w:rsidRPr="00F21196">
        <w:rPr>
          <w:rFonts w:cs="Calibri"/>
          <w:kern w:val="24"/>
          <w:lang w:eastAsia="pl-PL"/>
        </w:rPr>
        <w:t>S</w:t>
      </w:r>
      <w:r w:rsidR="00137938" w:rsidRPr="00F21196">
        <w:rPr>
          <w:rFonts w:cs="Calibri"/>
          <w:kern w:val="24"/>
          <w:lang w:eastAsia="pl-PL"/>
        </w:rPr>
        <w:t>NP</w:t>
      </w:r>
      <w:r w:rsidRPr="00F21196">
        <w:rPr>
          <w:rFonts w:cs="Calibri"/>
          <w:kern w:val="24"/>
          <w:lang w:eastAsia="pl-PL"/>
        </w:rPr>
        <w:t xml:space="preserve"> definiuje </w:t>
      </w:r>
      <w:r w:rsidR="00E95274" w:rsidRPr="00F21196">
        <w:rPr>
          <w:rFonts w:cs="Calibri"/>
          <w:kern w:val="24"/>
          <w:lang w:eastAsia="pl-PL"/>
        </w:rPr>
        <w:t>5</w:t>
      </w:r>
      <w:r w:rsidRPr="00F21196">
        <w:rPr>
          <w:rFonts w:cs="Calibri"/>
          <w:kern w:val="24"/>
          <w:lang w:eastAsia="pl-PL"/>
        </w:rPr>
        <w:t xml:space="preserve"> cel</w:t>
      </w:r>
      <w:r w:rsidR="00E95274" w:rsidRPr="00F21196">
        <w:rPr>
          <w:rFonts w:cs="Calibri"/>
          <w:kern w:val="24"/>
          <w:lang w:eastAsia="pl-PL"/>
        </w:rPr>
        <w:t>ów</w:t>
      </w:r>
      <w:r w:rsidRPr="00F21196">
        <w:rPr>
          <w:rFonts w:cs="Calibri"/>
          <w:kern w:val="24"/>
          <w:lang w:eastAsia="pl-PL"/>
        </w:rPr>
        <w:t xml:space="preserve"> szczegółow</w:t>
      </w:r>
      <w:r w:rsidR="00E95274" w:rsidRPr="00F21196">
        <w:rPr>
          <w:rFonts w:cs="Calibri"/>
          <w:kern w:val="24"/>
          <w:lang w:eastAsia="pl-PL"/>
        </w:rPr>
        <w:t>ych</w:t>
      </w:r>
      <w:r w:rsidRPr="00F21196">
        <w:rPr>
          <w:rFonts w:cs="Calibri"/>
          <w:kern w:val="24"/>
          <w:lang w:eastAsia="pl-PL"/>
        </w:rPr>
        <w:t>:</w:t>
      </w:r>
    </w:p>
    <w:p w14:paraId="27118B56" w14:textId="77777777" w:rsidR="00E95274" w:rsidRPr="00F21196" w:rsidRDefault="00B46A53" w:rsidP="00160972">
      <w:pPr>
        <w:spacing w:after="0" w:line="276" w:lineRule="auto"/>
        <w:ind w:left="426" w:hanging="426"/>
        <w:rPr>
          <w:rFonts w:cs="Calibri"/>
          <w:i/>
          <w:kern w:val="24"/>
          <w:lang w:eastAsia="pl-PL"/>
        </w:rPr>
      </w:pPr>
      <w:r w:rsidRPr="00F21196">
        <w:rPr>
          <w:rFonts w:cs="Calibri"/>
          <w:kern w:val="24"/>
          <w:lang w:eastAsia="pl-PL"/>
        </w:rPr>
        <w:t>Cel szczegółowy</w:t>
      </w:r>
      <w:r w:rsidR="00427E97" w:rsidRPr="00F21196">
        <w:rPr>
          <w:rFonts w:cs="Calibri"/>
          <w:kern w:val="24"/>
          <w:lang w:eastAsia="pl-PL"/>
        </w:rPr>
        <w:t xml:space="preserve"> I.</w:t>
      </w:r>
      <w:r w:rsidRPr="00F21196">
        <w:rPr>
          <w:rFonts w:cs="Calibri"/>
          <w:kern w:val="24"/>
          <w:lang w:eastAsia="pl-PL"/>
        </w:rPr>
        <w:t xml:space="preserve"> </w:t>
      </w:r>
      <w:r w:rsidR="00550F03" w:rsidRPr="00F21196">
        <w:rPr>
          <w:rFonts w:cs="Calibri"/>
          <w:i/>
          <w:kern w:val="24"/>
          <w:lang w:eastAsia="pl-PL"/>
        </w:rPr>
        <w:t>Lepsze prawo,</w:t>
      </w:r>
    </w:p>
    <w:p w14:paraId="671B3C4E" w14:textId="77777777" w:rsidR="00B46A53" w:rsidRPr="00F21196" w:rsidRDefault="00E95274" w:rsidP="00160972">
      <w:pPr>
        <w:spacing w:after="0" w:line="276" w:lineRule="auto"/>
        <w:ind w:left="426" w:hanging="426"/>
        <w:rPr>
          <w:lang w:eastAsia="pl-PL"/>
        </w:rPr>
      </w:pPr>
      <w:r w:rsidRPr="00F21196">
        <w:rPr>
          <w:rFonts w:cs="Calibri"/>
          <w:kern w:val="24"/>
          <w:lang w:eastAsia="pl-PL"/>
        </w:rPr>
        <w:t>Cel szczegółowy</w:t>
      </w:r>
      <w:r w:rsidR="00427E97" w:rsidRPr="00F21196">
        <w:rPr>
          <w:rFonts w:cs="Calibri"/>
          <w:kern w:val="24"/>
          <w:lang w:eastAsia="pl-PL"/>
        </w:rPr>
        <w:t xml:space="preserve"> II.</w:t>
      </w:r>
      <w:r w:rsidRPr="00F21196">
        <w:rPr>
          <w:rFonts w:cs="Calibri"/>
          <w:i/>
          <w:kern w:val="24"/>
          <w:lang w:eastAsia="pl-PL"/>
        </w:rPr>
        <w:t xml:space="preserve"> </w:t>
      </w:r>
      <w:r w:rsidR="00550F03" w:rsidRPr="00F21196">
        <w:rPr>
          <w:rFonts w:cs="Calibri"/>
          <w:i/>
          <w:kern w:val="24"/>
          <w:lang w:eastAsia="pl-PL"/>
        </w:rPr>
        <w:t>Sprawne instytucje państw</w:t>
      </w:r>
      <w:r w:rsidR="00BA0726" w:rsidRPr="00F21196">
        <w:rPr>
          <w:rFonts w:cs="Calibri"/>
          <w:i/>
          <w:kern w:val="24"/>
          <w:lang w:eastAsia="pl-PL"/>
        </w:rPr>
        <w:t>a</w:t>
      </w:r>
      <w:r w:rsidR="00550F03" w:rsidRPr="00F21196">
        <w:rPr>
          <w:rFonts w:cs="Calibri"/>
          <w:i/>
          <w:kern w:val="24"/>
          <w:lang w:eastAsia="pl-PL"/>
        </w:rPr>
        <w:t>,</w:t>
      </w:r>
    </w:p>
    <w:p w14:paraId="1AE562EA" w14:textId="1F2BD234" w:rsidR="00B46A53" w:rsidRPr="00DF57F3" w:rsidRDefault="00B46A53" w:rsidP="00440BC2">
      <w:pPr>
        <w:spacing w:after="0" w:line="276" w:lineRule="auto"/>
        <w:jc w:val="both"/>
        <w:rPr>
          <w:i/>
          <w:iCs/>
        </w:rPr>
      </w:pPr>
      <w:r w:rsidRPr="00F21196">
        <w:rPr>
          <w:rFonts w:eastAsia="Times New Roman" w:cs="Calibri"/>
          <w:lang w:eastAsia="pl-PL"/>
        </w:rPr>
        <w:t>Cel szczegółowy</w:t>
      </w:r>
      <w:r w:rsidR="00427E97" w:rsidRPr="00F21196">
        <w:rPr>
          <w:rFonts w:eastAsia="Times New Roman" w:cs="Calibri"/>
          <w:lang w:eastAsia="pl-PL"/>
        </w:rPr>
        <w:t xml:space="preserve"> III.</w:t>
      </w:r>
      <w:r w:rsidRPr="00F21196">
        <w:rPr>
          <w:rFonts w:eastAsia="Times New Roman" w:cs="Calibri"/>
          <w:lang w:eastAsia="pl-PL"/>
        </w:rPr>
        <w:t xml:space="preserve"> </w:t>
      </w:r>
      <w:r w:rsidR="00DF57F3" w:rsidRPr="00DF57F3">
        <w:rPr>
          <w:rFonts w:eastAsia="Times New Roman" w:cstheme="minorHAnsi"/>
          <w:i/>
          <w:iCs/>
          <w:color w:val="000000" w:themeColor="text1"/>
        </w:rPr>
        <w:t>Podniesienie sprawności realizacji zadań państwa poprzez wykorzystanie technologii cyfrowych i zmianę sposobu działania stosownie do możliwości</w:t>
      </w:r>
      <w:r w:rsidR="00680F26">
        <w:rPr>
          <w:rFonts w:eastAsia="Times New Roman" w:cstheme="minorHAnsi"/>
          <w:i/>
          <w:iCs/>
          <w:color w:val="000000" w:themeColor="text1"/>
        </w:rPr>
        <w:t>,</w:t>
      </w:r>
      <w:r w:rsidR="004E371A">
        <w:rPr>
          <w:rFonts w:eastAsia="Times New Roman" w:cstheme="minorHAnsi"/>
          <w:i/>
          <w:iCs/>
          <w:color w:val="000000" w:themeColor="text1"/>
        </w:rPr>
        <w:t xml:space="preserve"> </w:t>
      </w:r>
      <w:r w:rsidR="00DF57F3" w:rsidRPr="00DF57F3">
        <w:rPr>
          <w:rFonts w:eastAsia="Times New Roman" w:cstheme="minorHAnsi"/>
          <w:i/>
          <w:iCs/>
          <w:color w:val="000000" w:themeColor="text1"/>
        </w:rPr>
        <w:t>jakie stwarza technologia</w:t>
      </w:r>
      <w:r w:rsidRPr="00DF57F3">
        <w:rPr>
          <w:i/>
          <w:iCs/>
        </w:rPr>
        <w:t>,</w:t>
      </w:r>
    </w:p>
    <w:p w14:paraId="6D107808" w14:textId="77777777" w:rsidR="00B46A53" w:rsidRPr="00F21196" w:rsidRDefault="00427E97" w:rsidP="00160972">
      <w:pPr>
        <w:spacing w:after="0" w:line="276" w:lineRule="auto"/>
        <w:ind w:left="284" w:hanging="284"/>
        <w:rPr>
          <w:rFonts w:eastAsia="Times New Roman" w:cs="Calibri"/>
          <w:lang w:eastAsia="pl-PL"/>
        </w:rPr>
      </w:pPr>
      <w:r w:rsidRPr="00F21196">
        <w:rPr>
          <w:rFonts w:eastAsia="Times New Roman" w:cs="Calibri"/>
          <w:lang w:eastAsia="pl-PL"/>
        </w:rPr>
        <w:t>Cel szczegółowy IV.</w:t>
      </w:r>
      <w:r w:rsidR="00B46A53" w:rsidRPr="00F21196">
        <w:rPr>
          <w:rFonts w:eastAsia="Times New Roman" w:cs="Calibri"/>
          <w:lang w:eastAsia="pl-PL"/>
        </w:rPr>
        <w:t xml:space="preserve"> </w:t>
      </w:r>
      <w:r w:rsidR="00B46A53" w:rsidRPr="00F21196">
        <w:rPr>
          <w:rFonts w:eastAsia="Times New Roman" w:cs="Calibri"/>
          <w:i/>
          <w:lang w:eastAsia="pl-PL"/>
        </w:rPr>
        <w:t>Efektywne planowanie i wykorzystanie środków finansowych,</w:t>
      </w:r>
    </w:p>
    <w:p w14:paraId="2BD9C09F" w14:textId="77777777" w:rsidR="00B46A53" w:rsidRPr="00F21196" w:rsidRDefault="00427E97" w:rsidP="00160972">
      <w:pPr>
        <w:spacing w:after="0" w:line="276" w:lineRule="auto"/>
        <w:ind w:left="284" w:hanging="284"/>
        <w:rPr>
          <w:rFonts w:eastAsia="Times New Roman" w:cs="Calibri"/>
          <w:i/>
          <w:lang w:eastAsia="pl-PL"/>
        </w:rPr>
      </w:pPr>
      <w:r w:rsidRPr="00F21196">
        <w:rPr>
          <w:rFonts w:eastAsia="Times New Roman" w:cs="Calibri"/>
          <w:lang w:eastAsia="pl-PL"/>
        </w:rPr>
        <w:t>Cel szczegółowy V.</w:t>
      </w:r>
      <w:r w:rsidR="00B46A53" w:rsidRPr="00F21196">
        <w:rPr>
          <w:rFonts w:eastAsia="Times New Roman" w:cs="Calibri"/>
          <w:lang w:eastAsia="pl-PL"/>
        </w:rPr>
        <w:t xml:space="preserve"> </w:t>
      </w:r>
      <w:r w:rsidR="00B46A53" w:rsidRPr="00F21196">
        <w:rPr>
          <w:rFonts w:eastAsia="Times New Roman" w:cs="Calibri"/>
          <w:i/>
          <w:lang w:eastAsia="pl-PL"/>
        </w:rPr>
        <w:t>Zapewnienie obywatelom bezpieczeństwa wewnętrznego i zewnętrznego.</w:t>
      </w:r>
    </w:p>
    <w:p w14:paraId="5BBF5506" w14:textId="77777777" w:rsidR="00B46A53" w:rsidRPr="00F21196" w:rsidRDefault="00B46A53" w:rsidP="00C7550E">
      <w:pPr>
        <w:spacing w:after="0" w:line="276" w:lineRule="auto"/>
        <w:ind w:left="567" w:hanging="284"/>
        <w:rPr>
          <w:lang w:eastAsia="pl-PL"/>
        </w:rPr>
      </w:pPr>
    </w:p>
    <w:p w14:paraId="562DA909" w14:textId="10E73870" w:rsidR="00C47CAF" w:rsidRPr="00FA38B6" w:rsidRDefault="00B46A53" w:rsidP="00A71E77">
      <w:pPr>
        <w:pStyle w:val="Tekstprzypisudolnego"/>
        <w:spacing w:line="276" w:lineRule="auto"/>
        <w:jc w:val="both"/>
        <w:rPr>
          <w:rFonts w:asciiTheme="minorHAnsi" w:hAnsiTheme="minorHAnsi"/>
          <w:sz w:val="22"/>
          <w:szCs w:val="22"/>
        </w:rPr>
      </w:pPr>
      <w:r w:rsidRPr="00A71E77">
        <w:rPr>
          <w:rFonts w:asciiTheme="minorHAnsi" w:hAnsiTheme="minorHAnsi" w:cs="Calibri"/>
          <w:kern w:val="24"/>
          <w:sz w:val="22"/>
          <w:szCs w:val="22"/>
        </w:rPr>
        <w:t xml:space="preserve">Poniżej przedstawiono opis celów szczegółowych wraz </w:t>
      </w:r>
      <w:r w:rsidR="00E50C28" w:rsidRPr="00A71E77">
        <w:rPr>
          <w:rFonts w:asciiTheme="minorHAnsi" w:hAnsiTheme="minorHAnsi" w:cs="Calibri"/>
          <w:kern w:val="24"/>
          <w:sz w:val="22"/>
          <w:szCs w:val="22"/>
        </w:rPr>
        <w:t>diagnozą, wskaźnikami i kierunkami interwencji oraz</w:t>
      </w:r>
      <w:r w:rsidRPr="00A71E77">
        <w:rPr>
          <w:rFonts w:asciiTheme="minorHAnsi" w:hAnsiTheme="minorHAnsi" w:cs="Calibri"/>
          <w:kern w:val="24"/>
          <w:sz w:val="22"/>
          <w:szCs w:val="22"/>
        </w:rPr>
        <w:t xml:space="preserve"> wykazem </w:t>
      </w:r>
      <w:r w:rsidR="00F572A1" w:rsidRPr="00A71E77">
        <w:rPr>
          <w:rFonts w:asciiTheme="minorHAnsi" w:hAnsiTheme="minorHAnsi" w:cs="Calibri"/>
          <w:kern w:val="24"/>
          <w:sz w:val="22"/>
          <w:szCs w:val="22"/>
        </w:rPr>
        <w:t>pr</w:t>
      </w:r>
      <w:r w:rsidR="00C47CAF" w:rsidRPr="00A71E77">
        <w:rPr>
          <w:rFonts w:asciiTheme="minorHAnsi" w:hAnsiTheme="minorHAnsi" w:cs="Calibri"/>
          <w:kern w:val="24"/>
          <w:sz w:val="22"/>
          <w:szCs w:val="22"/>
        </w:rPr>
        <w:t>ojektów strategicznych</w:t>
      </w:r>
      <w:r w:rsidR="00AC329C">
        <w:rPr>
          <w:rStyle w:val="Odwoanieprzypisudolnego"/>
          <w:rFonts w:asciiTheme="minorHAnsi" w:hAnsiTheme="minorHAnsi" w:cs="Calibri"/>
          <w:kern w:val="24"/>
          <w:sz w:val="22"/>
          <w:szCs w:val="22"/>
        </w:rPr>
        <w:footnoteReference w:id="24"/>
      </w:r>
      <w:r w:rsidRPr="00A71E77">
        <w:rPr>
          <w:rFonts w:asciiTheme="minorHAnsi" w:hAnsiTheme="minorHAnsi" w:cs="Calibri"/>
          <w:kern w:val="24"/>
          <w:sz w:val="22"/>
          <w:szCs w:val="22"/>
        </w:rPr>
        <w:t>, któ</w:t>
      </w:r>
      <w:r w:rsidR="00FC26E5" w:rsidRPr="00A71E77">
        <w:rPr>
          <w:rFonts w:asciiTheme="minorHAnsi" w:hAnsiTheme="minorHAnsi" w:cs="Calibri"/>
          <w:kern w:val="24"/>
          <w:sz w:val="22"/>
          <w:szCs w:val="22"/>
        </w:rPr>
        <w:t>re przyczynią</w:t>
      </w:r>
      <w:r w:rsidRPr="00A71E77">
        <w:rPr>
          <w:rFonts w:asciiTheme="minorHAnsi" w:hAnsiTheme="minorHAnsi" w:cs="Calibri"/>
          <w:kern w:val="24"/>
          <w:sz w:val="22"/>
          <w:szCs w:val="22"/>
        </w:rPr>
        <w:t xml:space="preserve"> się do osiągnięcia spodziewanych efektów.</w:t>
      </w:r>
      <w:r w:rsidR="00C47CAF" w:rsidRPr="00A71E77">
        <w:rPr>
          <w:rFonts w:asciiTheme="minorHAnsi" w:hAnsiTheme="minorHAnsi"/>
          <w:bCs/>
          <w:sz w:val="22"/>
          <w:szCs w:val="22"/>
        </w:rPr>
        <w:t xml:space="preserve"> </w:t>
      </w:r>
      <w:r w:rsidR="00A71E77">
        <w:rPr>
          <w:rFonts w:asciiTheme="minorHAnsi" w:hAnsiTheme="minorHAnsi"/>
          <w:bCs/>
          <w:sz w:val="22"/>
          <w:szCs w:val="22"/>
        </w:rPr>
        <w:br/>
      </w:r>
      <w:r w:rsidR="00C47CAF" w:rsidRPr="00FA38B6">
        <w:rPr>
          <w:rFonts w:asciiTheme="minorHAnsi" w:hAnsiTheme="minorHAnsi"/>
          <w:bCs/>
          <w:sz w:val="22"/>
          <w:szCs w:val="22"/>
        </w:rPr>
        <w:t>Pod</w:t>
      </w:r>
      <w:r w:rsidR="00C47CAF" w:rsidRPr="00040BB9">
        <w:rPr>
          <w:rFonts w:asciiTheme="minorHAnsi" w:hAnsiTheme="minorHAnsi"/>
          <w:b/>
          <w:bCs/>
          <w:sz w:val="22"/>
          <w:szCs w:val="22"/>
        </w:rPr>
        <w:t xml:space="preserve"> pojęciem projekt strategiczny </w:t>
      </w:r>
      <w:r w:rsidR="00C47CAF" w:rsidRPr="00FA38B6">
        <w:rPr>
          <w:rFonts w:asciiTheme="minorHAnsi" w:hAnsiTheme="minorHAnsi"/>
          <w:bCs/>
          <w:sz w:val="22"/>
          <w:szCs w:val="22"/>
        </w:rPr>
        <w:t xml:space="preserve">należy rozumieć </w:t>
      </w:r>
      <w:r w:rsidR="00C47CAF" w:rsidRPr="00FA38B6">
        <w:rPr>
          <w:rFonts w:asciiTheme="minorHAnsi" w:hAnsiTheme="minorHAnsi"/>
          <w:sz w:val="22"/>
          <w:szCs w:val="22"/>
        </w:rPr>
        <w:t>zorganizowane przedsięwzięcie odróżniające się od bieżącej działalności administracyjnej tym, że nastawione jest na dokonanie zmiany, zmierza do stworzenia w określonym czasie i budżecie unikalnego produktu lub usługi, które spełniają określone wymogi jakościowe i ilościowe.</w:t>
      </w:r>
    </w:p>
    <w:p w14:paraId="30BAA0A7" w14:textId="77777777" w:rsidR="00B46A53" w:rsidRPr="00F21196" w:rsidRDefault="00B46A53" w:rsidP="00C7550E">
      <w:pPr>
        <w:spacing w:after="0" w:line="276" w:lineRule="auto"/>
        <w:jc w:val="both"/>
        <w:rPr>
          <w:rFonts w:cs="Calibri"/>
          <w:kern w:val="24"/>
          <w:lang w:eastAsia="pl-PL"/>
        </w:rPr>
      </w:pPr>
    </w:p>
    <w:p w14:paraId="02B1ED1B" w14:textId="77777777" w:rsidR="000E74C7" w:rsidRPr="00F21196" w:rsidRDefault="000E74C7" w:rsidP="005D39BA">
      <w:pPr>
        <w:spacing w:after="0"/>
        <w:ind w:left="426" w:hanging="284"/>
        <w:rPr>
          <w:rFonts w:cs="Calibri"/>
          <w:b/>
          <w:color w:val="2F5496" w:themeColor="accent5" w:themeShade="BF"/>
          <w:kern w:val="24"/>
          <w:lang w:eastAsia="pl-PL"/>
        </w:rPr>
      </w:pPr>
    </w:p>
    <w:p w14:paraId="7EE1CE64" w14:textId="77777777" w:rsidR="00BA12E7" w:rsidRPr="00F21196" w:rsidRDefault="00427E97" w:rsidP="007B3FAF">
      <w:pPr>
        <w:shd w:val="clear" w:color="auto" w:fill="CCCCFF"/>
        <w:spacing w:after="0"/>
        <w:ind w:left="426" w:hanging="426"/>
        <w:rPr>
          <w:rFonts w:cs="Calibri"/>
          <w:b/>
          <w:kern w:val="24"/>
          <w:sz w:val="24"/>
          <w:lang w:eastAsia="pl-PL"/>
        </w:rPr>
      </w:pPr>
      <w:r w:rsidRPr="00F21196">
        <w:rPr>
          <w:rFonts w:cs="Calibri"/>
          <w:b/>
          <w:kern w:val="24"/>
          <w:sz w:val="24"/>
          <w:lang w:eastAsia="pl-PL"/>
        </w:rPr>
        <w:t>Cel szczegółowy I.</w:t>
      </w:r>
    </w:p>
    <w:p w14:paraId="37B7CB44" w14:textId="77777777" w:rsidR="00E95274" w:rsidRPr="00F21196" w:rsidRDefault="00944290" w:rsidP="007B3FAF">
      <w:pPr>
        <w:shd w:val="clear" w:color="auto" w:fill="CCCCFF"/>
        <w:spacing w:after="0"/>
        <w:ind w:left="426" w:hanging="426"/>
        <w:jc w:val="center"/>
        <w:rPr>
          <w:rFonts w:cs="Calibri"/>
          <w:b/>
          <w:i/>
          <w:kern w:val="24"/>
          <w:sz w:val="28"/>
          <w:lang w:eastAsia="pl-PL"/>
        </w:rPr>
      </w:pPr>
      <w:r w:rsidRPr="00F21196">
        <w:rPr>
          <w:rFonts w:cs="Calibri"/>
          <w:b/>
          <w:i/>
          <w:kern w:val="24"/>
          <w:sz w:val="28"/>
          <w:lang w:eastAsia="pl-PL"/>
        </w:rPr>
        <w:t>Lepsze prawo</w:t>
      </w:r>
    </w:p>
    <w:p w14:paraId="20FDC0B4" w14:textId="77777777" w:rsidR="00BA12E7" w:rsidRPr="00F21196" w:rsidRDefault="00BA12E7" w:rsidP="00700E22">
      <w:pPr>
        <w:spacing w:after="0"/>
        <w:jc w:val="both"/>
        <w:rPr>
          <w:rFonts w:eastAsia="Times New Roman" w:cs="Calibri"/>
          <w:b/>
          <w:lang w:eastAsia="pl-PL"/>
        </w:rPr>
      </w:pPr>
    </w:p>
    <w:p w14:paraId="41D67A6E" w14:textId="4E077341" w:rsidR="002D53B7" w:rsidRDefault="00427E97" w:rsidP="002D53B7">
      <w:pPr>
        <w:spacing w:after="0"/>
        <w:jc w:val="both"/>
        <w:rPr>
          <w:rFonts w:cs="Calibri,BoldItalic"/>
          <w:b/>
          <w:bCs/>
          <w:i/>
          <w:iCs/>
        </w:rPr>
      </w:pPr>
      <w:r w:rsidRPr="00F21196">
        <w:rPr>
          <w:rFonts w:eastAsia="Times New Roman" w:cs="Calibri"/>
          <w:b/>
          <w:lang w:eastAsia="pl-PL"/>
        </w:rPr>
        <w:t>C</w:t>
      </w:r>
      <w:r w:rsidR="00FF05EC" w:rsidRPr="00F21196">
        <w:rPr>
          <w:rFonts w:eastAsia="Times New Roman" w:cs="Calibri"/>
          <w:b/>
          <w:lang w:eastAsia="pl-PL"/>
        </w:rPr>
        <w:t xml:space="preserve">el szczegółowy </w:t>
      </w:r>
      <w:r w:rsidRPr="00F21196">
        <w:rPr>
          <w:rFonts w:eastAsia="Times New Roman" w:cs="Calibri"/>
          <w:b/>
          <w:lang w:eastAsia="pl-PL"/>
        </w:rPr>
        <w:t>I</w:t>
      </w:r>
      <w:r w:rsidRPr="00F21196">
        <w:rPr>
          <w:rFonts w:eastAsia="Times New Roman" w:cs="Calibri"/>
          <w:lang w:eastAsia="pl-PL"/>
        </w:rPr>
        <w:t xml:space="preserve"> </w:t>
      </w:r>
      <w:r w:rsidR="00FF05EC" w:rsidRPr="00F21196">
        <w:rPr>
          <w:rFonts w:eastAsia="Times New Roman" w:cs="Calibri"/>
          <w:lang w:eastAsia="pl-PL"/>
        </w:rPr>
        <w:t>dotyczy eliminacji nadmiernego tworzeni</w:t>
      </w:r>
      <w:r w:rsidR="009C5596" w:rsidRPr="00F21196">
        <w:rPr>
          <w:rFonts w:eastAsia="Times New Roman" w:cs="Calibri"/>
          <w:lang w:eastAsia="pl-PL"/>
        </w:rPr>
        <w:t>a regulacji, podniesienia jakości</w:t>
      </w:r>
      <w:r w:rsidR="00FF05EC" w:rsidRPr="00F21196">
        <w:rPr>
          <w:rFonts w:eastAsia="Times New Roman" w:cs="Calibri"/>
          <w:lang w:eastAsia="pl-PL"/>
        </w:rPr>
        <w:t xml:space="preserve"> tworzenia i wdrażania instrumentów legislacyjnych i regulacyjnych</w:t>
      </w:r>
      <w:r w:rsidR="002D3B67" w:rsidRPr="00F21196">
        <w:rPr>
          <w:rFonts w:eastAsia="Times New Roman" w:cs="Calibri"/>
          <w:lang w:eastAsia="pl-PL"/>
        </w:rPr>
        <w:t>.</w:t>
      </w:r>
      <w:r w:rsidR="002D53B7" w:rsidRPr="00F21196">
        <w:rPr>
          <w:rFonts w:eastAsia="Times New Roman" w:cs="Calibri"/>
          <w:lang w:eastAsia="pl-PL"/>
        </w:rPr>
        <w:t xml:space="preserve"> Cel ten powiązany jest z celem szczegółowym III SOR: </w:t>
      </w:r>
      <w:r w:rsidR="002D53B7" w:rsidRPr="00F21196">
        <w:rPr>
          <w:rFonts w:eastAsia="Times New Roman" w:cs="Calibri"/>
          <w:i/>
          <w:lang w:eastAsia="pl-PL"/>
        </w:rPr>
        <w:t>Skuteczne państwo i instytucje służące wzrostowi oraz włączeniu społecznemu i gospodarczemu</w:t>
      </w:r>
      <w:r w:rsidR="002D53B7" w:rsidRPr="00F21196">
        <w:rPr>
          <w:rFonts w:eastAsia="Times New Roman" w:cs="Calibri"/>
          <w:lang w:eastAsia="pl-PL"/>
        </w:rPr>
        <w:t>. Natomiast kierunki interwencji korespondują z obszarem interwencji państwa:</w:t>
      </w:r>
      <w:r w:rsidR="002D53B7" w:rsidRPr="00F21196">
        <w:rPr>
          <w:rFonts w:cs="Calibri,Italic"/>
          <w:i/>
          <w:iCs/>
        </w:rPr>
        <w:t xml:space="preserve"> Prawo w służbie obywatelom i gospodarce. </w:t>
      </w:r>
      <w:r w:rsidR="002D53B7" w:rsidRPr="00F21196">
        <w:rPr>
          <w:rFonts w:cs="Calibri,Italic"/>
          <w:iCs/>
        </w:rPr>
        <w:t>Podejmowane przedsięwzięcia będą koncentrować się na dwóch zagadnieniach problemowych</w:t>
      </w:r>
      <w:r w:rsidR="002D53B7" w:rsidRPr="00F21196">
        <w:rPr>
          <w:rFonts w:cs="Calibri,Italic"/>
          <w:i/>
          <w:iCs/>
        </w:rPr>
        <w:t xml:space="preserve">: </w:t>
      </w:r>
      <w:r w:rsidR="004D0390">
        <w:rPr>
          <w:rFonts w:cs="Calibri,Italic"/>
          <w:i/>
          <w:iCs/>
        </w:rPr>
        <w:br/>
      </w:r>
      <w:r w:rsidR="002D53B7" w:rsidRPr="00F21196">
        <w:rPr>
          <w:rFonts w:cs="Calibri,Italic"/>
          <w:i/>
          <w:iCs/>
        </w:rPr>
        <w:t xml:space="preserve">(1) </w:t>
      </w:r>
      <w:r w:rsidR="002D53B7" w:rsidRPr="00F21196">
        <w:rPr>
          <w:rFonts w:cs="Calibri,BoldItalic"/>
          <w:bCs/>
          <w:i/>
          <w:iCs/>
        </w:rPr>
        <w:t>Odpowiedzialne tworzenie prawa</w:t>
      </w:r>
      <w:r w:rsidR="00FA38B6">
        <w:rPr>
          <w:rFonts w:cs="Calibri,BoldItalic"/>
          <w:bCs/>
          <w:i/>
          <w:iCs/>
        </w:rPr>
        <w:t xml:space="preserve"> i</w:t>
      </w:r>
      <w:r w:rsidR="002D53B7" w:rsidRPr="00F21196">
        <w:rPr>
          <w:rFonts w:cs="Calibri,BoldItalic"/>
          <w:bCs/>
          <w:i/>
          <w:iCs/>
        </w:rPr>
        <w:t xml:space="preserve"> (2) Uproszczanie regulacji gospodarczych</w:t>
      </w:r>
      <w:r w:rsidR="002D53B7" w:rsidRPr="00F21196">
        <w:rPr>
          <w:rFonts w:cs="Calibri,BoldItalic"/>
          <w:b/>
          <w:bCs/>
          <w:i/>
          <w:iCs/>
        </w:rPr>
        <w:t>.</w:t>
      </w:r>
    </w:p>
    <w:p w14:paraId="5C239AE9" w14:textId="67384ECB" w:rsidR="00756BFA" w:rsidRDefault="00756BFA" w:rsidP="002D53B7">
      <w:pPr>
        <w:spacing w:after="0"/>
        <w:jc w:val="both"/>
        <w:rPr>
          <w:rFonts w:cs="Calibri,BoldItalic"/>
          <w:b/>
          <w:bCs/>
          <w:i/>
          <w:iCs/>
        </w:rPr>
      </w:pPr>
    </w:p>
    <w:p w14:paraId="369D0573" w14:textId="77777777" w:rsidR="00FF05EC" w:rsidRPr="00F21196" w:rsidRDefault="00BA64FA" w:rsidP="0047356C">
      <w:pPr>
        <w:pBdr>
          <w:bottom w:val="single" w:sz="24" w:space="0" w:color="9999FF"/>
        </w:pBdr>
        <w:shd w:val="clear" w:color="auto" w:fill="CCCCFF"/>
        <w:spacing w:after="0"/>
        <w:rPr>
          <w:rFonts w:eastAsia="Times New Roman" w:cs="Calibri"/>
          <w:b/>
          <w:lang w:eastAsia="pl-PL"/>
        </w:rPr>
      </w:pPr>
      <w:r w:rsidRPr="00F21196">
        <w:rPr>
          <w:rFonts w:eastAsia="Times New Roman" w:cs="Calibri"/>
          <w:b/>
          <w:lang w:eastAsia="pl-PL"/>
        </w:rPr>
        <w:t>I.</w:t>
      </w:r>
      <w:r w:rsidR="00FF05EC" w:rsidRPr="00F21196">
        <w:rPr>
          <w:rFonts w:eastAsia="Times New Roman" w:cs="Calibri"/>
          <w:b/>
          <w:lang w:eastAsia="pl-PL"/>
        </w:rPr>
        <w:t>1. Diagnoza</w:t>
      </w:r>
    </w:p>
    <w:p w14:paraId="40E6DF20" w14:textId="77777777" w:rsidR="00D2768C" w:rsidRPr="00F21196" w:rsidRDefault="0082397D" w:rsidP="00D2768C">
      <w:pPr>
        <w:spacing w:after="0" w:line="276" w:lineRule="auto"/>
        <w:jc w:val="both"/>
        <w:rPr>
          <w:rFonts w:eastAsia="Times New Roman" w:cs="Calibri"/>
          <w:lang w:eastAsia="pl-PL"/>
        </w:rPr>
      </w:pPr>
      <w:r w:rsidRPr="00F21196">
        <w:rPr>
          <w:rFonts w:eastAsia="Times New Roman" w:cs="Calibri"/>
          <w:lang w:eastAsia="pl-PL"/>
        </w:rPr>
        <w:t>Diagnozie</w:t>
      </w:r>
      <w:r w:rsidR="004930FF" w:rsidRPr="00F21196">
        <w:rPr>
          <w:rStyle w:val="Odwoanieprzypisudolnego"/>
          <w:rFonts w:eastAsia="Times New Roman" w:cs="Calibri"/>
          <w:lang w:eastAsia="pl-PL"/>
        </w:rPr>
        <w:footnoteReference w:id="25"/>
      </w:r>
      <w:r w:rsidRPr="00F21196">
        <w:rPr>
          <w:rFonts w:eastAsia="Times New Roman" w:cs="Calibri"/>
          <w:lang w:eastAsia="pl-PL"/>
        </w:rPr>
        <w:t xml:space="preserve"> poddano zagadnienia </w:t>
      </w:r>
      <w:r w:rsidR="00D2768C" w:rsidRPr="00F21196">
        <w:rPr>
          <w:rFonts w:eastAsia="Times New Roman" w:cs="Calibri"/>
          <w:lang w:eastAsia="pl-PL"/>
        </w:rPr>
        <w:t>odnoszące się do instrumentów regulacyjnych i instytucjonalnych oraz jakości regulacji prawnych.</w:t>
      </w:r>
      <w:r w:rsidR="004930FF" w:rsidRPr="00F21196">
        <w:rPr>
          <w:rFonts w:eastAsia="Times New Roman" w:cs="Calibri"/>
          <w:lang w:eastAsia="pl-PL"/>
        </w:rPr>
        <w:t xml:space="preserve"> </w:t>
      </w:r>
    </w:p>
    <w:p w14:paraId="740A9A00" w14:textId="1AF44AA3" w:rsidR="00FF05EC" w:rsidRPr="00F21196" w:rsidRDefault="00FF05EC" w:rsidP="00092DA5">
      <w:pPr>
        <w:tabs>
          <w:tab w:val="left" w:pos="-720"/>
        </w:tabs>
        <w:autoSpaceDE w:val="0"/>
        <w:autoSpaceDN w:val="0"/>
        <w:adjustRightInd w:val="0"/>
        <w:spacing w:before="60" w:after="120" w:line="276" w:lineRule="auto"/>
        <w:jc w:val="both"/>
      </w:pPr>
      <w:r w:rsidRPr="00F21196">
        <w:rPr>
          <w:rFonts w:eastAsia="Times New Roman" w:cs="Calibri"/>
          <w:b/>
          <w:lang w:eastAsia="pl-PL"/>
        </w:rPr>
        <w:t xml:space="preserve">Instrumenty regulacyjne i legislacyjne. </w:t>
      </w:r>
      <w:r w:rsidRPr="00F21196">
        <w:t>Doskonalenie regulacji jest procesem ciągłym i ma wpływ na poprawę konkurencyjności oraz innowacyjności gospodarki, jak również stymuluje wzrost gospodarcz</w:t>
      </w:r>
      <w:r w:rsidR="00F951AB">
        <w:t>y</w:t>
      </w:r>
      <w:r w:rsidRPr="00F21196">
        <w:t xml:space="preserve">. Dążenie do całościowej poprawy dotychczas przyjętych przepisów prawa, jak również zapewnianie wysokiej jakości </w:t>
      </w:r>
      <w:r w:rsidR="0016176F">
        <w:t xml:space="preserve">przygotowywanych nowych </w:t>
      </w:r>
      <w:r w:rsidRPr="00F21196">
        <w:t xml:space="preserve">przepisów </w:t>
      </w:r>
      <w:r w:rsidR="0016176F">
        <w:t>będących</w:t>
      </w:r>
      <w:r w:rsidRPr="00F21196">
        <w:t xml:space="preserve"> podstawą funkcjonowania państw, które w rankingu </w:t>
      </w:r>
      <w:r w:rsidRPr="00F21196">
        <w:rPr>
          <w:i/>
        </w:rPr>
        <w:t>Doing Business</w:t>
      </w:r>
      <w:r w:rsidRPr="00F21196">
        <w:t xml:space="preserve"> Banku Światowego zajmują wysokie pozycje z uwagi na najlepsze warunki do wykonywania działalności gospodarczej</w:t>
      </w:r>
      <w:r w:rsidRPr="00F21196">
        <w:rPr>
          <w:rStyle w:val="Odwoanieprzypisudolnego"/>
        </w:rPr>
        <w:footnoteReference w:id="26"/>
      </w:r>
      <w:r w:rsidRPr="00F21196">
        <w:t xml:space="preserve">. </w:t>
      </w:r>
    </w:p>
    <w:p w14:paraId="05FAC378" w14:textId="6A8F9B62" w:rsidR="0016176F" w:rsidRPr="00F21196" w:rsidRDefault="0016176F" w:rsidP="00240615">
      <w:pPr>
        <w:spacing w:after="0" w:line="276" w:lineRule="auto"/>
        <w:jc w:val="both"/>
      </w:pPr>
      <w:r w:rsidRPr="00F21196">
        <w:t>Polityka regulacyjna w Polsce sukcesywn</w:t>
      </w:r>
      <w:r>
        <w:t>ie się</w:t>
      </w:r>
      <w:r w:rsidRPr="00F21196">
        <w:t xml:space="preserve"> poprawi</w:t>
      </w:r>
      <w:r>
        <w:t>a</w:t>
      </w:r>
      <w:r w:rsidRPr="00F21196">
        <w:t xml:space="preserve">, na co wskazuje m.in. OECD w raporcie </w:t>
      </w:r>
      <w:r w:rsidRPr="00F21196">
        <w:rPr>
          <w:i/>
        </w:rPr>
        <w:t>Regulatory Policy Outlook 2015</w:t>
      </w:r>
      <w:r w:rsidRPr="00F21196">
        <w:rPr>
          <w:rStyle w:val="Odwoanieprzypisudolnego"/>
        </w:rPr>
        <w:footnoteReference w:id="27"/>
      </w:r>
      <w:r>
        <w:t xml:space="preserve"> (na poprawę polityki regulacyjnej w Polsce wskazuje również raport</w:t>
      </w:r>
      <w:r w:rsidRPr="000734B2">
        <w:t xml:space="preserve"> OECD, który został wydany w 2018 roku</w:t>
      </w:r>
      <w:r w:rsidR="004E1B8B">
        <w:rPr>
          <w:rStyle w:val="Odwoanieprzypisudolnego"/>
        </w:rPr>
        <w:footnoteReference w:id="28"/>
      </w:r>
      <w:r>
        <w:t xml:space="preserve">). </w:t>
      </w:r>
      <w:r w:rsidRPr="00F21196">
        <w:t xml:space="preserve">Obowiązek dokonywania oceny skutków regulacji (OSR) w rządowym procesie legislacyjnym, konsultacje publiczne, zainicjowana ocena funkcjonowania ustaw (tzw. OSR ex post) to główne narzędzia lepszego stanowienia prawa w Polsce. </w:t>
      </w:r>
    </w:p>
    <w:p w14:paraId="5F8EE6A9" w14:textId="5B51084B" w:rsidR="00FF05EC" w:rsidRPr="00F21196" w:rsidRDefault="00FF05EC" w:rsidP="00240615">
      <w:pPr>
        <w:spacing w:after="0" w:line="276" w:lineRule="auto"/>
        <w:jc w:val="both"/>
      </w:pPr>
      <w:r w:rsidRPr="00F21196">
        <w:t xml:space="preserve">Wyzwaniem pozostają: </w:t>
      </w:r>
      <w:r w:rsidR="006F51F7">
        <w:rPr>
          <w:rStyle w:val="BrakA"/>
        </w:rPr>
        <w:t>inflacja</w:t>
      </w:r>
      <w:r w:rsidR="006F51F7" w:rsidRPr="00F21196">
        <w:t xml:space="preserve"> </w:t>
      </w:r>
      <w:r w:rsidRPr="00F21196">
        <w:t>przepisów prawnych, częste zmiany regulacji, ich niespójność niejednoznaczność, liczne obowiązki prawne nakładane na obywateli i przedsiębiorców</w:t>
      </w:r>
      <w:r w:rsidR="00240615">
        <w:t xml:space="preserve">, </w:t>
      </w:r>
      <w:r w:rsidRPr="00F21196">
        <w:t>a także na administrację różnych szczebli, niedostateczna efektywność systemu OSR</w:t>
      </w:r>
      <w:r w:rsidR="00D07A86">
        <w:rPr>
          <w:rStyle w:val="BrakA"/>
        </w:rPr>
        <w:t>.</w:t>
      </w:r>
    </w:p>
    <w:p w14:paraId="0833C487" w14:textId="3A637E86" w:rsidR="00FF05EC" w:rsidRPr="00F21196" w:rsidRDefault="00FF05EC" w:rsidP="00240615">
      <w:pPr>
        <w:spacing w:after="0" w:line="276" w:lineRule="auto"/>
        <w:jc w:val="both"/>
      </w:pPr>
      <w:r w:rsidRPr="00F21196">
        <w:t>Przedsiębiorcy wskazują, że nadmierne obowiązki prawne, w tym przede wszystkim biurokratyczne, to jedna z głównych barier rozwoju</w:t>
      </w:r>
      <w:r w:rsidRPr="00F21196">
        <w:rPr>
          <w:rStyle w:val="Odwoanieprzypisudolnego"/>
        </w:rPr>
        <w:footnoteReference w:id="29"/>
      </w:r>
      <w:r w:rsidRPr="00F21196">
        <w:t xml:space="preserve">. Niespójne, niejasne, </w:t>
      </w:r>
      <w:r w:rsidR="00CD7269" w:rsidRPr="00F21196">
        <w:t xml:space="preserve">zbyt często zmieniające się, </w:t>
      </w:r>
      <w:r w:rsidRPr="00F21196">
        <w:t>przestarzałe lub nakładające nieproporcjonalne obciążenia</w:t>
      </w:r>
      <w:r w:rsidRPr="00F21196" w:rsidDel="006C20AD">
        <w:t xml:space="preserve"> </w:t>
      </w:r>
      <w:r w:rsidRPr="00F21196">
        <w:t xml:space="preserve">przepisy prawne, są źródłem nieuzasadnionych kosztów dla firm i obywateli. </w:t>
      </w:r>
    </w:p>
    <w:p w14:paraId="45072E6F" w14:textId="4D2B3092" w:rsidR="00FF05EC" w:rsidRPr="00F21196" w:rsidRDefault="00FF05EC" w:rsidP="00240615">
      <w:pPr>
        <w:spacing w:after="0" w:line="276" w:lineRule="auto"/>
        <w:jc w:val="both"/>
      </w:pPr>
      <w:r w:rsidRPr="00F21196">
        <w:t>Tego typu obciążenia przedsiębiorcy traktują jak „ukryte podatki”, a ich ciężar najbardziej odczuwa sekto</w:t>
      </w:r>
      <w:r w:rsidR="00372848" w:rsidRPr="00F21196">
        <w:t xml:space="preserve">r </w:t>
      </w:r>
      <w:r w:rsidR="00440BC2">
        <w:br/>
      </w:r>
      <w:r w:rsidR="00372848" w:rsidRPr="00F21196">
        <w:t>mikro</w:t>
      </w:r>
      <w:r w:rsidR="0016176F">
        <w:t>-</w:t>
      </w:r>
      <w:r w:rsidR="00372848" w:rsidRPr="00F21196">
        <w:t>, małych i średnich firm</w:t>
      </w:r>
      <w:r w:rsidRPr="00F21196">
        <w:t>. Badania wykazały, że najmniejsze przedsiębiorstwa ponoszą nawet pięciokrotnie wyższe obciążenia administracyjne na pracownika w porównaniu do większych firm</w:t>
      </w:r>
      <w:r w:rsidRPr="00F21196">
        <w:rPr>
          <w:rStyle w:val="Odwoanieprzypisudolnego"/>
        </w:rPr>
        <w:footnoteReference w:id="30"/>
      </w:r>
      <w:r w:rsidRPr="00F21196">
        <w:t>.</w:t>
      </w:r>
    </w:p>
    <w:p w14:paraId="3F8D256D" w14:textId="23AB7FB9" w:rsidR="00FF05EC" w:rsidRPr="00F21196" w:rsidRDefault="00FF05EC" w:rsidP="00240615">
      <w:pPr>
        <w:spacing w:after="0" w:line="276" w:lineRule="auto"/>
        <w:jc w:val="both"/>
      </w:pPr>
      <w:r w:rsidRPr="00F21196">
        <w:t>Mali przedsiębiorcy deklarują, że ich przychody mogłyby być nawet o 10% wyższe</w:t>
      </w:r>
      <w:r w:rsidR="00E50C28" w:rsidRPr="00F21196">
        <w:t>,</w:t>
      </w:r>
      <w:r w:rsidRPr="00F21196">
        <w:t xml:space="preserve"> gdyby nie musieli angażować swoich zasobów w walkę z barierami administracyjnymi</w:t>
      </w:r>
      <w:r w:rsidRPr="00F21196">
        <w:rPr>
          <w:rStyle w:val="Odwoanieprzypisudolnego"/>
        </w:rPr>
        <w:footnoteReference w:id="31"/>
      </w:r>
      <w:r w:rsidRPr="00F21196">
        <w:rPr>
          <w:rStyle w:val="Odwoanieprzypisudolnego"/>
        </w:rPr>
        <w:t>.</w:t>
      </w:r>
    </w:p>
    <w:p w14:paraId="24E19CEB" w14:textId="5DDC9DF8" w:rsidR="00FF05EC" w:rsidRPr="000E47FD" w:rsidRDefault="00FF05EC" w:rsidP="00240615">
      <w:pPr>
        <w:tabs>
          <w:tab w:val="left" w:pos="-720"/>
        </w:tabs>
        <w:autoSpaceDE w:val="0"/>
        <w:autoSpaceDN w:val="0"/>
        <w:adjustRightInd w:val="0"/>
        <w:spacing w:before="120" w:after="0" w:line="276" w:lineRule="auto"/>
        <w:jc w:val="both"/>
      </w:pPr>
      <w:r w:rsidRPr="000E47FD">
        <w:rPr>
          <w:rFonts w:cs="Times New Roman"/>
          <w:b/>
        </w:rPr>
        <w:t>Jakość przepisów prawnych</w:t>
      </w:r>
      <w:r w:rsidRPr="000E47FD">
        <w:rPr>
          <w:rFonts w:cs="Times New Roman"/>
        </w:rPr>
        <w:t xml:space="preserve">. </w:t>
      </w:r>
      <w:r w:rsidRPr="000E47FD">
        <w:t>Prawo administracyjne materialne było w ostatnich latach przedmiotem licznych nowelizacji. Jednocześnie wciąż formułowane są postulaty koniecznych zm</w:t>
      </w:r>
      <w:r w:rsidR="0016176F">
        <w:t>ian tych przepisów, uzasadniane</w:t>
      </w:r>
      <w:r w:rsidRPr="000E47FD">
        <w:t xml:space="preserve"> lukami prawnymi, potrzebą odpowiedzi na nowe wyzwania czy też niewłaściwą praktyką stosowania przepisów. </w:t>
      </w:r>
    </w:p>
    <w:p w14:paraId="12938F8A" w14:textId="304AAC60" w:rsidR="00CD036E" w:rsidRDefault="00CD036E" w:rsidP="00E43983">
      <w:pPr>
        <w:spacing w:after="120" w:line="276" w:lineRule="auto"/>
        <w:jc w:val="both"/>
      </w:pPr>
      <w:r w:rsidRPr="000E47FD">
        <w:t xml:space="preserve">Pomimo weryfikacji decyzji w ramach postępowań odwoławczych merytoryczna kontrola sądowa eliminuje z obrotu </w:t>
      </w:r>
      <w:r w:rsidR="005C3BA7" w:rsidRPr="000E47FD">
        <w:t>prawnego, co</w:t>
      </w:r>
      <w:r w:rsidRPr="000E47FD">
        <w:t xml:space="preserve"> trzecią zaskarżoną decyzję administracyjną (lub inną czynność). Drugoinstancyjne </w:t>
      </w:r>
      <w:r w:rsidRPr="008914D6">
        <w:t>decyzje SKO mają w ok. 30% przypadków charakter kasacyjny,</w:t>
      </w:r>
      <w:r w:rsidRPr="000E47FD">
        <w:t xml:space="preserve"> który dla stron postępowania najczęściej oznacza ponowną, długotrwałą, uciążliwą i kosztową procedurę</w:t>
      </w:r>
      <w:r w:rsidRPr="00F21196">
        <w:t xml:space="preserve">. </w:t>
      </w:r>
    </w:p>
    <w:p w14:paraId="27C15560" w14:textId="77777777" w:rsidR="00D70B5B" w:rsidRPr="00F21196" w:rsidRDefault="00D70B5B" w:rsidP="000E47FD">
      <w:pPr>
        <w:spacing w:after="120" w:line="276" w:lineRule="auto"/>
        <w:jc w:val="both"/>
      </w:pPr>
    </w:p>
    <w:p w14:paraId="23A284A1" w14:textId="77777777" w:rsidR="003C1319" w:rsidRPr="00F21196" w:rsidRDefault="00BA64FA" w:rsidP="0082397D">
      <w:pPr>
        <w:pBdr>
          <w:bottom w:val="single" w:sz="24" w:space="1" w:color="9999FF"/>
        </w:pBdr>
        <w:shd w:val="clear" w:color="auto" w:fill="CCCCFF"/>
        <w:spacing w:after="0"/>
        <w:rPr>
          <w:rFonts w:eastAsia="Times New Roman" w:cs="Calibri"/>
          <w:b/>
          <w:lang w:eastAsia="pl-PL"/>
        </w:rPr>
      </w:pPr>
      <w:r w:rsidRPr="00F21196">
        <w:rPr>
          <w:rFonts w:eastAsia="Times New Roman" w:cs="Calibri"/>
          <w:b/>
          <w:lang w:eastAsia="pl-PL"/>
        </w:rPr>
        <w:t>I.</w:t>
      </w:r>
      <w:r w:rsidR="003C1319" w:rsidRPr="00F21196">
        <w:rPr>
          <w:rFonts w:eastAsia="Times New Roman" w:cs="Calibri"/>
          <w:b/>
          <w:lang w:eastAsia="pl-PL"/>
        </w:rPr>
        <w:t xml:space="preserve">2. </w:t>
      </w:r>
      <w:r w:rsidR="00300542" w:rsidRPr="00F21196">
        <w:rPr>
          <w:rFonts w:eastAsia="Times New Roman" w:cs="Calibri"/>
          <w:b/>
          <w:lang w:eastAsia="pl-PL"/>
        </w:rPr>
        <w:t>Trendy rozwojowe i o</w:t>
      </w:r>
      <w:r w:rsidR="003C1319" w:rsidRPr="00F21196">
        <w:rPr>
          <w:rFonts w:eastAsia="Times New Roman" w:cs="Calibri"/>
          <w:b/>
          <w:lang w:eastAsia="pl-PL"/>
        </w:rPr>
        <w:t>czekiwane efekty</w:t>
      </w:r>
    </w:p>
    <w:p w14:paraId="2CC6D261" w14:textId="77777777" w:rsidR="003C1319" w:rsidRPr="00F21196" w:rsidRDefault="003C1319" w:rsidP="003C1319">
      <w:pPr>
        <w:spacing w:after="0" w:line="276" w:lineRule="auto"/>
        <w:jc w:val="both"/>
      </w:pPr>
    </w:p>
    <w:p w14:paraId="6281AE6D" w14:textId="77777777" w:rsidR="003C1319" w:rsidRPr="00D70B5B" w:rsidRDefault="003C1319" w:rsidP="003C1319">
      <w:pPr>
        <w:spacing w:after="0" w:line="276" w:lineRule="auto"/>
        <w:jc w:val="both"/>
      </w:pPr>
      <w:r w:rsidRPr="00D70B5B">
        <w:t>Oczekiwane efekty podejmowanych przedsięwzięć w ramach celu szczegółowego I:</w:t>
      </w:r>
    </w:p>
    <w:p w14:paraId="240D679D" w14:textId="4D9B54FF" w:rsidR="003C1319" w:rsidRPr="00D70B5B" w:rsidRDefault="003C1319" w:rsidP="00723B3F">
      <w:pPr>
        <w:pStyle w:val="Akapitzlist"/>
        <w:numPr>
          <w:ilvl w:val="0"/>
          <w:numId w:val="16"/>
        </w:numPr>
        <w:spacing w:line="276" w:lineRule="auto"/>
        <w:ind w:left="284"/>
        <w:jc w:val="both"/>
        <w:rPr>
          <w:rFonts w:asciiTheme="minorHAnsi" w:hAnsiTheme="minorHAnsi"/>
          <w:sz w:val="22"/>
          <w:szCs w:val="22"/>
        </w:rPr>
      </w:pPr>
      <w:r w:rsidRPr="00D70B5B">
        <w:rPr>
          <w:rFonts w:asciiTheme="minorHAnsi" w:hAnsiTheme="minorHAnsi"/>
          <w:sz w:val="22"/>
          <w:szCs w:val="22"/>
        </w:rPr>
        <w:t xml:space="preserve">racjonalizacja procesów legislacyjnych oraz wzmocnienie partnerstwa głównych podmiotów instytucjonalnych, </w:t>
      </w:r>
      <w:r w:rsidR="0016176F">
        <w:rPr>
          <w:rFonts w:asciiTheme="minorHAnsi" w:hAnsiTheme="minorHAnsi"/>
          <w:sz w:val="22"/>
          <w:szCs w:val="22"/>
        </w:rPr>
        <w:t>biznesowych</w:t>
      </w:r>
      <w:r w:rsidRPr="00D70B5B">
        <w:rPr>
          <w:rFonts w:asciiTheme="minorHAnsi" w:hAnsiTheme="minorHAnsi"/>
          <w:sz w:val="22"/>
          <w:szCs w:val="22"/>
        </w:rPr>
        <w:t xml:space="preserve"> i społecznych oraz zwiększenie przejrzystości procesu legislacyjnego,</w:t>
      </w:r>
    </w:p>
    <w:p w14:paraId="314CA79C" w14:textId="77777777" w:rsidR="003C1319" w:rsidRPr="00D70B5B" w:rsidRDefault="003C1319" w:rsidP="00723B3F">
      <w:pPr>
        <w:pStyle w:val="Akapitzlist"/>
        <w:numPr>
          <w:ilvl w:val="0"/>
          <w:numId w:val="16"/>
        </w:numPr>
        <w:spacing w:line="276" w:lineRule="auto"/>
        <w:ind w:left="284"/>
        <w:jc w:val="both"/>
        <w:rPr>
          <w:rFonts w:asciiTheme="minorHAnsi" w:hAnsiTheme="minorHAnsi"/>
          <w:sz w:val="22"/>
          <w:szCs w:val="22"/>
        </w:rPr>
      </w:pPr>
      <w:r w:rsidRPr="00D70B5B">
        <w:rPr>
          <w:rFonts w:asciiTheme="minorHAnsi" w:hAnsiTheme="minorHAnsi"/>
          <w:sz w:val="22"/>
          <w:szCs w:val="22"/>
        </w:rPr>
        <w:t xml:space="preserve">ograniczenie częstotliwości zmian przepisów prawnych oraz wprowadzenie/utrzymanie jedynie koniecznych i korzystnych regulacji, w szczególności zapobieganie nakładaniu nieuzasadnionych zobowiązań na obywateli i przedsiębiorców oraz na administrację publiczną, </w:t>
      </w:r>
    </w:p>
    <w:p w14:paraId="64C6E0A3" w14:textId="4EDF962A" w:rsidR="003C1319" w:rsidRPr="00D70B5B" w:rsidRDefault="003C1319" w:rsidP="00723B3F">
      <w:pPr>
        <w:pStyle w:val="Akapitzlist"/>
        <w:numPr>
          <w:ilvl w:val="0"/>
          <w:numId w:val="16"/>
        </w:numPr>
        <w:spacing w:line="276" w:lineRule="auto"/>
        <w:ind w:left="284"/>
        <w:contextualSpacing w:val="0"/>
        <w:jc w:val="both"/>
        <w:rPr>
          <w:rFonts w:asciiTheme="minorHAnsi" w:hAnsiTheme="minorHAnsi"/>
          <w:sz w:val="22"/>
          <w:szCs w:val="22"/>
        </w:rPr>
      </w:pPr>
      <w:r w:rsidRPr="00D70B5B">
        <w:rPr>
          <w:rFonts w:asciiTheme="minorHAnsi" w:eastAsia="Times New Roman" w:hAnsiTheme="minorHAnsi" w:cs="Calibri"/>
          <w:sz w:val="22"/>
          <w:szCs w:val="22"/>
        </w:rPr>
        <w:t>popraw</w:t>
      </w:r>
      <w:r w:rsidR="00E50C28" w:rsidRPr="00D70B5B">
        <w:rPr>
          <w:rFonts w:asciiTheme="minorHAnsi" w:eastAsia="Times New Roman" w:hAnsiTheme="minorHAnsi" w:cs="Calibri"/>
          <w:sz w:val="22"/>
          <w:szCs w:val="22"/>
        </w:rPr>
        <w:t>a</w:t>
      </w:r>
      <w:r w:rsidRPr="00D70B5B">
        <w:rPr>
          <w:rFonts w:asciiTheme="minorHAnsi" w:eastAsia="Times New Roman" w:hAnsiTheme="minorHAnsi" w:cs="Calibri"/>
          <w:sz w:val="22"/>
          <w:szCs w:val="22"/>
        </w:rPr>
        <w:t xml:space="preserve"> otoczenia prawnego w zakresie uproszczenia przepisów, </w:t>
      </w:r>
      <w:r w:rsidRPr="00D70B5B">
        <w:rPr>
          <w:rFonts w:asciiTheme="minorHAnsi" w:hAnsiTheme="minorHAnsi"/>
          <w:sz w:val="22"/>
          <w:szCs w:val="22"/>
        </w:rPr>
        <w:t xml:space="preserve">eliminacji niespójności i niejednoznaczności, zwiększenie spójności wewnętrznej poszczególnych dziedzin prawa oraz eliminacji istniejących luk prawnych, </w:t>
      </w:r>
    </w:p>
    <w:p w14:paraId="5EA423A1" w14:textId="77777777" w:rsidR="00D70B5B" w:rsidRPr="00D70B5B" w:rsidRDefault="00E50C28" w:rsidP="00723B3F">
      <w:pPr>
        <w:pStyle w:val="Akapitzlist"/>
        <w:numPr>
          <w:ilvl w:val="0"/>
          <w:numId w:val="16"/>
        </w:numPr>
        <w:spacing w:line="276" w:lineRule="auto"/>
        <w:ind w:left="284"/>
        <w:jc w:val="both"/>
        <w:rPr>
          <w:rFonts w:asciiTheme="minorHAnsi" w:hAnsiTheme="minorHAnsi"/>
          <w:sz w:val="22"/>
          <w:szCs w:val="22"/>
        </w:rPr>
      </w:pPr>
      <w:r w:rsidRPr="00D70B5B">
        <w:rPr>
          <w:rFonts w:asciiTheme="minorHAnsi" w:hAnsiTheme="minorHAnsi"/>
          <w:sz w:val="22"/>
          <w:szCs w:val="22"/>
        </w:rPr>
        <w:t>ograniczenie</w:t>
      </w:r>
      <w:r w:rsidR="003C1319" w:rsidRPr="00D70B5B">
        <w:rPr>
          <w:rFonts w:asciiTheme="minorHAnsi" w:hAnsiTheme="minorHAnsi"/>
          <w:sz w:val="22"/>
          <w:szCs w:val="22"/>
        </w:rPr>
        <w:t xml:space="preserve"> do niezbędnego minimum obciążeń regulacyjnych oraz zmniejszenie kosztów obowiązków administracyjnych</w:t>
      </w:r>
      <w:r w:rsidR="00D70B5B" w:rsidRPr="00D70B5B">
        <w:rPr>
          <w:rFonts w:asciiTheme="minorHAnsi" w:hAnsiTheme="minorHAnsi"/>
          <w:sz w:val="22"/>
          <w:szCs w:val="22"/>
        </w:rPr>
        <w:t>,</w:t>
      </w:r>
    </w:p>
    <w:p w14:paraId="3CA4CCAB" w14:textId="75667F0E" w:rsidR="00117997" w:rsidRPr="00D70B5B" w:rsidRDefault="00D70B5B" w:rsidP="00723B3F">
      <w:pPr>
        <w:pStyle w:val="Akapitzlist"/>
        <w:numPr>
          <w:ilvl w:val="0"/>
          <w:numId w:val="16"/>
        </w:numPr>
        <w:spacing w:line="276" w:lineRule="auto"/>
        <w:ind w:left="284"/>
        <w:jc w:val="both"/>
        <w:rPr>
          <w:rFonts w:asciiTheme="minorHAnsi" w:hAnsiTheme="minorHAnsi"/>
          <w:sz w:val="22"/>
          <w:szCs w:val="22"/>
        </w:rPr>
      </w:pPr>
      <w:r w:rsidRPr="00D70B5B">
        <w:rPr>
          <w:rFonts w:asciiTheme="minorHAnsi" w:hAnsiTheme="minorHAnsi" w:cs="DINPro"/>
          <w:sz w:val="22"/>
          <w:szCs w:val="22"/>
        </w:rPr>
        <w:t>wzrost kompetencji uczestników procesu stanowienia oraz monitorowania prawa, w tym prawa gospodarczego, prawa pracy, analizy finansowej.</w:t>
      </w:r>
    </w:p>
    <w:p w14:paraId="29F6B1FB" w14:textId="77777777" w:rsidR="00117997" w:rsidRDefault="00117997" w:rsidP="003C1319">
      <w:pPr>
        <w:pStyle w:val="Akapitzlist"/>
        <w:ind w:left="0"/>
        <w:contextualSpacing w:val="0"/>
        <w:jc w:val="both"/>
        <w:rPr>
          <w:rFonts w:asciiTheme="minorHAnsi" w:eastAsia="Times New Roman" w:hAnsiTheme="minorHAnsi" w:cs="Calibri"/>
          <w:sz w:val="22"/>
          <w:szCs w:val="22"/>
        </w:rPr>
      </w:pPr>
    </w:p>
    <w:p w14:paraId="571801D5" w14:textId="77777777" w:rsidR="0016176F" w:rsidRDefault="0016176F" w:rsidP="003C1319">
      <w:pPr>
        <w:pStyle w:val="Akapitzlist"/>
        <w:ind w:left="0"/>
        <w:contextualSpacing w:val="0"/>
        <w:jc w:val="both"/>
        <w:rPr>
          <w:rFonts w:asciiTheme="minorHAnsi" w:eastAsia="Times New Roman" w:hAnsiTheme="minorHAnsi" w:cs="Calibri"/>
          <w:sz w:val="22"/>
          <w:szCs w:val="22"/>
        </w:rPr>
      </w:pPr>
    </w:p>
    <w:p w14:paraId="7816B4A9" w14:textId="77777777" w:rsidR="0065584C" w:rsidRPr="00F21196" w:rsidRDefault="00BA64FA" w:rsidP="0082397D">
      <w:pPr>
        <w:pBdr>
          <w:bottom w:val="single" w:sz="24" w:space="1" w:color="9999FF"/>
        </w:pBdr>
        <w:shd w:val="clear" w:color="auto" w:fill="CCCCFF"/>
        <w:spacing w:after="0"/>
        <w:rPr>
          <w:rFonts w:eastAsia="Times New Roman" w:cs="Calibri"/>
          <w:b/>
          <w:lang w:eastAsia="pl-PL"/>
        </w:rPr>
      </w:pPr>
      <w:r w:rsidRPr="00F21196">
        <w:rPr>
          <w:rFonts w:eastAsia="Times New Roman" w:cs="Calibri"/>
          <w:b/>
          <w:lang w:eastAsia="pl-PL"/>
        </w:rPr>
        <w:t>I.</w:t>
      </w:r>
      <w:r w:rsidR="0065584C" w:rsidRPr="00F21196">
        <w:rPr>
          <w:rFonts w:eastAsia="Times New Roman" w:cs="Calibri"/>
          <w:b/>
          <w:lang w:eastAsia="pl-PL"/>
        </w:rPr>
        <w:t>3. Wskaźniki monitorowania</w:t>
      </w:r>
    </w:p>
    <w:p w14:paraId="1A1DA65E" w14:textId="77777777" w:rsidR="000741B8" w:rsidRPr="00F21196" w:rsidRDefault="000741B8" w:rsidP="00FF05EC">
      <w:pPr>
        <w:tabs>
          <w:tab w:val="left" w:pos="4678"/>
        </w:tabs>
        <w:spacing w:after="0" w:line="276" w:lineRule="auto"/>
        <w:jc w:val="both"/>
      </w:pPr>
    </w:p>
    <w:tbl>
      <w:tblPr>
        <w:tblStyle w:val="Tabela-Siatka"/>
        <w:tblW w:w="0" w:type="auto"/>
        <w:tblLook w:val="04A0" w:firstRow="1" w:lastRow="0" w:firstColumn="1" w:lastColumn="0" w:noHBand="0" w:noVBand="1"/>
      </w:tblPr>
      <w:tblGrid>
        <w:gridCol w:w="1117"/>
        <w:gridCol w:w="8512"/>
      </w:tblGrid>
      <w:tr w:rsidR="0065584C" w:rsidRPr="00F21196" w14:paraId="0702B4D9" w14:textId="77777777" w:rsidTr="0080690A">
        <w:tc>
          <w:tcPr>
            <w:tcW w:w="1117" w:type="dxa"/>
            <w:shd w:val="clear" w:color="auto" w:fill="CCCCFF"/>
          </w:tcPr>
          <w:p w14:paraId="7E841812" w14:textId="77777777" w:rsidR="0065584C" w:rsidRPr="00F21196" w:rsidRDefault="0065584C" w:rsidP="0065584C">
            <w:pPr>
              <w:tabs>
                <w:tab w:val="left" w:pos="4678"/>
              </w:tabs>
              <w:spacing w:line="276" w:lineRule="auto"/>
              <w:jc w:val="center"/>
              <w:rPr>
                <w:rFonts w:cs="Calibri"/>
                <w:b/>
                <w:kern w:val="24"/>
                <w:szCs w:val="18"/>
                <w:lang w:eastAsia="pl-PL"/>
              </w:rPr>
            </w:pPr>
            <w:r w:rsidRPr="00F21196">
              <w:rPr>
                <w:rFonts w:cs="Calibri"/>
                <w:b/>
                <w:kern w:val="24"/>
                <w:szCs w:val="18"/>
                <w:lang w:eastAsia="pl-PL"/>
              </w:rPr>
              <w:t>Lp.</w:t>
            </w:r>
          </w:p>
        </w:tc>
        <w:tc>
          <w:tcPr>
            <w:tcW w:w="8512" w:type="dxa"/>
            <w:shd w:val="clear" w:color="auto" w:fill="CCCCFF"/>
          </w:tcPr>
          <w:p w14:paraId="2C9C6606" w14:textId="77777777" w:rsidR="0065584C" w:rsidRPr="00F21196" w:rsidRDefault="0065584C" w:rsidP="00092DA5">
            <w:pPr>
              <w:tabs>
                <w:tab w:val="left" w:pos="4678"/>
              </w:tabs>
              <w:spacing w:after="120" w:line="276" w:lineRule="auto"/>
              <w:jc w:val="center"/>
              <w:rPr>
                <w:rFonts w:cs="Calibri"/>
                <w:b/>
                <w:kern w:val="24"/>
                <w:szCs w:val="18"/>
                <w:lang w:eastAsia="pl-PL"/>
              </w:rPr>
            </w:pPr>
            <w:r w:rsidRPr="00F21196">
              <w:rPr>
                <w:rFonts w:cs="Calibri"/>
                <w:b/>
                <w:kern w:val="24"/>
                <w:szCs w:val="18"/>
                <w:lang w:eastAsia="pl-PL"/>
              </w:rPr>
              <w:t>Wskaźniki monitorowania</w:t>
            </w:r>
          </w:p>
        </w:tc>
      </w:tr>
      <w:tr w:rsidR="0065584C" w:rsidRPr="00F21196" w14:paraId="6024E591" w14:textId="77777777" w:rsidTr="00751DEE">
        <w:trPr>
          <w:trHeight w:val="369"/>
        </w:trPr>
        <w:tc>
          <w:tcPr>
            <w:tcW w:w="1117" w:type="dxa"/>
            <w:shd w:val="clear" w:color="auto" w:fill="CCCCFF"/>
          </w:tcPr>
          <w:p w14:paraId="0DE092F2" w14:textId="77777777" w:rsidR="0065584C" w:rsidRPr="00F21196" w:rsidRDefault="0065584C" w:rsidP="0065584C">
            <w:pPr>
              <w:tabs>
                <w:tab w:val="left" w:pos="4678"/>
              </w:tabs>
              <w:spacing w:line="276" w:lineRule="auto"/>
              <w:jc w:val="center"/>
              <w:rPr>
                <w:rFonts w:cs="Calibri"/>
                <w:b/>
                <w:kern w:val="24"/>
                <w:szCs w:val="18"/>
                <w:lang w:eastAsia="pl-PL"/>
              </w:rPr>
            </w:pPr>
            <w:r w:rsidRPr="00F21196">
              <w:rPr>
                <w:rFonts w:cs="Calibri"/>
                <w:b/>
                <w:kern w:val="24"/>
                <w:szCs w:val="18"/>
                <w:lang w:eastAsia="pl-PL"/>
              </w:rPr>
              <w:t>1</w:t>
            </w:r>
          </w:p>
        </w:tc>
        <w:tc>
          <w:tcPr>
            <w:tcW w:w="8512" w:type="dxa"/>
            <w:shd w:val="clear" w:color="auto" w:fill="F2F2F2" w:themeFill="background1" w:themeFillShade="F2"/>
          </w:tcPr>
          <w:p w14:paraId="7B720489" w14:textId="77777777" w:rsidR="0065584C" w:rsidRPr="00F21196" w:rsidRDefault="0065584C" w:rsidP="00092DA5">
            <w:pPr>
              <w:tabs>
                <w:tab w:val="left" w:pos="4678"/>
              </w:tabs>
              <w:spacing w:after="120" w:line="276" w:lineRule="auto"/>
              <w:jc w:val="both"/>
              <w:rPr>
                <w:rFonts w:cs="Calibri"/>
                <w:kern w:val="24"/>
                <w:sz w:val="18"/>
                <w:szCs w:val="18"/>
                <w:lang w:eastAsia="pl-PL"/>
              </w:rPr>
            </w:pPr>
            <w:r w:rsidRPr="00F21196">
              <w:rPr>
                <w:rFonts w:cs="Calibri"/>
                <w:kern w:val="24"/>
                <w:szCs w:val="18"/>
                <w:lang w:eastAsia="pl-PL"/>
              </w:rPr>
              <w:t xml:space="preserve">Wskaźnik jakości stanowionego prawa </w:t>
            </w:r>
          </w:p>
        </w:tc>
      </w:tr>
      <w:tr w:rsidR="00F01C5D" w:rsidRPr="00F21196" w14:paraId="1BDA02D7" w14:textId="77777777" w:rsidTr="00751DEE">
        <w:trPr>
          <w:trHeight w:val="369"/>
        </w:trPr>
        <w:tc>
          <w:tcPr>
            <w:tcW w:w="1117" w:type="dxa"/>
            <w:shd w:val="clear" w:color="auto" w:fill="CCCCFF"/>
          </w:tcPr>
          <w:p w14:paraId="0287D7CD" w14:textId="77777777" w:rsidR="00F01C5D" w:rsidRPr="00F21196" w:rsidRDefault="00F01C5D" w:rsidP="0065584C">
            <w:pPr>
              <w:tabs>
                <w:tab w:val="left" w:pos="4678"/>
              </w:tabs>
              <w:spacing w:line="276" w:lineRule="auto"/>
              <w:jc w:val="center"/>
              <w:rPr>
                <w:rFonts w:cs="Calibri"/>
                <w:b/>
                <w:kern w:val="24"/>
                <w:szCs w:val="18"/>
                <w:lang w:eastAsia="pl-PL"/>
              </w:rPr>
            </w:pPr>
            <w:r w:rsidRPr="00F21196">
              <w:rPr>
                <w:rFonts w:cs="Calibri"/>
                <w:b/>
                <w:kern w:val="24"/>
                <w:szCs w:val="18"/>
                <w:lang w:eastAsia="pl-PL"/>
              </w:rPr>
              <w:t>2</w:t>
            </w:r>
          </w:p>
        </w:tc>
        <w:tc>
          <w:tcPr>
            <w:tcW w:w="8512" w:type="dxa"/>
            <w:shd w:val="clear" w:color="auto" w:fill="F2F2F2" w:themeFill="background1" w:themeFillShade="F2"/>
          </w:tcPr>
          <w:p w14:paraId="306E8B12" w14:textId="77777777" w:rsidR="00F01C5D" w:rsidRPr="00F21196" w:rsidRDefault="00F01C5D" w:rsidP="00092DA5">
            <w:pPr>
              <w:tabs>
                <w:tab w:val="left" w:pos="4678"/>
              </w:tabs>
              <w:spacing w:after="120" w:line="276" w:lineRule="auto"/>
              <w:jc w:val="both"/>
              <w:rPr>
                <w:rFonts w:cs="Calibri"/>
                <w:kern w:val="24"/>
                <w:szCs w:val="18"/>
                <w:lang w:eastAsia="pl-PL"/>
              </w:rPr>
            </w:pPr>
            <w:r w:rsidRPr="00F21196">
              <w:rPr>
                <w:rFonts w:cs="Calibri"/>
                <w:kern w:val="24"/>
                <w:szCs w:val="18"/>
                <w:lang w:eastAsia="pl-PL"/>
              </w:rPr>
              <w:t>Wskaźnik Globalnej Konkurencyjności (GCI) - obciążenia regulacyjne (pozycja w rankingu)</w:t>
            </w:r>
          </w:p>
        </w:tc>
      </w:tr>
    </w:tbl>
    <w:p w14:paraId="15ABBFA9" w14:textId="77777777" w:rsidR="0065584C" w:rsidRDefault="0065584C" w:rsidP="00FF05EC">
      <w:pPr>
        <w:tabs>
          <w:tab w:val="left" w:pos="4678"/>
        </w:tabs>
        <w:spacing w:after="0" w:line="276" w:lineRule="auto"/>
        <w:jc w:val="both"/>
        <w:rPr>
          <w:rFonts w:cs="Calibri"/>
          <w:kern w:val="24"/>
          <w:sz w:val="18"/>
          <w:szCs w:val="18"/>
          <w:lang w:eastAsia="pl-PL"/>
        </w:rPr>
      </w:pPr>
    </w:p>
    <w:p w14:paraId="077907F4" w14:textId="77777777" w:rsidR="00240615" w:rsidRDefault="00240615" w:rsidP="00FF05EC">
      <w:pPr>
        <w:tabs>
          <w:tab w:val="left" w:pos="4678"/>
        </w:tabs>
        <w:spacing w:after="0" w:line="276" w:lineRule="auto"/>
        <w:jc w:val="both"/>
        <w:rPr>
          <w:rFonts w:cs="Calibri"/>
          <w:kern w:val="24"/>
          <w:sz w:val="18"/>
          <w:szCs w:val="18"/>
          <w:lang w:eastAsia="pl-PL"/>
        </w:rPr>
      </w:pPr>
    </w:p>
    <w:p w14:paraId="4D6FE626" w14:textId="77777777" w:rsidR="00BA12E7" w:rsidRPr="00F21196" w:rsidRDefault="00BA64FA" w:rsidP="005D35C1">
      <w:pPr>
        <w:pBdr>
          <w:bottom w:val="single" w:sz="24" w:space="1" w:color="9999FF"/>
        </w:pBdr>
        <w:shd w:val="clear" w:color="auto" w:fill="CCCCFF"/>
        <w:spacing w:after="0"/>
        <w:rPr>
          <w:rFonts w:eastAsia="Times New Roman" w:cs="Calibri"/>
          <w:b/>
          <w:lang w:eastAsia="pl-PL"/>
        </w:rPr>
      </w:pPr>
      <w:r w:rsidRPr="00F21196">
        <w:rPr>
          <w:rFonts w:eastAsia="Times New Roman" w:cs="Calibri"/>
          <w:b/>
          <w:lang w:eastAsia="pl-PL"/>
        </w:rPr>
        <w:t>I.</w:t>
      </w:r>
      <w:r w:rsidR="00BA12E7" w:rsidRPr="00F21196">
        <w:rPr>
          <w:rFonts w:eastAsia="Times New Roman" w:cs="Calibri"/>
          <w:b/>
          <w:lang w:eastAsia="pl-PL"/>
        </w:rPr>
        <w:t xml:space="preserve">4. Kierunki interwencji </w:t>
      </w:r>
    </w:p>
    <w:p w14:paraId="58DD14B2" w14:textId="77777777" w:rsidR="00BA12E7" w:rsidRPr="00F21196" w:rsidRDefault="00BA12E7" w:rsidP="00FF05EC">
      <w:pPr>
        <w:tabs>
          <w:tab w:val="left" w:pos="4678"/>
        </w:tabs>
        <w:spacing w:after="0" w:line="276" w:lineRule="auto"/>
        <w:jc w:val="both"/>
      </w:pPr>
    </w:p>
    <w:p w14:paraId="346FE926" w14:textId="06601726" w:rsidR="00736DB9" w:rsidRDefault="00BA12E7" w:rsidP="00736DB9">
      <w:pPr>
        <w:spacing w:after="0"/>
        <w:ind w:left="142"/>
        <w:jc w:val="both"/>
        <w:rPr>
          <w:rFonts w:cs="DINPro"/>
        </w:rPr>
      </w:pPr>
      <w:r w:rsidRPr="00D70B5B">
        <w:rPr>
          <w:rFonts w:cs="Arial"/>
        </w:rPr>
        <w:t xml:space="preserve">Zdefiniowano </w:t>
      </w:r>
      <w:r w:rsidR="0016176F">
        <w:rPr>
          <w:rFonts w:cs="Arial"/>
        </w:rPr>
        <w:t>dwa</w:t>
      </w:r>
      <w:r w:rsidR="000560A2" w:rsidRPr="00D70B5B">
        <w:rPr>
          <w:rFonts w:cs="Arial"/>
        </w:rPr>
        <w:t xml:space="preserve"> kierunki interwencji. </w:t>
      </w:r>
      <w:r w:rsidR="00736DB9" w:rsidRPr="00D70B5B">
        <w:rPr>
          <w:rFonts w:cs="Calibri"/>
        </w:rPr>
        <w:t xml:space="preserve">W najbliższych latach podejmowane będą działania zmierzające do ograniczenia </w:t>
      </w:r>
      <w:r w:rsidR="00736DB9" w:rsidRPr="00D70B5B">
        <w:rPr>
          <w:rFonts w:cs="DINPro"/>
        </w:rPr>
        <w:t>niespójności i złożoności przepisów prawnych</w:t>
      </w:r>
      <w:r w:rsidR="00E418C4" w:rsidRPr="00D70B5B">
        <w:rPr>
          <w:rFonts w:cs="DINPro"/>
        </w:rPr>
        <w:t xml:space="preserve"> oraz istniejących luk prawnych, a także</w:t>
      </w:r>
      <w:r w:rsidR="00736DB9" w:rsidRPr="00D70B5B">
        <w:rPr>
          <w:rFonts w:cs="DINPro"/>
        </w:rPr>
        <w:t xml:space="preserve"> </w:t>
      </w:r>
      <w:r w:rsidR="00E418C4" w:rsidRPr="00D70B5B">
        <w:t xml:space="preserve">poprawy spójności i  przejrzystości systemu prawnego. </w:t>
      </w:r>
      <w:r w:rsidR="00736DB9" w:rsidRPr="00D70B5B">
        <w:rPr>
          <w:rFonts w:cs="DINPro"/>
        </w:rPr>
        <w:t xml:space="preserve">Działania te korzystnie wpłyną na jakość życia, rozwój gospodarki wzrost poziomu zaufania społecznego, a także </w:t>
      </w:r>
      <w:r w:rsidR="0016176F">
        <w:rPr>
          <w:rFonts w:cs="DINPro"/>
        </w:rPr>
        <w:t xml:space="preserve">będą </w:t>
      </w:r>
      <w:r w:rsidR="00736DB9" w:rsidRPr="00D70B5B">
        <w:rPr>
          <w:rFonts w:cs="Arial"/>
        </w:rPr>
        <w:t>sprzyjać zmianom w procesie stanowienia prawa i jakości przepisów regulacyjnych</w:t>
      </w:r>
      <w:r w:rsidR="00736DB9" w:rsidRPr="00D70B5B">
        <w:rPr>
          <w:rFonts w:cs="DINPro"/>
        </w:rPr>
        <w:t xml:space="preserve">. Dzięki efektywnym mechanizmom przeprowadzania oceny funkcjonowania obowiązującego prawa zostaną zminimalizowane obciążenia regulacyjne. </w:t>
      </w:r>
    </w:p>
    <w:p w14:paraId="5D2AE6FF" w14:textId="77777777" w:rsidR="0072706D" w:rsidRDefault="0072706D" w:rsidP="00736DB9">
      <w:pPr>
        <w:spacing w:after="0"/>
        <w:ind w:left="142"/>
        <w:jc w:val="both"/>
        <w:rPr>
          <w:rFonts w:cs="DINPro"/>
        </w:rPr>
      </w:pPr>
    </w:p>
    <w:p w14:paraId="3D464ED0" w14:textId="77777777" w:rsidR="0072706D" w:rsidRPr="00D70B5B" w:rsidRDefault="0072706D" w:rsidP="00736DB9">
      <w:pPr>
        <w:spacing w:after="0"/>
        <w:ind w:left="142"/>
        <w:jc w:val="both"/>
        <w:rPr>
          <w:rFonts w:cs="DINPro"/>
        </w:rPr>
      </w:pPr>
    </w:p>
    <w:p w14:paraId="29AA9EEF" w14:textId="6D997A5E" w:rsidR="00736DB9" w:rsidRPr="00F21196" w:rsidRDefault="0081313E" w:rsidP="00736DB9">
      <w:pPr>
        <w:spacing w:after="0"/>
        <w:ind w:left="142"/>
        <w:jc w:val="both"/>
        <w:rPr>
          <w:rFonts w:cs="DINPro"/>
          <w:color w:val="000000"/>
        </w:rPr>
      </w:pPr>
      <w:r w:rsidRPr="00F21196">
        <w:rPr>
          <w:rFonts w:cs="Arial"/>
          <w:noProof/>
          <w:color w:val="000000" w:themeColor="text1"/>
          <w:lang w:eastAsia="pl-PL"/>
        </w:rPr>
        <mc:AlternateContent>
          <mc:Choice Requires="wps">
            <w:drawing>
              <wp:anchor distT="0" distB="0" distL="114300" distR="114300" simplePos="0" relativeHeight="252077056" behindDoc="0" locked="0" layoutInCell="1" allowOverlap="1" wp14:anchorId="2B73BB7B" wp14:editId="2C4B6F0A">
                <wp:simplePos x="0" y="0"/>
                <wp:positionH relativeFrom="margin">
                  <wp:posOffset>-43396</wp:posOffset>
                </wp:positionH>
                <wp:positionV relativeFrom="paragraph">
                  <wp:posOffset>50836</wp:posOffset>
                </wp:positionV>
                <wp:extent cx="414068" cy="1623974"/>
                <wp:effectExtent l="0" t="0" r="24130" b="14605"/>
                <wp:wrapNone/>
                <wp:docPr id="70" name="Prostokąt 70"/>
                <wp:cNvGraphicFramePr/>
                <a:graphic xmlns:a="http://schemas.openxmlformats.org/drawingml/2006/main">
                  <a:graphicData uri="http://schemas.microsoft.com/office/word/2010/wordprocessingShape">
                    <wps:wsp>
                      <wps:cNvSpPr/>
                      <wps:spPr>
                        <a:xfrm>
                          <a:off x="0" y="0"/>
                          <a:ext cx="414068" cy="1623974"/>
                        </a:xfrm>
                        <a:prstGeom prst="rect">
                          <a:avLst/>
                        </a:prstGeom>
                        <a:solidFill>
                          <a:srgbClr val="CCCCFF"/>
                        </a:solidFill>
                        <a:ln>
                          <a:solidFill>
                            <a:srgbClr val="9999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043F17" w14:textId="77777777" w:rsidR="005D4C4C" w:rsidRPr="00E3677F" w:rsidRDefault="005D4C4C" w:rsidP="00736DB9">
                            <w:pPr>
                              <w:jc w:val="center"/>
                              <w:rPr>
                                <w:b/>
                                <w:color w:val="000000" w:themeColor="text1"/>
                                <w:sz w:val="28"/>
                              </w:rPr>
                            </w:pPr>
                            <w:r w:rsidRPr="00E3677F">
                              <w:rPr>
                                <w:b/>
                                <w:color w:val="000000" w:themeColor="text1"/>
                                <w:sz w:val="28"/>
                              </w:rPr>
                              <w:t>Kierunki interwencji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3BB7B" id="Prostokąt 70" o:spid="_x0000_s1046" style="position:absolute;left:0;text-align:left;margin-left:-3.4pt;margin-top:4pt;width:32.6pt;height:127.85pt;z-index:25207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JbXqwIAAMcFAAAOAAAAZHJzL2Uyb0RvYy54bWysVMFu2zAMvQ/YPwi6r7aztF2DOkWQIsOA&#10;ogvWDj0rspQYk0VNUmJn9/3ZPmyUZLtdV/QwzAeZEskn8onk5VXXKHIQ1tWgS1qc5JQIzaGq9bak&#10;X+9X7z5Q4jzTFVOgRUmPwtGr+ds3l62ZiQnsQFXCEgTRbtaaku68N7Msc3wnGuZOwAiNSgm2YR63&#10;dptVlrWI3qhskudnWQu2Mha4cA5Pr5OSziO+lIL7z1I64YkqKcbm42rjuglrNr9ks61lZlfzPgz2&#10;D1E0rNZ46Qh1zTwje1v/BdXU3IID6U84NBlIWXMRc8BsivxZNnc7ZkTMBclxZqTJ/T9YfntYW1JX&#10;JT1HejRr8I3WGKGHb79+eoKHyFBr3AwN78za9juHYki3k7YJf0yEdJHV48iq6DzheDgtpvkZlgFH&#10;VXE2eX9xPg2g2aO3sc5/FNCQIJTU4qtFMtnhxvlkOpiEyxyoulrVSsWN3W6WypIDwxde4rda9eh/&#10;mCn9uucFfi95YpTBNQsUpKSj5I9KBEClvwiJ9GGakxhyLFwxBsQ4F9oXSbVjlUhxnub4DWGGUg8e&#10;kZIIGJAl5jdi9wCDZQIZsBNBvX1wFbHuR+f8tcCS8+gRbwbtR+em1mBfAlCYVX9zsh9IStQElny3&#10;6WJpTcYq2kB1xHqzkBrRGb6q8c1vmPNrZrHzsAhxmvjPuEgFbUmhlyjZgf3x0nmwL2lYJ6GGW2zm&#10;krrve2YFJeqTxm65KKbT0P1xMz09x4CIfarZPNXofbMErKYCR5fhUQz2Xg2itNA84NxZhItRxTTH&#10;4ErKvR02S5+GDE4uLhaLaIYdb5i/0XeGB/DAdSjr++6BWdPXvseuuYWh8dnsWQsk2+CpYbH3IOvY&#10;H4HtRG3/CjgtYjn1ky2Mo6f7aPU4f+e/AQAA//8DAFBLAwQUAAYACAAAACEA2ooJH94AAAAHAQAA&#10;DwAAAGRycy9kb3ducmV2LnhtbEzPwU7DMAwG4DsS7xAZiUu1pRuj60rdCZA4sFs3DhyzxjQVTVI1&#10;2VZ4eswJjtZv/f5cbifbizONofMOYTFPQZBrvO5ci/B2eJnlIEJUTqveO0L4ogDb6vqqVIX2F1fT&#10;eR9bwSUuFArBxDgUUobGkFVh7gdynH340arI49hKPaoLl9teLtM0k1Z1ji8YNdCzoeZzf7IItks2&#10;3+95TFaHOtk9JWm96F4N4u3N9PgAItIU/5bhl890qNh09Ceng+gRZhnLI0LOH3F8n69AHBGW2d0a&#10;ZFXK//7qBwAA//8DAFBLAQItABQABgAIAAAAIQC2gziS/gAAAOEBAAATAAAAAAAAAAAAAAAAAAAA&#10;AABbQ29udGVudF9UeXBlc10ueG1sUEsBAi0AFAAGAAgAAAAhADj9If/WAAAAlAEAAAsAAAAAAAAA&#10;AAAAAAAALwEAAF9yZWxzLy5yZWxzUEsBAi0AFAAGAAgAAAAhAIKIlterAgAAxwUAAA4AAAAAAAAA&#10;AAAAAAAALgIAAGRycy9lMm9Eb2MueG1sUEsBAi0AFAAGAAgAAAAhANqKCR/eAAAABwEAAA8AAAAA&#10;AAAAAAAAAAAABQUAAGRycy9kb3ducmV2LnhtbFBLBQYAAAAABAAEAPMAAAAQBgAAAAA=&#10;" fillcolor="#ccf" strokecolor="#99f" strokeweight="1pt">
                <v:textbox style="layout-flow:vertical;mso-layout-flow-alt:bottom-to-top">
                  <w:txbxContent>
                    <w:p w14:paraId="65043F17" w14:textId="77777777" w:rsidR="005D4C4C" w:rsidRPr="00E3677F" w:rsidRDefault="005D4C4C" w:rsidP="00736DB9">
                      <w:pPr>
                        <w:jc w:val="center"/>
                        <w:rPr>
                          <w:b/>
                          <w:color w:val="000000" w:themeColor="text1"/>
                          <w:sz w:val="28"/>
                        </w:rPr>
                      </w:pPr>
                      <w:r w:rsidRPr="00E3677F">
                        <w:rPr>
                          <w:b/>
                          <w:color w:val="000000" w:themeColor="text1"/>
                          <w:sz w:val="28"/>
                        </w:rPr>
                        <w:t>Kierunki interwencji</w:t>
                      </w:r>
                    </w:p>
                  </w:txbxContent>
                </v:textbox>
                <w10:wrap anchorx="margin"/>
              </v:rect>
            </w:pict>
          </mc:Fallback>
        </mc:AlternateContent>
      </w:r>
    </w:p>
    <w:p w14:paraId="11A00F2B" w14:textId="3C5227BD" w:rsidR="00245532" w:rsidRPr="00F21196" w:rsidRDefault="00F95798" w:rsidP="00BA12E7">
      <w:pPr>
        <w:spacing w:after="0"/>
        <w:ind w:left="4253"/>
        <w:jc w:val="both"/>
        <w:rPr>
          <w:rFonts w:cs="Arial"/>
          <w:color w:val="000000" w:themeColor="text1"/>
        </w:rPr>
      </w:pPr>
      <w:r w:rsidRPr="00F21196">
        <w:rPr>
          <w:rFonts w:cs="Arial"/>
          <w:noProof/>
          <w:color w:val="000000" w:themeColor="text1"/>
          <w:lang w:eastAsia="pl-PL"/>
        </w:rPr>
        <mc:AlternateContent>
          <mc:Choice Requires="wps">
            <w:drawing>
              <wp:anchor distT="0" distB="0" distL="114300" distR="114300" simplePos="0" relativeHeight="252141568" behindDoc="0" locked="0" layoutInCell="1" allowOverlap="1" wp14:anchorId="685128A6" wp14:editId="4EA4FF51">
                <wp:simplePos x="0" y="0"/>
                <wp:positionH relativeFrom="margin">
                  <wp:posOffset>803225</wp:posOffset>
                </wp:positionH>
                <wp:positionV relativeFrom="paragraph">
                  <wp:posOffset>10846</wp:posOffset>
                </wp:positionV>
                <wp:extent cx="4864608" cy="675556"/>
                <wp:effectExtent l="0" t="0" r="12700" b="10795"/>
                <wp:wrapNone/>
                <wp:docPr id="57" name="Prostokąt zaokrąglony 57"/>
                <wp:cNvGraphicFramePr/>
                <a:graphic xmlns:a="http://schemas.openxmlformats.org/drawingml/2006/main">
                  <a:graphicData uri="http://schemas.microsoft.com/office/word/2010/wordprocessingShape">
                    <wps:wsp>
                      <wps:cNvSpPr/>
                      <wps:spPr>
                        <a:xfrm>
                          <a:off x="0" y="0"/>
                          <a:ext cx="4864608" cy="675556"/>
                        </a:xfrm>
                        <a:prstGeom prst="roundRect">
                          <a:avLst/>
                        </a:prstGeom>
                        <a:solidFill>
                          <a:sysClr val="window" lastClr="FFFFFF">
                            <a:lumMod val="85000"/>
                          </a:sysClr>
                        </a:solidFill>
                        <a:ln w="12700" cap="flat" cmpd="sng" algn="ctr">
                          <a:solidFill>
                            <a:sysClr val="window" lastClr="FFFFFF">
                              <a:lumMod val="85000"/>
                            </a:sysClr>
                          </a:solidFill>
                          <a:prstDash val="solid"/>
                          <a:miter lim="800000"/>
                        </a:ln>
                        <a:effectLst/>
                      </wps:spPr>
                      <wps:txbx>
                        <w:txbxContent>
                          <w:p w14:paraId="4063DAF0" w14:textId="2AE39660" w:rsidR="005D4C4C" w:rsidRPr="0081313E" w:rsidRDefault="005D4C4C" w:rsidP="00E90F90">
                            <w:pPr>
                              <w:ind w:left="142" w:hanging="142"/>
                              <w:rPr>
                                <w:i/>
                              </w:rPr>
                            </w:pPr>
                            <w:r w:rsidRPr="0081313E">
                              <w:rPr>
                                <w:b/>
                                <w:i/>
                              </w:rPr>
                              <w:t>1.</w:t>
                            </w:r>
                            <w:r w:rsidRPr="0081313E">
                              <w:rPr>
                                <w:b/>
                                <w:i/>
                                <w:color w:val="000000"/>
                                <w:lang w:eastAsia="pl-PL"/>
                              </w:rPr>
                              <w:t xml:space="preserve"> Zwiększenie przejrzystości stanowienia prawa i wzmocnienie współpracy </w:t>
                            </w:r>
                            <w:r>
                              <w:rPr>
                                <w:b/>
                                <w:i/>
                                <w:color w:val="000000"/>
                                <w:lang w:eastAsia="pl-PL"/>
                              </w:rPr>
                              <w:br/>
                            </w:r>
                            <w:r w:rsidRPr="0081313E">
                              <w:rPr>
                                <w:b/>
                                <w:i/>
                                <w:color w:val="000000"/>
                                <w:lang w:eastAsia="pl-PL"/>
                              </w:rPr>
                              <w:t>z podmiotami społecznymi i korporacyjnymi.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5128A6" id="Prostokąt zaokrąglony 57" o:spid="_x0000_s1047" style="position:absolute;left:0;text-align:left;margin-left:63.25pt;margin-top:.85pt;width:383.05pt;height:53.2pt;z-index:25214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h6OpwIAAHsFAAAOAAAAZHJzL2Uyb0RvYy54bWysVEtv2zAMvg/YfxB0X+0EeS2oUwQtMgzo&#10;2mDp0LMiy7FQSdQkJU567z/rDxslO+ljOw3NQSEtio+PH3l+sdeK7ITzEkxBe2c5JcJwKKXZFPTX&#10;3eLLhBIfmCmZAiMKehCeXsw+fzpv7FT0oQZVCkfQifHTxha0DsFOs8zzWmjmz8AKg5cVOM0Cqm6T&#10;lY416F2rrJ/no6wBV1oHXHiPX6/aSzpL/qtK8HBbVV4EogqKuYV0unSu45nNztl045itJe/SYP+R&#10;hWbSYNCTqysWGNk6+ZcrLbkDD1U446AzqCrJRaoBq+nl76pZ1cyKVAuC4+0JJv9xbvnNbumILAs6&#10;HFNimMYeLTHDAA/PT4E8Mnhwz08bbN6BoAXC1Vg/xVcru3Sd5lGMte8rp+M/VkX2CeLDCWKxD4Tj&#10;x8FkNBjlSAqOd6PxcDgcRafZy2vrfPgmQJMoFNTB1pQ/sY8JXra79qG1P9rFiB6ULBdSqaQc/KVy&#10;ZMew5ciUEhpKFPMBPxZ0kX7Jl9rqH1C2dpNhnicyYCI+vU85vfGrDGmQ4v0xWhLOkKyVYgFFbRE+&#10;bzaUMLXBKeDBpQBvXrdePz6rCMMV83XrOYVsSa1lwMlSUhd0gsWdylMmgiTSbHRgxpa2TYxS2K/3&#10;iRH93rHfaygPSBMH7fx4yxcS414jqkvmcGAQEVwC4RaPSgHCBJ1ESQ3u8V/foz3yGG8paXAAEcLf&#10;W+YENuu7QYZ/7Q0GcWKTMhiO+6i41zfr1zdmqy8BG97DdWN5EqN9UEexcqDvcVfMY1S8YoZj7LZZ&#10;nXIZ2sWA24aL+TyZ4ZRaFq7NyvLoPEIXEb/b3zNnO4oGJPcNHIeVTd+RtLWNLw3MtwEqmRgcoW5x&#10;RapFBSc8ka7bRnGFvNaT1cvOnP0BAAD//wMAUEsDBBQABgAIAAAAIQCO0RFg2wAAAAkBAAAPAAAA&#10;ZHJzL2Rvd25yZXYueG1sTI/NTsMwEITvSLyDtUjcqJNIpCGNUyEk7m35EUc33iZR7XWI3SR9e5YT&#10;3PbTjGZnqu3irJhwDL0nBekqAYHUeNNTq+D97fWhABGiJqOtJ1RwxQDb+vam0qXxM+1xOsRWcAiF&#10;UivoYhxKKUPTodNh5Qck1k5+dDoyjq00o5453FmZJUkune6JP3R6wJcOm/Ph4hR8fn2fLBb79Jqv&#10;Ux9pnj92006p+7vleQMi4hL/zPBbn6tDzZ2O/kImCMuc5Y9s5WMNgvXiKctBHJmTIgVZV/L/gvoH&#10;AAD//wMAUEsBAi0AFAAGAAgAAAAhALaDOJL+AAAA4QEAABMAAAAAAAAAAAAAAAAAAAAAAFtDb250&#10;ZW50X1R5cGVzXS54bWxQSwECLQAUAAYACAAAACEAOP0h/9YAAACUAQAACwAAAAAAAAAAAAAAAAAv&#10;AQAAX3JlbHMvLnJlbHNQSwECLQAUAAYACAAAACEAaQoejqcCAAB7BQAADgAAAAAAAAAAAAAAAAAu&#10;AgAAZHJzL2Uyb0RvYy54bWxQSwECLQAUAAYACAAAACEAjtERYNsAAAAJAQAADwAAAAAAAAAAAAAA&#10;AAABBQAAZHJzL2Rvd25yZXYueG1sUEsFBgAAAAAEAAQA8wAAAAkGAAAAAA==&#10;" fillcolor="#d9d9d9" strokecolor="#d9d9d9" strokeweight="1pt">
                <v:stroke joinstyle="miter"/>
                <v:textbox>
                  <w:txbxContent>
                    <w:p w14:paraId="4063DAF0" w14:textId="2AE39660" w:rsidR="005D4C4C" w:rsidRPr="0081313E" w:rsidRDefault="005D4C4C" w:rsidP="00E90F90">
                      <w:pPr>
                        <w:ind w:left="142" w:hanging="142"/>
                        <w:rPr>
                          <w:i/>
                        </w:rPr>
                      </w:pPr>
                      <w:r w:rsidRPr="0081313E">
                        <w:rPr>
                          <w:b/>
                          <w:i/>
                        </w:rPr>
                        <w:t>1.</w:t>
                      </w:r>
                      <w:r w:rsidRPr="0081313E">
                        <w:rPr>
                          <w:b/>
                          <w:i/>
                          <w:color w:val="000000"/>
                          <w:lang w:eastAsia="pl-PL"/>
                        </w:rPr>
                        <w:t xml:space="preserve"> Zwiększenie przejrzystości stanowienia prawa i wzmocnienie współpracy </w:t>
                      </w:r>
                      <w:r>
                        <w:rPr>
                          <w:b/>
                          <w:i/>
                          <w:color w:val="000000"/>
                          <w:lang w:eastAsia="pl-PL"/>
                        </w:rPr>
                        <w:br/>
                      </w:r>
                      <w:r w:rsidRPr="0081313E">
                        <w:rPr>
                          <w:b/>
                          <w:i/>
                          <w:color w:val="000000"/>
                          <w:lang w:eastAsia="pl-PL"/>
                        </w:rPr>
                        <w:t>z podmiotami społecznymi i korporacyjnymi.</w:t>
                      </w:r>
                    </w:p>
                  </w:txbxContent>
                </v:textbox>
                <w10:wrap anchorx="margin"/>
              </v:roundrect>
            </w:pict>
          </mc:Fallback>
        </mc:AlternateContent>
      </w:r>
    </w:p>
    <w:p w14:paraId="44729E04" w14:textId="7656F89A" w:rsidR="00245532" w:rsidRPr="00F21196" w:rsidRDefault="00F2346A" w:rsidP="00BA12E7">
      <w:pPr>
        <w:spacing w:after="0"/>
        <w:ind w:left="4253"/>
        <w:jc w:val="both"/>
        <w:rPr>
          <w:rFonts w:cs="Arial"/>
          <w:color w:val="000000" w:themeColor="text1"/>
        </w:rPr>
      </w:pPr>
      <w:r w:rsidRPr="00F21196">
        <w:rPr>
          <w:rFonts w:cs="Arial"/>
          <w:noProof/>
          <w:color w:val="000000" w:themeColor="text1"/>
          <w:lang w:eastAsia="pl-PL"/>
        </w:rPr>
        <mc:AlternateContent>
          <mc:Choice Requires="wps">
            <w:drawing>
              <wp:anchor distT="0" distB="0" distL="114300" distR="114300" simplePos="0" relativeHeight="251902976" behindDoc="0" locked="0" layoutInCell="1" allowOverlap="1" wp14:anchorId="1910D64A" wp14:editId="1C5D0790">
                <wp:simplePos x="0" y="0"/>
                <wp:positionH relativeFrom="margin">
                  <wp:posOffset>367665</wp:posOffset>
                </wp:positionH>
                <wp:positionV relativeFrom="paragraph">
                  <wp:posOffset>5080</wp:posOffset>
                </wp:positionV>
                <wp:extent cx="400050" cy="314325"/>
                <wp:effectExtent l="0" t="19050" r="38100" b="47625"/>
                <wp:wrapNone/>
                <wp:docPr id="67" name="Strzałka w prawo 67"/>
                <wp:cNvGraphicFramePr/>
                <a:graphic xmlns:a="http://schemas.openxmlformats.org/drawingml/2006/main">
                  <a:graphicData uri="http://schemas.microsoft.com/office/word/2010/wordprocessingShape">
                    <wps:wsp>
                      <wps:cNvSpPr/>
                      <wps:spPr>
                        <a:xfrm>
                          <a:off x="0" y="0"/>
                          <a:ext cx="400050" cy="314325"/>
                        </a:xfrm>
                        <a:prstGeom prst="rightArrow">
                          <a:avLst/>
                        </a:prstGeom>
                        <a:solidFill>
                          <a:srgbClr val="CCCCFF"/>
                        </a:solidFill>
                        <a:ln>
                          <a:solidFill>
                            <a:srgbClr val="9999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45510" id="Strzałka w prawo 67" o:spid="_x0000_s1026" type="#_x0000_t13" style="position:absolute;margin-left:28.95pt;margin-top:.4pt;width:31.5pt;height:24.75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vHOpwIAAL0FAAAOAAAAZHJzL2Uyb0RvYy54bWysVMFu2zAMvQ/YPwi6r3bSpF2DOkWQIsOA&#10;og2WDj0rshwbk0WNUuKkx/3b/muU7LhdW/QwLAdFNMlH8onk5dW+1myn0FVgMj44STlTRkJemU3G&#10;v98vPn3mzHlhcqHBqIwflONX048fLhs7UUMoQecKGYEYN2lsxkvv7SRJnCxVLdwJWGVIWQDWwpOI&#10;myRH0RB6rZNhmp4lDWBuEaRyjr5et0o+jfhFoaS/KwqnPNMZp9x8PDGe63Am00sx2aCwZSW7NMQ/&#10;ZFGLylDQHupaeMG2WL2CqiuJ4KDwJxLqBIqikirWQNUM0hfVrEphVayFyHG2p8n9P1h5u1siq/KM&#10;n51zZkRNb7Ty+Ch+//ohWMMsEQqMdERUY92E7Fd2iZ3k6Bqq3hdYh3+qh+0juYeeXLX3TNLHUZqm&#10;Y3oCSarTweh0OA6YyZOzRee/KKgppqN3wmpT+hkiNJFYsbtxvnU4GoaIDnSVLyqto4Cb9Vwj2wl6&#10;7Tn9Fosuxl9m2rzveUG/tzwp1+CaBB7ayuPNH7QKgNp8UwVRSbUOY8qxiVWfkJBSGT9oVaXIVZvn&#10;mHiJfUjwvUckJgIG5ILq67E7gDAgr7Fbgjr74KriDPTO6XuJtc69R4wMxvfOdWUA3wLQVFUXubU/&#10;ktRSE1haQ36gRkNoJ9BZuajomW+E80uBNHLUGbRG/B0dhYYm49DdOCsBH9/6HuxpEkjLWUMjnHH3&#10;cytQcaa/GpqRi8FoFGY+CqPx+ZAEfK5ZP9eYbT0H6psBLSwr4zXYe328Fgj1A22bWYhKKmEkxc64&#10;9HgU5r5dLbSvpJrNohnNuRX+xqysDOCB1dDA9/sHgbbrdU9DcgvHcReTF83e2gZPA7Oth6KKk/DE&#10;a8c37YjYON0+C0vouRytnrbu9A8AAAD//wMAUEsDBBQABgAIAAAAIQBCZLFn2AAAAAYBAAAPAAAA&#10;ZHJzL2Rvd25yZXYueG1sTI7LTsMwEEX3SPyDNUjsqE1QeYQ4VYvEB7RBRexce0gi7HEUu2ng65mu&#10;YHkfuvdUqzl4MeGY+kgabhcKBJKNrqdWw1vzevMIImVDzvhIqOEbE6zqy4vKlC6eaIvTLreCRyiV&#10;RkOX81BKmWyHwaRFHJA4+4xjMJnl2Eo3mhOPBy8Lpe5lMD3xQ2cGfOnQfu2OQUNSfvPRFGa9n5Y/&#10;oZne7Wa7t1pfX83rZxAZ5/xXhjM+o0PNTId4JJeE17B8eOKmBuY/p4VieWBb3YGsK/kfv/4FAAD/&#10;/wMAUEsBAi0AFAAGAAgAAAAhALaDOJL+AAAA4QEAABMAAAAAAAAAAAAAAAAAAAAAAFtDb250ZW50&#10;X1R5cGVzXS54bWxQSwECLQAUAAYACAAAACEAOP0h/9YAAACUAQAACwAAAAAAAAAAAAAAAAAvAQAA&#10;X3JlbHMvLnJlbHNQSwECLQAUAAYACAAAACEAkebxzqcCAAC9BQAADgAAAAAAAAAAAAAAAAAuAgAA&#10;ZHJzL2Uyb0RvYy54bWxQSwECLQAUAAYACAAAACEAQmSxZ9gAAAAGAQAADwAAAAAAAAAAAAAAAAAB&#10;BQAAZHJzL2Rvd25yZXYueG1sUEsFBgAAAAAEAAQA8wAAAAYGAAAAAA==&#10;" adj="13114" fillcolor="#ccf" strokecolor="#99f" strokeweight="1pt">
                <w10:wrap anchorx="margin"/>
              </v:shape>
            </w:pict>
          </mc:Fallback>
        </mc:AlternateContent>
      </w:r>
    </w:p>
    <w:p w14:paraId="7C24DE89" w14:textId="77777777" w:rsidR="00245532" w:rsidRPr="00F21196" w:rsidRDefault="00245532" w:rsidP="00BA12E7">
      <w:pPr>
        <w:spacing w:after="0"/>
        <w:ind w:left="4253"/>
        <w:jc w:val="both"/>
        <w:rPr>
          <w:rFonts w:cs="Arial"/>
          <w:color w:val="000000" w:themeColor="text1"/>
        </w:rPr>
      </w:pPr>
    </w:p>
    <w:p w14:paraId="2D7A1ADE" w14:textId="2A5F3135" w:rsidR="00245532" w:rsidRPr="00F21196" w:rsidRDefault="00245532" w:rsidP="00BA12E7">
      <w:pPr>
        <w:spacing w:after="0"/>
        <w:ind w:left="4253"/>
        <w:jc w:val="both"/>
        <w:rPr>
          <w:rFonts w:cs="Arial"/>
          <w:color w:val="000000" w:themeColor="text1"/>
        </w:rPr>
      </w:pPr>
    </w:p>
    <w:p w14:paraId="40657C1B" w14:textId="44461C53" w:rsidR="00BA12E7" w:rsidRPr="00F21196" w:rsidRDefault="00F2346A" w:rsidP="00BA12E7">
      <w:pPr>
        <w:spacing w:after="0"/>
        <w:jc w:val="both"/>
        <w:rPr>
          <w:rFonts w:cs="Arial"/>
          <w:color w:val="000000" w:themeColor="text1"/>
        </w:rPr>
      </w:pPr>
      <w:r w:rsidRPr="00F21196">
        <w:rPr>
          <w:rFonts w:cs="Arial"/>
          <w:noProof/>
          <w:color w:val="000000" w:themeColor="text1"/>
          <w:lang w:eastAsia="pl-PL"/>
        </w:rPr>
        <mc:AlternateContent>
          <mc:Choice Requires="wps">
            <w:drawing>
              <wp:anchor distT="0" distB="0" distL="114300" distR="114300" simplePos="0" relativeHeight="251901952" behindDoc="0" locked="0" layoutInCell="1" allowOverlap="1" wp14:anchorId="42E24CB8" wp14:editId="1C22D2A4">
                <wp:simplePos x="0" y="0"/>
                <wp:positionH relativeFrom="margin">
                  <wp:posOffset>781279</wp:posOffset>
                </wp:positionH>
                <wp:positionV relativeFrom="paragraph">
                  <wp:posOffset>56972</wp:posOffset>
                </wp:positionV>
                <wp:extent cx="4864608" cy="516255"/>
                <wp:effectExtent l="0" t="0" r="12700" b="17145"/>
                <wp:wrapNone/>
                <wp:docPr id="75" name="Prostokąt zaokrąglony 75"/>
                <wp:cNvGraphicFramePr/>
                <a:graphic xmlns:a="http://schemas.openxmlformats.org/drawingml/2006/main">
                  <a:graphicData uri="http://schemas.microsoft.com/office/word/2010/wordprocessingShape">
                    <wps:wsp>
                      <wps:cNvSpPr/>
                      <wps:spPr>
                        <a:xfrm>
                          <a:off x="0" y="0"/>
                          <a:ext cx="4864608" cy="516255"/>
                        </a:xfrm>
                        <a:prstGeom prst="roundRect">
                          <a:avLst/>
                        </a:prstGeom>
                        <a:solidFill>
                          <a:schemeClr val="bg1">
                            <a:lumMod val="85000"/>
                          </a:schemeClr>
                        </a:solidFill>
                        <a:ln w="12700" cap="flat" cmpd="sng" algn="ctr">
                          <a:solidFill>
                            <a:schemeClr val="bg1">
                              <a:lumMod val="85000"/>
                            </a:schemeClr>
                          </a:solidFill>
                          <a:prstDash val="solid"/>
                          <a:miter lim="800000"/>
                        </a:ln>
                        <a:effectLst/>
                      </wps:spPr>
                      <wps:txbx>
                        <w:txbxContent>
                          <w:p w14:paraId="673F5022" w14:textId="5918785D" w:rsidR="005D4C4C" w:rsidRPr="0081313E" w:rsidRDefault="005D4C4C" w:rsidP="00F95798">
                            <w:pPr>
                              <w:ind w:left="142" w:hanging="142"/>
                              <w:rPr>
                                <w:i/>
                              </w:rPr>
                            </w:pPr>
                            <w:r>
                              <w:rPr>
                                <w:b/>
                              </w:rPr>
                              <w:t xml:space="preserve">2. </w:t>
                            </w:r>
                            <w:r w:rsidRPr="0081313E">
                              <w:rPr>
                                <w:b/>
                                <w:i/>
                                <w:color w:val="000000"/>
                                <w:lang w:eastAsia="pl-PL"/>
                              </w:rPr>
                              <w:t>Identyfikacja, analiza i redukcja obciążeń regulacyjnych oraz eliminacja niespójności i niejednoznaczności przepisów prawnych.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E24CB8" id="Prostokąt zaokrąglony 75" o:spid="_x0000_s1048" style="position:absolute;left:0;text-align:left;margin-left:61.5pt;margin-top:4.5pt;width:383.05pt;height:40.65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UhnwIAAF8FAAAOAAAAZHJzL2Uyb0RvYy54bWysVM1u2zAMvg/YOwi6r3aMJM2COkXQosOA&#10;rg2WDj0rsvyDSqImKbHTe9+sDzZKdtKf7bTtYpMiRYofP/LsvFOS7IR1Deicjk5SSoTmUDS6yumP&#10;u6tPM0qcZ7pgErTI6V44er74+OGsNXORQQ2yEJZgEO3mrclp7b2ZJ4njtVDMnYARGo0lWMU8qrZK&#10;CstajK5kkqXpNGnBFsYCF87h6WVvpIsYvywF97dl6YQnMqf4Nh+/Nn434Zsszti8sszUDR+ewf7i&#10;FYo1GpMeQ10yz8jWNr+FUg234KD0JxxUAmXZcBFrwGpG6btq1jUzItaC4DhzhMn9v7D8ZreypCly&#10;ejqhRDOFPVrhCz08PD958sjgwT4/Vdi8PUEPhKs1bo631mZlB82hGGrvSqvCH6siXYR4f4RYdJ5w&#10;PBzPpuNpiqTgaJuMptkkBk1ebhvr/BcBigQhpxa2uviOfYzwst2185gW/Q9+IaMD2RRXjZRRCdwR&#10;F9KSHcOub6pRvCq36hsU/dlskqax9xgnUi24x6hvIklNWiR1dorOhDOkZymZR1EZBMzpihImK+Q9&#10;9zbmeHP7GPif3xFKvWSu7gPFJD1xVeNxemSjcjrDio41SR2AEJH/A2ChbX2jguS7TRe7nmWHnm6g&#10;2CMVLPQz4gy/ajDvNXN+xSwOBWKAg+5v8VNKQGBgkCipwT7+6Tz4I1fRSkmLQ4ag/dwyKyiRXzWy&#10;+PNoPA5TGZXx5DRDxb62bF5b9FZdAHZ0hCvF8CgGfy8PYmlB3eM+WIasaGKaY+6+PYNy4fvhx43C&#10;xXIZ3XASDfPXem14CB6gC4jfdffMmoGGHgl8A4eBZPN3ROx9w00Ny62HsoksDVD3uCK5goJTHGk2&#10;bJywJl7r0etlLy5+AQAA//8DAFBLAwQUAAYACAAAACEAM/XZfNsAAAAIAQAADwAAAGRycy9kb3du&#10;cmV2LnhtbEyPS0/DMBCE70j8B2uRuFEnrYTSEKdCPE6caKrS4zbePES8jmK3Df+e7QlOq08zmp0p&#10;NrMb1Jmm0Hs2kC4SUMS1tz23BnbV+0MGKkRki4NnMvBDATbl7U2BufUX/qTzNrZKQjjkaKCLccy1&#10;DnVHDsPCj8SiNX5yGAWnVtsJLxLuBr1MkkftsGf50OFILx3V39uTM4DWjWlzqN4+QnX42jf82u1s&#10;Zcz93fz8BCrSHP/McK0v1aGUTkd/YhvUILxcyZZoYC1H9Cxbp6COV16BLgv9f0D5CwAA//8DAFBL&#10;AQItABQABgAIAAAAIQC2gziS/gAAAOEBAAATAAAAAAAAAAAAAAAAAAAAAABbQ29udGVudF9UeXBl&#10;c10ueG1sUEsBAi0AFAAGAAgAAAAhADj9If/WAAAAlAEAAAsAAAAAAAAAAAAAAAAALwEAAF9yZWxz&#10;Ly5yZWxzUEsBAi0AFAAGAAgAAAAhAL4EdSGfAgAAXwUAAA4AAAAAAAAAAAAAAAAALgIAAGRycy9l&#10;Mm9Eb2MueG1sUEsBAi0AFAAGAAgAAAAhADP12XzbAAAACAEAAA8AAAAAAAAAAAAAAAAA+QQAAGRy&#10;cy9kb3ducmV2LnhtbFBLBQYAAAAABAAEAPMAAAABBgAAAAA=&#10;" fillcolor="#d8d8d8 [2732]" strokecolor="#d8d8d8 [2732]" strokeweight="1pt">
                <v:stroke joinstyle="miter"/>
                <v:textbox>
                  <w:txbxContent>
                    <w:p w14:paraId="673F5022" w14:textId="5918785D" w:rsidR="005D4C4C" w:rsidRPr="0081313E" w:rsidRDefault="005D4C4C" w:rsidP="00F95798">
                      <w:pPr>
                        <w:ind w:left="142" w:hanging="142"/>
                        <w:rPr>
                          <w:i/>
                        </w:rPr>
                      </w:pPr>
                      <w:r>
                        <w:rPr>
                          <w:b/>
                        </w:rPr>
                        <w:t xml:space="preserve">2. </w:t>
                      </w:r>
                      <w:r w:rsidRPr="0081313E">
                        <w:rPr>
                          <w:b/>
                          <w:i/>
                          <w:color w:val="000000"/>
                          <w:lang w:eastAsia="pl-PL"/>
                        </w:rPr>
                        <w:t>Identyfikacja, analiza i redukcja obciążeń regulacyjnych oraz eliminacja niespójności i niejednoznaczności przepisów prawnych.</w:t>
                      </w:r>
                    </w:p>
                  </w:txbxContent>
                </v:textbox>
                <w10:wrap anchorx="margin"/>
              </v:roundrect>
            </w:pict>
          </mc:Fallback>
        </mc:AlternateContent>
      </w:r>
      <w:r w:rsidRPr="00F21196">
        <w:rPr>
          <w:rFonts w:cs="Arial"/>
          <w:noProof/>
          <w:color w:val="000000" w:themeColor="text1"/>
          <w:lang w:eastAsia="pl-PL"/>
        </w:rPr>
        <mc:AlternateContent>
          <mc:Choice Requires="wps">
            <w:drawing>
              <wp:anchor distT="0" distB="0" distL="114300" distR="114300" simplePos="0" relativeHeight="251905024" behindDoc="0" locked="0" layoutInCell="1" allowOverlap="1" wp14:anchorId="44FAF87A" wp14:editId="50B975C4">
                <wp:simplePos x="0" y="0"/>
                <wp:positionH relativeFrom="margin">
                  <wp:posOffset>359024</wp:posOffset>
                </wp:positionH>
                <wp:positionV relativeFrom="paragraph">
                  <wp:posOffset>130037</wp:posOffset>
                </wp:positionV>
                <wp:extent cx="381000" cy="314325"/>
                <wp:effectExtent l="0" t="19050" r="38100" b="47625"/>
                <wp:wrapNone/>
                <wp:docPr id="68" name="Strzałka w prawo 68"/>
                <wp:cNvGraphicFramePr/>
                <a:graphic xmlns:a="http://schemas.openxmlformats.org/drawingml/2006/main">
                  <a:graphicData uri="http://schemas.microsoft.com/office/word/2010/wordprocessingShape">
                    <wps:wsp>
                      <wps:cNvSpPr/>
                      <wps:spPr>
                        <a:xfrm>
                          <a:off x="0" y="0"/>
                          <a:ext cx="381000" cy="314325"/>
                        </a:xfrm>
                        <a:prstGeom prst="rightArrow">
                          <a:avLst/>
                        </a:prstGeom>
                        <a:solidFill>
                          <a:srgbClr val="CCCCFF"/>
                        </a:solidFill>
                        <a:ln w="12700" cap="flat" cmpd="sng" algn="ctr">
                          <a:solidFill>
                            <a:srgbClr val="9999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C352F" id="Strzałka w prawo 68" o:spid="_x0000_s1026" type="#_x0000_t13" style="position:absolute;margin-left:28.25pt;margin-top:10.25pt;width:30pt;height:24.75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YAZfwIAAAAFAAAOAAAAZHJzL2Uyb0RvYy54bWysVEtv2zAMvg/YfxB0X52k6ctoUgQpMgwo&#10;2gDp0DMjy7EwvUYpcdrj/tv+1yjZbdOup2E+yKJI8fHxoy6v9kazncSgnJ3w4dGAM2mFq5TdTPj3&#10;+8WXc85CBFuBdlZO+KMM/Gr6+dNl60s5co3TlURGTmwoWz/hTYy+LIogGmkgHDkvLSlrhwYiibgp&#10;KoSWvBtdjAaD06J1WHl0QoZAp9edkk+z/7qWIt7VdZCR6Qmn3GJeMa/rtBbTSyg3CL5Rok8D/iEL&#10;A8pS0BdX1xCBbVH95coogS64Oh4JZwpX10rIXANVMxy8q2bVgJe5FgIn+BeYwv9zK253S2SqmvBT&#10;6pQFQz1aRXyC379+AGuZJ0AdIx0B1fpQkv3KL7GXAm1T1fsaTfpTPWyfwX18AVfuIxN0eHw+HAyo&#10;BYJUx8Px8egk+SxeL3sM8at0hmIG6hOqTRNniK7NwMLuJsTuwrNhihicVtVCaZ0F3KznGtkOqNtz&#10;+haLPsYbM21ZS1wdneV0gFhXa4iUmfGEQ7AbzkBviM4iYo795nY4DHJB38dBUpLXEJoumewh5QKl&#10;UZEYr5WZ8HMChHLoqtI2aWXmbF9qAryDOO3WrnqkXqHrSBy8WCgKcgMhLgGJtQQuTWK8o6XWjkp0&#10;/Y6zxuHTR+fJnshEWs5amgIq/+cWUHKmv1mi2cVwPE5jk4XxydmIBDzUrA81dmvmjqAf0sx7kbfJ&#10;PurnbY3OPNDAzlJUUoEVFLsDuhfmsZtOGnkhZ7NsRqPiId7YlRfJecIpwXu/fwD0PV0i8ezWPU8M&#10;lO/40tmmm9bNttHVKpPpFVeiYhJozDIp+ychzfGhnK1eH67pHwAAAP//AwBQSwMEFAAGAAgAAAAh&#10;AN5i8ebdAAAACAEAAA8AAABkcnMvZG93bnJldi54bWxMj0FPwzAMhe9I/IfISNxY0qFuUOpObBI3&#10;LluHELesNU1F45Qm2wq/fukJTpb9np6/l69G24kTDb51jJDMFAjiytUtNwj78uXuAYQPmmvdOSaE&#10;H/KwKq6vcp3V7sxbOu1CI2II+0wjmBD6TEpfGbLaz1xPHLVPN1gd4jo0sh70OYbbTs6VWkirW44f&#10;jO5pY6j62h0twmP5apcfiSw3b+/f6/t0bxr+XSPe3ozPTyACjeHPDBN+RIciMh3ckWsvOoR0kUYn&#10;wlzFOenJdDggLJUCWeTyf4HiAgAA//8DAFBLAQItABQABgAIAAAAIQC2gziS/gAAAOEBAAATAAAA&#10;AAAAAAAAAAAAAAAAAABbQ29udGVudF9UeXBlc10ueG1sUEsBAi0AFAAGAAgAAAAhADj9If/WAAAA&#10;lAEAAAsAAAAAAAAAAAAAAAAALwEAAF9yZWxzLy5yZWxzUEsBAi0AFAAGAAgAAAAhAPDVgBl/AgAA&#10;AAUAAA4AAAAAAAAAAAAAAAAALgIAAGRycy9lMm9Eb2MueG1sUEsBAi0AFAAGAAgAAAAhAN5i8ebd&#10;AAAACAEAAA8AAAAAAAAAAAAAAAAA2QQAAGRycy9kb3ducmV2LnhtbFBLBQYAAAAABAAEAPMAAADj&#10;BQAAAAA=&#10;" adj="12690" fillcolor="#ccf" strokecolor="#99f" strokeweight="1pt">
                <w10:wrap anchorx="margin"/>
              </v:shape>
            </w:pict>
          </mc:Fallback>
        </mc:AlternateContent>
      </w:r>
    </w:p>
    <w:p w14:paraId="10570043" w14:textId="326310A7" w:rsidR="00BA12E7" w:rsidRPr="00F21196" w:rsidRDefault="00BA12E7" w:rsidP="00BA12E7">
      <w:pPr>
        <w:spacing w:after="0"/>
        <w:jc w:val="right"/>
        <w:rPr>
          <w:rFonts w:cs="Arial"/>
          <w:color w:val="000000" w:themeColor="text1"/>
        </w:rPr>
      </w:pPr>
    </w:p>
    <w:p w14:paraId="74B1C5C1" w14:textId="2966A92C" w:rsidR="00BA12E7" w:rsidRPr="00F21196" w:rsidRDefault="00BA12E7" w:rsidP="00BA12E7">
      <w:pPr>
        <w:spacing w:after="0"/>
        <w:jc w:val="both"/>
        <w:rPr>
          <w:rFonts w:cs="Arial"/>
          <w:color w:val="000000" w:themeColor="text1"/>
        </w:rPr>
      </w:pPr>
    </w:p>
    <w:p w14:paraId="62FC7EE3" w14:textId="347FC1F3" w:rsidR="00654DEC" w:rsidRDefault="00654DEC" w:rsidP="00BA12E7">
      <w:pPr>
        <w:spacing w:after="0"/>
        <w:jc w:val="both"/>
        <w:rPr>
          <w:rFonts w:cs="Arial"/>
          <w:color w:val="000000" w:themeColor="text1"/>
        </w:rPr>
      </w:pPr>
    </w:p>
    <w:p w14:paraId="0B9CBB63" w14:textId="4F7D9294" w:rsidR="00654DEC" w:rsidRDefault="00654DEC" w:rsidP="00BA12E7">
      <w:pPr>
        <w:spacing w:after="0"/>
        <w:jc w:val="both"/>
        <w:rPr>
          <w:rFonts w:cs="Arial"/>
          <w:color w:val="000000" w:themeColor="text1"/>
        </w:rPr>
      </w:pPr>
    </w:p>
    <w:p w14:paraId="33F85FA9" w14:textId="77777777" w:rsidR="005C563D" w:rsidRDefault="005C563D" w:rsidP="00BA12E7">
      <w:pPr>
        <w:spacing w:after="0"/>
        <w:jc w:val="both"/>
        <w:rPr>
          <w:rFonts w:cs="Arial"/>
          <w:color w:val="000000" w:themeColor="text1"/>
        </w:rPr>
      </w:pPr>
    </w:p>
    <w:p w14:paraId="1B94F208" w14:textId="77777777" w:rsidR="0062354C" w:rsidRPr="00F21196" w:rsidRDefault="00BA12E7" w:rsidP="00E76C25">
      <w:pPr>
        <w:pBdr>
          <w:bottom w:val="single" w:sz="24" w:space="1" w:color="7030A0"/>
        </w:pBdr>
        <w:shd w:val="clear" w:color="auto" w:fill="D9D9D9" w:themeFill="background1" w:themeFillShade="D9"/>
        <w:autoSpaceDE w:val="0"/>
        <w:autoSpaceDN w:val="0"/>
        <w:adjustRightInd w:val="0"/>
        <w:spacing w:after="0" w:line="276" w:lineRule="auto"/>
        <w:ind w:left="284" w:hanging="284"/>
        <w:jc w:val="both"/>
        <w:rPr>
          <w:b/>
          <w:color w:val="000000"/>
          <w:lang w:eastAsia="pl-PL"/>
        </w:rPr>
      </w:pPr>
      <w:r w:rsidRPr="00F21196">
        <w:rPr>
          <w:rFonts w:cs="Calibri,Bold"/>
          <w:b/>
          <w:bCs/>
        </w:rPr>
        <w:t xml:space="preserve">Kierunek interwencji </w:t>
      </w:r>
      <w:r w:rsidRPr="00F21196">
        <w:rPr>
          <w:b/>
          <w:color w:val="000000"/>
          <w:lang w:eastAsia="pl-PL"/>
        </w:rPr>
        <w:t xml:space="preserve">1. </w:t>
      </w:r>
    </w:p>
    <w:p w14:paraId="25D81EE0" w14:textId="616660CE" w:rsidR="00F2346A" w:rsidRPr="00F21196" w:rsidRDefault="00E90F90" w:rsidP="004E371A">
      <w:pPr>
        <w:pBdr>
          <w:bottom w:val="single" w:sz="24" w:space="1" w:color="7030A0"/>
        </w:pBdr>
        <w:shd w:val="clear" w:color="auto" w:fill="D9D9D9" w:themeFill="background1" w:themeFillShade="D9"/>
        <w:autoSpaceDE w:val="0"/>
        <w:autoSpaceDN w:val="0"/>
        <w:adjustRightInd w:val="0"/>
        <w:spacing w:after="0" w:line="240" w:lineRule="auto"/>
        <w:ind w:left="284" w:hanging="284"/>
        <w:jc w:val="center"/>
        <w:rPr>
          <w:b/>
          <w:i/>
          <w:color w:val="000000"/>
          <w:lang w:eastAsia="pl-PL"/>
        </w:rPr>
      </w:pPr>
      <w:r>
        <w:rPr>
          <w:b/>
          <w:i/>
          <w:color w:val="000000"/>
          <w:lang w:eastAsia="pl-PL"/>
        </w:rPr>
        <w:t>Z</w:t>
      </w:r>
      <w:r w:rsidR="00053DC0" w:rsidRPr="0039159B">
        <w:rPr>
          <w:b/>
          <w:i/>
          <w:color w:val="000000"/>
          <w:lang w:eastAsia="pl-PL"/>
        </w:rPr>
        <w:t xml:space="preserve">większenie przejrzystości stanowienia prawa i wzmocnienie współpracy z podmiotami społecznymi </w:t>
      </w:r>
      <w:r w:rsidR="00F95798">
        <w:rPr>
          <w:b/>
          <w:i/>
          <w:color w:val="000000"/>
          <w:lang w:eastAsia="pl-PL"/>
        </w:rPr>
        <w:br/>
      </w:r>
      <w:r w:rsidR="00053DC0" w:rsidRPr="0039159B">
        <w:rPr>
          <w:b/>
          <w:i/>
          <w:color w:val="000000"/>
          <w:lang w:eastAsia="pl-PL"/>
        </w:rPr>
        <w:t>i korporacyjnymi</w:t>
      </w:r>
    </w:p>
    <w:p w14:paraId="1A675C0C" w14:textId="523FAF06" w:rsidR="0072706D" w:rsidRPr="00F21196" w:rsidRDefault="0072706D" w:rsidP="001F5D02">
      <w:pPr>
        <w:spacing w:before="120" w:after="120" w:line="276" w:lineRule="auto"/>
        <w:jc w:val="both"/>
      </w:pPr>
      <w:r w:rsidRPr="00F21196">
        <w:t>Warunkiem zapewnienia stabilności prawa jest ograniczenie częstotliwości zmian przepisów prawnych oraz wprowadzenie/utrzymanie jedynie koniecznych i korzystnych regulacji</w:t>
      </w:r>
      <w:r>
        <w:t xml:space="preserve">. Osiągnięciu takiego celu służy opracowywanie ocen skutków projektowanych regulacji, uwzględniających stanowiska partnerów społecznych wyrażone </w:t>
      </w:r>
      <w:r w:rsidR="001F5D02">
        <w:t>podczas prowadzonych</w:t>
      </w:r>
      <w:r>
        <w:t xml:space="preserve"> konsultacji publicznych</w:t>
      </w:r>
      <w:r w:rsidRPr="00F21196">
        <w:t xml:space="preserve">. </w:t>
      </w:r>
      <w:r w:rsidR="001F5D02">
        <w:t xml:space="preserve">Dążyć się będzie zatem </w:t>
      </w:r>
      <w:r w:rsidRPr="00EC4A50">
        <w:t xml:space="preserve">do </w:t>
      </w:r>
      <w:r w:rsidR="001F5D02">
        <w:t>opracowywania</w:t>
      </w:r>
      <w:r w:rsidRPr="00EC4A50">
        <w:t xml:space="preserve"> jak najbardziej przej</w:t>
      </w:r>
      <w:r w:rsidR="001F5D02">
        <w:t>rzystych ocen skutków regulacji</w:t>
      </w:r>
      <w:r w:rsidR="00240615">
        <w:t xml:space="preserve"> (OSR). W</w:t>
      </w:r>
      <w:r w:rsidRPr="00EC4A50">
        <w:t xml:space="preserve"> praktyce często </w:t>
      </w:r>
      <w:r w:rsidR="00240615" w:rsidRPr="00EC4A50">
        <w:t xml:space="preserve">OSR </w:t>
      </w:r>
      <w:r w:rsidRPr="00EC4A50">
        <w:t xml:space="preserve">bywa powtórzeniem uzasadnienia, co </w:t>
      </w:r>
      <w:r w:rsidR="00240615">
        <w:t xml:space="preserve">nie przedstawia rzeczywistego </w:t>
      </w:r>
      <w:r w:rsidRPr="00EC4A50">
        <w:t>obraz</w:t>
      </w:r>
      <w:r w:rsidR="00240615">
        <w:t>u</w:t>
      </w:r>
      <w:r w:rsidRPr="00EC4A50">
        <w:t xml:space="preserve"> projektowanej regulacji i utrudnia osiąganie przez OSR założonych celów </w:t>
      </w:r>
      <w:r w:rsidR="00240615">
        <w:t xml:space="preserve">- </w:t>
      </w:r>
      <w:r w:rsidRPr="00EC4A50">
        <w:t>przejrzystoś</w:t>
      </w:r>
      <w:r w:rsidR="00240615">
        <w:t>ci i jasności</w:t>
      </w:r>
      <w:r w:rsidRPr="00EC4A50">
        <w:t xml:space="preserve"> celów regulacji.</w:t>
      </w:r>
    </w:p>
    <w:p w14:paraId="0A42E7F1" w14:textId="77777777" w:rsidR="0072706D" w:rsidRPr="00F21196" w:rsidRDefault="0072706D" w:rsidP="0072706D">
      <w:pPr>
        <w:spacing w:after="120" w:line="276" w:lineRule="auto"/>
        <w:jc w:val="both"/>
      </w:pPr>
      <w:r w:rsidRPr="00F21196">
        <w:t xml:space="preserve">Inicjatywy te stworzą silny impuls korzystnie wpływający na jakość życia, perspektywy gospodarcze oraz poziom zaufania społecznego. Oczekiwana jest również większa spójność wewnętrzna poszczególnych dziedzin prawa, czy też faktycznych możliwości stosowania przepisów prawa (jak np. w przypadku braku rozporządzeń wykonawczych do ustaw zawierających tzw. delegacje ustawowe). </w:t>
      </w:r>
    </w:p>
    <w:p w14:paraId="43C8C924" w14:textId="77777777" w:rsidR="0072706D" w:rsidRDefault="0072706D" w:rsidP="0072706D">
      <w:pPr>
        <w:tabs>
          <w:tab w:val="left" w:pos="851"/>
          <w:tab w:val="left" w:pos="993"/>
          <w:tab w:val="left" w:pos="2160"/>
          <w:tab w:val="left" w:pos="2880"/>
          <w:tab w:val="left" w:pos="3600"/>
          <w:tab w:val="left" w:pos="4320"/>
        </w:tabs>
        <w:autoSpaceDE w:val="0"/>
        <w:autoSpaceDN w:val="0"/>
        <w:adjustRightInd w:val="0"/>
        <w:spacing w:after="120" w:line="276" w:lineRule="auto"/>
        <w:jc w:val="both"/>
        <w:rPr>
          <w:color w:val="000000"/>
          <w:lang w:eastAsia="pl-PL"/>
        </w:rPr>
      </w:pPr>
      <w:r w:rsidRPr="00F21196">
        <w:rPr>
          <w:color w:val="000000"/>
          <w:lang w:eastAsia="pl-PL"/>
        </w:rPr>
        <w:t>Działania w ramach kierunku interwencji obejmować będą zagadnienia oceny skutków regulacji</w:t>
      </w:r>
      <w:r>
        <w:rPr>
          <w:color w:val="000000"/>
          <w:lang w:eastAsia="pl-PL"/>
        </w:rPr>
        <w:t>,</w:t>
      </w:r>
      <w:r w:rsidRPr="00F21196">
        <w:rPr>
          <w:color w:val="000000"/>
          <w:lang w:eastAsia="pl-PL"/>
        </w:rPr>
        <w:t xml:space="preserve"> jako efektywnego narzędzia wspomagającego prowadzenie polityk publicznych, jak również zmniejszenia obciążeń regulacyjnych dla obywateli i przedsiębiorców. </w:t>
      </w:r>
    </w:p>
    <w:p w14:paraId="08D93396" w14:textId="1189A8C7" w:rsidR="0072706D" w:rsidRDefault="0072706D" w:rsidP="0072706D">
      <w:pPr>
        <w:pStyle w:val="Tekstprzypisudolnego"/>
        <w:spacing w:after="120" w:line="276" w:lineRule="auto"/>
        <w:jc w:val="both"/>
        <w:rPr>
          <w:rStyle w:val="Brak"/>
          <w:rFonts w:ascii="Calibri" w:hAnsi="Calibri"/>
          <w:sz w:val="22"/>
          <w:szCs w:val="22"/>
        </w:rPr>
      </w:pPr>
      <w:r w:rsidRPr="009513E5">
        <w:rPr>
          <w:rFonts w:asciiTheme="minorHAnsi" w:hAnsiTheme="minorHAnsi"/>
          <w:color w:val="000000"/>
          <w:sz w:val="22"/>
        </w:rPr>
        <w:t xml:space="preserve">W ramach realizacji strategii kontynuowany będzie monitoring działania wprowadzonych przepisów. </w:t>
      </w:r>
      <w:r>
        <w:rPr>
          <w:rFonts w:asciiTheme="minorHAnsi" w:hAnsiTheme="minorHAnsi"/>
          <w:color w:val="000000"/>
          <w:sz w:val="22"/>
        </w:rPr>
        <w:t>Ponadto w</w:t>
      </w:r>
      <w:r w:rsidRPr="009513E5">
        <w:rPr>
          <w:rFonts w:asciiTheme="minorHAnsi" w:hAnsiTheme="minorHAnsi"/>
          <w:color w:val="000000"/>
          <w:sz w:val="22"/>
        </w:rPr>
        <w:t xml:space="preserve"> kolejnych latach planowane jest upowszechnianie wiedzy o wykazie</w:t>
      </w:r>
      <w:r w:rsidRPr="009513E5">
        <w:rPr>
          <w:rStyle w:val="Odwoanieprzypisudolnego"/>
          <w:rFonts w:asciiTheme="minorHAnsi" w:hAnsiTheme="minorHAnsi"/>
          <w:color w:val="000000"/>
          <w:sz w:val="22"/>
        </w:rPr>
        <w:footnoteReference w:id="32"/>
      </w:r>
      <w:r w:rsidRPr="009513E5">
        <w:rPr>
          <w:rFonts w:asciiTheme="minorHAnsi" w:hAnsiTheme="minorHAnsi"/>
          <w:color w:val="000000"/>
          <w:sz w:val="22"/>
        </w:rPr>
        <w:t xml:space="preserve"> </w:t>
      </w:r>
      <w:r>
        <w:rPr>
          <w:rFonts w:asciiTheme="minorHAnsi" w:hAnsiTheme="minorHAnsi"/>
          <w:color w:val="000000"/>
          <w:sz w:val="22"/>
        </w:rPr>
        <w:t xml:space="preserve">podmiotów </w:t>
      </w:r>
      <w:r w:rsidRPr="009513E5">
        <w:rPr>
          <w:rFonts w:asciiTheme="minorHAnsi" w:hAnsiTheme="minorHAnsi"/>
          <w:color w:val="000000"/>
          <w:sz w:val="22"/>
        </w:rPr>
        <w:t>w ramach administracji rządowej</w:t>
      </w:r>
      <w:r w:rsidRPr="00CD3D56">
        <w:rPr>
          <w:rFonts w:asciiTheme="minorHAnsi" w:hAnsiTheme="minorHAnsi"/>
          <w:color w:val="000000"/>
          <w:sz w:val="22"/>
        </w:rPr>
        <w:t xml:space="preserve"> </w:t>
      </w:r>
      <w:r w:rsidRPr="009513E5">
        <w:rPr>
          <w:rFonts w:asciiTheme="minorHAnsi" w:hAnsiTheme="minorHAnsi"/>
          <w:color w:val="000000"/>
          <w:sz w:val="22"/>
        </w:rPr>
        <w:t>do wykorzystania w procesie konsultacji publicznych projektów aktów prawnych, ze szczególnym uwzględnieniem organizacji reprezentujących przedsiębiorców.</w:t>
      </w:r>
      <w:r>
        <w:rPr>
          <w:rFonts w:asciiTheme="minorHAnsi" w:hAnsiTheme="minorHAnsi"/>
          <w:color w:val="000000"/>
          <w:sz w:val="22"/>
        </w:rPr>
        <w:t xml:space="preserve"> </w:t>
      </w:r>
      <w:r w:rsidR="00E64464">
        <w:rPr>
          <w:rStyle w:val="Brak"/>
          <w:rFonts w:ascii="Calibri" w:hAnsi="Calibri"/>
          <w:sz w:val="22"/>
          <w:szCs w:val="22"/>
        </w:rPr>
        <w:t>Rozważone będzie</w:t>
      </w:r>
      <w:r>
        <w:rPr>
          <w:rStyle w:val="Brak"/>
          <w:rFonts w:ascii="Calibri" w:hAnsi="Calibri"/>
          <w:sz w:val="22"/>
          <w:szCs w:val="22"/>
        </w:rPr>
        <w:t xml:space="preserve"> wdrożenie narzędzi kierowanych do </w:t>
      </w:r>
      <w:r w:rsidR="00E005A2">
        <w:rPr>
          <w:rStyle w:val="Brak"/>
          <w:rFonts w:ascii="Calibri" w:hAnsi="Calibri"/>
          <w:sz w:val="22"/>
          <w:szCs w:val="22"/>
        </w:rPr>
        <w:t>słabiej</w:t>
      </w:r>
      <w:r>
        <w:rPr>
          <w:rStyle w:val="Brak"/>
          <w:rFonts w:ascii="Calibri" w:hAnsi="Calibri"/>
          <w:sz w:val="22"/>
          <w:szCs w:val="22"/>
        </w:rPr>
        <w:t xml:space="preserve"> organizujących się interesariuszy, tak aby r</w:t>
      </w:r>
      <w:r>
        <w:rPr>
          <w:rStyle w:val="Brak"/>
          <w:rFonts w:ascii="Calibri" w:hAnsi="Calibri"/>
          <w:sz w:val="22"/>
          <w:szCs w:val="22"/>
          <w:lang w:val="es-ES_tradnl"/>
        </w:rPr>
        <w:t>ó</w:t>
      </w:r>
      <w:r>
        <w:rPr>
          <w:rStyle w:val="Brak"/>
          <w:rFonts w:ascii="Calibri" w:hAnsi="Calibri"/>
          <w:sz w:val="22"/>
          <w:szCs w:val="22"/>
        </w:rPr>
        <w:t>wnież podmioty systemowo narażone na trudności w uczestnictwie w procesie stanowienia prawa (osoby starsze, wykluczone komunikacyjnie czy podmioty występujące w relatywnie niewielkiej liczbie) miał</w:t>
      </w:r>
      <w:r w:rsidRPr="00E22109">
        <w:rPr>
          <w:rStyle w:val="Brak"/>
          <w:rFonts w:ascii="Calibri" w:hAnsi="Calibri"/>
          <w:sz w:val="22"/>
          <w:szCs w:val="22"/>
        </w:rPr>
        <w:t>y mo</w:t>
      </w:r>
      <w:r>
        <w:rPr>
          <w:rStyle w:val="Brak"/>
          <w:rFonts w:ascii="Calibri" w:hAnsi="Calibri"/>
          <w:sz w:val="22"/>
          <w:szCs w:val="22"/>
        </w:rPr>
        <w:t xml:space="preserve">żliwość wyrażenia swojej opinii na temat przygotowywanych regulacji. </w:t>
      </w:r>
    </w:p>
    <w:p w14:paraId="19F0E81D" w14:textId="77777777" w:rsidR="0072706D" w:rsidRDefault="0072706D" w:rsidP="0072706D">
      <w:pPr>
        <w:pStyle w:val="Tekstprzypisudolnego"/>
        <w:spacing w:after="120" w:line="276" w:lineRule="auto"/>
        <w:jc w:val="both"/>
        <w:rPr>
          <w:rStyle w:val="Brak"/>
          <w:rFonts w:ascii="Calibri" w:eastAsia="Calibri" w:hAnsi="Calibri" w:cs="Calibri"/>
          <w:sz w:val="22"/>
          <w:szCs w:val="22"/>
        </w:rPr>
      </w:pPr>
    </w:p>
    <w:p w14:paraId="0AEF1280" w14:textId="77777777" w:rsidR="00245532" w:rsidRPr="00F21196" w:rsidRDefault="00BA12E7" w:rsidP="00E76C25">
      <w:pPr>
        <w:pBdr>
          <w:bottom w:val="single" w:sz="24" w:space="1" w:color="7030A0"/>
        </w:pBdr>
        <w:shd w:val="clear" w:color="auto" w:fill="D9D9D9" w:themeFill="background1" w:themeFillShade="D9"/>
        <w:autoSpaceDE w:val="0"/>
        <w:autoSpaceDN w:val="0"/>
        <w:adjustRightInd w:val="0"/>
        <w:spacing w:after="0" w:line="276" w:lineRule="auto"/>
        <w:jc w:val="both"/>
        <w:rPr>
          <w:b/>
          <w:color w:val="000000"/>
          <w:lang w:eastAsia="pl-PL"/>
        </w:rPr>
      </w:pPr>
      <w:r w:rsidRPr="00F21196">
        <w:rPr>
          <w:rFonts w:cs="Calibri,Bold"/>
          <w:b/>
          <w:bCs/>
        </w:rPr>
        <w:t xml:space="preserve">Kierunek interwencji </w:t>
      </w:r>
      <w:r w:rsidRPr="00F21196">
        <w:rPr>
          <w:b/>
          <w:color w:val="000000"/>
          <w:lang w:eastAsia="pl-PL"/>
        </w:rPr>
        <w:t xml:space="preserve">2. </w:t>
      </w:r>
    </w:p>
    <w:p w14:paraId="10A57725" w14:textId="77777777" w:rsidR="00053DC0" w:rsidRPr="0081313E" w:rsidRDefault="00053DC0" w:rsidP="004E371A">
      <w:pPr>
        <w:pBdr>
          <w:bottom w:val="single" w:sz="24" w:space="1" w:color="7030A0"/>
        </w:pBdr>
        <w:shd w:val="clear" w:color="auto" w:fill="D9D9D9" w:themeFill="background1" w:themeFillShade="D9"/>
        <w:autoSpaceDE w:val="0"/>
        <w:autoSpaceDN w:val="0"/>
        <w:adjustRightInd w:val="0"/>
        <w:spacing w:after="0" w:line="240" w:lineRule="auto"/>
        <w:jc w:val="center"/>
        <w:rPr>
          <w:b/>
          <w:i/>
          <w:color w:val="000000"/>
          <w:lang w:eastAsia="pl-PL"/>
        </w:rPr>
      </w:pPr>
      <w:r w:rsidRPr="0081313E">
        <w:rPr>
          <w:b/>
          <w:i/>
          <w:color w:val="000000"/>
          <w:lang w:eastAsia="pl-PL"/>
        </w:rPr>
        <w:t xml:space="preserve">Identyfikacja, analiza i redukcja obciążeń regulacyjnych oraz eliminacja niespójności i niejednoznaczności przepisów prawnych </w:t>
      </w:r>
    </w:p>
    <w:p w14:paraId="03B4B3EB" w14:textId="77777777" w:rsidR="00890665" w:rsidRDefault="0072706D" w:rsidP="00890665">
      <w:pPr>
        <w:spacing w:after="0" w:line="276" w:lineRule="auto"/>
        <w:jc w:val="both"/>
      </w:pPr>
      <w:r w:rsidRPr="00F21196">
        <w:t>Poprawa sytuacji w sferze „rządów prawa” oznacza racjonalizację procesów legislacyjnych, wzmocnienie partnerstwa głównych podmiotów instytucjonalnych, korporacyjnych i społecznych oraz zwiększenie przejrzystości procesu legislacyjnego. Warunkiem zapewnienia stabilności prawa jest ograniczenie częstotliwości zmian przepisów prawnych oraz wprowadzenie/utrzymanie jedynie koniecznych i korzystnych regulacji, w szczególności zapobieganie nakładaniu nieuzasadni</w:t>
      </w:r>
      <w:r>
        <w:t>onych zobowiązań na obywateli i p</w:t>
      </w:r>
      <w:r w:rsidRPr="00F21196">
        <w:t>rzedsiębiorców oraz na administrację</w:t>
      </w:r>
      <w:r>
        <w:t xml:space="preserve"> publiczną</w:t>
      </w:r>
      <w:r w:rsidRPr="00F21196">
        <w:t>. Obciążenia regulacyjne ogranicz</w:t>
      </w:r>
      <w:r w:rsidR="001F5D02">
        <w:t xml:space="preserve">ane będą w miarę możliwości </w:t>
      </w:r>
      <w:r w:rsidRPr="00F21196">
        <w:t xml:space="preserve">do niezbędnego minimum, adekwatnie do realizowanych celów i potrzeb społeczeństwa. Istotą redukcji obciążeń regulacyjnych jest zmniejszenie kosztów przede wszystkim z tytułu wypełniania obowiązków administracyjnych przy jednoczesnym zapewnieniu realizacji celów, dla których zostały wprowadzone, zwłaszcza ochrony interesu publicznego. </w:t>
      </w:r>
      <w:r w:rsidR="00E64464">
        <w:t>Dążyć się będzie</w:t>
      </w:r>
      <w:r w:rsidRPr="00EC4A50">
        <w:t xml:space="preserve"> do projektowania nowych obciążeń i obowiązków w sposób jak najbardziej zrozumiały dla interesariuszy, tak aby zrozumienie istoty i przystosowanie się do dokonywanych zmian nie nastręczało trudności większych niż jest to niezbędne (za pomocą infografik, podręczników, modelowych scenariuszy).</w:t>
      </w:r>
      <w:r>
        <w:t xml:space="preserve"> </w:t>
      </w:r>
      <w:r w:rsidRPr="00F21196">
        <w:t>W ten sposób uwolniony zostanie potencjał przyspieszający rozwój.</w:t>
      </w:r>
    </w:p>
    <w:p w14:paraId="45040D01" w14:textId="4666E136" w:rsidR="0072706D" w:rsidRPr="006444AA" w:rsidRDefault="0072706D" w:rsidP="00890665">
      <w:pPr>
        <w:spacing w:after="0" w:line="276" w:lineRule="auto"/>
        <w:jc w:val="both"/>
        <w:rPr>
          <w:b/>
          <w:color w:val="FF0000"/>
          <w:lang w:eastAsia="pl-PL"/>
        </w:rPr>
      </w:pPr>
      <w:r w:rsidRPr="00EB7362">
        <w:rPr>
          <w:color w:val="000000"/>
          <w:lang w:eastAsia="pl-PL"/>
        </w:rPr>
        <w:t>Ponadto działanie instytucji przeglądu prawa</w:t>
      </w:r>
      <w:r w:rsidRPr="00EB7362">
        <w:rPr>
          <w:rStyle w:val="Odwoanieprzypisudolnego"/>
          <w:color w:val="000000"/>
          <w:lang w:eastAsia="pl-PL"/>
        </w:rPr>
        <w:footnoteReference w:id="33"/>
      </w:r>
      <w:r w:rsidRPr="00EB7362">
        <w:rPr>
          <w:color w:val="000000"/>
          <w:lang w:eastAsia="pl-PL"/>
        </w:rPr>
        <w:t xml:space="preserve"> monitorowane </w:t>
      </w:r>
      <w:r w:rsidR="00E64464" w:rsidRPr="00EB7362">
        <w:rPr>
          <w:color w:val="000000"/>
          <w:lang w:eastAsia="pl-PL"/>
        </w:rPr>
        <w:t xml:space="preserve">będzie </w:t>
      </w:r>
      <w:r w:rsidRPr="00EB7362">
        <w:rPr>
          <w:color w:val="000000"/>
          <w:lang w:eastAsia="pl-PL"/>
        </w:rPr>
        <w:t>w kolejnych latach. W roku 2019 po raz pierwszy Radzie Ministrów przedstawiono informacje o działaniach legislacyjnych i pozalegislacyjnych podjętych w wyniku przeglądu prawa gospodarczego pod kątem usuwania nadmiernych i nieuzasadnionych obciążeń</w:t>
      </w:r>
      <w:r w:rsidRPr="00EB7362">
        <w:rPr>
          <w:rStyle w:val="Odwoanieprzypisudolnego"/>
          <w:color w:val="000000"/>
          <w:lang w:eastAsia="pl-PL"/>
        </w:rPr>
        <w:footnoteReference w:id="34"/>
      </w:r>
      <w:r w:rsidRPr="00EB7362">
        <w:rPr>
          <w:color w:val="000000"/>
          <w:lang w:eastAsia="pl-PL"/>
        </w:rPr>
        <w:t>.</w:t>
      </w:r>
      <w:r w:rsidRPr="006444AA">
        <w:rPr>
          <w:color w:val="000000"/>
          <w:lang w:eastAsia="pl-PL"/>
        </w:rPr>
        <w:t xml:space="preserve"> </w:t>
      </w:r>
    </w:p>
    <w:p w14:paraId="4773C27E" w14:textId="72517720" w:rsidR="0072706D" w:rsidRPr="007D4A5B" w:rsidRDefault="001F5D02" w:rsidP="0072706D">
      <w:pPr>
        <w:spacing w:before="120" w:after="0" w:line="276" w:lineRule="auto"/>
        <w:jc w:val="both"/>
      </w:pPr>
      <w:r>
        <w:t xml:space="preserve">Niezbędnym działaniem jakie będzie podejmowane na przestrzeni najbliższych lat będzie </w:t>
      </w:r>
      <w:r w:rsidR="0072706D" w:rsidRPr="0016771C">
        <w:t>eliminacja niespójności i niejednoznaczności przepisów prawnych</w:t>
      </w:r>
      <w:r w:rsidR="0072706D" w:rsidRPr="00F21196">
        <w:t xml:space="preserve"> oraz istniejących luk prawnych</w:t>
      </w:r>
      <w:r w:rsidR="0072706D">
        <w:t xml:space="preserve">, </w:t>
      </w:r>
      <w:r w:rsidR="0072706D">
        <w:rPr>
          <w:rStyle w:val="BrakA"/>
        </w:rPr>
        <w:t>zwłaszcza w kontekście niejednoznacznych definicji ustawowych w różnych aktach prawnych</w:t>
      </w:r>
      <w:r w:rsidR="0072706D" w:rsidRPr="007D4A5B">
        <w:t xml:space="preserve">. Działania w tym zakresie będą prowadzone przez ministrów </w:t>
      </w:r>
      <w:r>
        <w:t xml:space="preserve">kierujących działami administracji rządowej </w:t>
      </w:r>
      <w:r w:rsidR="0072706D" w:rsidRPr="007D4A5B">
        <w:t>w zakresie swojej właściwości.</w:t>
      </w:r>
    </w:p>
    <w:p w14:paraId="3EF94187" w14:textId="1DC9F09F" w:rsidR="0072706D" w:rsidRPr="00A74D69" w:rsidRDefault="0072706D" w:rsidP="0072706D">
      <w:pPr>
        <w:spacing w:before="120" w:after="120" w:line="276" w:lineRule="auto"/>
        <w:jc w:val="both"/>
      </w:pPr>
      <w:r w:rsidRPr="00A74D69">
        <w:t xml:space="preserve">Kontynuowane będą </w:t>
      </w:r>
      <w:r w:rsidR="00E64464">
        <w:t xml:space="preserve">także </w:t>
      </w:r>
      <w:r w:rsidRPr="00A74D69">
        <w:t xml:space="preserve">działania w zakresie </w:t>
      </w:r>
      <w:r w:rsidRPr="0016771C">
        <w:t>usprawnienia postępowania administracyjnego</w:t>
      </w:r>
      <w:r w:rsidRPr="00A74D69">
        <w:t xml:space="preserve"> poprzez eliminację istniejących barier i luk, zniesienie zbędnych biurokratycznych ograniczeń, wykorzystanie elektronicznych form komunikacji, możliwości elektronicznego załatwiania spraw, a także, w koniecznych przypadkach, zwiększenie etatyzacji na poziomie wojewódzkim i centralnym. </w:t>
      </w:r>
    </w:p>
    <w:p w14:paraId="7B53A524" w14:textId="77777777" w:rsidR="0072706D" w:rsidRDefault="0072706D" w:rsidP="0072706D">
      <w:pPr>
        <w:spacing w:after="120" w:line="276" w:lineRule="auto"/>
        <w:jc w:val="both"/>
      </w:pPr>
      <w:r w:rsidRPr="00F21196">
        <w:t>Podjęte będą działania analityczne polegające na</w:t>
      </w:r>
      <w:r w:rsidRPr="00F21196">
        <w:rPr>
          <w:b/>
        </w:rPr>
        <w:t xml:space="preserve"> </w:t>
      </w:r>
      <w:r w:rsidRPr="00F21196">
        <w:t>przeglądzie krajowych aktów prawnych</w:t>
      </w:r>
      <w:r w:rsidRPr="00F21196">
        <w:rPr>
          <w:b/>
        </w:rPr>
        <w:t xml:space="preserve">, </w:t>
      </w:r>
      <w:r w:rsidRPr="00F21196">
        <w:t xml:space="preserve">w tym </w:t>
      </w:r>
      <w:r w:rsidRPr="0016771C">
        <w:t xml:space="preserve">Kodeksu postępowania administracyjnego, </w:t>
      </w:r>
      <w:r w:rsidRPr="00F21196">
        <w:t>w celu potwierdzenia potrzeby uproszczenia przepisów oraz zmian w kierunku optymalizacji modelu prowadzenia postępowań administracyjnych z uwzględnieniem elektronicznego dostarczania korespondencji, które pozwoliłyby obiektywnie określić możliwości i realny harmonogram dalszych prac w tym zakresie</w:t>
      </w:r>
      <w:r>
        <w:t>.</w:t>
      </w:r>
    </w:p>
    <w:p w14:paraId="772A5C86" w14:textId="0702255B" w:rsidR="00776093" w:rsidRDefault="00776093" w:rsidP="00776093">
      <w:pPr>
        <w:spacing w:after="120" w:line="276" w:lineRule="auto"/>
        <w:jc w:val="both"/>
      </w:pPr>
      <w:r>
        <w:t>Z</w:t>
      </w:r>
      <w:r w:rsidRPr="00F21196">
        <w:t xml:space="preserve">akłada się stworzenie podstaw prawnych do załatwiania spraw w sposób kompleksowy jednym aktem administracyjnym (decyzją) dla zaplanowanego przedsięwzięcia. Zakłada się także </w:t>
      </w:r>
      <w:r w:rsidRPr="009B46F6">
        <w:t>zwiększenie stopnia trwałości decyzji administracyjnych,</w:t>
      </w:r>
      <w:r w:rsidRPr="00F21196">
        <w:t xml:space="preserve"> </w:t>
      </w:r>
      <w:r w:rsidR="002C6BF9" w:rsidRPr="00F21196">
        <w:t>tak, aby</w:t>
      </w:r>
      <w:r w:rsidRPr="00F21196">
        <w:t xml:space="preserve"> niekończący się proces odwoławczy nie podrażał kosztów, bądź wręcz stawiał pod znakiem zapytania sensowność przedsięwzięcia. </w:t>
      </w:r>
      <w:r w:rsidRPr="00E64464">
        <w:t>Rozważona zostanie kwestia rozszerzenia możliwości stosowania wniosku o ponowne rozpatrzenie sprawy przez ten sam organ I instancji zamiast odwołania od decyzji kierowanej do organu II instancji. Z</w:t>
      </w:r>
      <w:r w:rsidRPr="00F21196">
        <w:t xml:space="preserve"> kolei po ponownym rozpatrzeniu sprawy stronie przysługiwałaby skarga do wojewódzkiego sądu administracyjnego. Sąd administracyjny rozpatrując skargę miałby uprawnienie nie tylko do uchylenia bądź stwierdzenia nieważności decyzji, ale również mógłby wydać wyrok merytoryczny rozstrzygający </w:t>
      </w:r>
      <w:r w:rsidR="00F81DDF" w:rsidRPr="00F21196">
        <w:t>sprawę, co</w:t>
      </w:r>
      <w:r w:rsidRPr="00F21196">
        <w:t xml:space="preserve"> do istoty. Obecne nadzwyczajne tryby weryfikacji decyzji również </w:t>
      </w:r>
      <w:r w:rsidR="004D0390" w:rsidRPr="00F21196">
        <w:t xml:space="preserve">winny </w:t>
      </w:r>
      <w:r w:rsidRPr="00F21196">
        <w:t>zostać przebudowane. Udział w postępowaniu innych podmiotów (prokuratora, Rzecznika Praw Obywatelskich czy organizacji społecznych) powinien pozostać bez zmian. Realizacja powyższego postulatu w</w:t>
      </w:r>
      <w:r w:rsidRPr="00F21196">
        <w:rPr>
          <w:bCs/>
        </w:rPr>
        <w:t xml:space="preserve"> efekcie przyczyniłaby się m.in. do ograniczenia zadań orzeczniczych w urzędach wojewódzkich i centralnych, a przez to do zmniejszenia kosztów funkcjonowania administracji publicznej. Z punktu widzenia obywateli wyraźnie skróciłyby się terminy ostatecznego i prawomocnego rozpatrywania indywidualnych spraw. </w:t>
      </w:r>
      <w:r w:rsidRPr="00F21196">
        <w:t>Podjęcie tej kwestii wymaga podjęcia wielopłaszczyznowych analiz i ekspertyz, odnoszących się m.in. do zgodności zaproponowanych rozwiązań z Konstytucją RP, kosztów wprowadzenia tych rozwiązań, wpływu zwiększonej liczby spraw na funkcjonowanie sądów administracyjnych i niezbędnych zmian organizacyjnych w tych sądach, korzyści dla obywateli i obrotu gospodarczego. Ewentualne rozszerzenie projektowanych rozwiązań na ordynację podatkową oraz organizację aparatu skarbowego powinny być przedmiotem odrębnej analizy.</w:t>
      </w:r>
    </w:p>
    <w:p w14:paraId="7423B4DA" w14:textId="2A8727AF" w:rsidR="00863E6F" w:rsidRDefault="00863E6F">
      <w:pPr>
        <w:rPr>
          <w:rFonts w:cs="Calibri"/>
          <w:b/>
          <w:kern w:val="24"/>
          <w:sz w:val="24"/>
          <w:lang w:eastAsia="pl-PL"/>
        </w:rPr>
      </w:pPr>
      <w:r>
        <w:rPr>
          <w:rFonts w:cs="Calibri"/>
          <w:b/>
          <w:kern w:val="24"/>
          <w:sz w:val="24"/>
          <w:lang w:eastAsia="pl-PL"/>
        </w:rPr>
        <w:br w:type="page"/>
      </w:r>
    </w:p>
    <w:p w14:paraId="1E0A37BF" w14:textId="77777777" w:rsidR="00080ECE" w:rsidRDefault="00080ECE" w:rsidP="00080ECE">
      <w:pPr>
        <w:shd w:val="clear" w:color="auto" w:fill="FFFFFF" w:themeFill="background1"/>
        <w:spacing w:after="0"/>
        <w:ind w:left="426" w:hanging="426"/>
        <w:rPr>
          <w:rFonts w:cs="Calibri"/>
          <w:b/>
          <w:kern w:val="24"/>
          <w:sz w:val="24"/>
          <w:lang w:eastAsia="pl-PL"/>
        </w:rPr>
      </w:pPr>
    </w:p>
    <w:p w14:paraId="14B73922" w14:textId="10110228" w:rsidR="00DB5C76" w:rsidRPr="00DB5C76" w:rsidRDefault="007B3FAF" w:rsidP="00DB5C76">
      <w:pPr>
        <w:shd w:val="clear" w:color="auto" w:fill="E2EFD9" w:themeFill="accent6" w:themeFillTint="33"/>
        <w:spacing w:after="0"/>
        <w:ind w:left="426" w:hanging="426"/>
        <w:rPr>
          <w:rFonts w:cs="Calibri"/>
          <w:b/>
          <w:i/>
          <w:kern w:val="24"/>
          <w:sz w:val="28"/>
          <w:lang w:eastAsia="pl-PL"/>
        </w:rPr>
      </w:pPr>
      <w:r w:rsidRPr="00F21196">
        <w:rPr>
          <w:rFonts w:cs="Calibri"/>
          <w:b/>
          <w:kern w:val="24"/>
          <w:sz w:val="24"/>
          <w:lang w:eastAsia="pl-PL"/>
        </w:rPr>
        <w:t>Cel szczegółowy II</w:t>
      </w:r>
      <w:r w:rsidR="00654DEC">
        <w:rPr>
          <w:rFonts w:cs="Calibri"/>
          <w:b/>
          <w:kern w:val="24"/>
          <w:sz w:val="24"/>
          <w:lang w:eastAsia="pl-PL"/>
        </w:rPr>
        <w:t>.</w:t>
      </w:r>
      <w:r w:rsidR="00DB5C76">
        <w:rPr>
          <w:rFonts w:cs="Calibri"/>
          <w:b/>
          <w:kern w:val="24"/>
          <w:sz w:val="24"/>
          <w:lang w:eastAsia="pl-PL"/>
        </w:rPr>
        <w:t xml:space="preserve"> </w:t>
      </w:r>
      <w:r w:rsidR="00DB5C76">
        <w:rPr>
          <w:rFonts w:cs="Calibri"/>
          <w:b/>
          <w:kern w:val="24"/>
          <w:sz w:val="24"/>
          <w:lang w:eastAsia="pl-PL"/>
        </w:rPr>
        <w:br/>
      </w:r>
      <w:r w:rsidR="00DB5C76">
        <w:rPr>
          <w:rFonts w:cs="Calibri"/>
          <w:b/>
          <w:i/>
          <w:kern w:val="24"/>
          <w:sz w:val="28"/>
          <w:lang w:eastAsia="pl-PL"/>
        </w:rPr>
        <w:t xml:space="preserve">                                              </w:t>
      </w:r>
      <w:r w:rsidR="00DB5C76" w:rsidRPr="00DB5C76">
        <w:rPr>
          <w:rFonts w:cs="Calibri"/>
          <w:b/>
          <w:i/>
          <w:kern w:val="24"/>
          <w:sz w:val="28"/>
          <w:lang w:eastAsia="pl-PL"/>
        </w:rPr>
        <w:t xml:space="preserve">Sprawne </w:t>
      </w:r>
      <w:r w:rsidR="00DB5C76">
        <w:rPr>
          <w:rFonts w:cs="Calibri"/>
          <w:b/>
          <w:i/>
          <w:kern w:val="24"/>
          <w:sz w:val="28"/>
          <w:lang w:eastAsia="pl-PL"/>
        </w:rPr>
        <w:t>i</w:t>
      </w:r>
      <w:r w:rsidR="00DB5C76" w:rsidRPr="00DB5C76">
        <w:rPr>
          <w:rFonts w:cs="Calibri"/>
          <w:b/>
          <w:i/>
          <w:kern w:val="24"/>
          <w:sz w:val="28"/>
          <w:lang w:eastAsia="pl-PL"/>
        </w:rPr>
        <w:t>nstytucje państwa</w:t>
      </w:r>
    </w:p>
    <w:p w14:paraId="064CADC0" w14:textId="77777777" w:rsidR="00944290" w:rsidRPr="00F21196" w:rsidRDefault="00944290" w:rsidP="005D39BA">
      <w:pPr>
        <w:spacing w:after="0"/>
        <w:ind w:left="426" w:hanging="284"/>
        <w:rPr>
          <w:rFonts w:cs="Calibri"/>
          <w:b/>
          <w:color w:val="2F5496" w:themeColor="accent5" w:themeShade="BF"/>
          <w:kern w:val="24"/>
          <w:lang w:eastAsia="pl-PL"/>
        </w:rPr>
      </w:pPr>
    </w:p>
    <w:p w14:paraId="6E96FC56" w14:textId="6121173F" w:rsidR="00776D77" w:rsidRPr="00F21196" w:rsidRDefault="00776D77" w:rsidP="00776D77">
      <w:pPr>
        <w:spacing w:after="120" w:line="276" w:lineRule="auto"/>
        <w:jc w:val="both"/>
        <w:rPr>
          <w:rFonts w:eastAsia="Times New Roman" w:cs="Calibri"/>
          <w:lang w:eastAsia="pl-PL"/>
        </w:rPr>
      </w:pPr>
      <w:r w:rsidRPr="00F21196">
        <w:rPr>
          <w:rFonts w:eastAsia="Times New Roman" w:cs="Calibri"/>
          <w:b/>
          <w:lang w:eastAsia="pl-PL"/>
        </w:rPr>
        <w:t>Cel szczegółowy</w:t>
      </w:r>
      <w:r w:rsidRPr="00F21196">
        <w:rPr>
          <w:rFonts w:eastAsia="Times New Roman" w:cs="Calibri"/>
          <w:lang w:eastAsia="pl-PL"/>
        </w:rPr>
        <w:t xml:space="preserve"> </w:t>
      </w:r>
      <w:r w:rsidRPr="00F21196">
        <w:rPr>
          <w:rFonts w:eastAsia="Times New Roman" w:cs="Calibri"/>
          <w:b/>
          <w:lang w:eastAsia="pl-PL"/>
        </w:rPr>
        <w:t>II</w:t>
      </w:r>
      <w:r w:rsidRPr="00F21196">
        <w:rPr>
          <w:rFonts w:eastAsia="Times New Roman" w:cs="Calibri"/>
          <w:lang w:eastAsia="pl-PL"/>
        </w:rPr>
        <w:t xml:space="preserve"> dotyczy</w:t>
      </w:r>
      <w:r w:rsidRPr="00F21196">
        <w:t xml:space="preserve"> </w:t>
      </w:r>
      <w:r w:rsidR="004E371A">
        <w:t xml:space="preserve">zagadnień związanych z </w:t>
      </w:r>
      <w:r w:rsidRPr="00F21196">
        <w:rPr>
          <w:rFonts w:eastAsia="Times New Roman" w:cs="Calibri"/>
          <w:lang w:eastAsia="pl-PL"/>
        </w:rPr>
        <w:t>popraw</w:t>
      </w:r>
      <w:r w:rsidR="004E371A">
        <w:rPr>
          <w:rFonts w:eastAsia="Times New Roman" w:cs="Calibri"/>
          <w:lang w:eastAsia="pl-PL"/>
        </w:rPr>
        <w:t>ą</w:t>
      </w:r>
      <w:r w:rsidRPr="00F21196">
        <w:rPr>
          <w:rFonts w:eastAsia="Times New Roman" w:cs="Calibri"/>
          <w:lang w:eastAsia="pl-PL"/>
        </w:rPr>
        <w:t xml:space="preserve"> funkcjonowania administracji publicznej</w:t>
      </w:r>
      <w:r>
        <w:rPr>
          <w:rStyle w:val="Odwoanieprzypisudolnego"/>
          <w:rFonts w:eastAsia="Times New Roman" w:cs="Calibri"/>
          <w:lang w:eastAsia="pl-PL"/>
        </w:rPr>
        <w:footnoteReference w:id="35"/>
      </w:r>
      <w:r w:rsidRPr="00F21196">
        <w:rPr>
          <w:rFonts w:eastAsia="Times New Roman" w:cs="Calibri"/>
          <w:lang w:eastAsia="pl-PL"/>
        </w:rPr>
        <w:t xml:space="preserve">, </w:t>
      </w:r>
      <w:r w:rsidRPr="00BC61AE">
        <w:rPr>
          <w:rFonts w:eastAsia="Times New Roman" w:cs="Calibri"/>
          <w:shd w:val="clear" w:color="auto" w:fill="FFFFFF" w:themeFill="background1"/>
          <w:lang w:eastAsia="pl-PL"/>
        </w:rPr>
        <w:t xml:space="preserve">usprawnienia procesów świadczenia usług publicznych przez urzędy administracji publicznej, </w:t>
      </w:r>
      <w:r w:rsidRPr="00F21196">
        <w:rPr>
          <w:rFonts w:eastAsia="Times New Roman" w:cs="Calibri"/>
          <w:lang w:eastAsia="pl-PL"/>
        </w:rPr>
        <w:t>usprawnienia funkcjonowania sądownictwa i prokuratury, konsolidacji i wzmocnienia systemu zarządzania rozwojem, wprowadzenia systemu zintegrowanych dokumentów strategicznych i planistycznych na każdym poziomie zarządzania.</w:t>
      </w:r>
      <w:r w:rsidRPr="00E068B5">
        <w:rPr>
          <w:rFonts w:eastAsia="Times New Roman" w:cs="Calibri"/>
          <w:lang w:eastAsia="pl-PL"/>
        </w:rPr>
        <w:t xml:space="preserve"> </w:t>
      </w:r>
      <w:r>
        <w:rPr>
          <w:rFonts w:eastAsia="Times New Roman" w:cs="Calibri"/>
          <w:lang w:eastAsia="pl-PL"/>
        </w:rPr>
        <w:t xml:space="preserve">Ponadto cel II podnosi kwestie rozwoju </w:t>
      </w:r>
      <w:r w:rsidRPr="00F21196">
        <w:rPr>
          <w:rFonts w:eastAsia="Times New Roman" w:cs="Calibri"/>
          <w:lang w:eastAsia="pl-PL"/>
        </w:rPr>
        <w:t xml:space="preserve">dostępu do zintegrowanych baz danych </w:t>
      </w:r>
      <w:r>
        <w:rPr>
          <w:rFonts w:eastAsia="Times New Roman" w:cs="Calibri"/>
          <w:lang w:eastAsia="pl-PL"/>
        </w:rPr>
        <w:t xml:space="preserve">przestrzennych przez ogólnodostępne usługi sieciowe oraz dedykowane serwisy mapowe (np. </w:t>
      </w:r>
      <w:r w:rsidRPr="001569BC">
        <w:rPr>
          <w:rFonts w:eastAsia="Times New Roman" w:cs="Calibri"/>
          <w:lang w:eastAsia="pl-PL"/>
        </w:rPr>
        <w:t>www.geoportal.gov.pl</w:t>
      </w:r>
      <w:r>
        <w:rPr>
          <w:rFonts w:eastAsia="Times New Roman" w:cs="Calibri"/>
          <w:lang w:eastAsia="pl-PL"/>
        </w:rPr>
        <w:t>)</w:t>
      </w:r>
      <w:r w:rsidRPr="00F21196">
        <w:rPr>
          <w:rFonts w:eastAsia="Times New Roman" w:cs="Calibri"/>
          <w:lang w:eastAsia="pl-PL"/>
        </w:rPr>
        <w:t xml:space="preserve"> oraz monitoringu procesów</w:t>
      </w:r>
      <w:r w:rsidRPr="00F21196">
        <w:t xml:space="preserve"> społecznych, gospodarczych i przestrzennych</w:t>
      </w:r>
      <w:r w:rsidRPr="00F21196">
        <w:rPr>
          <w:rFonts w:eastAsia="Times New Roman" w:cs="Calibri"/>
          <w:lang w:eastAsia="pl-PL"/>
        </w:rPr>
        <w:t xml:space="preserve"> związanych z projektowaniem polityki rozwoju na rządowych platformach elektronicznych (np. </w:t>
      </w:r>
      <w:hyperlink r:id="rId12" w:history="1">
        <w:r w:rsidRPr="00FE06DB">
          <w:rPr>
            <w:rStyle w:val="Hipercze"/>
            <w:rFonts w:eastAsia="Times New Roman" w:cs="Calibri"/>
            <w:lang w:eastAsia="pl-PL"/>
          </w:rPr>
          <w:t>www.geoportal.gov.pl</w:t>
        </w:r>
      </w:hyperlink>
      <w:r>
        <w:rPr>
          <w:rFonts w:eastAsia="Times New Roman" w:cs="Calibri"/>
          <w:lang w:eastAsia="pl-PL"/>
        </w:rPr>
        <w:t xml:space="preserve"> oraz </w:t>
      </w:r>
      <w:hyperlink r:id="rId13" w:history="1">
        <w:r w:rsidRPr="00FE06DB">
          <w:rPr>
            <w:rStyle w:val="Hipercze"/>
            <w:rFonts w:eastAsia="Times New Roman" w:cs="Calibri"/>
            <w:lang w:eastAsia="pl-PL"/>
          </w:rPr>
          <w:t>www.stat.gov.pl</w:t>
        </w:r>
      </w:hyperlink>
      <w:r>
        <w:rPr>
          <w:rFonts w:eastAsia="Times New Roman" w:cs="Calibri"/>
          <w:lang w:eastAsia="pl-PL"/>
        </w:rPr>
        <w:t>).</w:t>
      </w:r>
    </w:p>
    <w:p w14:paraId="315B6495" w14:textId="77777777" w:rsidR="00776D77" w:rsidRPr="00F21196" w:rsidRDefault="00776D77" w:rsidP="00776D77">
      <w:pPr>
        <w:spacing w:after="120" w:line="276" w:lineRule="auto"/>
        <w:jc w:val="both"/>
        <w:rPr>
          <w:rFonts w:eastAsia="Times New Roman" w:cs="Calibri"/>
          <w:i/>
          <w:lang w:eastAsia="pl-PL"/>
        </w:rPr>
      </w:pPr>
      <w:r w:rsidRPr="00F21196">
        <w:rPr>
          <w:rFonts w:eastAsia="Times New Roman" w:cs="Calibri"/>
          <w:lang w:eastAsia="pl-PL"/>
        </w:rPr>
        <w:t xml:space="preserve">Cel szczegółowy II powiązany jest z celem szczegółowym III SOR: </w:t>
      </w:r>
      <w:r w:rsidRPr="00F21196">
        <w:rPr>
          <w:rFonts w:eastAsia="Times New Roman" w:cs="Calibri"/>
          <w:i/>
          <w:lang w:eastAsia="pl-PL"/>
        </w:rPr>
        <w:t>Skuteczne państwo i instytucje służące wzrostowi oraz włączeniu społecznemu i gospodarczemu</w:t>
      </w:r>
      <w:r w:rsidRPr="00F21196">
        <w:rPr>
          <w:rFonts w:eastAsia="Times New Roman" w:cs="Calibri"/>
          <w:lang w:eastAsia="pl-PL"/>
        </w:rPr>
        <w:t>. Natomiast kierunki interwencji korespondują z obszarem interwencji państwa:</w:t>
      </w:r>
      <w:r w:rsidRPr="00F21196">
        <w:rPr>
          <w:rFonts w:cs="Calibri,Italic"/>
          <w:i/>
          <w:iCs/>
        </w:rPr>
        <w:t xml:space="preserve"> Instytucje prorozwojowe i strategiczne zarządzanie rozwojem. </w:t>
      </w:r>
      <w:r w:rsidRPr="00F21196">
        <w:rPr>
          <w:rFonts w:cs="Calibri,Italic"/>
          <w:iCs/>
        </w:rPr>
        <w:t>Podejmowane przedsięwzięcia będą koncentrować się na trzech zagadnieniach problemowych: (1)</w:t>
      </w:r>
      <w:r w:rsidRPr="00F21196">
        <w:rPr>
          <w:rFonts w:cs="Calibri,Italic"/>
          <w:i/>
          <w:iCs/>
        </w:rPr>
        <w:t xml:space="preserve"> s</w:t>
      </w:r>
      <w:r w:rsidRPr="00F21196">
        <w:rPr>
          <w:rFonts w:cs="Calibri,BoldItalic"/>
          <w:bCs/>
          <w:i/>
          <w:iCs/>
        </w:rPr>
        <w:t xml:space="preserve">kuteczna administracja publiczna, </w:t>
      </w:r>
      <w:r w:rsidRPr="00F21196">
        <w:rPr>
          <w:rFonts w:cs="Calibri,BoldItalic"/>
          <w:bCs/>
          <w:iCs/>
        </w:rPr>
        <w:t>(2)</w:t>
      </w:r>
      <w:r w:rsidRPr="00F21196">
        <w:rPr>
          <w:rFonts w:cs="Calibri,BoldItalic"/>
          <w:bCs/>
          <w:i/>
          <w:iCs/>
        </w:rPr>
        <w:t xml:space="preserve"> zintegrowany system planowania rozwoju, </w:t>
      </w:r>
      <w:r w:rsidRPr="00F21196">
        <w:rPr>
          <w:rFonts w:cs="Calibri,BoldItalic"/>
          <w:bCs/>
          <w:iCs/>
        </w:rPr>
        <w:t>(3)</w:t>
      </w:r>
      <w:r w:rsidRPr="00F21196">
        <w:rPr>
          <w:rFonts w:cs="Calibri,BoldItalic"/>
          <w:bCs/>
          <w:i/>
          <w:iCs/>
        </w:rPr>
        <w:t xml:space="preserve"> s</w:t>
      </w:r>
      <w:r w:rsidRPr="00F21196">
        <w:rPr>
          <w:rFonts w:eastAsia="Times New Roman" w:cs="Calibri"/>
          <w:i/>
          <w:lang w:eastAsia="pl-PL"/>
        </w:rPr>
        <w:t>prawne funkcjonowanie wymiaru sprawiedliwości i prokuratury.</w:t>
      </w:r>
    </w:p>
    <w:p w14:paraId="71ABB9EC" w14:textId="77777777" w:rsidR="00776D77" w:rsidRDefault="00776D77" w:rsidP="00776D77">
      <w:pPr>
        <w:spacing w:after="0"/>
        <w:jc w:val="both"/>
      </w:pPr>
    </w:p>
    <w:p w14:paraId="640891F6" w14:textId="77777777" w:rsidR="00776D77" w:rsidRPr="00F21196" w:rsidRDefault="00776D77" w:rsidP="00776D77">
      <w:pPr>
        <w:pBdr>
          <w:bottom w:val="single" w:sz="24" w:space="1" w:color="A8D08D" w:themeColor="accent6" w:themeTint="99"/>
        </w:pBdr>
        <w:shd w:val="clear" w:color="auto" w:fill="E2EFD9" w:themeFill="accent6" w:themeFillTint="33"/>
        <w:spacing w:after="0"/>
        <w:rPr>
          <w:rFonts w:eastAsia="Times New Roman" w:cs="Calibri"/>
          <w:b/>
          <w:lang w:eastAsia="pl-PL"/>
        </w:rPr>
      </w:pPr>
      <w:r w:rsidRPr="00F21196">
        <w:rPr>
          <w:rFonts w:eastAsia="Times New Roman" w:cs="Calibri"/>
          <w:b/>
          <w:lang w:eastAsia="pl-PL"/>
        </w:rPr>
        <w:t>II.1. Diagnoza</w:t>
      </w:r>
    </w:p>
    <w:p w14:paraId="37D474B1" w14:textId="77777777" w:rsidR="00776D77" w:rsidRPr="00F21196" w:rsidRDefault="00776D77" w:rsidP="00776D77">
      <w:pPr>
        <w:spacing w:after="0"/>
        <w:rPr>
          <w:rFonts w:eastAsia="Times New Roman" w:cs="Calibri"/>
          <w:b/>
          <w:lang w:eastAsia="pl-PL"/>
        </w:rPr>
      </w:pPr>
    </w:p>
    <w:p w14:paraId="6C8D7A79" w14:textId="77777777" w:rsidR="00776D77" w:rsidRPr="00F21196" w:rsidRDefault="00776D77" w:rsidP="00776D77">
      <w:pPr>
        <w:spacing w:after="0" w:line="276" w:lineRule="auto"/>
        <w:jc w:val="both"/>
        <w:rPr>
          <w:rFonts w:eastAsia="Times New Roman" w:cs="Calibri"/>
          <w:lang w:eastAsia="pl-PL"/>
        </w:rPr>
      </w:pPr>
      <w:r w:rsidRPr="00F21196">
        <w:rPr>
          <w:rFonts w:eastAsia="Times New Roman" w:cs="Calibri"/>
          <w:lang w:eastAsia="pl-PL"/>
        </w:rPr>
        <w:t>Diagnozie</w:t>
      </w:r>
      <w:r w:rsidRPr="00F21196">
        <w:rPr>
          <w:rStyle w:val="Odwoanieprzypisudolnego"/>
          <w:rFonts w:eastAsia="Times New Roman" w:cs="Calibri"/>
          <w:lang w:eastAsia="pl-PL"/>
        </w:rPr>
        <w:footnoteReference w:id="36"/>
      </w:r>
      <w:r w:rsidRPr="00F21196">
        <w:rPr>
          <w:rFonts w:eastAsia="Times New Roman" w:cs="Calibri"/>
          <w:lang w:eastAsia="pl-PL"/>
        </w:rPr>
        <w:t xml:space="preserve"> poddano zagadnienia wynikające z zakresu tematycznego SNP związane z funkcjonowaniem administracji rządowej </w:t>
      </w:r>
      <w:r>
        <w:rPr>
          <w:rFonts w:eastAsia="Times New Roman" w:cs="Calibri"/>
          <w:lang w:eastAsia="pl-PL"/>
        </w:rPr>
        <w:t xml:space="preserve">i </w:t>
      </w:r>
      <w:r w:rsidRPr="00F21196">
        <w:rPr>
          <w:rFonts w:eastAsia="Times New Roman" w:cs="Calibri"/>
          <w:lang w:eastAsia="pl-PL"/>
        </w:rPr>
        <w:t xml:space="preserve">samorządowej, świadczeniem usług przez administrację, </w:t>
      </w:r>
      <w:r w:rsidRPr="00F21196">
        <w:rPr>
          <w:rFonts w:cs="Arial"/>
          <w:bCs/>
          <w:iCs/>
          <w:color w:val="000000"/>
        </w:rPr>
        <w:t>zdolności</w:t>
      </w:r>
      <w:r>
        <w:rPr>
          <w:rFonts w:cs="Arial"/>
          <w:bCs/>
          <w:iCs/>
          <w:color w:val="000000"/>
        </w:rPr>
        <w:t>ą</w:t>
      </w:r>
      <w:r w:rsidRPr="00F21196">
        <w:rPr>
          <w:rFonts w:cs="Arial"/>
          <w:bCs/>
          <w:iCs/>
          <w:color w:val="000000"/>
        </w:rPr>
        <w:t xml:space="preserve"> do kreowania </w:t>
      </w:r>
      <w:r w:rsidRPr="00F21196">
        <w:rPr>
          <w:rFonts w:cs="Calibri,Bold"/>
          <w:bCs/>
        </w:rPr>
        <w:t>i zarządzania polityką państwa (w tym</w:t>
      </w:r>
      <w:r w:rsidRPr="00F21196">
        <w:rPr>
          <w:rFonts w:cs="Arial"/>
          <w:bCs/>
          <w:iCs/>
          <w:color w:val="000000"/>
        </w:rPr>
        <w:t xml:space="preserve"> polityką rozwoju kraju), funkcjonowaniem wymiaru sprawiedliwości i prokuratury,</w:t>
      </w:r>
      <w:r w:rsidRPr="00F21196">
        <w:rPr>
          <w:rFonts w:eastAsia="Times New Roman" w:cs="Calibri"/>
          <w:b/>
          <w:lang w:eastAsia="pl-PL"/>
        </w:rPr>
        <w:t xml:space="preserve"> </w:t>
      </w:r>
      <w:r w:rsidRPr="00F21196">
        <w:rPr>
          <w:rFonts w:eastAsia="Times New Roman" w:cs="Calibri"/>
          <w:lang w:eastAsia="pl-PL"/>
        </w:rPr>
        <w:t xml:space="preserve">planowania społecznego, gospodarczego i przestrzennego (w tym </w:t>
      </w:r>
      <w:r w:rsidRPr="00F21196">
        <w:rPr>
          <w:rFonts w:eastAsia="Times New Roman" w:cs="Calibri"/>
          <w:iCs/>
          <w:lang w:eastAsia="pl-PL"/>
        </w:rPr>
        <w:t>na obszarach morskich).</w:t>
      </w:r>
    </w:p>
    <w:p w14:paraId="0AA05B70" w14:textId="11B4D530" w:rsidR="00776D77" w:rsidRDefault="00776D77" w:rsidP="00776D77">
      <w:pPr>
        <w:spacing w:after="120" w:line="276" w:lineRule="auto"/>
        <w:jc w:val="both"/>
        <w:rPr>
          <w:rFonts w:cs="Arial"/>
        </w:rPr>
      </w:pPr>
      <w:r w:rsidRPr="00F21196">
        <w:rPr>
          <w:rFonts w:cs="Candara"/>
          <w:b/>
        </w:rPr>
        <w:t>Administracja publiczna</w:t>
      </w:r>
      <w:r>
        <w:rPr>
          <w:rStyle w:val="Odwoanieprzypisudolnego"/>
          <w:rFonts w:cs="Candara"/>
          <w:b/>
        </w:rPr>
        <w:footnoteReference w:id="37"/>
      </w:r>
      <w:r w:rsidRPr="00F21196">
        <w:rPr>
          <w:rFonts w:cs="Candara"/>
          <w:b/>
        </w:rPr>
        <w:t xml:space="preserve">. </w:t>
      </w:r>
      <w:r w:rsidRPr="00F21196">
        <w:rPr>
          <w:rFonts w:cs="Candara"/>
        </w:rPr>
        <w:t>Wprowadzane nowe rozwiązania organizacyjne prowadzą do efektywniejszego działania administracji publicznej, przy czym termin „efektywność” rozumian</w:t>
      </w:r>
      <w:r>
        <w:rPr>
          <w:rFonts w:cs="Candara"/>
        </w:rPr>
        <w:t>y</w:t>
      </w:r>
      <w:r w:rsidRPr="00F21196">
        <w:rPr>
          <w:rFonts w:cs="Candara"/>
        </w:rPr>
        <w:t xml:space="preserve"> jest w dwóch </w:t>
      </w:r>
      <w:r w:rsidR="00D61B7F" w:rsidRPr="00F21196">
        <w:rPr>
          <w:rFonts w:cs="Candara"/>
        </w:rPr>
        <w:t xml:space="preserve">kategoriach: </w:t>
      </w:r>
      <w:r w:rsidR="00D61B7F">
        <w:rPr>
          <w:rFonts w:cs="Candara"/>
        </w:rPr>
        <w:br/>
      </w:r>
      <w:r w:rsidR="00D61B7F" w:rsidRPr="00F21196">
        <w:rPr>
          <w:rFonts w:cs="Candara"/>
        </w:rPr>
        <w:t>(1) kategorii</w:t>
      </w:r>
      <w:r w:rsidRPr="00F21196">
        <w:rPr>
          <w:rFonts w:cs="Candara"/>
        </w:rPr>
        <w:t xml:space="preserve"> sprawności oraz w (2)  kategorii skuteczności. Działanie efektywne w administracji publicznej oznacza zatem działanie sprawne i skuteczne. </w:t>
      </w:r>
      <w:r w:rsidRPr="00F21196">
        <w:rPr>
          <w:rFonts w:cs="Calibri"/>
        </w:rPr>
        <w:t xml:space="preserve">Powodem braku efektywności działań administracji jest brak wystarczających zasobów finansowych na zaspokojenie potrzeb. </w:t>
      </w:r>
      <w:r w:rsidRPr="00F21196">
        <w:rPr>
          <w:rFonts w:cs="Arial"/>
        </w:rPr>
        <w:t xml:space="preserve">Elementem wpływającym na ocenę </w:t>
      </w:r>
      <w:r w:rsidRPr="00F21196">
        <w:rPr>
          <w:rFonts w:cs="TimesNewRomanPSMT"/>
        </w:rPr>
        <w:t>jakości administracji publicznej jest opracowywany przez Bank Światowy wskaźnik efektywności rządzenia</w:t>
      </w:r>
      <w:r w:rsidRPr="00F21196">
        <w:rPr>
          <w:rStyle w:val="Odwoanieprzypisudolnego"/>
          <w:rFonts w:cs="Arial"/>
        </w:rPr>
        <w:footnoteReference w:id="38"/>
      </w:r>
      <w:r w:rsidRPr="00F21196">
        <w:rPr>
          <w:rFonts w:cs="Arial"/>
        </w:rPr>
        <w:t xml:space="preserve">. W </w:t>
      </w:r>
      <w:r>
        <w:rPr>
          <w:rFonts w:cs="Arial"/>
        </w:rPr>
        <w:t xml:space="preserve">2017 </w:t>
      </w:r>
      <w:r w:rsidRPr="00F21196">
        <w:rPr>
          <w:rFonts w:cs="Arial"/>
        </w:rPr>
        <w:t xml:space="preserve">roku </w:t>
      </w:r>
      <w:r>
        <w:rPr>
          <w:rFonts w:cs="Arial"/>
        </w:rPr>
        <w:t>jego wartość wynosiła 0,64, natomiast nieznaczny wzrost można zaobserwować porównując rok 2018 do roku 2017, bowiem jego wartość wskaźnika wzrosłą z 0,64 do 0,66.</w:t>
      </w:r>
    </w:p>
    <w:p w14:paraId="44E08552" w14:textId="77777777" w:rsidR="00776D77" w:rsidRPr="00F21196" w:rsidRDefault="00776D77" w:rsidP="00776D77">
      <w:pPr>
        <w:spacing w:after="120" w:line="276" w:lineRule="auto"/>
        <w:jc w:val="both"/>
        <w:rPr>
          <w:rFonts w:cs="Calibri"/>
        </w:rPr>
      </w:pPr>
      <w:r w:rsidRPr="00F21196">
        <w:rPr>
          <w:rFonts w:cs="Calibri"/>
        </w:rPr>
        <w:t>Zestawienia wskaźników wartoś</w:t>
      </w:r>
      <w:r>
        <w:rPr>
          <w:rFonts w:cs="Calibri"/>
        </w:rPr>
        <w:t>ci</w:t>
      </w:r>
      <w:r w:rsidRPr="00F21196">
        <w:rPr>
          <w:rFonts w:cs="Calibri"/>
        </w:rPr>
        <w:t xml:space="preserve"> wydatków publicznych oraz efektywnoś</w:t>
      </w:r>
      <w:r>
        <w:rPr>
          <w:rFonts w:cs="Calibri"/>
        </w:rPr>
        <w:t>ci</w:t>
      </w:r>
      <w:r w:rsidRPr="00F21196">
        <w:rPr>
          <w:rFonts w:cs="Calibri"/>
        </w:rPr>
        <w:t xml:space="preserve"> rządzenia przedstawiono w </w:t>
      </w:r>
      <w:r w:rsidRPr="00F21196">
        <w:rPr>
          <w:rFonts w:cs="Calibri"/>
          <w:i/>
        </w:rPr>
        <w:t>Raporcie o rozwoju społeczno-gospodarczym, regionalnym oraz przestrzennym</w:t>
      </w:r>
      <w:r w:rsidRPr="00F21196">
        <w:rPr>
          <w:rStyle w:val="Odwoanieprzypisudolnego"/>
          <w:rFonts w:cs="Calibri"/>
          <w:i/>
        </w:rPr>
        <w:footnoteReference w:id="39"/>
      </w:r>
      <w:r w:rsidRPr="00F21196">
        <w:rPr>
          <w:rFonts w:cs="Calibri"/>
          <w:i/>
        </w:rPr>
        <w:t xml:space="preserve">. </w:t>
      </w:r>
      <w:r w:rsidRPr="00F21196">
        <w:rPr>
          <w:rFonts w:cs="Calibri"/>
        </w:rPr>
        <w:t xml:space="preserve">Stosunek udziału wydatków publicznych w PKB do wielkości wskaźnika efektywności rządzenia, który charakteryzuje Polskę – relatywnie niski wskaźnik efektywności przy relatywnie wysokim wskaźniku wydatków w relacji do PKB – skłania do wniosku, że w porównaniu do innych krajów </w:t>
      </w:r>
      <w:r w:rsidRPr="00F21196">
        <w:rPr>
          <w:rFonts w:cs="Calibri,Bold"/>
          <w:bCs/>
        </w:rPr>
        <w:t>w Polsce brakuje wystarczających rozwiązań administracyjno-prawnych</w:t>
      </w:r>
      <w:r>
        <w:rPr>
          <w:rFonts w:cs="Calibri,Bold"/>
          <w:bCs/>
        </w:rPr>
        <w:t xml:space="preserve"> </w:t>
      </w:r>
      <w:r w:rsidRPr="00F21196">
        <w:rPr>
          <w:rFonts w:cs="Calibri,Bold"/>
          <w:bCs/>
        </w:rPr>
        <w:t>podnoszących efektywność rządzenia</w:t>
      </w:r>
      <w:r w:rsidRPr="00F21196">
        <w:rPr>
          <w:rFonts w:cs="Calibri"/>
        </w:rPr>
        <w:t>.</w:t>
      </w:r>
    </w:p>
    <w:p w14:paraId="74676604" w14:textId="77777777" w:rsidR="00776D77" w:rsidRPr="00F21196" w:rsidRDefault="00776D77" w:rsidP="00776D77">
      <w:pPr>
        <w:autoSpaceDE w:val="0"/>
        <w:autoSpaceDN w:val="0"/>
        <w:adjustRightInd w:val="0"/>
        <w:spacing w:after="120" w:line="276" w:lineRule="auto"/>
        <w:jc w:val="both"/>
        <w:rPr>
          <w:rFonts w:cs="ECSquareSansPro"/>
        </w:rPr>
      </w:pPr>
      <w:r w:rsidRPr="00F21196">
        <w:rPr>
          <w:rFonts w:cs="Calibri"/>
        </w:rPr>
        <w:t xml:space="preserve">Innym wskaźnikiem Banku Światowego opisującym dobre rządzenie publiczne w krajach świata jest wskaźnik odzwierciedlający postrzeganie stopnia, w jakim obywatele kraju mogą uczestniczyć w wyborze władz, jak również wolność wypowiedzi, wolność zrzeszania się i wolność mediów. Jest to wskaźnik, który odzwierciedla bardziej polityczną niż administracyjną sprawność państwa. Jak podkreślono w ww. </w:t>
      </w:r>
      <w:r>
        <w:rPr>
          <w:rFonts w:cs="Calibri"/>
        </w:rPr>
        <w:t>r</w:t>
      </w:r>
      <w:r w:rsidRPr="00F21196">
        <w:rPr>
          <w:rFonts w:cs="Calibri"/>
        </w:rPr>
        <w:t xml:space="preserve">aporcie wskaźnik ten jest dla Polski wyższy niż wskaźnik efektywności rządzenia. Dodatkowo w Polsce ma </w:t>
      </w:r>
      <w:r w:rsidRPr="00F21196">
        <w:rPr>
          <w:rFonts w:cs="Calibri,Bold"/>
          <w:bCs/>
        </w:rPr>
        <w:t>najwyższą wartość spośród referencyjnych krajów Europy Środkowej</w:t>
      </w:r>
      <w:r w:rsidRPr="00F21196">
        <w:rPr>
          <w:rFonts w:cs="Calibri"/>
        </w:rPr>
        <w:t xml:space="preserve">. Na uwagę zasługują również informacje i podsumowania zawarte w </w:t>
      </w:r>
      <w:r w:rsidRPr="00F21196">
        <w:rPr>
          <w:rFonts w:cs="Calibri"/>
          <w:i/>
        </w:rPr>
        <w:t>Siódmym Raporcie na temat spójności gospodarczej, społecznej i terytorialnej – Mój region, moja Europa, nasza przyszłość</w:t>
      </w:r>
      <w:r w:rsidRPr="00F21196">
        <w:rPr>
          <w:rFonts w:cs="Calibri"/>
        </w:rPr>
        <w:t xml:space="preserve"> odnoszące się do efektywności i jakości rządzenia, zdolności instytucjonalnych </w:t>
      </w:r>
      <w:r w:rsidRPr="00F21196">
        <w:rPr>
          <w:rFonts w:cs="Calibri"/>
        </w:rPr>
        <w:br/>
        <w:t xml:space="preserve">czy zdolności do przeprowadzania reform. We wskazanym dokumencie stwierdzono, że </w:t>
      </w:r>
      <w:r w:rsidRPr="00F21196">
        <w:rPr>
          <w:rFonts w:cs="ECSquareSansPro"/>
        </w:rPr>
        <w:t xml:space="preserve">jakość rządzenia </w:t>
      </w:r>
      <w:r w:rsidRPr="00F21196">
        <w:rPr>
          <w:rFonts w:cs="ECSquareSansPro"/>
        </w:rPr>
        <w:br/>
        <w:t>i instytucji stanowi podstawowy warunek trwałego wzrostu dobrobytu, dobrostanu i spójności terytorialnej w Unii Europejskiej.</w:t>
      </w:r>
    </w:p>
    <w:p w14:paraId="3DC18F61" w14:textId="77777777" w:rsidR="00776D77" w:rsidRPr="004A1736" w:rsidRDefault="00776D77" w:rsidP="00776D77">
      <w:pPr>
        <w:spacing w:after="0" w:line="276" w:lineRule="auto"/>
        <w:jc w:val="both"/>
        <w:rPr>
          <w:rFonts w:eastAsia="Times New Roman" w:cs="Calibri"/>
          <w:b/>
          <w:lang w:eastAsia="pl-PL"/>
        </w:rPr>
      </w:pPr>
      <w:r w:rsidRPr="004A1736">
        <w:rPr>
          <w:iCs/>
        </w:rPr>
        <w:t>Jako obszar wymagający interwencji wskazać można brak adekwatnych narzędzi oraz odpowiednich instrumentów kontroli i nadzoru jednostek samorządu terytorialnego, pozwalających na przeciwdziałanie ich nadmiernemu zadłużaniu się. Uwzględniając proces zachodzących w środowisku technologiczno-społecznym zmian należy ocenić, że instytucje kontroli państwowej, takie jak regionalne izby obrachunkowe, nie posiadają aktualnie optymalnego spektrum narzędzi kontroli, dających możliwość bieżącego monitorowania sytuacji finansowej samorządu terytorialnego, a w razie potrzeby podjęcia niezwłocznego działania. Brak sprawnego dostępu do baz danych, niewyczerpujący zakres przedmiotowy kontroli, czy też niepełna skuteczność działań kontrolnych nie pozwalają na uznanie wystarczającej sprawności działania administracji kontrolno-nadzorczej. Na konieczność wprowadzania odpowiedniego instrumentarium wskazywała m.in. Najwyższa Izba Kontroli w związku z przeprowadzanymi kontrolami dotyczącymi tematyki gospodarki finansowej jednostek samorządu terytorialnego.</w:t>
      </w:r>
    </w:p>
    <w:p w14:paraId="45A653AE" w14:textId="77777777" w:rsidR="00776D77" w:rsidRPr="0020517B" w:rsidRDefault="00776D77" w:rsidP="00776D77">
      <w:pPr>
        <w:spacing w:before="120" w:after="120" w:line="276" w:lineRule="auto"/>
        <w:jc w:val="both"/>
        <w:rPr>
          <w:rFonts w:eastAsia="Calibri" w:cs="Times New Roman"/>
          <w:color w:val="FF0000"/>
          <w:lang w:eastAsia="pl-PL"/>
        </w:rPr>
      </w:pPr>
      <w:r w:rsidRPr="00F21196">
        <w:rPr>
          <w:rFonts w:eastAsia="Times New Roman" w:cs="Calibri"/>
          <w:b/>
          <w:lang w:eastAsia="pl-PL"/>
        </w:rPr>
        <w:t xml:space="preserve">Administracja samorządowa. </w:t>
      </w:r>
      <w:r w:rsidRPr="00980FE9">
        <w:rPr>
          <w:rFonts w:eastAsia="Calibri" w:cs="Times New Roman"/>
          <w:lang w:eastAsia="pl-PL"/>
        </w:rPr>
        <w:t>W Polsce wg stanu na 1 stycznia 2020 r. funkcjonuje 2477 gmin, 66 miast na prawach powiatu, 314 powiatów i 16 województw.</w:t>
      </w:r>
      <w:r w:rsidRPr="00980FE9">
        <w:rPr>
          <w:rFonts w:cs="Times New Roman"/>
        </w:rPr>
        <w:t xml:space="preserve"> Podstawowy szczebel samorządu terytorialnego w Polsce – gmina - ma średnio 15 tys. mieszkańców, powiat - zamieszkany jest średnio przez 82 tys. </w:t>
      </w:r>
      <w:r>
        <w:rPr>
          <w:rFonts w:cs="Times New Roman"/>
        </w:rPr>
        <w:t>osób</w:t>
      </w:r>
      <w:r w:rsidRPr="00980FE9">
        <w:rPr>
          <w:rFonts w:cs="Times New Roman"/>
        </w:rPr>
        <w:t xml:space="preserve"> (miasto na prawach powiatu - 190 tys.), a szczebel regionalny – województwo - ma średnio 2,4 mln mieszkańców</w:t>
      </w:r>
      <w:r w:rsidRPr="00980FE9">
        <w:rPr>
          <w:rStyle w:val="Odwoanieprzypisudolnego"/>
          <w:rFonts w:eastAsia="Times New Roman" w:cs="Calibri"/>
          <w:b/>
          <w:lang w:eastAsia="pl-PL"/>
        </w:rPr>
        <w:footnoteReference w:id="40"/>
      </w:r>
      <w:r w:rsidRPr="00980FE9">
        <w:rPr>
          <w:rFonts w:cs="Times New Roman"/>
        </w:rPr>
        <w:t>.</w:t>
      </w:r>
      <w:r>
        <w:rPr>
          <w:rFonts w:cs="Times New Roman"/>
        </w:rPr>
        <w:t xml:space="preserve"> </w:t>
      </w:r>
    </w:p>
    <w:p w14:paraId="18E51314" w14:textId="77777777" w:rsidR="00776D77" w:rsidRPr="00980FE9" w:rsidRDefault="00776D77" w:rsidP="00776D77">
      <w:pPr>
        <w:pStyle w:val="Tekstkomentarza"/>
        <w:spacing w:line="276" w:lineRule="auto"/>
        <w:jc w:val="both"/>
        <w:rPr>
          <w:rFonts w:cs="Times New Roman"/>
          <w:sz w:val="22"/>
          <w:szCs w:val="22"/>
        </w:rPr>
      </w:pPr>
      <w:r w:rsidRPr="00980FE9">
        <w:rPr>
          <w:rFonts w:cs="Times New Roman"/>
          <w:sz w:val="22"/>
          <w:szCs w:val="22"/>
        </w:rPr>
        <w:t>W dłuższej perspektywie na racjonalność podziału terytorialnego wpływają także ruchy naturalne ludności oraz migracje. Liczba ludności Polski od kilku lat utrzymuje się na zbliżonym poziomie, a według prognoz demograficznych będzie się w najbliższych latach obniżać. Według prognozy ludności, przygotowanej przez GUS, liczba mieszkańców Polski w porównaniu do 2019 r. spadnie o 5% do 2035 r. i aż o 11,5% do 2050 r. Zmiany te nie są jednak równomiern</w:t>
      </w:r>
      <w:r>
        <w:rPr>
          <w:rFonts w:cs="Times New Roman"/>
          <w:sz w:val="22"/>
          <w:szCs w:val="22"/>
        </w:rPr>
        <w:t>i</w:t>
      </w:r>
      <w:r w:rsidRPr="00980FE9">
        <w:rPr>
          <w:rFonts w:cs="Times New Roman"/>
          <w:sz w:val="22"/>
          <w:szCs w:val="22"/>
        </w:rPr>
        <w:t>e</w:t>
      </w:r>
      <w:r>
        <w:rPr>
          <w:rFonts w:cs="Times New Roman"/>
          <w:sz w:val="22"/>
          <w:szCs w:val="22"/>
        </w:rPr>
        <w:t xml:space="preserve"> rozłożone</w:t>
      </w:r>
      <w:r w:rsidRPr="00980FE9">
        <w:rPr>
          <w:rFonts w:cs="Times New Roman"/>
          <w:sz w:val="22"/>
          <w:szCs w:val="22"/>
        </w:rPr>
        <w:t xml:space="preserve"> na terenie całego kraju – postępuje koncentracja mieszkańców na obrzeżach największych aglomeracji miejskich, zaś stopniowo wyludniają się bardziej peryferyjnie położone obszary wiejskie. Od 1992 roku do 2014 roku liczba gmin bardzo małych – z liczbą mieszkańców poniżej 2 tysięcy – wzrosła ponad dwukrotnie, przy czym wzrost ten przypadał w całości na okres po 2000 roku. Gmin liczących poniżej 3 tysięcy mieszkańców było w 1992 roku łącznie 66, w 2010 roku już 102, a w 2014 roku – 103, natomiast w roku 2030 wg. </w:t>
      </w:r>
      <w:r w:rsidRPr="00980FE9">
        <w:rPr>
          <w:rFonts w:cs="Times New Roman"/>
          <w:i/>
          <w:sz w:val="22"/>
          <w:szCs w:val="22"/>
        </w:rPr>
        <w:t>Prognozy dla gmin na lata 2017-2030</w:t>
      </w:r>
      <w:r w:rsidRPr="00980FE9">
        <w:rPr>
          <w:rFonts w:cs="Times New Roman"/>
          <w:sz w:val="22"/>
          <w:szCs w:val="22"/>
        </w:rPr>
        <w:t xml:space="preserve"> </w:t>
      </w:r>
      <w:r>
        <w:rPr>
          <w:rFonts w:cs="Times New Roman"/>
        </w:rPr>
        <w:t xml:space="preserve">przewiduję </w:t>
      </w:r>
      <w:r w:rsidRPr="00437C0E">
        <w:rPr>
          <w:rFonts w:cs="Times New Roman"/>
        </w:rPr>
        <w:t>się</w:t>
      </w:r>
      <w:r w:rsidRPr="00DF4878">
        <w:rPr>
          <w:rFonts w:cs="Times New Roman"/>
          <w:sz w:val="22"/>
          <w:szCs w:val="22"/>
        </w:rPr>
        <w:t>, że ich liczba wyniesie 143</w:t>
      </w:r>
      <w:r w:rsidRPr="00980FE9">
        <w:rPr>
          <w:rFonts w:cs="Times New Roman"/>
          <w:sz w:val="22"/>
          <w:szCs w:val="22"/>
        </w:rPr>
        <w:t xml:space="preserve">. W mniejszym stopniu zjawisko wzrastającej liczby małych jednostek przenosi się na szczebel powiatowy. Są dwie kategorie gmin, w których liczba mieszkańców zmniejsza się. Pierwsza to duże miasta, które tracą mieszkańców często ze względu na rozlewanie się miast w związku ze zjawiskami chaotycznej suburbanizacji. Druga kategoria to gminy małe – liczące poniżej 5 tysięcy mieszkańców (a zwłaszcza poniżej 3 tys.). Tym samym gminy te nie są w stanie zapewnić odpowiedniej jakości życia – co wiąże się tak z miejscami pracy jak i poziomem usług publicznych – i </w:t>
      </w:r>
      <w:r>
        <w:rPr>
          <w:rFonts w:cs="Times New Roman"/>
          <w:sz w:val="22"/>
          <w:szCs w:val="22"/>
        </w:rPr>
        <w:t xml:space="preserve">również z tym, </w:t>
      </w:r>
      <w:r w:rsidRPr="00980FE9">
        <w:rPr>
          <w:rFonts w:cs="Times New Roman"/>
          <w:sz w:val="22"/>
          <w:szCs w:val="22"/>
        </w:rPr>
        <w:t>że ten czynnik przyczynia się do kierunku ruchów migracyjnych</w:t>
      </w:r>
      <w:r w:rsidRPr="00980FE9">
        <w:rPr>
          <w:rStyle w:val="Odwoanieprzypisudolnego"/>
          <w:rFonts w:cs="Times New Roman"/>
          <w:sz w:val="22"/>
          <w:szCs w:val="22"/>
        </w:rPr>
        <w:footnoteReference w:id="41"/>
      </w:r>
      <w:r w:rsidRPr="00980FE9">
        <w:rPr>
          <w:rFonts w:cs="Times New Roman"/>
          <w:sz w:val="22"/>
          <w:szCs w:val="22"/>
        </w:rPr>
        <w:t xml:space="preserve"> .</w:t>
      </w:r>
    </w:p>
    <w:p w14:paraId="2719AA14" w14:textId="77777777" w:rsidR="00776D77" w:rsidRPr="00F21196" w:rsidRDefault="00776D77" w:rsidP="00776D77">
      <w:pPr>
        <w:spacing w:after="120" w:line="276" w:lineRule="auto"/>
        <w:jc w:val="both"/>
        <w:rPr>
          <w:rFonts w:cs="Times New Roman"/>
        </w:rPr>
      </w:pPr>
      <w:r w:rsidRPr="00F21196">
        <w:rPr>
          <w:rFonts w:cs="Times New Roman"/>
        </w:rPr>
        <w:t>Wśród jednostek podziału terytorialnego kraju funkcjonuje ponad 150 gmin „obwarzankowych”, tj. takich, w który</w:t>
      </w:r>
      <w:r>
        <w:rPr>
          <w:rFonts w:cs="Times New Roman"/>
        </w:rPr>
        <w:t>ch</w:t>
      </w:r>
      <w:r w:rsidRPr="00F21196">
        <w:rPr>
          <w:rFonts w:cs="Times New Roman"/>
        </w:rPr>
        <w:t xml:space="preserve"> odrębną jednostkę miejską otacza odrębna jednostka o charakterze wiejskim, której siedzibą jest miasto centralne i której nazwa nawiązuje do tego miasta. Zatem </w:t>
      </w:r>
      <w:r>
        <w:rPr>
          <w:rFonts w:cs="Times New Roman"/>
        </w:rPr>
        <w:t>w</w:t>
      </w:r>
      <w:r w:rsidRPr="00F21196">
        <w:rPr>
          <w:rFonts w:cs="Times New Roman"/>
        </w:rPr>
        <w:t xml:space="preserve"> jednej miejscowości znajdują się władze dwóch różnych jednostek samorządu terytorialnego.</w:t>
      </w:r>
      <w:r w:rsidRPr="00F21196">
        <w:t xml:space="preserve"> </w:t>
      </w:r>
      <w:r w:rsidRPr="00F21196">
        <w:rPr>
          <w:rFonts w:cs="Times New Roman"/>
        </w:rPr>
        <w:t>W wielu wypowiedziach ekspertów przewija się przekonanie o dysfunkcjonalności takiego rozwiązania.</w:t>
      </w:r>
      <w:r w:rsidRPr="00F21196">
        <w:t xml:space="preserve"> </w:t>
      </w:r>
      <w:r w:rsidRPr="00F21196">
        <w:rPr>
          <w:rFonts w:cs="Times New Roman"/>
        </w:rPr>
        <w:t>Obecne rozwiązanie utrudnia spójne planowanie oraz efektywne zarządzanie uwzględniające potrzeby wszystkich mieszkańców.</w:t>
      </w:r>
      <w:r w:rsidRPr="00F21196">
        <w:rPr>
          <w:rFonts w:cs="Times New Roman"/>
          <w:i/>
        </w:rPr>
        <w:t xml:space="preserve"> </w:t>
      </w:r>
      <w:r w:rsidRPr="00F21196">
        <w:rPr>
          <w:rFonts w:cs="Times New Roman"/>
        </w:rPr>
        <w:t>Mieszkańcy gmin okalających miasto są częstymi gośćmi i konsumentami wielu usług świadczonych w mieście. Mieszkańcy gmin, których podatki zasilają budżety ich samorządów, korzystają z wielu usług wytwarzanych w mieście i dofinansowywanych z budżetów tych miast. Jednocześnie mieszkańcy ci korzystają z usług, na których świadczenie nie mogą oddziaływać jako obywatele</w:t>
      </w:r>
      <w:r>
        <w:rPr>
          <w:rFonts w:cs="Times New Roman"/>
        </w:rPr>
        <w:t>,</w:t>
      </w:r>
      <w:r w:rsidRPr="00F21196">
        <w:rPr>
          <w:rFonts w:cs="Times New Roman"/>
        </w:rPr>
        <w:t>-wyborcy władz samorządowych</w:t>
      </w:r>
      <w:r w:rsidRPr="00F21196">
        <w:rPr>
          <w:rStyle w:val="Odwoanieprzypisudolnego"/>
          <w:rFonts w:cs="Times New Roman"/>
        </w:rPr>
        <w:footnoteReference w:id="42"/>
      </w:r>
      <w:r w:rsidRPr="00F21196">
        <w:rPr>
          <w:rFonts w:cs="Times New Roman"/>
        </w:rPr>
        <w:t xml:space="preserve">. </w:t>
      </w:r>
    </w:p>
    <w:p w14:paraId="1E9E8381" w14:textId="77777777" w:rsidR="00776D77" w:rsidRPr="00F21196" w:rsidRDefault="00776D77" w:rsidP="00776D77">
      <w:pPr>
        <w:spacing w:line="276" w:lineRule="auto"/>
        <w:jc w:val="both"/>
        <w:rPr>
          <w:rFonts w:cs="Times New Roman"/>
        </w:rPr>
      </w:pPr>
      <w:r w:rsidRPr="00F21196">
        <w:rPr>
          <w:rFonts w:cs="Times New Roman"/>
        </w:rPr>
        <w:t xml:space="preserve">Zadaniem władz rządowych </w:t>
      </w:r>
      <w:r>
        <w:rPr>
          <w:rFonts w:cs="Times New Roman"/>
        </w:rPr>
        <w:t>i</w:t>
      </w:r>
      <w:r w:rsidRPr="00F21196">
        <w:rPr>
          <w:rFonts w:cs="Times New Roman"/>
        </w:rPr>
        <w:t xml:space="preserve"> liderów lokalnych jest to, aby odpowiednio szybko i skutecznie reagować na zmieniającą się </w:t>
      </w:r>
      <w:r w:rsidRPr="00CB7617">
        <w:rPr>
          <w:rFonts w:cs="Times New Roman"/>
        </w:rPr>
        <w:t>przestrzeń i uwarunkowania społeczno-gospodarcze</w:t>
      </w:r>
      <w:r>
        <w:rPr>
          <w:rFonts w:cs="Times New Roman"/>
        </w:rPr>
        <w:t>,</w:t>
      </w:r>
      <w:r w:rsidRPr="00F21196">
        <w:rPr>
          <w:rFonts w:cs="Times New Roman"/>
        </w:rPr>
        <w:t xml:space="preserve"> tak, aby samorząd terytorialny realizował w sposób należyty powierzone mu zadania i był w stanie zaspokoić podstawowe potrzeby mieszkańców danej wspólnoty lokalnej czy regionalnej</w:t>
      </w:r>
      <w:r w:rsidRPr="00F21196">
        <w:rPr>
          <w:rStyle w:val="Odwoanieprzypisudolnego"/>
          <w:rFonts w:cs="Times New Roman"/>
        </w:rPr>
        <w:footnoteReference w:id="43"/>
      </w:r>
      <w:r w:rsidRPr="00F21196">
        <w:rPr>
          <w:rFonts w:cs="Times New Roman"/>
        </w:rPr>
        <w:t>.</w:t>
      </w:r>
    </w:p>
    <w:p w14:paraId="4227B538" w14:textId="77777777" w:rsidR="00776D77" w:rsidRPr="00F21196" w:rsidRDefault="00776D77" w:rsidP="00776D77">
      <w:pPr>
        <w:spacing w:line="276" w:lineRule="auto"/>
        <w:jc w:val="both"/>
        <w:rPr>
          <w:rFonts w:cs="Times New Roman"/>
        </w:rPr>
      </w:pPr>
      <w:r w:rsidRPr="00F21196">
        <w:rPr>
          <w:rFonts w:cs="Times New Roman"/>
        </w:rPr>
        <w:t xml:space="preserve">Samorząd terytorialny to wspólnota lokalnej społeczności, która posiada szczególną misję, jaką jest wykonywanie zadań publicznych służących zaspokajaniu potrzeb wspólnoty samorządowej. Zadania te, zgodnie z Konstytucją Rzeczypospolitej Polskiej, wykonywane są przez jednostkę samorządu terytorialnego jako zadania własne. Powyższe cechy w istotnym stopniu podnoszą zatem rangę partycypacji społecznej w samorządowym zarządzaniu publicznym. Aktywizacja mieszkańców poprzez zaangażowanie ich w wykonywanie zadań publicznych oraz rozwiązywanie problemów jest bowiem zjawiskiem, które jednoznacznie ocenić należy jako pozytywne. Stanowi ona bowiem kluczowy budulec dla więzi oraz właściwych relacji pomiędzy lokalną społecznością oraz lokalną władzą, co w rezultacie sprzyja efektywnemu zarządzaniu, gdyż potrzeby wspólnoty samorządowej najlepiej znają sami mieszkańcy. Partycypacja społeczna jest jednym z podstawowych elementów tzw. </w:t>
      </w:r>
      <w:r w:rsidRPr="00F21196">
        <w:rPr>
          <w:rFonts w:cs="Times New Roman"/>
          <w:i/>
        </w:rPr>
        <w:t>good governance</w:t>
      </w:r>
      <w:r w:rsidRPr="00F21196">
        <w:rPr>
          <w:rFonts w:cs="Times New Roman"/>
        </w:rPr>
        <w:t xml:space="preserve">. Warunkiem jej zaistnienia i prawidłowego funkcjonowania jest podniesienie lokalnej społeczności do rangi partnera społecznego. Słuchanie głosu lokalnej społeczności oraz zapewnienie mieszkańcom udziału w samorządowym zarządzaniu publicznym, to działania warunkujące właściwe wykonywanie przez jednostkę samorządu terytorialnego zadań publicznych służących zaspokajaniu potrzeb wspólnoty samorządowej. Podkreślić również należy, iż wspieranie udziału lokalnej społeczności w zarządzaniu stanowi także ważny element kształtowania właściwych postaw obywatelskich, w oparciu o które postępuje rozwój społeczeństwa obywatelskiego, wywierającego </w:t>
      </w:r>
      <w:r w:rsidRPr="00CB7617">
        <w:rPr>
          <w:rFonts w:cs="Times New Roman"/>
        </w:rPr>
        <w:t xml:space="preserve">istotny </w:t>
      </w:r>
      <w:r w:rsidRPr="00F21196">
        <w:rPr>
          <w:rFonts w:cs="Times New Roman"/>
        </w:rPr>
        <w:t>wpływ na rozwój całego kraju.</w:t>
      </w:r>
      <w:r w:rsidRPr="00F21196">
        <w:rPr>
          <w:rStyle w:val="Odwoanieprzypisudolnego"/>
          <w:rFonts w:cs="Times New Roman"/>
        </w:rPr>
        <w:footnoteReference w:id="44"/>
      </w:r>
      <w:r w:rsidRPr="00F21196">
        <w:rPr>
          <w:rFonts w:cs="Times New Roman"/>
        </w:rPr>
        <w:t xml:space="preserve"> </w:t>
      </w:r>
    </w:p>
    <w:p w14:paraId="085FF885" w14:textId="77777777" w:rsidR="00776D77" w:rsidRPr="00F21196" w:rsidRDefault="00776D77" w:rsidP="00776D77">
      <w:pPr>
        <w:spacing w:after="120" w:line="276" w:lineRule="auto"/>
        <w:jc w:val="both"/>
        <w:rPr>
          <w:rFonts w:eastAsia="Calibri" w:cs="Times New Roman"/>
          <w:color w:val="000000"/>
        </w:rPr>
      </w:pPr>
      <w:r>
        <w:rPr>
          <w:rFonts w:eastAsia="Calibri" w:cs="Times New Roman"/>
          <w:color w:val="000000"/>
        </w:rPr>
        <w:t>Dostrzega się</w:t>
      </w:r>
      <w:r w:rsidRPr="00F21196">
        <w:rPr>
          <w:rFonts w:eastAsia="Calibri" w:cs="Times New Roman"/>
          <w:color w:val="000000"/>
        </w:rPr>
        <w:t xml:space="preserve"> potrzebę wykorzystania potencjału polskich metropolii, czemu dano wyraz w SOR, przewidując szereg spójnych i komplementarnych działań, na których koncentrować się będzie polityka miejska wobec obszarów metropolitalnych. Jednym z nich jest wspieranie współpracy i koordynacji działań prorozwojowych w obszarach funkcjonalnych aglomeracji</w:t>
      </w:r>
      <w:r>
        <w:rPr>
          <w:rFonts w:eastAsia="Calibri" w:cs="Times New Roman"/>
          <w:color w:val="000000"/>
        </w:rPr>
        <w:t>,</w:t>
      </w:r>
      <w:r w:rsidRPr="00F21196">
        <w:rPr>
          <w:rFonts w:eastAsia="Calibri" w:cs="Times New Roman"/>
          <w:color w:val="000000"/>
        </w:rPr>
        <w:t xml:space="preserve"> w skład których wchodzą zarówno obszary miejskie jak i wiejskie. </w:t>
      </w:r>
      <w:r w:rsidRPr="00AF3ED6">
        <w:rPr>
          <w:rFonts w:cs="Times New Roman"/>
        </w:rPr>
        <w:t>Korzyści z dynamicznego rozwoju ośrodków metropolitalnych osiągają przede wszystkim obszary położone w ich bezpośrednim zasięgu. Liczne mniejsze ośrodki miejskie i  obszary wiejskie, zwłaszcza położone peryferyjnie, mimo zmniejszenia luki w wyposażeniu infrastrukturalnym (drogi, wodociągi, kanalizacja, infrastruktura społeczna, itp.) nadal pozostają obszarami odpływu ludności oraz charakteryzują się niskim poziomem inwestycji prywatnych.</w:t>
      </w:r>
      <w:r w:rsidRPr="00AF3ED6">
        <w:rPr>
          <w:rStyle w:val="Odwoanieprzypisudolnego"/>
          <w:rFonts w:cs="Times New Roman"/>
        </w:rPr>
        <w:footnoteReference w:id="45"/>
      </w:r>
      <w:r w:rsidRPr="00AF3ED6">
        <w:rPr>
          <w:rFonts w:eastAsia="Calibri" w:cs="Times New Roman"/>
          <w:color w:val="000000"/>
        </w:rPr>
        <w:t xml:space="preserve"> Stąd też punktem wyjścia do dalszych prac nad tworzeniem instytucjonalnych narzędzi współpracy w obszarach aglomeracji jest ustawa</w:t>
      </w:r>
      <w:r w:rsidRPr="00AF3ED6">
        <w:rPr>
          <w:rStyle w:val="Odwoanieprzypisudolnego"/>
          <w:rFonts w:eastAsia="Calibri" w:cs="Times New Roman"/>
          <w:color w:val="000000"/>
        </w:rPr>
        <w:footnoteReference w:id="46"/>
      </w:r>
      <w:r w:rsidRPr="00AF3ED6">
        <w:rPr>
          <w:rFonts w:eastAsia="Calibri" w:cs="Times New Roman"/>
          <w:color w:val="000000"/>
        </w:rPr>
        <w:t xml:space="preserve"> </w:t>
      </w:r>
      <w:r w:rsidRPr="00AF3ED6">
        <w:rPr>
          <w:rFonts w:eastAsia="Calibri" w:cs="Times New Roman"/>
          <w:i/>
          <w:color w:val="000000"/>
        </w:rPr>
        <w:t>o związku metropolitalnym w województwie śląskim</w:t>
      </w:r>
      <w:r w:rsidRPr="00AF3ED6">
        <w:rPr>
          <w:rFonts w:eastAsia="Calibri" w:cs="Times New Roman"/>
          <w:color w:val="000000"/>
        </w:rPr>
        <w:t>. Związek Metropolitalny „Górnośląsko-Zagłębiowska Metropolia” został utworzony z dniem 1 lipca 2017 r. Jest to instytucja nowa i najbliższe lata przyniosą odpowiedź na pytanie: czy ten model współpracy między samorządami - wspierany z budżetu państwa - przynosi oczekiwane efekty.</w:t>
      </w:r>
      <w:r w:rsidRPr="00F21196">
        <w:rPr>
          <w:rFonts w:eastAsia="Calibri" w:cs="Times New Roman"/>
          <w:color w:val="000000"/>
        </w:rPr>
        <w:t xml:space="preserve"> </w:t>
      </w:r>
    </w:p>
    <w:p w14:paraId="64CDAB41" w14:textId="77777777" w:rsidR="00776D77" w:rsidRPr="00F21196" w:rsidRDefault="00776D77" w:rsidP="00776D77">
      <w:pPr>
        <w:spacing w:before="120" w:after="0" w:line="276" w:lineRule="auto"/>
        <w:jc w:val="both"/>
        <w:rPr>
          <w:lang w:eastAsia="pl-PL"/>
        </w:rPr>
      </w:pPr>
      <w:r w:rsidRPr="00F21196">
        <w:rPr>
          <w:b/>
          <w:lang w:eastAsia="pl-PL"/>
        </w:rPr>
        <w:t>Świadczenie usług publicznych przez jednostki samorządu terytorialnego</w:t>
      </w:r>
      <w:r w:rsidRPr="00F21196">
        <w:rPr>
          <w:lang w:eastAsia="pl-PL"/>
        </w:rPr>
        <w:t>. Sprawnie funkcjonujący samorząd terytorialny odpowiadający za kreowanie na szczeblu regionalnym polityk rozwojowych oraz na szczeblu lokalnym świadczący usługi publiczne na poziomie spełniającym oczekiwania mieszkańców pełni kluczową rolę we wdrażaniu polityki państwa w skali kraju. Zwiększanie jakości działania instytucji publicznych</w:t>
      </w:r>
      <w:r>
        <w:rPr>
          <w:lang w:eastAsia="pl-PL"/>
        </w:rPr>
        <w:t xml:space="preserve"> - </w:t>
      </w:r>
      <w:r w:rsidRPr="00F21196">
        <w:rPr>
          <w:lang w:eastAsia="pl-PL"/>
        </w:rPr>
        <w:t>zgodnie z SOR - sprzyja budowie przewag konkurencyjnych kraju oraz działających w nim podmiotów gospodarczych i społecznych.</w:t>
      </w:r>
    </w:p>
    <w:p w14:paraId="412FCB82" w14:textId="77777777" w:rsidR="00776D77" w:rsidRPr="00F21196" w:rsidRDefault="00776D77" w:rsidP="00776D77">
      <w:pPr>
        <w:spacing w:after="0" w:line="276" w:lineRule="auto"/>
        <w:jc w:val="both"/>
        <w:rPr>
          <w:rFonts w:eastAsia="Times New Roman" w:cs="Calibri"/>
          <w:lang w:eastAsia="pl-PL"/>
        </w:rPr>
      </w:pPr>
      <w:r w:rsidRPr="00F21196">
        <w:rPr>
          <w:rFonts w:eastAsia="Times New Roman" w:cs="Calibri"/>
          <w:lang w:eastAsia="pl-PL"/>
        </w:rPr>
        <w:t>Na podstawie dostępnych badań</w:t>
      </w:r>
      <w:r w:rsidRPr="00F21196">
        <w:rPr>
          <w:rStyle w:val="Odwoanieprzypisudolnego"/>
          <w:rFonts w:eastAsia="Times New Roman" w:cs="Calibri"/>
          <w:lang w:eastAsia="pl-PL"/>
        </w:rPr>
        <w:footnoteReference w:id="47"/>
      </w:r>
      <w:r w:rsidRPr="00F21196">
        <w:rPr>
          <w:rFonts w:eastAsia="Times New Roman" w:cs="Calibri"/>
          <w:lang w:eastAsia="pl-PL"/>
        </w:rPr>
        <w:t xml:space="preserve"> zauważyć można istotn</w:t>
      </w:r>
      <w:r>
        <w:rPr>
          <w:rFonts w:eastAsia="Times New Roman" w:cs="Calibri"/>
          <w:lang w:eastAsia="pl-PL"/>
        </w:rPr>
        <w:t>y</w:t>
      </w:r>
      <w:r w:rsidRPr="00F21196">
        <w:rPr>
          <w:rFonts w:eastAsia="Times New Roman" w:cs="Calibri"/>
          <w:lang w:eastAsia="pl-PL"/>
        </w:rPr>
        <w:t xml:space="preserve"> deficyt w zakresie jakości i standardów zarządzania usługami dziedzinowymi w obszarach podatków i opłat lokalnych, zarządzania nieruchomościami użytkowymi oraz obsługi inwestorów, które to obszary w wymiarze lokalnym mają szczególne znaczenie dla prowadzenia działalności gospodarczej w Polsce. Dotyczy to zwłaszcza takich aspektów zarządzania ww. usługami</w:t>
      </w:r>
      <w:r>
        <w:rPr>
          <w:rFonts w:eastAsia="Times New Roman" w:cs="Calibri"/>
          <w:lang w:eastAsia="pl-PL"/>
        </w:rPr>
        <w:t>,</w:t>
      </w:r>
      <w:r w:rsidRPr="00F21196">
        <w:rPr>
          <w:rFonts w:eastAsia="Times New Roman" w:cs="Calibri"/>
          <w:lang w:eastAsia="pl-PL"/>
        </w:rPr>
        <w:t xml:space="preserve"> jak: </w:t>
      </w:r>
    </w:p>
    <w:p w14:paraId="619F0D78" w14:textId="77777777" w:rsidR="00776D77" w:rsidRPr="00F21196" w:rsidRDefault="00776D77" w:rsidP="00723B3F">
      <w:pPr>
        <w:pStyle w:val="Akapitzlist"/>
        <w:numPr>
          <w:ilvl w:val="0"/>
          <w:numId w:val="14"/>
        </w:numPr>
        <w:spacing w:line="276" w:lineRule="auto"/>
        <w:ind w:left="426"/>
        <w:jc w:val="both"/>
        <w:rPr>
          <w:rFonts w:asciiTheme="minorHAnsi" w:eastAsia="Times New Roman" w:hAnsiTheme="minorHAnsi" w:cs="Calibri"/>
          <w:sz w:val="22"/>
          <w:szCs w:val="22"/>
        </w:rPr>
      </w:pPr>
      <w:r w:rsidRPr="00F21196">
        <w:rPr>
          <w:rFonts w:asciiTheme="minorHAnsi" w:eastAsia="Times New Roman" w:hAnsiTheme="minorHAnsi" w:cs="Calibri"/>
          <w:sz w:val="22"/>
          <w:szCs w:val="22"/>
        </w:rPr>
        <w:t>elektronizacja informacji i procesów w każdym z ww</w:t>
      </w:r>
      <w:r>
        <w:rPr>
          <w:rFonts w:asciiTheme="minorHAnsi" w:eastAsia="Times New Roman" w:hAnsiTheme="minorHAnsi" w:cs="Calibri"/>
          <w:sz w:val="22"/>
          <w:szCs w:val="22"/>
        </w:rPr>
        <w:t>.</w:t>
      </w:r>
      <w:r w:rsidRPr="00F21196">
        <w:rPr>
          <w:rFonts w:asciiTheme="minorHAnsi" w:eastAsia="Times New Roman" w:hAnsiTheme="minorHAnsi" w:cs="Calibri"/>
          <w:sz w:val="22"/>
          <w:szCs w:val="22"/>
        </w:rPr>
        <w:t xml:space="preserve"> obszarów, </w:t>
      </w:r>
    </w:p>
    <w:p w14:paraId="2DD4AD3B" w14:textId="77777777" w:rsidR="00776D77" w:rsidRPr="00F21196" w:rsidRDefault="00776D77" w:rsidP="00723B3F">
      <w:pPr>
        <w:pStyle w:val="Akapitzlist"/>
        <w:numPr>
          <w:ilvl w:val="0"/>
          <w:numId w:val="14"/>
        </w:numPr>
        <w:spacing w:line="276" w:lineRule="auto"/>
        <w:ind w:left="426"/>
        <w:jc w:val="both"/>
        <w:rPr>
          <w:rFonts w:asciiTheme="minorHAnsi" w:eastAsia="Times New Roman" w:hAnsiTheme="minorHAnsi" w:cs="Calibri"/>
          <w:sz w:val="22"/>
          <w:szCs w:val="22"/>
        </w:rPr>
      </w:pPr>
      <w:r w:rsidRPr="00F21196">
        <w:rPr>
          <w:rFonts w:asciiTheme="minorHAnsi" w:eastAsia="Times New Roman" w:hAnsiTheme="minorHAnsi" w:cs="Calibri"/>
          <w:sz w:val="22"/>
          <w:szCs w:val="22"/>
        </w:rPr>
        <w:t>posiadanie i stosowanie szczegółowych procedur lub planów w zakresie wykorzystania zasobu nieruchomości użytkowych, standardów obsługi inwestora czy podatków i opłat lokalnych,</w:t>
      </w:r>
    </w:p>
    <w:p w14:paraId="530674D8" w14:textId="77777777" w:rsidR="00776D77" w:rsidRPr="00F21196" w:rsidRDefault="00776D77" w:rsidP="00723B3F">
      <w:pPr>
        <w:pStyle w:val="Akapitzlist"/>
        <w:numPr>
          <w:ilvl w:val="0"/>
          <w:numId w:val="14"/>
        </w:numPr>
        <w:spacing w:line="276" w:lineRule="auto"/>
        <w:ind w:left="426"/>
        <w:jc w:val="both"/>
        <w:rPr>
          <w:rFonts w:asciiTheme="minorHAnsi" w:eastAsia="Times New Roman" w:hAnsiTheme="minorHAnsi" w:cs="Calibri"/>
          <w:sz w:val="22"/>
          <w:szCs w:val="22"/>
        </w:rPr>
      </w:pPr>
      <w:r w:rsidRPr="00F21196">
        <w:rPr>
          <w:rFonts w:asciiTheme="minorHAnsi" w:eastAsia="Times New Roman" w:hAnsiTheme="minorHAnsi" w:cs="Calibri"/>
          <w:sz w:val="22"/>
          <w:szCs w:val="22"/>
        </w:rPr>
        <w:t>monitorowania satysfakcji klientów w każdym z ww</w:t>
      </w:r>
      <w:r>
        <w:rPr>
          <w:rFonts w:asciiTheme="minorHAnsi" w:eastAsia="Times New Roman" w:hAnsiTheme="minorHAnsi" w:cs="Calibri"/>
          <w:sz w:val="22"/>
          <w:szCs w:val="22"/>
        </w:rPr>
        <w:t>.</w:t>
      </w:r>
      <w:r w:rsidRPr="00F21196">
        <w:rPr>
          <w:rFonts w:asciiTheme="minorHAnsi" w:eastAsia="Times New Roman" w:hAnsiTheme="minorHAnsi" w:cs="Calibri"/>
          <w:sz w:val="22"/>
          <w:szCs w:val="22"/>
        </w:rPr>
        <w:t xml:space="preserve"> obszarów.</w:t>
      </w:r>
    </w:p>
    <w:p w14:paraId="39BD5617" w14:textId="77777777" w:rsidR="00776D77" w:rsidRPr="00F21196" w:rsidRDefault="00776D77" w:rsidP="00776D77">
      <w:pPr>
        <w:spacing w:after="120" w:line="276" w:lineRule="auto"/>
        <w:jc w:val="both"/>
        <w:rPr>
          <w:lang w:eastAsia="pl-PL"/>
        </w:rPr>
      </w:pPr>
      <w:r w:rsidRPr="00886F5B">
        <w:rPr>
          <w:rFonts w:eastAsia="Times New Roman" w:cs="Calibri"/>
          <w:lang w:eastAsia="pl-PL"/>
        </w:rPr>
        <w:t>Dostępne dane jednoznacznie wskazują na zróżnicowanie terytorialne jakości świadczonych usług. Szczególnie jest to widoczne w obszarze związanym z obsługą inwestora w samorządzie (32% woj. opolskie, 12% woj. mazowieckie)</w:t>
      </w:r>
      <w:r>
        <w:rPr>
          <w:rFonts w:eastAsia="Times New Roman" w:cs="Calibri"/>
          <w:lang w:eastAsia="pl-PL"/>
        </w:rPr>
        <w:t xml:space="preserve"> </w:t>
      </w:r>
      <w:r w:rsidRPr="00F21196">
        <w:rPr>
          <w:rFonts w:eastAsia="Times New Roman" w:cs="Calibri"/>
          <w:lang w:eastAsia="pl-PL"/>
        </w:rPr>
        <w:t xml:space="preserve">oraz pomiędzy </w:t>
      </w:r>
      <w:r>
        <w:rPr>
          <w:rFonts w:eastAsia="Times New Roman" w:cs="Calibri"/>
          <w:lang w:eastAsia="pl-PL"/>
        </w:rPr>
        <w:t>JST</w:t>
      </w:r>
      <w:r w:rsidRPr="00F21196">
        <w:rPr>
          <w:rFonts w:eastAsia="Times New Roman" w:cs="Calibri"/>
          <w:lang w:eastAsia="pl-PL"/>
        </w:rPr>
        <w:t xml:space="preserve"> reprezentującymi różne jednostki samorządowe (najniższe wskaźniki rozwoju</w:t>
      </w:r>
      <w:r>
        <w:rPr>
          <w:rStyle w:val="Odwoanieprzypisudolnego"/>
          <w:rFonts w:eastAsia="Times New Roman" w:cs="Calibri"/>
          <w:lang w:eastAsia="pl-PL"/>
        </w:rPr>
        <w:footnoteReference w:id="48"/>
      </w:r>
      <w:r w:rsidRPr="00F21196">
        <w:rPr>
          <w:rFonts w:eastAsia="Times New Roman" w:cs="Calibri"/>
          <w:lang w:eastAsia="pl-PL"/>
        </w:rPr>
        <w:t xml:space="preserve"> w ramach tego obszaru notuje się w gminach wiejskich (13%), natomiast zdecydowanie najwyższe w miastach na prawach powiatu (80%). W szerszym ujęciu powyższe nierównowagi w zakresie jakości i dostępności usług publicznych przyczyniają się do zróżnicowania tempa rozwoju społeczno-gospodarczego.</w:t>
      </w:r>
    </w:p>
    <w:p w14:paraId="2F9C7F1B" w14:textId="77777777" w:rsidR="00776D77" w:rsidRPr="00F21196" w:rsidRDefault="00776D77" w:rsidP="00776D77">
      <w:pPr>
        <w:spacing w:after="120" w:line="276" w:lineRule="auto"/>
        <w:jc w:val="both"/>
      </w:pPr>
      <w:r>
        <w:t>Większość obowiązujących</w:t>
      </w:r>
      <w:r w:rsidRPr="00F21196">
        <w:t xml:space="preserve"> strategi</w:t>
      </w:r>
      <w:r>
        <w:t>i i programów</w:t>
      </w:r>
      <w:r w:rsidRPr="00F21196">
        <w:t xml:space="preserve"> sprowadza się do opisu zbioru zadań wynikających z ustaw, niepowodującego realnej zmiany społecznej. Jednocześnie organy JST w wielu przypadkach zlecają przygotowanie tych dokumentów ekspertom zewnętrznym, z pominięciem zaangażowania partnerów lokalnych i mieszkańców wspólnoty samorządowej, co powoduje osłabienie planowania opartego o diagnozę realnych problemów i potrzeb. </w:t>
      </w:r>
    </w:p>
    <w:p w14:paraId="21C504FA" w14:textId="77777777" w:rsidR="00776D77" w:rsidRPr="00F21196" w:rsidRDefault="00776D77" w:rsidP="00776D77">
      <w:pPr>
        <w:spacing w:after="0" w:line="276" w:lineRule="auto"/>
        <w:jc w:val="both"/>
        <w:rPr>
          <w:lang w:eastAsia="pl-PL"/>
        </w:rPr>
      </w:pPr>
      <w:r>
        <w:rPr>
          <w:b/>
          <w:lang w:eastAsia="pl-PL"/>
        </w:rPr>
        <w:t>M</w:t>
      </w:r>
      <w:r w:rsidRPr="00F21196">
        <w:rPr>
          <w:b/>
          <w:lang w:eastAsia="pl-PL"/>
        </w:rPr>
        <w:t>onitorowani</w:t>
      </w:r>
      <w:r>
        <w:rPr>
          <w:b/>
          <w:lang w:eastAsia="pl-PL"/>
        </w:rPr>
        <w:t>e</w:t>
      </w:r>
      <w:r w:rsidRPr="00F21196">
        <w:rPr>
          <w:b/>
          <w:lang w:eastAsia="pl-PL"/>
        </w:rPr>
        <w:t xml:space="preserve"> usług publicznych w jednostkach samorządu terytorialnego</w:t>
      </w:r>
      <w:r w:rsidRPr="00F21196">
        <w:rPr>
          <w:lang w:eastAsia="pl-PL"/>
        </w:rPr>
        <w:t>.</w:t>
      </w:r>
      <w:r w:rsidRPr="00F21196">
        <w:rPr>
          <w:i/>
          <w:lang w:eastAsia="pl-PL"/>
        </w:rPr>
        <w:t xml:space="preserve"> </w:t>
      </w:r>
      <w:r w:rsidRPr="00F21196">
        <w:rPr>
          <w:lang w:eastAsia="pl-PL"/>
        </w:rPr>
        <w:t xml:space="preserve">Dotychczas w Polsce nie wypracowano spójnego systemu monitorowania </w:t>
      </w:r>
      <w:r w:rsidRPr="002958F9">
        <w:rPr>
          <w:lang w:eastAsia="pl-PL"/>
        </w:rPr>
        <w:t>usług publicznych,</w:t>
      </w:r>
      <w:r w:rsidRPr="00F21196">
        <w:rPr>
          <w:lang w:eastAsia="pl-PL"/>
        </w:rPr>
        <w:t xml:space="preserve"> który umożliwiałby każdemu zainteresowanemu podmiotowi uzyskanie pełnej informacji na temat ilości, jakości, dostępności i efektywności kosztowej usług publicznych. Tematyka usług publicznych, choć powszechnie uznawana za kluczową, jest obecnie trudna do monitorowania ze względu na brak standardów świadczenia usług i dostępu do odpowiednich danych na ich temat. Istniejące systemy bazodanowe nie zaspokajają aktualnych potrzeb w tym zakresie. Taki stan rzeczy utrudnia właściwe funkcjonowanie mieszkańcom i przedsiębiorcom oraz powoduje, iż kluczowe decyzje w sferze usług publicznych nierzadko bywają podejmowane przez władze intuicyjnie, pod presją czynników bieżących, bez możliwości pogłębionej analizy. Aktualnie funkcjonujące systemy monitoringowe lub bazodanowe zawierają ograniczony zestaw informacji oraz wskaźników monitorujących usługi publiczne. Często nie obejmują wszystkich podmiotów odpowiedzialnych za świadczenie usług jak również są także zbyt rzadko, bądź nieregularnie zasilane danymi. Dlatego dostrzeżono celowość budowy kompleksowego i powszechnego systemu monitorowania usług publicznych.</w:t>
      </w:r>
    </w:p>
    <w:p w14:paraId="1E5CC051" w14:textId="77777777" w:rsidR="00776D77" w:rsidRPr="00F21196" w:rsidRDefault="00776D77" w:rsidP="00776D77">
      <w:pPr>
        <w:spacing w:after="0" w:line="276" w:lineRule="auto"/>
        <w:ind w:left="851" w:firstLine="709"/>
        <w:jc w:val="both"/>
        <w:rPr>
          <w:lang w:eastAsia="pl-PL"/>
        </w:rPr>
      </w:pPr>
    </w:p>
    <w:p w14:paraId="674AA091" w14:textId="77777777" w:rsidR="00776D77" w:rsidRPr="00F21196" w:rsidRDefault="00776D77" w:rsidP="00776D77">
      <w:pPr>
        <w:spacing w:after="0" w:line="276" w:lineRule="auto"/>
        <w:jc w:val="both"/>
      </w:pPr>
      <w:r w:rsidRPr="00F21196">
        <w:rPr>
          <w:b/>
        </w:rPr>
        <w:t>Ekonomia społeczna i solidarna.</w:t>
      </w:r>
      <w:r w:rsidRPr="00F21196">
        <w:t xml:space="preserve"> Jednostki samorządu terytorialnego wszystkich szczebli są kluczowymi podmiotami zapewniającymi zaspokojenie podstawowych potrzeb samorządowych wspólnot lokalnych i regionalnych. Realizując swoje zadania</w:t>
      </w:r>
      <w:r>
        <w:t>,</w:t>
      </w:r>
      <w:r w:rsidRPr="00F21196">
        <w:t xml:space="preserve"> organy samorządowe korzystają z różnorodnych metod, dobierając je pod kątem dostępnych zasobów, specyfiki zadań oraz ram wyznaczonych przez przepisy. Część przedsięwzięć zmierzających do zaspokojenia zbiorowych potrzeb wspólnoty realizowana jest w oparciu o przepisy </w:t>
      </w:r>
      <w:r w:rsidRPr="0040118D">
        <w:rPr>
          <w:i/>
        </w:rPr>
        <w:t>prawa zamówień publicznych</w:t>
      </w:r>
      <w:r w:rsidRPr="00F21196">
        <w:t xml:space="preserve"> (PZP) lub zlecana na podstawie przepisów ustawy </w:t>
      </w:r>
      <w:r w:rsidRPr="0040118D">
        <w:rPr>
          <w:i/>
        </w:rPr>
        <w:t xml:space="preserve">o działalności pożytku publicznego i o wolontariacie </w:t>
      </w:r>
      <w:r w:rsidRPr="00F21196">
        <w:t>(UoDPPioW). Administracja samorządowa</w:t>
      </w:r>
      <w:r>
        <w:t xml:space="preserve"> </w:t>
      </w:r>
      <w:r w:rsidRPr="00F21196">
        <w:t xml:space="preserve">wraz z podlegającymi jej jednostkami organizacyjnymi stanowi najliczniejszą grupę zamawiających na podstawie PZP, a także zlecającą zadania publiczne w oparciu o UoDPPioW. </w:t>
      </w:r>
      <w:r w:rsidRPr="005542BA">
        <w:t>Urząd Zamówień Publicznyc</w:t>
      </w:r>
      <w:r w:rsidRPr="0053369E">
        <w:t xml:space="preserve">h, a także </w:t>
      </w:r>
      <w:r w:rsidRPr="00886F5B">
        <w:t>Regionalne Ośrodki Polityki Społecznej odpowiedzialne za koordynację ekonomii społecznej i solida</w:t>
      </w:r>
      <w:r w:rsidRPr="00F21196">
        <w:t>rnej w regionie</w:t>
      </w:r>
      <w:r>
        <w:t xml:space="preserve"> </w:t>
      </w:r>
      <w:r w:rsidRPr="00F21196">
        <w:t>powinny kontynuować działania edukacyjne zachęcające instytucje publiczne do szerszego stosowania społecznie odpowiedzialnych zamówie</w:t>
      </w:r>
      <w:r>
        <w:t>ń</w:t>
      </w:r>
      <w:r w:rsidRPr="00F21196">
        <w:t xml:space="preserve"> publicznych, które mogą się stać jednym z bodźców wspomagających rozwój sektora ekonomii społecznej i solidarnej. Konieczne jest również dalsze wzmacnianie potencjału podmiotów ekonomii społecznej w środowiskach lokalnych. Nie bez znaczenia jest również podjęcie działań edukacyjnych wśród instytucji kontrolnych PZP.</w:t>
      </w:r>
    </w:p>
    <w:p w14:paraId="34FEBCE8" w14:textId="77777777" w:rsidR="00776D77" w:rsidRDefault="00776D77" w:rsidP="00776D77">
      <w:pPr>
        <w:shd w:val="clear" w:color="auto" w:fill="FFFFFF" w:themeFill="background1"/>
        <w:spacing w:after="0" w:line="276" w:lineRule="auto"/>
        <w:jc w:val="both"/>
      </w:pPr>
      <w:r>
        <w:t>Zdecydowana większość organizacji non-profit podejmowała w 2015 r. współpracę z innymi podmiotami (89%). Najczęściej były to instytucje publiczne (82%), zwłaszcza administracja samorządowa (71%) oraz jednostki jej podległe (59%).  Głównym celem współpracy dla 80% podmiotów było zaspokojenie potrzeb materialnych (90%) poprzez pozyskiwanie środków finansowych na działalność (79%) oraz możliwość korzystania z lokalu bądź innych środków rzeczowych nieodpłatnie lub na preferencyjnych warunkach (59%). Stosunkowo rzadko organizacje non-profit deklarowały występowanie istotnych barier we współpracy. Najwyższy odsetek podmiotów zgłaszających problemy wystąpił w odniesieniu do instytucji publicznych (23%). Podobnie jak we wcześniejszych latach najczęściej wskazywaną przeszkodą były złe, niejasne przepisy i procedury prawne (14%). W zbiorowości OPP syntetyczny wskaźnik kapitału społecznego osiągał wartości wyraźnie wyższe od średnich dla sektora non-profit we wszystkich 4 wymiarach. Wyraźnie ponadprzeciętnym poziomem kapitału społecznego wyróżniały się ponadto podmioty zrzeszające powyżej 10 tys. członków, jednostki posiadające więcej niż 5 pracowników, prowadzące równocześnie działalność gospodarczą i odpłatną działalność statutową oraz takie, które korzystały głównie z pracy płatnej. W latach 2013-2015 udział organizacji, które nawiązywały współpracę z innymi podmiotami zmniejszył się nieznacznie z 91% do 89%, co wiązało się ze zmniejszeniem odsetka jednostek współpracujących z instytucjami publicznymi (z 84% do 82%) oraz podejmujących współpracę wewnątrzsektorową (z 57% do 56%). Co ciekawe, w stosunku do 2013 r. zmniejszył się też udział podmiotów zgłaszających istotne bariery we współpracy ze wszystkim typami partnerów, przy czym największa zmiana wystąpiła w relacjach z przedsiębiorstwami, gdzie odsetek deklarujących bariery obniżył się z 26% do 20%</w:t>
      </w:r>
      <w:r>
        <w:rPr>
          <w:rStyle w:val="Odwoanieprzypisudolnego"/>
        </w:rPr>
        <w:footnoteReference w:id="49"/>
      </w:r>
      <w:r w:rsidRPr="00F21196">
        <w:t xml:space="preserve">. </w:t>
      </w:r>
    </w:p>
    <w:p w14:paraId="2BA1EF24" w14:textId="77777777" w:rsidR="00776D77" w:rsidRPr="00F21196" w:rsidRDefault="00776D77" w:rsidP="00776D77">
      <w:pPr>
        <w:shd w:val="clear" w:color="auto" w:fill="FFFFFF" w:themeFill="background1"/>
        <w:spacing w:after="0" w:line="276" w:lineRule="auto"/>
        <w:jc w:val="both"/>
      </w:pPr>
      <w:r w:rsidRPr="00F21196">
        <w:t xml:space="preserve">Z kolei </w:t>
      </w:r>
      <w:r>
        <w:t>w publikacji</w:t>
      </w:r>
      <w:r w:rsidRPr="00F21196">
        <w:t xml:space="preserve"> GUS w 2016 roku pn. </w:t>
      </w:r>
      <w:r w:rsidRPr="00B07808">
        <w:rPr>
          <w:i/>
        </w:rPr>
        <w:t>Rola sektora non-profit w dostarczaniu usług społecznych w latach 2014-2016</w:t>
      </w:r>
      <w:r w:rsidRPr="00F21196">
        <w:t>, wynika, że ponad 1/5 wszystkich placówek świadczących w 2016 r. usługi społeczne (pomoc społeczna i opieka nad dzieckiem, integracja społeczno-zawodowa, ochrona zdrowia, edukacja, kultura i sport) było świadczonych przez podmioty sektora non-profit (będące jednocześnie podmiotami ekonomii społecznej). W stosunku do 2014 r. odnotowano wzrost ogólnej liczby placówek świadczących usługi społeczne (o 2%) w szczególności w zakresie pomocy społecznej i opieki nad dzieckiem (9,3%), a także integracji społeczno-zawodowej (7,3%) oraz sportu (6,1%)</w:t>
      </w:r>
      <w:r>
        <w:t>.</w:t>
      </w:r>
      <w:r w:rsidRPr="00F21196">
        <w:t xml:space="preserve"> Świadczyć to może o rosnącym zapotrzebowaniu na te usługi. Jeszcze dynamiczniej rosła, w analizowanym okresie, liczba placówek prowadzonych przez podmioty ekonomii społecznej (o 5,1%)</w:t>
      </w:r>
      <w:r>
        <w:rPr>
          <w:rStyle w:val="Odwoanieprzypisudolnego"/>
        </w:rPr>
        <w:footnoteReference w:id="50"/>
      </w:r>
      <w:r>
        <w:t>,</w:t>
      </w:r>
      <w:r w:rsidRPr="00F21196">
        <w:t xml:space="preserve"> </w:t>
      </w:r>
      <w:r>
        <w:t>c</w:t>
      </w:r>
      <w:r w:rsidRPr="00F21196">
        <w:t>o z kolei może wskazywać na wciąż niezagospodarowany potencjał do dostarczania usług społecznych, tkwiący w podmiotach ekonomii społecznej.</w:t>
      </w:r>
      <w:r>
        <w:t xml:space="preserve"> D</w:t>
      </w:r>
      <w:r w:rsidRPr="00F21196">
        <w:t xml:space="preserve">alsze podnoszenie jakości usług świadczonych na rzecz mieszkańców samorządowych wspólnot lokalnych i regionalnych wymaga uwolnienia potencjału podmiotów ekonomii społecznej polegającego na możliwości podejmowania innowacyjnych, dostosowanych do potrzeb indywidualnych i uwarunkowań lokalnych, a także bazujących na zasobach lokalnej społeczności działań, które przyczyniają się do większej spójności społecznej, podniesienia jakości usług świadczonych na rzecz zbiorowości oraz podniesienia efektywności gospodarowania środkami publicznymi. </w:t>
      </w:r>
      <w:r>
        <w:t xml:space="preserve">Ponadto </w:t>
      </w:r>
      <w:r w:rsidRPr="00F21196">
        <w:t>solidarnościowy aspek</w:t>
      </w:r>
      <w:r>
        <w:t>t</w:t>
      </w:r>
      <w:r w:rsidRPr="00F21196">
        <w:t xml:space="preserve"> ekonomii społecznej polega na reintegracji społecznej i zawodowej osób zagrożonych wyklu</w:t>
      </w:r>
      <w:r>
        <w:t xml:space="preserve">czeniem społecznym, które </w:t>
      </w:r>
      <w:r w:rsidRPr="00F21196">
        <w:t>z</w:t>
      </w:r>
      <w:r>
        <w:t xml:space="preserve">najdują się w sytuacji życiowej </w:t>
      </w:r>
      <w:r w:rsidRPr="00F21196">
        <w:t>utrudnia</w:t>
      </w:r>
      <w:r>
        <w:t>jącej</w:t>
      </w:r>
      <w:r w:rsidRPr="00F21196">
        <w:t xml:space="preserve"> im </w:t>
      </w:r>
      <w:r>
        <w:t xml:space="preserve">z różnych względów </w:t>
      </w:r>
      <w:r w:rsidRPr="00F21196">
        <w:t>pełnienie ról społecznych. Często też korzystają one ze wsparcia zapewnianego przez administrację samorządową. Z tych względów pogłębianie współpracy z podmiotami ekonomii społecznej zatrudniającymi wyżej wymienione osoby, polegające przede wszystkim na powierzaniu tym podmiotom świadczenia usług społecznych użyteczności publicznej, a także realizacji zadań publicznych w zakresie rozwoju lokalnego pozwala na osiąganie dodatkowych (reintegracyjnych)</w:t>
      </w:r>
      <w:r>
        <w:t xml:space="preserve"> </w:t>
      </w:r>
      <w:r w:rsidRPr="00F21196">
        <w:t xml:space="preserve">korzyści społecznych, w rezultacie podnosząc także poziom spójności społecznej we wspólnocie lokalnej.  </w:t>
      </w:r>
    </w:p>
    <w:p w14:paraId="7E601044" w14:textId="77777777" w:rsidR="00776D77" w:rsidRPr="00B9548A" w:rsidRDefault="00776D77" w:rsidP="00776D77">
      <w:pPr>
        <w:spacing w:before="120" w:after="0" w:line="276" w:lineRule="auto"/>
        <w:jc w:val="both"/>
      </w:pPr>
      <w:r>
        <w:rPr>
          <w:rFonts w:eastAsia="Times New Roman" w:cs="Calibri"/>
          <w:b/>
          <w:lang w:eastAsia="pl-PL"/>
        </w:rPr>
        <w:t xml:space="preserve">Wojewodowie i urzędy wojewódzkie. </w:t>
      </w:r>
      <w:r w:rsidRPr="00B9548A">
        <w:rPr>
          <w:rFonts w:eastAsia="TimesNewRoman" w:cs="Arial"/>
          <w:lang w:bidi="pa-IN"/>
        </w:rPr>
        <w:t>Próby reorganizacji administracji rządowej przeprowadzone w latach 1999-2017 koncentrowały się głównie na usprawnieniach strukturalnych. W</w:t>
      </w:r>
      <w:r w:rsidRPr="00B9548A">
        <w:t xml:space="preserve"> 12 województwach funkcjonuje ogółem 29 delegatur urzędów wojewódzkich</w:t>
      </w:r>
      <w:r>
        <w:rPr>
          <w:rStyle w:val="Odwoanieprzypisudolnego"/>
        </w:rPr>
        <w:footnoteReference w:id="51"/>
      </w:r>
      <w:r w:rsidRPr="00B9548A">
        <w:rPr>
          <w:color w:val="000000"/>
        </w:rPr>
        <w:t>.</w:t>
      </w:r>
      <w:r w:rsidRPr="00B9548A">
        <w:t xml:space="preserve"> Funkcjonowanie delegatur urzędów wojewódzkich oraz delegatur jednostek organizacyjnych zespolonych służb, inspekcji i straży wynika z przepisów ustawy </w:t>
      </w:r>
      <w:r w:rsidRPr="00B9548A">
        <w:rPr>
          <w:i/>
        </w:rPr>
        <w:t>o wojewodzie i administracji rządowej w województwie</w:t>
      </w:r>
      <w:r w:rsidRPr="00B9548A">
        <w:rPr>
          <w:rStyle w:val="Odwoanieprzypisudolnego"/>
          <w:i/>
        </w:rPr>
        <w:footnoteReference w:id="52"/>
      </w:r>
      <w:r w:rsidRPr="00B9548A">
        <w:t>.</w:t>
      </w:r>
    </w:p>
    <w:p w14:paraId="465CF8E3" w14:textId="77777777" w:rsidR="00776D77" w:rsidRPr="00B9548A" w:rsidRDefault="00776D77" w:rsidP="00776D77">
      <w:pPr>
        <w:spacing w:after="120" w:line="276" w:lineRule="auto"/>
        <w:jc w:val="both"/>
      </w:pPr>
      <w:r>
        <w:t>D</w:t>
      </w:r>
      <w:r w:rsidRPr="00B9548A">
        <w:t xml:space="preserve">elegatury urzędów wojewódzkich </w:t>
      </w:r>
      <w:r>
        <w:t>- c</w:t>
      </w:r>
      <w:r w:rsidRPr="00B9548A">
        <w:t xml:space="preserve">o do zasady </w:t>
      </w:r>
      <w:r>
        <w:t xml:space="preserve">- </w:t>
      </w:r>
      <w:r w:rsidRPr="00B9548A">
        <w:t>utworzone zostały w miastach, które były siedzibami wojewodów do końca 1998 r. Funkcjonowanie delegatur powoduje pozytywne skutki społeczne, związane z sytuacją gospodarczą, zagrożonych marginalizacją byłych miast wojewódzkich. Wykonują one w szczególności zadania, w których bliskość położenia/miejsca zamieszkania/siedziby potencjalnego klienta wpływa pozytywnie na sposób i koszty załatwiania spraw (np. sprawy z zakresu nadzoru na jednostkami samorządu terytorialnego, sprawy z zakresu budownictwa, geodezji, ewidencji ludności, dowodów osobistych i paszportów, a także usuwania skutków klęsk żywiołowych).</w:t>
      </w:r>
    </w:p>
    <w:p w14:paraId="77C503CA" w14:textId="77777777" w:rsidR="00776D77" w:rsidRDefault="00776D77" w:rsidP="00776D77">
      <w:pPr>
        <w:jc w:val="both"/>
      </w:pPr>
      <w:r w:rsidRPr="00290B28">
        <w:t xml:space="preserve">Wojewoda na obszarze danego województwa jest organem rządowej administracji zespolonej, jak również zwierzchnikiem zespolonej administracji rządowej.  </w:t>
      </w:r>
      <w:r>
        <w:t>W</w:t>
      </w:r>
      <w:r w:rsidRPr="00290B28">
        <w:t>ojewoda jest politycznie odpowiedzialny za rezultat działania całej wojewódzkiej administracji zespolonej</w:t>
      </w:r>
      <w:r>
        <w:t xml:space="preserve">. Funkcjonuje </w:t>
      </w:r>
      <w:r w:rsidRPr="00290B28">
        <w:t>14 zespolonych służb, inspekcji i straży</w:t>
      </w:r>
      <w:r>
        <w:rPr>
          <w:rStyle w:val="Odwoanieprzypisudolnego"/>
        </w:rPr>
        <w:footnoteReference w:id="53"/>
      </w:r>
      <w:r>
        <w:t>, przy czym</w:t>
      </w:r>
      <w:r w:rsidRPr="00290B28">
        <w:t xml:space="preserve"> 13</w:t>
      </w:r>
      <w:r>
        <w:t xml:space="preserve"> z nich</w:t>
      </w:r>
      <w:r w:rsidRPr="00290B28">
        <w:t xml:space="preserve"> posiada samodzielność organizacyjną, a jedna jest włączona w skład urzędu wojewódzkiego</w:t>
      </w:r>
      <w:r>
        <w:t>.</w:t>
      </w:r>
    </w:p>
    <w:p w14:paraId="5C2F48BA" w14:textId="77777777" w:rsidR="00776D77" w:rsidRDefault="00776D77" w:rsidP="00776D77">
      <w:pPr>
        <w:jc w:val="both"/>
        <w:rPr>
          <w:rFonts w:cs="Tahoma"/>
          <w:color w:val="000000"/>
          <w:lang w:eastAsia="pl-PL"/>
        </w:rPr>
      </w:pPr>
      <w:r w:rsidRPr="00290B28">
        <w:t>Zwierzchnictwo wojewody</w:t>
      </w:r>
      <w:r w:rsidRPr="00290B28">
        <w:rPr>
          <w:b/>
        </w:rPr>
        <w:t xml:space="preserve"> </w:t>
      </w:r>
      <w:r w:rsidRPr="00ED6470">
        <w:t>polega w głównej mierze na ponoszeniu odpowiedzialności za działania zespolonej administracji rządowej</w:t>
      </w:r>
      <w:r>
        <w:t>, na zapewnieniu warunków jej skutecznego funkcjonowania i współpracy poszczególnych jednostek, a także</w:t>
      </w:r>
      <w:r w:rsidRPr="00ED6470">
        <w:t xml:space="preserve"> na znaczącym udziale w powoływaniu i odwoływaniu kierowników zespolonych służb, inspekcji i straży. Nadzór merytoryczny nad działaniami tych kierowników jest bowiem zastrzeżony dla organów działających na poziomie centralnym. Ponadto w rozumieniu przepisów</w:t>
      </w:r>
      <w:r w:rsidRPr="00ED6470">
        <w:rPr>
          <w:i/>
        </w:rPr>
        <w:t xml:space="preserve"> Kodeksu postępowania administracyjnego</w:t>
      </w:r>
      <w:r w:rsidRPr="00ED6470">
        <w:t xml:space="preserve"> organem właściwym do wydania decyzji administracyjnej nie jest wojewoda, lecz kierownik zespolonej służby, inspekcji lub straży. </w:t>
      </w:r>
      <w:r>
        <w:t xml:space="preserve">Przepisy </w:t>
      </w:r>
      <w:r w:rsidRPr="00916023">
        <w:rPr>
          <w:i/>
        </w:rPr>
        <w:t>us</w:t>
      </w:r>
      <w:r>
        <w:rPr>
          <w:i/>
        </w:rPr>
        <w:t>tawy</w:t>
      </w:r>
      <w:r w:rsidRPr="00556B56">
        <w:rPr>
          <w:i/>
        </w:rPr>
        <w:t xml:space="preserve"> o wojewodzie i administracji rządowej w województwie</w:t>
      </w:r>
      <w:r w:rsidRPr="00ED6470">
        <w:t xml:space="preserve"> wręcz zakazuj</w:t>
      </w:r>
      <w:r>
        <w:t>ą wojewodzie wydawania</w:t>
      </w:r>
      <w:r w:rsidRPr="00ED6470">
        <w:t xml:space="preserve"> poleceń dotyczących</w:t>
      </w:r>
      <w:r w:rsidRPr="00ED6470">
        <w:rPr>
          <w:rFonts w:cs="Tahoma"/>
          <w:color w:val="000000"/>
          <w:lang w:eastAsia="pl-PL"/>
        </w:rPr>
        <w:t xml:space="preserve"> rozstrzygnięcia</w:t>
      </w:r>
      <w:r>
        <w:rPr>
          <w:rFonts w:cs="Tahoma"/>
          <w:color w:val="000000"/>
          <w:lang w:eastAsia="pl-PL"/>
        </w:rPr>
        <w:t>,</w:t>
      </w:r>
      <w:r w:rsidRPr="00ED6470">
        <w:rPr>
          <w:rFonts w:cs="Tahoma"/>
          <w:color w:val="000000"/>
          <w:lang w:eastAsia="pl-PL"/>
        </w:rPr>
        <w:t xml:space="preserve"> co do istoty sprawy załatwianej w drodze decyzji administracyjnej, czy też czynności operacyjno-rozpoznawczych, dochodzeniowo-śledczych oraz czynności z zakresu ścigania wykroczeń</w:t>
      </w:r>
      <w:r>
        <w:rPr>
          <w:rFonts w:cs="Tahoma"/>
          <w:color w:val="000000"/>
          <w:lang w:eastAsia="pl-PL"/>
        </w:rPr>
        <w:t>.</w:t>
      </w:r>
    </w:p>
    <w:p w14:paraId="1D05FA96" w14:textId="77777777" w:rsidR="00776D77" w:rsidRPr="00290B28" w:rsidRDefault="00776D77" w:rsidP="00776D77">
      <w:pPr>
        <w:jc w:val="both"/>
      </w:pPr>
      <w:r>
        <w:rPr>
          <w:rFonts w:cs="Tahoma"/>
          <w:color w:val="000000"/>
          <w:lang w:eastAsia="pl-PL"/>
        </w:rPr>
        <w:t xml:space="preserve">Pomimo dość szeroko określonych uprawnień organów centralnych od wprowadzenia w 1999 r. instytucji zespolenia podejmowano szereg prób zmian ustrojowych dotyczących podporządkowania </w:t>
      </w:r>
      <w:r w:rsidRPr="00ED6470">
        <w:t>zespolonych służb, inspekcji i straży</w:t>
      </w:r>
      <w:r>
        <w:t xml:space="preserve">. Działania takie - zwłaszcza, jeśli są uwieńczone powodzeniem - wpływają niekorzystnie na funkcjonowanie wojewódzkiej administracji zespolonej, bowiem obniżają m.in. ich zdolności do wspólnego i skoordynowanego zwalczania nadzwyczajnych </w:t>
      </w:r>
      <w:r w:rsidRPr="006E5E18">
        <w:t>zagrożeń czy przyczyniają się do podnoszenia kosztów ich funkcjonowania.</w:t>
      </w:r>
    </w:p>
    <w:p w14:paraId="096B1F5E" w14:textId="1FBA1722" w:rsidR="00776D77" w:rsidRPr="00473D8A" w:rsidRDefault="00776D77" w:rsidP="00776D77">
      <w:pPr>
        <w:autoSpaceDE w:val="0"/>
        <w:autoSpaceDN w:val="0"/>
        <w:adjustRightInd w:val="0"/>
        <w:spacing w:after="0"/>
        <w:jc w:val="both"/>
        <w:rPr>
          <w:rFonts w:eastAsia="Times New Roman"/>
          <w:iCs/>
          <w:szCs w:val="20"/>
          <w:lang w:eastAsia="pl-PL"/>
        </w:rPr>
      </w:pPr>
      <w:r w:rsidRPr="00B9548A">
        <w:rPr>
          <w:rFonts w:cs="Arial"/>
        </w:rPr>
        <w:t xml:space="preserve">Nakładanie nowych zadań </w:t>
      </w:r>
      <w:r>
        <w:rPr>
          <w:rFonts w:cs="Arial"/>
        </w:rPr>
        <w:t xml:space="preserve">do wykonywania przez terenowa administrację rządową </w:t>
      </w:r>
      <w:r w:rsidRPr="00B9548A">
        <w:rPr>
          <w:rFonts w:cs="Arial"/>
        </w:rPr>
        <w:t xml:space="preserve">bez zapewnienia odpowiednich środków na wynagrodzenia i związane z nowymi zadaniami wydatki rzeczowe </w:t>
      </w:r>
      <w:r>
        <w:rPr>
          <w:rFonts w:cs="Arial"/>
        </w:rPr>
        <w:t>jest c</w:t>
      </w:r>
      <w:r w:rsidRPr="00B9548A">
        <w:rPr>
          <w:rFonts w:cs="Arial"/>
        </w:rPr>
        <w:t>zynnikiem negatywnie wpływającym na sprawność i terminowość załatwiania spraw</w:t>
      </w:r>
      <w:r>
        <w:rPr>
          <w:rFonts w:cs="Arial"/>
        </w:rPr>
        <w:t>.</w:t>
      </w:r>
    </w:p>
    <w:p w14:paraId="6D9F0893" w14:textId="77777777" w:rsidR="00776D77" w:rsidRPr="00B9548A" w:rsidRDefault="00776D77" w:rsidP="00776D77">
      <w:pPr>
        <w:spacing w:after="0" w:line="276" w:lineRule="auto"/>
        <w:jc w:val="both"/>
        <w:rPr>
          <w:rFonts w:cs="Arial"/>
        </w:rPr>
      </w:pPr>
      <w:r w:rsidRPr="00B9548A">
        <w:rPr>
          <w:rFonts w:cs="Arial"/>
        </w:rPr>
        <w:t xml:space="preserve">Minister działowy </w:t>
      </w:r>
      <w:r>
        <w:rPr>
          <w:rFonts w:cs="Arial"/>
        </w:rPr>
        <w:t>przygotowujący projekt aktu prawnego odpowiedzialny jest za oszacowanie w</w:t>
      </w:r>
      <w:r w:rsidRPr="00B9548A">
        <w:rPr>
          <w:rFonts w:cs="Arial"/>
        </w:rPr>
        <w:t xml:space="preserve">ysokości niezbędnych </w:t>
      </w:r>
      <w:r>
        <w:rPr>
          <w:rFonts w:cs="Arial"/>
        </w:rPr>
        <w:t>środków finansowych na realizację i wdrożenie nowych przepisów.</w:t>
      </w:r>
      <w:r w:rsidRPr="00B9548A">
        <w:rPr>
          <w:rFonts w:cs="Arial"/>
        </w:rPr>
        <w:t xml:space="preserve"> Oszacowanie takie powinno być elementem sporządzanej przez organ wnioskujący oceny skutków regulacji. Brak uzgodnień projektów aktów prawnych z wojewodami, z uwzględnieniem kwestii oceny skutków regulacji</w:t>
      </w:r>
      <w:r>
        <w:rPr>
          <w:rFonts w:cs="Arial"/>
        </w:rPr>
        <w:t>,</w:t>
      </w:r>
      <w:r w:rsidRPr="00B9548A">
        <w:rPr>
          <w:rFonts w:cs="Arial"/>
        </w:rPr>
        <w:t xml:space="preserve"> może spowodować w konsekwencji opóźnienia w załatwianiu spraw oraz </w:t>
      </w:r>
      <w:r w:rsidRPr="00B9548A">
        <w:rPr>
          <w:rFonts w:eastAsia="Times New Roman" w:cs="Times New Roman"/>
          <w:bCs/>
          <w:color w:val="000000"/>
          <w:lang w:eastAsia="pl-PL"/>
        </w:rPr>
        <w:t>zmniejszenie się liczb kontroli przeprowadzanych przez urzędy wojewódzkie i poszczególne inspekcje</w:t>
      </w:r>
      <w:r w:rsidRPr="00B9548A">
        <w:rPr>
          <w:rFonts w:cs="Arial"/>
        </w:rPr>
        <w:t xml:space="preserve"> zespolone.</w:t>
      </w:r>
    </w:p>
    <w:p w14:paraId="0918EEC9" w14:textId="77777777" w:rsidR="00776D77" w:rsidRPr="00C25C96" w:rsidRDefault="00776D77" w:rsidP="00776D77">
      <w:pPr>
        <w:shd w:val="clear" w:color="auto" w:fill="FFFFFF" w:themeFill="background1"/>
        <w:spacing w:before="120" w:after="120" w:line="276" w:lineRule="auto"/>
        <w:jc w:val="both"/>
      </w:pPr>
      <w:r w:rsidRPr="00C25C96">
        <w:rPr>
          <w:b/>
          <w:bCs/>
        </w:rPr>
        <w:t xml:space="preserve">Dostępności do usług świadczonych przez urzędy konsularne. </w:t>
      </w:r>
      <w:r w:rsidRPr="00C25C96">
        <w:t>Każdy polski obywatel przebywający poza granicami państwa może liczyć na pomoc konsula, w szczególności w razie poważnego wypadku lub ciężkiej choroby, aresztowania lub zatrzymania tego obywatela, w razie aktu przemocy, którego ofiarą padł obywatel polski, w razie zgonu obywatela polskiego lub konieczności nagłego powrotu obywatela polskiego pozbawionego środków finansowych do Rzeczypospolitej Polskiej albo do państwa zamieszkania. Pomoc konsularna jest udzielana w niezbędnym zakresie i z zastosowaniem środków koniecznych do ochrony istotnych praw i interesów obywatela polskiego. W takim samym zakresie jak obywatelowi polskiemu konsul udziela pomocy konsularnej obywatelowi państwa członkowskiego Unii Europejskiej, które na terytorium państwa przyjmującego niebędącego państwem członkowskim Unii Europejskiej, nie ma swojego przedstawicielstwa dyplomatycznego lub urzędu konsularnego, albo</w:t>
      </w:r>
      <w:r>
        <w:t>,</w:t>
      </w:r>
      <w:r w:rsidRPr="00C25C96">
        <w:t xml:space="preserve"> jeżeli nie może w danym przypadku udzielić pomocy konsularnej temu obywatelowi. </w:t>
      </w:r>
    </w:p>
    <w:p w14:paraId="1C8D4068" w14:textId="77777777" w:rsidR="00776D77" w:rsidRPr="00C25C96" w:rsidRDefault="00776D77" w:rsidP="00776D77">
      <w:pPr>
        <w:spacing w:after="0" w:line="276" w:lineRule="auto"/>
        <w:jc w:val="both"/>
        <w:rPr>
          <w:color w:val="000000"/>
          <w:lang w:eastAsia="pl-PL"/>
        </w:rPr>
      </w:pPr>
      <w:r w:rsidRPr="00C25C96">
        <w:rPr>
          <w:color w:val="000000"/>
          <w:lang w:eastAsia="pl-PL"/>
        </w:rPr>
        <w:t xml:space="preserve">Według danych szacunkowych GUS na koniec 2018 r. poza granicami Polski przebywało czasowo około 2 455 tys. </w:t>
      </w:r>
      <w:r w:rsidRPr="009373E8">
        <w:rPr>
          <w:color w:val="000000"/>
          <w:lang w:eastAsia="pl-PL"/>
        </w:rPr>
        <w:t>stałych mieszkańców naszego kraju</w:t>
      </w:r>
      <w:r w:rsidRPr="00C25C96">
        <w:rPr>
          <w:color w:val="000000"/>
          <w:lang w:eastAsia="pl-PL"/>
        </w:rPr>
        <w:t xml:space="preserve">, tj. o 85 tys. (3%) mniej niż w 2017 r. Zdecydowana większość naszych rodaków przebywała w Europie (ok. 2 155 tys. osób), większość z nich – ok. 2 031 tys. w państwach członkowskich UE. Najwięcej obywateli polskich przebywało w  Niemczech (706 tys.), Wielkiej Brytanii (695 tys.), Holandii (123 tys.) oraz w Irlandii (113 tys.). W 2018 r. odnotowano zmniejszenie się liczby stałych mieszkańców Polski przebywających w Wielkiej Brytanii i Włoszech, natomiast niewielki wzrost zaobserwowano </w:t>
      </w:r>
      <w:r w:rsidRPr="009373E8">
        <w:rPr>
          <w:color w:val="000000"/>
          <w:lang w:eastAsia="pl-PL"/>
        </w:rPr>
        <w:br/>
      </w:r>
      <w:r w:rsidRPr="00C25C96">
        <w:rPr>
          <w:color w:val="000000"/>
          <w:lang w:eastAsia="pl-PL"/>
        </w:rPr>
        <w:t>w Niemczech,  Holandii,  Austrii, Czechach, Danii, Irlandii, Szwecji, Norwegii, Szwajcarii i Islandii.</w:t>
      </w:r>
    </w:p>
    <w:p w14:paraId="71EC8FC6" w14:textId="77777777" w:rsidR="00776D77" w:rsidRDefault="00776D77" w:rsidP="00776D77">
      <w:pPr>
        <w:spacing w:line="276" w:lineRule="auto"/>
        <w:jc w:val="both"/>
        <w:rPr>
          <w:color w:val="000000"/>
          <w:lang w:eastAsia="pl-PL"/>
        </w:rPr>
      </w:pPr>
      <w:r w:rsidRPr="00C25C96">
        <w:rPr>
          <w:color w:val="000000"/>
          <w:lang w:eastAsia="pl-PL"/>
        </w:rPr>
        <w:t>Utrzymująca się na wysokim poziomie liczba obywateli polskich przebywających za granicą  generuje wzrost liczby spraw kierowanych do urzędów konsularnych, świadczonej przez służbę konsularną pomocy i interwencji konsulów. I choć zdecydowana większość Polaków przebywa w państwach europejskich to z najtrudniejszymi wyzwaniami borykają się konsulowie w państwach pozaeuropejskich. Spowodowane jest to przede wszystkim innym, często istotnie różniącym się od obowiązującego w Polsce systemem prawnym,</w:t>
      </w:r>
      <w:r>
        <w:rPr>
          <w:color w:val="000000"/>
          <w:lang w:eastAsia="pl-PL"/>
        </w:rPr>
        <w:t xml:space="preserve"> </w:t>
      </w:r>
      <w:r w:rsidRPr="00B3203F">
        <w:rPr>
          <w:color w:val="000000"/>
          <w:lang w:eastAsia="pl-PL"/>
        </w:rPr>
        <w:t xml:space="preserve">odmiennym lub zupełnie innym środowiskiem kulturowym, realiami i standardami życia codziennego znacząco odbiegającymi od polskich warunków, poczuciem izolacji w nowym miejscu, </w:t>
      </w:r>
      <w:r>
        <w:rPr>
          <w:color w:val="000000"/>
          <w:lang w:eastAsia="pl-PL"/>
        </w:rPr>
        <w:t xml:space="preserve">odległością od kraju. </w:t>
      </w:r>
    </w:p>
    <w:p w14:paraId="160E0842" w14:textId="77777777" w:rsidR="00776D77" w:rsidRPr="00F21196" w:rsidRDefault="00776D77" w:rsidP="00776D77">
      <w:pPr>
        <w:spacing w:after="0" w:line="276" w:lineRule="auto"/>
        <w:jc w:val="both"/>
      </w:pPr>
      <w:r w:rsidRPr="00F21196">
        <w:rPr>
          <w:b/>
        </w:rPr>
        <w:t>Realizacj</w:t>
      </w:r>
      <w:r>
        <w:rPr>
          <w:b/>
        </w:rPr>
        <w:t>a</w:t>
      </w:r>
      <w:r w:rsidRPr="00F21196">
        <w:rPr>
          <w:b/>
        </w:rPr>
        <w:t xml:space="preserve"> polityki państwa</w:t>
      </w:r>
      <w:r w:rsidRPr="00F21196">
        <w:t xml:space="preserve">. Na sprawność realizacji polityki państwa rzutuje niska spójność różnych składowych zarządzania publicznego w Polsce. </w:t>
      </w:r>
      <w:r>
        <w:t>Mimo podejmowania różnych</w:t>
      </w:r>
      <w:r w:rsidRPr="00F21196">
        <w:t xml:space="preserve"> inicjatyw</w:t>
      </w:r>
      <w:r>
        <w:t xml:space="preserve"> w tym obszarze</w:t>
      </w:r>
      <w:r w:rsidRPr="00F21196">
        <w:t xml:space="preserve"> </w:t>
      </w:r>
      <w:r>
        <w:t xml:space="preserve">nadal </w:t>
      </w:r>
      <w:r w:rsidRPr="00F21196">
        <w:t>wyzwaniem pozostaje zarządzanie zadaniami z zakresu polityki państwa. Niewystarczające są narzędzia monitorowania i rozliczalności instytucji publicznych z realizacji zadań z zakresu polityki państwa. W nadmiernym stopniu administracja kieruje się zbędnymi procedurami, które są utrudnieniem dla obywateli i dla niej samej w osiąganiu pożądanych efektów jej pracy.</w:t>
      </w:r>
    </w:p>
    <w:p w14:paraId="335F9B67" w14:textId="77777777" w:rsidR="00776D77" w:rsidRPr="00F21196" w:rsidRDefault="00776D77" w:rsidP="00776D77">
      <w:pPr>
        <w:spacing w:after="0" w:line="276" w:lineRule="auto"/>
        <w:jc w:val="both"/>
        <w:rPr>
          <w:lang w:eastAsia="pl-PL"/>
        </w:rPr>
      </w:pPr>
      <w:r w:rsidRPr="00F21196">
        <w:rPr>
          <w:lang w:eastAsia="pl-PL"/>
        </w:rPr>
        <w:t>Reformy i dostosowania sfery instytucjonalnej państwa w istocie polegać winny z jednej strony – na poprawie jakości usług publicznych, a z drugiej – na głębokim usprawnieniu procesów zarządczych, w tym systemów zarządzania jakością w administracji i innych instytucjach publicznych (samorząd, wymiar sprawiedliwości itp.). Oczekiwanym w tym zakresie efektem będzie zbudowanie odpowiedzialnego – przede wszystkim kompetentnego, kreatywnego i sprawnego – potencjału instytucjonalnego podmiotów zaangażowanych w prowadzenie polityki rozwoju.</w:t>
      </w:r>
    </w:p>
    <w:p w14:paraId="350C8C2C" w14:textId="77777777" w:rsidR="00776D77" w:rsidRPr="00F21196" w:rsidRDefault="00776D77" w:rsidP="004D0390">
      <w:pPr>
        <w:tabs>
          <w:tab w:val="left" w:pos="-720"/>
        </w:tabs>
        <w:autoSpaceDE w:val="0"/>
        <w:autoSpaceDN w:val="0"/>
        <w:adjustRightInd w:val="0"/>
        <w:spacing w:before="120" w:after="120" w:line="276" w:lineRule="auto"/>
        <w:jc w:val="both"/>
        <w:rPr>
          <w:rFonts w:eastAsia="Times New Roman" w:cs="Arial"/>
          <w:lang w:eastAsia="pl-PL"/>
        </w:rPr>
      </w:pPr>
      <w:r w:rsidRPr="00F21196">
        <w:rPr>
          <w:rFonts w:cs="Arial"/>
          <w:b/>
          <w:bCs/>
          <w:iCs/>
        </w:rPr>
        <w:t xml:space="preserve">Strategiczne zdolności państwa do kreowania polityki rozwoju kraju. </w:t>
      </w:r>
      <w:r w:rsidRPr="00F21196">
        <w:rPr>
          <w:rFonts w:eastAsia="Times New Roman" w:cs="Arial"/>
          <w:lang w:eastAsia="pl-PL"/>
        </w:rPr>
        <w:t xml:space="preserve">Podstawy prawne prowadzenia polityki rozwoju w Polsce stanowi </w:t>
      </w:r>
      <w:r w:rsidRPr="00957246">
        <w:rPr>
          <w:rFonts w:eastAsia="Times New Roman" w:cs="Arial"/>
          <w:lang w:eastAsia="pl-PL"/>
        </w:rPr>
        <w:t>ustawa z dnia 6 grudnia 2006 r.</w:t>
      </w:r>
      <w:r w:rsidRPr="00F21196">
        <w:rPr>
          <w:rFonts w:eastAsia="Times New Roman" w:cs="Arial"/>
          <w:i/>
          <w:lang w:eastAsia="pl-PL"/>
        </w:rPr>
        <w:t xml:space="preserve"> o zasadach prowadzenia polityki rozwoju </w:t>
      </w:r>
      <w:r w:rsidRPr="00F21196">
        <w:rPr>
          <w:rFonts w:eastAsia="Times New Roman" w:cs="Arial"/>
          <w:lang w:eastAsia="pl-PL"/>
        </w:rPr>
        <w:t xml:space="preserve">oraz </w:t>
      </w:r>
      <w:r w:rsidRPr="00957246">
        <w:rPr>
          <w:rFonts w:eastAsia="Times New Roman" w:cs="Arial"/>
          <w:lang w:eastAsia="pl-PL"/>
        </w:rPr>
        <w:t>ustawa z dnia 27 sierpnia 2009 r.</w:t>
      </w:r>
      <w:r w:rsidRPr="00F21196">
        <w:rPr>
          <w:rFonts w:eastAsia="Times New Roman" w:cs="Arial"/>
          <w:i/>
          <w:lang w:eastAsia="pl-PL"/>
        </w:rPr>
        <w:t xml:space="preserve"> o finansach publicznych. </w:t>
      </w:r>
      <w:r w:rsidRPr="00F21196">
        <w:rPr>
          <w:rFonts w:eastAsia="Times New Roman" w:cs="Arial"/>
          <w:lang w:eastAsia="pl-PL"/>
        </w:rPr>
        <w:t>System zarządzania rozwojem kraju został po raz pierwszy kompleksowo ujęty w dokumencie rządowym</w:t>
      </w:r>
      <w:r>
        <w:rPr>
          <w:rFonts w:eastAsia="Times New Roman" w:cs="Arial"/>
          <w:lang w:eastAsia="pl-PL"/>
        </w:rPr>
        <w:t xml:space="preserve"> pn.</w:t>
      </w:r>
      <w:r w:rsidRPr="00F21196">
        <w:rPr>
          <w:rFonts w:eastAsia="Times New Roman" w:cs="Arial"/>
          <w:lang w:eastAsia="pl-PL"/>
        </w:rPr>
        <w:t xml:space="preserve"> „</w:t>
      </w:r>
      <w:r w:rsidRPr="00F21196">
        <w:rPr>
          <w:rFonts w:eastAsia="Times New Roman" w:cs="Arial"/>
          <w:i/>
          <w:lang w:eastAsia="pl-PL"/>
        </w:rPr>
        <w:t>Założenia systemu zarządzania rozwojem Polski</w:t>
      </w:r>
      <w:r w:rsidRPr="00F21196">
        <w:rPr>
          <w:rFonts w:eastAsia="Times New Roman" w:cs="Arial"/>
          <w:lang w:eastAsia="pl-PL"/>
        </w:rPr>
        <w:t>” (Założenia), przyjętym przez Radę Ministrów dnia 27 kwietnia 2009 r. oraz w „</w:t>
      </w:r>
      <w:r w:rsidRPr="00F21196">
        <w:rPr>
          <w:rFonts w:eastAsia="Times New Roman" w:cs="Arial"/>
          <w:i/>
          <w:lang w:eastAsia="pl-PL"/>
        </w:rPr>
        <w:t>Planie uporządkowania strategii rozwoju</w:t>
      </w:r>
      <w:r w:rsidRPr="00F21196">
        <w:rPr>
          <w:rFonts w:eastAsia="Times New Roman" w:cs="Arial"/>
          <w:lang w:eastAsia="pl-PL"/>
        </w:rPr>
        <w:t>”, przedstawiającym koncepcję uporządkowania i ograniczenia liczby strategii rozwoju oraz ich zakresu. W przyjętym wówczas modelu zaproponowano szereg rozwiązań, dotyczących kwestii programowania, kształtu instytucjonalnego oraz wdrażania.</w:t>
      </w:r>
    </w:p>
    <w:p w14:paraId="3D6A34A6" w14:textId="77777777" w:rsidR="00776D77" w:rsidRDefault="00776D77" w:rsidP="00776D77">
      <w:pPr>
        <w:spacing w:after="120" w:line="276" w:lineRule="auto"/>
        <w:jc w:val="both"/>
        <w:rPr>
          <w:rFonts w:eastAsia="Times New Roman" w:cs="Arial"/>
          <w:lang w:eastAsia="pl-PL"/>
        </w:rPr>
      </w:pPr>
      <w:r w:rsidRPr="00F21196">
        <w:rPr>
          <w:rFonts w:cs="Arial"/>
        </w:rPr>
        <w:t xml:space="preserve">W świetle kilkunastoletnich </w:t>
      </w:r>
      <w:r w:rsidRPr="00F21196">
        <w:rPr>
          <w:rFonts w:eastAsia="Times New Roman" w:cs="Arial"/>
          <w:lang w:eastAsia="pl-PL"/>
        </w:rPr>
        <w:t xml:space="preserve">doświadczeń związanych z funkcjonowaniem systemu zarządzania rozwojem wykrystalizowała się potrzeba wprowadzenia zmian. </w:t>
      </w:r>
      <w:r>
        <w:rPr>
          <w:rFonts w:eastAsia="Times New Roman" w:cs="Arial"/>
          <w:lang w:eastAsia="pl-PL"/>
        </w:rPr>
        <w:t>P</w:t>
      </w:r>
      <w:r w:rsidRPr="00F21196">
        <w:rPr>
          <w:rFonts w:eastAsia="Times New Roman" w:cs="Arial"/>
          <w:lang w:eastAsia="pl-PL"/>
        </w:rPr>
        <w:t xml:space="preserve">rzebudowa systemu zarządzania rozwojem kraju jest konsekwencją przyjęcia SOR przez Radę Ministrów. Wnioski z prowadzonych na potrzeby opracowania projektu tej strategii prac analitycznych wskazywały w szczególności na niewystarczające oddziaływanie podmiotu koordynacyjnego, nadzorującego i uspójniającego wszystkie działania z zakresu zarządzania rozwojem kraju, który dysponowałby odpowiednim zapleczem analityczno-ewaluacyjnym oraz na brak skutecznych kanałów współpracy pomiędzy instytucjami odpowiedzialnymi za przygotowanie i realizację poszczególnych strategii rozwoju. Zasadniczym problemem w niektórych obszarach </w:t>
      </w:r>
      <w:r>
        <w:rPr>
          <w:rFonts w:eastAsia="Times New Roman" w:cs="Arial"/>
          <w:lang w:eastAsia="pl-PL"/>
        </w:rPr>
        <w:t xml:space="preserve">pozostawała </w:t>
      </w:r>
      <w:r w:rsidRPr="00F21196">
        <w:rPr>
          <w:rFonts w:eastAsia="Times New Roman" w:cs="Arial"/>
          <w:lang w:eastAsia="pl-PL"/>
        </w:rPr>
        <w:t xml:space="preserve">silosowość administracji, tj. dominacja spojrzenia resortowego nad horyzontalnym, utrudniająca osiąganie strategicznych celów rozwoju kraju. Słabe powiązanie systemu programowania strategicznego z poziomem operacyjnym </w:t>
      </w:r>
      <w:r>
        <w:rPr>
          <w:rFonts w:eastAsia="Times New Roman" w:cs="Arial"/>
          <w:lang w:eastAsia="pl-PL"/>
        </w:rPr>
        <w:t>skutkowało</w:t>
      </w:r>
      <w:r w:rsidRPr="00F21196">
        <w:rPr>
          <w:rFonts w:eastAsia="Times New Roman" w:cs="Arial"/>
          <w:lang w:eastAsia="pl-PL"/>
        </w:rPr>
        <w:t xml:space="preserve"> bardzo często brakiem adekwatności instrumentów, wybieranych do realizacji określonych celów i zadań.  </w:t>
      </w:r>
    </w:p>
    <w:p w14:paraId="2E7294C7" w14:textId="23D96CF4" w:rsidR="00776D77" w:rsidRDefault="00776D77" w:rsidP="00776D77">
      <w:pPr>
        <w:spacing w:after="120" w:line="276" w:lineRule="auto"/>
        <w:jc w:val="both"/>
        <w:rPr>
          <w:rFonts w:eastAsia="Times New Roman" w:cs="Arial"/>
          <w:lang w:eastAsia="pl-PL"/>
        </w:rPr>
      </w:pPr>
      <w:r>
        <w:rPr>
          <w:rFonts w:eastAsia="Times New Roman" w:cs="Arial"/>
          <w:lang w:eastAsia="pl-PL"/>
        </w:rPr>
        <w:t>Przezwyciężaniu utrzymujących się braków i mankamentów w powyższym obszarze służy dokument programowo-koordynacyjny ”</w:t>
      </w:r>
      <w:r w:rsidRPr="00C25C96">
        <w:rPr>
          <w:rFonts w:cs="Arial"/>
          <w:i/>
        </w:rPr>
        <w:t>System zarządzania rozwojem Polski</w:t>
      </w:r>
      <w:r w:rsidRPr="00C25C96">
        <w:rPr>
          <w:rFonts w:eastAsia="Times New Roman" w:cs="Arial"/>
          <w:i/>
          <w:lang w:eastAsia="pl-PL"/>
        </w:rPr>
        <w:t>”,</w:t>
      </w:r>
      <w:r>
        <w:rPr>
          <w:rFonts w:eastAsia="Times New Roman" w:cs="Arial"/>
          <w:lang w:eastAsia="pl-PL"/>
        </w:rPr>
        <w:t xml:space="preserve"> przyjęty przez Radę Ministrów </w:t>
      </w:r>
      <w:r>
        <w:rPr>
          <w:rFonts w:eastAsia="Times New Roman" w:cs="Arial"/>
          <w:lang w:eastAsia="pl-PL"/>
        </w:rPr>
        <w:br/>
        <w:t xml:space="preserve">29 października 2018 r. </w:t>
      </w:r>
      <w:r w:rsidRPr="007E7801">
        <w:rPr>
          <w:rFonts w:eastAsia="Times New Roman" w:cs="Arial"/>
          <w:lang w:eastAsia="pl-PL"/>
        </w:rPr>
        <w:t>W niniejszym dokumencie zdefiniowano zasady oraz główne elementy składowe, których wprowadzenie w życie wymagać będzie przygotowania szeregu rozwiązań szczegółowych, a w konsekwencji zmiany istniejących uregulowań prawnych</w:t>
      </w:r>
      <w:r>
        <w:rPr>
          <w:rFonts w:eastAsia="Times New Roman" w:cs="Arial"/>
          <w:lang w:eastAsia="pl-PL"/>
        </w:rPr>
        <w:t xml:space="preserve"> (w tym ustawy o zasadach prowadzenia polityki rozwoju</w:t>
      </w:r>
      <w:r w:rsidRPr="00EE2B1B">
        <w:rPr>
          <w:rFonts w:eastAsia="Times New Roman" w:cs="Arial"/>
          <w:lang w:eastAsia="pl-PL"/>
        </w:rPr>
        <w:t>)</w:t>
      </w:r>
      <w:r w:rsidRPr="007E7801">
        <w:rPr>
          <w:rFonts w:eastAsia="Times New Roman" w:cs="Arial"/>
          <w:lang w:eastAsia="pl-PL"/>
        </w:rPr>
        <w:t xml:space="preserve">. Dlatego też zmiany będą wprowadzane etapowo, tak by zapewnić płynne przechodzenie od </w:t>
      </w:r>
      <w:r w:rsidRPr="00932D5D">
        <w:rPr>
          <w:rFonts w:eastAsia="Times New Roman" w:cs="Arial"/>
          <w:i/>
          <w:lang w:eastAsia="pl-PL"/>
        </w:rPr>
        <w:t>status quo</w:t>
      </w:r>
      <w:r w:rsidRPr="007E7801">
        <w:rPr>
          <w:rFonts w:eastAsia="Times New Roman" w:cs="Arial"/>
          <w:lang w:eastAsia="pl-PL"/>
        </w:rPr>
        <w:t xml:space="preserve"> do proponowanych w „Systemie” rozwiązań.</w:t>
      </w:r>
    </w:p>
    <w:p w14:paraId="7CC27347" w14:textId="2D2794D7" w:rsidR="00776D77" w:rsidRPr="00F21196" w:rsidRDefault="00776D77" w:rsidP="00776D77">
      <w:pPr>
        <w:spacing w:after="0" w:line="276" w:lineRule="auto"/>
        <w:jc w:val="both"/>
      </w:pPr>
      <w:r w:rsidRPr="00F21196">
        <w:t xml:space="preserve">Ponadto małą rolę w procesie prowadzenia polityki rozwoju upatruje się w konsultacjach publicznych oraz współdziałaniu organów różnego szczebla zarządzania. Udział interesariuszy w planowaniu rozwoju jest traktowany często jako utrudnienie i niepotrzebny etap realizacji polityki. Zmiany wymaga również podejście obywateli, którzy prawo do udziału w procesach decyzyjnych </w:t>
      </w:r>
      <w:r w:rsidR="004D0390" w:rsidRPr="00F21196">
        <w:t>traktują, jako</w:t>
      </w:r>
      <w:r w:rsidRPr="00F21196">
        <w:t xml:space="preserve"> niepotrzebny </w:t>
      </w:r>
      <w:r>
        <w:t>element</w:t>
      </w:r>
      <w:r w:rsidRPr="00F21196">
        <w:t>, a nie przywilej, który umożliwia współdecydowanie na zasadach partnerstwa.</w:t>
      </w:r>
    </w:p>
    <w:p w14:paraId="4ACD5497" w14:textId="77777777" w:rsidR="00776D77" w:rsidRPr="00F21196" w:rsidRDefault="00776D77" w:rsidP="00776D77">
      <w:pPr>
        <w:spacing w:after="0" w:line="276" w:lineRule="auto"/>
        <w:jc w:val="both"/>
        <w:rPr>
          <w:b/>
        </w:rPr>
      </w:pPr>
    </w:p>
    <w:p w14:paraId="423310FA" w14:textId="77777777" w:rsidR="00776D77" w:rsidRPr="007A27CB" w:rsidRDefault="00776D77" w:rsidP="00776D77">
      <w:pPr>
        <w:spacing w:after="120" w:line="276" w:lineRule="auto"/>
        <w:jc w:val="both"/>
        <w:rPr>
          <w:lang w:eastAsia="pl-PL"/>
        </w:rPr>
      </w:pPr>
      <w:r w:rsidRPr="00F21196">
        <w:rPr>
          <w:rFonts w:eastAsia="Times New Roman" w:cs="Calibri"/>
          <w:b/>
          <w:lang w:eastAsia="pl-PL"/>
        </w:rPr>
        <w:t xml:space="preserve">Wymiar sprawiedliwości. </w:t>
      </w:r>
      <w:r w:rsidRPr="00F21196">
        <w:rPr>
          <w:lang w:eastAsia="pl-PL"/>
        </w:rPr>
        <w:t>Do najczęściej identyfikowanych wyzwań wymiaru sprawiedliwości obecnie zaliczyć można m.in. budowanie sprawnego państwa ukierunkowanego na obywatela oraz efektywność i sprawność działania sądów</w:t>
      </w:r>
      <w:r w:rsidRPr="007A27CB">
        <w:rPr>
          <w:lang w:eastAsia="pl-PL"/>
        </w:rPr>
        <w:t xml:space="preserve"> </w:t>
      </w:r>
      <w:r>
        <w:rPr>
          <w:lang w:eastAsia="pl-PL"/>
        </w:rPr>
        <w:t xml:space="preserve">oraz </w:t>
      </w:r>
      <w:r w:rsidRPr="007A27CB">
        <w:rPr>
          <w:lang w:eastAsia="pl-PL"/>
        </w:rPr>
        <w:t xml:space="preserve">powszechnych jednostek organizacyjnych prokuratury. </w:t>
      </w:r>
    </w:p>
    <w:p w14:paraId="3C1F24C8" w14:textId="77777777" w:rsidR="00776D77" w:rsidRDefault="00776D77" w:rsidP="00776D77">
      <w:pPr>
        <w:spacing w:after="120"/>
        <w:jc w:val="both"/>
        <w:rPr>
          <w:iCs/>
          <w:lang w:eastAsia="pl-PL"/>
        </w:rPr>
      </w:pPr>
      <w:r w:rsidRPr="00F21196">
        <w:rPr>
          <w:lang w:eastAsia="pl-PL"/>
        </w:rPr>
        <w:t xml:space="preserve">Jednym z głównych problemów jest przewlekłość i niejasność procedur w kontaktach z wymiarem sprawiedliwości (słaba komunikacja, mało rozpowszechnione mechanizmy arbitrażu i mediacji, niejednolite interpretacje prawa, rosnący wpływ spraw i wysokie obciążenia sędziów). </w:t>
      </w:r>
      <w:r w:rsidRPr="00F3674D">
        <w:rPr>
          <w:iCs/>
          <w:lang w:eastAsia="pl-PL"/>
        </w:rPr>
        <w:t>W 2016 r. wpłynęło do sądu 14,9 mln spraw, w 2017 r. – 15,8 mln spraw, a w 2018 r. – 15,0 mln spraw. Średnia liczba spraw załatwionych przez  sędziego (według liczby obsadzonych etatów w okresie statystycznym)  w 2016 r. wynosiła 731,5, w 2017 r. 735,5, zaś w 2018 r.</w:t>
      </w:r>
      <w:r w:rsidRPr="00F3674D">
        <w:rPr>
          <w:iCs/>
        </w:rPr>
        <w:t xml:space="preserve"> </w:t>
      </w:r>
      <w:r w:rsidRPr="00F3674D">
        <w:rPr>
          <w:iCs/>
          <w:lang w:eastAsia="pl-PL"/>
        </w:rPr>
        <w:t xml:space="preserve">684,5. </w:t>
      </w:r>
    </w:p>
    <w:p w14:paraId="11D2DDF5" w14:textId="77777777" w:rsidR="00776D77" w:rsidRDefault="00776D77" w:rsidP="00776D77">
      <w:pPr>
        <w:spacing w:after="120"/>
        <w:jc w:val="both"/>
        <w:rPr>
          <w:lang w:eastAsia="pl-PL"/>
        </w:rPr>
      </w:pPr>
      <w:r w:rsidRPr="00F21196">
        <w:rPr>
          <w:lang w:eastAsia="pl-PL"/>
        </w:rPr>
        <w:t xml:space="preserve">Sposób obsługi interesantów w sądach oraz jakość informacji przekazywanych przez pracowników poszczególnych sądów jest różny, co może stwarzać problemy podczas kontaktu obywateli z  przedstawicielami jednostek organizacyjnych wymiaru sprawiedliwości. </w:t>
      </w:r>
      <w:r>
        <w:rPr>
          <w:lang w:eastAsia="pl-PL"/>
        </w:rPr>
        <w:t xml:space="preserve">Odpowiedzią na ten problem jest usprawnienie procesów komunikacji w obszarze obsługi interesanta oraz stały wzrost kompetencji urzędników wymiaru sprawiedliwości. </w:t>
      </w:r>
    </w:p>
    <w:p w14:paraId="6199B68D" w14:textId="77777777" w:rsidR="00776D77" w:rsidRPr="00F3674D" w:rsidRDefault="00776D77" w:rsidP="00776D77">
      <w:pPr>
        <w:spacing w:after="120"/>
        <w:jc w:val="both"/>
        <w:rPr>
          <w:iCs/>
          <w:lang w:eastAsia="pl-PL"/>
        </w:rPr>
      </w:pPr>
      <w:r>
        <w:rPr>
          <w:lang w:eastAsia="pl-PL"/>
        </w:rPr>
        <w:t>Odrębnym zagadnieniem, wymagającym interwencji w celu wprowadzenia szybkich zmian, jest dostępność wymiaru sprawiedliwości dla osób z niepełnosprawnościami i osób starszych. W celu umożliwienia dostępu do wymiaru sprawiedliwości wszystkim grupom obywateli konieczne jest minimalizowanie barier komunikacyjnych oraz wszelkich przeszkód stojących na drodze do swobodnego kontaktu z szeroko rozumianym sektorem sprawiedliwości. Zastosowanie dostępnych alternatywnych metod porozumiewania się i udogodnień komunikacyjnych będzie wymagać również podnoszenia kompetencji i kwalifikacji osób pracujących w wymiarze sprawiedliwości.</w:t>
      </w:r>
    </w:p>
    <w:p w14:paraId="60FD220D" w14:textId="77777777" w:rsidR="00776D77" w:rsidRPr="00F21196" w:rsidRDefault="00776D77" w:rsidP="00776D77">
      <w:pPr>
        <w:spacing w:after="120"/>
        <w:jc w:val="both"/>
        <w:rPr>
          <w:lang w:eastAsia="pl-PL"/>
        </w:rPr>
      </w:pPr>
      <w:r w:rsidRPr="00F21196">
        <w:rPr>
          <w:lang w:eastAsia="pl-PL"/>
        </w:rPr>
        <w:t xml:space="preserve">Konieczne jest wsparcie pozasądowych form rozwiązywania sporów, podjęcie działań legislacyjnych i edukacyjnych zwiększających zasięg wykorzystania </w:t>
      </w:r>
      <w:r>
        <w:rPr>
          <w:lang w:eastAsia="pl-PL"/>
        </w:rPr>
        <w:t xml:space="preserve"> </w:t>
      </w:r>
      <w:r w:rsidRPr="00F21196">
        <w:rPr>
          <w:lang w:eastAsia="pl-PL"/>
        </w:rPr>
        <w:t>tego instrumentu. Me</w:t>
      </w:r>
      <w:r>
        <w:rPr>
          <w:lang w:eastAsia="pl-PL"/>
        </w:rPr>
        <w:t xml:space="preserve">diacja jest skutecznym sposobem </w:t>
      </w:r>
      <w:r w:rsidRPr="00F21196">
        <w:rPr>
          <w:lang w:eastAsia="pl-PL"/>
        </w:rPr>
        <w:t xml:space="preserve">rozwiązywania konfliktów. Ponadto </w:t>
      </w:r>
      <w:r>
        <w:rPr>
          <w:lang w:eastAsia="pl-PL"/>
        </w:rPr>
        <w:t>jej</w:t>
      </w:r>
      <w:r w:rsidRPr="00F21196">
        <w:rPr>
          <w:lang w:eastAsia="pl-PL"/>
        </w:rPr>
        <w:t xml:space="preserve"> stosowanie umożliwia rozstr</w:t>
      </w:r>
      <w:r>
        <w:rPr>
          <w:lang w:eastAsia="pl-PL"/>
        </w:rPr>
        <w:t xml:space="preserve">zyganie sporów bez konieczności </w:t>
      </w:r>
      <w:r w:rsidRPr="00F21196">
        <w:rPr>
          <w:lang w:eastAsia="pl-PL"/>
        </w:rPr>
        <w:t xml:space="preserve">prowadzenia sformalizowanego postępowania sądowego, co </w:t>
      </w:r>
      <w:r>
        <w:rPr>
          <w:lang w:eastAsia="pl-PL"/>
        </w:rPr>
        <w:t>w perspektywie czasu powinno wpłynąć na znaczne</w:t>
      </w:r>
      <w:r w:rsidRPr="00F21196">
        <w:rPr>
          <w:lang w:eastAsia="pl-PL"/>
        </w:rPr>
        <w:t xml:space="preserve"> odciążenie </w:t>
      </w:r>
      <w:r>
        <w:rPr>
          <w:lang w:eastAsia="pl-PL"/>
        </w:rPr>
        <w:t>wymiaru sprawiedliwości</w:t>
      </w:r>
      <w:r w:rsidRPr="00F21196">
        <w:rPr>
          <w:lang w:eastAsia="pl-PL"/>
        </w:rPr>
        <w:t>.</w:t>
      </w:r>
    </w:p>
    <w:p w14:paraId="6A103CF7" w14:textId="77777777" w:rsidR="00776D77" w:rsidRDefault="00776D77" w:rsidP="00776D77">
      <w:pPr>
        <w:spacing w:after="120"/>
        <w:jc w:val="both"/>
        <w:rPr>
          <w:lang w:eastAsia="pl-PL"/>
        </w:rPr>
      </w:pPr>
      <w:r>
        <w:rPr>
          <w:lang w:eastAsia="pl-PL"/>
        </w:rPr>
        <w:t xml:space="preserve">Podniesienie sprawności funkcjonowania sądów oraz powszechnych jednostek organizacyjnych prokuratury uzależnione jest od identyfikacji najbardziej adekwatnych rozwiązań technologicznych wspierających procesy związane z prowadzeniem postępowań oraz stworzenia środowiska legislacyjnego umożliwiającego wykorzystanie wcześniej zidentyfikowanych rozwiązań technicznych w ramach prowadzonych postępowań. </w:t>
      </w:r>
    </w:p>
    <w:p w14:paraId="0BFFAD52" w14:textId="77777777" w:rsidR="00776D77" w:rsidRPr="00F21196" w:rsidRDefault="00776D77" w:rsidP="00776D77">
      <w:pPr>
        <w:spacing w:after="120"/>
        <w:jc w:val="both"/>
        <w:rPr>
          <w:lang w:eastAsia="pl-PL"/>
        </w:rPr>
      </w:pPr>
      <w:r w:rsidRPr="00F21196">
        <w:rPr>
          <w:lang w:eastAsia="pl-PL"/>
        </w:rPr>
        <w:t xml:space="preserve">Praca w sądownictwie i prokuraturze wymaga stałego podnoszenia kompetencji przez zatrudnionych w tych organach pracowników. </w:t>
      </w:r>
      <w:r>
        <w:rPr>
          <w:lang w:eastAsia="pl-PL"/>
        </w:rPr>
        <w:t xml:space="preserve">Ważnym elementem tego procesu </w:t>
      </w:r>
      <w:r w:rsidRPr="00F21196">
        <w:rPr>
          <w:lang w:eastAsia="pl-PL"/>
        </w:rPr>
        <w:t xml:space="preserve">jest system kształcenia kadry menedżerskiej wymiaru sprawiedliwości. Sprawne i efektywne zarządzanie zależy nie tylko od doświadczenia zdobytego podczas pełnienia funkcji kierowniczych, ale także od wiedzy i umiejętności z zakresu zarządzania. Stale zmieniające się otoczenie prawne, wprowadzanie nowych technologii w sądownictwie, prokuraturze determinują potrzebę stałego podnoszenia kompetencji osób zatrudnionych w tych jednostkach. </w:t>
      </w:r>
    </w:p>
    <w:p w14:paraId="6AA8D13E" w14:textId="77777777" w:rsidR="00776D77" w:rsidRPr="00F21196" w:rsidRDefault="00776D77" w:rsidP="00776D77">
      <w:pPr>
        <w:spacing w:after="0" w:line="276" w:lineRule="auto"/>
        <w:jc w:val="both"/>
        <w:rPr>
          <w:lang w:eastAsia="pl-PL"/>
        </w:rPr>
      </w:pPr>
      <w:r w:rsidRPr="00F21196">
        <w:rPr>
          <w:lang w:eastAsia="pl-PL"/>
        </w:rPr>
        <w:t>Wyzwaniem dla wymiaru sprawiedliwości, z wymiernym wpływem na budżet państwa, jest liczba przestępstw podatkowych, w tym polegających na wyłudzeniu podatku VAT. Jednocześnie przestępstwa te cechują się wysokim stopniem skomplikowania i wymagają bardzo dobrej znajomości, nie tylko zagadnień podatkowych, ale także mechanizmów wyłudzeń stosowanych przez sprawców. Wymaga to ciągłego podnoszenia kompetencji sędziów i prokuratorów w tym zakresie.</w:t>
      </w:r>
    </w:p>
    <w:p w14:paraId="6970290A" w14:textId="77777777" w:rsidR="00776D77" w:rsidRPr="00F21196" w:rsidRDefault="00776D77" w:rsidP="00776D77">
      <w:pPr>
        <w:shd w:val="clear" w:color="auto" w:fill="FFFFFF" w:themeFill="background1"/>
        <w:spacing w:before="120"/>
        <w:jc w:val="both"/>
        <w:rPr>
          <w:rFonts w:cstheme="minorHAnsi"/>
        </w:rPr>
      </w:pPr>
      <w:r w:rsidRPr="007A3B68">
        <w:rPr>
          <w:rFonts w:cstheme="minorHAnsi"/>
          <w:b/>
        </w:rPr>
        <w:t xml:space="preserve">Sektor geoinformacji. </w:t>
      </w:r>
      <w:r w:rsidRPr="007A3B68">
        <w:rPr>
          <w:rFonts w:cstheme="minorHAnsi"/>
        </w:rPr>
        <w:t>Sektor</w:t>
      </w:r>
      <w:r w:rsidRPr="00F21196">
        <w:rPr>
          <w:rFonts w:cstheme="minorHAnsi"/>
        </w:rPr>
        <w:t xml:space="preserve"> geoinformacji obejmuje ważne dla polskiej gospodarki obszary gromadzenia, przetwarzania i udostępniania informacji </w:t>
      </w:r>
      <w:r>
        <w:rPr>
          <w:rFonts w:cstheme="minorHAnsi"/>
        </w:rPr>
        <w:t>(</w:t>
      </w:r>
      <w:r w:rsidRPr="00F4219F">
        <w:rPr>
          <w:rFonts w:cstheme="minorHAnsi"/>
        </w:rPr>
        <w:t xml:space="preserve">w szczególności wchodzących w skład państwowego zasobu geodezyjnego i kartograficznego) posiadających </w:t>
      </w:r>
      <w:r w:rsidRPr="005F11CC">
        <w:rPr>
          <w:rFonts w:cstheme="minorHAnsi"/>
        </w:rPr>
        <w:t>odniesienie do Ziemi</w:t>
      </w:r>
      <w:r>
        <w:rPr>
          <w:rFonts w:cstheme="minorHAnsi"/>
        </w:rPr>
        <w:t xml:space="preserve"> (tzw. informacji przestrzennej). Sektor</w:t>
      </w:r>
      <w:r w:rsidRPr="00F21196">
        <w:rPr>
          <w:rFonts w:cstheme="minorHAnsi"/>
        </w:rPr>
        <w:t xml:space="preserve"> geoinformacji, jak dotąd, nie był przedmiotem żadnego, jednorodnego programu działań strategicznych polskiego rządu, co powoduje, że poszczególne podobszary sektora geoinformacyjnego znalazły się w różnych resortach. W praktyce oznacza to często wielokierunkowe działania podmiotów bez jednoznacznie zdefiniowanego celu strategicznego, powodujące rozproszenie instrumentów i środków.</w:t>
      </w:r>
    </w:p>
    <w:p w14:paraId="0EE34598" w14:textId="77777777" w:rsidR="00776D77" w:rsidRPr="00F21196" w:rsidRDefault="00776D77" w:rsidP="00776D77">
      <w:pPr>
        <w:shd w:val="clear" w:color="auto" w:fill="FFFFFF" w:themeFill="background1"/>
        <w:spacing w:after="0"/>
        <w:jc w:val="both"/>
        <w:rPr>
          <w:rFonts w:cstheme="minorHAnsi"/>
        </w:rPr>
      </w:pPr>
      <w:r w:rsidRPr="00F21196">
        <w:rPr>
          <w:rFonts w:cstheme="minorHAnsi"/>
        </w:rPr>
        <w:t xml:space="preserve">Dostęp do wiarygodnej i aktualnej geoinformacji obejmującej dane o środowisku geograficznym, obiektach antropogenicznych oraz zjawiskach występujących w całej przestrzeni otaczającej człowieka ma bardzo istotne znaczenie dla poprawnego funkcjonowania państwa, jego gospodarki i obywateli. Geoinformacja stała się immamentną cechą wielu, powiązanych z przestrzenią procesów społecznych, gospodarczych, administracyjnych i politycznych. Brak czy też występujące utrudnienia w dostępie do geoinformacji, wpływają negatywnie na jakość podejmowanych decyzji, wywołują opóźnienia w realizacji procesów gospodarczych, a często są również bezpośrednim powodem podejmowania decyzji wadliwych. </w:t>
      </w:r>
    </w:p>
    <w:p w14:paraId="3FF18D58" w14:textId="77777777" w:rsidR="00776D77" w:rsidRPr="00DF0226" w:rsidRDefault="00776D77" w:rsidP="00776D77">
      <w:pPr>
        <w:shd w:val="clear" w:color="auto" w:fill="FFFFFF"/>
        <w:spacing w:after="0"/>
        <w:jc w:val="both"/>
        <w:rPr>
          <w:rFonts w:cs="Calibri"/>
        </w:rPr>
      </w:pPr>
      <w:r w:rsidRPr="00DF0226">
        <w:rPr>
          <w:rFonts w:cs="Calibri"/>
        </w:rPr>
        <w:t>W związku m.in. z szybkim rozwojem technologii wspierających procesy pozyskiwania, przetwarzania i udostępniania informacji w branży geoinformacyjnej podjęto próbę unormowania sektora w ramach administracji publicznej poprzez ustawę o infrastrukturze informacji przestrzennej, co jednak nie doprowadziło do pełnej eliminacji bolączek sektora np. problemu redundancji gromadzonych danych</w:t>
      </w:r>
      <w:r>
        <w:rPr>
          <w:rFonts w:cs="Calibri"/>
        </w:rPr>
        <w:t>, czyli powielania informacji w wielu bazach zamiast ustanowienia właściwej referencji między bazami</w:t>
      </w:r>
      <w:r w:rsidRPr="00DF0226">
        <w:rPr>
          <w:rFonts w:cs="Calibri"/>
        </w:rPr>
        <w:t xml:space="preserve">. </w:t>
      </w:r>
    </w:p>
    <w:p w14:paraId="30C83A7E" w14:textId="77777777" w:rsidR="00776D77" w:rsidRDefault="00776D77" w:rsidP="00776D77">
      <w:pPr>
        <w:shd w:val="clear" w:color="auto" w:fill="FFFFFF"/>
        <w:spacing w:after="0"/>
        <w:jc w:val="both"/>
        <w:rPr>
          <w:rFonts w:cs="Calibri"/>
        </w:rPr>
      </w:pPr>
      <w:r w:rsidRPr="00DF0226">
        <w:rPr>
          <w:rFonts w:cs="Calibri"/>
        </w:rPr>
        <w:t xml:space="preserve">Warto podkreślić, że podejmowane w Polsce próby tworzenia zintegrowanych </w:t>
      </w:r>
      <w:r>
        <w:rPr>
          <w:rFonts w:cs="Calibri"/>
        </w:rPr>
        <w:t>systemów</w:t>
      </w:r>
      <w:r w:rsidRPr="00DF0226">
        <w:rPr>
          <w:rFonts w:cs="Calibri"/>
        </w:rPr>
        <w:t xml:space="preserve"> geoinformacyjnych przynoszą coraz większe efekty, ale dla realizacji wszystkich aktualnych potrzeb i sprostaniu rosnących oczekiwań wymagają wspierania na poziomie centralnym</w:t>
      </w:r>
      <w:r>
        <w:rPr>
          <w:rFonts w:cs="Calibri"/>
        </w:rPr>
        <w:t>.</w:t>
      </w:r>
    </w:p>
    <w:p w14:paraId="0C78BF3B" w14:textId="77777777" w:rsidR="00776D77" w:rsidRPr="00F21196" w:rsidRDefault="00776D77" w:rsidP="00776D77">
      <w:pPr>
        <w:shd w:val="clear" w:color="auto" w:fill="FFFFFF" w:themeFill="background1"/>
        <w:spacing w:after="0"/>
        <w:jc w:val="both"/>
        <w:rPr>
          <w:rFonts w:cstheme="minorHAnsi"/>
        </w:rPr>
      </w:pPr>
      <w:r w:rsidRPr="00F21196">
        <w:rPr>
          <w:rFonts w:cstheme="minorHAnsi"/>
        </w:rPr>
        <w:t xml:space="preserve">Dostęp do zintegrowanych baz danych na rządowych platformach elektronicznych jest jeszcze niewystarczający i </w:t>
      </w:r>
      <w:r>
        <w:rPr>
          <w:rFonts w:cstheme="minorHAnsi"/>
        </w:rPr>
        <w:t xml:space="preserve">niekiedy </w:t>
      </w:r>
      <w:r w:rsidRPr="00F21196">
        <w:rPr>
          <w:rFonts w:cstheme="minorHAnsi"/>
        </w:rPr>
        <w:t>ograniczony ze względu na konieczność zapłaty za zgromadzone tam dane</w:t>
      </w:r>
      <w:r>
        <w:rPr>
          <w:rFonts w:cstheme="minorHAnsi"/>
        </w:rPr>
        <w:t>.</w:t>
      </w:r>
      <w:r w:rsidRPr="00F21196">
        <w:rPr>
          <w:rFonts w:cstheme="minorHAnsi"/>
        </w:rPr>
        <w:t xml:space="preserve"> Działania te należy wspierać poprzez odpowiednie regulacje prawne skupione wokół ustawy o </w:t>
      </w:r>
      <w:r>
        <w:rPr>
          <w:rFonts w:cstheme="minorHAnsi"/>
        </w:rPr>
        <w:t>i</w:t>
      </w:r>
      <w:r w:rsidRPr="00F21196">
        <w:rPr>
          <w:rFonts w:cstheme="minorHAnsi"/>
        </w:rPr>
        <w:t xml:space="preserve">nfrastrukturze </w:t>
      </w:r>
      <w:r>
        <w:rPr>
          <w:rFonts w:cstheme="minorHAnsi"/>
        </w:rPr>
        <w:t>i</w:t>
      </w:r>
      <w:r w:rsidRPr="00F21196">
        <w:rPr>
          <w:rFonts w:cstheme="minorHAnsi"/>
        </w:rPr>
        <w:t xml:space="preserve">nformacji </w:t>
      </w:r>
      <w:r>
        <w:rPr>
          <w:rFonts w:cstheme="minorHAnsi"/>
        </w:rPr>
        <w:t>p</w:t>
      </w:r>
      <w:r w:rsidRPr="00F21196">
        <w:rPr>
          <w:rFonts w:cstheme="minorHAnsi"/>
        </w:rPr>
        <w:t xml:space="preserve">rzestrzennej oraz alokowanie środków finansowych z przeznaczeniem na </w:t>
      </w:r>
      <w:r>
        <w:rPr>
          <w:rFonts w:cstheme="minorHAnsi"/>
        </w:rPr>
        <w:t>tworzenie</w:t>
      </w:r>
      <w:r w:rsidRPr="00F21196">
        <w:rPr>
          <w:rFonts w:cstheme="minorHAnsi"/>
        </w:rPr>
        <w:t xml:space="preserve"> zbiorów i usług danych przestrzennych oraz koordynację i zarządzanie </w:t>
      </w:r>
      <w:r>
        <w:rPr>
          <w:rFonts w:cstheme="minorHAnsi"/>
        </w:rPr>
        <w:t>rozwojem</w:t>
      </w:r>
      <w:r w:rsidRPr="00F21196">
        <w:rPr>
          <w:rFonts w:cstheme="minorHAnsi"/>
        </w:rPr>
        <w:t xml:space="preserve"> infrastruktury informacji przestrzennej. </w:t>
      </w:r>
    </w:p>
    <w:p w14:paraId="0F4CEA8A" w14:textId="77777777" w:rsidR="00776D77" w:rsidRPr="00F21196" w:rsidRDefault="00776D77" w:rsidP="00776D77">
      <w:pPr>
        <w:shd w:val="clear" w:color="auto" w:fill="FFFFFF" w:themeFill="background1"/>
        <w:spacing w:after="0"/>
        <w:jc w:val="both"/>
        <w:rPr>
          <w:rFonts w:cstheme="minorHAnsi"/>
        </w:rPr>
      </w:pPr>
      <w:r w:rsidRPr="00F21196">
        <w:rPr>
          <w:rFonts w:cstheme="minorHAnsi"/>
        </w:rPr>
        <w:t xml:space="preserve">Polepszenie </w:t>
      </w:r>
      <w:r>
        <w:rPr>
          <w:rFonts w:cstheme="minorHAnsi"/>
        </w:rPr>
        <w:t>jakości</w:t>
      </w:r>
      <w:r w:rsidRPr="00F21196">
        <w:rPr>
          <w:rFonts w:cstheme="minorHAnsi"/>
        </w:rPr>
        <w:t xml:space="preserve"> geoinformacji </w:t>
      </w:r>
      <w:r>
        <w:rPr>
          <w:rFonts w:cstheme="minorHAnsi"/>
        </w:rPr>
        <w:t>oraz szersze wykorzystanie narzędzi geoinformatycznych</w:t>
      </w:r>
      <w:r w:rsidRPr="00F21196">
        <w:rPr>
          <w:rFonts w:cstheme="minorHAnsi"/>
        </w:rPr>
        <w:t xml:space="preserve"> będzie korzystnie wpływać na </w:t>
      </w:r>
      <w:r w:rsidRPr="007C0B42">
        <w:rPr>
          <w:rFonts w:cstheme="minorHAnsi"/>
        </w:rPr>
        <w:t>skuteczno</w:t>
      </w:r>
      <w:r>
        <w:rPr>
          <w:rFonts w:ascii="Calibri" w:hAnsi="Calibri" w:cs="Calibri"/>
        </w:rPr>
        <w:t>ść</w:t>
      </w:r>
      <w:r w:rsidRPr="007C0B42">
        <w:rPr>
          <w:rFonts w:cstheme="minorHAnsi"/>
        </w:rPr>
        <w:t xml:space="preserve"> </w:t>
      </w:r>
      <w:r>
        <w:rPr>
          <w:rFonts w:cstheme="minorHAnsi"/>
        </w:rPr>
        <w:t>realizowanych zadań,</w:t>
      </w:r>
      <w:r w:rsidRPr="007C0B42">
        <w:rPr>
          <w:rFonts w:cstheme="minorHAnsi"/>
        </w:rPr>
        <w:t xml:space="preserve"> </w:t>
      </w:r>
      <w:r>
        <w:rPr>
          <w:rFonts w:cstheme="minorHAnsi"/>
        </w:rPr>
        <w:t xml:space="preserve">a co za tym idzie </w:t>
      </w:r>
      <w:r w:rsidRPr="00F21196">
        <w:rPr>
          <w:rFonts w:cstheme="minorHAnsi"/>
        </w:rPr>
        <w:t>na rozwój gospodarczy. Do dalszego rozwoju sektora geoinformacyjnego potrzebne są zmiany mające na celu wprowadzenie regulacji: upraszczających prawo, zapewniających standaryzację procesów, interoperacyjność zbiorów danych</w:t>
      </w:r>
      <w:r>
        <w:rPr>
          <w:rFonts w:cstheme="minorHAnsi"/>
        </w:rPr>
        <w:t xml:space="preserve"> przestrzennych</w:t>
      </w:r>
      <w:r w:rsidRPr="00F21196">
        <w:rPr>
          <w:rFonts w:cstheme="minorHAnsi"/>
        </w:rPr>
        <w:t xml:space="preserve">, referencyjność ewidencji i rejestrów oraz uproszczenia w tworzeniu </w:t>
      </w:r>
      <w:r>
        <w:rPr>
          <w:rFonts w:cstheme="minorHAnsi"/>
        </w:rPr>
        <w:t xml:space="preserve">i dostępie do </w:t>
      </w:r>
      <w:r w:rsidRPr="00F21196">
        <w:rPr>
          <w:rFonts w:cstheme="minorHAnsi"/>
        </w:rPr>
        <w:t>danych</w:t>
      </w:r>
      <w:r>
        <w:rPr>
          <w:rFonts w:cstheme="minorHAnsi"/>
        </w:rPr>
        <w:t>, a także usług informacji</w:t>
      </w:r>
      <w:r w:rsidRPr="00F21196">
        <w:rPr>
          <w:rFonts w:cstheme="minorHAnsi"/>
        </w:rPr>
        <w:t xml:space="preserve"> przestrzennych</w:t>
      </w:r>
      <w:r>
        <w:rPr>
          <w:rFonts w:cstheme="minorHAnsi"/>
        </w:rPr>
        <w:t>, w tym na potrzeby usług informacji sektorowych (np. transportowych)</w:t>
      </w:r>
      <w:r w:rsidRPr="00F21196">
        <w:rPr>
          <w:rFonts w:cstheme="minorHAnsi"/>
        </w:rPr>
        <w:t>.</w:t>
      </w:r>
    </w:p>
    <w:p w14:paraId="14CE7B24" w14:textId="77777777" w:rsidR="00776D77" w:rsidRPr="00EC4A50" w:rsidRDefault="00776D77" w:rsidP="00776D77">
      <w:pPr>
        <w:spacing w:before="120" w:line="276" w:lineRule="auto"/>
        <w:jc w:val="both"/>
      </w:pPr>
      <w:r w:rsidRPr="00F21196">
        <w:rPr>
          <w:rFonts w:cs="Arial"/>
          <w:b/>
        </w:rPr>
        <w:t>System planowania przestrzennego</w:t>
      </w:r>
      <w:r w:rsidRPr="00F21196">
        <w:rPr>
          <w:rFonts w:cs="Arial"/>
        </w:rPr>
        <w:t xml:space="preserve">. Obecnie funkcjonujący system planowania przestrzennego nie stanowi sprawnie działającego mechanizmu zapewniającego zrównoważony rozwój kraju przy zachowaniu ładu przestrzennego i uwzględniającego ogół społeczeństwa. Planowanie przestrzenne stało się dysfunkcyjne i brakuje w nim relacyjności i sprzężeń zwrotnych. Zależność aktów planowania przestrzennego nie </w:t>
      </w:r>
      <w:r>
        <w:rPr>
          <w:rFonts w:cs="Arial"/>
        </w:rPr>
        <w:t xml:space="preserve">zawsze </w:t>
      </w:r>
      <w:r w:rsidRPr="00F21196">
        <w:rPr>
          <w:rFonts w:cs="Arial"/>
        </w:rPr>
        <w:t>przekłada się bezpośrednio na działania realizacyjne</w:t>
      </w:r>
      <w:r>
        <w:rPr>
          <w:rFonts w:cs="Arial"/>
        </w:rPr>
        <w:t>.</w:t>
      </w:r>
      <w:r w:rsidRPr="00F21196">
        <w:rPr>
          <w:rFonts w:cs="Arial"/>
          <w:b/>
          <w:bCs/>
        </w:rPr>
        <w:t xml:space="preserve"> </w:t>
      </w:r>
      <w:r w:rsidRPr="00F21196">
        <w:rPr>
          <w:rFonts w:cs="Arial"/>
          <w:bCs/>
        </w:rPr>
        <w:t xml:space="preserve">Postępująca dezintegracja </w:t>
      </w:r>
      <w:r>
        <w:rPr>
          <w:rFonts w:cs="Arial"/>
          <w:bCs/>
        </w:rPr>
        <w:t xml:space="preserve">dwu nurtów planowania </w:t>
      </w:r>
      <w:r w:rsidRPr="00F21196">
        <w:rPr>
          <w:rFonts w:cs="Arial"/>
        </w:rPr>
        <w:t xml:space="preserve">wyraża się przede wszystkim osłabieniem </w:t>
      </w:r>
      <w:r>
        <w:rPr>
          <w:rFonts w:cs="Arial"/>
        </w:rPr>
        <w:t xml:space="preserve">ich </w:t>
      </w:r>
      <w:r w:rsidRPr="00F21196">
        <w:rPr>
          <w:rFonts w:cs="Arial"/>
        </w:rPr>
        <w:t xml:space="preserve">roli w zarządzaniu gminą: zaniechaniem uchwalania planów miejscowych na rzecz wydawania decyzji o warunkach zabudowy, które często nie są powiązane ze studium gminy i mogą powodować niezrównoważone zagospodarowanie przestrzeni. </w:t>
      </w:r>
      <w:r>
        <w:rPr>
          <w:rStyle w:val="BrakA"/>
        </w:rPr>
        <w:t>Przyczyną tego stanu rzeczy jest również fakt, że uchwalanie plan</w:t>
      </w:r>
      <w:r>
        <w:rPr>
          <w:rStyle w:val="BrakA"/>
          <w:lang w:val="es-ES_tradnl"/>
        </w:rPr>
        <w:t>ó</w:t>
      </w:r>
      <w:r>
        <w:rPr>
          <w:rStyle w:val="BrakA"/>
        </w:rPr>
        <w:t xml:space="preserve">w miejscowych nie jest obligatoryjne, a koszty ich sporządzania obciążają co do zasady budżet gminy. </w:t>
      </w:r>
      <w:r w:rsidRPr="00F21196">
        <w:rPr>
          <w:rFonts w:cs="Arial"/>
        </w:rPr>
        <w:t>Oparcie lokalizacji inwestycji na decyzjach administracyjnych umożliwia często zabudowę na terenach do tego nieprzystosowanych – np. zalewowych, osuwiskowych lub przeznaczonych pod inwestycje celu publicznego – bez określonych rzeczowo-finansowych uwarunkowań realizacyjnych. Zapotrzebowanie na tereny zabudowane jest przeszacowane. Przeznaczenie obszarów pod zabudowę w oderwaniu od analiz ekonomicznych</w:t>
      </w:r>
      <w:r>
        <w:rPr>
          <w:rFonts w:cs="Arial"/>
        </w:rPr>
        <w:t>,</w:t>
      </w:r>
      <w:r w:rsidRPr="00F21196">
        <w:rPr>
          <w:rFonts w:cs="Arial"/>
        </w:rPr>
        <w:t xml:space="preserve"> </w:t>
      </w:r>
      <w:r>
        <w:rPr>
          <w:rStyle w:val="BrakA"/>
        </w:rPr>
        <w:t>środowiskowych</w:t>
      </w:r>
      <w:r w:rsidRPr="00F21196">
        <w:rPr>
          <w:rFonts w:cs="Arial"/>
        </w:rPr>
        <w:t xml:space="preserve"> i demograficznych prowadzi do zwiększonych kosztów po stronie samorządu, np. za wykup terenów pod budowę nowych dróg w uchwalonych planach miejscowych</w:t>
      </w:r>
      <w:r>
        <w:rPr>
          <w:rFonts w:cs="Arial"/>
        </w:rPr>
        <w:t xml:space="preserve"> </w:t>
      </w:r>
      <w:r>
        <w:rPr>
          <w:rStyle w:val="BrakA"/>
        </w:rPr>
        <w:t>oraz rosnące koszty środowiskowe.</w:t>
      </w:r>
      <w:r w:rsidRPr="00F21196">
        <w:rPr>
          <w:rFonts w:cs="Arial"/>
        </w:rPr>
        <w:t xml:space="preserve"> </w:t>
      </w:r>
    </w:p>
    <w:p w14:paraId="5056C0BC" w14:textId="77777777" w:rsidR="00776D77" w:rsidRPr="00F21196" w:rsidRDefault="00776D77" w:rsidP="00776D77">
      <w:pPr>
        <w:autoSpaceDE w:val="0"/>
        <w:autoSpaceDN w:val="0"/>
        <w:adjustRightInd w:val="0"/>
        <w:spacing w:before="120" w:line="276" w:lineRule="auto"/>
        <w:jc w:val="both"/>
        <w:rPr>
          <w:rFonts w:cs="Arial"/>
        </w:rPr>
      </w:pPr>
      <w:r w:rsidRPr="00F21196">
        <w:rPr>
          <w:rFonts w:cs="Arial"/>
        </w:rPr>
        <w:t xml:space="preserve">Proces inwestycyjny w Polsce krytykowany jest jako nadmiernie skomplikowany i sformalizowany. Obowiązujące procedury administracyjne oceniane są jako niewystarczająco elastyczne, aby móc w sposób adekwatny dostosować je do wagi planowanej inwestycji. Ponadto, obecny stan wiedzy na poziomie centralnym o istniejącym oraz planowanym zagospodarowaniu przestrzennym </w:t>
      </w:r>
      <w:r>
        <w:rPr>
          <w:rFonts w:cs="Arial"/>
        </w:rPr>
        <w:t xml:space="preserve">na szczeblu lokalnym </w:t>
      </w:r>
      <w:r w:rsidRPr="00F21196">
        <w:rPr>
          <w:rFonts w:cs="Arial"/>
        </w:rPr>
        <w:t xml:space="preserve">oraz występujących między nimi zależnościach jest niewystarczający do prawidłowego, sprawnego kształtowania polityki przestrzennej. </w:t>
      </w:r>
    </w:p>
    <w:p w14:paraId="2B2CD007" w14:textId="77777777" w:rsidR="00776D77" w:rsidRPr="00C25C96" w:rsidRDefault="00776D77" w:rsidP="00776D77">
      <w:pPr>
        <w:spacing w:line="276" w:lineRule="auto"/>
        <w:jc w:val="both"/>
        <w:rPr>
          <w:rFonts w:cs="Arial"/>
        </w:rPr>
      </w:pPr>
      <w:r w:rsidRPr="00F21196">
        <w:rPr>
          <w:rFonts w:cs="Arial"/>
        </w:rPr>
        <w:t xml:space="preserve">Słabością systemu planowania w Polsce jest nie tylko rozproszenie i niewystarczające hierarchicznie </w:t>
      </w:r>
      <w:r w:rsidRPr="00C25C96">
        <w:rPr>
          <w:rFonts w:cs="Arial"/>
        </w:rPr>
        <w:t>powiązanie instytucji działających w sferze planowania przestrzennego, ale także fragmentacja wiedzy, brak spójnego jednolitego systemu monitorowania zmian zagospodarowania przestrzennego, umożliwiającego dokonywanie porównań na różnych poziomach zarządzania rozwojem oraz analizowanie wpływu polityk publicznych na zmianę struktur przestrzennych. Rola informacji przestrzennej w procesie planowania, w tym rozwoju przestrzennego, ewoluuje w kierunku ujęcia procesowego, stanowiąc obecnie jedną z najważniejszych składowych systemu decyzyjnego. W systemie tym istotną funkcję pełni monitoring zagospodarowania przestrzennego, który boryka się z wieloma problemami, w szczególności brakiem dostępu do jednolitych i wiarygodnych danych o istniejącym i planowanym zagospodarowaniu przestrzennym.</w:t>
      </w:r>
    </w:p>
    <w:p w14:paraId="71356D50" w14:textId="77777777" w:rsidR="00776D77" w:rsidRDefault="00776D77" w:rsidP="00776D77">
      <w:pPr>
        <w:spacing w:line="276" w:lineRule="auto"/>
        <w:jc w:val="both"/>
        <w:rPr>
          <w:rStyle w:val="BrakA"/>
        </w:rPr>
      </w:pPr>
      <w:r>
        <w:rPr>
          <w:rStyle w:val="BrakA"/>
        </w:rPr>
        <w:t>Innym problemem występującym w procesie planowania przestrzennego jest częsty brak analizy koszt</w:t>
      </w:r>
      <w:r>
        <w:rPr>
          <w:rStyle w:val="BrakA"/>
          <w:lang w:val="es-ES_tradnl"/>
        </w:rPr>
        <w:t>ó</w:t>
      </w:r>
      <w:r>
        <w:rPr>
          <w:rStyle w:val="BrakA"/>
        </w:rPr>
        <w:t>w rozproszonych planowania oraz brak uwzględniania potrzeb obywateli dotyczących środowiska i krajobrazu. Powoduje to konieczność ponoszenia częstych i rozproszonych koszt</w:t>
      </w:r>
      <w:r>
        <w:rPr>
          <w:rStyle w:val="BrakA"/>
          <w:lang w:val="es-ES_tradnl"/>
        </w:rPr>
        <w:t>ó</w:t>
      </w:r>
      <w:r>
        <w:rPr>
          <w:rStyle w:val="BrakA"/>
        </w:rPr>
        <w:t>w (podtopienia, pogorszenie stanu zdrowia, gorsze samopoczucie). Brak uwzględniania potrzeb obywateli przejawia się przede wszystkim w tym, że często nie są oni włączani w proces decyzyjny w uchwalaniu akt</w:t>
      </w:r>
      <w:r>
        <w:rPr>
          <w:rStyle w:val="BrakA"/>
          <w:lang w:val="es-ES_tradnl"/>
        </w:rPr>
        <w:t>ó</w:t>
      </w:r>
      <w:r>
        <w:rPr>
          <w:rStyle w:val="BrakA"/>
        </w:rPr>
        <w:t>w planistycznych.. Wynika to przede wszystkim z przeświadczenia, że mieszkańcy nie są gotowi na podejmowanie decyzji publicznych, ich protesty opóźniają całą procedurę, zapewnienie i wdrożenie różnych metod i praktyk partycypacyjnych powoduje jedynie wzrost koszt</w:t>
      </w:r>
      <w:r>
        <w:rPr>
          <w:rStyle w:val="BrakA"/>
          <w:lang w:val="es-ES_tradnl"/>
        </w:rPr>
        <w:t>ó</w:t>
      </w:r>
      <w:r w:rsidRPr="00E22109">
        <w:rPr>
          <w:rStyle w:val="BrakA"/>
        </w:rPr>
        <w:t>w ca</w:t>
      </w:r>
      <w:r>
        <w:rPr>
          <w:rStyle w:val="BrakA"/>
        </w:rPr>
        <w:t>łego procesu, a także brak jest przygotowania do organizacji i prowadzenia procesu partycypacyjnego.</w:t>
      </w:r>
    </w:p>
    <w:p w14:paraId="29AF8EEC" w14:textId="77777777" w:rsidR="00776D77" w:rsidRPr="00C25C96" w:rsidRDefault="00776D77" w:rsidP="00776D77">
      <w:pPr>
        <w:autoSpaceDE w:val="0"/>
        <w:autoSpaceDN w:val="0"/>
        <w:adjustRightInd w:val="0"/>
        <w:spacing w:after="0" w:line="276" w:lineRule="auto"/>
        <w:jc w:val="both"/>
        <w:rPr>
          <w:rFonts w:cs="Arial"/>
        </w:rPr>
      </w:pPr>
      <w:r w:rsidRPr="00C25C96">
        <w:rPr>
          <w:rFonts w:cs="Arial"/>
        </w:rPr>
        <w:t>Do najbardziej istotnych problemów można zaliczyć:</w:t>
      </w:r>
    </w:p>
    <w:p w14:paraId="4F0ACD20" w14:textId="77777777" w:rsidR="00776D77" w:rsidRPr="00C25C96" w:rsidRDefault="00776D77" w:rsidP="00723B3F">
      <w:pPr>
        <w:pStyle w:val="Akapitzlist"/>
        <w:numPr>
          <w:ilvl w:val="0"/>
          <w:numId w:val="15"/>
        </w:numPr>
        <w:autoSpaceDE w:val="0"/>
        <w:autoSpaceDN w:val="0"/>
        <w:adjustRightInd w:val="0"/>
        <w:spacing w:line="276" w:lineRule="auto"/>
        <w:ind w:left="426"/>
        <w:jc w:val="both"/>
        <w:rPr>
          <w:rFonts w:asciiTheme="minorHAnsi" w:hAnsiTheme="minorHAnsi" w:cs="Arial"/>
          <w:sz w:val="22"/>
          <w:szCs w:val="22"/>
        </w:rPr>
      </w:pPr>
      <w:r w:rsidRPr="00C25C96">
        <w:rPr>
          <w:rFonts w:asciiTheme="minorHAnsi" w:hAnsiTheme="minorHAnsi" w:cs="Arial"/>
          <w:sz w:val="22"/>
          <w:szCs w:val="22"/>
        </w:rPr>
        <w:t>brak jednolitości nazw oraz pojęć stosowanych w aktach planowania przestrzennego;</w:t>
      </w:r>
    </w:p>
    <w:p w14:paraId="6C6C12D9" w14:textId="77777777" w:rsidR="00776D77" w:rsidRPr="00C25C96" w:rsidRDefault="00776D77" w:rsidP="00723B3F">
      <w:pPr>
        <w:pStyle w:val="Akapitzlist"/>
        <w:numPr>
          <w:ilvl w:val="0"/>
          <w:numId w:val="15"/>
        </w:numPr>
        <w:autoSpaceDE w:val="0"/>
        <w:autoSpaceDN w:val="0"/>
        <w:adjustRightInd w:val="0"/>
        <w:spacing w:line="276" w:lineRule="auto"/>
        <w:ind w:left="426"/>
        <w:jc w:val="both"/>
        <w:rPr>
          <w:rFonts w:asciiTheme="minorHAnsi" w:hAnsiTheme="minorHAnsi" w:cs="Arial"/>
          <w:sz w:val="22"/>
          <w:szCs w:val="22"/>
        </w:rPr>
      </w:pPr>
      <w:r w:rsidRPr="00C25C96">
        <w:rPr>
          <w:rFonts w:asciiTheme="minorHAnsi" w:hAnsiTheme="minorHAnsi" w:cs="Arial"/>
          <w:sz w:val="22"/>
          <w:szCs w:val="22"/>
        </w:rPr>
        <w:t xml:space="preserve">zróżnicowane podejście planistów do uszczegółowienia załączników graficznych; </w:t>
      </w:r>
    </w:p>
    <w:p w14:paraId="091C00F4" w14:textId="77777777" w:rsidR="00776D77" w:rsidRPr="00C25C96" w:rsidRDefault="00776D77" w:rsidP="00723B3F">
      <w:pPr>
        <w:pStyle w:val="Akapitzlist"/>
        <w:numPr>
          <w:ilvl w:val="0"/>
          <w:numId w:val="15"/>
        </w:numPr>
        <w:autoSpaceDE w:val="0"/>
        <w:autoSpaceDN w:val="0"/>
        <w:adjustRightInd w:val="0"/>
        <w:spacing w:line="276" w:lineRule="auto"/>
        <w:ind w:left="426"/>
        <w:jc w:val="both"/>
        <w:rPr>
          <w:rFonts w:asciiTheme="minorHAnsi" w:hAnsiTheme="minorHAnsi" w:cs="Arial"/>
          <w:sz w:val="22"/>
          <w:szCs w:val="22"/>
        </w:rPr>
      </w:pPr>
      <w:r w:rsidRPr="00C25C96">
        <w:rPr>
          <w:rFonts w:asciiTheme="minorHAnsi" w:hAnsiTheme="minorHAnsi" w:cs="Arial"/>
          <w:sz w:val="22"/>
          <w:szCs w:val="22"/>
        </w:rPr>
        <w:t>brak wypracowanego krajowego standardu tworzenia zbiorów danych przestrzennych aktów planowania przestrzennego, w postaci elektronicznej;</w:t>
      </w:r>
    </w:p>
    <w:p w14:paraId="125D3655" w14:textId="77777777" w:rsidR="00776D77" w:rsidRPr="00C25C96" w:rsidRDefault="00776D77" w:rsidP="00723B3F">
      <w:pPr>
        <w:pStyle w:val="Akapitzlist"/>
        <w:numPr>
          <w:ilvl w:val="0"/>
          <w:numId w:val="15"/>
        </w:numPr>
        <w:autoSpaceDE w:val="0"/>
        <w:autoSpaceDN w:val="0"/>
        <w:adjustRightInd w:val="0"/>
        <w:spacing w:line="276" w:lineRule="auto"/>
        <w:ind w:left="426"/>
        <w:jc w:val="both"/>
        <w:rPr>
          <w:rFonts w:asciiTheme="minorHAnsi" w:hAnsiTheme="minorHAnsi" w:cs="Arial"/>
          <w:sz w:val="22"/>
          <w:szCs w:val="22"/>
        </w:rPr>
      </w:pPr>
      <w:r w:rsidRPr="00C25C96">
        <w:rPr>
          <w:rFonts w:asciiTheme="minorHAnsi" w:hAnsiTheme="minorHAnsi" w:cs="Arial"/>
          <w:sz w:val="22"/>
          <w:szCs w:val="22"/>
        </w:rPr>
        <w:t>brak spójności pomiędzy zapisami aktów planowania przestrzennego obejmujących sąsiadujące obszary;</w:t>
      </w:r>
    </w:p>
    <w:p w14:paraId="1CFA1C5E" w14:textId="77777777" w:rsidR="00776D77" w:rsidRDefault="00776D77" w:rsidP="00723B3F">
      <w:pPr>
        <w:pStyle w:val="Akapitzlist"/>
        <w:numPr>
          <w:ilvl w:val="0"/>
          <w:numId w:val="15"/>
        </w:numPr>
        <w:autoSpaceDE w:val="0"/>
        <w:autoSpaceDN w:val="0"/>
        <w:adjustRightInd w:val="0"/>
        <w:spacing w:line="276" w:lineRule="auto"/>
        <w:ind w:left="426"/>
        <w:jc w:val="both"/>
        <w:rPr>
          <w:rFonts w:asciiTheme="minorHAnsi" w:hAnsiTheme="minorHAnsi" w:cs="Arial"/>
          <w:sz w:val="22"/>
          <w:szCs w:val="22"/>
        </w:rPr>
      </w:pPr>
      <w:r w:rsidRPr="00C25C96">
        <w:rPr>
          <w:rFonts w:asciiTheme="minorHAnsi" w:hAnsiTheme="minorHAnsi" w:cs="Arial"/>
          <w:sz w:val="22"/>
          <w:szCs w:val="22"/>
        </w:rPr>
        <w:t>zróżnicowane pokrycie oraz znaczące rozdrobnienie aktów planowania przestrzennego na szczeblu lokalnym – brak konsekwentnej i spójnie real</w:t>
      </w:r>
      <w:r>
        <w:rPr>
          <w:rFonts w:asciiTheme="minorHAnsi" w:hAnsiTheme="minorHAnsi" w:cs="Arial"/>
          <w:sz w:val="22"/>
          <w:szCs w:val="22"/>
        </w:rPr>
        <w:t>izowanej polityki przestrzennej,</w:t>
      </w:r>
    </w:p>
    <w:p w14:paraId="421F128C" w14:textId="77777777" w:rsidR="00776D77" w:rsidRPr="00B90FAA" w:rsidRDefault="00776D77" w:rsidP="00723B3F">
      <w:pPr>
        <w:pStyle w:val="Akapitzlist"/>
        <w:numPr>
          <w:ilvl w:val="0"/>
          <w:numId w:val="15"/>
        </w:numPr>
        <w:autoSpaceDE w:val="0"/>
        <w:autoSpaceDN w:val="0"/>
        <w:adjustRightInd w:val="0"/>
        <w:spacing w:line="276" w:lineRule="auto"/>
        <w:ind w:left="426"/>
        <w:jc w:val="both"/>
        <w:rPr>
          <w:rFonts w:asciiTheme="minorHAnsi" w:hAnsiTheme="minorHAnsi" w:cs="Arial"/>
          <w:sz w:val="22"/>
          <w:szCs w:val="22"/>
        </w:rPr>
      </w:pPr>
      <w:r w:rsidRPr="00B90FAA">
        <w:rPr>
          <w:rStyle w:val="BrakA"/>
          <w:rFonts w:ascii="Calibri" w:hAnsi="Calibri"/>
          <w:sz w:val="22"/>
          <w:szCs w:val="22"/>
        </w:rPr>
        <w:t>mały udział powierzchni objętej obowiązującymi planami zagospodarowania przestrzennego.</w:t>
      </w:r>
    </w:p>
    <w:p w14:paraId="3D175AE1" w14:textId="77777777" w:rsidR="00776D77" w:rsidRPr="00C25C96" w:rsidRDefault="00776D77" w:rsidP="00776D77">
      <w:pPr>
        <w:autoSpaceDE w:val="0"/>
        <w:autoSpaceDN w:val="0"/>
        <w:adjustRightInd w:val="0"/>
        <w:spacing w:line="276" w:lineRule="auto"/>
        <w:jc w:val="both"/>
        <w:rPr>
          <w:rFonts w:cs="Arial"/>
        </w:rPr>
      </w:pPr>
      <w:r w:rsidRPr="00C25C96">
        <w:rPr>
          <w:rFonts w:cs="Arial"/>
        </w:rPr>
        <w:t>Pomimo faktu, iż podejmowanych jest wiele inicjatyw przez miasta, regiony w zakresie cyfryzacji dokumentów dotyczących planowania przestrzennego, które często prowadzą do bardzo dobrych wyników, nadal istnieje potrzeba zintensyfikowania i zintegrowania działań na poziomie centralnym.</w:t>
      </w:r>
    </w:p>
    <w:p w14:paraId="4406314B" w14:textId="591A6AA3" w:rsidR="00776D77" w:rsidRDefault="00776D77" w:rsidP="00776D77">
      <w:pPr>
        <w:autoSpaceDE w:val="0"/>
        <w:autoSpaceDN w:val="0"/>
        <w:adjustRightInd w:val="0"/>
        <w:spacing w:line="276" w:lineRule="auto"/>
        <w:jc w:val="both"/>
        <w:rPr>
          <w:rFonts w:cs="Arial"/>
          <w:iCs/>
          <w:color w:val="000000"/>
        </w:rPr>
      </w:pPr>
      <w:r w:rsidRPr="00C25C96">
        <w:rPr>
          <w:rFonts w:cs="Arial"/>
          <w:iCs/>
          <w:color w:val="000000"/>
        </w:rPr>
        <w:t xml:space="preserve">Obecnie jedynym narzędziem wykorzystywanym do monitorowania stanu oraz zmian zachodzących w planowaniu i zagospodarowaniu przestrzennym jest badanie prowadzone </w:t>
      </w:r>
      <w:r w:rsidRPr="00C25C96">
        <w:rPr>
          <w:rFonts w:cs="Helv"/>
          <w:color w:val="000000"/>
        </w:rPr>
        <w:t>przez ministra właściwego do spraw budownictwa, lokalnego planowania i zagospodarowania przestrzennego oraz mieszkalnictwa. Jest ono realizowane w ramach Programu Badań Statystycznych Statystyki Publicznej</w:t>
      </w:r>
      <w:r w:rsidRPr="00C25C96">
        <w:rPr>
          <w:rFonts w:cs="Arial"/>
          <w:iCs/>
          <w:color w:val="000000"/>
        </w:rPr>
        <w:t>. Tematem badania jest „Lokalne planowanie i zagospodarowanie przestrzenne”, a jego c</w:t>
      </w:r>
      <w:r w:rsidRPr="00C25C96">
        <w:rPr>
          <w:rFonts w:cs="Helv"/>
          <w:color w:val="000000"/>
        </w:rPr>
        <w:t xml:space="preserve">elem jest dostarczenie informacji o sytuacji planistycznej gminy. Wyniki badania umożliwiają ocenę sposobu i skutków realizacji przepisów dotyczących planowania i zagospodarowania przestrzennego, a także formułowanie przesłanek do monitoringu planowania przestrzennego w gminach w wybranych aspektach. </w:t>
      </w:r>
      <w:r w:rsidRPr="00C25C96">
        <w:rPr>
          <w:rFonts w:cs="Arial"/>
          <w:iCs/>
          <w:color w:val="000000"/>
        </w:rPr>
        <w:t xml:space="preserve">Obowiązek przekazywania danych statystycznych wynika z </w:t>
      </w:r>
      <w:r>
        <w:rPr>
          <w:rFonts w:cs="Arial"/>
          <w:iCs/>
          <w:color w:val="000000"/>
        </w:rPr>
        <w:t xml:space="preserve">przepisów </w:t>
      </w:r>
      <w:r w:rsidRPr="00C25C96">
        <w:rPr>
          <w:rFonts w:cs="Arial"/>
          <w:iCs/>
          <w:color w:val="000000"/>
        </w:rPr>
        <w:t xml:space="preserve">ustawy </w:t>
      </w:r>
      <w:r>
        <w:rPr>
          <w:rFonts w:cs="Arial"/>
          <w:iCs/>
          <w:color w:val="000000"/>
        </w:rPr>
        <w:t>o statystyce publicznej</w:t>
      </w:r>
      <w:r>
        <w:rPr>
          <w:rStyle w:val="Odwoanieprzypisudolnego"/>
          <w:rFonts w:cs="Arial"/>
          <w:iCs/>
          <w:color w:val="000000"/>
        </w:rPr>
        <w:footnoteReference w:id="54"/>
      </w:r>
      <w:r>
        <w:rPr>
          <w:rFonts w:cs="Arial"/>
          <w:iCs/>
          <w:color w:val="000000"/>
        </w:rPr>
        <w:t xml:space="preserve"> </w:t>
      </w:r>
      <w:r w:rsidRPr="00C25C96">
        <w:rPr>
          <w:rFonts w:cs="Arial"/>
          <w:iCs/>
          <w:color w:val="000000"/>
        </w:rPr>
        <w:t>oraz właściwych rozporządzeń Rady Ministrów. Dane znajdują się w Banku Danych Lokalnych prowadzonym przez GUS</w:t>
      </w:r>
      <w:r w:rsidR="00206B15">
        <w:rPr>
          <w:rFonts w:cs="Arial"/>
          <w:iCs/>
          <w:color w:val="000000"/>
        </w:rPr>
        <w:t xml:space="preserve">. </w:t>
      </w:r>
      <w:r w:rsidRPr="00C25C96">
        <w:rPr>
          <w:rFonts w:cs="Arial"/>
          <w:iCs/>
          <w:color w:val="000000"/>
        </w:rPr>
        <w:t>W efekcie instytucje, w gestii których znajdują się</w:t>
      </w:r>
      <w:r w:rsidRPr="00092762">
        <w:rPr>
          <w:rFonts w:cs="Arial"/>
          <w:iCs/>
          <w:color w:val="000000"/>
        </w:rPr>
        <w:t xml:space="preserve"> uprawnienia i decyzje w zakresie polityki przestrzennej, mają coraz większą ilość informacji i przesłanek do podejmowania prawidłowych decyzji rozwojowych i lokalizacyjnych. Nie wyklucza to jednak posługiwania się wyczuciem i własnym doświadczeniem oraz niekorzystną „swoistą grą interesów politycznych”. Dzięki tworzonym informacjom administracja ma możliwość do podejmowania spójnych działań przy tworzeniu dokumentów rozwojowych i planistycznych.  Skuteczna polityka przestrzenna powinna reagować na czynniki i zjawiska warunkujące jej efektywną realizacj</w:t>
      </w:r>
      <w:r w:rsidRPr="00CF4AE7">
        <w:rPr>
          <w:rFonts w:cs="Arial"/>
          <w:iCs/>
          <w:color w:val="000000"/>
        </w:rPr>
        <w:t>ę.</w:t>
      </w:r>
    </w:p>
    <w:p w14:paraId="3C9DF5FE" w14:textId="77777777" w:rsidR="00776D77" w:rsidRDefault="00776D77" w:rsidP="00776D77">
      <w:pPr>
        <w:autoSpaceDE w:val="0"/>
        <w:autoSpaceDN w:val="0"/>
        <w:adjustRightInd w:val="0"/>
        <w:spacing w:after="120" w:line="276" w:lineRule="auto"/>
        <w:jc w:val="both"/>
        <w:rPr>
          <w:rStyle w:val="Tekstpodstawowy2"/>
          <w:rFonts w:asciiTheme="minorHAnsi" w:hAnsiTheme="minorHAnsi" w:cs="Arial"/>
          <w:sz w:val="22"/>
          <w:szCs w:val="18"/>
          <w:u w:val="none"/>
        </w:rPr>
      </w:pPr>
      <w:r w:rsidRPr="00F21196">
        <w:rPr>
          <w:rFonts w:cs="Arial"/>
          <w:b/>
          <w:spacing w:val="4"/>
        </w:rPr>
        <w:t xml:space="preserve">Zagospodarowanie przestrzenne obszarów morskich. </w:t>
      </w:r>
      <w:r w:rsidRPr="00150584">
        <w:rPr>
          <w:rStyle w:val="Tekstpodstawowy2"/>
          <w:rFonts w:asciiTheme="minorHAnsi" w:hAnsiTheme="minorHAnsi" w:cs="Arial"/>
          <w:sz w:val="22"/>
          <w:szCs w:val="18"/>
          <w:u w:val="none"/>
        </w:rPr>
        <w:t>Rozwój konkurencyjnych potrzeb w zakresie wykorzystania przestrzeni morskiej (powierzchni morza, wód i dna)</w:t>
      </w:r>
      <w:r>
        <w:rPr>
          <w:rStyle w:val="Tekstpodstawowy2"/>
          <w:rFonts w:asciiTheme="minorHAnsi" w:hAnsiTheme="minorHAnsi" w:cs="Arial"/>
          <w:sz w:val="22"/>
          <w:szCs w:val="18"/>
          <w:u w:val="none"/>
        </w:rPr>
        <w:t>, w tym górnictwa morskiego oraz morskiej energetyki wiatrowej,</w:t>
      </w:r>
      <w:r w:rsidRPr="00FB6AF8">
        <w:rPr>
          <w:rStyle w:val="Tekstpodstawowy2"/>
          <w:rFonts w:asciiTheme="minorHAnsi" w:hAnsiTheme="minorHAnsi" w:cs="Arial"/>
          <w:sz w:val="22"/>
          <w:szCs w:val="18"/>
          <w:u w:val="none"/>
        </w:rPr>
        <w:t xml:space="preserve"> </w:t>
      </w:r>
      <w:r>
        <w:rPr>
          <w:rStyle w:val="Tekstpodstawowy2"/>
          <w:rFonts w:asciiTheme="minorHAnsi" w:hAnsiTheme="minorHAnsi" w:cs="Arial"/>
          <w:sz w:val="22"/>
          <w:szCs w:val="18"/>
          <w:u w:val="none"/>
        </w:rPr>
        <w:t xml:space="preserve">rosnąca </w:t>
      </w:r>
      <w:r w:rsidRPr="00745A25">
        <w:rPr>
          <w:rFonts w:cs="Arial"/>
          <w:spacing w:val="4"/>
        </w:rPr>
        <w:t>sk</w:t>
      </w:r>
      <w:r>
        <w:rPr>
          <w:rFonts w:cs="Arial"/>
          <w:spacing w:val="4"/>
        </w:rPr>
        <w:t>ala występowania interakcji przestrzennych obszarów lądowych i morskich (m.in. planowane międzysystemowe sieci</w:t>
      </w:r>
      <w:r>
        <w:rPr>
          <w:rFonts w:cs="Arial"/>
          <w:b/>
          <w:spacing w:val="4"/>
        </w:rPr>
        <w:t xml:space="preserve"> </w:t>
      </w:r>
      <w:r w:rsidRPr="008D0337">
        <w:rPr>
          <w:rFonts w:cs="Arial"/>
          <w:spacing w:val="4"/>
        </w:rPr>
        <w:t>elektroenergetyczne</w:t>
      </w:r>
      <w:r>
        <w:rPr>
          <w:rFonts w:cs="Arial"/>
          <w:spacing w:val="4"/>
        </w:rPr>
        <w:t xml:space="preserve"> oraz rurociągi), </w:t>
      </w:r>
      <w:r w:rsidRPr="00B83802">
        <w:rPr>
          <w:rFonts w:cs="Arial"/>
        </w:rPr>
        <w:t>intensyfikacj</w:t>
      </w:r>
      <w:r>
        <w:rPr>
          <w:rFonts w:cs="Arial"/>
        </w:rPr>
        <w:t>a</w:t>
      </w:r>
      <w:r w:rsidRPr="00B83802">
        <w:rPr>
          <w:rFonts w:cs="Arial"/>
        </w:rPr>
        <w:t xml:space="preserve"> żeglugi handlowej </w:t>
      </w:r>
      <w:r>
        <w:rPr>
          <w:rFonts w:cs="Arial"/>
        </w:rPr>
        <w:t xml:space="preserve">powiązana z </w:t>
      </w:r>
      <w:r>
        <w:rPr>
          <w:rFonts w:cs="Arial"/>
          <w:spacing w:val="4"/>
        </w:rPr>
        <w:t xml:space="preserve">systematycznym wzrostem </w:t>
      </w:r>
      <w:r w:rsidRPr="00B83802">
        <w:rPr>
          <w:rFonts w:cs="Arial"/>
        </w:rPr>
        <w:t>przeładunków wykonywanych w polskich portach morskich</w:t>
      </w:r>
      <w:r w:rsidRPr="00B83802">
        <w:rPr>
          <w:rFonts w:cs="Arial"/>
          <w:vertAlign w:val="superscript"/>
        </w:rPr>
        <w:footnoteReference w:id="55"/>
      </w:r>
      <w:r w:rsidRPr="00B83802">
        <w:rPr>
          <w:rFonts w:cs="Arial"/>
        </w:rPr>
        <w:t>,</w:t>
      </w:r>
      <w:r>
        <w:rPr>
          <w:rFonts w:cs="Arial"/>
        </w:rPr>
        <w:t xml:space="preserve"> wpłynęły na </w:t>
      </w:r>
      <w:r w:rsidRPr="00F21196">
        <w:rPr>
          <w:rStyle w:val="Tekstpodstawowy2"/>
          <w:rFonts w:asciiTheme="minorHAnsi" w:hAnsiTheme="minorHAnsi" w:cs="Arial"/>
          <w:sz w:val="22"/>
          <w:szCs w:val="18"/>
          <w:u w:val="none"/>
        </w:rPr>
        <w:t>konieczn</w:t>
      </w:r>
      <w:r>
        <w:rPr>
          <w:rStyle w:val="Tekstpodstawowy2"/>
          <w:rFonts w:asciiTheme="minorHAnsi" w:hAnsiTheme="minorHAnsi" w:cs="Arial"/>
          <w:sz w:val="22"/>
          <w:szCs w:val="18"/>
          <w:u w:val="none"/>
        </w:rPr>
        <w:t>ość</w:t>
      </w:r>
      <w:r w:rsidRPr="00F21196">
        <w:rPr>
          <w:rStyle w:val="Tekstpodstawowy2"/>
          <w:rFonts w:asciiTheme="minorHAnsi" w:hAnsiTheme="minorHAnsi" w:cs="Arial"/>
          <w:sz w:val="22"/>
          <w:szCs w:val="18"/>
          <w:u w:val="none"/>
        </w:rPr>
        <w:t xml:space="preserve"> redefiniowani</w:t>
      </w:r>
      <w:r>
        <w:rPr>
          <w:rStyle w:val="Tekstpodstawowy2"/>
          <w:rFonts w:asciiTheme="minorHAnsi" w:hAnsiTheme="minorHAnsi" w:cs="Arial"/>
          <w:sz w:val="22"/>
          <w:szCs w:val="18"/>
          <w:u w:val="none"/>
        </w:rPr>
        <w:t>a</w:t>
      </w:r>
      <w:r w:rsidRPr="00F21196">
        <w:rPr>
          <w:rStyle w:val="Tekstpodstawowy2"/>
          <w:rFonts w:asciiTheme="minorHAnsi" w:hAnsiTheme="minorHAnsi" w:cs="Arial"/>
          <w:sz w:val="22"/>
          <w:szCs w:val="18"/>
          <w:u w:val="none"/>
        </w:rPr>
        <w:t xml:space="preserve"> sposobów czerpania korzyści z morza oraz zapewnieni</w:t>
      </w:r>
      <w:r>
        <w:rPr>
          <w:rStyle w:val="Tekstpodstawowy2"/>
          <w:rFonts w:asciiTheme="minorHAnsi" w:hAnsiTheme="minorHAnsi" w:cs="Arial"/>
          <w:sz w:val="22"/>
          <w:szCs w:val="18"/>
          <w:u w:val="none"/>
        </w:rPr>
        <w:t>a</w:t>
      </w:r>
      <w:r w:rsidRPr="00F21196">
        <w:rPr>
          <w:rStyle w:val="Tekstpodstawowy2"/>
          <w:rFonts w:asciiTheme="minorHAnsi" w:hAnsiTheme="minorHAnsi" w:cs="Arial"/>
          <w:sz w:val="22"/>
          <w:szCs w:val="18"/>
          <w:u w:val="none"/>
        </w:rPr>
        <w:t xml:space="preserve"> współistnienia, jak również synergii między poszczególnymi użytkownikami polskich obszarów morskich oraz ich otoczeniem. </w:t>
      </w:r>
      <w:r>
        <w:rPr>
          <w:rStyle w:val="Tekstpodstawowy2"/>
          <w:rFonts w:asciiTheme="minorHAnsi" w:hAnsiTheme="minorHAnsi" w:cs="Arial"/>
          <w:sz w:val="22"/>
          <w:szCs w:val="18"/>
          <w:u w:val="none"/>
        </w:rPr>
        <w:t>P</w:t>
      </w:r>
      <w:r w:rsidRPr="00241674">
        <w:rPr>
          <w:rStyle w:val="Tekstpodstawowy2"/>
          <w:rFonts w:asciiTheme="minorHAnsi" w:hAnsiTheme="minorHAnsi" w:cs="Arial"/>
          <w:sz w:val="22"/>
          <w:szCs w:val="18"/>
          <w:u w:val="none"/>
        </w:rPr>
        <w:t>lanowanie przestrzenne obszarów morskich należy traktować jako prawnie zdefiniowany proces godzenia konkurencyjnych potrzeb w zakresie wykorzystania przestrzeni morskiej</w:t>
      </w:r>
      <w:r>
        <w:rPr>
          <w:rStyle w:val="Tekstpodstawowy2"/>
          <w:rFonts w:asciiTheme="minorHAnsi" w:hAnsiTheme="minorHAnsi" w:cs="Arial"/>
          <w:sz w:val="22"/>
          <w:szCs w:val="18"/>
          <w:u w:val="none"/>
        </w:rPr>
        <w:t>. D</w:t>
      </w:r>
      <w:r w:rsidRPr="00F21196">
        <w:rPr>
          <w:rStyle w:val="Tekstpodstawowy2"/>
          <w:rFonts w:asciiTheme="minorHAnsi" w:hAnsiTheme="minorHAnsi" w:cs="Arial"/>
          <w:sz w:val="22"/>
          <w:szCs w:val="18"/>
          <w:u w:val="none"/>
        </w:rPr>
        <w:t xml:space="preserve">zięki udziałowi w </w:t>
      </w:r>
      <w:r>
        <w:rPr>
          <w:rStyle w:val="Tekstpodstawowy2"/>
          <w:rFonts w:asciiTheme="minorHAnsi" w:hAnsiTheme="minorHAnsi" w:cs="Arial"/>
          <w:sz w:val="22"/>
          <w:szCs w:val="18"/>
          <w:u w:val="none"/>
        </w:rPr>
        <w:t>tym procesie</w:t>
      </w:r>
      <w:r w:rsidRPr="00F21196">
        <w:rPr>
          <w:rStyle w:val="Tekstpodstawowy2"/>
          <w:rFonts w:asciiTheme="minorHAnsi" w:hAnsiTheme="minorHAnsi" w:cs="Arial"/>
          <w:sz w:val="22"/>
          <w:szCs w:val="18"/>
          <w:u w:val="none"/>
        </w:rPr>
        <w:t xml:space="preserve"> przedstawicieli różnych środowisk oraz interesów, </w:t>
      </w:r>
      <w:r>
        <w:rPr>
          <w:rStyle w:val="Tekstpodstawowy2"/>
          <w:rFonts w:asciiTheme="minorHAnsi" w:hAnsiTheme="minorHAnsi" w:cs="Arial"/>
          <w:sz w:val="22"/>
          <w:szCs w:val="18"/>
          <w:u w:val="none"/>
        </w:rPr>
        <w:t xml:space="preserve">morskie planowanie przestrzenne </w:t>
      </w:r>
      <w:r w:rsidRPr="00F21196">
        <w:rPr>
          <w:rStyle w:val="Tekstpodstawowy2"/>
          <w:rFonts w:asciiTheme="minorHAnsi" w:hAnsiTheme="minorHAnsi" w:cs="Arial"/>
          <w:sz w:val="22"/>
          <w:szCs w:val="18"/>
          <w:u w:val="none"/>
        </w:rPr>
        <w:t>skłania do współpracy oraz przyczynia się do zintegrowania planowania społecznego i gospodarczego, kształtując rozwój polskich obszarów morskich.</w:t>
      </w:r>
    </w:p>
    <w:p w14:paraId="12F2F2C2" w14:textId="77777777" w:rsidR="00776D77" w:rsidRPr="00F21196" w:rsidRDefault="00776D77" w:rsidP="00776D77">
      <w:pPr>
        <w:autoSpaceDE w:val="0"/>
        <w:autoSpaceDN w:val="0"/>
        <w:adjustRightInd w:val="0"/>
        <w:spacing w:after="120" w:line="276" w:lineRule="auto"/>
        <w:jc w:val="both"/>
        <w:rPr>
          <w:rFonts w:cs="Arial"/>
          <w:spacing w:val="4"/>
          <w:sz w:val="28"/>
        </w:rPr>
      </w:pPr>
    </w:p>
    <w:p w14:paraId="0D57BC05" w14:textId="77777777" w:rsidR="00776D77" w:rsidRPr="00F21196" w:rsidRDefault="00776D77" w:rsidP="00776D77">
      <w:pPr>
        <w:pBdr>
          <w:bottom w:val="single" w:sz="24" w:space="1" w:color="A8D08D" w:themeColor="accent6" w:themeTint="99"/>
        </w:pBdr>
        <w:shd w:val="clear" w:color="auto" w:fill="E2EFD9" w:themeFill="accent6" w:themeFillTint="33"/>
        <w:spacing w:after="0"/>
        <w:rPr>
          <w:rFonts w:eastAsia="Times New Roman" w:cs="Calibri"/>
          <w:b/>
          <w:lang w:eastAsia="pl-PL"/>
        </w:rPr>
      </w:pPr>
      <w:r w:rsidRPr="00F21196">
        <w:rPr>
          <w:rFonts w:eastAsia="Times New Roman" w:cs="Calibri"/>
          <w:b/>
          <w:lang w:eastAsia="pl-PL"/>
        </w:rPr>
        <w:t>II.2. Trendy rozwojowe i oczekiwane efekty</w:t>
      </w:r>
    </w:p>
    <w:p w14:paraId="79D4C07D" w14:textId="77777777" w:rsidR="00776D77" w:rsidRPr="00F21196" w:rsidRDefault="00776D77" w:rsidP="00776D77">
      <w:pPr>
        <w:autoSpaceDE w:val="0"/>
        <w:autoSpaceDN w:val="0"/>
        <w:adjustRightInd w:val="0"/>
        <w:spacing w:after="0" w:line="240" w:lineRule="auto"/>
        <w:rPr>
          <w:rFonts w:cs="Calibri,BoldItalic"/>
          <w:b/>
          <w:bCs/>
          <w:i/>
          <w:iCs/>
          <w:color w:val="1F497D"/>
          <w:sz w:val="16"/>
          <w:szCs w:val="16"/>
        </w:rPr>
      </w:pPr>
    </w:p>
    <w:p w14:paraId="71E96FD9" w14:textId="77777777" w:rsidR="00776D77" w:rsidRPr="00F21196" w:rsidRDefault="00776D77" w:rsidP="00776D77">
      <w:pPr>
        <w:autoSpaceDE w:val="0"/>
        <w:autoSpaceDN w:val="0"/>
        <w:adjustRightInd w:val="0"/>
        <w:spacing w:after="0" w:line="276" w:lineRule="auto"/>
        <w:jc w:val="both"/>
        <w:rPr>
          <w:rFonts w:cs="DINPro"/>
          <w:color w:val="000000"/>
        </w:rPr>
      </w:pPr>
      <w:r w:rsidRPr="00F21196">
        <w:rPr>
          <w:rFonts w:cs="Calibri,BoldItalic"/>
          <w:bCs/>
          <w:iCs/>
        </w:rPr>
        <w:t xml:space="preserve">Zmiana </w:t>
      </w:r>
      <w:r w:rsidRPr="00F21196">
        <w:rPr>
          <w:rFonts w:cs="DINPro"/>
        </w:rPr>
        <w:t>w sposobie funkcjonowania kluczowych sfer aktywności instytucji publicznych n</w:t>
      </w:r>
      <w:r w:rsidRPr="00F21196">
        <w:rPr>
          <w:rFonts w:cs="Calibri,BoldItalic"/>
          <w:bCs/>
          <w:iCs/>
        </w:rPr>
        <w:t>astąpi</w:t>
      </w:r>
      <w:r w:rsidRPr="00F21196">
        <w:rPr>
          <w:rFonts w:cs="DINPro"/>
        </w:rPr>
        <w:t xml:space="preserve"> dzięki poprawie jakości świadczenia usług administracyjnych</w:t>
      </w:r>
      <w:r w:rsidRPr="00F21196">
        <w:t xml:space="preserve"> </w:t>
      </w:r>
      <w:r>
        <w:t>poprzez</w:t>
      </w:r>
      <w:r w:rsidRPr="00F21196">
        <w:t xml:space="preserve"> </w:t>
      </w:r>
      <w:r w:rsidRPr="00473D8A">
        <w:rPr>
          <w:iCs/>
        </w:rPr>
        <w:t>wyrównani</w:t>
      </w:r>
      <w:r>
        <w:rPr>
          <w:iCs/>
        </w:rPr>
        <w:t>e</w:t>
      </w:r>
      <w:r w:rsidRPr="00473D8A">
        <w:rPr>
          <w:iCs/>
        </w:rPr>
        <w:t xml:space="preserve"> dysproporcji w wynagrodzeniach pracowników administracji rządowej na równorzędnych stanowiskach,</w:t>
      </w:r>
      <w:r w:rsidRPr="00473D8A">
        <w:t xml:space="preserve"> wykorzystani</w:t>
      </w:r>
      <w:r>
        <w:t>e</w:t>
      </w:r>
      <w:r w:rsidRPr="00473D8A">
        <w:t xml:space="preserve"> </w:t>
      </w:r>
      <w:r w:rsidRPr="00F21196">
        <w:t>danych dotyczących jakości, ilości, dostępności i efektywności kosztowej świadczonych usług,</w:t>
      </w:r>
      <w:r w:rsidRPr="00F21196">
        <w:rPr>
          <w:rFonts w:cs="DINPro"/>
        </w:rPr>
        <w:t xml:space="preserve"> zorientowani</w:t>
      </w:r>
      <w:r>
        <w:rPr>
          <w:rFonts w:cs="DINPro"/>
        </w:rPr>
        <w:t>e</w:t>
      </w:r>
      <w:r w:rsidRPr="00F21196">
        <w:rPr>
          <w:rFonts w:cs="DINPro"/>
        </w:rPr>
        <w:t xml:space="preserve"> na rezultaty, efektywne zarządzani</w:t>
      </w:r>
      <w:r>
        <w:rPr>
          <w:rFonts w:cs="DINPro"/>
        </w:rPr>
        <w:t>e</w:t>
      </w:r>
      <w:r w:rsidRPr="00F21196">
        <w:rPr>
          <w:rFonts w:cs="DINPro"/>
        </w:rPr>
        <w:t xml:space="preserve"> zasobami ludzkimi oraz zarządzani</w:t>
      </w:r>
      <w:r>
        <w:rPr>
          <w:rFonts w:cs="DINPro"/>
        </w:rPr>
        <w:t>e</w:t>
      </w:r>
      <w:r w:rsidRPr="00F21196">
        <w:rPr>
          <w:rFonts w:cs="DINPro"/>
        </w:rPr>
        <w:t xml:space="preserve"> przez cele. W</w:t>
      </w:r>
      <w:r w:rsidRPr="00F21196">
        <w:rPr>
          <w:rFonts w:eastAsia="Times New Roman" w:cs="Calibri"/>
          <w:lang w:eastAsia="pl-PL"/>
        </w:rPr>
        <w:t xml:space="preserve">drożone </w:t>
      </w:r>
      <w:r w:rsidRPr="00F21196">
        <w:rPr>
          <w:rFonts w:cs="DINPro"/>
          <w:color w:val="000000"/>
        </w:rPr>
        <w:t>kryteria oceny skuteczności i efektywności instytucji publicznych będą stanowić podstawę do korygowania sposobu ich funkcjonowania.</w:t>
      </w:r>
    </w:p>
    <w:p w14:paraId="2374BC2A" w14:textId="77777777" w:rsidR="00776D77" w:rsidRPr="00F21196" w:rsidRDefault="00776D77" w:rsidP="00776D77">
      <w:pPr>
        <w:autoSpaceDE w:val="0"/>
        <w:autoSpaceDN w:val="0"/>
        <w:adjustRightInd w:val="0"/>
        <w:spacing w:before="120" w:after="120" w:line="276" w:lineRule="auto"/>
        <w:jc w:val="both"/>
        <w:rPr>
          <w:rFonts w:cs="Calibri"/>
          <w:color w:val="000000"/>
        </w:rPr>
      </w:pPr>
      <w:r w:rsidRPr="00F21196">
        <w:rPr>
          <w:rFonts w:cs="DINPro"/>
        </w:rPr>
        <w:t xml:space="preserve">Wprowadzony zostanie </w:t>
      </w:r>
      <w:r w:rsidRPr="00F21196">
        <w:rPr>
          <w:rFonts w:eastAsia="Times New Roman" w:cs="Calibri"/>
          <w:lang w:eastAsia="pl-PL"/>
        </w:rPr>
        <w:t>system monitoringu usług publicznych, nastąpi zwiększenie roli dialogu z interesariuszami oraz budowa kultury administracyjnej zorientowanej na osiąganie celów strategicznych.</w:t>
      </w:r>
    </w:p>
    <w:p w14:paraId="50635320" w14:textId="77777777" w:rsidR="00776D77" w:rsidRPr="00F21196" w:rsidRDefault="00776D77" w:rsidP="00776D77">
      <w:pPr>
        <w:autoSpaceDE w:val="0"/>
        <w:autoSpaceDN w:val="0"/>
        <w:adjustRightInd w:val="0"/>
        <w:spacing w:after="120" w:line="276" w:lineRule="auto"/>
        <w:jc w:val="both"/>
        <w:rPr>
          <w:rFonts w:cs="DINPro"/>
        </w:rPr>
      </w:pPr>
      <w:r w:rsidRPr="00F21196">
        <w:rPr>
          <w:rFonts w:cs="Calibri"/>
          <w:color w:val="000000"/>
        </w:rPr>
        <w:t>Ponadto k</w:t>
      </w:r>
      <w:r w:rsidRPr="00F21196">
        <w:rPr>
          <w:rFonts w:cs="Arial"/>
          <w:bCs/>
          <w:iCs/>
        </w:rPr>
        <w:t xml:space="preserve">onsekwentnie będzie wdrażana polityka rozwoju zgodna z zasadami trwałego, zrównoważonego rozwoju i uwzględniająca dynamikę zmian geopolitycznych, społecznych i ekonomicznych. </w:t>
      </w:r>
      <w:r w:rsidRPr="00F21196">
        <w:rPr>
          <w:rFonts w:cs="Calibri"/>
        </w:rPr>
        <w:t xml:space="preserve">Wprowadzone zostaną rozwiązania umożliwiające </w:t>
      </w:r>
      <w:r w:rsidRPr="00F21196">
        <w:t xml:space="preserve">lepsze powiązanie planowania strategicznego i przestrzennego. </w:t>
      </w:r>
      <w:r>
        <w:t>System planowania i zagospodarowania przestrzennego zostanie zreformowany, co umożliwi zapewnienie zrównoważonego rozwoju kraju przy zachowaniu ładu przestrzennego i uwzględnieniu interesu publicznego.</w:t>
      </w:r>
      <w:r w:rsidRPr="00F21196">
        <w:t xml:space="preserve"> </w:t>
      </w:r>
      <w:r w:rsidRPr="00F21196">
        <w:rPr>
          <w:rFonts w:eastAsia="TimesNewRoman" w:cs="Arial"/>
          <w:lang w:bidi="pa-IN"/>
        </w:rPr>
        <w:t>N</w:t>
      </w:r>
      <w:r w:rsidRPr="00F21196">
        <w:rPr>
          <w:rFonts w:cs="Arial"/>
          <w:lang w:bidi="pa-IN"/>
        </w:rPr>
        <w:t xml:space="preserve">astąpi </w:t>
      </w:r>
      <w:r w:rsidRPr="00F21196">
        <w:t>zwiększenie efektywności procesu planowania i interwencji publicznych.</w:t>
      </w:r>
      <w:r w:rsidRPr="00F21196">
        <w:rPr>
          <w:rFonts w:eastAsia="TimesNewRoman" w:cs="Arial"/>
          <w:lang w:bidi="pa-IN"/>
        </w:rPr>
        <w:t xml:space="preserve"> </w:t>
      </w:r>
      <w:r w:rsidRPr="00F21196">
        <w:rPr>
          <w:rFonts w:cs="DINPro"/>
        </w:rPr>
        <w:t>Planowane jest stopniowe przeorientowywanie całej polityki rozwoju, w tym tej wspieranej ze źródeł Unii Europejskiej, na nowy model działań prorozwojowych zwiększających konkurencyjność gospodarki.</w:t>
      </w:r>
    </w:p>
    <w:p w14:paraId="0D78D17D" w14:textId="77777777" w:rsidR="00776D77" w:rsidRPr="00FA38B6" w:rsidRDefault="00776D77" w:rsidP="00776D77">
      <w:pPr>
        <w:autoSpaceDE w:val="0"/>
        <w:autoSpaceDN w:val="0"/>
        <w:adjustRightInd w:val="0"/>
        <w:spacing w:before="120" w:after="120" w:line="276" w:lineRule="auto"/>
        <w:jc w:val="both"/>
      </w:pPr>
      <w:r w:rsidRPr="00F21196">
        <w:rPr>
          <w:rFonts w:cs="Calibri,BoldItalic"/>
          <w:bCs/>
          <w:iCs/>
        </w:rPr>
        <w:t xml:space="preserve">Zmiany wprowadzone w wymiarze sprawiedliwości i prokuraturze przyczynią się do poprawy efektywności działania sądownictwa i prokuratury oraz wzrostu zaufania obywateli. </w:t>
      </w:r>
      <w:r w:rsidRPr="000A4CC4">
        <w:rPr>
          <w:rFonts w:eastAsia="Times New Roman" w:cs="Calibri"/>
          <w:lang w:eastAsia="pl-PL"/>
        </w:rPr>
        <w:t>Usprawnienie sądownictwa i prokuratury</w:t>
      </w:r>
      <w:r w:rsidRPr="00F21196">
        <w:rPr>
          <w:rFonts w:eastAsia="Times New Roman" w:cs="Calibri"/>
          <w:lang w:eastAsia="pl-PL"/>
        </w:rPr>
        <w:t xml:space="preserve"> nastąpi poprzez systematyczne wprowadzanie nowoczesnych metod zarządzania sądami i prokuraturami, zmianę mechanizmu weryfikacji skuteczności i terminowości postępowań,</w:t>
      </w:r>
      <w:r w:rsidRPr="00F21196">
        <w:rPr>
          <w:rFonts w:eastAsia="Times New Roman" w:cs="Calibri"/>
          <w:b/>
          <w:lang w:eastAsia="pl-PL"/>
        </w:rPr>
        <w:t xml:space="preserve"> </w:t>
      </w:r>
      <w:r w:rsidRPr="00F21196">
        <w:rPr>
          <w:rFonts w:eastAsia="Times New Roman" w:cs="Calibri"/>
          <w:lang w:eastAsia="pl-PL"/>
        </w:rPr>
        <w:t xml:space="preserve">standaryzację obsługi interesantów, </w:t>
      </w:r>
      <w:r>
        <w:rPr>
          <w:rFonts w:eastAsia="Times New Roman" w:cs="Calibri"/>
          <w:lang w:eastAsia="pl-PL"/>
        </w:rPr>
        <w:t xml:space="preserve">zwiększenie dostępności wymiaru sprawiedliwości dla osób niepełnosprawnych i osób starszych, </w:t>
      </w:r>
      <w:r w:rsidRPr="00F21196">
        <w:rPr>
          <w:rFonts w:eastAsia="Times New Roman" w:cs="Calibri"/>
          <w:lang w:eastAsia="pl-PL"/>
        </w:rPr>
        <w:t>a także poprzez rozszerzenie możliwości stosowania alternatywnych (pozasądowych) metod rozwiązywania sporów. Wzrośnie poziom inf</w:t>
      </w:r>
      <w:r>
        <w:rPr>
          <w:rFonts w:eastAsia="Times New Roman" w:cs="Calibri"/>
          <w:lang w:eastAsia="pl-PL"/>
        </w:rPr>
        <w:t xml:space="preserve">ormatyzacji sądów i prokuratur </w:t>
      </w:r>
      <w:r w:rsidRPr="00F21196">
        <w:rPr>
          <w:rFonts w:eastAsia="Times New Roman" w:cs="Calibri"/>
          <w:lang w:eastAsia="pl-PL"/>
        </w:rPr>
        <w:t xml:space="preserve">oraz wdrożone zostaną zharmonizowane rozwiązania ustawowe i organizacyjne poprawiające funkcjonowanie wymiaru sprawiedliwości. </w:t>
      </w:r>
      <w:r>
        <w:rPr>
          <w:rFonts w:eastAsia="Times New Roman" w:cs="Calibri"/>
          <w:lang w:eastAsia="pl-PL"/>
        </w:rPr>
        <w:t xml:space="preserve">Ponadto zakłada się </w:t>
      </w:r>
      <w:r w:rsidRPr="00FA38B6">
        <w:t>wzrost etatyzacji w grupach zawodowych zaangażowanych w rozpoznawanie nowych kategorii spraw w sądach powszechnych (sędziowie, asesorzy, referendarze sądowi, asystenci, urzędnicy).</w:t>
      </w:r>
    </w:p>
    <w:p w14:paraId="6F095A3C" w14:textId="77777777" w:rsidR="00776D77" w:rsidRPr="00F21196" w:rsidRDefault="00776D77" w:rsidP="00776D77">
      <w:pPr>
        <w:spacing w:after="0" w:line="276" w:lineRule="auto"/>
        <w:jc w:val="both"/>
      </w:pPr>
      <w:r>
        <w:t>Ponadto</w:t>
      </w:r>
      <w:r w:rsidRPr="00F21196">
        <w:t xml:space="preserve"> w perspektywie do 2030 r. </w:t>
      </w:r>
      <w:r>
        <w:t>oczekuje się osiągnięcia</w:t>
      </w:r>
      <w:r w:rsidRPr="00F21196">
        <w:t xml:space="preserve"> </w:t>
      </w:r>
      <w:r>
        <w:t>rezultatów</w:t>
      </w:r>
      <w:r w:rsidRPr="00F21196">
        <w:t>, które przyczynią się do:</w:t>
      </w:r>
    </w:p>
    <w:p w14:paraId="54D7A7FB" w14:textId="77777777" w:rsidR="00776D77" w:rsidRPr="002378F4" w:rsidRDefault="00776D77" w:rsidP="00723B3F">
      <w:pPr>
        <w:pStyle w:val="Akapitzlist"/>
        <w:numPr>
          <w:ilvl w:val="0"/>
          <w:numId w:val="43"/>
        </w:numPr>
        <w:spacing w:afterLines="60" w:after="144" w:line="276" w:lineRule="auto"/>
        <w:ind w:left="426"/>
        <w:jc w:val="both"/>
        <w:rPr>
          <w:rFonts w:asciiTheme="minorHAnsi" w:eastAsia="Times New Roman" w:hAnsiTheme="minorHAnsi" w:cs="Calibri"/>
          <w:sz w:val="22"/>
          <w:szCs w:val="22"/>
        </w:rPr>
      </w:pPr>
      <w:r w:rsidRPr="002378F4">
        <w:rPr>
          <w:rFonts w:asciiTheme="minorHAnsi" w:hAnsiTheme="minorHAnsi"/>
          <w:sz w:val="22"/>
          <w:szCs w:val="22"/>
        </w:rPr>
        <w:t xml:space="preserve">zwiększenia skuteczności i spójności planowania przestrzennego i realizacji polityki rozwoju, w tym </w:t>
      </w:r>
      <w:r w:rsidRPr="002378F4">
        <w:rPr>
          <w:rFonts w:asciiTheme="minorHAnsi" w:hAnsiTheme="minorHAnsi" w:cs="Arial"/>
          <w:sz w:val="22"/>
          <w:szCs w:val="22"/>
        </w:rPr>
        <w:t xml:space="preserve">zmniejszenia barier </w:t>
      </w:r>
      <w:r w:rsidRPr="002378F4">
        <w:rPr>
          <w:rFonts w:asciiTheme="minorHAnsi" w:hAnsiTheme="minorHAnsi" w:cstheme="minorHAnsi"/>
          <w:sz w:val="22"/>
          <w:szCs w:val="22"/>
        </w:rPr>
        <w:t>wywołujących bezpośrednie ograniczenia w rozwoju gospodarczym kraju oraz uniemożliwiających efektywne planowanie rozwoju,</w:t>
      </w:r>
      <w:r w:rsidRPr="002378F4">
        <w:rPr>
          <w:rFonts w:asciiTheme="minorHAnsi" w:eastAsia="Times New Roman" w:hAnsiTheme="minorHAnsi" w:cs="Calibri"/>
          <w:sz w:val="22"/>
          <w:szCs w:val="22"/>
        </w:rPr>
        <w:t xml:space="preserve"> </w:t>
      </w:r>
    </w:p>
    <w:p w14:paraId="70542F82" w14:textId="77777777" w:rsidR="00776D77" w:rsidRPr="002378F4" w:rsidRDefault="00776D77" w:rsidP="00723B3F">
      <w:pPr>
        <w:pStyle w:val="Akapitzlist"/>
        <w:numPr>
          <w:ilvl w:val="0"/>
          <w:numId w:val="43"/>
        </w:numPr>
        <w:ind w:left="426"/>
        <w:jc w:val="both"/>
        <w:rPr>
          <w:rFonts w:asciiTheme="minorHAnsi" w:hAnsiTheme="minorHAnsi" w:cs="Arial"/>
          <w:sz w:val="22"/>
          <w:szCs w:val="22"/>
        </w:rPr>
      </w:pPr>
      <w:r w:rsidRPr="002378F4">
        <w:rPr>
          <w:rFonts w:asciiTheme="minorHAnsi" w:hAnsiTheme="minorHAnsi" w:cs="Arial"/>
          <w:color w:val="000000"/>
          <w:sz w:val="22"/>
          <w:szCs w:val="22"/>
        </w:rPr>
        <w:t xml:space="preserve">przyspieszenia procesu inwestycyjno-budowlanego i zmniejszenia obciążeń administracyjnych dla terenów objętych planami miejscowymi, </w:t>
      </w:r>
    </w:p>
    <w:p w14:paraId="68AF7A92" w14:textId="77777777" w:rsidR="00776D77" w:rsidRPr="002378F4" w:rsidRDefault="00776D77" w:rsidP="00723B3F">
      <w:pPr>
        <w:pStyle w:val="Akapitzlist"/>
        <w:numPr>
          <w:ilvl w:val="0"/>
          <w:numId w:val="43"/>
        </w:numPr>
        <w:spacing w:after="120" w:line="276" w:lineRule="auto"/>
        <w:ind w:left="426"/>
        <w:jc w:val="both"/>
        <w:rPr>
          <w:rFonts w:asciiTheme="minorHAnsi" w:hAnsiTheme="minorHAnsi" w:cs="Arial"/>
          <w:sz w:val="22"/>
          <w:szCs w:val="22"/>
        </w:rPr>
      </w:pPr>
      <w:r w:rsidRPr="002378F4">
        <w:rPr>
          <w:rFonts w:asciiTheme="minorHAnsi" w:hAnsiTheme="minorHAnsi" w:cs="Calibri"/>
          <w:bCs/>
          <w:sz w:val="22"/>
          <w:szCs w:val="22"/>
        </w:rPr>
        <w:t>wzmocnienie sektora geoinformacyjnego,</w:t>
      </w:r>
    </w:p>
    <w:p w14:paraId="2EFE260E" w14:textId="77777777" w:rsidR="00776D77" w:rsidRDefault="00776D77" w:rsidP="00723B3F">
      <w:pPr>
        <w:pStyle w:val="Akapitzlist"/>
        <w:numPr>
          <w:ilvl w:val="0"/>
          <w:numId w:val="43"/>
        </w:numPr>
        <w:tabs>
          <w:tab w:val="left" w:pos="6061"/>
        </w:tabs>
        <w:spacing w:afterLines="60" w:after="144" w:line="276" w:lineRule="auto"/>
        <w:ind w:left="426"/>
        <w:jc w:val="both"/>
        <w:rPr>
          <w:rFonts w:asciiTheme="minorHAnsi" w:hAnsiTheme="minorHAnsi" w:cs="Arial"/>
          <w:spacing w:val="4"/>
          <w:sz w:val="22"/>
          <w:szCs w:val="22"/>
        </w:rPr>
      </w:pPr>
      <w:r w:rsidRPr="002378F4">
        <w:rPr>
          <w:rFonts w:asciiTheme="minorHAnsi" w:hAnsiTheme="minorHAnsi" w:cs="Arial"/>
          <w:spacing w:val="4"/>
          <w:sz w:val="22"/>
          <w:szCs w:val="22"/>
        </w:rPr>
        <w:t>podniesienia bezpieczeństwa morskiego, stworzenie sprawnego systemu zarządzania morskiego, wzmocnienie pozycji polskich portów morskich i zwiększenie konkurencyjności transportu morskiego, zwiększenie udziału sektora morskiego w PKB.</w:t>
      </w:r>
    </w:p>
    <w:p w14:paraId="287085E2" w14:textId="77777777" w:rsidR="009A0FAA" w:rsidRPr="002378F4" w:rsidRDefault="009A0FAA" w:rsidP="009A0FAA">
      <w:pPr>
        <w:pStyle w:val="Akapitzlist"/>
        <w:tabs>
          <w:tab w:val="left" w:pos="6061"/>
        </w:tabs>
        <w:spacing w:afterLines="60" w:after="144" w:line="276" w:lineRule="auto"/>
        <w:ind w:left="426"/>
        <w:jc w:val="both"/>
        <w:rPr>
          <w:rFonts w:asciiTheme="minorHAnsi" w:hAnsiTheme="minorHAnsi" w:cs="Arial"/>
          <w:spacing w:val="4"/>
          <w:sz w:val="22"/>
          <w:szCs w:val="22"/>
        </w:rPr>
      </w:pPr>
    </w:p>
    <w:p w14:paraId="0818C1CD" w14:textId="77777777" w:rsidR="00776D77" w:rsidRPr="00F21196" w:rsidRDefault="00776D77" w:rsidP="00776D77">
      <w:pPr>
        <w:pBdr>
          <w:bottom w:val="single" w:sz="24" w:space="1" w:color="A8D08D" w:themeColor="accent6" w:themeTint="99"/>
        </w:pBdr>
        <w:shd w:val="clear" w:color="auto" w:fill="E2EFD9" w:themeFill="accent6" w:themeFillTint="33"/>
        <w:spacing w:after="0"/>
        <w:rPr>
          <w:rFonts w:eastAsia="Times New Roman" w:cs="Calibri"/>
          <w:b/>
          <w:lang w:eastAsia="pl-PL"/>
        </w:rPr>
      </w:pPr>
      <w:r w:rsidRPr="00F21196">
        <w:rPr>
          <w:rFonts w:eastAsia="Times New Roman" w:cs="Calibri"/>
          <w:b/>
          <w:lang w:eastAsia="pl-PL"/>
        </w:rPr>
        <w:t>II.3. Wskaźniki monitorowania</w:t>
      </w:r>
    </w:p>
    <w:p w14:paraId="38CF8820" w14:textId="77777777" w:rsidR="00776D77" w:rsidRPr="00F21196" w:rsidRDefault="00776D77" w:rsidP="00776D77">
      <w:pPr>
        <w:spacing w:after="0"/>
        <w:rPr>
          <w:rFonts w:eastAsia="Times New Roman" w:cs="Calibri"/>
          <w:b/>
          <w:lang w:eastAsia="pl-PL"/>
        </w:rPr>
      </w:pPr>
    </w:p>
    <w:tbl>
      <w:tblPr>
        <w:tblStyle w:val="Tabela-Siatka"/>
        <w:tblW w:w="0" w:type="auto"/>
        <w:tblBorders>
          <w:top w:val="single" w:sz="8" w:space="0" w:color="A8D08D" w:themeColor="accent6" w:themeTint="99"/>
          <w:left w:val="single" w:sz="8" w:space="0" w:color="A8D08D" w:themeColor="accent6" w:themeTint="99"/>
          <w:bottom w:val="single" w:sz="8" w:space="0" w:color="A8D08D" w:themeColor="accent6" w:themeTint="99"/>
          <w:right w:val="single" w:sz="8" w:space="0" w:color="A8D08D" w:themeColor="accent6" w:themeTint="99"/>
          <w:insideH w:val="single" w:sz="8" w:space="0" w:color="A8D08D" w:themeColor="accent6" w:themeTint="99"/>
          <w:insideV w:val="single" w:sz="8" w:space="0" w:color="A8D08D" w:themeColor="accent6" w:themeTint="99"/>
        </w:tblBorders>
        <w:tblLook w:val="04A0" w:firstRow="1" w:lastRow="0" w:firstColumn="1" w:lastColumn="0" w:noHBand="0" w:noVBand="1"/>
      </w:tblPr>
      <w:tblGrid>
        <w:gridCol w:w="978"/>
        <w:gridCol w:w="8641"/>
      </w:tblGrid>
      <w:tr w:rsidR="00776D77" w:rsidRPr="00F21196" w14:paraId="353A4E1E" w14:textId="77777777" w:rsidTr="000440D7">
        <w:tc>
          <w:tcPr>
            <w:tcW w:w="978" w:type="dxa"/>
            <w:shd w:val="clear" w:color="auto" w:fill="E2EFD9" w:themeFill="accent6" w:themeFillTint="33"/>
          </w:tcPr>
          <w:p w14:paraId="0CA60560" w14:textId="77777777" w:rsidR="00776D77" w:rsidRPr="00F21196" w:rsidRDefault="00776D77" w:rsidP="000440D7">
            <w:pPr>
              <w:jc w:val="center"/>
              <w:rPr>
                <w:rFonts w:eastAsia="Times New Roman" w:cs="Calibri"/>
                <w:b/>
                <w:lang w:eastAsia="pl-PL"/>
              </w:rPr>
            </w:pPr>
            <w:r w:rsidRPr="00F21196">
              <w:rPr>
                <w:rFonts w:eastAsia="Times New Roman" w:cs="Calibri"/>
                <w:b/>
                <w:lang w:eastAsia="pl-PL"/>
              </w:rPr>
              <w:t>Lp.</w:t>
            </w:r>
          </w:p>
        </w:tc>
        <w:tc>
          <w:tcPr>
            <w:tcW w:w="8641" w:type="dxa"/>
            <w:shd w:val="clear" w:color="auto" w:fill="E2EFD9" w:themeFill="accent6" w:themeFillTint="33"/>
          </w:tcPr>
          <w:p w14:paraId="5828EDDE" w14:textId="77777777" w:rsidR="00776D77" w:rsidRPr="00F21196" w:rsidRDefault="00776D77" w:rsidP="000440D7">
            <w:pPr>
              <w:rPr>
                <w:rFonts w:eastAsia="Times New Roman" w:cs="Calibri"/>
                <w:b/>
                <w:lang w:eastAsia="pl-PL"/>
              </w:rPr>
            </w:pPr>
            <w:r w:rsidRPr="00F21196">
              <w:rPr>
                <w:rFonts w:cs="Calibri"/>
                <w:b/>
                <w:kern w:val="24"/>
                <w:lang w:eastAsia="pl-PL"/>
              </w:rPr>
              <w:t>Wskaźnik monitorowania</w:t>
            </w:r>
          </w:p>
        </w:tc>
      </w:tr>
      <w:tr w:rsidR="00776D77" w:rsidRPr="00F21196" w14:paraId="57B79647" w14:textId="77777777" w:rsidTr="000440D7">
        <w:tc>
          <w:tcPr>
            <w:tcW w:w="978" w:type="dxa"/>
            <w:shd w:val="clear" w:color="auto" w:fill="E2EFD9" w:themeFill="accent6" w:themeFillTint="33"/>
          </w:tcPr>
          <w:p w14:paraId="18D3A107" w14:textId="77777777" w:rsidR="00776D77" w:rsidRPr="00F21196" w:rsidRDefault="00776D77" w:rsidP="000440D7">
            <w:pPr>
              <w:jc w:val="center"/>
              <w:rPr>
                <w:rFonts w:eastAsia="Times New Roman" w:cs="Calibri"/>
                <w:b/>
                <w:lang w:eastAsia="pl-PL"/>
              </w:rPr>
            </w:pPr>
            <w:r w:rsidRPr="00F21196">
              <w:rPr>
                <w:rFonts w:eastAsia="Times New Roman" w:cs="Calibri"/>
                <w:b/>
                <w:lang w:eastAsia="pl-PL"/>
              </w:rPr>
              <w:t>1</w:t>
            </w:r>
          </w:p>
        </w:tc>
        <w:tc>
          <w:tcPr>
            <w:tcW w:w="8641" w:type="dxa"/>
            <w:shd w:val="clear" w:color="auto" w:fill="F2F2F2" w:themeFill="background1" w:themeFillShade="F2"/>
            <w:vAlign w:val="center"/>
          </w:tcPr>
          <w:p w14:paraId="09D55201" w14:textId="77777777" w:rsidR="00776D77" w:rsidRPr="00F21196" w:rsidRDefault="00776D77" w:rsidP="000440D7">
            <w:pPr>
              <w:spacing w:before="60" w:after="60"/>
              <w:rPr>
                <w:rFonts w:eastAsia="Times New Roman" w:cs="Calibri"/>
                <w:b/>
                <w:lang w:eastAsia="pl-PL"/>
              </w:rPr>
            </w:pPr>
            <w:r w:rsidRPr="00F21196">
              <w:rPr>
                <w:rFonts w:cs="Calibri"/>
                <w:kern w:val="24"/>
              </w:rPr>
              <w:t>Odsetek spraw rozpatrywanych przez sądy I instancji, w których czas trwania postępowania przekracza 3 lata w głównych kategoriach spraw</w:t>
            </w:r>
          </w:p>
        </w:tc>
      </w:tr>
      <w:tr w:rsidR="00776D77" w:rsidRPr="00F21196" w14:paraId="4E03B219" w14:textId="77777777" w:rsidTr="000440D7">
        <w:tc>
          <w:tcPr>
            <w:tcW w:w="978" w:type="dxa"/>
            <w:shd w:val="clear" w:color="auto" w:fill="E2EFD9" w:themeFill="accent6" w:themeFillTint="33"/>
          </w:tcPr>
          <w:p w14:paraId="390CF830" w14:textId="77777777" w:rsidR="00776D77" w:rsidRPr="00F21196" w:rsidRDefault="00776D77" w:rsidP="000440D7">
            <w:pPr>
              <w:jc w:val="center"/>
              <w:rPr>
                <w:rFonts w:eastAsia="Times New Roman" w:cs="Calibri"/>
                <w:b/>
                <w:lang w:eastAsia="pl-PL"/>
              </w:rPr>
            </w:pPr>
            <w:r w:rsidRPr="00F21196">
              <w:rPr>
                <w:rFonts w:eastAsia="Times New Roman" w:cs="Calibri"/>
                <w:b/>
                <w:lang w:eastAsia="pl-PL"/>
              </w:rPr>
              <w:t>2</w:t>
            </w:r>
          </w:p>
        </w:tc>
        <w:tc>
          <w:tcPr>
            <w:tcW w:w="8641" w:type="dxa"/>
            <w:shd w:val="clear" w:color="auto" w:fill="F2F2F2" w:themeFill="background1" w:themeFillShade="F2"/>
            <w:vAlign w:val="center"/>
          </w:tcPr>
          <w:p w14:paraId="419A0D79" w14:textId="77777777" w:rsidR="00776D77" w:rsidRPr="00F21196" w:rsidRDefault="00776D77" w:rsidP="000440D7">
            <w:pPr>
              <w:spacing w:before="60" w:after="60"/>
              <w:rPr>
                <w:rFonts w:eastAsia="Times New Roman" w:cs="Calibri"/>
                <w:b/>
                <w:lang w:eastAsia="pl-PL"/>
              </w:rPr>
            </w:pPr>
            <w:r w:rsidRPr="00F21196">
              <w:t>Wskaźnik spraw skierowanych do mediacji w sądach powszechnych</w:t>
            </w:r>
          </w:p>
        </w:tc>
      </w:tr>
      <w:tr w:rsidR="00776D77" w:rsidRPr="00F21196" w14:paraId="5EE7DC5C" w14:textId="77777777" w:rsidTr="000440D7">
        <w:tc>
          <w:tcPr>
            <w:tcW w:w="978" w:type="dxa"/>
            <w:shd w:val="clear" w:color="auto" w:fill="E2EFD9" w:themeFill="accent6" w:themeFillTint="33"/>
          </w:tcPr>
          <w:p w14:paraId="7ED44C6F" w14:textId="77777777" w:rsidR="00776D77" w:rsidRPr="00F21196" w:rsidRDefault="00776D77" w:rsidP="000440D7">
            <w:pPr>
              <w:jc w:val="center"/>
              <w:rPr>
                <w:rFonts w:eastAsia="Times New Roman" w:cs="Calibri"/>
                <w:b/>
                <w:lang w:eastAsia="pl-PL"/>
              </w:rPr>
            </w:pPr>
            <w:r w:rsidRPr="00F21196">
              <w:rPr>
                <w:rFonts w:eastAsia="Times New Roman" w:cs="Calibri"/>
                <w:b/>
                <w:lang w:eastAsia="pl-PL"/>
              </w:rPr>
              <w:t>3</w:t>
            </w:r>
          </w:p>
        </w:tc>
        <w:tc>
          <w:tcPr>
            <w:tcW w:w="8641" w:type="dxa"/>
            <w:shd w:val="clear" w:color="auto" w:fill="F2F2F2" w:themeFill="background1" w:themeFillShade="F2"/>
          </w:tcPr>
          <w:p w14:paraId="318538FC" w14:textId="77777777" w:rsidR="00776D77" w:rsidRPr="00F21196" w:rsidRDefault="00776D77" w:rsidP="000440D7">
            <w:pPr>
              <w:spacing w:before="60" w:after="60"/>
              <w:rPr>
                <w:rFonts w:eastAsia="Times New Roman" w:cs="Calibri"/>
                <w:b/>
                <w:lang w:eastAsia="pl-PL"/>
              </w:rPr>
            </w:pPr>
            <w:r w:rsidRPr="00F21196">
              <w:rPr>
                <w:rFonts w:cs="Tahoma"/>
              </w:rPr>
              <w:t>Odsetek osób deklarujących zaufanie do sądów</w:t>
            </w:r>
          </w:p>
        </w:tc>
      </w:tr>
      <w:tr w:rsidR="00776D77" w:rsidRPr="00F21196" w14:paraId="7F72BAE2" w14:textId="77777777" w:rsidTr="000440D7">
        <w:tc>
          <w:tcPr>
            <w:tcW w:w="978" w:type="dxa"/>
            <w:shd w:val="clear" w:color="auto" w:fill="E2EFD9" w:themeFill="accent6" w:themeFillTint="33"/>
          </w:tcPr>
          <w:p w14:paraId="7FFD93D4" w14:textId="77777777" w:rsidR="00776D77" w:rsidRPr="00F21196" w:rsidRDefault="00776D77" w:rsidP="000440D7">
            <w:pPr>
              <w:jc w:val="center"/>
              <w:rPr>
                <w:rFonts w:eastAsia="Times New Roman" w:cs="Calibri"/>
                <w:b/>
                <w:lang w:eastAsia="pl-PL"/>
              </w:rPr>
            </w:pPr>
            <w:r w:rsidRPr="00F21196">
              <w:rPr>
                <w:rFonts w:eastAsia="Times New Roman" w:cs="Calibri"/>
                <w:b/>
                <w:lang w:eastAsia="pl-PL"/>
              </w:rPr>
              <w:t>4</w:t>
            </w:r>
          </w:p>
        </w:tc>
        <w:tc>
          <w:tcPr>
            <w:tcW w:w="8641" w:type="dxa"/>
            <w:shd w:val="clear" w:color="auto" w:fill="F2F2F2" w:themeFill="background1" w:themeFillShade="F2"/>
            <w:vAlign w:val="center"/>
          </w:tcPr>
          <w:p w14:paraId="3E1D2720" w14:textId="77777777" w:rsidR="00776D77" w:rsidRPr="00F21196" w:rsidRDefault="00776D77" w:rsidP="000440D7">
            <w:pPr>
              <w:spacing w:before="60" w:after="60"/>
            </w:pPr>
            <w:r w:rsidRPr="00F21196">
              <w:rPr>
                <w:rFonts w:cs="Times New Roman"/>
              </w:rPr>
              <w:t>Pozostałości spraw karnych na następny okres sprawozdawczy w prokuraturach rejonowych</w:t>
            </w:r>
          </w:p>
        </w:tc>
      </w:tr>
      <w:tr w:rsidR="00776D77" w:rsidRPr="00F21196" w14:paraId="3688CB58" w14:textId="77777777" w:rsidTr="000440D7">
        <w:tc>
          <w:tcPr>
            <w:tcW w:w="978" w:type="dxa"/>
            <w:shd w:val="clear" w:color="auto" w:fill="E2EFD9" w:themeFill="accent6" w:themeFillTint="33"/>
          </w:tcPr>
          <w:p w14:paraId="6F785C25" w14:textId="77777777" w:rsidR="00776D77" w:rsidRPr="00F21196" w:rsidRDefault="00776D77" w:rsidP="000440D7">
            <w:pPr>
              <w:jc w:val="center"/>
              <w:rPr>
                <w:rFonts w:eastAsia="Times New Roman" w:cs="Calibri"/>
                <w:b/>
                <w:lang w:eastAsia="pl-PL"/>
              </w:rPr>
            </w:pPr>
            <w:r w:rsidRPr="00F21196">
              <w:rPr>
                <w:rFonts w:eastAsia="Times New Roman" w:cs="Calibri"/>
                <w:b/>
                <w:lang w:eastAsia="pl-PL"/>
              </w:rPr>
              <w:t>5</w:t>
            </w:r>
          </w:p>
        </w:tc>
        <w:tc>
          <w:tcPr>
            <w:tcW w:w="8641" w:type="dxa"/>
            <w:shd w:val="clear" w:color="auto" w:fill="F2F2F2" w:themeFill="background1" w:themeFillShade="F2"/>
          </w:tcPr>
          <w:p w14:paraId="7773F4F1" w14:textId="77777777" w:rsidR="00776D77" w:rsidRPr="00F21196" w:rsidRDefault="00776D77" w:rsidP="000440D7">
            <w:pPr>
              <w:spacing w:before="60" w:after="60"/>
              <w:rPr>
                <w:rFonts w:cs="Times New Roman"/>
              </w:rPr>
            </w:pPr>
            <w:r w:rsidRPr="00F21196">
              <w:rPr>
                <w:rFonts w:cs="Calibri"/>
                <w:kern w:val="24"/>
                <w:lang w:eastAsia="pl-PL"/>
              </w:rPr>
              <w:t>Odsetek osób deklarujących zaufanie do instytucji publicznych - wobec władz lokalnych miasta lub gminy</w:t>
            </w:r>
          </w:p>
        </w:tc>
      </w:tr>
      <w:tr w:rsidR="00776D77" w:rsidRPr="00F21196" w14:paraId="10B95038" w14:textId="77777777" w:rsidTr="000440D7">
        <w:tc>
          <w:tcPr>
            <w:tcW w:w="978" w:type="dxa"/>
            <w:shd w:val="clear" w:color="auto" w:fill="E2EFD9" w:themeFill="accent6" w:themeFillTint="33"/>
          </w:tcPr>
          <w:p w14:paraId="38EDCA4F" w14:textId="77777777" w:rsidR="00776D77" w:rsidRPr="00F21196" w:rsidRDefault="00776D77" w:rsidP="000440D7">
            <w:pPr>
              <w:jc w:val="center"/>
              <w:rPr>
                <w:rFonts w:eastAsia="Times New Roman" w:cs="Calibri"/>
                <w:b/>
                <w:lang w:eastAsia="pl-PL"/>
              </w:rPr>
            </w:pPr>
            <w:r w:rsidRPr="00F21196">
              <w:rPr>
                <w:rFonts w:eastAsia="Times New Roman" w:cs="Calibri"/>
                <w:b/>
                <w:lang w:eastAsia="pl-PL"/>
              </w:rPr>
              <w:t>6</w:t>
            </w:r>
          </w:p>
        </w:tc>
        <w:tc>
          <w:tcPr>
            <w:tcW w:w="8641" w:type="dxa"/>
            <w:shd w:val="clear" w:color="auto" w:fill="F2F2F2" w:themeFill="background1" w:themeFillShade="F2"/>
          </w:tcPr>
          <w:p w14:paraId="1576FC4A" w14:textId="77777777" w:rsidR="00776D77" w:rsidRPr="00F21196" w:rsidRDefault="00776D77" w:rsidP="000440D7">
            <w:pPr>
              <w:spacing w:before="60" w:after="60"/>
              <w:rPr>
                <w:rFonts w:cs="Times New Roman"/>
              </w:rPr>
            </w:pPr>
            <w:r w:rsidRPr="00F21196">
              <w:rPr>
                <w:rFonts w:cs="Calibri"/>
                <w:kern w:val="24"/>
                <w:lang w:eastAsia="pl-PL"/>
              </w:rPr>
              <w:t>Odsetek osób deklarujących zaufanie do instytucji publicznych - wobec urzędników administracji publicznej</w:t>
            </w:r>
          </w:p>
        </w:tc>
      </w:tr>
      <w:tr w:rsidR="00776D77" w:rsidRPr="00F21196" w14:paraId="64A61AC5" w14:textId="77777777" w:rsidTr="000440D7">
        <w:tc>
          <w:tcPr>
            <w:tcW w:w="978" w:type="dxa"/>
            <w:shd w:val="clear" w:color="auto" w:fill="E2EFD9" w:themeFill="accent6" w:themeFillTint="33"/>
          </w:tcPr>
          <w:p w14:paraId="304723B3" w14:textId="77777777" w:rsidR="00776D77" w:rsidRPr="00F21196" w:rsidRDefault="00776D77" w:rsidP="000440D7">
            <w:pPr>
              <w:jc w:val="center"/>
              <w:rPr>
                <w:rFonts w:eastAsia="Times New Roman" w:cs="Calibri"/>
                <w:b/>
                <w:lang w:eastAsia="pl-PL"/>
              </w:rPr>
            </w:pPr>
            <w:r w:rsidRPr="00F21196">
              <w:rPr>
                <w:rFonts w:eastAsia="Times New Roman" w:cs="Calibri"/>
                <w:b/>
                <w:lang w:eastAsia="pl-PL"/>
              </w:rPr>
              <w:t>7</w:t>
            </w:r>
          </w:p>
        </w:tc>
        <w:tc>
          <w:tcPr>
            <w:tcW w:w="8641" w:type="dxa"/>
            <w:shd w:val="clear" w:color="auto" w:fill="F2F2F2" w:themeFill="background1" w:themeFillShade="F2"/>
          </w:tcPr>
          <w:p w14:paraId="34315C13" w14:textId="77777777" w:rsidR="00776D77" w:rsidRPr="00F21196" w:rsidRDefault="00776D77" w:rsidP="000440D7">
            <w:pPr>
              <w:spacing w:before="60" w:after="60"/>
              <w:rPr>
                <w:rFonts w:cs="Calibri"/>
                <w:kern w:val="24"/>
                <w:lang w:eastAsia="pl-PL"/>
              </w:rPr>
            </w:pPr>
            <w:r w:rsidRPr="00F21196">
              <w:rPr>
                <w:rFonts w:cs="Arial"/>
                <w:iCs/>
                <w:lang w:eastAsia="pl-PL"/>
              </w:rPr>
              <w:t>Udział planów, których rysunki występują  w postaci wektorowe</w:t>
            </w:r>
            <w:r>
              <w:rPr>
                <w:rFonts w:cs="Arial"/>
                <w:iCs/>
                <w:lang w:eastAsia="pl-PL"/>
              </w:rPr>
              <w:t xml:space="preserve">j z nadaną georeferencją </w:t>
            </w:r>
            <w:r w:rsidRPr="00F21196">
              <w:rPr>
                <w:rFonts w:cs="Arial"/>
                <w:iCs/>
                <w:lang w:eastAsia="pl-PL"/>
              </w:rPr>
              <w:t>w liczbie obowiązujących miejscowych planów zagospodarowania przestrzennego</w:t>
            </w:r>
            <w:r w:rsidRPr="00F21196">
              <w:rPr>
                <w:rFonts w:cs="Arial"/>
                <w:b/>
                <w:bCs/>
                <w:iCs/>
                <w:color w:val="31849B"/>
                <w:lang w:eastAsia="pl-PL"/>
              </w:rPr>
              <w:t xml:space="preserve"> </w:t>
            </w:r>
            <w:r w:rsidRPr="00F21196">
              <w:rPr>
                <w:rFonts w:cs="Arial"/>
                <w:iCs/>
                <w:lang w:eastAsia="pl-PL"/>
              </w:rPr>
              <w:t xml:space="preserve">ogółem </w:t>
            </w:r>
          </w:p>
        </w:tc>
      </w:tr>
      <w:tr w:rsidR="00776D77" w:rsidRPr="00F21196" w14:paraId="253DAA91" w14:textId="77777777" w:rsidTr="000440D7">
        <w:tc>
          <w:tcPr>
            <w:tcW w:w="978" w:type="dxa"/>
            <w:shd w:val="clear" w:color="auto" w:fill="E2EFD9" w:themeFill="accent6" w:themeFillTint="33"/>
          </w:tcPr>
          <w:p w14:paraId="535DD78C" w14:textId="77777777" w:rsidR="00776D77" w:rsidRPr="00F21196" w:rsidRDefault="00776D77" w:rsidP="000440D7">
            <w:pPr>
              <w:jc w:val="center"/>
              <w:rPr>
                <w:rFonts w:eastAsia="Times New Roman" w:cs="Calibri"/>
                <w:b/>
                <w:lang w:eastAsia="pl-PL"/>
              </w:rPr>
            </w:pPr>
            <w:r w:rsidRPr="00F21196">
              <w:rPr>
                <w:rFonts w:eastAsia="Times New Roman" w:cs="Calibri"/>
                <w:b/>
                <w:lang w:eastAsia="pl-PL"/>
              </w:rPr>
              <w:t>8</w:t>
            </w:r>
          </w:p>
        </w:tc>
        <w:tc>
          <w:tcPr>
            <w:tcW w:w="8641" w:type="dxa"/>
            <w:shd w:val="clear" w:color="auto" w:fill="F2F2F2" w:themeFill="background1" w:themeFillShade="F2"/>
          </w:tcPr>
          <w:p w14:paraId="522309D9" w14:textId="77777777" w:rsidR="00776D77" w:rsidRPr="00F21196" w:rsidRDefault="00776D77" w:rsidP="000440D7">
            <w:pPr>
              <w:spacing w:before="60" w:after="60"/>
              <w:rPr>
                <w:rFonts w:cs="Calibri"/>
                <w:kern w:val="24"/>
                <w:lang w:eastAsia="pl-PL"/>
              </w:rPr>
            </w:pPr>
            <w:r w:rsidRPr="00F21196">
              <w:rPr>
                <w:rFonts w:cs="Arial"/>
                <w:iCs/>
                <w:lang w:eastAsia="pl-PL"/>
              </w:rPr>
              <w:t>Udział studiów, których rysunki występują  w postaci wek</w:t>
            </w:r>
            <w:r>
              <w:rPr>
                <w:rFonts w:cs="Arial"/>
                <w:iCs/>
                <w:lang w:eastAsia="pl-PL"/>
              </w:rPr>
              <w:t xml:space="preserve">torowej z nadaną georeferencją </w:t>
            </w:r>
            <w:r w:rsidRPr="00F21196">
              <w:rPr>
                <w:rFonts w:cs="Arial"/>
                <w:iCs/>
                <w:lang w:eastAsia="pl-PL"/>
              </w:rPr>
              <w:t xml:space="preserve">w liczbie obowiązujących studiów uwarunkowań i kierunków zagospodarowania przestrzennego ogółem </w:t>
            </w:r>
          </w:p>
        </w:tc>
      </w:tr>
      <w:tr w:rsidR="00776D77" w:rsidRPr="00F21196" w14:paraId="5E70A09D" w14:textId="77777777" w:rsidTr="000440D7">
        <w:tc>
          <w:tcPr>
            <w:tcW w:w="978" w:type="dxa"/>
            <w:shd w:val="clear" w:color="auto" w:fill="E2EFD9" w:themeFill="accent6" w:themeFillTint="33"/>
          </w:tcPr>
          <w:p w14:paraId="49C54342" w14:textId="77777777" w:rsidR="00776D77" w:rsidRPr="00F21196" w:rsidRDefault="00776D77" w:rsidP="000440D7">
            <w:pPr>
              <w:jc w:val="center"/>
              <w:rPr>
                <w:rFonts w:eastAsia="Times New Roman" w:cs="Calibri"/>
                <w:b/>
                <w:lang w:eastAsia="pl-PL"/>
              </w:rPr>
            </w:pPr>
            <w:r w:rsidRPr="00F21196">
              <w:rPr>
                <w:rFonts w:eastAsia="Times New Roman" w:cs="Calibri"/>
                <w:b/>
                <w:lang w:eastAsia="pl-PL"/>
              </w:rPr>
              <w:t>9</w:t>
            </w:r>
          </w:p>
        </w:tc>
        <w:tc>
          <w:tcPr>
            <w:tcW w:w="8641" w:type="dxa"/>
            <w:shd w:val="clear" w:color="auto" w:fill="F2F2F2" w:themeFill="background1" w:themeFillShade="F2"/>
            <w:vAlign w:val="center"/>
          </w:tcPr>
          <w:p w14:paraId="2FB218DD" w14:textId="77777777" w:rsidR="00776D77" w:rsidRPr="00F21196" w:rsidRDefault="00776D77" w:rsidP="000440D7">
            <w:pPr>
              <w:spacing w:before="60" w:after="60"/>
              <w:rPr>
                <w:rFonts w:cs="Arial"/>
                <w:iCs/>
                <w:lang w:eastAsia="pl-PL"/>
              </w:rPr>
            </w:pPr>
            <w:r w:rsidRPr="00F21196">
              <w:rPr>
                <w:rFonts w:cs="Arial"/>
                <w:spacing w:val="4"/>
              </w:rPr>
              <w:t>Pokrycie polskich obszarów morskich projektem planu zagospodarowania przestrzennego</w:t>
            </w:r>
          </w:p>
        </w:tc>
      </w:tr>
    </w:tbl>
    <w:p w14:paraId="2A0CD187" w14:textId="77777777" w:rsidR="00890665" w:rsidRDefault="00890665" w:rsidP="00776D77">
      <w:pPr>
        <w:pBdr>
          <w:bottom w:val="single" w:sz="24" w:space="1" w:color="A8D08D" w:themeColor="accent6" w:themeTint="99"/>
        </w:pBdr>
        <w:shd w:val="clear" w:color="auto" w:fill="E2EFD9" w:themeFill="accent6" w:themeFillTint="33"/>
        <w:spacing w:after="0"/>
        <w:rPr>
          <w:rFonts w:eastAsia="Times New Roman" w:cs="Calibri"/>
          <w:b/>
          <w:lang w:eastAsia="pl-PL"/>
        </w:rPr>
      </w:pPr>
    </w:p>
    <w:p w14:paraId="45D62BD0" w14:textId="77777777" w:rsidR="00890665" w:rsidRDefault="00890665">
      <w:pPr>
        <w:rPr>
          <w:rFonts w:eastAsia="Times New Roman" w:cs="Calibri"/>
          <w:b/>
          <w:lang w:eastAsia="pl-PL"/>
        </w:rPr>
      </w:pPr>
      <w:r>
        <w:rPr>
          <w:rFonts w:eastAsia="Times New Roman" w:cs="Calibri"/>
          <w:b/>
          <w:lang w:eastAsia="pl-PL"/>
        </w:rPr>
        <w:br w:type="page"/>
      </w:r>
    </w:p>
    <w:p w14:paraId="0B46D6A3" w14:textId="48CEEFE6" w:rsidR="00776D77" w:rsidRPr="00F21196" w:rsidRDefault="00776D77" w:rsidP="00776D77">
      <w:pPr>
        <w:pBdr>
          <w:bottom w:val="single" w:sz="24" w:space="1" w:color="A8D08D" w:themeColor="accent6" w:themeTint="99"/>
        </w:pBdr>
        <w:shd w:val="clear" w:color="auto" w:fill="E2EFD9" w:themeFill="accent6" w:themeFillTint="33"/>
        <w:spacing w:after="0"/>
        <w:rPr>
          <w:rFonts w:eastAsia="Times New Roman" w:cs="Calibri"/>
          <w:b/>
          <w:lang w:eastAsia="pl-PL"/>
        </w:rPr>
      </w:pPr>
      <w:r w:rsidRPr="00F21196">
        <w:rPr>
          <w:rFonts w:eastAsia="Times New Roman" w:cs="Calibri"/>
          <w:b/>
          <w:lang w:eastAsia="pl-PL"/>
        </w:rPr>
        <w:t xml:space="preserve">II.4. Kierunki interwencji </w:t>
      </w:r>
    </w:p>
    <w:p w14:paraId="37A4D241" w14:textId="77777777" w:rsidR="00776D77" w:rsidRPr="00F21196" w:rsidRDefault="00776D77" w:rsidP="00776D77">
      <w:pPr>
        <w:spacing w:after="0"/>
        <w:jc w:val="both"/>
        <w:rPr>
          <w:rFonts w:cs="Arial"/>
          <w:color w:val="000000" w:themeColor="text1"/>
        </w:rPr>
      </w:pPr>
    </w:p>
    <w:p w14:paraId="4922D371" w14:textId="77777777" w:rsidR="00776D77" w:rsidRDefault="00776D77" w:rsidP="00776D77">
      <w:pPr>
        <w:spacing w:after="0"/>
        <w:jc w:val="both"/>
        <w:rPr>
          <w:rFonts w:cs="Calibri,BoldItalic"/>
          <w:bCs/>
          <w:iCs/>
          <w:color w:val="000000" w:themeColor="text1"/>
          <w:szCs w:val="16"/>
        </w:rPr>
      </w:pPr>
      <w:r w:rsidRPr="00F21196">
        <w:rPr>
          <w:rFonts w:cs="Calibri,BoldItalic"/>
          <w:bCs/>
          <w:iCs/>
          <w:color w:val="000000" w:themeColor="text1"/>
          <w:szCs w:val="16"/>
        </w:rPr>
        <w:t xml:space="preserve">Zdefiniowano </w:t>
      </w:r>
      <w:r>
        <w:rPr>
          <w:rFonts w:cs="Calibri,BoldItalic"/>
          <w:bCs/>
          <w:iCs/>
          <w:color w:val="000000" w:themeColor="text1"/>
          <w:szCs w:val="16"/>
        </w:rPr>
        <w:t>sześć</w:t>
      </w:r>
      <w:r w:rsidRPr="00F21196">
        <w:rPr>
          <w:rFonts w:cs="Calibri,BoldItalic"/>
          <w:bCs/>
          <w:iCs/>
          <w:color w:val="000000" w:themeColor="text1"/>
          <w:szCs w:val="16"/>
        </w:rPr>
        <w:t xml:space="preserve"> kierunków interwencji, które zmierzają do podniesienia sprawności funkcjonowania administracji publicznej oraz organów wymiaru sprawiedliwości i prokuratury, wzmocnienia strategicznych zdolności państwa do kreowania polityki rozwoju oraz planowania społecznego, gospodarczego i przestrzennego z uwzględnieniem obszarów morskich. </w:t>
      </w:r>
    </w:p>
    <w:p w14:paraId="14DF1723" w14:textId="77777777" w:rsidR="00CF216C" w:rsidRPr="00F21196" w:rsidRDefault="00776D77" w:rsidP="00CF216C">
      <w:pPr>
        <w:spacing w:after="0"/>
        <w:jc w:val="both"/>
        <w:rPr>
          <w:rFonts w:cs="Calibri,BoldItalic"/>
          <w:bCs/>
          <w:iCs/>
          <w:color w:val="000000" w:themeColor="text1"/>
          <w:szCs w:val="16"/>
        </w:rPr>
      </w:pPr>
      <w:r w:rsidRPr="00F21196">
        <w:rPr>
          <w:rFonts w:cs="Arial"/>
          <w:noProof/>
          <w:color w:val="000000" w:themeColor="text1"/>
          <w:lang w:eastAsia="pl-PL"/>
        </w:rPr>
        <mc:AlternateContent>
          <mc:Choice Requires="wps">
            <w:drawing>
              <wp:anchor distT="0" distB="0" distL="114300" distR="114300" simplePos="0" relativeHeight="252155904" behindDoc="0" locked="0" layoutInCell="1" allowOverlap="1" wp14:anchorId="22860AA1" wp14:editId="0B52791D">
                <wp:simplePos x="0" y="0"/>
                <wp:positionH relativeFrom="margin">
                  <wp:align>left</wp:align>
                </wp:positionH>
                <wp:positionV relativeFrom="paragraph">
                  <wp:posOffset>133248</wp:posOffset>
                </wp:positionV>
                <wp:extent cx="400050" cy="3062378"/>
                <wp:effectExtent l="0" t="0" r="19050" b="24130"/>
                <wp:wrapNone/>
                <wp:docPr id="145" name="Prostokąt 145"/>
                <wp:cNvGraphicFramePr/>
                <a:graphic xmlns:a="http://schemas.openxmlformats.org/drawingml/2006/main">
                  <a:graphicData uri="http://schemas.microsoft.com/office/word/2010/wordprocessingShape">
                    <wps:wsp>
                      <wps:cNvSpPr/>
                      <wps:spPr>
                        <a:xfrm>
                          <a:off x="0" y="0"/>
                          <a:ext cx="400050" cy="3062378"/>
                        </a:xfrm>
                        <a:prstGeom prst="rect">
                          <a:avLst/>
                        </a:prstGeom>
                        <a:solidFill>
                          <a:srgbClr val="70AD47">
                            <a:lumMod val="60000"/>
                            <a:lumOff val="40000"/>
                          </a:srgbClr>
                        </a:solidFill>
                        <a:ln w="12700" cap="flat" cmpd="sng" algn="ctr">
                          <a:solidFill>
                            <a:srgbClr val="92D050"/>
                          </a:solidFill>
                          <a:prstDash val="solid"/>
                          <a:miter lim="800000"/>
                        </a:ln>
                        <a:effectLst/>
                      </wps:spPr>
                      <wps:txbx>
                        <w:txbxContent>
                          <w:p w14:paraId="7A0C29A3" w14:textId="77777777" w:rsidR="005D4C4C" w:rsidRPr="000A22B7" w:rsidRDefault="005D4C4C" w:rsidP="00776D77">
                            <w:pPr>
                              <w:jc w:val="center"/>
                              <w:rPr>
                                <w:b/>
                                <w:color w:val="E2EFD9" w:themeColor="accent6" w:themeTint="33"/>
                                <w:sz w:val="28"/>
                              </w:rPr>
                            </w:pPr>
                            <w:r w:rsidRPr="00E3677F">
                              <w:rPr>
                                <w:b/>
                                <w:color w:val="000000" w:themeColor="text1"/>
                                <w:sz w:val="28"/>
                              </w:rPr>
                              <w:t>Kierunki interwencji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60AA1" id="Prostokąt 145" o:spid="_x0000_s1049" style="position:absolute;left:0;text-align:left;margin-left:0;margin-top:10.5pt;width:31.5pt;height:241.15pt;z-index:252155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DBUoAIAAEUFAAAOAAAAZHJzL2Uyb0RvYy54bWysVMlu2zAQvRfoPxC8N5IVJ06EyIERI0WB&#10;tDGQFDnTFGUL5VaStpTe+2f9sD5Scrb2VPRCzsZZ3szw4rJXkuyF863RFZ0c5ZQIzU3d6k1Fv95f&#10;fzijxAemayaNFhV9FJ5ezt+/u+hsKQqzNbIWjsCJ9mVnK7oNwZZZ5vlWKOaPjBUaysY4xQJYt8lq&#10;xzp4VzIr8vw064yrrTNceA/pclDSefLfNIKH26bxIhBZUeQW0unSuY5nNr9g5cYxu235mAb7hywU&#10;azWCPrlassDIzrV/uFItd8abJhxxozLTNC0XqQZUM8nfVHO3ZVakWgCOt08w+f/nln/Zrxxpa/Ru&#10;ekKJZgpNWiHFYL79+hlIlAKjzvoSpnd25UbOg4wF941T8UYppE+4Pj7hKvpAOITTPM9PgD6H6jg/&#10;LY5nZ9Fp9vzaOh8+CqNIJCrq0LcEJ9vf+DCYHkxiMG9kW1+3UibGbdZX0pE9Q49n+WI5naW3cqc+&#10;m3oQnyKDsdkQYyQGcUwsiZGKH9yktF75l5p0gKeYwZRwhiFtJAsglQVsXm8oYXKD6efBpcCvXo9u&#10;h3jnxTICMRT0yixWt2R+O9glVTRjpWoDFkS2qqJnMdvDa6mjVqQRHzGKTRraEqnQr/vU2OI4eoqi&#10;takf0W1nhjXwll+3iHvDfFgxh7lHgdjlcIujkQZVm5GiZGvcj7/Jo31F4wmAKOmwSgDl+445QYn8&#10;pDGr55PpFKqQmOnJrADjXmrWLzV6p64MOjnBx2F5IqN9kAeycUY9YOsXMTBUTHMkN8A/MldhWHH8&#10;G1wsFskM+2ZZuNF3lkfnEb0I+n3/wJwd5y5gYr+Yw9qx8s34DbbxpTaLXTBNm2bzGVoMT2Swq2mM&#10;xn8lfgYv+WT1/PvNfwMAAP//AwBQSwMEFAAGAAgAAAAhAHTWK7bbAAAABgEAAA8AAABkcnMvZG93&#10;bnJldi54bWxMj81OwzAQhO9IvIO1SFwQtdtAWoVsKn7EkUMLD+DabhIRryPbaQNPz3KC02g1q5lv&#10;6u3sB3FyMfWBEJYLBcKRCbanFuHj/fV2AyJlTVYPgRzCl0uwbS4val3ZcKadO+1zKziEUqURupzH&#10;SspkOud1WoTREXvHEL3OfMZW2qjPHO4HuVKqlF73xA2dHt1z58znfvIIxdOmvzGxfVPmzk/TWn5H&#10;U74gXl/Njw8gspvz3zP84jM6NMx0CBPZJAYEHpIRVktWdsuC9YBwr4oCZFPL//jNDwAAAP//AwBQ&#10;SwECLQAUAAYACAAAACEAtoM4kv4AAADhAQAAEwAAAAAAAAAAAAAAAAAAAAAAW0NvbnRlbnRfVHlw&#10;ZXNdLnhtbFBLAQItABQABgAIAAAAIQA4/SH/1gAAAJQBAAALAAAAAAAAAAAAAAAAAC8BAABfcmVs&#10;cy8ucmVsc1BLAQItABQABgAIAAAAIQCzQDBUoAIAAEUFAAAOAAAAAAAAAAAAAAAAAC4CAABkcnMv&#10;ZTJvRG9jLnhtbFBLAQItABQABgAIAAAAIQB01iu22wAAAAYBAAAPAAAAAAAAAAAAAAAAAPoEAABk&#10;cnMvZG93bnJldi54bWxQSwUGAAAAAAQABADzAAAAAgYAAAAA&#10;" fillcolor="#a9d18e" strokecolor="#92d050" strokeweight="1pt">
                <v:textbox style="layout-flow:vertical;mso-layout-flow-alt:bottom-to-top">
                  <w:txbxContent>
                    <w:p w14:paraId="7A0C29A3" w14:textId="77777777" w:rsidR="005D4C4C" w:rsidRPr="000A22B7" w:rsidRDefault="005D4C4C" w:rsidP="00776D77">
                      <w:pPr>
                        <w:jc w:val="center"/>
                        <w:rPr>
                          <w:b/>
                          <w:color w:val="E2EFD9" w:themeColor="accent6" w:themeTint="33"/>
                          <w:sz w:val="28"/>
                        </w:rPr>
                      </w:pPr>
                      <w:r w:rsidRPr="00E3677F">
                        <w:rPr>
                          <w:b/>
                          <w:color w:val="000000" w:themeColor="text1"/>
                          <w:sz w:val="28"/>
                        </w:rPr>
                        <w:t>Kierunki interwencji</w:t>
                      </w:r>
                    </w:p>
                  </w:txbxContent>
                </v:textbox>
                <w10:wrap anchorx="margin"/>
              </v:rect>
            </w:pict>
          </mc:Fallback>
        </mc:AlternateContent>
      </w:r>
      <w:r w:rsidRPr="00F21196">
        <w:rPr>
          <w:rFonts w:cs="Arial"/>
          <w:noProof/>
          <w:color w:val="000000" w:themeColor="text1"/>
          <w:lang w:eastAsia="pl-PL"/>
        </w:rPr>
        <mc:AlternateContent>
          <mc:Choice Requires="wps">
            <w:drawing>
              <wp:anchor distT="0" distB="0" distL="114300" distR="114300" simplePos="0" relativeHeight="252156928" behindDoc="0" locked="0" layoutInCell="1" allowOverlap="1" wp14:anchorId="75FD10F8" wp14:editId="0880E638">
                <wp:simplePos x="0" y="0"/>
                <wp:positionH relativeFrom="margin">
                  <wp:posOffset>788239</wp:posOffset>
                </wp:positionH>
                <wp:positionV relativeFrom="paragraph">
                  <wp:posOffset>178328</wp:posOffset>
                </wp:positionV>
                <wp:extent cx="5332476" cy="352425"/>
                <wp:effectExtent l="0" t="0" r="20955" b="28575"/>
                <wp:wrapNone/>
                <wp:docPr id="6" name="Prostokąt zaokrąglony 6"/>
                <wp:cNvGraphicFramePr/>
                <a:graphic xmlns:a="http://schemas.openxmlformats.org/drawingml/2006/main">
                  <a:graphicData uri="http://schemas.microsoft.com/office/word/2010/wordprocessingShape">
                    <wps:wsp>
                      <wps:cNvSpPr/>
                      <wps:spPr>
                        <a:xfrm>
                          <a:off x="0" y="0"/>
                          <a:ext cx="5332476" cy="352425"/>
                        </a:xfrm>
                        <a:prstGeom prst="roundRect">
                          <a:avLst/>
                        </a:prstGeom>
                        <a:solidFill>
                          <a:sysClr val="window" lastClr="FFFFFF">
                            <a:lumMod val="85000"/>
                          </a:sysClr>
                        </a:solidFill>
                        <a:ln w="12700" cap="flat" cmpd="sng" algn="ctr">
                          <a:solidFill>
                            <a:sysClr val="window" lastClr="FFFFFF">
                              <a:lumMod val="85000"/>
                            </a:sysClr>
                          </a:solidFill>
                          <a:prstDash val="solid"/>
                          <a:miter lim="800000"/>
                        </a:ln>
                        <a:effectLst/>
                      </wps:spPr>
                      <wps:txbx>
                        <w:txbxContent>
                          <w:p w14:paraId="3FA652F1" w14:textId="77777777" w:rsidR="005D4C4C" w:rsidRPr="008700CC" w:rsidRDefault="005D4C4C" w:rsidP="00776D77">
                            <w:pPr>
                              <w:shd w:val="clear" w:color="auto" w:fill="D9D9D9" w:themeFill="background1" w:themeFillShade="D9"/>
                              <w:spacing w:line="276" w:lineRule="auto"/>
                              <w:jc w:val="both"/>
                              <w:rPr>
                                <w:rFonts w:eastAsia="Times New Roman" w:cstheme="minorHAnsi"/>
                                <w:b/>
                                <w:i/>
                              </w:rPr>
                            </w:pPr>
                            <w:r>
                              <w:rPr>
                                <w:rFonts w:eastAsia="Times New Roman" w:cstheme="minorHAnsi"/>
                                <w:b/>
                              </w:rPr>
                              <w:t>1</w:t>
                            </w:r>
                            <w:r w:rsidRPr="008700CC">
                              <w:rPr>
                                <w:rFonts w:eastAsia="Times New Roman" w:cstheme="minorHAnsi"/>
                                <w:b/>
                                <w:i/>
                              </w:rPr>
                              <w:t>.</w:t>
                            </w:r>
                            <w:r w:rsidRPr="00C916E9">
                              <w:rPr>
                                <w:rFonts w:cs="Helv"/>
                                <w:b/>
                                <w:bCs/>
                                <w:color w:val="000000"/>
                                <w:lang w:eastAsia="en-GB"/>
                              </w:rPr>
                              <w:t xml:space="preserve"> </w:t>
                            </w:r>
                            <w:r w:rsidRPr="009A0FAA">
                              <w:rPr>
                                <w:rFonts w:cs="Helv"/>
                                <w:b/>
                                <w:bCs/>
                                <w:i/>
                                <w:color w:val="000000"/>
                                <w:lang w:eastAsia="en-GB"/>
                              </w:rPr>
                              <w:t>Doskonalenie funkcjonowania jednostek samorządu terytorialnego</w:t>
                            </w:r>
                            <w:r>
                              <w:rPr>
                                <w:rFonts w:cs="Helv"/>
                                <w:b/>
                                <w:bCs/>
                                <w:color w:val="000000"/>
                                <w:lang w:eastAsia="en-GB"/>
                              </w:rPr>
                              <w:t>.</w:t>
                            </w:r>
                          </w:p>
                          <w:p w14:paraId="6AC8C3C9" w14:textId="77777777" w:rsidR="005D4C4C" w:rsidRDefault="005D4C4C" w:rsidP="00776D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FD10F8" id="Prostokąt zaokrąglony 6" o:spid="_x0000_s1050" style="position:absolute;left:0;text-align:left;margin-left:62.05pt;margin-top:14.05pt;width:419.9pt;height:27.75pt;z-index:25215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4VpwIAAHkFAAAOAAAAZHJzL2Uyb0RvYy54bWysVM1u2zAMvg/YOwi6r07cpM2COkXQIsOA&#10;rg3WDj0rshwLlURNUmKn975ZH2yU7KQ/22loDgppUfz5+JFn561WZCucl2AKOjwaUCIMh1KadUF/&#10;3S2+TCjxgZmSKTCioDvh6fns86ezxk5FDjWoUjiCToyfNragdQh2mmWe10IzfwRWGLyswGkWUHXr&#10;rHSsQe9aZflgcJI14ErrgAvv8etld0lnyX9VCR5uqsqLQFRBMbeQTpfOVTyz2Rmbrh2zteR9Guw/&#10;stBMGgx6cHXJAiMbJ/9ypSV34KEKRxx0BlUluUg1YDXDwbtqbmtmRaoFwfH2AJP/OLf8ert0RJYF&#10;PaHEMI0tWmKCAR6enwJ5ZPDgnp/W2LsdOYlgNdZP8c2tXbpe8yjGytvK6fiPNZE2Abw7ACzaQDh+&#10;HB8f56NTjMTx7nicj/JxdJq9vLbOh28CNIlCQR1sTPkTu5jAZdsrHzr7vV2M6EHJciGVSsrOXyhH&#10;tgwbjjwpoaFEMR/wY0EX6Zd8qY3+AWVnNxkPBokKmIhP71NOb/wqQxokeH6KloQzpGqlWEBRWwTP&#10;mzUlTK1xBnhwKcCb153Xj88qwnDJfN15TiE7SmsZcK6U1AWdYHGH8pSJIIk0GT2YsaVdE6MU2lWb&#10;+JCP9v1eQblDkjjopsdbvpAY9wpRXTKH44KI4AoIN3hUChAm6CVKanCP//oe7ZHFeEtJg+OHEP7e&#10;MCewWd8N8vvrcDSK85qU0fg0R8W9vlm9vjEbfQHY8CEuG8uTGO2D2ouVA32Pm2Ieo+IVMxxjd83q&#10;lYvQrQXcNVzM58kMZ9SycGVuLY/OI3QR8bv2njnbUzQgua9hP6ps+o6knW18aWC+CVDJxOAIdYcr&#10;Ui0qON+JdP0uigvktZ6sXjbm7A8AAAD//wMAUEsDBBQABgAIAAAAIQDfjDh03QAAAAkBAAAPAAAA&#10;ZHJzL2Rvd25yZXYueG1sTI9NT8MwDIbvSPyHyEjcWNoOla40nRAS9218iGPWeG1F4pQma7t/jznB&#10;yXrlR68fV9vFWTHhGHpPCtJVAgKp8aanVsHb68tdASJETUZbT6jgggG29fVVpUvjZ9rjdIit4BIK&#10;pVbQxTiUUoamQ6fDyg9IvDv50enIcWylGfXM5c7KLEly6XRPfKHTAz532Hwdzk7Bx+f3yWKxTy/5&#10;Q+ojzfP7btopdXuzPD2CiLjEPxh+9VkdanY6+jOZICzn7D5lVEFW8GRgk683II4KinUOsq7k/w/q&#10;HwAAAP//AwBQSwECLQAUAAYACAAAACEAtoM4kv4AAADhAQAAEwAAAAAAAAAAAAAAAAAAAAAAW0Nv&#10;bnRlbnRfVHlwZXNdLnhtbFBLAQItABQABgAIAAAAIQA4/SH/1gAAAJQBAAALAAAAAAAAAAAAAAAA&#10;AC8BAABfcmVscy8ucmVsc1BLAQItABQABgAIAAAAIQBqkp4VpwIAAHkFAAAOAAAAAAAAAAAAAAAA&#10;AC4CAABkcnMvZTJvRG9jLnhtbFBLAQItABQABgAIAAAAIQDfjDh03QAAAAkBAAAPAAAAAAAAAAAA&#10;AAAAAAEFAABkcnMvZG93bnJldi54bWxQSwUGAAAAAAQABADzAAAACwYAAAAA&#10;" fillcolor="#d9d9d9" strokecolor="#d9d9d9" strokeweight="1pt">
                <v:stroke joinstyle="miter"/>
                <v:textbox>
                  <w:txbxContent>
                    <w:p w14:paraId="3FA652F1" w14:textId="77777777" w:rsidR="005D4C4C" w:rsidRPr="008700CC" w:rsidRDefault="005D4C4C" w:rsidP="00776D77">
                      <w:pPr>
                        <w:shd w:val="clear" w:color="auto" w:fill="D9D9D9" w:themeFill="background1" w:themeFillShade="D9"/>
                        <w:spacing w:line="276" w:lineRule="auto"/>
                        <w:jc w:val="both"/>
                        <w:rPr>
                          <w:rFonts w:eastAsia="Times New Roman" w:cstheme="minorHAnsi"/>
                          <w:b/>
                          <w:i/>
                        </w:rPr>
                      </w:pPr>
                      <w:r>
                        <w:rPr>
                          <w:rFonts w:eastAsia="Times New Roman" w:cstheme="minorHAnsi"/>
                          <w:b/>
                        </w:rPr>
                        <w:t>1</w:t>
                      </w:r>
                      <w:r w:rsidRPr="008700CC">
                        <w:rPr>
                          <w:rFonts w:eastAsia="Times New Roman" w:cstheme="minorHAnsi"/>
                          <w:b/>
                          <w:i/>
                        </w:rPr>
                        <w:t>.</w:t>
                      </w:r>
                      <w:r w:rsidRPr="00C916E9">
                        <w:rPr>
                          <w:rFonts w:cs="Helv"/>
                          <w:b/>
                          <w:bCs/>
                          <w:color w:val="000000"/>
                          <w:lang w:eastAsia="en-GB"/>
                        </w:rPr>
                        <w:t xml:space="preserve"> </w:t>
                      </w:r>
                      <w:r w:rsidRPr="009A0FAA">
                        <w:rPr>
                          <w:rFonts w:cs="Helv"/>
                          <w:b/>
                          <w:bCs/>
                          <w:i/>
                          <w:color w:val="000000"/>
                          <w:lang w:eastAsia="en-GB"/>
                        </w:rPr>
                        <w:t>Doskonalenie funkcjonowania jednostek samorządu terytorialnego</w:t>
                      </w:r>
                      <w:r>
                        <w:rPr>
                          <w:rFonts w:cs="Helv"/>
                          <w:b/>
                          <w:bCs/>
                          <w:color w:val="000000"/>
                          <w:lang w:eastAsia="en-GB"/>
                        </w:rPr>
                        <w:t>.</w:t>
                      </w:r>
                    </w:p>
                    <w:p w14:paraId="6AC8C3C9" w14:textId="77777777" w:rsidR="005D4C4C" w:rsidRDefault="005D4C4C" w:rsidP="00776D77">
                      <w:pPr>
                        <w:jc w:val="center"/>
                      </w:pPr>
                    </w:p>
                  </w:txbxContent>
                </v:textbox>
                <w10:wrap anchorx="margin"/>
              </v:roundrect>
            </w:pict>
          </mc:Fallback>
        </mc:AlternateContent>
      </w:r>
    </w:p>
    <w:p w14:paraId="4D874C84" w14:textId="77777777" w:rsidR="00CF216C" w:rsidRPr="00F21196" w:rsidRDefault="00CF216C" w:rsidP="00CF216C">
      <w:pPr>
        <w:rPr>
          <w:rFonts w:cs="Arial"/>
          <w:color w:val="000000" w:themeColor="text1"/>
        </w:rPr>
      </w:pPr>
      <w:r w:rsidRPr="00F21196">
        <w:rPr>
          <w:rFonts w:cs="Arial"/>
          <w:noProof/>
          <w:color w:val="000000" w:themeColor="text1"/>
          <w:lang w:eastAsia="pl-PL"/>
        </w:rPr>
        <mc:AlternateContent>
          <mc:Choice Requires="wps">
            <w:drawing>
              <wp:anchor distT="0" distB="0" distL="114300" distR="114300" simplePos="0" relativeHeight="252164096" behindDoc="0" locked="0" layoutInCell="1" allowOverlap="1" wp14:anchorId="28984D5B" wp14:editId="75DC6C4E">
                <wp:simplePos x="0" y="0"/>
                <wp:positionH relativeFrom="margin">
                  <wp:posOffset>400740</wp:posOffset>
                </wp:positionH>
                <wp:positionV relativeFrom="paragraph">
                  <wp:posOffset>29210</wp:posOffset>
                </wp:positionV>
                <wp:extent cx="342900" cy="314325"/>
                <wp:effectExtent l="0" t="19050" r="38100" b="47625"/>
                <wp:wrapNone/>
                <wp:docPr id="140" name="Strzałka w prawo 140"/>
                <wp:cNvGraphicFramePr/>
                <a:graphic xmlns:a="http://schemas.openxmlformats.org/drawingml/2006/main">
                  <a:graphicData uri="http://schemas.microsoft.com/office/word/2010/wordprocessingShape">
                    <wps:wsp>
                      <wps:cNvSpPr/>
                      <wps:spPr>
                        <a:xfrm>
                          <a:off x="0" y="0"/>
                          <a:ext cx="342900" cy="314325"/>
                        </a:xfrm>
                        <a:prstGeom prst="rightArrow">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B854E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140" o:spid="_x0000_s1026" type="#_x0000_t13" style="position:absolute;margin-left:31.55pt;margin-top:2.3pt;width:27pt;height:24.75pt;z-index:25216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JZdswIAADsGAAAOAAAAZHJzL2Uyb0RvYy54bWzEVM1uEzEQviPxDpbvdDdpWmjUTRW1KkIq&#10;bUWKena9dnaF12PGTjbpkXfjvRh7N9tQCgeERA4bz//MNz+nZ5vGsLVCX4Mt+Ogg50xZCWVtlwX/&#10;fHf55h1nPghbCgNWFXyrPD+bvX512rqpGkMFplTIyIn109YVvArBTbPMy0o1wh+AU5aEGrARgUhc&#10;ZiWKlrw3Jhvn+XHWApYOQSrviXvRCfks+ddayXCjtVeBmYJTbiF9MX0f4jebnYrpEoWratmnIf4i&#10;i0bUloIOri5EEGyF9S+umloieNDhQEKTgda1VKkGqmaUP6tmUQmnUi0EjncDTP7fuZXX61tkdUm9&#10;mxA+VjTUpEXAR/H92xfBWuYIUWBRSFC1zk/JYuFusac8PWPdG41N/KeK2CbBux3gVZvAJDEPJ+OT&#10;nIJIEh2OJofjo+gzezJ26MN7BQ0F9dQprJdVmCNCm6AV6ysfOoOdYozowdTlZW1MIuLcqHODbC2o&#10;40JKZcNxMjer5iOUHf84p1/Xe2LThHTsyY5NOaUJjJ5Shj8FMfZ/xKWcYuAs9qBDPb3C1qiYjrGf&#10;lKZGEs7jVO9QwD4Uo05UiVJ17KPflpwcRs+asB189w5egnnUd7PXj6YqbeBgnP8psa6zg0WKDDYM&#10;xk1tAV9yYMIQudPfgdRBE1F6gHJLY47Q7b938rKmEbsSPtwKpIWnqaQjFm7oow20BYf+xVkF+PgS&#10;P+rTHpKUs5YOSMH915VAxZn5YGlDT0aTuFEhEZOjt2MicF/ysC+xq+YcaGJHdC6dTM+oH8zuqRGa&#10;e7p18xiVRMJKil1wGXBHnIfusNG1lGo+T2p0ZZwIV3bhZHQeUY3Lc7e5F+j6PQu0oNewOzZi+mzR&#10;Ot1oaWG+CqDrtIVPuPZ404VKu9Jf03gC9+mk9XTzZz8AAAD//wMAUEsDBBQABgAIAAAAIQAb9cID&#10;2wAAAAcBAAAPAAAAZHJzL2Rvd25yZXYueG1sTI7LTsMwEEX3SPyDNUhsKuoEQkBpJhUPsYAVfXzA&#10;NJ4mgXgcxW4b/h53Bcure3XuKZeT7dWRR985QUjnCSiW2plOGoTt5u3mEZQPJIZ6J4zwwx6W1eVF&#10;SYVxJ1nxcR0aFSHiC0JoQxgKrX3dsiU/dwNL7PZutBRiHBttRjpFuO31bZLk2lIn8aGlgV9arr/X&#10;B4sw0Mpls5l9nvz7JzXbj9d6w1+I11fT0wJU4Cn8jeGsH9Whik47dxDjVY+Q36VxiZDloM51+hDz&#10;DuE+S0FXpf7vX/0CAAD//wMAUEsBAi0AFAAGAAgAAAAhALaDOJL+AAAA4QEAABMAAAAAAAAAAAAA&#10;AAAAAAAAAFtDb250ZW50X1R5cGVzXS54bWxQSwECLQAUAAYACAAAACEAOP0h/9YAAACUAQAACwAA&#10;AAAAAAAAAAAAAAAvAQAAX3JlbHMvLnJlbHNQSwECLQAUAAYACAAAACEAtVCWXbMCAAA7BgAADgAA&#10;AAAAAAAAAAAAAAAuAgAAZHJzL2Uyb0RvYy54bWxQSwECLQAUAAYACAAAACEAG/XCA9sAAAAHAQAA&#10;DwAAAAAAAAAAAAAAAAANBQAAZHJzL2Rvd25yZXYueG1sUEsFBgAAAAAEAAQA8wAAABUGAAAAAA==&#10;" adj="11700" fillcolor="#a8d08d [1945]" strokecolor="#a8d08d [1945]" strokeweight="1pt">
                <w10:wrap anchorx="margin"/>
              </v:shape>
            </w:pict>
          </mc:Fallback>
        </mc:AlternateContent>
      </w:r>
    </w:p>
    <w:p w14:paraId="5A8F4F23" w14:textId="77777777" w:rsidR="00CF216C" w:rsidRPr="00F21196" w:rsidRDefault="00CF216C" w:rsidP="00CF216C">
      <w:pPr>
        <w:rPr>
          <w:rFonts w:cs="Arial"/>
          <w:color w:val="000000" w:themeColor="text1"/>
        </w:rPr>
      </w:pPr>
      <w:r w:rsidRPr="00F21196">
        <w:rPr>
          <w:rFonts w:cs="Arial"/>
          <w:noProof/>
          <w:color w:val="000000" w:themeColor="text1"/>
          <w:lang w:eastAsia="pl-PL"/>
        </w:rPr>
        <mc:AlternateContent>
          <mc:Choice Requires="wps">
            <w:drawing>
              <wp:anchor distT="0" distB="0" distL="114300" distR="114300" simplePos="0" relativeHeight="252160000" behindDoc="0" locked="0" layoutInCell="1" allowOverlap="1" wp14:anchorId="2433DAC8" wp14:editId="745CFA9A">
                <wp:simplePos x="0" y="0"/>
                <wp:positionH relativeFrom="margin">
                  <wp:posOffset>781279</wp:posOffset>
                </wp:positionH>
                <wp:positionV relativeFrom="paragraph">
                  <wp:posOffset>135814</wp:posOffset>
                </wp:positionV>
                <wp:extent cx="5340096" cy="352425"/>
                <wp:effectExtent l="0" t="0" r="13335" b="28575"/>
                <wp:wrapNone/>
                <wp:docPr id="135" name="Prostokąt zaokrąglony 135"/>
                <wp:cNvGraphicFramePr/>
                <a:graphic xmlns:a="http://schemas.openxmlformats.org/drawingml/2006/main">
                  <a:graphicData uri="http://schemas.microsoft.com/office/word/2010/wordprocessingShape">
                    <wps:wsp>
                      <wps:cNvSpPr/>
                      <wps:spPr>
                        <a:xfrm>
                          <a:off x="0" y="0"/>
                          <a:ext cx="5340096" cy="352425"/>
                        </a:xfrm>
                        <a:prstGeom prst="round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27F2BF" w14:textId="77777777" w:rsidR="005D4C4C" w:rsidRPr="008700CC" w:rsidRDefault="005D4C4C" w:rsidP="00CF216C">
                            <w:pPr>
                              <w:shd w:val="clear" w:color="auto" w:fill="D9D9D9" w:themeFill="background1" w:themeFillShade="D9"/>
                              <w:spacing w:line="276" w:lineRule="auto"/>
                              <w:jc w:val="both"/>
                              <w:rPr>
                                <w:rFonts w:eastAsia="Times New Roman" w:cstheme="minorHAnsi"/>
                                <w:b/>
                                <w:i/>
                              </w:rPr>
                            </w:pPr>
                            <w:r>
                              <w:rPr>
                                <w:rFonts w:eastAsia="Times New Roman" w:cstheme="minorHAnsi"/>
                                <w:b/>
                              </w:rPr>
                              <w:t>2</w:t>
                            </w:r>
                            <w:r w:rsidRPr="008700CC">
                              <w:rPr>
                                <w:rFonts w:eastAsia="Times New Roman" w:cstheme="minorHAnsi"/>
                                <w:b/>
                                <w:i/>
                              </w:rPr>
                              <w:t>.</w:t>
                            </w:r>
                            <w:r w:rsidRPr="00C916E9">
                              <w:rPr>
                                <w:rFonts w:cs="Helv"/>
                                <w:b/>
                                <w:bCs/>
                                <w:color w:val="000000"/>
                                <w:lang w:eastAsia="en-GB"/>
                              </w:rPr>
                              <w:t xml:space="preserve"> </w:t>
                            </w:r>
                            <w:r w:rsidRPr="009A0FAA">
                              <w:rPr>
                                <w:rFonts w:cs="Helv"/>
                                <w:b/>
                                <w:bCs/>
                                <w:i/>
                                <w:color w:val="000000"/>
                                <w:lang w:eastAsia="en-GB"/>
                              </w:rPr>
                              <w:t>Zwiększenie sprawności funkcjonowania administracji rządowej</w:t>
                            </w:r>
                            <w:r w:rsidRPr="00C916E9">
                              <w:rPr>
                                <w:rFonts w:cs="Helv"/>
                                <w:b/>
                                <w:bCs/>
                                <w:color w:val="000000"/>
                                <w:lang w:eastAsia="en-GB"/>
                              </w:rPr>
                              <w:t>.</w:t>
                            </w:r>
                          </w:p>
                          <w:p w14:paraId="32986B9E" w14:textId="77777777" w:rsidR="005D4C4C" w:rsidRDefault="005D4C4C" w:rsidP="00CF21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33DAC8" id="Prostokąt zaokrąglony 135" o:spid="_x0000_s1051" style="position:absolute;margin-left:61.5pt;margin-top:10.7pt;width:420.5pt;height:27.75pt;z-index:25216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7aRvwIAAB4GAAAOAAAAZHJzL2Uyb0RvYy54bWy0VM1u2zAMvg/YOwi6r3bSpGuDOkXQosOA&#10;rg3aDj0rshQblURNUuKk975ZH6yU7Lg/K3YYtostiuRH8qPI45ONVmQtnK/BFHSwl1MiDIeyNsuC&#10;/rw9/3JIiQ/MlEyBEQXdCk9Ppp8/HTd2IoZQgSqFIwhi/KSxBa1CsJMs87wSmvk9sMKgUoLTLKDo&#10;llnpWIPoWmXDPD/IGnCldcCF93h71irpNOFLKXi4ktKLQFRBMbeQvi59F/GbTY/ZZOmYrWrepcH+&#10;IgvNaoNBe6gzFhhZufo3KF1zBx5k2OOgM5Cy5iLVgNUM8nfV3FTMilQLkuNtT5P/d7D8cj13pC6x&#10;d/tjSgzT2KQ5phjg/ukxkAcG9+7pcYnd25JogoQ11k/Q78bOXSd5PMbqN9Lp+Me6yCaRvO1JFptA&#10;OF6O90d5fnRACUfd/ng4GibQ7MXbOh++CdAkHgrqYGXKa+xkIpitL3zAsGi/s4sRPai6PK+VSkJ8&#10;PeJUObJm2PfFcpBc1Ur/gLK9Oxzneeo+4qTHFs0T6hskZf4bOAaO6Flks+UvncJWiRhTmWshsTHI&#10;2DBl32fZFsA4Fya0hfmKlaK9jmV9XFcCjMgSWeqxO4C3hO2wW5o7++gq0kT1zvmfEmude48UGUzo&#10;nXVtwH0EoLCqLnJrvyOppSayFDaLTXq07duJVwsot/iSHbQj7i0/r/H5XDAf5szhTOP0454KV/iR&#10;CpqCQneipAL38NF9tMdRQy0lDe6IgvpfK+YEJeq7wSE8GoxGcakkYTT+OkTBvdYsXmvMSp8CPscB&#10;bkTL0zHaB7U7Sgf6DtfZLEZFFTMcYxeUB7cTTkO7u3AhcjGbJTNcJJaFC3NjeQSPRMfJuN3cMWe7&#10;GQo4fZew2yds8m6KWtvoaWC2CiDrNGIvvHYtwCWUZqRbmHHLvZaT1ctanz4DAAD//wMAUEsDBBQA&#10;BgAIAAAAIQCZcWsW3QAAAAkBAAAPAAAAZHJzL2Rvd25yZXYueG1sTI/NTsMwEITvSLyDtUjcqJNQ&#10;BZrGqRA/J040Fe3RjTdxRLyOYrcNb89yguPMjma/KTezG8QZp9B7UpAuEhBIjTc9dQp29dvdI4gQ&#10;NRk9eEIF3xhgU11flbow/kIfeN7GTnAJhUIrsDGOhZShseh0WPgRiW+tn5yOLKdOmklfuNwNMkuS&#10;XDrdE3+wesRni83X9uQUaOPGtD3Ur++hPuw/W3qxO1MrdXszP61BRJzjXxh+8RkdKmY6+hOZIAbW&#10;2T1viQqydAmCA6t8ycZRwUO+AlmV8v+C6gcAAP//AwBQSwECLQAUAAYACAAAACEAtoM4kv4AAADh&#10;AQAAEwAAAAAAAAAAAAAAAAAAAAAAW0NvbnRlbnRfVHlwZXNdLnhtbFBLAQItABQABgAIAAAAIQA4&#10;/SH/1gAAAJQBAAALAAAAAAAAAAAAAAAAAC8BAABfcmVscy8ucmVsc1BLAQItABQABgAIAAAAIQDW&#10;U7aRvwIAAB4GAAAOAAAAAAAAAAAAAAAAAC4CAABkcnMvZTJvRG9jLnhtbFBLAQItABQABgAIAAAA&#10;IQCZcWsW3QAAAAkBAAAPAAAAAAAAAAAAAAAAABkFAABkcnMvZG93bnJldi54bWxQSwUGAAAAAAQA&#10;BADzAAAAIwYAAAAA&#10;" fillcolor="#d8d8d8 [2732]" strokecolor="#d8d8d8 [2732]" strokeweight="1pt">
                <v:stroke joinstyle="miter"/>
                <v:textbox>
                  <w:txbxContent>
                    <w:p w14:paraId="5727F2BF" w14:textId="77777777" w:rsidR="005D4C4C" w:rsidRPr="008700CC" w:rsidRDefault="005D4C4C" w:rsidP="00CF216C">
                      <w:pPr>
                        <w:shd w:val="clear" w:color="auto" w:fill="D9D9D9" w:themeFill="background1" w:themeFillShade="D9"/>
                        <w:spacing w:line="276" w:lineRule="auto"/>
                        <w:jc w:val="both"/>
                        <w:rPr>
                          <w:rFonts w:eastAsia="Times New Roman" w:cstheme="minorHAnsi"/>
                          <w:b/>
                          <w:i/>
                        </w:rPr>
                      </w:pPr>
                      <w:r>
                        <w:rPr>
                          <w:rFonts w:eastAsia="Times New Roman" w:cstheme="minorHAnsi"/>
                          <w:b/>
                        </w:rPr>
                        <w:t>2</w:t>
                      </w:r>
                      <w:r w:rsidRPr="008700CC">
                        <w:rPr>
                          <w:rFonts w:eastAsia="Times New Roman" w:cstheme="minorHAnsi"/>
                          <w:b/>
                          <w:i/>
                        </w:rPr>
                        <w:t>.</w:t>
                      </w:r>
                      <w:r w:rsidRPr="00C916E9">
                        <w:rPr>
                          <w:rFonts w:cs="Helv"/>
                          <w:b/>
                          <w:bCs/>
                          <w:color w:val="000000"/>
                          <w:lang w:eastAsia="en-GB"/>
                        </w:rPr>
                        <w:t xml:space="preserve"> </w:t>
                      </w:r>
                      <w:r w:rsidRPr="009A0FAA">
                        <w:rPr>
                          <w:rFonts w:cs="Helv"/>
                          <w:b/>
                          <w:bCs/>
                          <w:i/>
                          <w:color w:val="000000"/>
                          <w:lang w:eastAsia="en-GB"/>
                        </w:rPr>
                        <w:t>Zwiększenie sprawności funkcjonowania administracji rządowej</w:t>
                      </w:r>
                      <w:r w:rsidRPr="00C916E9">
                        <w:rPr>
                          <w:rFonts w:cs="Helv"/>
                          <w:b/>
                          <w:bCs/>
                          <w:color w:val="000000"/>
                          <w:lang w:eastAsia="en-GB"/>
                        </w:rPr>
                        <w:t>.</w:t>
                      </w:r>
                    </w:p>
                    <w:p w14:paraId="32986B9E" w14:textId="77777777" w:rsidR="005D4C4C" w:rsidRDefault="005D4C4C" w:rsidP="00CF216C">
                      <w:pPr>
                        <w:jc w:val="center"/>
                      </w:pPr>
                    </w:p>
                  </w:txbxContent>
                </v:textbox>
                <w10:wrap anchorx="margin"/>
              </v:roundrect>
            </w:pict>
          </mc:Fallback>
        </mc:AlternateContent>
      </w:r>
      <w:r w:rsidRPr="00F21196">
        <w:rPr>
          <w:rFonts w:cs="Arial"/>
          <w:noProof/>
          <w:color w:val="000000" w:themeColor="text1"/>
          <w:lang w:eastAsia="pl-PL"/>
        </w:rPr>
        <mc:AlternateContent>
          <mc:Choice Requires="wps">
            <w:drawing>
              <wp:anchor distT="0" distB="0" distL="114300" distR="114300" simplePos="0" relativeHeight="252166144" behindDoc="0" locked="0" layoutInCell="1" allowOverlap="1" wp14:anchorId="2E06DEE2" wp14:editId="58A13E2B">
                <wp:simplePos x="0" y="0"/>
                <wp:positionH relativeFrom="margin">
                  <wp:posOffset>410265</wp:posOffset>
                </wp:positionH>
                <wp:positionV relativeFrom="paragraph">
                  <wp:posOffset>153587</wp:posOffset>
                </wp:positionV>
                <wp:extent cx="342900" cy="314325"/>
                <wp:effectExtent l="0" t="19050" r="38100" b="47625"/>
                <wp:wrapNone/>
                <wp:docPr id="144" name="Strzałka w prawo 144"/>
                <wp:cNvGraphicFramePr/>
                <a:graphic xmlns:a="http://schemas.openxmlformats.org/drawingml/2006/main">
                  <a:graphicData uri="http://schemas.microsoft.com/office/word/2010/wordprocessingShape">
                    <wps:wsp>
                      <wps:cNvSpPr/>
                      <wps:spPr>
                        <a:xfrm>
                          <a:off x="0" y="0"/>
                          <a:ext cx="342900" cy="314325"/>
                        </a:xfrm>
                        <a:prstGeom prst="rightArrow">
                          <a:avLst/>
                        </a:prstGeom>
                        <a:solidFill>
                          <a:schemeClr val="accent6">
                            <a:lumMod val="60000"/>
                            <a:lumOff val="40000"/>
                          </a:schemeClr>
                        </a:solidFill>
                        <a:ln w="12700" cap="flat" cmpd="sng" algn="ctr">
                          <a:solidFill>
                            <a:schemeClr val="accent6">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F686E" id="Strzałka w prawo 144" o:spid="_x0000_s1026" type="#_x0000_t13" style="position:absolute;margin-left:32.3pt;margin-top:12.1pt;width:27pt;height:24.75pt;z-index:25216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vFumgIAAH4FAAAOAAAAZHJzL2Uyb0RvYy54bWy0VE1PGzEQvVfqf7B8LxtCoBCRoAhEVYkC&#10;Uqg4D15v1qq/ajvZwLH/rf+rz94kfLSnqt2D1zNjz3jevJnTs7XRbCVDVM5O+P7egDNphauVXUz4&#10;17vLD8ecxUS2Ju2snPBHGfnZ9P27086P5dC1TtcyMDixcdz5CW9T8uOqiqKVhuKe89LC2LhgKEEM&#10;i6oO1MG70dVwMDiqOhdqH5yQMUJ70Rv5tPhvGinSTdNEmZiecLwtlTWU9SGv1fSUxotAvlVi8wz6&#10;i1cYUhZBd64uKBFbBvWbK6NEcNE1aU84U7mmUUKWHJDN/uBNNvOWvCy5AJzodzDFf+dWXK9uA1M1&#10;ajcacWbJoEjzFJ7o549vxDrmgahj2QioOh/HuDH3t2EjRWxz3usmmPxHRmxd4H3cwSvXiQkoD0bD&#10;kwGKIGA62B8dDA+zz+r5sg8xfZLOIGhEpYJatGkWgusKtLS6iqm/sD2YI0anVX2ptC5C5o0814Gt&#10;CBUnIaRNR+W6Xpovru71RwN8fe2hBkN69WirxpsKA7On8sJXQbRlHfAafizJEFjbaErIy3jgGO2C&#10;M9ILtINIoYR+dXvn+H8+MQN0QbHtY5T4fbpGJfSbVmbCj3O2BQWkq22GT5aO2cCci92XN+8eXP0I&#10;pgTXt1D04lIhyBXFdEsBPYPCYg6kGyyNdgDIbXactS48/Umfz4PKsHLWoQcB3vclBcmZ/mxB8hPQ&#10;LjdtEUaHH4cQwkvLw0uLXZpzh6LvY+J4Ubb5fNLbbROcuce4mOWoMJEViN2XaSOcp342YOAIOZuV&#10;Y2hUT+nKzr3IzjNOGd679T0Fv6FqAsev3bZfafyGq/3ZfNO62TK5RhUiP+MKkmUBTV7othlIeYq8&#10;lMup57E5/QUAAP//AwBQSwMEFAAGAAgAAAAhALqd4WbdAAAACAEAAA8AAABkcnMvZG93bnJldi54&#10;bWxMj81OwzAQhO9IvIO1SFwq6jREaRWyqfgRBzjRnwfYxksSiNdR7Lbh7XFPcJyd0cy35XqyvTrx&#10;6DsnCIt5AoqldqaTBmG/e71bgfKBxFDvhBF+2MO6ur4qqTDuLBs+bUOjYon4ghDaEIZCa1+3bMnP&#10;3cASvU83WgpRjo02I51jue11miS5ttRJXGhp4OeW6+/t0SIMtHHZbGafJv/2Qc3+/aXe8Rfi7c30&#10;+AAq8BT+wnDBj+hQRaaDO4rxqkfIszwmEdIsBXXxF6t4OCAs75egq1L/f6D6BQAA//8DAFBLAQIt&#10;ABQABgAIAAAAIQC2gziS/gAAAOEBAAATAAAAAAAAAAAAAAAAAAAAAABbQ29udGVudF9UeXBlc10u&#10;eG1sUEsBAi0AFAAGAAgAAAAhADj9If/WAAAAlAEAAAsAAAAAAAAAAAAAAAAALwEAAF9yZWxzLy5y&#10;ZWxzUEsBAi0AFAAGAAgAAAAhAArO8W6aAgAAfgUAAA4AAAAAAAAAAAAAAAAALgIAAGRycy9lMm9E&#10;b2MueG1sUEsBAi0AFAAGAAgAAAAhALqd4WbdAAAACAEAAA8AAAAAAAAAAAAAAAAA9AQAAGRycy9k&#10;b3ducmV2LnhtbFBLBQYAAAAABAAEAPMAAAD+BQAAAAA=&#10;" adj="11700" fillcolor="#a8d08d [1945]" strokecolor="#a8d08d [1945]" strokeweight="1pt">
                <w10:wrap anchorx="margin"/>
              </v:shape>
            </w:pict>
          </mc:Fallback>
        </mc:AlternateContent>
      </w:r>
    </w:p>
    <w:p w14:paraId="46DBD884" w14:textId="77777777" w:rsidR="00CF216C" w:rsidRPr="00F21196" w:rsidRDefault="00CF216C" w:rsidP="00CF216C">
      <w:pPr>
        <w:rPr>
          <w:rFonts w:cs="Arial"/>
          <w:color w:val="000000" w:themeColor="text1"/>
        </w:rPr>
      </w:pPr>
      <w:r w:rsidRPr="00F21196">
        <w:rPr>
          <w:rFonts w:cs="Arial"/>
          <w:noProof/>
          <w:color w:val="000000" w:themeColor="text1"/>
          <w:lang w:eastAsia="pl-PL"/>
        </w:rPr>
        <mc:AlternateContent>
          <mc:Choice Requires="wps">
            <w:drawing>
              <wp:anchor distT="0" distB="0" distL="114300" distR="114300" simplePos="0" relativeHeight="252163072" behindDoc="0" locked="0" layoutInCell="1" allowOverlap="1" wp14:anchorId="3CDAEF0F" wp14:editId="3611DA75">
                <wp:simplePos x="0" y="0"/>
                <wp:positionH relativeFrom="margin">
                  <wp:posOffset>788035</wp:posOffset>
                </wp:positionH>
                <wp:positionV relativeFrom="paragraph">
                  <wp:posOffset>274320</wp:posOffset>
                </wp:positionV>
                <wp:extent cx="5339715" cy="517525"/>
                <wp:effectExtent l="0" t="0" r="13335" b="15875"/>
                <wp:wrapNone/>
                <wp:docPr id="139" name="Prostokąt zaokrąglony 139"/>
                <wp:cNvGraphicFramePr/>
                <a:graphic xmlns:a="http://schemas.openxmlformats.org/drawingml/2006/main">
                  <a:graphicData uri="http://schemas.microsoft.com/office/word/2010/wordprocessingShape">
                    <wps:wsp>
                      <wps:cNvSpPr/>
                      <wps:spPr>
                        <a:xfrm>
                          <a:off x="0" y="0"/>
                          <a:ext cx="5339715" cy="517525"/>
                        </a:xfrm>
                        <a:prstGeom prst="roundRect">
                          <a:avLst/>
                        </a:prstGeom>
                        <a:solidFill>
                          <a:schemeClr val="bg1">
                            <a:lumMod val="85000"/>
                          </a:schemeClr>
                        </a:solidFill>
                        <a:ln w="12700" cap="flat" cmpd="sng" algn="ctr">
                          <a:solidFill>
                            <a:schemeClr val="bg1">
                              <a:lumMod val="85000"/>
                            </a:schemeClr>
                          </a:solidFill>
                          <a:prstDash val="solid"/>
                          <a:miter lim="800000"/>
                        </a:ln>
                        <a:effectLst/>
                      </wps:spPr>
                      <wps:txbx>
                        <w:txbxContent>
                          <w:p w14:paraId="1C656B43" w14:textId="77777777" w:rsidR="005D4C4C" w:rsidRPr="009A0FAA" w:rsidRDefault="005D4C4C" w:rsidP="00CF216C">
                            <w:pPr>
                              <w:shd w:val="clear" w:color="auto" w:fill="D9D9D9" w:themeFill="background1" w:themeFillShade="D9"/>
                              <w:autoSpaceDE w:val="0"/>
                              <w:autoSpaceDN w:val="0"/>
                              <w:adjustRightInd w:val="0"/>
                              <w:spacing w:after="0" w:line="240" w:lineRule="auto"/>
                              <w:ind w:left="284" w:hanging="284"/>
                              <w:jc w:val="both"/>
                              <w:rPr>
                                <w:rFonts w:cs="Calibri,Bold"/>
                                <w:b/>
                                <w:bCs/>
                                <w:i/>
                              </w:rPr>
                            </w:pPr>
                            <w:r>
                              <w:rPr>
                                <w:b/>
                              </w:rPr>
                              <w:t>3</w:t>
                            </w:r>
                            <w:r w:rsidRPr="00A12559">
                              <w:rPr>
                                <w:b/>
                                <w:bCs/>
                              </w:rPr>
                              <w:t>.</w:t>
                            </w:r>
                            <w:r w:rsidRPr="00C916E9">
                              <w:rPr>
                                <w:b/>
                                <w:bCs/>
                                <w:i/>
                              </w:rPr>
                              <w:t xml:space="preserve"> </w:t>
                            </w:r>
                            <w:r w:rsidRPr="009A0FAA">
                              <w:rPr>
                                <w:rFonts w:cs="Calibri,Bold"/>
                                <w:b/>
                                <w:bCs/>
                                <w:i/>
                              </w:rPr>
                              <w:t xml:space="preserve">Zwiększenie zdolności administracji rządowej i służby publicznej do kreowania </w:t>
                            </w:r>
                          </w:p>
                          <w:p w14:paraId="79D09B2A" w14:textId="77777777" w:rsidR="005D4C4C" w:rsidRPr="00201188" w:rsidRDefault="005D4C4C" w:rsidP="00CF216C">
                            <w:pPr>
                              <w:shd w:val="clear" w:color="auto" w:fill="D9D9D9" w:themeFill="background1" w:themeFillShade="D9"/>
                              <w:autoSpaceDE w:val="0"/>
                              <w:autoSpaceDN w:val="0"/>
                              <w:adjustRightInd w:val="0"/>
                              <w:spacing w:after="0" w:line="240" w:lineRule="auto"/>
                              <w:ind w:left="284" w:hanging="142"/>
                              <w:jc w:val="both"/>
                              <w:rPr>
                                <w:rFonts w:cs="Arial"/>
                                <w:color w:val="000000"/>
                              </w:rPr>
                            </w:pPr>
                            <w:r w:rsidRPr="009A0FAA">
                              <w:rPr>
                                <w:rFonts w:cs="Calibri,Bold"/>
                                <w:b/>
                                <w:bCs/>
                                <w:i/>
                              </w:rPr>
                              <w:t>i zarządzania polityką państwa</w:t>
                            </w:r>
                            <w:r w:rsidRPr="005A57B8">
                              <w:rPr>
                                <w:rFonts w:cs="Calibri,Bold"/>
                                <w:b/>
                                <w:bCs/>
                              </w:rPr>
                              <w:t>.</w:t>
                            </w:r>
                          </w:p>
                          <w:p w14:paraId="52DD9271" w14:textId="77777777" w:rsidR="005D4C4C" w:rsidRPr="00C916E9" w:rsidRDefault="005D4C4C" w:rsidP="00CF216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DAEF0F" id="Prostokąt zaokrąglony 139" o:spid="_x0000_s1052" style="position:absolute;margin-left:62.05pt;margin-top:21.6pt;width:420.45pt;height:40.75pt;z-index:25216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dLWoQIAAGEFAAAOAAAAZHJzL2Uyb0RvYy54bWysVM1u2zAMvg/YOwi6r07SummDOkXQosOA&#10;bg3WDj0rsmwLlURNUmKn975ZH2yU7KQ/22nbxSZFihQ/fuTZeacV2QjnJZiCjg9GlAjDoZSmLuiP&#10;u6tPJ5T4wEzJFBhR0K3w9Hz+8cNZa2diAg2oUjiCQYyftbagTQh2lmWeN0IzfwBWGDRW4DQLqLo6&#10;Kx1rMbpW2WQ0Os5acKV1wIX3eHrZG+k8xa8qwcNNVXkRiCoovi2kr0vfVfxm8zM2qx2zjeTDM9hf&#10;vEIzaTDpPtQlC4ysnfwtlJbcgYcqHHDQGVSV5CLVgNWMR++quW2YFakWBMfbPUz+/4Xl3zZLR2SJ&#10;vTs8pcQwjU1a4hMDPDw/BfLI4ME9P9XYvS2JLghYa/0M793apRs0j2Ksvqucjn+si3QJ5O0eZNEF&#10;wvEwPzw8nY5zSjja8vE0n+QxaPZy2zofPgvQJAoFdbA25XfsZAKYba596P13fjGjByXLK6lUUiJ7&#10;xIVyZMOw76t6nK6qtf4KZX92ko9GqfuYN5EtuqdXvImkDGkRmskUnQlnSNBKsYCitgiZNzUlTNXI&#10;fB5cyvHm9j7wP78jlnrJfNMHSkl66moZcH6U1AU9wYr2NSkTgRBpAgbAYtv6RkUpdKsu9X1yvOvp&#10;CsotksFBPyXe8iuJea+ZD0vmcCwQAxz1cIOfSgECA4NESQPu8U/n0R/ZilZKWhwzBO3nmjlBifpi&#10;kMen46OjOJdJOcqnE1Tca8vqtcWs9QVgR8e4VCxPYvQPaidWDvQ9boRFzIomZjjm7tszKBehH3/c&#10;KVwsFskNZ9GycG1uLY/BI3QR8bvunjk70DAggb/BbiTZ7B0Re99408BiHaCSiaUR6h5XJFdUcI4T&#10;zYadExfFaz15vWzG+S8AAAD//wMAUEsDBBQABgAIAAAAIQDs6IRh3QAAAAoBAAAPAAAAZHJzL2Rv&#10;d25yZXYueG1sTI/NTsMwEITvSLyDtUjcqJNQSglxKsTPiVObiva4jZ04Il5HsduGt2fhAsfRjGa+&#10;KVaT68XJjKHzpCCdJSAM1V531CrYVm83SxAhImnsPRkFXybAqry8KDDX/kxrc9rEVnAJhRwV2BiH&#10;XMpQW+MwzPxgiL3Gjw4jy7GVesQzl7teZkmykA474gWLg3m2pv7cHJ0C1G5Im331+h6q/e6joRe7&#10;1ZVS11fT0yOIaKb4F4YffEaHkpkO/kg6iJ51Nk85qmB+m4HgwMPijs8dfp17kGUh/18ovwEAAP//&#10;AwBQSwECLQAUAAYACAAAACEAtoM4kv4AAADhAQAAEwAAAAAAAAAAAAAAAAAAAAAAW0NvbnRlbnRf&#10;VHlwZXNdLnhtbFBLAQItABQABgAIAAAAIQA4/SH/1gAAAJQBAAALAAAAAAAAAAAAAAAAAC8BAABf&#10;cmVscy8ucmVsc1BLAQItABQABgAIAAAAIQA8hdLWoQIAAGEFAAAOAAAAAAAAAAAAAAAAAC4CAABk&#10;cnMvZTJvRG9jLnhtbFBLAQItABQABgAIAAAAIQDs6IRh3QAAAAoBAAAPAAAAAAAAAAAAAAAAAPsE&#10;AABkcnMvZG93bnJldi54bWxQSwUGAAAAAAQABADzAAAABQYAAAAA&#10;" fillcolor="#d8d8d8 [2732]" strokecolor="#d8d8d8 [2732]" strokeweight="1pt">
                <v:stroke joinstyle="miter"/>
                <v:textbox>
                  <w:txbxContent>
                    <w:p w14:paraId="1C656B43" w14:textId="77777777" w:rsidR="005D4C4C" w:rsidRPr="009A0FAA" w:rsidRDefault="005D4C4C" w:rsidP="00CF216C">
                      <w:pPr>
                        <w:shd w:val="clear" w:color="auto" w:fill="D9D9D9" w:themeFill="background1" w:themeFillShade="D9"/>
                        <w:autoSpaceDE w:val="0"/>
                        <w:autoSpaceDN w:val="0"/>
                        <w:adjustRightInd w:val="0"/>
                        <w:spacing w:after="0" w:line="240" w:lineRule="auto"/>
                        <w:ind w:left="284" w:hanging="284"/>
                        <w:jc w:val="both"/>
                        <w:rPr>
                          <w:rFonts w:cs="Calibri,Bold"/>
                          <w:b/>
                          <w:bCs/>
                          <w:i/>
                        </w:rPr>
                      </w:pPr>
                      <w:r>
                        <w:rPr>
                          <w:b/>
                        </w:rPr>
                        <w:t>3</w:t>
                      </w:r>
                      <w:r w:rsidRPr="00A12559">
                        <w:rPr>
                          <w:b/>
                          <w:bCs/>
                        </w:rPr>
                        <w:t>.</w:t>
                      </w:r>
                      <w:r w:rsidRPr="00C916E9">
                        <w:rPr>
                          <w:b/>
                          <w:bCs/>
                          <w:i/>
                        </w:rPr>
                        <w:t xml:space="preserve"> </w:t>
                      </w:r>
                      <w:r w:rsidRPr="009A0FAA">
                        <w:rPr>
                          <w:rFonts w:cs="Calibri,Bold"/>
                          <w:b/>
                          <w:bCs/>
                          <w:i/>
                        </w:rPr>
                        <w:t xml:space="preserve">Zwiększenie zdolności administracji rządowej i służby publicznej do kreowania </w:t>
                      </w:r>
                    </w:p>
                    <w:p w14:paraId="79D09B2A" w14:textId="77777777" w:rsidR="005D4C4C" w:rsidRPr="00201188" w:rsidRDefault="005D4C4C" w:rsidP="00CF216C">
                      <w:pPr>
                        <w:shd w:val="clear" w:color="auto" w:fill="D9D9D9" w:themeFill="background1" w:themeFillShade="D9"/>
                        <w:autoSpaceDE w:val="0"/>
                        <w:autoSpaceDN w:val="0"/>
                        <w:adjustRightInd w:val="0"/>
                        <w:spacing w:after="0" w:line="240" w:lineRule="auto"/>
                        <w:ind w:left="284" w:hanging="142"/>
                        <w:jc w:val="both"/>
                        <w:rPr>
                          <w:rFonts w:cs="Arial"/>
                          <w:color w:val="000000"/>
                        </w:rPr>
                      </w:pPr>
                      <w:r w:rsidRPr="009A0FAA">
                        <w:rPr>
                          <w:rFonts w:cs="Calibri,Bold"/>
                          <w:b/>
                          <w:bCs/>
                          <w:i/>
                        </w:rPr>
                        <w:t>i zarządzania polityką państwa</w:t>
                      </w:r>
                      <w:r w:rsidRPr="005A57B8">
                        <w:rPr>
                          <w:rFonts w:cs="Calibri,Bold"/>
                          <w:b/>
                          <w:bCs/>
                        </w:rPr>
                        <w:t>.</w:t>
                      </w:r>
                    </w:p>
                    <w:p w14:paraId="52DD9271" w14:textId="77777777" w:rsidR="005D4C4C" w:rsidRPr="00C916E9" w:rsidRDefault="005D4C4C" w:rsidP="00CF216C"/>
                  </w:txbxContent>
                </v:textbox>
                <w10:wrap anchorx="margin"/>
              </v:roundrect>
            </w:pict>
          </mc:Fallback>
        </mc:AlternateContent>
      </w:r>
    </w:p>
    <w:p w14:paraId="7B0E21E2" w14:textId="77777777" w:rsidR="00CF216C" w:rsidRPr="00F21196" w:rsidRDefault="00CF216C" w:rsidP="00CF216C">
      <w:pPr>
        <w:rPr>
          <w:rFonts w:cs="Arial"/>
          <w:color w:val="000000" w:themeColor="text1"/>
        </w:rPr>
      </w:pPr>
      <w:r w:rsidRPr="00F21196">
        <w:rPr>
          <w:rFonts w:cs="Arial"/>
          <w:noProof/>
          <w:color w:val="000000" w:themeColor="text1"/>
          <w:lang w:eastAsia="pl-PL"/>
        </w:rPr>
        <mc:AlternateContent>
          <mc:Choice Requires="wps">
            <w:drawing>
              <wp:anchor distT="0" distB="0" distL="114300" distR="114300" simplePos="0" relativeHeight="252165120" behindDoc="0" locked="0" layoutInCell="1" allowOverlap="1" wp14:anchorId="65F68355" wp14:editId="3D194300">
                <wp:simplePos x="0" y="0"/>
                <wp:positionH relativeFrom="margin">
                  <wp:posOffset>393329</wp:posOffset>
                </wp:positionH>
                <wp:positionV relativeFrom="paragraph">
                  <wp:posOffset>123465</wp:posOffset>
                </wp:positionV>
                <wp:extent cx="342900" cy="314325"/>
                <wp:effectExtent l="0" t="19050" r="38100" b="47625"/>
                <wp:wrapNone/>
                <wp:docPr id="141" name="Strzałka w prawo 141"/>
                <wp:cNvGraphicFramePr/>
                <a:graphic xmlns:a="http://schemas.openxmlformats.org/drawingml/2006/main">
                  <a:graphicData uri="http://schemas.microsoft.com/office/word/2010/wordprocessingShape">
                    <wps:wsp>
                      <wps:cNvSpPr/>
                      <wps:spPr>
                        <a:xfrm>
                          <a:off x="0" y="0"/>
                          <a:ext cx="342900" cy="314325"/>
                        </a:xfrm>
                        <a:prstGeom prst="rightArrow">
                          <a:avLst/>
                        </a:prstGeom>
                        <a:solidFill>
                          <a:schemeClr val="accent6">
                            <a:lumMod val="60000"/>
                            <a:lumOff val="40000"/>
                          </a:schemeClr>
                        </a:solidFill>
                        <a:ln w="12700" cap="flat" cmpd="sng" algn="ctr">
                          <a:solidFill>
                            <a:schemeClr val="accent6">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56497" id="Strzałka w prawo 141" o:spid="_x0000_s1026" type="#_x0000_t13" style="position:absolute;margin-left:30.95pt;margin-top:9.7pt;width:27pt;height:24.75pt;z-index:25216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P1rmgIAAH4FAAAOAAAAZHJzL2Uyb0RvYy54bWy0VNtOGzEQfa/Uf7D8XjYJgUJEgiIQVSUK&#10;SKHiefB6s1Z9q+2wgcf+W/+rx94kXNqnqs3DxjNjz+XMmTk5XRvNHmSIytkpH+4NOJNWuFrZ5ZR/&#10;vb34cMRZTGRr0s7KKX+UkZ/O3r876fxEjlzrdC0DgxMbJ52f8jYlP6mqKFppKO45Ly2MjQuGEsSw&#10;rOpAHbwbXY0Gg8Oqc6H2wQkZI7TnvZHPiv+mkSJdN02UiekpR26pfEP53udvNTuhyTKQb5XYpEF/&#10;kYUhZRF05+qcErFVUL+5MkoEF12T9oQzlWsaJWSpAdUMB2+qWbTkZakF4ES/gyn+O7fi6uEmMFWj&#10;d+MhZ5YMmrRI4Yl+/vhGrGMeiDqWjYCq83GCFwt/EzZSxDHXvW6Cyf+oiK0LvI87eOU6MQHl/nh0&#10;PEATBEz7w/H+6CD7rJ4f+xDTJ+kMgkZ0Kqhlm+YhuK5ASw+XMfUPthdzxOi0qi+U1kXIvJFnOrAH&#10;QsdJCGnTYXmuV+aLq3v94QC/vvdQgyG9erxVI6fCwOypZPgqiLasA16jj6UYAmsbTQl1GQ8co11y&#10;RnqJcRAplNCvXu8c/88UM0DnFNs+Ronfl2tUwrxpZab8KFdbUEC52mb4ZJmYDcy52X178+ne1Y9g&#10;SnD9CEUvLhSCXFJMNxQwM2gs9kC6xqfRDgC5zYmz1oWnP+nzfVAZVs46zCDA+76iIDnTny1Ifjwc&#10;j/PQFmF88HEEIby03L+02JU5c2g6aIzsyjHfT3p7bIIzd1gX8xwVJrICsfs2bYSz1O8GLBwh5/Ny&#10;DYPqKV3ahRfZecYpw3u7vqPgN1RN4PiV284rTd5wtb+bX1o3XyXXqELkZ1xBsixgyAvdNgspb5GX&#10;crn1vDZnvwAAAP//AwBQSwMEFAAGAAgAAAAhAMIWNu/cAAAACAEAAA8AAABkcnMvZG93bnJldi54&#10;bWxMj81OwzAQhO9IvIO1SFwq6gSVqglxKn7EAU705wG28TZJiddR7Lbh7dmeynHnG83OFMvRdepE&#10;Q2g9G0inCSjiytuWawPbzcfDAlSIyBY7z2TglwIsy9ubAnPrz7yi0zrWSkI45GigibHPtQ5VQw7D&#10;1PfEwvZ+cBjlHGptBzxLuOv0Y5LMtcOW5UODPb01VP2sj85Ajys/m0zc6xg+v7Hefr1XGzoYc383&#10;vjyDijTGqxku9aU6lNJp549sg+oMzNNMnKJnM1AXnj6JsBOwyECXhf4/oPwDAAD//wMAUEsBAi0A&#10;FAAGAAgAAAAhALaDOJL+AAAA4QEAABMAAAAAAAAAAAAAAAAAAAAAAFtDb250ZW50X1R5cGVzXS54&#10;bWxQSwECLQAUAAYACAAAACEAOP0h/9YAAACUAQAACwAAAAAAAAAAAAAAAAAvAQAAX3JlbHMvLnJl&#10;bHNQSwECLQAUAAYACAAAACEANrD9a5oCAAB+BQAADgAAAAAAAAAAAAAAAAAuAgAAZHJzL2Uyb0Rv&#10;Yy54bWxQSwECLQAUAAYACAAAACEAwhY279wAAAAIAQAADwAAAAAAAAAAAAAAAAD0BAAAZHJzL2Rv&#10;d25yZXYueG1sUEsFBgAAAAAEAAQA8wAAAP0FAAAAAA==&#10;" adj="11700" fillcolor="#a8d08d [1945]" strokecolor="#a8d08d [1945]" strokeweight="1pt">
                <w10:wrap anchorx="margin"/>
              </v:shape>
            </w:pict>
          </mc:Fallback>
        </mc:AlternateContent>
      </w:r>
    </w:p>
    <w:p w14:paraId="6836C473" w14:textId="77777777" w:rsidR="00CF216C" w:rsidRPr="00F21196" w:rsidRDefault="00CF216C" w:rsidP="00CF216C">
      <w:pPr>
        <w:rPr>
          <w:rFonts w:cs="Arial"/>
          <w:color w:val="000000" w:themeColor="text1"/>
        </w:rPr>
      </w:pPr>
    </w:p>
    <w:p w14:paraId="181B589B" w14:textId="77777777" w:rsidR="00CF216C" w:rsidRPr="00F21196" w:rsidRDefault="00CF216C" w:rsidP="00CF216C">
      <w:pPr>
        <w:rPr>
          <w:rFonts w:cs="Arial"/>
          <w:color w:val="000000" w:themeColor="text1"/>
        </w:rPr>
      </w:pPr>
      <w:r w:rsidRPr="00F21196">
        <w:rPr>
          <w:rFonts w:cs="Arial"/>
          <w:noProof/>
          <w:color w:val="000000" w:themeColor="text1"/>
          <w:lang w:eastAsia="pl-PL"/>
        </w:rPr>
        <mc:AlternateContent>
          <mc:Choice Requires="wps">
            <w:drawing>
              <wp:anchor distT="0" distB="0" distL="114300" distR="114300" simplePos="0" relativeHeight="252161024" behindDoc="0" locked="0" layoutInCell="1" allowOverlap="1" wp14:anchorId="0D2C18CA" wp14:editId="6FBFC34A">
                <wp:simplePos x="0" y="0"/>
                <wp:positionH relativeFrom="margin">
                  <wp:posOffset>783207</wp:posOffset>
                </wp:positionH>
                <wp:positionV relativeFrom="paragraph">
                  <wp:posOffset>23758</wp:posOffset>
                </wp:positionV>
                <wp:extent cx="5296205" cy="299085"/>
                <wp:effectExtent l="0" t="0" r="19050" b="24765"/>
                <wp:wrapNone/>
                <wp:docPr id="136" name="Prostokąt zaokrąglony 136"/>
                <wp:cNvGraphicFramePr/>
                <a:graphic xmlns:a="http://schemas.openxmlformats.org/drawingml/2006/main">
                  <a:graphicData uri="http://schemas.microsoft.com/office/word/2010/wordprocessingShape">
                    <wps:wsp>
                      <wps:cNvSpPr/>
                      <wps:spPr>
                        <a:xfrm>
                          <a:off x="0" y="0"/>
                          <a:ext cx="5296205" cy="299085"/>
                        </a:xfrm>
                        <a:prstGeom prst="roundRect">
                          <a:avLst/>
                        </a:prstGeom>
                        <a:solidFill>
                          <a:schemeClr val="bg1">
                            <a:lumMod val="85000"/>
                          </a:schemeClr>
                        </a:solidFill>
                        <a:ln w="12700" cap="flat" cmpd="sng" algn="ctr">
                          <a:solidFill>
                            <a:schemeClr val="bg1">
                              <a:lumMod val="85000"/>
                            </a:schemeClr>
                          </a:solidFill>
                          <a:prstDash val="solid"/>
                          <a:miter lim="800000"/>
                        </a:ln>
                        <a:effectLst/>
                      </wps:spPr>
                      <wps:txbx>
                        <w:txbxContent>
                          <w:p w14:paraId="1947E061" w14:textId="7FCD04AB" w:rsidR="005D4C4C" w:rsidRPr="00647903" w:rsidRDefault="005D4C4C" w:rsidP="00CF216C">
                            <w:pPr>
                              <w:pBdr>
                                <w:bottom w:val="single" w:sz="24" w:space="1" w:color="A8D08D" w:themeColor="accent6" w:themeTint="99"/>
                              </w:pBdr>
                              <w:shd w:val="clear" w:color="auto" w:fill="D9D9D9" w:themeFill="background1" w:themeFillShade="D9"/>
                              <w:tabs>
                                <w:tab w:val="left" w:pos="6061"/>
                              </w:tabs>
                              <w:spacing w:after="60"/>
                              <w:rPr>
                                <w:rFonts w:cs="Arial"/>
                                <w:b/>
                                <w:spacing w:val="4"/>
                              </w:rPr>
                            </w:pPr>
                            <w:r w:rsidRPr="00647903">
                              <w:rPr>
                                <w:rFonts w:eastAsia="Times New Roman" w:cstheme="minorHAnsi"/>
                                <w:b/>
                              </w:rPr>
                              <w:t xml:space="preserve">4. </w:t>
                            </w:r>
                            <w:r w:rsidRPr="009A0FAA">
                              <w:rPr>
                                <w:rFonts w:cs="Arial"/>
                                <w:b/>
                                <w:i/>
                                <w:spacing w:val="4"/>
                              </w:rPr>
                              <w:t>Trwałe włączenie dostępności do wszystkich polityk publicznych</w:t>
                            </w:r>
                            <w:r>
                              <w:rPr>
                                <w:rFonts w:cs="Arial"/>
                                <w:b/>
                                <w:i/>
                                <w:spacing w:val="4"/>
                              </w:rPr>
                              <w:t>.</w:t>
                            </w:r>
                          </w:p>
                          <w:p w14:paraId="7577AF38" w14:textId="77777777" w:rsidR="005D4C4C" w:rsidRDefault="005D4C4C" w:rsidP="00CF216C"/>
                          <w:p w14:paraId="0B89EA36" w14:textId="77777777" w:rsidR="005D4C4C" w:rsidRDefault="005D4C4C" w:rsidP="00CF216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2C18CA" id="Prostokąt zaokrąglony 136" o:spid="_x0000_s1053" style="position:absolute;margin-left:61.65pt;margin-top:1.85pt;width:417pt;height:23.55pt;z-index:25216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RssoAIAAGEFAAAOAAAAZHJzL2Uyb0RvYy54bWysVM1u2zAMvg/YOwi6r3a8pk2COkXQosOA&#10;rg2WDj0rsvyDSqImKbHTe9+sDzZKdtKf7bTtYpMiRYofP/LsvFOSbIV1Deicjo5SSoTmUDS6yumP&#10;u6tPE0qcZ7pgErTI6U44ej7/+OGsNTORQQ2yEJZgEO1mrclp7b2ZJYnjtVDMHYERGo0lWMU8qrZK&#10;CstajK5kkqXpSdKCLYwFLpzD08veSOcxflkK7m/L0glPZE7xbT5+bfyuwzeZn7FZZZmpGz48g/3F&#10;KxRrNCY9hLpknpGNbX4LpRpuwUHpjzioBMqy4SLWgNWM0nfVrGpmRKwFwXHmAJP7f2H5zXZpSVNg&#10;7z6fUKKZwiYt8YkeHp6fPHlk8GCfnyrs3o4EFwSsNW6G91ZmaQfNoRiq70qrwh/rIl0EeXcAWXSe&#10;cDwcZ9OTLB1TwtGWTafpZByCJi+3jXX+iwBFgpBTCxtdfMdORoDZ9tr53n/vFzI6kE1x1UgZlcAe&#10;cSEt2TLs+7oaxatyo75B0Z9Nxmkau495I9mCe3zFm0hSkxahyU7RmXCGBC0l8ygqg5A5XVHCZIXM&#10;597GHG9uHwL/8ztCqZfM1X2gmKSnrmo8zo9sVE4nWNGhJqkDECJOwABYaFvfqCD5bt3Fvmen+56u&#10;odghGSz0U+IMv2ow7zVzfsksjgVigKPub/FTSkBgYJAoqcE+/uk8+CNb0UpJi2OGoP3cMCsokV81&#10;8ng6Oj4OcxmV4/Fphop9bVm/tuiNugDs6AiXiuFRDP5e7sXSgrrHjbAIWdHENMfcfXsG5cL34487&#10;hYvFIrrhLBrmr/XK8BA8QBcQv+vumTUDDT0S+Ab2I8lm74jY+4abGhYbD2UTWRqg7nFFcgUF5zjS&#10;bNg5YVG81qPXy2ac/wIAAP//AwBQSwMEFAAGAAgAAAAhAMyTSAHcAAAACAEAAA8AAABkcnMvZG93&#10;bnJldi54bWxMj8tOwzAQRfdI/IM1SOyo00alJcSpEI8VK5oKupzGk4eIx1HstuHvGVZleXSv7pzJ&#10;N5Pr1YnG0Hk2MJ8loIgrbztuDOzKt7s1qBCRLfaeycAPBdgU11c5Ztaf+YNO29goGeGQoYE2xiHT&#10;OlQtOQwzPxBLVvvRYRQcG21HPMu46/UiSe61w47lQosDPbdUfW+PzgBaN8zrffn6Hsr912fNL+3O&#10;lsbc3kxPj6AiTfFShj99UYdCnA7+yDaoXniRplI1kK5ASf6wXAkfDCyTNegi1/8fKH4BAAD//wMA&#10;UEsBAi0AFAAGAAgAAAAhALaDOJL+AAAA4QEAABMAAAAAAAAAAAAAAAAAAAAAAFtDb250ZW50X1R5&#10;cGVzXS54bWxQSwECLQAUAAYACAAAACEAOP0h/9YAAACUAQAACwAAAAAAAAAAAAAAAAAvAQAAX3Jl&#10;bHMvLnJlbHNQSwECLQAUAAYACAAAACEALzEbLKACAABhBQAADgAAAAAAAAAAAAAAAAAuAgAAZHJz&#10;L2Uyb0RvYy54bWxQSwECLQAUAAYACAAAACEAzJNIAdwAAAAIAQAADwAAAAAAAAAAAAAAAAD6BAAA&#10;ZHJzL2Rvd25yZXYueG1sUEsFBgAAAAAEAAQA8wAAAAMGAAAAAA==&#10;" fillcolor="#d8d8d8 [2732]" strokecolor="#d8d8d8 [2732]" strokeweight="1pt">
                <v:stroke joinstyle="miter"/>
                <v:textbox>
                  <w:txbxContent>
                    <w:p w14:paraId="1947E061" w14:textId="7FCD04AB" w:rsidR="005D4C4C" w:rsidRPr="00647903" w:rsidRDefault="005D4C4C" w:rsidP="00CF216C">
                      <w:pPr>
                        <w:pBdr>
                          <w:bottom w:val="single" w:sz="24" w:space="1" w:color="A8D08D" w:themeColor="accent6" w:themeTint="99"/>
                        </w:pBdr>
                        <w:shd w:val="clear" w:color="auto" w:fill="D9D9D9" w:themeFill="background1" w:themeFillShade="D9"/>
                        <w:tabs>
                          <w:tab w:val="left" w:pos="6061"/>
                        </w:tabs>
                        <w:spacing w:after="60"/>
                        <w:rPr>
                          <w:rFonts w:cs="Arial"/>
                          <w:b/>
                          <w:spacing w:val="4"/>
                        </w:rPr>
                      </w:pPr>
                      <w:r w:rsidRPr="00647903">
                        <w:rPr>
                          <w:rFonts w:eastAsia="Times New Roman" w:cstheme="minorHAnsi"/>
                          <w:b/>
                        </w:rPr>
                        <w:t xml:space="preserve">4. </w:t>
                      </w:r>
                      <w:r w:rsidRPr="009A0FAA">
                        <w:rPr>
                          <w:rFonts w:cs="Arial"/>
                          <w:b/>
                          <w:i/>
                          <w:spacing w:val="4"/>
                        </w:rPr>
                        <w:t>Trwałe włączenie dostępności do wszystkich polityk publicznych</w:t>
                      </w:r>
                      <w:r>
                        <w:rPr>
                          <w:rFonts w:cs="Arial"/>
                          <w:b/>
                          <w:i/>
                          <w:spacing w:val="4"/>
                        </w:rPr>
                        <w:t>.</w:t>
                      </w:r>
                    </w:p>
                    <w:p w14:paraId="7577AF38" w14:textId="77777777" w:rsidR="005D4C4C" w:rsidRDefault="005D4C4C" w:rsidP="00CF216C"/>
                    <w:p w14:paraId="0B89EA36" w14:textId="77777777" w:rsidR="005D4C4C" w:rsidRDefault="005D4C4C" w:rsidP="00CF216C"/>
                  </w:txbxContent>
                </v:textbox>
                <w10:wrap anchorx="margin"/>
              </v:roundrect>
            </w:pict>
          </mc:Fallback>
        </mc:AlternateContent>
      </w:r>
      <w:r w:rsidRPr="00F21196">
        <w:rPr>
          <w:rFonts w:cs="Arial"/>
          <w:noProof/>
          <w:color w:val="000000" w:themeColor="text1"/>
          <w:lang w:eastAsia="pl-PL"/>
        </w:rPr>
        <mc:AlternateContent>
          <mc:Choice Requires="wps">
            <w:drawing>
              <wp:anchor distT="0" distB="0" distL="114300" distR="114300" simplePos="0" relativeHeight="252158976" behindDoc="0" locked="0" layoutInCell="1" allowOverlap="1" wp14:anchorId="2AB3D9C8" wp14:editId="50B696B6">
                <wp:simplePos x="0" y="0"/>
                <wp:positionH relativeFrom="margin">
                  <wp:posOffset>406125</wp:posOffset>
                </wp:positionH>
                <wp:positionV relativeFrom="paragraph">
                  <wp:posOffset>10256</wp:posOffset>
                </wp:positionV>
                <wp:extent cx="342900" cy="314325"/>
                <wp:effectExtent l="0" t="19050" r="38100" b="47625"/>
                <wp:wrapNone/>
                <wp:docPr id="92" name="Strzałka w prawo 92"/>
                <wp:cNvGraphicFramePr/>
                <a:graphic xmlns:a="http://schemas.openxmlformats.org/drawingml/2006/main">
                  <a:graphicData uri="http://schemas.microsoft.com/office/word/2010/wordprocessingShape">
                    <wps:wsp>
                      <wps:cNvSpPr/>
                      <wps:spPr>
                        <a:xfrm>
                          <a:off x="0" y="0"/>
                          <a:ext cx="342900" cy="314325"/>
                        </a:xfrm>
                        <a:prstGeom prst="rightArrow">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D4923" id="Strzałka w prawo 92" o:spid="_x0000_s1026" type="#_x0000_t13" style="position:absolute;margin-left:32pt;margin-top:.8pt;width:27pt;height:24.75pt;z-index:25215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M8yswIAADkGAAAOAAAAZHJzL2Uyb0RvYy54bWzEVEtvEzEQviPxHyzf6T6aFhp1U0WtipBK&#10;W5Ginl2vN7vC6zFjJ5v0yH/jfzH2brahFA4IiRw2nvfMN4/Ts02r2Vqha8AUPDtIOVNGQtmYZcE/&#10;312+eceZ88KUQoNRBd8qx89mr1+ddnaqcqhBlwoZOTFu2tmC197baZI4WatWuAOwypCwAmyFJxKX&#10;SYmiI++tTvI0PU46wNIiSOUccS96IZ9F/1WlpL+pKqc80wWn3Hz8Yvw+hG8yOxXTJQpbN3JIQ/xF&#10;Fq1oDAUdXV0IL9gKm19ctY1EcFD5AwltAlXVSBVroGqy9Fk1i1pYFWshcJwdYXL/zq28Xt8ia8qC&#10;n+ScGdFSjxYeH8X3b18E65glQIGRjIDqrJuS/sLe4kA5eoaqNxW24Z/qYZsI7nYEV208k8Q8nOQn&#10;KbVAkugwmxzmR8Fn8mRs0fn3ClqK6ahP2CxrP0eELgIr1lfO9wY7xRDRgW7Ky0brSISpUeca2VpQ&#10;v4WUyvjjaK5X7Ucoe/5xSr++88Sm+ejZkx2bcorzFzzFDH8Kos3/iEs5hcBJ6EGPenz5rVYhHW0+&#10;qYraSDjnsd6xgH0osl5Ui1L17KPflhwdBs8VYTv6Hhy8BHM2dHPQD6Yq7t9onP4psb6zo0WMDMaP&#10;xm1jAF9yoP0YudffgdRDE1B6gHJLQ47Qb7+z8rKhEbsSzt8KpHWnqaQT5m/oU2noCg7Di7Ma8PEl&#10;ftCnLSQpZx2dj4K7ryuBijP9wdB+nmSTSbg3kZgcvc2JwH3Jw77ErNpzoInN6FhaGZ9B3+vds0Jo&#10;7+nSzUNUEgkjKXbBpccdce77s0a3Uqr5PKrRjbHCX5mFlcF5QDUsz93mXqAd9szTgl7D7tSI6bNF&#10;63WDpYH5ykPVxC18wnXAm+5T3JXhloYDuE9HraeLP/sBAAD//wMAUEsDBBQABgAIAAAAIQCLOwow&#10;2wAAAAcBAAAPAAAAZHJzL2Rvd25yZXYueG1sTI/NTsMwEITvSH0HaytxqagTVKIqxKkKiAOc6M8D&#10;bOMlCY3XUey24e3ZnuhxdlYz3xSr0XXqTENoPRtI5wko4srblmsD+937wxJUiMgWO89k4JcCrMrJ&#10;XYG59Rfe0HkbayUhHHI00MTY51qHqiGHYe57YvG+/eAwihxqbQe8SLjr9GOSZNphy9LQYE+vDVXH&#10;7ckZ6HHjF7OZexnDxxfW+8+3akc/xtxPx/UzqEhj/H+GK76gQylMB39iG1RnIFvIlCj3DNTVTpei&#10;Dwae0hR0Wehb/vIPAAD//wMAUEsBAi0AFAAGAAgAAAAhALaDOJL+AAAA4QEAABMAAAAAAAAAAAAA&#10;AAAAAAAAAFtDb250ZW50X1R5cGVzXS54bWxQSwECLQAUAAYACAAAACEAOP0h/9YAAACUAQAACwAA&#10;AAAAAAAAAAAAAAAvAQAAX3JlbHMvLnJlbHNQSwECLQAUAAYACAAAACEAhYzPMrMCAAA5BgAADgAA&#10;AAAAAAAAAAAAAAAuAgAAZHJzL2Uyb0RvYy54bWxQSwECLQAUAAYACAAAACEAizsKMNsAAAAHAQAA&#10;DwAAAAAAAAAAAAAAAAANBQAAZHJzL2Rvd25yZXYueG1sUEsFBgAAAAAEAAQA8wAAABUGAAAAAA==&#10;" adj="11700" fillcolor="#a8d08d [1945]" strokecolor="#a8d08d [1945]" strokeweight="1pt">
                <w10:wrap anchorx="margin"/>
              </v:shape>
            </w:pict>
          </mc:Fallback>
        </mc:AlternateContent>
      </w:r>
    </w:p>
    <w:p w14:paraId="6C22EA34" w14:textId="77777777" w:rsidR="00CF216C" w:rsidRPr="00F21196" w:rsidRDefault="00CF216C" w:rsidP="00CF216C">
      <w:pPr>
        <w:rPr>
          <w:rFonts w:cs="Arial"/>
          <w:color w:val="000000" w:themeColor="text1"/>
        </w:rPr>
      </w:pPr>
      <w:r w:rsidRPr="00F21196">
        <w:rPr>
          <w:rFonts w:cs="Arial"/>
          <w:noProof/>
          <w:color w:val="000000" w:themeColor="text1"/>
          <w:lang w:eastAsia="pl-PL"/>
        </w:rPr>
        <mc:AlternateContent>
          <mc:Choice Requires="wps">
            <w:drawing>
              <wp:anchor distT="0" distB="0" distL="114300" distR="114300" simplePos="0" relativeHeight="252162048" behindDoc="0" locked="0" layoutInCell="1" allowOverlap="1" wp14:anchorId="07C0A1C8" wp14:editId="040B2B16">
                <wp:simplePos x="0" y="0"/>
                <wp:positionH relativeFrom="margin">
                  <wp:posOffset>795859</wp:posOffset>
                </wp:positionH>
                <wp:positionV relativeFrom="paragraph">
                  <wp:posOffset>104775</wp:posOffset>
                </wp:positionV>
                <wp:extent cx="5332476" cy="510209"/>
                <wp:effectExtent l="0" t="0" r="20955" b="23495"/>
                <wp:wrapNone/>
                <wp:docPr id="137" name="Prostokąt zaokrąglony 137"/>
                <wp:cNvGraphicFramePr/>
                <a:graphic xmlns:a="http://schemas.openxmlformats.org/drawingml/2006/main">
                  <a:graphicData uri="http://schemas.microsoft.com/office/word/2010/wordprocessingShape">
                    <wps:wsp>
                      <wps:cNvSpPr/>
                      <wps:spPr>
                        <a:xfrm>
                          <a:off x="0" y="0"/>
                          <a:ext cx="5332476" cy="510209"/>
                        </a:xfrm>
                        <a:prstGeom prst="roundRect">
                          <a:avLst/>
                        </a:prstGeom>
                        <a:solidFill>
                          <a:schemeClr val="bg1">
                            <a:lumMod val="85000"/>
                          </a:schemeClr>
                        </a:solidFill>
                        <a:ln w="12700" cap="flat" cmpd="sng" algn="ctr">
                          <a:solidFill>
                            <a:schemeClr val="bg1">
                              <a:lumMod val="85000"/>
                            </a:schemeClr>
                          </a:solidFill>
                          <a:prstDash val="solid"/>
                          <a:miter lim="800000"/>
                        </a:ln>
                        <a:effectLst/>
                      </wps:spPr>
                      <wps:txbx>
                        <w:txbxContent>
                          <w:p w14:paraId="44EADEA0" w14:textId="77777777" w:rsidR="005D4C4C" w:rsidRDefault="005D4C4C" w:rsidP="00CF216C">
                            <w:pPr>
                              <w:ind w:left="284" w:hanging="284"/>
                              <w:jc w:val="both"/>
                            </w:pPr>
                            <w:r>
                              <w:rPr>
                                <w:rFonts w:ascii="Calibri" w:eastAsia="Times New Roman" w:hAnsi="Calibri" w:cs="Calibri"/>
                                <w:b/>
                                <w:lang w:eastAsia="pl-PL"/>
                              </w:rPr>
                              <w:t>5</w:t>
                            </w:r>
                            <w:r w:rsidRPr="00A12559">
                              <w:rPr>
                                <w:rFonts w:ascii="Calibri" w:eastAsia="Times New Roman" w:hAnsi="Calibri" w:cs="Calibri"/>
                                <w:b/>
                                <w:lang w:eastAsia="pl-PL"/>
                              </w:rPr>
                              <w:t>.</w:t>
                            </w:r>
                            <w:r w:rsidRPr="009A0FAA">
                              <w:rPr>
                                <w:rFonts w:ascii="Calibri" w:eastAsia="Times New Roman" w:hAnsi="Calibri" w:cs="Calibri"/>
                                <w:b/>
                                <w:i/>
                                <w:lang w:eastAsia="pl-PL"/>
                              </w:rPr>
                              <w:tab/>
                            </w:r>
                            <w:r w:rsidRPr="009A0FAA">
                              <w:rPr>
                                <w:rFonts w:eastAsia="Times New Roman" w:cstheme="minorHAnsi"/>
                                <w:b/>
                                <w:i/>
                              </w:rPr>
                              <w:t>Poprawa funkcjonowania wymiaru sprawiedliwości, w tym prokuratury</w:t>
                            </w:r>
                            <w:r>
                              <w:rPr>
                                <w:rFonts w:eastAsia="Times New Roman" w:cstheme="minorHAnsi"/>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C0A1C8" id="Prostokąt zaokrąglony 137" o:spid="_x0000_s1054" style="position:absolute;margin-left:62.65pt;margin-top:8.25pt;width:419.9pt;height:40.15pt;z-index:25216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ToOoAIAAGEFAAAOAAAAZHJzL2Uyb0RvYy54bWysVM1u2zAMvg/YOwi6r3bcpEmDOkXQosOA&#10;bg3WDj0rsvyDSqImKbHTe9+sDzZKdtKf7bTtYpMiRYofP/LsvFOSbIV1Deicjo5SSoTmUDS6yumP&#10;u6tPM0qcZ7pgErTI6U44er74+OGsNXORQQ2yEJZgEO3mrclp7b2ZJ4njtVDMHYERGo0lWMU8qrZK&#10;CstajK5kkqXpSdKCLYwFLpzD08veSBcxflkK7m/K0glPZE7xbT5+bfyuwzdZnLF5ZZmpGz48g/3F&#10;KxRrNCY9hLpknpGNbX4LpRpuwUHpjzioBMqy4SLWgNWM0nfV3NbMiFgLguPMASb3/8Lyb9uVJU2B&#10;vTueUqKZwiat8IkeHp6fPHlk8GCfnyrs3o4EFwSsNW6O927Nyg6aQzFU35VWhT/WRboI8u4Asug8&#10;4Xg4OT7OxtMTSjjaJqM0S09D0OTltrHOfxagSBByamGji+/YyQgw21473/vv/UJGB7IprhopoxLY&#10;Iy6kJVuGfV9Xo3hVbtRXKPqz2SRNY/cxbyRbcI+veBNJatIiNNkUnQlnSNBSMo+iMgiZ0xUlTFbI&#10;fO5tzPHm9iHwP78jlHrJXN0Hikl66qrG4/zIRuV0hhUdapI6ACHiBAyAhbb1jQqS79Zd7Hs22/d0&#10;DcUOyWChnxJn+FWDea+Z8ytmcSwQAxx1f4OfUgICA4NESQ328U/nwR/ZilZKWhwzBO3nhllBifyi&#10;kceno/E4zGVUxpNphop9bVm/tuiNugDs6AiXiuFRDP5e7sXSgrrHjbAMWdHENMfcfXsG5cL34487&#10;hYvlMrrhLBrmr/Wt4SF4gC4gftfdM2sGGnok8DfYjySbvyNi7xtualhuPJRNZGmAuscVyRUUnONI&#10;s2HnhEXxWo9eL5tx8QsAAP//AwBQSwMEFAAGAAgAAAAhAIwTO5DcAAAACQEAAA8AAABkcnMvZG93&#10;bnJldi54bWxMj81OwzAQhO9IvIO1SNyok6JEJY1TIX5OnGgq6HEbO3HUeB3Fbhvenu0JbjPaT7Mz&#10;5WZ2gzibKfSeFKSLBIShxuueOgW7+v1hBSJEJI2DJ6PgxwTYVLc3JRbaX+jTnLexExxCoUAFNsax&#10;kDI01jgMCz8a4lvrJ4eR7dRJPeGFw90gl0mSS4c98QeLo3mxpjluT04Bajem7b5++wj1/vurpVe7&#10;07VS93fz8xpENHP8g+Fan6tDxZ0O/kQ6iIH9MntklEWegWDgKc9SEIerWIGsSvl/QfULAAD//wMA&#10;UEsBAi0AFAAGAAgAAAAhALaDOJL+AAAA4QEAABMAAAAAAAAAAAAAAAAAAAAAAFtDb250ZW50X1R5&#10;cGVzXS54bWxQSwECLQAUAAYACAAAACEAOP0h/9YAAACUAQAACwAAAAAAAAAAAAAAAAAvAQAAX3Jl&#10;bHMvLnJlbHNQSwECLQAUAAYACAAAACEA99k6DqACAABhBQAADgAAAAAAAAAAAAAAAAAuAgAAZHJz&#10;L2Uyb0RvYy54bWxQSwECLQAUAAYACAAAACEAjBM7kNwAAAAJAQAADwAAAAAAAAAAAAAAAAD6BAAA&#10;ZHJzL2Rvd25yZXYueG1sUEsFBgAAAAAEAAQA8wAAAAMGAAAAAA==&#10;" fillcolor="#d8d8d8 [2732]" strokecolor="#d8d8d8 [2732]" strokeweight="1pt">
                <v:stroke joinstyle="miter"/>
                <v:textbox>
                  <w:txbxContent>
                    <w:p w14:paraId="44EADEA0" w14:textId="77777777" w:rsidR="005D4C4C" w:rsidRDefault="005D4C4C" w:rsidP="00CF216C">
                      <w:pPr>
                        <w:ind w:left="284" w:hanging="284"/>
                        <w:jc w:val="both"/>
                      </w:pPr>
                      <w:r>
                        <w:rPr>
                          <w:rFonts w:ascii="Calibri" w:eastAsia="Times New Roman" w:hAnsi="Calibri" w:cs="Calibri"/>
                          <w:b/>
                          <w:lang w:eastAsia="pl-PL"/>
                        </w:rPr>
                        <w:t>5</w:t>
                      </w:r>
                      <w:r w:rsidRPr="00A12559">
                        <w:rPr>
                          <w:rFonts w:ascii="Calibri" w:eastAsia="Times New Roman" w:hAnsi="Calibri" w:cs="Calibri"/>
                          <w:b/>
                          <w:lang w:eastAsia="pl-PL"/>
                        </w:rPr>
                        <w:t>.</w:t>
                      </w:r>
                      <w:r w:rsidRPr="009A0FAA">
                        <w:rPr>
                          <w:rFonts w:ascii="Calibri" w:eastAsia="Times New Roman" w:hAnsi="Calibri" w:cs="Calibri"/>
                          <w:b/>
                          <w:i/>
                          <w:lang w:eastAsia="pl-PL"/>
                        </w:rPr>
                        <w:tab/>
                      </w:r>
                      <w:r w:rsidRPr="009A0FAA">
                        <w:rPr>
                          <w:rFonts w:eastAsia="Times New Roman" w:cstheme="minorHAnsi"/>
                          <w:b/>
                          <w:i/>
                        </w:rPr>
                        <w:t>Poprawa funkcjonowania wymiaru sprawiedliwości, w tym prokuratury</w:t>
                      </w:r>
                      <w:r>
                        <w:rPr>
                          <w:rFonts w:eastAsia="Times New Roman" w:cstheme="minorHAnsi"/>
                          <w:b/>
                        </w:rPr>
                        <w:t>.</w:t>
                      </w:r>
                    </w:p>
                  </w:txbxContent>
                </v:textbox>
                <w10:wrap anchorx="margin"/>
              </v:roundrect>
            </w:pict>
          </mc:Fallback>
        </mc:AlternateContent>
      </w:r>
      <w:r w:rsidRPr="00F21196">
        <w:rPr>
          <w:rFonts w:cs="Arial"/>
          <w:noProof/>
          <w:color w:val="000000" w:themeColor="text1"/>
          <w:lang w:eastAsia="pl-PL"/>
        </w:rPr>
        <mc:AlternateContent>
          <mc:Choice Requires="wps">
            <w:drawing>
              <wp:anchor distT="0" distB="0" distL="114300" distR="114300" simplePos="0" relativeHeight="252167168" behindDoc="0" locked="0" layoutInCell="1" allowOverlap="1" wp14:anchorId="3B808BA9" wp14:editId="4D7AB3BA">
                <wp:simplePos x="0" y="0"/>
                <wp:positionH relativeFrom="margin">
                  <wp:posOffset>418573</wp:posOffset>
                </wp:positionH>
                <wp:positionV relativeFrom="paragraph">
                  <wp:posOffset>219386</wp:posOffset>
                </wp:positionV>
                <wp:extent cx="342900" cy="314325"/>
                <wp:effectExtent l="0" t="19050" r="38100" b="47625"/>
                <wp:wrapNone/>
                <wp:docPr id="7" name="Strzałka w prawo 7"/>
                <wp:cNvGraphicFramePr/>
                <a:graphic xmlns:a="http://schemas.openxmlformats.org/drawingml/2006/main">
                  <a:graphicData uri="http://schemas.microsoft.com/office/word/2010/wordprocessingShape">
                    <wps:wsp>
                      <wps:cNvSpPr/>
                      <wps:spPr>
                        <a:xfrm>
                          <a:off x="0" y="0"/>
                          <a:ext cx="342900" cy="314325"/>
                        </a:xfrm>
                        <a:prstGeom prst="rightArrow">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9CF27" id="Strzałka w prawo 7" o:spid="_x0000_s1026" type="#_x0000_t13" style="position:absolute;margin-left:32.95pt;margin-top:17.25pt;width:27pt;height:24.75pt;z-index:25216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zpelwIAAHAFAAAOAAAAZHJzL2Uyb0RvYy54bWy0VEtPGzEQvlfqf7B8L7sJgUBEgiIiqkoU&#10;kELF2fF6s1Ztjzt2soFj/xv/q2Pvhld7qto9eD0Pz+Obx9n5zhq2VRg0uCkfHJScKSeh0m495d/u&#10;Lj+dcBaicJUw4NSUP6jAz2cfP5y1fqKG0ICpFDIy4sKk9VPexOgnRRFko6wIB+CVI2ENaEUkEtdF&#10;haIl69YUw7I8LlrAyiNIFQJxF52Qz7L9ulYy3tR1UJGZKafYYj4xn6t0FrMzMVmj8I2WfRjiL6Kw&#10;Qjty+mxqIaJgG9S/mbJaIgSo44EEW0Bda6lyDpTNoHyXzbIRXuVcCJzgn2EK/86svN7eItPVlI85&#10;c8JSiZYRH8XTz++CtcwTnsDGCabWhwlpL/0t9lSga8p5V6NNf8qG7TK0D8/Qql1kkpiHo+FpSQWQ&#10;JDocjA6HR8lm8fLYY4ifFVhyGahKqNdNnCNCm2EV26sQuwd7xeQxgNHVpTYmE7heXRhkW0G1Hpfz&#10;xWic35qN/QpVxz4u6euKTmxqjY492rMpoNCZycG9sW8ca6nFh+Och6BmrY2IlJL1BF9wa86EWdMU&#10;yIjZ8ZvXvdn/Fl2CZSFC0znIrrs8rY40YUbbKT9Jaeb0KU/jEmgqz0gPbipxV9R0W0H1QL2B0A1N&#10;8PJSk5MrEeKtQJoSKidNfryhozZA2EB/46wBfPwTP+lT85KUs5amjnD7sRGoODNfHLX16WA0SmOa&#10;idHReEgEvpasXkvcxl4AFXtAO8bLfE360eyvNYK9pwUxT15JJJwk312FeuIidtuAVoxU83lWo9H0&#10;Il65pZfJeMIpwXu3uxfo+waN1NnXsJ9QMXnXoZ1ueulgvolQ69y+L7hSfyWCxjp3Wr+C0t54TWet&#10;l0U5+wUAAP//AwBQSwMEFAAGAAgAAAAhAETmWaLdAAAACAEAAA8AAABkcnMvZG93bnJldi54bWxM&#10;j8FOwzAQRO9I/IO1lbhRO9BGTRqnQpW49AQF7k68jdPG6yh2k8DX457gODujmbfFbrYdG3HwrSMJ&#10;yVIAQ6qdbqmR8Pnx+rgB5oMirTpHKOEbPezK+7tC5dpN9I7jMTQslpDPlQQTQp9z7muDVvml65Gi&#10;d3KDVSHKoeF6UFMstx1/EiLlVrUUF4zqcW+wvhyvVsLJfO3Ph1Gcp+ynr9JEiOHtcJHyYTG/bIEF&#10;nMNfGG74ER3KyFS5K2nPOgnpOotJCc+rNbCbn2TxUEnYrATwsuD/Hyh/AQAA//8DAFBLAQItABQA&#10;BgAIAAAAIQC2gziS/gAAAOEBAAATAAAAAAAAAAAAAAAAAAAAAABbQ29udGVudF9UeXBlc10ueG1s&#10;UEsBAi0AFAAGAAgAAAAhADj9If/WAAAAlAEAAAsAAAAAAAAAAAAAAAAALwEAAF9yZWxzLy5yZWxz&#10;UEsBAi0AFAAGAAgAAAAhACljOl6XAgAAcAUAAA4AAAAAAAAAAAAAAAAALgIAAGRycy9lMm9Eb2Mu&#10;eG1sUEsBAi0AFAAGAAgAAAAhAETmWaLdAAAACAEAAA8AAAAAAAAAAAAAAAAA8QQAAGRycy9kb3du&#10;cmV2LnhtbFBLBQYAAAAABAAEAPMAAAD7BQAAAAA=&#10;" adj="11700" fillcolor="#a9d18e" strokecolor="#a9d18e" strokeweight="1pt">
                <w10:wrap anchorx="margin"/>
              </v:shape>
            </w:pict>
          </mc:Fallback>
        </mc:AlternateContent>
      </w:r>
    </w:p>
    <w:p w14:paraId="127FBA10" w14:textId="77777777" w:rsidR="00CF216C" w:rsidRPr="00F21196" w:rsidRDefault="00CF216C" w:rsidP="00CF216C">
      <w:pPr>
        <w:rPr>
          <w:rFonts w:cs="Arial"/>
          <w:color w:val="000000" w:themeColor="text1"/>
        </w:rPr>
      </w:pPr>
    </w:p>
    <w:p w14:paraId="4911C450" w14:textId="77777777" w:rsidR="00CF216C" w:rsidRDefault="00CF216C" w:rsidP="00CF216C">
      <w:pPr>
        <w:pBdr>
          <w:bottom w:val="single" w:sz="24" w:space="1" w:color="A8D08D" w:themeColor="accent6" w:themeTint="99"/>
        </w:pBdr>
        <w:shd w:val="clear" w:color="auto" w:fill="FFFFFF" w:themeFill="background1"/>
        <w:spacing w:after="0" w:line="240" w:lineRule="auto"/>
        <w:ind w:left="31" w:hanging="31"/>
        <w:rPr>
          <w:rFonts w:cs="Calibri,Bold"/>
          <w:b/>
          <w:bCs/>
          <w:sz w:val="24"/>
          <w:szCs w:val="18"/>
        </w:rPr>
      </w:pPr>
      <w:r w:rsidRPr="00F21196">
        <w:rPr>
          <w:rFonts w:cs="Arial"/>
          <w:noProof/>
          <w:color w:val="000000" w:themeColor="text1"/>
          <w:lang w:eastAsia="pl-PL"/>
        </w:rPr>
        <mc:AlternateContent>
          <mc:Choice Requires="wps">
            <w:drawing>
              <wp:anchor distT="0" distB="0" distL="114300" distR="114300" simplePos="0" relativeHeight="252168192" behindDoc="0" locked="0" layoutInCell="1" allowOverlap="1" wp14:anchorId="774DBE88" wp14:editId="7C93710C">
                <wp:simplePos x="0" y="0"/>
                <wp:positionH relativeFrom="margin">
                  <wp:posOffset>793055</wp:posOffset>
                </wp:positionH>
                <wp:positionV relativeFrom="paragraph">
                  <wp:posOffset>107950</wp:posOffset>
                </wp:positionV>
                <wp:extent cx="5332476" cy="510209"/>
                <wp:effectExtent l="0" t="0" r="20955" b="23495"/>
                <wp:wrapNone/>
                <wp:docPr id="62" name="Prostokąt zaokrąglony 62"/>
                <wp:cNvGraphicFramePr/>
                <a:graphic xmlns:a="http://schemas.openxmlformats.org/drawingml/2006/main">
                  <a:graphicData uri="http://schemas.microsoft.com/office/word/2010/wordprocessingShape">
                    <wps:wsp>
                      <wps:cNvSpPr/>
                      <wps:spPr>
                        <a:xfrm>
                          <a:off x="0" y="0"/>
                          <a:ext cx="5332476" cy="510209"/>
                        </a:xfrm>
                        <a:prstGeom prst="roundRect">
                          <a:avLst/>
                        </a:prstGeom>
                        <a:solidFill>
                          <a:schemeClr val="bg1">
                            <a:lumMod val="85000"/>
                          </a:schemeClr>
                        </a:solidFill>
                        <a:ln w="12700" cap="flat" cmpd="sng" algn="ctr">
                          <a:solidFill>
                            <a:schemeClr val="bg1">
                              <a:lumMod val="85000"/>
                            </a:schemeClr>
                          </a:solidFill>
                          <a:prstDash val="solid"/>
                          <a:miter lim="800000"/>
                        </a:ln>
                        <a:effectLst/>
                      </wps:spPr>
                      <wps:txbx>
                        <w:txbxContent>
                          <w:p w14:paraId="016B8522" w14:textId="77777777" w:rsidR="005D4C4C" w:rsidRDefault="005D4C4C" w:rsidP="00CF216C">
                            <w:pPr>
                              <w:ind w:left="284" w:hanging="284"/>
                              <w:jc w:val="both"/>
                            </w:pPr>
                            <w:r>
                              <w:rPr>
                                <w:rFonts w:ascii="Calibri" w:eastAsia="Times New Roman" w:hAnsi="Calibri" w:cs="Calibri"/>
                                <w:b/>
                                <w:lang w:eastAsia="pl-PL"/>
                              </w:rPr>
                              <w:t>6</w:t>
                            </w:r>
                            <w:r w:rsidRPr="00A12559">
                              <w:rPr>
                                <w:rFonts w:ascii="Calibri" w:eastAsia="Times New Roman" w:hAnsi="Calibri" w:cs="Calibri"/>
                                <w:b/>
                                <w:lang w:eastAsia="pl-PL"/>
                              </w:rPr>
                              <w:t>.</w:t>
                            </w:r>
                            <w:r>
                              <w:rPr>
                                <w:rFonts w:ascii="Calibri" w:eastAsia="Times New Roman" w:hAnsi="Calibri" w:cs="Calibri"/>
                                <w:b/>
                                <w:i/>
                                <w:lang w:eastAsia="pl-PL"/>
                              </w:rPr>
                              <w:tab/>
                            </w:r>
                            <w:r w:rsidRPr="009A0FAA">
                              <w:rPr>
                                <w:rFonts w:ascii="Calibri" w:eastAsia="Times New Roman" w:hAnsi="Calibri" w:cs="Calibri"/>
                                <w:b/>
                                <w:i/>
                                <w:lang w:eastAsia="pl-PL"/>
                              </w:rPr>
                              <w:t xml:space="preserve">Zintegrowanie planowania społecznego, gospodarczego i przestrzennego, w tym </w:t>
                            </w:r>
                            <w:r w:rsidRPr="009A0FAA">
                              <w:rPr>
                                <w:rFonts w:ascii="Calibri" w:eastAsia="Times New Roman" w:hAnsi="Calibri" w:cs="Calibri"/>
                                <w:b/>
                                <w:i/>
                                <w:iCs/>
                                <w:lang w:eastAsia="pl-PL"/>
                              </w:rPr>
                              <w:t>zagospodarowania przestrzennego obszarów morskich.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4DBE88" id="Prostokąt zaokrąglony 62" o:spid="_x0000_s1055" style="position:absolute;left:0;text-align:left;margin-left:62.45pt;margin-top:8.5pt;width:419.9pt;height:40.15pt;z-index:25216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wXngIAAF8FAAAOAAAAZHJzL2Uyb0RvYy54bWysVM1u2zAMvg/YOwi6r3bcpD9BnSJo0WFA&#10;1wZrh54VWbaFSqImKbHTe9+sD1ZKTtOf7bTtYpMiRYofP/LktNeKrIXzEkxJR3s5JcJwqKRpSvrz&#10;9uLLESU+MFMxBUaUdCM8PZ19/nTS2akooAVVCUcwiPHTzpa0DcFOs8zzVmjm98AKg8YanGYBVddk&#10;lWMdRtcqK/L8IOvAVdYBF97j6flgpLMUv64FD9d17UUgqqT4tpC+Ln2X8ZvNTti0ccy2km+fwf7i&#10;FZpJg0l3oc5ZYGTl5G+htOQOPNRhj4POoK4lF6kGrGaUf6jmpmVWpFoQHG93MPn/F5ZfrReOyKqk&#10;BwUlhmns0QJfGOD+6TGQBwb37umxweZtCHogXJ31U7x1Yxduq3kUY+197XT8Y1WkTxBvdhCLPhCO&#10;h5P9/WJ8eEAJR9tklBf5cQyavd62zoevAjSJQkkdrEz1A/uY4GXrSx8G/xe/mNGDktWFVCopkTvi&#10;TDmyZtj1ZTNKV9VKf4dqODua5HnqPeZNVIvu6RXvIilDOiR1cYjOhDOkZ61YQFFbBMybhhKmGuQ9&#10;Dy7leHd7F/if3xFLPWe+HQKlJANxtQw4PUrqkh5hRbualIlAiMT/LWCxbUOjohT6ZZ+6XiT449ES&#10;qg1SwcEwI97yC4l5L5kPC+ZwKBADHPRwjZ9aAQIDW4mSFtzDn86jP3IVrZR0OGQI2q8Vc4IS9c0g&#10;i49H43GcyqSMJ4cFKu6tZfnWYlb6DLCjI1wplicx+gf1ItYO9B3ug3nMiiZmOOYe2rNVzsIw/LhR&#10;uJjPkxtOomXh0txYHoNH6CLit/0dc3ZLw4AEvoKXgWTTD0QcfONNA/NVgFomlr7iiuSKCk5xotl2&#10;48Q18VZPXq97cfYMAAD//wMAUEsDBBQABgAIAAAAIQD4FWGy3QAAAAkBAAAPAAAAZHJzL2Rvd25y&#10;ZXYueG1sTI9LT8MwEITvSPwHa5G4UaelamiIUyEeJ040FfS4jTcPEa+j2G3Dv2c5lduM9tPsTL6Z&#10;XK9ONIbOs4H5LAFFXHnbcWNgV77dPYAKEdli75kM/FCATXF9lWNm/Zk/6LSNjZIQDhkaaGMcMq1D&#10;1ZLDMPMDsdxqPzqMYsdG2xHPEu56vUiSlXbYsXxocaDnlqrv7dEZQOuGeb0vX99Duf/6rPml3dnS&#10;mNub6ekRVKQpXmD4qy/VoZBOB39kG1QvfrFcCyoilU0CrFfLFNRBRHoPusj1/wXFLwAAAP//AwBQ&#10;SwECLQAUAAYACAAAACEAtoM4kv4AAADhAQAAEwAAAAAAAAAAAAAAAAAAAAAAW0NvbnRlbnRfVHlw&#10;ZXNdLnhtbFBLAQItABQABgAIAAAAIQA4/SH/1gAAAJQBAAALAAAAAAAAAAAAAAAAAC8BAABfcmVs&#10;cy8ucmVsc1BLAQItABQABgAIAAAAIQCRkvwXngIAAF8FAAAOAAAAAAAAAAAAAAAAAC4CAABkcnMv&#10;ZTJvRG9jLnhtbFBLAQItABQABgAIAAAAIQD4FWGy3QAAAAkBAAAPAAAAAAAAAAAAAAAAAPgEAABk&#10;cnMvZG93bnJldi54bWxQSwUGAAAAAAQABADzAAAAAgYAAAAA&#10;" fillcolor="#d8d8d8 [2732]" strokecolor="#d8d8d8 [2732]" strokeweight="1pt">
                <v:stroke joinstyle="miter"/>
                <v:textbox>
                  <w:txbxContent>
                    <w:p w14:paraId="016B8522" w14:textId="77777777" w:rsidR="005D4C4C" w:rsidRDefault="005D4C4C" w:rsidP="00CF216C">
                      <w:pPr>
                        <w:ind w:left="284" w:hanging="284"/>
                        <w:jc w:val="both"/>
                      </w:pPr>
                      <w:r>
                        <w:rPr>
                          <w:rFonts w:ascii="Calibri" w:eastAsia="Times New Roman" w:hAnsi="Calibri" w:cs="Calibri"/>
                          <w:b/>
                          <w:lang w:eastAsia="pl-PL"/>
                        </w:rPr>
                        <w:t>6</w:t>
                      </w:r>
                      <w:r w:rsidRPr="00A12559">
                        <w:rPr>
                          <w:rFonts w:ascii="Calibri" w:eastAsia="Times New Roman" w:hAnsi="Calibri" w:cs="Calibri"/>
                          <w:b/>
                          <w:lang w:eastAsia="pl-PL"/>
                        </w:rPr>
                        <w:t>.</w:t>
                      </w:r>
                      <w:r>
                        <w:rPr>
                          <w:rFonts w:ascii="Calibri" w:eastAsia="Times New Roman" w:hAnsi="Calibri" w:cs="Calibri"/>
                          <w:b/>
                          <w:i/>
                          <w:lang w:eastAsia="pl-PL"/>
                        </w:rPr>
                        <w:tab/>
                      </w:r>
                      <w:r w:rsidRPr="009A0FAA">
                        <w:rPr>
                          <w:rFonts w:ascii="Calibri" w:eastAsia="Times New Roman" w:hAnsi="Calibri" w:cs="Calibri"/>
                          <w:b/>
                          <w:i/>
                          <w:lang w:eastAsia="pl-PL"/>
                        </w:rPr>
                        <w:t xml:space="preserve">Zintegrowanie planowania społecznego, gospodarczego i przestrzennego, w tym </w:t>
                      </w:r>
                      <w:r w:rsidRPr="009A0FAA">
                        <w:rPr>
                          <w:rFonts w:ascii="Calibri" w:eastAsia="Times New Roman" w:hAnsi="Calibri" w:cs="Calibri"/>
                          <w:b/>
                          <w:i/>
                          <w:iCs/>
                          <w:lang w:eastAsia="pl-PL"/>
                        </w:rPr>
                        <w:t>zagospodarowania przestrzennego obszarów morskich.</w:t>
                      </w:r>
                    </w:p>
                  </w:txbxContent>
                </v:textbox>
                <w10:wrap anchorx="margin"/>
              </v:roundrect>
            </w:pict>
          </mc:Fallback>
        </mc:AlternateContent>
      </w:r>
    </w:p>
    <w:p w14:paraId="49A51C5C" w14:textId="77777777" w:rsidR="00CF216C" w:rsidRDefault="00CF216C" w:rsidP="00CF216C">
      <w:pPr>
        <w:pBdr>
          <w:bottom w:val="single" w:sz="24" w:space="1" w:color="A8D08D" w:themeColor="accent6" w:themeTint="99"/>
        </w:pBdr>
        <w:shd w:val="clear" w:color="auto" w:fill="FFFFFF" w:themeFill="background1"/>
        <w:spacing w:after="0" w:line="240" w:lineRule="auto"/>
        <w:ind w:left="31" w:hanging="31"/>
        <w:rPr>
          <w:rFonts w:cs="Calibri,Bold"/>
          <w:b/>
          <w:bCs/>
          <w:sz w:val="24"/>
          <w:szCs w:val="18"/>
        </w:rPr>
      </w:pPr>
      <w:r w:rsidRPr="00F21196">
        <w:rPr>
          <w:rFonts w:cs="Arial"/>
          <w:noProof/>
          <w:color w:val="000000" w:themeColor="text1"/>
          <w:lang w:eastAsia="pl-PL"/>
        </w:rPr>
        <mc:AlternateContent>
          <mc:Choice Requires="wps">
            <w:drawing>
              <wp:anchor distT="0" distB="0" distL="114300" distR="114300" simplePos="0" relativeHeight="252169216" behindDoc="0" locked="0" layoutInCell="1" allowOverlap="1" wp14:anchorId="3F64CD20" wp14:editId="191E1088">
                <wp:simplePos x="0" y="0"/>
                <wp:positionH relativeFrom="margin">
                  <wp:posOffset>424025</wp:posOffset>
                </wp:positionH>
                <wp:positionV relativeFrom="paragraph">
                  <wp:posOffset>22249</wp:posOffset>
                </wp:positionV>
                <wp:extent cx="342900" cy="314325"/>
                <wp:effectExtent l="0" t="19050" r="38100" b="47625"/>
                <wp:wrapNone/>
                <wp:docPr id="63" name="Strzałka w prawo 63"/>
                <wp:cNvGraphicFramePr/>
                <a:graphic xmlns:a="http://schemas.openxmlformats.org/drawingml/2006/main">
                  <a:graphicData uri="http://schemas.microsoft.com/office/word/2010/wordprocessingShape">
                    <wps:wsp>
                      <wps:cNvSpPr/>
                      <wps:spPr>
                        <a:xfrm>
                          <a:off x="0" y="0"/>
                          <a:ext cx="342900" cy="314325"/>
                        </a:xfrm>
                        <a:prstGeom prst="rightArrow">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6C2D3" id="Strzałka w prawo 63" o:spid="_x0000_s1026" type="#_x0000_t13" style="position:absolute;margin-left:33.4pt;margin-top:1.75pt;width:27pt;height:24.75pt;z-index:25216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VGmQIAAHIFAAAOAAAAZHJzL2Uyb0RvYy54bWy0VMlu2zAQvRfoPxC8N5KXxIkROzBipCiQ&#10;NgGcImeaoiyiJIcd0paTY/+t/9UhJWdrT0WrA8VZOMub5fxibw3bKQwa3IwPjkrOlJNQabeZ8a93&#10;Vx9OOQtRuEoYcGrGH1TgF/P3785bP1VDaMBUChkZcWHa+hlvYvTTogiyUVaEI/DKkbAGtCISiZui&#10;QtGSdWuKYVmeFC1g5RGkCoG4y07I59l+XSsZb+o6qMjMjFNsMZ+Yz3U6i/m5mG5Q+EbLPgzxF1FY&#10;oR05fTK1FFGwLerfTFktEQLU8UiCLaCutVQ5B8pmUL7JZtUIr3IuBE7wTzCFf2dWftndItPVjJ+M&#10;OHPCUo1WER/Fzx/fBGuZJ0CBkYyAan2Ykv7K32JPBbqmrPc12vSnfNg+g/vwBK7aRyaJORoPz0oq&#10;gSTRaDAeDY+TzeL5sccQPyqw5DNQnVBvmrhAhDYDK3bXIXYPDorJYwCjqyttTCZws740yHaCqj0p&#10;F8vxJL81W/sZqo59UtLXlZ3Y1Bwde3xgU0ChM5ODe2XfONZSkw8nOQ9B7VobESkl6wnA4DacCbOh&#10;OZARs+NXr3uz/y26BMtShKZzkF13eVodacaMtjN+mtLM6VOexiXQVJ6SHtxU4q6o6baG6oG6A6Eb&#10;m+DllSYn1yLEW4E0J1ROmv14Q0dtgLCB/sZZA/j4J37Sp/YlKWctzR3h9n0rUHFmPjlq7LPBeJwG&#10;NRPj48mQCHwpWb+UuK29BCr2gLaMl/ma9KM5XGsEe08rYpG8kkg4Sb67CvXEZez2AS0ZqRaLrEbD&#10;6UW8disvk/GEU4L3bn8v0PcNGqmzv8BhRsX0TYd2uumlg8U2Qq1z+z7jSv2VCBrs3Gn9Ekqb4yWd&#10;tZ5X5fwXAAAA//8DAFBLAwQUAAYACAAAACEAXsVh59oAAAAHAQAADwAAAGRycy9kb3ducmV2Lnht&#10;bEzOMU/DMBAF4B2J/2AdEhu126oRhFwqVImlExTYnfgap43PUewmgV+PO8H49E7vvmI7u06MNITW&#10;M8JyoUAQ19603CB8frw+PIIIUbPRnWdC+KYA2/L2ptC58RO/03iIjUgjHHKNYGPscylDbcnpsPA9&#10;ceqOfnA6pjg00gx6SuOukyulMul0y+mD1T3tLNXnw8UhHO3X7rQf1Wl6+umrbKnU8LY/I97fzS/P&#10;ICLN8e8YrvxEhzKZKn9hE0SHkGVJHhHWGxDXeqVSrhA2awWyLOR/f/kLAAD//wMAUEsBAi0AFAAG&#10;AAgAAAAhALaDOJL+AAAA4QEAABMAAAAAAAAAAAAAAAAAAAAAAFtDb250ZW50X1R5cGVzXS54bWxQ&#10;SwECLQAUAAYACAAAACEAOP0h/9YAAACUAQAACwAAAAAAAAAAAAAAAAAvAQAAX3JlbHMvLnJlbHNQ&#10;SwECLQAUAAYACAAAACEAv6jlRpkCAAByBQAADgAAAAAAAAAAAAAAAAAuAgAAZHJzL2Uyb0RvYy54&#10;bWxQSwECLQAUAAYACAAAACEAXsVh59oAAAAHAQAADwAAAAAAAAAAAAAAAADzBAAAZHJzL2Rvd25y&#10;ZXYueG1sUEsFBgAAAAAEAAQA8wAAAPoFAAAAAA==&#10;" adj="11700" fillcolor="#a9d18e" strokecolor="#a9d18e" strokeweight="1pt">
                <w10:wrap anchorx="margin"/>
              </v:shape>
            </w:pict>
          </mc:Fallback>
        </mc:AlternateContent>
      </w:r>
    </w:p>
    <w:p w14:paraId="5E3DD375" w14:textId="77777777" w:rsidR="00CF216C" w:rsidRDefault="00CF216C" w:rsidP="00CF216C">
      <w:pPr>
        <w:pBdr>
          <w:bottom w:val="single" w:sz="24" w:space="1" w:color="A8D08D" w:themeColor="accent6" w:themeTint="99"/>
        </w:pBdr>
        <w:shd w:val="clear" w:color="auto" w:fill="FFFFFF" w:themeFill="background1"/>
        <w:spacing w:after="0" w:line="240" w:lineRule="auto"/>
        <w:ind w:left="31" w:hanging="31"/>
        <w:rPr>
          <w:rFonts w:cs="Calibri,Bold"/>
          <w:b/>
          <w:bCs/>
          <w:sz w:val="24"/>
          <w:szCs w:val="18"/>
        </w:rPr>
      </w:pPr>
    </w:p>
    <w:p w14:paraId="04E607C6" w14:textId="77777777" w:rsidR="00CF216C" w:rsidRDefault="00CF216C" w:rsidP="00CF216C">
      <w:pPr>
        <w:pBdr>
          <w:bottom w:val="single" w:sz="24" w:space="1" w:color="A8D08D" w:themeColor="accent6" w:themeTint="99"/>
        </w:pBdr>
        <w:shd w:val="clear" w:color="auto" w:fill="FFFFFF" w:themeFill="background1"/>
        <w:spacing w:after="0" w:line="240" w:lineRule="auto"/>
        <w:ind w:left="31" w:hanging="31"/>
        <w:rPr>
          <w:rFonts w:cs="Calibri,Bold"/>
          <w:b/>
          <w:bCs/>
          <w:sz w:val="24"/>
          <w:szCs w:val="18"/>
        </w:rPr>
      </w:pPr>
    </w:p>
    <w:p w14:paraId="07C4E95C" w14:textId="77777777" w:rsidR="00CF216C" w:rsidRDefault="00CF216C" w:rsidP="00CF216C">
      <w:pPr>
        <w:pBdr>
          <w:bottom w:val="single" w:sz="24" w:space="1" w:color="A8D08D" w:themeColor="accent6" w:themeTint="99"/>
        </w:pBdr>
        <w:shd w:val="clear" w:color="auto" w:fill="FFFFFF" w:themeFill="background1"/>
        <w:spacing w:after="0" w:line="240" w:lineRule="auto"/>
        <w:ind w:left="31" w:hanging="31"/>
        <w:rPr>
          <w:rFonts w:cs="Calibri,Bold"/>
          <w:b/>
          <w:bCs/>
          <w:sz w:val="24"/>
          <w:szCs w:val="18"/>
        </w:rPr>
      </w:pPr>
    </w:p>
    <w:p w14:paraId="26338636" w14:textId="77777777" w:rsidR="00CF216C" w:rsidRDefault="00CF216C" w:rsidP="00CF216C">
      <w:pPr>
        <w:pBdr>
          <w:bottom w:val="single" w:sz="24" w:space="1" w:color="A8D08D" w:themeColor="accent6" w:themeTint="99"/>
        </w:pBdr>
        <w:shd w:val="clear" w:color="auto" w:fill="FFFFFF" w:themeFill="background1"/>
        <w:spacing w:after="0" w:line="240" w:lineRule="auto"/>
        <w:ind w:left="31" w:hanging="31"/>
        <w:rPr>
          <w:rFonts w:cs="Calibri,Bold"/>
          <w:b/>
          <w:bCs/>
          <w:sz w:val="24"/>
          <w:szCs w:val="18"/>
        </w:rPr>
      </w:pPr>
    </w:p>
    <w:p w14:paraId="28392B44" w14:textId="77777777" w:rsidR="00CF216C" w:rsidRPr="00F21196" w:rsidRDefault="00CF216C" w:rsidP="00CF216C">
      <w:pPr>
        <w:pBdr>
          <w:bottom w:val="single" w:sz="24" w:space="1" w:color="A8D08D" w:themeColor="accent6" w:themeTint="99"/>
        </w:pBdr>
        <w:shd w:val="clear" w:color="auto" w:fill="D9D9D9" w:themeFill="background1" w:themeFillShade="D9"/>
        <w:spacing w:after="0" w:line="240" w:lineRule="auto"/>
        <w:ind w:left="31" w:hanging="31"/>
        <w:rPr>
          <w:rFonts w:cs="Calibri,Bold"/>
          <w:b/>
          <w:bCs/>
          <w:sz w:val="24"/>
          <w:szCs w:val="18"/>
        </w:rPr>
      </w:pPr>
      <w:r w:rsidRPr="00F21196">
        <w:rPr>
          <w:rFonts w:cs="Calibri,Bold"/>
          <w:b/>
          <w:bCs/>
          <w:sz w:val="24"/>
          <w:szCs w:val="18"/>
        </w:rPr>
        <w:t xml:space="preserve">Kierunek interwencji 1. </w:t>
      </w:r>
    </w:p>
    <w:p w14:paraId="343D9610" w14:textId="77777777" w:rsidR="00CF216C" w:rsidRPr="009A0FAA" w:rsidRDefault="00CF216C" w:rsidP="00CF216C">
      <w:pPr>
        <w:pBdr>
          <w:bottom w:val="single" w:sz="24" w:space="1" w:color="A8D08D" w:themeColor="accent6" w:themeTint="99"/>
        </w:pBdr>
        <w:shd w:val="clear" w:color="auto" w:fill="D9D9D9" w:themeFill="background1" w:themeFillShade="D9"/>
        <w:spacing w:after="0" w:line="240" w:lineRule="auto"/>
        <w:ind w:left="31" w:hanging="31"/>
        <w:jc w:val="center"/>
        <w:rPr>
          <w:rFonts w:eastAsia="Times New Roman" w:cs="Calibri"/>
          <w:b/>
          <w:i/>
          <w:color w:val="2F5496" w:themeColor="accent5" w:themeShade="BF"/>
          <w:sz w:val="36"/>
          <w:lang w:eastAsia="pl-PL"/>
        </w:rPr>
      </w:pPr>
      <w:r w:rsidRPr="009A0FAA">
        <w:rPr>
          <w:rFonts w:cs="Helv"/>
          <w:b/>
          <w:bCs/>
          <w:i/>
          <w:color w:val="000000"/>
          <w:sz w:val="24"/>
          <w:lang w:eastAsia="en-GB"/>
        </w:rPr>
        <w:t>Doskonalenie funkcjonowania jednostek samorządu terytorialnego</w:t>
      </w:r>
      <w:r w:rsidRPr="009A0FAA">
        <w:rPr>
          <w:rFonts w:cs="Calibri,Bold"/>
          <w:b/>
          <w:bCs/>
          <w:i/>
          <w:sz w:val="24"/>
          <w:szCs w:val="18"/>
        </w:rPr>
        <w:t>.</w:t>
      </w:r>
    </w:p>
    <w:p w14:paraId="39B2ACCB" w14:textId="77777777" w:rsidR="00CF216C" w:rsidRPr="00F21196" w:rsidRDefault="00CF216C" w:rsidP="00CF216C">
      <w:pPr>
        <w:spacing w:after="0"/>
        <w:rPr>
          <w:rFonts w:eastAsia="Times New Roman" w:cs="Calibri"/>
          <w:b/>
          <w:lang w:eastAsia="pl-PL"/>
        </w:rPr>
      </w:pPr>
    </w:p>
    <w:p w14:paraId="61EDE2B9" w14:textId="77777777" w:rsidR="00143977" w:rsidRPr="00F21196" w:rsidRDefault="00143977" w:rsidP="00143977">
      <w:pPr>
        <w:spacing w:after="0"/>
        <w:jc w:val="both"/>
        <w:rPr>
          <w:rFonts w:cs="Arial"/>
        </w:rPr>
      </w:pPr>
      <w:r w:rsidRPr="00F21196">
        <w:rPr>
          <w:rFonts w:eastAsia="Times New Roman" w:cs="Calibri"/>
          <w:b/>
          <w:u w:val="single"/>
          <w:lang w:eastAsia="pl-PL"/>
        </w:rPr>
        <w:t xml:space="preserve">1.1. Racjonalizacja struktur i działania organów </w:t>
      </w:r>
      <w:r>
        <w:rPr>
          <w:rFonts w:eastAsia="Times New Roman" w:cs="Calibri"/>
          <w:b/>
          <w:u w:val="single"/>
          <w:lang w:eastAsia="pl-PL"/>
        </w:rPr>
        <w:t>wykonawczych i uchwałodawczych</w:t>
      </w:r>
      <w:r w:rsidRPr="000562F7">
        <w:rPr>
          <w:rFonts w:eastAsia="Times New Roman" w:cs="Calibri"/>
          <w:b/>
          <w:u w:val="single"/>
          <w:lang w:eastAsia="pl-PL"/>
        </w:rPr>
        <w:t xml:space="preserve"> </w:t>
      </w:r>
      <w:r w:rsidRPr="00F21196">
        <w:rPr>
          <w:rFonts w:eastAsia="Times New Roman" w:cs="Calibri"/>
          <w:b/>
          <w:u w:val="single"/>
          <w:lang w:eastAsia="pl-PL"/>
        </w:rPr>
        <w:t>samorządu terytorialnego</w:t>
      </w:r>
      <w:r>
        <w:rPr>
          <w:rFonts w:eastAsia="Times New Roman" w:cs="Calibri"/>
          <w:b/>
          <w:u w:val="single"/>
          <w:lang w:eastAsia="pl-PL"/>
        </w:rPr>
        <w:t xml:space="preserve">. </w:t>
      </w:r>
      <w:r w:rsidRPr="00F21196">
        <w:rPr>
          <w:rFonts w:cs="Arial"/>
        </w:rPr>
        <w:t xml:space="preserve">Podstawy ustroju samorządu terytorialnego powstały w wyniku reform z lat 1990 i 1999. Reformy te były konieczne w okresie transformacji. Pierwotne rozwiązania były modyfikowane, co związane było m.in. z dostosowaniem ustroju samorządu terytorialnego do zmieniającego się otoczenia oraz wymagań wynikających z integracji europejskiej. </w:t>
      </w:r>
    </w:p>
    <w:p w14:paraId="7E1FBB0E" w14:textId="77777777" w:rsidR="00143977" w:rsidRPr="00A71E77" w:rsidRDefault="00143977" w:rsidP="00143977">
      <w:pPr>
        <w:spacing w:after="0" w:line="276" w:lineRule="auto"/>
        <w:jc w:val="both"/>
        <w:rPr>
          <w:rFonts w:ascii="Calibri" w:hAnsi="Calibri" w:cs="Arial"/>
        </w:rPr>
      </w:pPr>
      <w:r w:rsidRPr="00A71E77">
        <w:rPr>
          <w:rFonts w:ascii="Calibri" w:hAnsi="Calibri" w:cs="Arial"/>
        </w:rPr>
        <w:t xml:space="preserve">W związku ze znacznym upływem czasu od wprowadzenia reformy samorządowej należy </w:t>
      </w:r>
      <w:r w:rsidRPr="00F81D60">
        <w:rPr>
          <w:rFonts w:ascii="Calibri" w:hAnsi="Calibri" w:cs="Arial"/>
        </w:rPr>
        <w:t>dokonać przeglądu ustrojowego funkcjonowania samorządu terytorialnego</w:t>
      </w:r>
      <w:r w:rsidRPr="00A71E77">
        <w:rPr>
          <w:rFonts w:ascii="Calibri" w:hAnsi="Calibri" w:cs="Arial"/>
        </w:rPr>
        <w:t xml:space="preserve"> mającego na celu usunięcie barier lub luk utrudniających sprawne i skuteczne wykonywanie zadań publicznych, a także zwiększenie możliwości zarządzania zadaniami publicznymi przez jednostki samorządu terytorialnego z uwzględnieniem zmian demograficznych w kontekście funkcjonowania jednostek samorządu terytorialnego poprzez:</w:t>
      </w:r>
    </w:p>
    <w:p w14:paraId="2257FED9" w14:textId="77777777" w:rsidR="00143977" w:rsidRPr="00A71E77" w:rsidRDefault="00143977" w:rsidP="00723B3F">
      <w:pPr>
        <w:pStyle w:val="Akapitzlist"/>
        <w:numPr>
          <w:ilvl w:val="0"/>
          <w:numId w:val="50"/>
        </w:numPr>
        <w:spacing w:line="276" w:lineRule="auto"/>
        <w:ind w:left="426"/>
        <w:jc w:val="both"/>
        <w:rPr>
          <w:rFonts w:ascii="Calibri" w:hAnsi="Calibri" w:cs="Arial"/>
          <w:sz w:val="22"/>
          <w:szCs w:val="22"/>
        </w:rPr>
      </w:pPr>
      <w:r w:rsidRPr="00A71E77">
        <w:rPr>
          <w:rFonts w:ascii="Calibri" w:hAnsi="Calibri" w:cs="Arial"/>
          <w:sz w:val="22"/>
          <w:szCs w:val="22"/>
        </w:rPr>
        <w:t>wprowadzenie rozwiązań zwiększających partycypację społeczności lokalnych i regionalnych w procesie sprawowania władzy,</w:t>
      </w:r>
    </w:p>
    <w:p w14:paraId="24D8A0ED" w14:textId="77777777" w:rsidR="00143977" w:rsidRPr="00A71E77" w:rsidRDefault="00143977" w:rsidP="00723B3F">
      <w:pPr>
        <w:pStyle w:val="Akapitzlist"/>
        <w:numPr>
          <w:ilvl w:val="0"/>
          <w:numId w:val="50"/>
        </w:numPr>
        <w:shd w:val="clear" w:color="auto" w:fill="FFFFFF" w:themeFill="background1"/>
        <w:spacing w:line="276" w:lineRule="auto"/>
        <w:ind w:left="426"/>
        <w:jc w:val="both"/>
        <w:rPr>
          <w:rFonts w:ascii="Calibri" w:hAnsi="Calibri" w:cs="Arial"/>
          <w:sz w:val="22"/>
          <w:szCs w:val="22"/>
        </w:rPr>
      </w:pPr>
      <w:r w:rsidRPr="00A71E77">
        <w:rPr>
          <w:rFonts w:ascii="Calibri" w:hAnsi="Calibri" w:cs="Arial"/>
          <w:sz w:val="22"/>
          <w:szCs w:val="22"/>
        </w:rPr>
        <w:t>zwiększeni</w:t>
      </w:r>
      <w:r>
        <w:rPr>
          <w:rFonts w:ascii="Calibri" w:hAnsi="Calibri" w:cs="Arial"/>
          <w:sz w:val="22"/>
          <w:szCs w:val="22"/>
        </w:rPr>
        <w:t>a</w:t>
      </w:r>
      <w:r w:rsidRPr="00A71E77">
        <w:rPr>
          <w:rFonts w:ascii="Calibri" w:hAnsi="Calibri" w:cs="Arial"/>
          <w:sz w:val="22"/>
          <w:szCs w:val="22"/>
        </w:rPr>
        <w:t xml:space="preserve"> efektywności realizacji zadań publicznych przez organy jednostek samorządu terytorialnego w kontekście funkcjonowania układów gmin obwarzankowych,</w:t>
      </w:r>
    </w:p>
    <w:p w14:paraId="25A272A0" w14:textId="77777777" w:rsidR="00143977" w:rsidRPr="00A71E77" w:rsidRDefault="00143977" w:rsidP="00723B3F">
      <w:pPr>
        <w:pStyle w:val="Akapitzlist"/>
        <w:numPr>
          <w:ilvl w:val="0"/>
          <w:numId w:val="50"/>
        </w:numPr>
        <w:shd w:val="clear" w:color="auto" w:fill="FFFFFF" w:themeFill="background1"/>
        <w:spacing w:line="276" w:lineRule="auto"/>
        <w:ind w:left="426"/>
        <w:jc w:val="both"/>
        <w:rPr>
          <w:rFonts w:ascii="Calibri" w:hAnsi="Calibri" w:cs="Arial"/>
          <w:sz w:val="22"/>
          <w:szCs w:val="22"/>
        </w:rPr>
      </w:pPr>
      <w:r w:rsidRPr="00A71E77">
        <w:rPr>
          <w:rFonts w:ascii="Calibri" w:hAnsi="Calibri" w:cs="Arial"/>
          <w:sz w:val="22"/>
          <w:szCs w:val="22"/>
        </w:rPr>
        <w:t>wypracowanie mechanizmów umożliwiających realizację zadań publicznych</w:t>
      </w:r>
      <w:r>
        <w:rPr>
          <w:rFonts w:ascii="Calibri" w:hAnsi="Calibri" w:cs="Arial"/>
          <w:sz w:val="22"/>
          <w:szCs w:val="22"/>
        </w:rPr>
        <w:t xml:space="preserve"> w</w:t>
      </w:r>
      <w:r w:rsidRPr="00A71E77">
        <w:rPr>
          <w:rFonts w:ascii="Calibri" w:hAnsi="Calibri" w:cs="Arial"/>
          <w:sz w:val="22"/>
          <w:szCs w:val="22"/>
        </w:rPr>
        <w:t xml:space="preserve"> obszar</w:t>
      </w:r>
      <w:r>
        <w:rPr>
          <w:rFonts w:ascii="Calibri" w:hAnsi="Calibri" w:cs="Arial"/>
          <w:sz w:val="22"/>
          <w:szCs w:val="22"/>
        </w:rPr>
        <w:t>ach</w:t>
      </w:r>
      <w:r w:rsidRPr="00A71E77">
        <w:rPr>
          <w:rFonts w:ascii="Calibri" w:hAnsi="Calibri" w:cs="Arial"/>
          <w:sz w:val="22"/>
          <w:szCs w:val="22"/>
        </w:rPr>
        <w:t xml:space="preserve"> metropolitalnych i innych obszar</w:t>
      </w:r>
      <w:r>
        <w:rPr>
          <w:rFonts w:ascii="Calibri" w:hAnsi="Calibri" w:cs="Arial"/>
          <w:sz w:val="22"/>
          <w:szCs w:val="22"/>
        </w:rPr>
        <w:t>ach</w:t>
      </w:r>
      <w:r w:rsidRPr="00A71E77">
        <w:rPr>
          <w:rFonts w:ascii="Calibri" w:hAnsi="Calibri" w:cs="Arial"/>
          <w:sz w:val="22"/>
          <w:szCs w:val="22"/>
        </w:rPr>
        <w:t xml:space="preserve"> powiązań funkcjonalnych.</w:t>
      </w:r>
    </w:p>
    <w:p w14:paraId="64142563" w14:textId="77777777" w:rsidR="00143977" w:rsidRPr="00F21196" w:rsidRDefault="00143977" w:rsidP="00143977">
      <w:pPr>
        <w:spacing w:after="0" w:line="276" w:lineRule="auto"/>
        <w:jc w:val="both"/>
        <w:rPr>
          <w:rFonts w:cs="Arial"/>
          <w:color w:val="FF0000"/>
        </w:rPr>
      </w:pPr>
    </w:p>
    <w:p w14:paraId="73EB28D1" w14:textId="77777777" w:rsidR="00143977" w:rsidRPr="00F21196" w:rsidRDefault="00143977" w:rsidP="00143977">
      <w:pPr>
        <w:spacing w:after="0" w:line="276" w:lineRule="auto"/>
        <w:jc w:val="both"/>
        <w:rPr>
          <w:rFonts w:cs="Arial"/>
        </w:rPr>
      </w:pPr>
      <w:r w:rsidRPr="00F21196">
        <w:rPr>
          <w:rFonts w:cs="Arial"/>
        </w:rPr>
        <w:t xml:space="preserve">Ocena funkcjonowania rozwiązań prawnych dotyczących nadzoru i kontroli nad samorządem terytorialnym winna następować pod kątem zdiagnozowania luk prawnych, sprawności procedur, skuteczności środków nadzoru i uzasadniać ich ewentualną korektę. Szczególną uwagę należałoby poświęcić problematyce gmin wysoko zadłużonych. Jednak ewentualne rozwiązania w tym zakresie powinny uwzględniać konieczność zapewnienia zgodnego z prawem i sprawnego wykonywania zadań publicznych, z jednoczesnym poszanowaniem konstytucyjnych gwarancji samodzielności jednostek samorządu terytorialnego. </w:t>
      </w:r>
    </w:p>
    <w:p w14:paraId="1F89E2AC" w14:textId="77777777" w:rsidR="00143977" w:rsidRPr="00F21196" w:rsidRDefault="00143977" w:rsidP="00143977">
      <w:pPr>
        <w:spacing w:after="0" w:line="276" w:lineRule="auto"/>
        <w:jc w:val="both"/>
        <w:rPr>
          <w:rFonts w:cs="Arial"/>
        </w:rPr>
      </w:pPr>
      <w:r w:rsidRPr="00F21196">
        <w:rPr>
          <w:rStyle w:val="StylGaramond11ptCzarny"/>
          <w:rFonts w:asciiTheme="minorHAnsi" w:hAnsiTheme="minorHAnsi" w:cs="Arial"/>
          <w:b w:val="0"/>
          <w:spacing w:val="0"/>
          <w:sz w:val="22"/>
          <w:szCs w:val="22"/>
        </w:rPr>
        <w:t>Wskazać należy także na potrzebę pogłębionych badań dotyczących podziału terytorialnego państwa na poziomie gminnym w aspekcie funkcjonowania układów gmin obwarzankowych</w:t>
      </w:r>
      <w:r>
        <w:rPr>
          <w:rStyle w:val="Odwoanieprzypisudolnego"/>
          <w:rFonts w:cs="Arial"/>
        </w:rPr>
        <w:footnoteReference w:id="56"/>
      </w:r>
      <w:r w:rsidRPr="00F21196">
        <w:rPr>
          <w:rStyle w:val="StylGaramond11ptCzarny"/>
          <w:rFonts w:asciiTheme="minorHAnsi" w:hAnsiTheme="minorHAnsi" w:cs="Arial"/>
          <w:b w:val="0"/>
          <w:spacing w:val="0"/>
          <w:sz w:val="22"/>
          <w:szCs w:val="22"/>
        </w:rPr>
        <w:t xml:space="preserve">. </w:t>
      </w:r>
      <w:r>
        <w:rPr>
          <w:rStyle w:val="StylGaramond11ptCzarny"/>
          <w:rFonts w:asciiTheme="minorHAnsi" w:hAnsiTheme="minorHAnsi" w:cs="Arial"/>
          <w:b w:val="0"/>
          <w:spacing w:val="0"/>
          <w:sz w:val="22"/>
          <w:szCs w:val="22"/>
        </w:rPr>
        <w:t>Dodatkowo planuje się rozważyć przeprowadzenie</w:t>
      </w:r>
      <w:r>
        <w:t xml:space="preserve"> efektywności funkcjonowania obecnego podziału terytorialnego pod względem organizacyjnym, ekonomicznym, finansowym i przestrzennym, z możliwością dokonania stosownych korekt.</w:t>
      </w:r>
    </w:p>
    <w:p w14:paraId="07C9A6FF" w14:textId="24A3193B" w:rsidR="00143977" w:rsidRDefault="00143977" w:rsidP="00143977">
      <w:pPr>
        <w:spacing w:after="0" w:line="276" w:lineRule="auto"/>
        <w:jc w:val="both"/>
        <w:rPr>
          <w:rStyle w:val="StylGaramond11ptCzarny"/>
          <w:rFonts w:asciiTheme="minorHAnsi" w:hAnsiTheme="minorHAnsi" w:cs="Arial"/>
          <w:b w:val="0"/>
          <w:spacing w:val="0"/>
          <w:sz w:val="22"/>
          <w:szCs w:val="22"/>
        </w:rPr>
      </w:pPr>
      <w:r>
        <w:rPr>
          <w:rStyle w:val="StylGaramond11ptCzarny"/>
          <w:rFonts w:asciiTheme="minorHAnsi" w:hAnsiTheme="minorHAnsi" w:cs="Arial"/>
          <w:b w:val="0"/>
          <w:spacing w:val="0"/>
          <w:sz w:val="22"/>
          <w:szCs w:val="22"/>
        </w:rPr>
        <w:t>P</w:t>
      </w:r>
      <w:r w:rsidRPr="00FC581F">
        <w:rPr>
          <w:rStyle w:val="StylGaramond11ptCzarny"/>
          <w:rFonts w:asciiTheme="minorHAnsi" w:hAnsiTheme="minorHAnsi" w:cs="Arial"/>
          <w:b w:val="0"/>
          <w:spacing w:val="0"/>
          <w:sz w:val="22"/>
          <w:szCs w:val="22"/>
        </w:rPr>
        <w:t>odział terytorialn</w:t>
      </w:r>
      <w:r>
        <w:rPr>
          <w:rStyle w:val="StylGaramond11ptCzarny"/>
          <w:rFonts w:asciiTheme="minorHAnsi" w:hAnsiTheme="minorHAnsi" w:cs="Arial"/>
          <w:b w:val="0"/>
          <w:spacing w:val="0"/>
          <w:sz w:val="22"/>
          <w:szCs w:val="22"/>
        </w:rPr>
        <w:t>y</w:t>
      </w:r>
      <w:r w:rsidRPr="00FC581F">
        <w:rPr>
          <w:rStyle w:val="StylGaramond11ptCzarny"/>
          <w:rFonts w:asciiTheme="minorHAnsi" w:hAnsiTheme="minorHAnsi" w:cs="Arial"/>
          <w:b w:val="0"/>
          <w:spacing w:val="0"/>
          <w:sz w:val="22"/>
          <w:szCs w:val="22"/>
        </w:rPr>
        <w:t xml:space="preserve"> państwa na poziomie gminnym przyjęty ponad 20 lat temu nie uwzględnia znaczącej poprawy infrastruktury komunikacyjnej oraz zwiększenia się zakresu spraw, które mogą być załatwiane przez mieszkańców i innych interesantów przy pomocy środków komunikacji elektronicznej. Nie uwzględnia t</w:t>
      </w:r>
      <w:r>
        <w:rPr>
          <w:rStyle w:val="StylGaramond11ptCzarny"/>
          <w:rFonts w:asciiTheme="minorHAnsi" w:hAnsiTheme="minorHAnsi" w:cs="Arial"/>
          <w:b w:val="0"/>
          <w:spacing w:val="0"/>
          <w:sz w:val="22"/>
          <w:szCs w:val="22"/>
        </w:rPr>
        <w:t>akże</w:t>
      </w:r>
      <w:r w:rsidRPr="00FC581F">
        <w:rPr>
          <w:rStyle w:val="StylGaramond11ptCzarny"/>
          <w:rFonts w:asciiTheme="minorHAnsi" w:hAnsiTheme="minorHAnsi" w:cs="Arial"/>
          <w:b w:val="0"/>
          <w:spacing w:val="0"/>
          <w:sz w:val="22"/>
          <w:szCs w:val="22"/>
        </w:rPr>
        <w:t xml:space="preserve"> </w:t>
      </w:r>
      <w:r>
        <w:rPr>
          <w:rStyle w:val="StylGaramond11ptCzarny"/>
          <w:rFonts w:asciiTheme="minorHAnsi" w:hAnsiTheme="minorHAnsi" w:cs="Arial"/>
          <w:b w:val="0"/>
          <w:spacing w:val="0"/>
          <w:sz w:val="22"/>
          <w:szCs w:val="22"/>
        </w:rPr>
        <w:t>zwiększeni</w:t>
      </w:r>
      <w:r w:rsidR="00D30F28">
        <w:rPr>
          <w:rStyle w:val="StylGaramond11ptCzarny"/>
          <w:rFonts w:asciiTheme="minorHAnsi" w:hAnsiTheme="minorHAnsi" w:cs="Arial"/>
          <w:b w:val="0"/>
          <w:spacing w:val="0"/>
          <w:sz w:val="22"/>
          <w:szCs w:val="22"/>
        </w:rPr>
        <w:t>a</w:t>
      </w:r>
      <w:r w:rsidRPr="00FC581F">
        <w:rPr>
          <w:rStyle w:val="StylGaramond11ptCzarny"/>
          <w:rFonts w:asciiTheme="minorHAnsi" w:hAnsiTheme="minorHAnsi" w:cs="Arial"/>
          <w:b w:val="0"/>
          <w:spacing w:val="0"/>
          <w:sz w:val="22"/>
          <w:szCs w:val="22"/>
        </w:rPr>
        <w:t xml:space="preserve"> zakresu zadań, które wykonują gminy. </w:t>
      </w:r>
      <w:r>
        <w:rPr>
          <w:rStyle w:val="StylGaramond11ptCzarny"/>
          <w:rFonts w:asciiTheme="minorHAnsi" w:hAnsiTheme="minorHAnsi" w:cs="Arial"/>
          <w:b w:val="0"/>
          <w:spacing w:val="0"/>
          <w:sz w:val="22"/>
          <w:szCs w:val="22"/>
        </w:rPr>
        <w:t>Ponadto n</w:t>
      </w:r>
      <w:r w:rsidRPr="00FC581F">
        <w:rPr>
          <w:rStyle w:val="StylGaramond11ptCzarny"/>
          <w:rFonts w:asciiTheme="minorHAnsi" w:hAnsiTheme="minorHAnsi" w:cs="Arial"/>
          <w:b w:val="0"/>
          <w:spacing w:val="0"/>
          <w:sz w:val="22"/>
          <w:szCs w:val="22"/>
        </w:rPr>
        <w:t xml:space="preserve">owym zjawiskiem, którego nie można było precyzyjnie przewidzieć na początku tworzenia jednostek samorządu terytorialnego, </w:t>
      </w:r>
      <w:r>
        <w:rPr>
          <w:rStyle w:val="StylGaramond11ptCzarny"/>
          <w:rFonts w:asciiTheme="minorHAnsi" w:hAnsiTheme="minorHAnsi" w:cs="Arial"/>
          <w:b w:val="0"/>
          <w:spacing w:val="0"/>
          <w:sz w:val="22"/>
          <w:szCs w:val="22"/>
        </w:rPr>
        <w:t>są</w:t>
      </w:r>
      <w:r w:rsidRPr="00FC581F">
        <w:rPr>
          <w:rStyle w:val="StylGaramond11ptCzarny"/>
          <w:rFonts w:asciiTheme="minorHAnsi" w:hAnsiTheme="minorHAnsi" w:cs="Arial"/>
          <w:b w:val="0"/>
          <w:spacing w:val="0"/>
          <w:sz w:val="22"/>
          <w:szCs w:val="22"/>
        </w:rPr>
        <w:t xml:space="preserve"> zmiany demograficzne</w:t>
      </w:r>
      <w:r>
        <w:rPr>
          <w:rStyle w:val="StylGaramond11ptCzarny"/>
          <w:rFonts w:asciiTheme="minorHAnsi" w:hAnsiTheme="minorHAnsi" w:cs="Arial"/>
          <w:b w:val="0"/>
          <w:spacing w:val="0"/>
          <w:sz w:val="22"/>
          <w:szCs w:val="22"/>
        </w:rPr>
        <w:t xml:space="preserve"> i </w:t>
      </w:r>
      <w:r w:rsidRPr="005266B0">
        <w:rPr>
          <w:rStyle w:val="StylGaramond11ptCzarny"/>
          <w:rFonts w:asciiTheme="minorHAnsi" w:hAnsiTheme="minorHAnsi" w:cs="Arial"/>
          <w:b w:val="0"/>
          <w:spacing w:val="0"/>
          <w:sz w:val="22"/>
          <w:szCs w:val="22"/>
        </w:rPr>
        <w:t>wyludnianie wielu jednostek samorządu terytorialnego, co bezpośrednio wpływa na wysokość dochodów oraz potencjał rozwojowy gmin, powiatów oraz samorządów regionalnych, a tym samym na ich efektywność.</w:t>
      </w:r>
      <w:r>
        <w:rPr>
          <w:rStyle w:val="StylGaramond11ptCzarny"/>
          <w:rFonts w:asciiTheme="minorHAnsi" w:hAnsiTheme="minorHAnsi" w:cs="Arial"/>
          <w:b w:val="0"/>
          <w:spacing w:val="0"/>
          <w:sz w:val="22"/>
          <w:szCs w:val="22"/>
        </w:rPr>
        <w:t xml:space="preserve"> </w:t>
      </w:r>
    </w:p>
    <w:p w14:paraId="1F9B1AA3" w14:textId="618C1C56" w:rsidR="00776D77" w:rsidRDefault="00776D77" w:rsidP="00CF216C">
      <w:pPr>
        <w:spacing w:after="0"/>
        <w:jc w:val="both"/>
      </w:pPr>
    </w:p>
    <w:p w14:paraId="1C59953E" w14:textId="77777777" w:rsidR="00776D77" w:rsidRDefault="00776D77" w:rsidP="00776D77">
      <w:pPr>
        <w:spacing w:after="0"/>
        <w:jc w:val="both"/>
        <w:rPr>
          <w:b/>
          <w:u w:val="single"/>
        </w:rPr>
      </w:pPr>
      <w:r w:rsidRPr="00F21196">
        <w:rPr>
          <w:rFonts w:eastAsia="Times New Roman" w:cs="Calibri"/>
          <w:b/>
          <w:u w:val="single"/>
          <w:lang w:eastAsia="pl-PL"/>
        </w:rPr>
        <w:t>1.</w:t>
      </w:r>
      <w:r>
        <w:rPr>
          <w:rFonts w:eastAsia="Times New Roman" w:cs="Calibri"/>
          <w:b/>
          <w:u w:val="single"/>
          <w:lang w:eastAsia="pl-PL"/>
        </w:rPr>
        <w:t>2</w:t>
      </w:r>
      <w:r w:rsidRPr="00F21196">
        <w:rPr>
          <w:rFonts w:eastAsia="Times New Roman" w:cs="Calibri"/>
          <w:b/>
          <w:u w:val="single"/>
          <w:lang w:eastAsia="pl-PL"/>
        </w:rPr>
        <w:t>.</w:t>
      </w:r>
      <w:r>
        <w:rPr>
          <w:rFonts w:eastAsia="Times New Roman" w:cs="Calibri"/>
          <w:b/>
          <w:u w:val="single"/>
          <w:lang w:eastAsia="pl-PL"/>
        </w:rPr>
        <w:t xml:space="preserve"> Doskonalenie usług świadczonych przez podmioty ekonomii społecznej</w:t>
      </w:r>
      <w:r w:rsidRPr="00F21196">
        <w:rPr>
          <w:b/>
          <w:u w:val="single"/>
        </w:rPr>
        <w:t>.</w:t>
      </w:r>
    </w:p>
    <w:p w14:paraId="33BF1D94" w14:textId="77777777" w:rsidR="00776D77" w:rsidRDefault="00776D77" w:rsidP="00776D77">
      <w:pPr>
        <w:autoSpaceDE w:val="0"/>
        <w:autoSpaceDN w:val="0"/>
        <w:adjustRightInd w:val="0"/>
        <w:spacing w:after="120" w:line="276" w:lineRule="auto"/>
        <w:jc w:val="both"/>
      </w:pPr>
      <w:r w:rsidRPr="00F21196">
        <w:t xml:space="preserve">Jakość </w:t>
      </w:r>
      <w:r>
        <w:t xml:space="preserve">i dostępność </w:t>
      </w:r>
      <w:r w:rsidRPr="00F21196">
        <w:t xml:space="preserve">usług </w:t>
      </w:r>
      <w:r>
        <w:t>społecznych</w:t>
      </w:r>
      <w:r w:rsidRPr="00F21196">
        <w:t xml:space="preserve"> świadczonych na rzecz członków wspólnot samorządowych zależy od wielu różnych czynników. W celu zapewnienia jednostkom samorządu terytorialnego lepszych warunków do koordynacji działań w zakresie rozwoju społecznego, przygotowane zostaną </w:t>
      </w:r>
      <w:r>
        <w:t xml:space="preserve">propozycje rozwiązań </w:t>
      </w:r>
      <w:r w:rsidRPr="00F21196">
        <w:t xml:space="preserve"> prawn</w:t>
      </w:r>
      <w:r>
        <w:t>ych</w:t>
      </w:r>
      <w:r w:rsidRPr="00F21196">
        <w:t xml:space="preserve">, które umożliwią </w:t>
      </w:r>
      <w:r>
        <w:t xml:space="preserve">włączenie podmiotów ekonomii społecznej i solidarnej w proces programowania rozwoju społecznego na poziomie lokalnym. </w:t>
      </w:r>
      <w:r w:rsidRPr="00F21196">
        <w:t>Dzięki realnemu zaangażowaniu tych podmiotów możliwe będzie zdiagnozowanie rzeczywistych potrzeb społecznych mieszkańców, a także w oparciu o zasoby społeczności lokalnej, wypracowanie standardów realizacji usług i zadań oraz form i metod działania optymalnie dopasowanych do potrzeb.</w:t>
      </w:r>
    </w:p>
    <w:p w14:paraId="45DE7721" w14:textId="77777777" w:rsidR="00776D77" w:rsidRPr="00C62D81" w:rsidRDefault="00776D77" w:rsidP="00776D77">
      <w:pPr>
        <w:autoSpaceDE w:val="0"/>
        <w:autoSpaceDN w:val="0"/>
        <w:adjustRightInd w:val="0"/>
        <w:spacing w:after="120" w:line="276" w:lineRule="auto"/>
        <w:jc w:val="both"/>
        <w:rPr>
          <w:rFonts w:cs="TimesNewRomanPSMT"/>
        </w:rPr>
      </w:pPr>
      <w:r w:rsidRPr="00C62D81">
        <w:rPr>
          <w:rFonts w:cs="TimesNewRomanPSMT"/>
        </w:rPr>
        <w:t>Realizacja regionalnej polityki rozwoju społecznego może odbywać także na podstawie strategii rozwoju lokalnego kierowanego przez społeczność (LSR) wdrażanych przez lokalne grupy działania w ramach mechanizmu Rozwoju Lokalnego Kierowanego przez Społeczność. LSR tworzone są w sposób oddolny, przy zaangażowaniu zarówno jednostek samorządu terytorialnego (gminy, powiaty) jak i lokalnej społeczności oraz przedsiębiorców i stanowią realną odpowiedź na zdiagnozowane lokalne problemy, także w zakresie grup defaworyzowanych czy rynku pracy.</w:t>
      </w:r>
    </w:p>
    <w:p w14:paraId="028D07F5" w14:textId="77777777" w:rsidR="00776D77" w:rsidRPr="00F21196" w:rsidRDefault="00776D77" w:rsidP="00776D77">
      <w:pPr>
        <w:spacing w:after="120" w:line="276" w:lineRule="auto"/>
        <w:jc w:val="both"/>
      </w:pPr>
      <w:r w:rsidRPr="00F21196">
        <w:t xml:space="preserve">W celu szybszego osiągnięcia efektów działań legislacyjnych, przedstawiciele organów </w:t>
      </w:r>
      <w:r>
        <w:t>JST</w:t>
      </w:r>
      <w:r w:rsidRPr="00F21196">
        <w:t>, podmiotów ekonomii społecznej oraz wspólnot lokalnych otrzymają wsparcie edukacyjne i doradcze. Sformułowane zostaną również wytyczne zawierające w szczególności wskazania metodyczne służące sprawnej realizacji działań strategicznych i programowych w gminach i powiatach.</w:t>
      </w:r>
      <w:r>
        <w:t xml:space="preserve"> </w:t>
      </w:r>
      <w:r w:rsidRPr="00F21196">
        <w:t>Z uwagi na rolę jednostek samorządu terytorialnego w procesie zaspokajania zbiorowych potrzeb samorządowych wspólnot lokalnych i regionalnych</w:t>
      </w:r>
      <w:r>
        <w:t xml:space="preserve"> oraz</w:t>
      </w:r>
      <w:r w:rsidRPr="00F21196">
        <w:t xml:space="preserve"> potencjał podmiotów ekonomii społecznej w dostarczaniu wysokiej jakości usług społecznych, </w:t>
      </w:r>
      <w:r>
        <w:t xml:space="preserve">rozważona zostanie </w:t>
      </w:r>
      <w:r w:rsidRPr="00F21196">
        <w:t>możliwoś</w:t>
      </w:r>
      <w:r>
        <w:t>ć</w:t>
      </w:r>
      <w:r w:rsidRPr="00F21196">
        <w:t xml:space="preserve"> wprowadzenia zmian w obowiązujących przepisach, przyczyniając</w:t>
      </w:r>
      <w:r>
        <w:t>a</w:t>
      </w:r>
      <w:r w:rsidRPr="00F21196">
        <w:t xml:space="preserve"> się do podniesienia efektywności gospodarowania środkami publicznymi poprzez wskazanie, że usługi społeczne powinny być w pierwszej kolejności (preferencje) realizowane przez podmioty ekonomii społecznej. Ponadto wydaje się również uzasadnione zapewnienie organom jednostek samorządu terytorialnego możliwości zastrzeżenia, aby zamówienia realizowane na podstawie PZP </w:t>
      </w:r>
      <w:r>
        <w:t xml:space="preserve">w zakresie usług społecznych (w tym </w:t>
      </w:r>
      <w:r w:rsidRPr="00F21196">
        <w:t>zamówienia</w:t>
      </w:r>
      <w:r>
        <w:t>,</w:t>
      </w:r>
      <w:r w:rsidRPr="00F21196">
        <w:t xml:space="preserve"> </w:t>
      </w:r>
      <w:r w:rsidRPr="00F21196">
        <w:rPr>
          <w:bCs/>
        </w:rPr>
        <w:t xml:space="preserve">które </w:t>
      </w:r>
      <w:r>
        <w:rPr>
          <w:bCs/>
        </w:rPr>
        <w:t xml:space="preserve">ze </w:t>
      </w:r>
      <w:r w:rsidRPr="00F21196">
        <w:rPr>
          <w:bCs/>
        </w:rPr>
        <w:t>względu na wartość nie podlegają PZP</w:t>
      </w:r>
      <w:r>
        <w:rPr>
          <w:bCs/>
        </w:rPr>
        <w:t>)</w:t>
      </w:r>
      <w:r w:rsidRPr="00F21196">
        <w:rPr>
          <w:bCs/>
        </w:rPr>
        <w:t xml:space="preserve">, były zlecane w szczególności </w:t>
      </w:r>
      <w:r w:rsidRPr="00F21196">
        <w:t>podmiot</w:t>
      </w:r>
      <w:r>
        <w:t>om</w:t>
      </w:r>
      <w:r w:rsidRPr="00F21196">
        <w:t xml:space="preserve"> ekonomii społecznej.</w:t>
      </w:r>
    </w:p>
    <w:p w14:paraId="7776E2BF" w14:textId="77777777" w:rsidR="00776D77" w:rsidRPr="00F21196" w:rsidRDefault="00776D77" w:rsidP="00776D77">
      <w:pPr>
        <w:spacing w:line="276" w:lineRule="auto"/>
        <w:jc w:val="both"/>
      </w:pPr>
      <w:r>
        <w:t>R</w:t>
      </w:r>
      <w:r w:rsidRPr="00F21196">
        <w:t>ozważ</w:t>
      </w:r>
      <w:r>
        <w:t>ona zostanie</w:t>
      </w:r>
      <w:r w:rsidRPr="00F21196">
        <w:t xml:space="preserve"> możliwość wprowadzenia mechanizmu umożliwiającego prowadzenie dialogu lub negocjacji dotyczących tych kwestii</w:t>
      </w:r>
      <w:r>
        <w:t>, a także realizację powyższych zadań w formule partnerstwa publiczno-społecznego w</w:t>
      </w:r>
      <w:r w:rsidRPr="00F21196">
        <w:t xml:space="preserve"> celu zintegrowania procesu diagnozowania potrzeb społeczności oraz wyboru metod ich zaspokajania, a także dostawców usług społecznych. </w:t>
      </w:r>
      <w:r>
        <w:t>Dzięki temu możliwe będzie</w:t>
      </w:r>
      <w:r w:rsidRPr="00F21196">
        <w:t xml:space="preserve"> szersze, bardziej partycypacyjne i</w:t>
      </w:r>
      <w:r>
        <w:t xml:space="preserve"> </w:t>
      </w:r>
      <w:r w:rsidRPr="00F21196">
        <w:t>lepiej dopasowane do lokalnych uwarunkowań sformułowanie ram realizacji zadań publicznych.</w:t>
      </w:r>
      <w:r>
        <w:t xml:space="preserve"> </w:t>
      </w:r>
      <w:r w:rsidRPr="00F21196">
        <w:t xml:space="preserve">Takie rozwiązania przyczynią się do włączenia w proces zaspokajania potrzeb samorządowych wspólnot lokalnych, podmiotów działających w obrębie tych wspólnot na rzecz włączenia społecznego osób zagrożonych lub dotkniętych wykluczeniem społecznym. Jednocześnie wprowadzenie nowych rozwiązań w </w:t>
      </w:r>
      <w:r>
        <w:t xml:space="preserve">tym zakresie </w:t>
      </w:r>
      <w:r w:rsidRPr="00F21196">
        <w:t xml:space="preserve">może przyczynić się do zagospodarowania nisz dotyczących zapewniania usług dla społeczności, które nie cieszyły się zainteresowaniem podmiotów komercyjnych. </w:t>
      </w:r>
    </w:p>
    <w:p w14:paraId="26E5A1B1" w14:textId="77777777" w:rsidR="00776D77" w:rsidRDefault="00776D77" w:rsidP="00776D77">
      <w:pPr>
        <w:autoSpaceDE w:val="0"/>
        <w:autoSpaceDN w:val="0"/>
        <w:adjustRightInd w:val="0"/>
        <w:spacing w:line="276" w:lineRule="auto"/>
        <w:jc w:val="both"/>
      </w:pPr>
      <w:r w:rsidRPr="00F21196">
        <w:t>W celu upowszechnienia nowych form zlecania zadań publicznych oraz dokonywania zamówień w ramach PZP, planowane jest opracowanie materiałów edukacyjnych dla przedstawicieli JST oraz opracowanie modelu funkcjonowania przedsiębiorstw społecznych, m.in. o charakterze usługowym, świadczących tzw. „wiązki” usług społecznych użyteczności publicznej, kierowanych w szczególności w</w:t>
      </w:r>
      <w:r>
        <w:t xml:space="preserve"> </w:t>
      </w:r>
      <w:r w:rsidRPr="00F21196">
        <w:t>zindywidualizowany i kompleksowy sposób do osób niepełnosprawnych i niesamodzielnych oraz ich rodzin, w tym dla rodzin posiadających dzieci z niepełnosprawnością i realizujących zadania publiczne w zakresie rozwoju lokalnego oraz usługi społeczne użyteczności publicznej.</w:t>
      </w:r>
    </w:p>
    <w:p w14:paraId="5278C7DC" w14:textId="77777777" w:rsidR="00776D77" w:rsidRDefault="00776D77" w:rsidP="00776D77">
      <w:pPr>
        <w:autoSpaceDE w:val="0"/>
        <w:autoSpaceDN w:val="0"/>
        <w:adjustRightInd w:val="0"/>
        <w:spacing w:line="276" w:lineRule="auto"/>
        <w:jc w:val="both"/>
      </w:pPr>
      <w:r w:rsidRPr="00F21196">
        <w:t>W trosce o wysoką jakość realizacji usług społecznych użyteczności publicznej oraz zadań publicznych z zakresu rozwoju lokalnego, planowane jest również dalsze rozwijanie systemu wsparcia podmiotów ekonomii społecznej. Zapewnienie tym podmiotom stałego dostępu do profesjonalnego wsparcia zarówno w zakresie działalności gospodarczej oraz w realizacji zadań reintegracyjnych, prowadzić będzie do wzrostu jakości świadczonych usług, także tych zlecanych przez organy JST. W celu zapewnienia wysokiej jakości usług wsparcia podmiotów ekonomii społecznej, rozwijany będzie system standardów tych usług oraz akredytacji, potwierdzających ich spełnienie.</w:t>
      </w:r>
    </w:p>
    <w:p w14:paraId="7E98247A" w14:textId="77777777" w:rsidR="00776D77" w:rsidRPr="00F21196" w:rsidRDefault="00776D77" w:rsidP="000440D7">
      <w:pPr>
        <w:spacing w:after="120" w:line="276" w:lineRule="auto"/>
        <w:jc w:val="both"/>
        <w:rPr>
          <w:lang w:eastAsia="pl-PL"/>
        </w:rPr>
      </w:pPr>
      <w:r>
        <w:rPr>
          <w:rFonts w:eastAsia="Times New Roman" w:cs="Calibri"/>
          <w:b/>
          <w:u w:val="single"/>
          <w:lang w:eastAsia="pl-PL"/>
        </w:rPr>
        <w:t>1.3</w:t>
      </w:r>
      <w:r w:rsidRPr="00F21196">
        <w:rPr>
          <w:rFonts w:eastAsia="Times New Roman" w:cs="Calibri"/>
          <w:b/>
          <w:u w:val="single"/>
          <w:lang w:eastAsia="pl-PL"/>
        </w:rPr>
        <w:t>. Wprowadzenie systemu monitorowania usług publicznych świadczonych przez jednostki samorządu terytorialnego.</w:t>
      </w:r>
      <w:r>
        <w:rPr>
          <w:rFonts w:eastAsia="Times New Roman" w:cs="Calibri"/>
          <w:b/>
          <w:u w:val="single"/>
          <w:lang w:eastAsia="pl-PL"/>
        </w:rPr>
        <w:t xml:space="preserve"> </w:t>
      </w:r>
      <w:r w:rsidRPr="00F21196">
        <w:rPr>
          <w:lang w:eastAsia="pl-PL"/>
        </w:rPr>
        <w:t xml:space="preserve">System </w:t>
      </w:r>
      <w:r w:rsidRPr="00F21196">
        <w:rPr>
          <w:rFonts w:eastAsia="Times New Roman" w:cs="Calibri"/>
          <w:lang w:eastAsia="pl-PL"/>
        </w:rPr>
        <w:t>monitor</w:t>
      </w:r>
      <w:r>
        <w:rPr>
          <w:rFonts w:eastAsia="Times New Roman" w:cs="Calibri"/>
          <w:lang w:eastAsia="pl-PL"/>
        </w:rPr>
        <w:t>owania</w:t>
      </w:r>
      <w:r w:rsidRPr="00F21196">
        <w:rPr>
          <w:rFonts w:eastAsia="Times New Roman" w:cs="Calibri"/>
          <w:lang w:eastAsia="pl-PL"/>
        </w:rPr>
        <w:t xml:space="preserve"> usług publicznych</w:t>
      </w:r>
      <w:r w:rsidRPr="00F21196">
        <w:rPr>
          <w:lang w:eastAsia="pl-PL"/>
        </w:rPr>
        <w:t xml:space="preserve"> powinien funkcjonować w postaci powszechnie dostępnego, elektronicznego systemu bazodanowego składającego się z modułu monitorującego wyposażonego w funkcjonalności prezentacji oraz raportowania. W przypadku usług świadczonych przez JST ważną funkcjonalnością systemu powinna być możliwość porównywania świadczenia usług publicznych przez jednostki o zbliżonej charakterystyce w formule benchmarkingu. System powinien dostarczać informacje opracowane dla podmiotów świadczących usługi, jak i odbiorców usług publicznych. Zakłada się, że korzystać będą z niego przedsiębiorcy, administracja publiczna, społeczeństwo, organizacje obywatelskie, a także środowiska naukowe i eksperckie.</w:t>
      </w:r>
    </w:p>
    <w:p w14:paraId="2DBC4931" w14:textId="2B01B37F" w:rsidR="00776D77" w:rsidRPr="00F21196" w:rsidRDefault="000440D7" w:rsidP="000440D7">
      <w:pPr>
        <w:spacing w:after="120" w:line="276" w:lineRule="auto"/>
        <w:jc w:val="both"/>
        <w:rPr>
          <w:lang w:eastAsia="pl-PL"/>
        </w:rPr>
      </w:pPr>
      <w:r>
        <w:rPr>
          <w:lang w:eastAsia="pl-PL"/>
        </w:rPr>
        <w:t xml:space="preserve">Z </w:t>
      </w:r>
      <w:r w:rsidR="00776D77" w:rsidRPr="00F21196">
        <w:rPr>
          <w:lang w:eastAsia="pl-PL"/>
        </w:rPr>
        <w:t>uwagi na koncepcyjny charakter planowanych działań, kluczowym założeniem wykonawczym dla budowy systemu powinno być partnerskie podejście do realizacji systemu. Oznacza to możliwość współdecydowania o zakresie wskaźników ujętych w systemie dla opisu czterech podstawowych wymiarów usług (ilości, jakości, dostępności i efektywności kosztowej) przez podmioty dostarczające dane usługi oraz korzystające z tych danych na co dzień w swojej działalności. W przypadku usług samorządowych istotne jest wykorzystanie wiedzy podmiotów posiadających praktyczne doświadczenia w prowadzeniu działań z zakresu monitorowania usług publicznych w samorządzie.</w:t>
      </w:r>
    </w:p>
    <w:p w14:paraId="2B50B3CB" w14:textId="77777777" w:rsidR="00776D77" w:rsidRPr="00F21196" w:rsidRDefault="00776D77" w:rsidP="00776D77">
      <w:pPr>
        <w:spacing w:after="120"/>
        <w:jc w:val="both"/>
        <w:rPr>
          <w:lang w:eastAsia="pl-PL"/>
        </w:rPr>
      </w:pPr>
      <w:r w:rsidRPr="00F21196">
        <w:rPr>
          <w:lang w:eastAsia="pl-PL"/>
        </w:rPr>
        <w:t>Przyjmując, iż monitorowanie usług poza gromadzeniem i udostępnianiem informacji o realizacji zadań publicznych służy szerszym celom, kluczowym efektem realizacji zadania o charakterze długofalowym będzie podnoszenie kultury zarządzania. Dotyczy to nie tylko umiejętności analizowania i doskonalenia usług na poziomie lokalnym, tj. tam gdzie usługa jest świadczona, ale także wpływu na jakość debaty publicznej czy też zdolność właściwych podmiotów do uzasadnienia potrzeb zmian prawnych w oparciu o wysokiej jakości dane ilościowe gromadzone w systemie.</w:t>
      </w:r>
    </w:p>
    <w:p w14:paraId="520E482A" w14:textId="77777777" w:rsidR="00776D77" w:rsidRDefault="00776D77" w:rsidP="00776D77">
      <w:pPr>
        <w:spacing w:after="120"/>
        <w:jc w:val="both"/>
        <w:rPr>
          <w:lang w:eastAsia="pl-PL"/>
        </w:rPr>
      </w:pPr>
      <w:r w:rsidRPr="00F752CA">
        <w:rPr>
          <w:rFonts w:eastAsia="Times New Roman" w:cs="Calibri"/>
          <w:lang w:eastAsia="pl-PL"/>
        </w:rPr>
        <w:t>Zakłada się, że</w:t>
      </w:r>
      <w:r w:rsidRPr="00F752CA">
        <w:rPr>
          <w:rFonts w:eastAsia="Times New Roman" w:cs="Calibri"/>
          <w:b/>
          <w:lang w:eastAsia="pl-PL"/>
        </w:rPr>
        <w:t xml:space="preserve"> </w:t>
      </w:r>
      <w:r w:rsidRPr="00F752CA">
        <w:rPr>
          <w:lang w:eastAsia="pl-PL"/>
        </w:rPr>
        <w:t>opracowywany system monitorowania usług publicznych projektowany powinien być zgodnie z najnowszymi wymaganiami dla rejestrów publicznych i systemów informatycznych określonych w Krajowych Ramach Interoperacyjności</w:t>
      </w:r>
      <w:r w:rsidRPr="00F752CA">
        <w:rPr>
          <w:rStyle w:val="Odwoanieprzypisudolnego"/>
          <w:lang w:eastAsia="pl-PL"/>
        </w:rPr>
        <w:footnoteReference w:id="57"/>
      </w:r>
      <w:r w:rsidRPr="00F752CA">
        <w:rPr>
          <w:lang w:eastAsia="pl-PL"/>
        </w:rPr>
        <w:t>. Niezbędne jest także uwzględnienie wymagań krajowych standardów bezpieczeństwa IT.</w:t>
      </w:r>
      <w:r w:rsidRPr="00F21196">
        <w:rPr>
          <w:lang w:eastAsia="pl-PL"/>
        </w:rPr>
        <w:t xml:space="preserve"> </w:t>
      </w:r>
      <w:r w:rsidRPr="00945290">
        <w:rPr>
          <w:lang w:eastAsia="pl-PL"/>
        </w:rPr>
        <w:t xml:space="preserve">System monitorowania usług publicznych samorządu terytorialnego powinien być komplementarny w stosunku do </w:t>
      </w:r>
      <w:r>
        <w:rPr>
          <w:lang w:eastAsia="pl-PL"/>
        </w:rPr>
        <w:t xml:space="preserve">planowanego do udostępnienia </w:t>
      </w:r>
      <w:r w:rsidRPr="00945290">
        <w:rPr>
          <w:lang w:eastAsia="pl-PL"/>
        </w:rPr>
        <w:t>systemu K</w:t>
      </w:r>
      <w:r>
        <w:rPr>
          <w:lang w:eastAsia="pl-PL"/>
        </w:rPr>
        <w:t xml:space="preserve">atalogu </w:t>
      </w:r>
      <w:r w:rsidRPr="00945290">
        <w:rPr>
          <w:lang w:eastAsia="pl-PL"/>
        </w:rPr>
        <w:t>A</w:t>
      </w:r>
      <w:r>
        <w:rPr>
          <w:lang w:eastAsia="pl-PL"/>
        </w:rPr>
        <w:t xml:space="preserve">dministracji </w:t>
      </w:r>
      <w:r w:rsidRPr="00945290">
        <w:rPr>
          <w:lang w:eastAsia="pl-PL"/>
        </w:rPr>
        <w:t>P</w:t>
      </w:r>
      <w:r>
        <w:rPr>
          <w:lang w:eastAsia="pl-PL"/>
        </w:rPr>
        <w:t>ublicznej</w:t>
      </w:r>
      <w:r w:rsidRPr="00945290">
        <w:rPr>
          <w:lang w:eastAsia="pl-PL"/>
        </w:rPr>
        <w:t xml:space="preserve">, którego celem jest ułatwienie efektywnego monitorowania i zarządzania rozwojem usług publicznych całej administracji publicznej, ze szczególnym ukierunkowaniem na usługi świadczone drogą elektroniczną  </w:t>
      </w:r>
    </w:p>
    <w:p w14:paraId="08F34FCC" w14:textId="77777777" w:rsidR="00776D77" w:rsidRPr="00F21196" w:rsidRDefault="00776D77" w:rsidP="00776D77">
      <w:pPr>
        <w:spacing w:after="0"/>
        <w:jc w:val="both"/>
        <w:rPr>
          <w:lang w:eastAsia="pl-PL"/>
        </w:rPr>
      </w:pPr>
    </w:p>
    <w:p w14:paraId="79490518" w14:textId="77777777" w:rsidR="00776D77" w:rsidRPr="003B07DF" w:rsidRDefault="00776D77" w:rsidP="00776D77">
      <w:pPr>
        <w:pStyle w:val="Tekstkomentarza"/>
        <w:spacing w:after="0" w:line="276" w:lineRule="auto"/>
        <w:jc w:val="both"/>
        <w:rPr>
          <w:sz w:val="22"/>
          <w:szCs w:val="22"/>
        </w:rPr>
      </w:pPr>
      <w:r w:rsidRPr="003B07DF">
        <w:rPr>
          <w:b/>
          <w:sz w:val="22"/>
          <w:szCs w:val="22"/>
          <w:u w:val="single"/>
          <w:lang w:eastAsia="pl-PL"/>
        </w:rPr>
        <w:t>1.4.</w:t>
      </w:r>
      <w:r w:rsidRPr="003B07DF">
        <w:rPr>
          <w:b/>
          <w:sz w:val="22"/>
          <w:szCs w:val="22"/>
          <w:u w:val="single"/>
        </w:rPr>
        <w:t xml:space="preserve"> Poprawa zdolności administracji samorządowej do realizacji procesu zarządzania rozwojem lokalnym i regionalnym. </w:t>
      </w:r>
      <w:r w:rsidRPr="003B07DF">
        <w:rPr>
          <w:sz w:val="22"/>
          <w:szCs w:val="22"/>
        </w:rPr>
        <w:t xml:space="preserve">Zakłada się zwiększenia zdolności administracji samorządowej do kreowania i zarządzania polityką lokalną i regionalną w </w:t>
      </w:r>
      <w:r>
        <w:rPr>
          <w:sz w:val="22"/>
          <w:szCs w:val="22"/>
        </w:rPr>
        <w:t>zakresie</w:t>
      </w:r>
      <w:r w:rsidRPr="003B07DF">
        <w:rPr>
          <w:sz w:val="22"/>
          <w:szCs w:val="22"/>
        </w:rPr>
        <w:t xml:space="preserve"> zaspokajania potrzeb społecznych i wyzwań cywilizacyjnych. </w:t>
      </w:r>
      <w:r>
        <w:rPr>
          <w:sz w:val="22"/>
          <w:szCs w:val="22"/>
        </w:rPr>
        <w:t>Zatem niezbędnym</w:t>
      </w:r>
      <w:r w:rsidRPr="003B07DF">
        <w:rPr>
          <w:sz w:val="22"/>
          <w:szCs w:val="22"/>
        </w:rPr>
        <w:t xml:space="preserve"> będzie doskonaleni</w:t>
      </w:r>
      <w:r>
        <w:rPr>
          <w:sz w:val="22"/>
          <w:szCs w:val="22"/>
        </w:rPr>
        <w:t>e</w:t>
      </w:r>
      <w:r w:rsidRPr="003B07DF">
        <w:rPr>
          <w:sz w:val="22"/>
          <w:szCs w:val="22"/>
        </w:rPr>
        <w:t xml:space="preserve"> urzędniczych kadr samorządowych, z uwzględnieniem kształtowania sylwetki społeczno-zawodowej współczesnego urzędnika (menadżera publicznego).</w:t>
      </w:r>
    </w:p>
    <w:p w14:paraId="01556E92" w14:textId="77777777" w:rsidR="00776D77" w:rsidRPr="003B07DF" w:rsidRDefault="00776D77" w:rsidP="00776D77">
      <w:pPr>
        <w:pStyle w:val="Tekstkomentarza"/>
        <w:spacing w:after="0" w:line="276" w:lineRule="auto"/>
        <w:jc w:val="both"/>
        <w:rPr>
          <w:sz w:val="22"/>
          <w:szCs w:val="22"/>
        </w:rPr>
      </w:pPr>
      <w:r w:rsidRPr="003B07DF">
        <w:rPr>
          <w:sz w:val="22"/>
          <w:szCs w:val="22"/>
        </w:rPr>
        <w:t>Przedsięwzięcia podejmowane w ramach tego kierunku interwencji wynikają z Krajowej Strategii Rozwoju Regionalnego 2030.</w:t>
      </w:r>
    </w:p>
    <w:p w14:paraId="7B4FEAB2" w14:textId="77777777" w:rsidR="000440D7" w:rsidRPr="00F21196" w:rsidRDefault="000440D7" w:rsidP="00776D77">
      <w:pPr>
        <w:rPr>
          <w:lang w:eastAsia="pl-PL"/>
        </w:rPr>
      </w:pPr>
    </w:p>
    <w:p w14:paraId="493C7843" w14:textId="77777777" w:rsidR="00776D77" w:rsidRPr="00F21196" w:rsidRDefault="00776D77" w:rsidP="00776D77">
      <w:pPr>
        <w:pBdr>
          <w:bottom w:val="single" w:sz="24" w:space="1" w:color="A8D08D" w:themeColor="accent6" w:themeTint="99"/>
        </w:pBdr>
        <w:shd w:val="clear" w:color="auto" w:fill="D9D9D9" w:themeFill="background1" w:themeFillShade="D9"/>
        <w:spacing w:after="0" w:line="240" w:lineRule="auto"/>
        <w:ind w:left="31" w:hanging="31"/>
        <w:rPr>
          <w:rFonts w:cs="Calibri,Bold"/>
          <w:b/>
          <w:bCs/>
          <w:sz w:val="24"/>
          <w:szCs w:val="18"/>
        </w:rPr>
      </w:pPr>
      <w:r w:rsidRPr="00F21196">
        <w:rPr>
          <w:rFonts w:cs="Calibri,Bold"/>
          <w:b/>
          <w:bCs/>
          <w:sz w:val="24"/>
          <w:szCs w:val="18"/>
        </w:rPr>
        <w:t xml:space="preserve">Kierunek interwencji 2. </w:t>
      </w:r>
    </w:p>
    <w:p w14:paraId="2FDE8F23" w14:textId="77777777" w:rsidR="00776D77" w:rsidRPr="00F21196" w:rsidRDefault="00776D77" w:rsidP="00776D77">
      <w:pPr>
        <w:pBdr>
          <w:bottom w:val="single" w:sz="24" w:space="1" w:color="A8D08D" w:themeColor="accent6" w:themeTint="99"/>
        </w:pBdr>
        <w:shd w:val="clear" w:color="auto" w:fill="D9D9D9" w:themeFill="background1" w:themeFillShade="D9"/>
        <w:spacing w:after="0" w:line="240" w:lineRule="auto"/>
        <w:ind w:left="31" w:hanging="31"/>
        <w:jc w:val="center"/>
        <w:rPr>
          <w:rFonts w:eastAsia="Times New Roman" w:cs="Calibri"/>
          <w:b/>
          <w:color w:val="2F5496" w:themeColor="accent5" w:themeShade="BF"/>
          <w:sz w:val="36"/>
          <w:lang w:eastAsia="pl-PL"/>
        </w:rPr>
      </w:pPr>
      <w:r>
        <w:rPr>
          <w:rFonts w:cs="Calibri,Bold"/>
          <w:b/>
          <w:bCs/>
          <w:i/>
          <w:sz w:val="24"/>
          <w:szCs w:val="18"/>
        </w:rPr>
        <w:t>Podniesienie</w:t>
      </w:r>
      <w:r w:rsidRPr="00F21196">
        <w:rPr>
          <w:rFonts w:cs="Calibri,Bold"/>
          <w:b/>
          <w:bCs/>
          <w:i/>
          <w:sz w:val="24"/>
          <w:szCs w:val="18"/>
        </w:rPr>
        <w:t xml:space="preserve"> sprawności funkcjonowania administracji rządowej</w:t>
      </w:r>
      <w:r w:rsidRPr="00F21196">
        <w:rPr>
          <w:rFonts w:cs="Calibri,Bold"/>
          <w:b/>
          <w:bCs/>
          <w:sz w:val="24"/>
          <w:szCs w:val="18"/>
        </w:rPr>
        <w:t>.</w:t>
      </w:r>
    </w:p>
    <w:p w14:paraId="351AA954" w14:textId="77777777" w:rsidR="00776D77" w:rsidRPr="00F21196" w:rsidRDefault="00776D77" w:rsidP="00F752B3">
      <w:pPr>
        <w:spacing w:before="120" w:after="0" w:line="276" w:lineRule="auto"/>
        <w:rPr>
          <w:rFonts w:eastAsia="Times New Roman" w:cs="Calibri"/>
          <w:b/>
          <w:u w:val="single"/>
          <w:lang w:eastAsia="pl-PL"/>
        </w:rPr>
      </w:pPr>
      <w:r w:rsidRPr="00F21196">
        <w:rPr>
          <w:rFonts w:eastAsia="Times New Roman" w:cs="Calibri"/>
          <w:b/>
          <w:u w:val="single"/>
          <w:lang w:eastAsia="pl-PL"/>
        </w:rPr>
        <w:t xml:space="preserve">2.1. </w:t>
      </w:r>
      <w:r>
        <w:rPr>
          <w:rFonts w:eastAsia="Times New Roman" w:cs="Calibri"/>
          <w:b/>
          <w:u w:val="single"/>
          <w:lang w:eastAsia="pl-PL"/>
        </w:rPr>
        <w:t xml:space="preserve">Zapewnienie spójności struktur </w:t>
      </w:r>
      <w:r w:rsidRPr="00F21196">
        <w:rPr>
          <w:rFonts w:eastAsia="Times New Roman" w:cs="Calibri"/>
          <w:b/>
          <w:u w:val="single"/>
          <w:lang w:eastAsia="pl-PL"/>
        </w:rPr>
        <w:t>administracji rządowej</w:t>
      </w:r>
      <w:r>
        <w:rPr>
          <w:rFonts w:eastAsia="Times New Roman" w:cs="Calibri"/>
          <w:b/>
          <w:u w:val="single"/>
          <w:lang w:eastAsia="pl-PL"/>
        </w:rPr>
        <w:t xml:space="preserve"> i jej skuteczności</w:t>
      </w:r>
      <w:r w:rsidRPr="00F21196">
        <w:rPr>
          <w:rFonts w:eastAsia="Times New Roman" w:cs="Calibri"/>
          <w:b/>
          <w:u w:val="single"/>
          <w:lang w:eastAsia="pl-PL"/>
        </w:rPr>
        <w:t>.</w:t>
      </w:r>
    </w:p>
    <w:p w14:paraId="5ADEDBCC" w14:textId="77777777" w:rsidR="00776D77" w:rsidRPr="00F21196" w:rsidRDefault="00776D77" w:rsidP="00776D77">
      <w:pPr>
        <w:pBdr>
          <w:top w:val="nil"/>
          <w:left w:val="nil"/>
          <w:bottom w:val="nil"/>
          <w:right w:val="nil"/>
          <w:between w:val="nil"/>
          <w:bar w:val="nil"/>
        </w:pBdr>
        <w:spacing w:after="0" w:line="276" w:lineRule="auto"/>
        <w:jc w:val="both"/>
        <w:rPr>
          <w:rFonts w:eastAsia="Arial Unicode MS"/>
          <w:bdr w:val="nil"/>
        </w:rPr>
      </w:pPr>
      <w:r>
        <w:rPr>
          <w:rFonts w:eastAsia="Arial Unicode MS"/>
          <w:bdr w:val="nil"/>
        </w:rPr>
        <w:t>K</w:t>
      </w:r>
      <w:r w:rsidRPr="00F21196">
        <w:rPr>
          <w:rFonts w:eastAsia="Arial Unicode MS"/>
          <w:bdr w:val="nil"/>
        </w:rPr>
        <w:t>onsekwencją przyjęcia modelu słabego/biernego państwa</w:t>
      </w:r>
      <w:r>
        <w:rPr>
          <w:rFonts w:eastAsia="Arial Unicode MS"/>
          <w:bdr w:val="nil"/>
        </w:rPr>
        <w:t xml:space="preserve"> – zgodnie z tezą stawiana przez SOR - </w:t>
      </w:r>
      <w:r w:rsidRPr="00F21196">
        <w:rPr>
          <w:rFonts w:eastAsia="Arial Unicode MS"/>
          <w:bdr w:val="nil"/>
        </w:rPr>
        <w:t xml:space="preserve">była słabość/bierność jego instytucji. Nowy model rozwoju kraju zakłada, że aktywne państwo potrzebuje silnych, aktywnych instytucji. Instytucje i rozwój to sfery wzajemnie oddziałujące na siebie. </w:t>
      </w:r>
      <w:r>
        <w:rPr>
          <w:rFonts w:eastAsia="Arial Unicode MS"/>
          <w:bdr w:val="nil"/>
        </w:rPr>
        <w:t>Im</w:t>
      </w:r>
      <w:r w:rsidRPr="00F21196">
        <w:rPr>
          <w:rFonts w:eastAsia="Arial Unicode MS"/>
          <w:bdr w:val="nil"/>
        </w:rPr>
        <w:t xml:space="preserve"> wyższy poziom rozwoju kraju </w:t>
      </w:r>
      <w:r>
        <w:rPr>
          <w:rFonts w:eastAsia="Arial Unicode MS"/>
          <w:bdr w:val="nil"/>
        </w:rPr>
        <w:t xml:space="preserve">tym wyższa </w:t>
      </w:r>
      <w:r w:rsidRPr="00F21196">
        <w:rPr>
          <w:rFonts w:eastAsia="Arial Unicode MS"/>
          <w:bdr w:val="nil"/>
        </w:rPr>
        <w:t xml:space="preserve">potrzeba posiadania instytucji o wyższej jakości, </w:t>
      </w:r>
      <w:r>
        <w:rPr>
          <w:rFonts w:eastAsia="Arial Unicode MS"/>
          <w:bdr w:val="nil"/>
        </w:rPr>
        <w:t>które</w:t>
      </w:r>
      <w:r w:rsidRPr="00F21196">
        <w:rPr>
          <w:rFonts w:eastAsia="Arial Unicode MS"/>
          <w:bdr w:val="nil"/>
        </w:rPr>
        <w:t xml:space="preserve"> przyczyniają się do szybszego rozwoju. Słabość instytucjonalna jest czynnikiem, </w:t>
      </w:r>
      <w:r>
        <w:rPr>
          <w:rFonts w:eastAsia="Arial Unicode MS"/>
          <w:bdr w:val="nil"/>
        </w:rPr>
        <w:t>k</w:t>
      </w:r>
      <w:r w:rsidRPr="00F21196">
        <w:rPr>
          <w:rFonts w:eastAsia="Arial Unicode MS"/>
          <w:bdr w:val="nil"/>
        </w:rPr>
        <w:t>tóry w dużej mierze pogłębia skalę negatywnego oddziaływania wszystkich pozostałych barier wzrostu. Wyzwaniem według SOR pozostaje koordynacja działań instytucji publicznych</w:t>
      </w:r>
      <w:r>
        <w:rPr>
          <w:rFonts w:eastAsia="Arial Unicode MS"/>
          <w:bdr w:val="nil"/>
        </w:rPr>
        <w:t xml:space="preserve"> (uwzględniając również większy udział osób pracujących w systemie telepracy)</w:t>
      </w:r>
      <w:r w:rsidRPr="00F21196">
        <w:rPr>
          <w:rFonts w:eastAsia="Arial Unicode MS"/>
          <w:bdr w:val="nil"/>
        </w:rPr>
        <w:t xml:space="preserve"> oraz wzrost ich efektywności.</w:t>
      </w:r>
    </w:p>
    <w:p w14:paraId="1D567E00" w14:textId="7054ACC1" w:rsidR="00F752B3" w:rsidRPr="004B3C23" w:rsidRDefault="00F752B3" w:rsidP="00F752B3">
      <w:pPr>
        <w:tabs>
          <w:tab w:val="left" w:pos="4678"/>
        </w:tabs>
        <w:spacing w:after="120"/>
        <w:jc w:val="both"/>
        <w:rPr>
          <w:rFonts w:cs="Arial"/>
          <w:bCs/>
        </w:rPr>
      </w:pPr>
      <w:r>
        <w:rPr>
          <w:rFonts w:cs="Arial"/>
          <w:bCs/>
        </w:rPr>
        <w:t xml:space="preserve">W </w:t>
      </w:r>
      <w:r w:rsidRPr="004B3C23">
        <w:rPr>
          <w:rFonts w:cs="Arial"/>
          <w:bCs/>
        </w:rPr>
        <w:t>zakresie</w:t>
      </w:r>
      <w:r>
        <w:rPr>
          <w:rFonts w:cs="Arial"/>
          <w:bCs/>
        </w:rPr>
        <w:t xml:space="preserve"> łączności i skutecznej komunikacji</w:t>
      </w:r>
      <w:r w:rsidRPr="004B3C23">
        <w:rPr>
          <w:rFonts w:cs="Arial"/>
          <w:bCs/>
        </w:rPr>
        <w:t xml:space="preserve"> konieczne jest w szczególności zapewnienie funkcjonowania bezpiecznej i nowoczesnej sieci telekomunikacyjnej, jako Sieci Łączności Rządowej, na potrzeby najważniejszych organów i podmiotów działających na rzecz bezpieczeństwa i obronności p</w:t>
      </w:r>
      <w:r>
        <w:rPr>
          <w:rFonts w:cs="Arial"/>
          <w:bCs/>
        </w:rPr>
        <w:t>aństwa</w:t>
      </w:r>
      <w:r w:rsidRPr="004B3C23">
        <w:rPr>
          <w:rFonts w:cs="Arial"/>
          <w:bCs/>
        </w:rPr>
        <w:t>.</w:t>
      </w:r>
      <w:r>
        <w:rPr>
          <w:rFonts w:cs="Arial"/>
          <w:bCs/>
        </w:rPr>
        <w:t xml:space="preserve"> P</w:t>
      </w:r>
      <w:r w:rsidRPr="004B3C23">
        <w:rPr>
          <w:rFonts w:cs="Arial"/>
          <w:bCs/>
        </w:rPr>
        <w:t>odstawą funkcjonowania SŁR jest sieć GovNet, która jest częścią</w:t>
      </w:r>
      <w:r>
        <w:rPr>
          <w:rFonts w:cs="Arial"/>
          <w:bCs/>
        </w:rPr>
        <w:t xml:space="preserve"> newralgicznej infrastruktury mającej </w:t>
      </w:r>
      <w:r w:rsidRPr="004B3C23">
        <w:rPr>
          <w:rFonts w:cs="Arial"/>
          <w:bCs/>
        </w:rPr>
        <w:t xml:space="preserve"> wpływ na bezpieczeństwo Państwa</w:t>
      </w:r>
      <w:r>
        <w:rPr>
          <w:rFonts w:cs="Arial"/>
          <w:bCs/>
        </w:rPr>
        <w:t xml:space="preserve"> z uwagi na fakt, że zapewnia wymianę informacji</w:t>
      </w:r>
      <w:r w:rsidRPr="004B3C23">
        <w:rPr>
          <w:rFonts w:cs="Arial"/>
          <w:bCs/>
        </w:rPr>
        <w:t xml:space="preserve"> pomiędzy użytkownikami na terenie aglomeracji warszawskiej, na poziomie urzędów wojewódzkich jak informacjami wymienianymi z krajami Unii Europejskiej. Dzięki sieci GovNet możliwe jest świadczenie usług teletransmisji dla kluczowych z punktu widzenia bez</w:t>
      </w:r>
      <w:r>
        <w:rPr>
          <w:rFonts w:cs="Arial"/>
          <w:bCs/>
        </w:rPr>
        <w:t>pieczeństwa Państwa zadań</w:t>
      </w:r>
      <w:r w:rsidRPr="004B3C23">
        <w:rPr>
          <w:rFonts w:cs="Arial"/>
          <w:bCs/>
        </w:rPr>
        <w:t xml:space="preserve"> (m.in. zabezpieczenie łączności w ramach wideokonferencji MILNET-Z, wideokonferencji Policji, Sieci Łączności Rządowej, łączności resortowej (telefonia stacjonarna)), jak również usług i sieci UE (TESTA-ng). GovNet to również sieć odpowiedzialna za zapewnienie łączności i wymiany danych w ramach Rejestrów Państwowych (m.in. SRP, CEPiK), zapewnia ona również i zabezpiecza funkcjonowanie Stanowisk Kierowania Bezpieczeństwem Narodowym (SKBN), oraz usług własnych udostępnianych wzajemnie przez użytkowników sieci.</w:t>
      </w:r>
      <w:r>
        <w:rPr>
          <w:rFonts w:cs="Arial"/>
          <w:bCs/>
        </w:rPr>
        <w:t xml:space="preserve"> </w:t>
      </w:r>
      <w:r w:rsidRPr="004B3C23">
        <w:rPr>
          <w:rFonts w:cs="Arial"/>
          <w:bCs/>
        </w:rPr>
        <w:t xml:space="preserve">Dlatego też </w:t>
      </w:r>
      <w:r>
        <w:rPr>
          <w:rFonts w:cs="Arial"/>
          <w:bCs/>
        </w:rPr>
        <w:t>konieczne jest</w:t>
      </w:r>
      <w:r w:rsidRPr="004B3C23">
        <w:rPr>
          <w:rFonts w:cs="Arial"/>
          <w:bCs/>
        </w:rPr>
        <w:t xml:space="preserve"> zapewnienie funkcjonowania bezpiecznej, nowoczesnej, skalowalnej sieci teleinformatycznej (GovNet), jako Wspólne</w:t>
      </w:r>
      <w:r>
        <w:rPr>
          <w:rFonts w:cs="Arial"/>
          <w:bCs/>
        </w:rPr>
        <w:t>j Infrastruktury Sieciowej Pańs</w:t>
      </w:r>
      <w:r w:rsidRPr="004B3C23">
        <w:rPr>
          <w:rFonts w:cs="Arial"/>
          <w:bCs/>
        </w:rPr>
        <w:t>twa (WISP), tworzącej infrastrukturę sieci rządowej, na potrzeby najważniejszych organów i podmiotów działających na rzecz bezpieczeństw</w:t>
      </w:r>
      <w:r>
        <w:rPr>
          <w:rFonts w:cs="Arial"/>
          <w:bCs/>
        </w:rPr>
        <w:t>a i obronności państwa</w:t>
      </w:r>
      <w:r w:rsidRPr="004B3C23">
        <w:rPr>
          <w:rFonts w:cs="Arial"/>
          <w:bCs/>
        </w:rPr>
        <w:t>. WISP pozwoli na utworzenie i ustandaryzowanie bezpiecznego</w:t>
      </w:r>
      <w:r w:rsidR="00A10EF5">
        <w:rPr>
          <w:rStyle w:val="Odwoanieprzypisudolnego"/>
          <w:rFonts w:cs="Arial"/>
          <w:bCs/>
        </w:rPr>
        <w:footnoteReference w:id="58"/>
      </w:r>
      <w:r w:rsidRPr="004B3C23">
        <w:rPr>
          <w:rFonts w:cs="Arial"/>
          <w:bCs/>
        </w:rPr>
        <w:t xml:space="preserve"> medium wykorzystywanego przez organy rządowe, celem realizacji ich zadań ustawowych.</w:t>
      </w:r>
    </w:p>
    <w:p w14:paraId="32A30A9C" w14:textId="223B45B6" w:rsidR="00776D77" w:rsidRPr="00F31ECA" w:rsidRDefault="00776D77" w:rsidP="00776D77">
      <w:pPr>
        <w:jc w:val="both"/>
        <w:rPr>
          <w:b/>
        </w:rPr>
      </w:pPr>
      <w:r>
        <w:rPr>
          <w:rFonts w:eastAsia="Arial Unicode MS"/>
          <w:bdr w:val="nil"/>
        </w:rPr>
        <w:t>Prowadzona będzie polityka</w:t>
      </w:r>
      <w:r w:rsidRPr="00F21196">
        <w:rPr>
          <w:rFonts w:eastAsia="Arial Unicode MS"/>
          <w:bdr w:val="nil"/>
        </w:rPr>
        <w:t xml:space="preserve"> instytucjonaln</w:t>
      </w:r>
      <w:r>
        <w:rPr>
          <w:rFonts w:eastAsia="Arial Unicode MS"/>
          <w:bdr w:val="nil"/>
        </w:rPr>
        <w:t>a polegająca</w:t>
      </w:r>
      <w:r w:rsidRPr="00F21196">
        <w:rPr>
          <w:rFonts w:eastAsia="Arial Unicode MS"/>
          <w:bdr w:val="nil"/>
        </w:rPr>
        <w:t xml:space="preserve"> na świadomym kształtowaniu rozwiązań dla instytucji publicznych i zarządzania publicznego, uwzględniającym szerszą, systemową czy </w:t>
      </w:r>
      <w:r w:rsidR="000440D7" w:rsidRPr="00F21196">
        <w:rPr>
          <w:rFonts w:eastAsia="Arial Unicode MS"/>
          <w:bdr w:val="nil"/>
        </w:rPr>
        <w:t>ponad resortową</w:t>
      </w:r>
      <w:r w:rsidRPr="00F21196">
        <w:rPr>
          <w:rFonts w:eastAsia="Arial Unicode MS"/>
          <w:bdr w:val="nil"/>
        </w:rPr>
        <w:t xml:space="preserve"> perspektywę. Polityka taka sprzyjałaby zachowaniu spójności proponowanych i wprowadzanych rozwiązań. </w:t>
      </w:r>
      <w:r>
        <w:rPr>
          <w:rFonts w:eastAsia="Arial Unicode MS"/>
          <w:bdr w:val="nil"/>
        </w:rPr>
        <w:t xml:space="preserve">Kluczową interwencją będzie opracowanie i wdrożenie </w:t>
      </w:r>
      <w:r w:rsidRPr="00D67715">
        <w:rPr>
          <w:szCs w:val="18"/>
        </w:rPr>
        <w:t>nowoczesnego podejścia do zarządzania</w:t>
      </w:r>
      <w:r w:rsidR="000440D7">
        <w:rPr>
          <w:szCs w:val="18"/>
        </w:rPr>
        <w:t xml:space="preserve"> </w:t>
      </w:r>
      <w:r w:rsidRPr="00D67715">
        <w:rPr>
          <w:szCs w:val="18"/>
        </w:rPr>
        <w:t>w administracji (struktury organizacyjne, procesy, kompetentny personel, wartości, prospołeczne nastawienie) z równoczesnym podnoszeniem profesjonalizmu administracji rządowej.</w:t>
      </w:r>
      <w:r>
        <w:rPr>
          <w:szCs w:val="18"/>
        </w:rPr>
        <w:t xml:space="preserve"> </w:t>
      </w:r>
      <w:r w:rsidR="000440D7">
        <w:rPr>
          <w:szCs w:val="18"/>
        </w:rPr>
        <w:t xml:space="preserve">Zakłada się także </w:t>
      </w:r>
      <w:r>
        <w:rPr>
          <w:szCs w:val="18"/>
        </w:rPr>
        <w:t>- s</w:t>
      </w:r>
      <w:r w:rsidRPr="00C05CEB">
        <w:rPr>
          <w:szCs w:val="18"/>
        </w:rPr>
        <w:t>tosownie do zmieniając</w:t>
      </w:r>
      <w:r>
        <w:rPr>
          <w:szCs w:val="18"/>
        </w:rPr>
        <w:t>ej</w:t>
      </w:r>
      <w:r w:rsidRPr="00C05CEB">
        <w:rPr>
          <w:szCs w:val="18"/>
        </w:rPr>
        <w:t xml:space="preserve"> się </w:t>
      </w:r>
      <w:r>
        <w:rPr>
          <w:szCs w:val="18"/>
        </w:rPr>
        <w:t>sytuacji</w:t>
      </w:r>
      <w:r w:rsidRPr="00C05CEB">
        <w:rPr>
          <w:szCs w:val="18"/>
        </w:rPr>
        <w:t xml:space="preserve"> społeczno-gospodarcz</w:t>
      </w:r>
      <w:r>
        <w:rPr>
          <w:szCs w:val="18"/>
        </w:rPr>
        <w:t xml:space="preserve">ej - systematyczne </w:t>
      </w:r>
      <w:r w:rsidRPr="00835DF8">
        <w:rPr>
          <w:szCs w:val="20"/>
        </w:rPr>
        <w:t xml:space="preserve">monitorowanie </w:t>
      </w:r>
      <w:r>
        <w:rPr>
          <w:szCs w:val="20"/>
        </w:rPr>
        <w:t xml:space="preserve">relacji </w:t>
      </w:r>
      <w:r w:rsidRPr="00835DF8">
        <w:rPr>
          <w:szCs w:val="20"/>
        </w:rPr>
        <w:t xml:space="preserve">sytuacji kadrowej </w:t>
      </w:r>
      <w:r w:rsidRPr="00835DF8">
        <w:rPr>
          <w:szCs w:val="18"/>
        </w:rPr>
        <w:t xml:space="preserve">do obciążenia zadaniami w jednostkach administracji rządowej, w tym w urzędach wojewódzkich, </w:t>
      </w:r>
      <w:r w:rsidRPr="00835DF8">
        <w:rPr>
          <w:szCs w:val="20"/>
        </w:rPr>
        <w:t>i podejmowanie działań adekwatnych do stwierdzonych potrzeb.</w:t>
      </w:r>
      <w:r w:rsidR="000440D7" w:rsidRPr="000440D7">
        <w:t xml:space="preserve"> </w:t>
      </w:r>
      <w:r w:rsidR="000440D7">
        <w:t xml:space="preserve">Ponadto, z uwagi na narastający problem malejącej liczby chętnych do pracy </w:t>
      </w:r>
      <w:r w:rsidR="000B2459">
        <w:t>w urzędach administracji rządowej</w:t>
      </w:r>
      <w:r w:rsidR="000B2459">
        <w:rPr>
          <w:rStyle w:val="Odwoanieprzypisudolnego"/>
        </w:rPr>
        <w:footnoteReference w:id="59"/>
      </w:r>
      <w:r w:rsidR="000B2459">
        <w:t xml:space="preserve"> </w:t>
      </w:r>
      <w:r w:rsidR="000440D7">
        <w:t xml:space="preserve">i odpływu </w:t>
      </w:r>
      <w:r w:rsidR="000B2459">
        <w:t xml:space="preserve">wysoko wykwalifikowanych pracowników ze służby cywilnej, </w:t>
      </w:r>
      <w:r w:rsidR="000440D7">
        <w:t>dąż</w:t>
      </w:r>
      <w:r w:rsidR="000B2459">
        <w:t>yć się będzie</w:t>
      </w:r>
      <w:r w:rsidR="000440D7">
        <w:t xml:space="preserve"> do zapewnienia odpowiedniego poziomu konkurencyjności wynagro</w:t>
      </w:r>
      <w:r w:rsidR="000B2459">
        <w:t>dzeń w administracji publicznej</w:t>
      </w:r>
      <w:r w:rsidR="000440D7">
        <w:t xml:space="preserve"> względem wynagrodzeń specjalistów z sektora prywatnego</w:t>
      </w:r>
      <w:r w:rsidR="000B2459">
        <w:t>.</w:t>
      </w:r>
    </w:p>
    <w:p w14:paraId="33DAD2EC" w14:textId="77777777" w:rsidR="00776D77" w:rsidRPr="00F21196" w:rsidRDefault="00776D77" w:rsidP="00776D77">
      <w:pPr>
        <w:spacing w:after="0" w:line="276" w:lineRule="auto"/>
        <w:rPr>
          <w:lang w:eastAsia="pl-PL"/>
        </w:rPr>
      </w:pPr>
      <w:r w:rsidRPr="00F21196">
        <w:rPr>
          <w:lang w:eastAsia="pl-PL"/>
        </w:rPr>
        <w:t xml:space="preserve">W ramach kierunku interwencji będą realizowane </w:t>
      </w:r>
      <w:r>
        <w:rPr>
          <w:lang w:eastAsia="pl-PL"/>
        </w:rPr>
        <w:t xml:space="preserve">ponadto </w:t>
      </w:r>
      <w:r w:rsidRPr="00F21196">
        <w:rPr>
          <w:lang w:eastAsia="pl-PL"/>
        </w:rPr>
        <w:t>przedsięwzięcia:</w:t>
      </w:r>
    </w:p>
    <w:p w14:paraId="6CDA6FD0" w14:textId="77777777" w:rsidR="00776D77" w:rsidRPr="00F21196" w:rsidRDefault="00776D77" w:rsidP="0091317B">
      <w:pPr>
        <w:pStyle w:val="Akapitzlist"/>
        <w:numPr>
          <w:ilvl w:val="0"/>
          <w:numId w:val="72"/>
        </w:numPr>
        <w:spacing w:line="276" w:lineRule="auto"/>
        <w:ind w:left="426"/>
        <w:jc w:val="both"/>
        <w:rPr>
          <w:rFonts w:asciiTheme="minorHAnsi" w:eastAsia="Times New Roman" w:hAnsiTheme="minorHAnsi" w:cs="Calibri"/>
          <w:b/>
          <w:color w:val="2F5496" w:themeColor="accent5" w:themeShade="BF"/>
          <w:sz w:val="22"/>
          <w:szCs w:val="22"/>
        </w:rPr>
      </w:pPr>
      <w:r w:rsidRPr="00F21196">
        <w:rPr>
          <w:rFonts w:asciiTheme="minorHAnsi" w:eastAsia="Times New Roman" w:hAnsiTheme="minorHAnsi"/>
          <w:sz w:val="22"/>
          <w:szCs w:val="22"/>
        </w:rPr>
        <w:t>wzmocnienie kontrolnej i pomocniczej wobec samorządu terytorialnego funkcji regionalnych izb obrachunkowych</w:t>
      </w:r>
      <w:r w:rsidRPr="00F21196">
        <w:rPr>
          <w:rFonts w:asciiTheme="minorHAnsi" w:eastAsia="Times New Roman" w:hAnsiTheme="minorHAnsi"/>
          <w:i/>
          <w:sz w:val="22"/>
          <w:szCs w:val="22"/>
        </w:rPr>
        <w:t xml:space="preserve"> </w:t>
      </w:r>
      <w:r w:rsidRPr="00F21196">
        <w:rPr>
          <w:rFonts w:asciiTheme="minorHAnsi" w:eastAsia="Times New Roman" w:hAnsiTheme="minorHAnsi"/>
          <w:sz w:val="22"/>
          <w:szCs w:val="22"/>
        </w:rPr>
        <w:t>w celu skuteczniejszego przeciwdziałania niekorzystnym tendencjom związanym z nadmiernym zadłużaniem się jednostek samorządu terytorialnego, zwiększenie skuteczności działań nadzorczych i kontrolnych izb,</w:t>
      </w:r>
    </w:p>
    <w:p w14:paraId="130074BA" w14:textId="77777777" w:rsidR="00776D77" w:rsidRPr="00220101" w:rsidRDefault="00776D77" w:rsidP="0091317B">
      <w:pPr>
        <w:pStyle w:val="Akapitzlist"/>
        <w:numPr>
          <w:ilvl w:val="0"/>
          <w:numId w:val="72"/>
        </w:numPr>
        <w:spacing w:after="120" w:line="276" w:lineRule="auto"/>
        <w:ind w:left="426"/>
        <w:jc w:val="both"/>
        <w:rPr>
          <w:rFonts w:asciiTheme="minorHAnsi" w:eastAsia="Times New Roman" w:hAnsiTheme="minorHAnsi" w:cs="Calibri"/>
          <w:b/>
          <w:color w:val="2F5496" w:themeColor="accent5" w:themeShade="BF"/>
          <w:sz w:val="22"/>
          <w:szCs w:val="22"/>
        </w:rPr>
      </w:pPr>
      <w:r>
        <w:rPr>
          <w:rFonts w:asciiTheme="minorHAnsi" w:hAnsiTheme="minorHAnsi"/>
          <w:sz w:val="22"/>
          <w:szCs w:val="22"/>
        </w:rPr>
        <w:t xml:space="preserve">zapewnienie skutecznego </w:t>
      </w:r>
      <w:r w:rsidRPr="00220101">
        <w:rPr>
          <w:rFonts w:asciiTheme="minorHAnsi" w:hAnsiTheme="minorHAnsi"/>
          <w:sz w:val="22"/>
          <w:szCs w:val="22"/>
        </w:rPr>
        <w:t>nadzoru publicznego nad rynkiem audytowym</w:t>
      </w:r>
      <w:r>
        <w:rPr>
          <w:rFonts w:asciiTheme="minorHAnsi" w:hAnsiTheme="minorHAnsi"/>
          <w:sz w:val="22"/>
          <w:szCs w:val="22"/>
        </w:rPr>
        <w:t xml:space="preserve"> (firmami audytorskimi i biegłymi rewidentami) poprzez zapewnienie skutecznych i efektywnych regulacji prawnych w tymże zakresie i sprawowanie nadzoru nad organem powołanym do wykonywania zadań z zakresu nadzoru publicznego, </w:t>
      </w:r>
    </w:p>
    <w:p w14:paraId="138AC848" w14:textId="77777777" w:rsidR="00776D77" w:rsidRPr="003A6497" w:rsidRDefault="00776D77" w:rsidP="0091317B">
      <w:pPr>
        <w:pStyle w:val="Akapitzlist"/>
        <w:numPr>
          <w:ilvl w:val="0"/>
          <w:numId w:val="72"/>
        </w:numPr>
        <w:spacing w:after="120" w:line="276" w:lineRule="auto"/>
        <w:ind w:left="426"/>
        <w:jc w:val="both"/>
        <w:rPr>
          <w:rFonts w:asciiTheme="minorHAnsi" w:hAnsiTheme="minorHAnsi" w:cstheme="minorHAnsi"/>
          <w:sz w:val="22"/>
          <w:szCs w:val="22"/>
        </w:rPr>
      </w:pPr>
      <w:r w:rsidRPr="00220101">
        <w:rPr>
          <w:rFonts w:asciiTheme="minorHAnsi" w:hAnsiTheme="minorHAnsi"/>
          <w:sz w:val="22"/>
          <w:szCs w:val="22"/>
        </w:rPr>
        <w:t>zapewnienie właściwego systemu utrzymania wysokiej jakości i niezależności świadczonych usług przez biegłych rewidentów</w:t>
      </w:r>
      <w:r>
        <w:rPr>
          <w:rFonts w:asciiTheme="minorHAnsi" w:hAnsiTheme="minorHAnsi"/>
          <w:sz w:val="22"/>
          <w:szCs w:val="22"/>
        </w:rPr>
        <w:t xml:space="preserve"> i firmy audytorskie</w:t>
      </w:r>
      <w:r w:rsidRPr="00220101">
        <w:rPr>
          <w:rFonts w:asciiTheme="minorHAnsi" w:hAnsiTheme="minorHAnsi"/>
          <w:sz w:val="22"/>
          <w:szCs w:val="22"/>
        </w:rPr>
        <w:t>, badających sprawozdania finansowe pod kątem rzetelności przedstawianej przez firmę sytuacji finansowej</w:t>
      </w:r>
      <w:r>
        <w:rPr>
          <w:rFonts w:asciiTheme="minorHAnsi" w:hAnsiTheme="minorHAnsi"/>
          <w:sz w:val="22"/>
          <w:szCs w:val="22"/>
        </w:rPr>
        <w:t xml:space="preserve"> a także świadczących usługi atestacyjne inne niż badanie ustawowe oraz usługi pokrewne, w tym poprzez zapewnienie odpowiedniej liczby profesjonalnych biegłych rewidentów na rynku (usprawnienie dostępu do zawodu biegłego rewidenta, a także wzmocnienie </w:t>
      </w:r>
      <w:r w:rsidRPr="003A6497">
        <w:rPr>
          <w:rFonts w:asciiTheme="minorHAnsi" w:hAnsiTheme="minorHAnsi" w:cstheme="minorHAnsi"/>
          <w:sz w:val="22"/>
          <w:szCs w:val="22"/>
        </w:rPr>
        <w:t>kształcenia w dziedzinie rewizji finansowej i rachunkowości),</w:t>
      </w:r>
    </w:p>
    <w:p w14:paraId="4E323B49" w14:textId="4965988E" w:rsidR="00776D77" w:rsidRPr="003A6497" w:rsidRDefault="00776D77" w:rsidP="0091317B">
      <w:pPr>
        <w:pStyle w:val="Akapitzlist"/>
        <w:numPr>
          <w:ilvl w:val="0"/>
          <w:numId w:val="72"/>
        </w:numPr>
        <w:spacing w:after="120" w:line="276" w:lineRule="auto"/>
        <w:ind w:left="426"/>
        <w:jc w:val="both"/>
        <w:rPr>
          <w:rFonts w:asciiTheme="minorHAnsi" w:hAnsiTheme="minorHAnsi"/>
          <w:sz w:val="22"/>
          <w:szCs w:val="22"/>
        </w:rPr>
      </w:pPr>
      <w:r w:rsidRPr="003A6497">
        <w:rPr>
          <w:rFonts w:asciiTheme="minorHAnsi" w:hAnsiTheme="minorHAnsi" w:cstheme="minorHAnsi"/>
          <w:sz w:val="22"/>
          <w:szCs w:val="22"/>
        </w:rPr>
        <w:t xml:space="preserve">wyposażenie urzędów centralnych w kompatybilne systemy (wewnętrzne – w ramach administracji </w:t>
      </w:r>
      <w:r w:rsidR="00230BF2">
        <w:rPr>
          <w:rFonts w:asciiTheme="minorHAnsi" w:hAnsiTheme="minorHAnsi" w:cstheme="minorHAnsi"/>
          <w:sz w:val="22"/>
          <w:szCs w:val="22"/>
        </w:rPr>
        <w:t>publicznej</w:t>
      </w:r>
      <w:r w:rsidRPr="003A6497">
        <w:rPr>
          <w:rFonts w:asciiTheme="minorHAnsi" w:hAnsiTheme="minorHAnsi" w:cstheme="minorHAnsi"/>
          <w:sz w:val="22"/>
          <w:szCs w:val="22"/>
        </w:rPr>
        <w:t xml:space="preserve"> i zewnętrzne – z partnerami międzynarodowymi) bezpiecznej komunikacji wideokonferencyjnej – w sytuacji przejścia na pracę zdalną</w:t>
      </w:r>
      <w:r w:rsidRPr="003A6497">
        <w:rPr>
          <w:color w:val="1F497D"/>
        </w:rPr>
        <w:t>.</w:t>
      </w:r>
      <w:r w:rsidRPr="003A6497">
        <w:rPr>
          <w:rFonts w:asciiTheme="minorHAnsi" w:hAnsiTheme="minorHAnsi"/>
          <w:sz w:val="22"/>
          <w:szCs w:val="22"/>
        </w:rPr>
        <w:t xml:space="preserve"> </w:t>
      </w:r>
    </w:p>
    <w:p w14:paraId="78194425" w14:textId="77777777" w:rsidR="00776D77" w:rsidRPr="00F21196" w:rsidRDefault="00776D77" w:rsidP="00776D77">
      <w:pPr>
        <w:spacing w:before="120" w:after="0" w:line="276" w:lineRule="auto"/>
        <w:jc w:val="both"/>
      </w:pPr>
      <w:r w:rsidRPr="00F21196">
        <w:rPr>
          <w:rFonts w:eastAsia="Times New Roman" w:cs="Calibri"/>
          <w:b/>
          <w:u w:val="single"/>
          <w:lang w:eastAsia="pl-PL"/>
        </w:rPr>
        <w:t xml:space="preserve">2.2. </w:t>
      </w:r>
      <w:r>
        <w:rPr>
          <w:rFonts w:eastAsia="Times New Roman" w:cs="Calibri"/>
          <w:b/>
          <w:u w:val="single"/>
          <w:lang w:eastAsia="pl-PL"/>
        </w:rPr>
        <w:t xml:space="preserve">Efektywne </w:t>
      </w:r>
      <w:r w:rsidRPr="00F21196">
        <w:rPr>
          <w:rFonts w:eastAsia="Times New Roman" w:cs="Calibri"/>
          <w:b/>
          <w:u w:val="single"/>
          <w:lang w:eastAsia="pl-PL"/>
        </w:rPr>
        <w:t>struktur</w:t>
      </w:r>
      <w:r>
        <w:rPr>
          <w:rFonts w:eastAsia="Times New Roman" w:cs="Calibri"/>
          <w:b/>
          <w:u w:val="single"/>
          <w:lang w:eastAsia="pl-PL"/>
        </w:rPr>
        <w:t>y</w:t>
      </w:r>
      <w:r w:rsidRPr="00F21196">
        <w:rPr>
          <w:rFonts w:eastAsia="Times New Roman" w:cs="Calibri"/>
          <w:b/>
          <w:u w:val="single"/>
          <w:lang w:eastAsia="pl-PL"/>
        </w:rPr>
        <w:t xml:space="preserve"> </w:t>
      </w:r>
      <w:r>
        <w:rPr>
          <w:rFonts w:eastAsia="Times New Roman" w:cs="Calibri"/>
          <w:b/>
          <w:u w:val="single"/>
          <w:lang w:eastAsia="pl-PL"/>
        </w:rPr>
        <w:t xml:space="preserve">zespolonej administracji rządowej w województwie. </w:t>
      </w:r>
      <w:r w:rsidRPr="00F21196">
        <w:rPr>
          <w:rFonts w:cs="Arial"/>
        </w:rPr>
        <w:t xml:space="preserve">Przyjęte rozwiązania sprzyjać będą rozwojowi służb, inspekcji i straży przy równoczesnym zwiększeniu efektywności ich działania. </w:t>
      </w:r>
      <w:r w:rsidRPr="00F21196">
        <w:rPr>
          <w:rFonts w:cs="Arial"/>
          <w:bCs/>
        </w:rPr>
        <w:t>Zmiany będą kontynuacją reformy administracji publicznej z 1999 r</w:t>
      </w:r>
      <w:r>
        <w:rPr>
          <w:rFonts w:cs="Arial"/>
          <w:bCs/>
        </w:rPr>
        <w:t>oku</w:t>
      </w:r>
      <w:r w:rsidRPr="00F21196">
        <w:rPr>
          <w:rFonts w:cs="Arial"/>
          <w:bCs/>
        </w:rPr>
        <w:t xml:space="preserve">, która jako naczelną zasadę budowy terenowej administracji rządowej przyjęła zasadę zespolenia. Zasada ta niezależnie od wybranej formy racjonalizacji będzie zachowana przy tworzeniu nowych, bardziej efektywnych struktur obsługujących kierowników zespolonych służb, inspekcji i straży. </w:t>
      </w:r>
      <w:r w:rsidRPr="00F21196">
        <w:t>Zespolenie administracji rządowej na szczeblu wojewódzkim jest praktycznym przykładem odejścia od zjawiska silosowości (resortowości) i zapobiega powstawaniu niekontrolowanych przez żaden zewnętrzny czynnik  branżowych struktur korporacyjnych.</w:t>
      </w:r>
    </w:p>
    <w:p w14:paraId="7C583D78" w14:textId="77777777" w:rsidR="00776D77" w:rsidRPr="00F21196" w:rsidRDefault="00776D77" w:rsidP="00776D77">
      <w:pPr>
        <w:spacing w:before="120" w:after="0" w:line="276" w:lineRule="auto"/>
        <w:jc w:val="both"/>
      </w:pPr>
      <w:r w:rsidRPr="00F21196">
        <w:t>Dodatkowo w ramach kierunku interwencji planuje się wzmocnienie roli wojewodów w procesie legislacyjnym i procesie przyjmowania budżetu państwa.</w:t>
      </w:r>
      <w:r w:rsidRPr="00F21196">
        <w:rPr>
          <w:b/>
        </w:rPr>
        <w:t xml:space="preserve"> </w:t>
      </w:r>
      <w:r w:rsidRPr="00F21196">
        <w:t xml:space="preserve">Zmiany polegać będą na systemowym zagwarantowaniu udziału wojewodów w opiniowaniu projektów prawnych dotyczących funkcjonowania podległych im służb i jednostek. Ponadto zagwarantuje się udział przedstawiciela wojewodów w posiedzeniach Rady Ministrów i komitetów Rady Ministrów związanych z przygotowaniem projektu ustawy budżetowej. Udział wojewodów w pracach nad projektem ustawy budżetowej będzie ponadto </w:t>
      </w:r>
      <w:r w:rsidRPr="00F21196">
        <w:rPr>
          <w:rFonts w:cs="Arial"/>
        </w:rPr>
        <w:t xml:space="preserve">mieć wpływ na ujednolicenie mierników, co przyczyni się do większej przejrzystości realizacji celów zaplanowanych w budżecie zadaniowym, a także wyeliminuje przypadki źle sformułowanych celów i mierników oraz mierników nieprzydatnych do pomiaru skuteczności i efektywności podzadań i działań. </w:t>
      </w:r>
    </w:p>
    <w:p w14:paraId="603B1283" w14:textId="77777777" w:rsidR="00776D77" w:rsidRPr="00F21196" w:rsidRDefault="00776D77" w:rsidP="00776D77">
      <w:pPr>
        <w:spacing w:after="120" w:line="276" w:lineRule="auto"/>
        <w:jc w:val="both"/>
      </w:pPr>
      <w:r w:rsidRPr="00F21196">
        <w:t>Proponowane zmiany wzmocnią rolę wojewodów i przyczyni</w:t>
      </w:r>
      <w:r>
        <w:t>ą</w:t>
      </w:r>
      <w:r w:rsidRPr="00F21196">
        <w:t xml:space="preserve"> się do zwiększenia odpowiedzialności za funkcjonowanie administracji zespolonej na terenie danego województwa, przy równoczesnym z</w:t>
      </w:r>
      <w:r>
        <w:t>achowaniu ścisłej współpracy mię</w:t>
      </w:r>
      <w:r w:rsidRPr="00F21196">
        <w:t>dzy inspekcjami, strażami i służbami w wykonywaniu zadań.</w:t>
      </w:r>
    </w:p>
    <w:p w14:paraId="55421769" w14:textId="77777777" w:rsidR="00776D77" w:rsidRDefault="00776D77" w:rsidP="00776D77">
      <w:pPr>
        <w:spacing w:after="120" w:line="276" w:lineRule="auto"/>
        <w:jc w:val="both"/>
      </w:pPr>
      <w:r w:rsidRPr="00F21196">
        <w:t xml:space="preserve">W przypadku funkcjonujących delegatur urzędów wojewódzkich oraz delegatur jednostek organizacyjnych zespolonych służb, inspekcji i straży dążyć się będzie do ich zachowania i równocześnie zwiększenia ich roli, z uwzględnieniem analiz odnoszących się do wpływu proponowanych zmian na dostęp obywateli do usług świadczonych przez administrację. </w:t>
      </w:r>
    </w:p>
    <w:p w14:paraId="6388FF98" w14:textId="77777777" w:rsidR="00776D77" w:rsidRPr="003A6497" w:rsidRDefault="00776D77" w:rsidP="00776D77">
      <w:pPr>
        <w:spacing w:after="120" w:line="276" w:lineRule="auto"/>
        <w:jc w:val="both"/>
      </w:pPr>
      <w:r w:rsidRPr="003A6497">
        <w:t>Doświadczenie wynikające z epidemii COVID-19 ukazało potrzebę weryfikacji</w:t>
      </w:r>
      <w:r w:rsidRPr="003A6497">
        <w:rPr>
          <w:u w:val="single"/>
        </w:rPr>
        <w:t xml:space="preserve"> mechanizmów zarządzania kryzysowego:</w:t>
      </w:r>
      <w:r w:rsidRPr="003A6497">
        <w:t> w aspekcie wewnętrznym (w ramach administracji) i zewnętrznym (co najmniej z krajami sąsiadującymi). Chodzi o aspekty stricte zarządcze – w czasie pandemii de facto doszło do „ręcznego zarządzania przepływami obcokrajowców przez granice PL” – obróbka not dyplomatycznych p</w:t>
      </w:r>
      <w:r>
        <w:t xml:space="preserve">aństw </w:t>
      </w:r>
      <w:r w:rsidRPr="003A6497">
        <w:t>cz</w:t>
      </w:r>
      <w:r>
        <w:t>łonkowskich</w:t>
      </w:r>
      <w:r w:rsidRPr="003A6497">
        <w:t xml:space="preserve"> UE wymagających zgód administracyjnych organów PL (np. zgody MSWiA/SGna wjazd, tranzyt przez terytorium PL; zwolnienie GIS z kwarantanny). Ważna jest poprawa komunikacji decyzji kryzysowych - niezbędne utrzymywanie kanałów regularnych konsultacji z partnerami z państw ościennych w kwestiach dotykających obywateli Polski i tych państw, w tym w szczególności: zamykania/otwierania granic, jako całości, zamykania/otwierania poszczególnych przejść granicznych, zamykania/otwierania przestrzeni powietrznej, wprowadzania/znoszenia obowiązku kwarantanny dla podróżnych z określonych państw/regionów/grup zawodowych, wprowadzania/znoszenia obowiązku przeprowadzania testów na COVID-19 przy przekraczaniu granicy lub posiadania zaświadczenia o negatywnym wyniku testu na COVID-19.</w:t>
      </w:r>
    </w:p>
    <w:p w14:paraId="4DEA7769" w14:textId="77777777" w:rsidR="00776D77" w:rsidRPr="00F21196" w:rsidRDefault="00776D77" w:rsidP="00776D77">
      <w:pPr>
        <w:autoSpaceDE w:val="0"/>
        <w:autoSpaceDN w:val="0"/>
        <w:adjustRightInd w:val="0"/>
        <w:spacing w:after="0" w:line="276" w:lineRule="auto"/>
        <w:jc w:val="both"/>
        <w:rPr>
          <w:rFonts w:cstheme="minorHAnsi"/>
          <w:b/>
          <w:bCs/>
          <w:iCs/>
          <w:u w:val="single"/>
        </w:rPr>
      </w:pPr>
      <w:r w:rsidRPr="00F21196">
        <w:rPr>
          <w:rFonts w:cstheme="minorHAnsi"/>
          <w:b/>
          <w:bCs/>
          <w:iCs/>
          <w:u w:val="single"/>
        </w:rPr>
        <w:t xml:space="preserve">2.3. Podnoszenie </w:t>
      </w:r>
      <w:r>
        <w:rPr>
          <w:rFonts w:cstheme="minorHAnsi"/>
          <w:b/>
          <w:bCs/>
          <w:iCs/>
          <w:u w:val="single"/>
        </w:rPr>
        <w:t>sprawności i jakości</w:t>
      </w:r>
      <w:r w:rsidRPr="00F21196">
        <w:rPr>
          <w:rFonts w:cstheme="minorHAnsi"/>
          <w:b/>
          <w:bCs/>
          <w:iCs/>
          <w:u w:val="single"/>
        </w:rPr>
        <w:t xml:space="preserve"> funkcjo</w:t>
      </w:r>
      <w:r>
        <w:rPr>
          <w:rFonts w:cstheme="minorHAnsi"/>
          <w:b/>
          <w:bCs/>
          <w:iCs/>
          <w:u w:val="single"/>
        </w:rPr>
        <w:t>nowania administracji rządowej w</w:t>
      </w:r>
      <w:r w:rsidRPr="00F21196">
        <w:rPr>
          <w:rFonts w:cstheme="minorHAnsi"/>
          <w:b/>
          <w:bCs/>
          <w:iCs/>
          <w:u w:val="single"/>
        </w:rPr>
        <w:t xml:space="preserve"> relacji z obywatelem</w:t>
      </w:r>
      <w:r>
        <w:rPr>
          <w:rFonts w:cstheme="minorHAnsi"/>
          <w:b/>
          <w:bCs/>
          <w:iCs/>
          <w:u w:val="single"/>
        </w:rPr>
        <w:t xml:space="preserve">. </w:t>
      </w:r>
      <w:r w:rsidRPr="00F21196">
        <w:rPr>
          <w:rFonts w:cs="TimesNewRomanPSMT"/>
        </w:rPr>
        <w:t xml:space="preserve">Przewiduje się </w:t>
      </w:r>
      <w:r w:rsidRPr="00F21196">
        <w:rPr>
          <w:rFonts w:cs="Arial"/>
        </w:rPr>
        <w:t xml:space="preserve">poprawę </w:t>
      </w:r>
      <w:r>
        <w:rPr>
          <w:rFonts w:cs="Arial"/>
        </w:rPr>
        <w:t>sprawności i jakości</w:t>
      </w:r>
      <w:r w:rsidRPr="00F21196">
        <w:rPr>
          <w:rFonts w:cstheme="minorHAnsi"/>
          <w:bCs/>
          <w:iCs/>
        </w:rPr>
        <w:t xml:space="preserve"> funkcjonowania administracji rządowej</w:t>
      </w:r>
      <w:r w:rsidRPr="00F21196">
        <w:rPr>
          <w:rFonts w:cs="TimesNewRomanPSMT"/>
        </w:rPr>
        <w:t xml:space="preserve"> m.in. dzięki podejmowanym działaniom mającym na celu:</w:t>
      </w:r>
      <w:r w:rsidRPr="00F21196">
        <w:rPr>
          <w:rFonts w:cs="Arial"/>
        </w:rPr>
        <w:t xml:space="preserve"> </w:t>
      </w:r>
    </w:p>
    <w:p w14:paraId="36F3E810" w14:textId="77777777" w:rsidR="00776D77" w:rsidRPr="00F21196" w:rsidRDefault="00776D77" w:rsidP="00723B3F">
      <w:pPr>
        <w:numPr>
          <w:ilvl w:val="0"/>
          <w:numId w:val="24"/>
        </w:numPr>
        <w:autoSpaceDE w:val="0"/>
        <w:autoSpaceDN w:val="0"/>
        <w:adjustRightInd w:val="0"/>
        <w:spacing w:after="0" w:line="276" w:lineRule="auto"/>
        <w:ind w:left="426" w:hanging="284"/>
        <w:jc w:val="both"/>
        <w:rPr>
          <w:rFonts w:cstheme="minorHAnsi"/>
          <w:bCs/>
          <w:iCs/>
        </w:rPr>
      </w:pPr>
      <w:r w:rsidRPr="00F21196">
        <w:rPr>
          <w:rFonts w:cstheme="minorHAnsi"/>
          <w:bCs/>
          <w:iCs/>
        </w:rPr>
        <w:t>podnoszenie efektywności procesów i procedur administracyjnych z perspektywy obywatela i przedsiębiorcy,</w:t>
      </w:r>
    </w:p>
    <w:p w14:paraId="461A7D63" w14:textId="77777777" w:rsidR="00776D77" w:rsidRPr="003D7819" w:rsidRDefault="00776D77" w:rsidP="00723B3F">
      <w:pPr>
        <w:numPr>
          <w:ilvl w:val="0"/>
          <w:numId w:val="24"/>
        </w:numPr>
        <w:autoSpaceDE w:val="0"/>
        <w:autoSpaceDN w:val="0"/>
        <w:adjustRightInd w:val="0"/>
        <w:spacing w:after="0" w:line="276" w:lineRule="auto"/>
        <w:ind w:left="426" w:hanging="284"/>
        <w:jc w:val="both"/>
        <w:rPr>
          <w:rFonts w:cs="Calibri"/>
          <w:bCs/>
          <w:iCs/>
        </w:rPr>
      </w:pPr>
      <w:r w:rsidRPr="000B69B6">
        <w:rPr>
          <w:rFonts w:cs="Calibri"/>
          <w:bCs/>
          <w:iCs/>
        </w:rPr>
        <w:t>skuteczniejsze zarządzanie - stworzenie technicznych, organizacyjnych i prawnych warunków do zarządzania efek</w:t>
      </w:r>
      <w:r>
        <w:rPr>
          <w:rFonts w:cs="Calibri"/>
          <w:bCs/>
          <w:iCs/>
        </w:rPr>
        <w:t>tywnością (</w:t>
      </w:r>
      <w:r w:rsidRPr="000B69B6">
        <w:rPr>
          <w:rFonts w:cs="Calibri"/>
          <w:bCs/>
          <w:iCs/>
        </w:rPr>
        <w:t>monitoring i priorytetyzacja działań oparta na bieżącej analizie potrzeb</w:t>
      </w:r>
      <w:r>
        <w:rPr>
          <w:rFonts w:cs="Calibri"/>
          <w:bCs/>
          <w:iCs/>
        </w:rPr>
        <w:t>,</w:t>
      </w:r>
      <w:r w:rsidRPr="000B69B6">
        <w:rPr>
          <w:rFonts w:cs="Calibri"/>
          <w:bCs/>
          <w:iCs/>
        </w:rPr>
        <w:t xml:space="preserve"> efektywność wewnętrzna urzędów oraz efektywność obsługi spraw i procesów,</w:t>
      </w:r>
      <w:r w:rsidRPr="006659D7">
        <w:rPr>
          <w:rFonts w:cs="Calibri"/>
          <w:bCs/>
          <w:i/>
          <w:iCs/>
          <w:color w:val="FF0000"/>
        </w:rPr>
        <w:t xml:space="preserve"> </w:t>
      </w:r>
      <w:r w:rsidRPr="006F342F">
        <w:rPr>
          <w:rFonts w:cs="Calibri"/>
          <w:bCs/>
          <w:iCs/>
        </w:rPr>
        <w:t xml:space="preserve">umiejętne zarządzanie ryzykiem przy realizacji przedsięwzięć, niwelowanie nieuzasadnionych dysproporcji </w:t>
      </w:r>
      <w:r w:rsidRPr="003D7819">
        <w:rPr>
          <w:rFonts w:cs="Calibri"/>
          <w:bCs/>
          <w:iCs/>
        </w:rPr>
        <w:t>wynagrodzenia)</w:t>
      </w:r>
      <w:r>
        <w:rPr>
          <w:rFonts w:cs="Calibri"/>
          <w:bCs/>
          <w:iCs/>
        </w:rPr>
        <w:t>,</w:t>
      </w:r>
    </w:p>
    <w:p w14:paraId="01491510" w14:textId="77777777" w:rsidR="00776D77" w:rsidRPr="00F21196" w:rsidRDefault="00776D77" w:rsidP="00723B3F">
      <w:pPr>
        <w:numPr>
          <w:ilvl w:val="0"/>
          <w:numId w:val="19"/>
        </w:numPr>
        <w:autoSpaceDE w:val="0"/>
        <w:autoSpaceDN w:val="0"/>
        <w:adjustRightInd w:val="0"/>
        <w:spacing w:after="0" w:line="276" w:lineRule="auto"/>
        <w:ind w:left="426" w:hanging="284"/>
        <w:jc w:val="both"/>
        <w:rPr>
          <w:rFonts w:cstheme="minorHAnsi"/>
          <w:bCs/>
          <w:iCs/>
        </w:rPr>
      </w:pPr>
      <w:r w:rsidRPr="00F21196">
        <w:rPr>
          <w:rFonts w:cstheme="minorHAnsi"/>
          <w:bCs/>
          <w:iCs/>
        </w:rPr>
        <w:t xml:space="preserve">zapewnienie ścisłej i wielopoziomowej współpracy poprzez zapewnienie koordynacji działań na rzecz realizacji uzgodnionych celów wspólnych, zwiększenie użyteczności rozwiązań, wyeliminowanie dublowania funkcji i podejmowanych działań, wykorzystanie potencjału współpracy </w:t>
      </w:r>
      <w:r>
        <w:rPr>
          <w:rFonts w:cstheme="minorHAnsi"/>
          <w:bCs/>
          <w:iCs/>
        </w:rPr>
        <w:t>europejskiej i międzynarodowej.</w:t>
      </w:r>
    </w:p>
    <w:p w14:paraId="4D7A6E15" w14:textId="77777777" w:rsidR="00776D77" w:rsidRPr="00F21196" w:rsidRDefault="00776D77" w:rsidP="009A0FAA">
      <w:pPr>
        <w:autoSpaceDE w:val="0"/>
        <w:autoSpaceDN w:val="0"/>
        <w:adjustRightInd w:val="0"/>
        <w:spacing w:before="120" w:after="0" w:line="276" w:lineRule="auto"/>
        <w:jc w:val="both"/>
        <w:rPr>
          <w:rFonts w:cstheme="minorHAnsi"/>
          <w:bCs/>
          <w:iCs/>
        </w:rPr>
      </w:pPr>
      <w:r w:rsidRPr="00F21196">
        <w:rPr>
          <w:rFonts w:cstheme="minorHAnsi"/>
          <w:bCs/>
          <w:iCs/>
        </w:rPr>
        <w:t xml:space="preserve">Postrzeganie administracji rządowej przez obywatela wiąże się z oceną świadczenia usług, </w:t>
      </w:r>
      <w:r w:rsidRPr="00F21196">
        <w:rPr>
          <w:rFonts w:cs="TimesNewRomanPSMT"/>
        </w:rPr>
        <w:t>kulturą działania, stosowaniem instrumentów formalnych i proceduralnych. Dlatego też dążyć się będzie do p</w:t>
      </w:r>
      <w:r w:rsidRPr="00F21196">
        <w:rPr>
          <w:rFonts w:cstheme="minorHAnsi"/>
          <w:bCs/>
          <w:iCs/>
        </w:rPr>
        <w:t>oprawy relacji administracji rządowej z obywatelem poprzez:</w:t>
      </w:r>
    </w:p>
    <w:p w14:paraId="6CDE0919" w14:textId="77777777" w:rsidR="00776D77" w:rsidRPr="00F21196" w:rsidRDefault="00776D77" w:rsidP="00723B3F">
      <w:pPr>
        <w:numPr>
          <w:ilvl w:val="0"/>
          <w:numId w:val="40"/>
        </w:numPr>
        <w:autoSpaceDE w:val="0"/>
        <w:autoSpaceDN w:val="0"/>
        <w:adjustRightInd w:val="0"/>
        <w:spacing w:after="0" w:line="276" w:lineRule="auto"/>
        <w:ind w:left="426" w:hanging="284"/>
        <w:jc w:val="both"/>
        <w:rPr>
          <w:rFonts w:cstheme="minorHAnsi"/>
          <w:bCs/>
          <w:iCs/>
        </w:rPr>
      </w:pPr>
      <w:r w:rsidRPr="00F21196">
        <w:rPr>
          <w:rFonts w:cstheme="minorHAnsi"/>
          <w:bCs/>
          <w:iCs/>
        </w:rPr>
        <w:t>działania zorientowane na odbiorcę, personalizowany i wielokanałowy kontakt z urzędem (wizyta w urzędzie, e-usługa</w:t>
      </w:r>
      <w:r>
        <w:rPr>
          <w:rFonts w:cstheme="minorHAnsi"/>
          <w:bCs/>
          <w:iCs/>
        </w:rPr>
        <w:t>,</w:t>
      </w:r>
      <w:r w:rsidRPr="00F21196">
        <w:rPr>
          <w:rFonts w:cstheme="minorHAnsi"/>
          <w:bCs/>
          <w:iCs/>
        </w:rPr>
        <w:t xml:space="preserve"> www, telefon, </w:t>
      </w:r>
      <w:r>
        <w:rPr>
          <w:rFonts w:cstheme="minorHAnsi"/>
          <w:bCs/>
          <w:iCs/>
        </w:rPr>
        <w:t xml:space="preserve">pocztę elektroniczną, </w:t>
      </w:r>
      <w:r w:rsidRPr="00F21196">
        <w:rPr>
          <w:rFonts w:cstheme="minorHAnsi"/>
          <w:bCs/>
          <w:iCs/>
        </w:rPr>
        <w:t>smartfon, interfejsy programistyczne, inne),</w:t>
      </w:r>
    </w:p>
    <w:p w14:paraId="1D0FEC62" w14:textId="77777777" w:rsidR="00776D77" w:rsidRPr="00F21196" w:rsidRDefault="00776D77" w:rsidP="00723B3F">
      <w:pPr>
        <w:numPr>
          <w:ilvl w:val="0"/>
          <w:numId w:val="40"/>
        </w:numPr>
        <w:autoSpaceDE w:val="0"/>
        <w:autoSpaceDN w:val="0"/>
        <w:adjustRightInd w:val="0"/>
        <w:spacing w:after="0" w:line="276" w:lineRule="auto"/>
        <w:ind w:left="426" w:hanging="284"/>
        <w:jc w:val="both"/>
        <w:rPr>
          <w:rFonts w:cstheme="minorHAnsi"/>
          <w:bCs/>
          <w:iCs/>
        </w:rPr>
      </w:pPr>
      <w:r>
        <w:rPr>
          <w:rFonts w:cstheme="minorHAnsi"/>
          <w:bCs/>
          <w:iCs/>
        </w:rPr>
        <w:t xml:space="preserve">jednolity </w:t>
      </w:r>
      <w:r w:rsidRPr="00F21196">
        <w:rPr>
          <w:rFonts w:cstheme="minorHAnsi"/>
          <w:bCs/>
          <w:iCs/>
        </w:rPr>
        <w:t>przekaz informacyjny niezależnie od kanału komunikacji,</w:t>
      </w:r>
    </w:p>
    <w:p w14:paraId="06EC3F73" w14:textId="77777777" w:rsidR="00776D77" w:rsidRPr="00F21196" w:rsidRDefault="00776D77" w:rsidP="00723B3F">
      <w:pPr>
        <w:numPr>
          <w:ilvl w:val="0"/>
          <w:numId w:val="40"/>
        </w:numPr>
        <w:autoSpaceDE w:val="0"/>
        <w:autoSpaceDN w:val="0"/>
        <w:adjustRightInd w:val="0"/>
        <w:spacing w:after="0" w:line="276" w:lineRule="auto"/>
        <w:ind w:left="426" w:hanging="284"/>
        <w:jc w:val="both"/>
        <w:rPr>
          <w:rFonts w:cstheme="minorHAnsi"/>
          <w:bCs/>
          <w:iCs/>
        </w:rPr>
      </w:pPr>
      <w:r w:rsidRPr="00F21196">
        <w:rPr>
          <w:rFonts w:cstheme="minorHAnsi"/>
          <w:bCs/>
          <w:iCs/>
        </w:rPr>
        <w:t>stworzenie obywatelowi możliwości kooperacji, zarówno w zakresie udziału w procesie konsultacji publicznych, petycji, inicjatyw ustawodawczych i innych form aktywności obywatelskiej,</w:t>
      </w:r>
    </w:p>
    <w:p w14:paraId="304ADC12" w14:textId="77777777" w:rsidR="00776D77" w:rsidRPr="00F21196" w:rsidRDefault="00776D77" w:rsidP="00723B3F">
      <w:pPr>
        <w:numPr>
          <w:ilvl w:val="0"/>
          <w:numId w:val="40"/>
        </w:numPr>
        <w:autoSpaceDE w:val="0"/>
        <w:autoSpaceDN w:val="0"/>
        <w:adjustRightInd w:val="0"/>
        <w:spacing w:after="0" w:line="276" w:lineRule="auto"/>
        <w:ind w:left="426" w:hanging="284"/>
        <w:jc w:val="both"/>
        <w:rPr>
          <w:rFonts w:cstheme="minorHAnsi"/>
          <w:bCs/>
          <w:iCs/>
        </w:rPr>
      </w:pPr>
      <w:r w:rsidRPr="00F21196">
        <w:rPr>
          <w:rFonts w:cstheme="minorHAnsi"/>
          <w:bCs/>
          <w:iCs/>
        </w:rPr>
        <w:t xml:space="preserve">zapewnienie łatwego i szerokiego dostępu do informacji publicznej </w:t>
      </w:r>
      <w:r>
        <w:rPr>
          <w:rFonts w:cstheme="minorHAnsi"/>
          <w:bCs/>
          <w:iCs/>
        </w:rPr>
        <w:t xml:space="preserve">oraz </w:t>
      </w:r>
      <w:r w:rsidRPr="00F21196">
        <w:rPr>
          <w:rFonts w:cstheme="minorHAnsi"/>
          <w:bCs/>
          <w:iCs/>
        </w:rPr>
        <w:t>możliwoś</w:t>
      </w:r>
      <w:r>
        <w:rPr>
          <w:rFonts w:cstheme="minorHAnsi"/>
          <w:bCs/>
          <w:iCs/>
        </w:rPr>
        <w:t>ć</w:t>
      </w:r>
      <w:r w:rsidRPr="00F21196">
        <w:rPr>
          <w:rFonts w:cstheme="minorHAnsi"/>
          <w:bCs/>
          <w:iCs/>
        </w:rPr>
        <w:t xml:space="preserve"> wykorzystania zasobów informacyjnych państwa w działalności gospodarczej i społecznej,</w:t>
      </w:r>
    </w:p>
    <w:p w14:paraId="42E96858" w14:textId="77777777" w:rsidR="00776D77" w:rsidRPr="00F21196" w:rsidRDefault="00776D77" w:rsidP="00723B3F">
      <w:pPr>
        <w:numPr>
          <w:ilvl w:val="0"/>
          <w:numId w:val="41"/>
        </w:numPr>
        <w:autoSpaceDE w:val="0"/>
        <w:autoSpaceDN w:val="0"/>
        <w:adjustRightInd w:val="0"/>
        <w:spacing w:after="0" w:line="276" w:lineRule="auto"/>
        <w:ind w:left="426"/>
        <w:jc w:val="both"/>
        <w:rPr>
          <w:rFonts w:cstheme="minorHAnsi"/>
          <w:bCs/>
          <w:iCs/>
        </w:rPr>
      </w:pPr>
      <w:r w:rsidRPr="00F21196">
        <w:rPr>
          <w:rFonts w:cstheme="minorHAnsi"/>
          <w:bCs/>
          <w:iCs/>
        </w:rPr>
        <w:t>jednolite i transparentne zarządzanie procesem załatwiania sprawy od początku do końca bez względu na kanał dostępu, oparte na elektronizacji komunikacji i całego procesu,</w:t>
      </w:r>
    </w:p>
    <w:p w14:paraId="0F54CE97" w14:textId="77777777" w:rsidR="00776D77" w:rsidRPr="00F21196" w:rsidRDefault="00776D77" w:rsidP="00723B3F">
      <w:pPr>
        <w:numPr>
          <w:ilvl w:val="0"/>
          <w:numId w:val="41"/>
        </w:numPr>
        <w:autoSpaceDE w:val="0"/>
        <w:autoSpaceDN w:val="0"/>
        <w:adjustRightInd w:val="0"/>
        <w:spacing w:after="0" w:line="276" w:lineRule="auto"/>
        <w:ind w:left="426"/>
        <w:jc w:val="both"/>
        <w:rPr>
          <w:rFonts w:cstheme="minorHAnsi"/>
          <w:bCs/>
          <w:iCs/>
        </w:rPr>
      </w:pPr>
      <w:r w:rsidRPr="00F21196">
        <w:rPr>
          <w:rFonts w:cstheme="minorHAnsi"/>
          <w:bCs/>
          <w:iCs/>
        </w:rPr>
        <w:t>zapewnienie komunikacji z obywatelem w zakresie jego satysfakcji i oczekiwań w relacji państwo - obywatel.</w:t>
      </w:r>
    </w:p>
    <w:p w14:paraId="4386296F" w14:textId="77777777" w:rsidR="00776D77" w:rsidRPr="003D706D" w:rsidRDefault="00776D77" w:rsidP="00776D77">
      <w:pPr>
        <w:rPr>
          <w:rFonts w:eastAsia="Times New Roman" w:cs="Calibri"/>
        </w:rPr>
      </w:pPr>
      <w:r w:rsidRPr="003D706D">
        <w:rPr>
          <w:rFonts w:eastAsia="Times New Roman" w:cs="Calibri"/>
        </w:rPr>
        <w:t>Narzędzia techniczne oraz organizacyjne służące osiągnięciu wskazanych rezultatów zostaną zapewnione m.in. dzięki realizacji działań i wdrożeniu rozwiązań wskazanych w ramach celu szczegółowego III.</w:t>
      </w:r>
    </w:p>
    <w:p w14:paraId="0CF0521B" w14:textId="77777777" w:rsidR="00776D77" w:rsidRPr="00322213" w:rsidRDefault="00776D77" w:rsidP="00776D77">
      <w:pPr>
        <w:spacing w:after="120" w:line="276" w:lineRule="auto"/>
        <w:ind w:right="22"/>
        <w:jc w:val="both"/>
        <w:rPr>
          <w:rFonts w:cs="Arial"/>
        </w:rPr>
      </w:pPr>
      <w:r w:rsidRPr="00322213">
        <w:rPr>
          <w:rFonts w:cs="Arial"/>
          <w:lang w:bidi="pa-IN"/>
        </w:rPr>
        <w:t>Zakłada się wzrost</w:t>
      </w:r>
      <w:r w:rsidRPr="00322213">
        <w:rPr>
          <w:rFonts w:cs="Arial"/>
          <w:b/>
          <w:lang w:bidi="pa-IN"/>
        </w:rPr>
        <w:t xml:space="preserve"> </w:t>
      </w:r>
      <w:r w:rsidRPr="00322213">
        <w:rPr>
          <w:rFonts w:cs="Arial"/>
          <w:lang w:bidi="pa-IN"/>
        </w:rPr>
        <w:t>udziału podmiotów ekonomii społecznej w rynku usług publicznych, przejawiającą się m.in. w zwiększeniu udziału obywateli i ich organizacji w procesie świadczenia usług publicznych. To rozwiązanie przyczyni się równocześnie do wzrostu konkurencyjności poprzez zapewnienie różnorodności dostawców usług publicznych. Warunkiem rozwoju sektora usług, dostarczanych przez podmioty ekonomii społecznej, jest m.in. stworzenie warunków prawnych i przyjaznego otoczenia instytucjonalnego dla ich funkcjonowania. S</w:t>
      </w:r>
      <w:r w:rsidRPr="00322213">
        <w:rPr>
          <w:rFonts w:cs="Arial"/>
        </w:rPr>
        <w:t xml:space="preserve">zansą jest także możliwość szerokiego wykorzystania potencjału sektora pozarządowego – organizacji pozarządowych, które dysponują umiejętnością trafnego rozpoznania potrzeb społeczności lokalnej w zakresie usług użyteczności publicznej oraz - jak ma to miejsce w przypadku podmiotów ekonomii społecznej - wykorzystują zasoby uznane za nieprzydatne przez sektor publiczny i prywatny, a także przyczyniają się do redukcji kosztów związanych z wysoką stopą bezrobocia, w grupach zagrożenia marginalizacją społeczną, poprzez ich aktywizację zawodową.  </w:t>
      </w:r>
    </w:p>
    <w:p w14:paraId="7A8A93EC" w14:textId="77777777" w:rsidR="00776D77" w:rsidRPr="00322213" w:rsidRDefault="00776D77" w:rsidP="00776D77">
      <w:pPr>
        <w:spacing w:after="0" w:line="276" w:lineRule="auto"/>
        <w:jc w:val="both"/>
      </w:pPr>
      <w:r w:rsidRPr="00322213">
        <w:rPr>
          <w:rFonts w:eastAsia="Times New Roman" w:cs="Times New Roman"/>
          <w:lang w:eastAsia="pl-PL"/>
        </w:rPr>
        <w:t xml:space="preserve">W ramach kierunku interwencji będą ponadto kontynuowane prace związane z rozwojem </w:t>
      </w:r>
      <w:r w:rsidRPr="00322213">
        <w:rPr>
          <w:rFonts w:cs="Times New Roman"/>
          <w:lang w:eastAsia="pl-PL"/>
        </w:rPr>
        <w:t>Polskiego Systemu Informacji Turystycznej</w:t>
      </w:r>
      <w:r>
        <w:rPr>
          <w:rStyle w:val="Odwoanieprzypisudolnego"/>
          <w:rFonts w:cs="Times New Roman"/>
          <w:lang w:eastAsia="pl-PL"/>
        </w:rPr>
        <w:footnoteReference w:id="60"/>
      </w:r>
      <w:r w:rsidRPr="00322213">
        <w:rPr>
          <w:rFonts w:cs="Times New Roman"/>
        </w:rPr>
        <w:t>.</w:t>
      </w:r>
      <w:r w:rsidRPr="00322213">
        <w:rPr>
          <w:i/>
          <w:iCs/>
        </w:rPr>
        <w:t xml:space="preserve"> </w:t>
      </w:r>
      <w:r w:rsidRPr="00322213">
        <w:rPr>
          <w:iCs/>
        </w:rPr>
        <w:t xml:space="preserve">Planuje się utrzymanie i rozwijanie PSIT w ścisłej współpracy z Regionalnymi Organizacjami Turystycznymi i wieloma innymi podmiotami uczestniczącymi w procesie zbierania i udostępniania informacji turystycznej, poprzez: </w:t>
      </w:r>
    </w:p>
    <w:p w14:paraId="3159B4D4" w14:textId="77777777" w:rsidR="00776D77" w:rsidRPr="00322213" w:rsidRDefault="00776D77" w:rsidP="00723B3F">
      <w:pPr>
        <w:numPr>
          <w:ilvl w:val="0"/>
          <w:numId w:val="42"/>
        </w:numPr>
        <w:spacing w:after="0" w:line="276" w:lineRule="auto"/>
        <w:ind w:left="426"/>
        <w:jc w:val="both"/>
      </w:pPr>
      <w:r w:rsidRPr="00322213">
        <w:rPr>
          <w:iCs/>
        </w:rPr>
        <w:t xml:space="preserve">wytworzenie standardów, wytycznych i innych mechanizmów będących zestawem narzędzi do budowy i utrzymania cyfrowych usług publicznych, </w:t>
      </w:r>
    </w:p>
    <w:p w14:paraId="597AF8AA" w14:textId="77777777" w:rsidR="00776D77" w:rsidRPr="00322213" w:rsidRDefault="00776D77" w:rsidP="00723B3F">
      <w:pPr>
        <w:numPr>
          <w:ilvl w:val="0"/>
          <w:numId w:val="42"/>
        </w:numPr>
        <w:spacing w:after="0" w:line="276" w:lineRule="auto"/>
        <w:ind w:left="426"/>
        <w:jc w:val="both"/>
      </w:pPr>
      <w:r w:rsidRPr="00322213">
        <w:rPr>
          <w:iCs/>
        </w:rPr>
        <w:t xml:space="preserve">podział usług na centralne, regionalne i lokalne – ustalenie zakresu odpowiedzialności za utrzymanie </w:t>
      </w:r>
      <w:r>
        <w:rPr>
          <w:iCs/>
        </w:rPr>
        <w:br/>
        <w:t>e-usług.</w:t>
      </w:r>
    </w:p>
    <w:p w14:paraId="5DA26ED1" w14:textId="77777777" w:rsidR="00776D77" w:rsidRPr="00F21196" w:rsidRDefault="00776D77" w:rsidP="00776D77">
      <w:pPr>
        <w:spacing w:after="0"/>
        <w:ind w:left="426"/>
        <w:rPr>
          <w:rFonts w:eastAsia="Times New Roman" w:cs="Calibri"/>
          <w:b/>
          <w:color w:val="2F5496" w:themeColor="accent5" w:themeShade="BF"/>
          <w:lang w:eastAsia="pl-PL"/>
        </w:rPr>
      </w:pPr>
    </w:p>
    <w:p w14:paraId="3B8238B2" w14:textId="77777777" w:rsidR="00776D77" w:rsidRPr="00F21196" w:rsidRDefault="00776D77" w:rsidP="00776D77">
      <w:pPr>
        <w:shd w:val="clear" w:color="auto" w:fill="FFFFFF" w:themeFill="background1"/>
        <w:spacing w:after="0" w:line="276" w:lineRule="auto"/>
        <w:jc w:val="both"/>
      </w:pPr>
      <w:r w:rsidRPr="00322213">
        <w:rPr>
          <w:rFonts w:cs="Calibri,Bold"/>
          <w:b/>
          <w:bCs/>
          <w:u w:val="single"/>
        </w:rPr>
        <w:t xml:space="preserve">2.4. </w:t>
      </w:r>
      <w:r w:rsidRPr="00F21196">
        <w:rPr>
          <w:b/>
          <w:u w:val="single"/>
        </w:rPr>
        <w:t>Poprawa dostępności polskich urzędów konsularnych dla obywateli.</w:t>
      </w:r>
      <w:r>
        <w:rPr>
          <w:b/>
          <w:u w:val="single"/>
        </w:rPr>
        <w:t xml:space="preserve"> </w:t>
      </w:r>
      <w:r w:rsidRPr="00F21196">
        <w:t xml:space="preserve">Wzrost liczby obywateli polskich przebywających za granicą przekłada się na zwiększające się zapotrzebowanie na różnego rodzaju usługi świadczone na rzecz tych osób przez organy administracji państwowej. Pierwszym kontaktem osoby przebywającej za granicą są urzędnicy konsularni. Polscy urzędnicy konsularni wykonują na rzecz obywateli polskich wiele czynności i funkcji, począwszy od udzielania informacji na temat obowiązującego prawa, poprzez pośredniczenie w załatwianiu spraw przed organami krajowymi i wreszcie – na samodzielnym wykonywaniu określonych czynności wynikających z przepisów prawa. Niezależnie od usług świadczonych na rzecz obywateli polskich, polscy urzędnicy konsularni zobowiązani są do świadczenia pomocy obywatelom UE, którzy nie posiadają w kraju, w którym przebywają dyplomatycznej lub konsularnej reprezentacji swojego własnego kraju, czyli do świadczenia pomocy na rzecz niereprezentowanych obywateli UE. </w:t>
      </w:r>
    </w:p>
    <w:p w14:paraId="0DC5C64E" w14:textId="77777777" w:rsidR="00776D77" w:rsidRPr="00F21196" w:rsidRDefault="00776D77" w:rsidP="00A23644">
      <w:pPr>
        <w:spacing w:after="0" w:line="276" w:lineRule="auto"/>
        <w:jc w:val="both"/>
      </w:pPr>
      <w:r w:rsidRPr="00F21196">
        <w:t>W celu poprawy dostępności obywateli polskich do polskich urzędów konsularnych konieczne jest zwiększenie liczby personelu konsularnego (jest to również jeden z postulatów sformułowanych przez NIK po kontroli „Udzielanie pomocy konsularnej”, przeprowadzonej w 2016</w:t>
      </w:r>
      <w:r>
        <w:t xml:space="preserve"> r.</w:t>
      </w:r>
      <w:r w:rsidRPr="00F21196">
        <w:t xml:space="preserve">). Niezależnie od wsparcia kadrowego dążyć się będzie do zwiększenia dostępności do informacji i porad na temat </w:t>
      </w:r>
      <w:r>
        <w:t>sposobu realizacji spraw</w:t>
      </w:r>
      <w:r w:rsidRPr="00F21196">
        <w:t xml:space="preserve"> przez polskie urzędy konsularne i przedstawicielstwa dyplomatyczne. Podejmowane działania będą zmierzać do:</w:t>
      </w:r>
    </w:p>
    <w:p w14:paraId="7755564E" w14:textId="77777777" w:rsidR="00776D77" w:rsidRPr="00F21196" w:rsidRDefault="00776D77" w:rsidP="00723B3F">
      <w:pPr>
        <w:pStyle w:val="Akapitzlist"/>
        <w:numPr>
          <w:ilvl w:val="0"/>
          <w:numId w:val="13"/>
        </w:numPr>
        <w:shd w:val="clear" w:color="auto" w:fill="FFFFFF"/>
        <w:spacing w:line="276" w:lineRule="auto"/>
        <w:ind w:left="426"/>
        <w:contextualSpacing w:val="0"/>
        <w:jc w:val="both"/>
        <w:rPr>
          <w:rFonts w:asciiTheme="minorHAnsi" w:hAnsiTheme="minorHAnsi"/>
          <w:sz w:val="22"/>
          <w:szCs w:val="22"/>
        </w:rPr>
      </w:pPr>
      <w:r w:rsidRPr="00F21196">
        <w:rPr>
          <w:rFonts w:asciiTheme="minorHAnsi" w:hAnsiTheme="minorHAnsi"/>
          <w:sz w:val="22"/>
          <w:szCs w:val="22"/>
        </w:rPr>
        <w:t>zwiększenia dostępności i jakości obsługi tzw. klienta konsularnego w następstwie działania infolinii konsularnej poprzez: łatwość i skuteczność nawiązania połączenia telefonicznego z wybranym urzędem konsularnym lub przedstawicielstwem dyplomatycznym, kompleksową obsługę informacyjną,</w:t>
      </w:r>
    </w:p>
    <w:p w14:paraId="1FDCE27A" w14:textId="77777777" w:rsidR="00776D77" w:rsidRPr="00F21196" w:rsidRDefault="00776D77" w:rsidP="00723B3F">
      <w:pPr>
        <w:pStyle w:val="Akapitzlist"/>
        <w:numPr>
          <w:ilvl w:val="0"/>
          <w:numId w:val="13"/>
        </w:numPr>
        <w:shd w:val="clear" w:color="auto" w:fill="FFFFFF"/>
        <w:spacing w:line="276" w:lineRule="auto"/>
        <w:ind w:left="426"/>
        <w:contextualSpacing w:val="0"/>
        <w:jc w:val="both"/>
        <w:rPr>
          <w:rFonts w:asciiTheme="minorHAnsi" w:hAnsiTheme="minorHAnsi"/>
          <w:sz w:val="22"/>
          <w:szCs w:val="22"/>
        </w:rPr>
      </w:pPr>
      <w:r w:rsidRPr="00F21196">
        <w:rPr>
          <w:rFonts w:asciiTheme="minorHAnsi" w:hAnsiTheme="minorHAnsi"/>
          <w:sz w:val="22"/>
          <w:szCs w:val="22"/>
        </w:rPr>
        <w:t>ujednolicenia standardu obsługi klienta konsularnego niezależnie od urzędu konsularnego, w którym klient będzie następnie załatwiał swoją sprawę,</w:t>
      </w:r>
    </w:p>
    <w:p w14:paraId="77E92AC6" w14:textId="77777777" w:rsidR="00776D77" w:rsidRPr="00F21196" w:rsidRDefault="00776D77" w:rsidP="00723B3F">
      <w:pPr>
        <w:pStyle w:val="Akapitzlist"/>
        <w:numPr>
          <w:ilvl w:val="0"/>
          <w:numId w:val="13"/>
        </w:numPr>
        <w:shd w:val="clear" w:color="auto" w:fill="FFFFFF"/>
        <w:spacing w:line="276" w:lineRule="auto"/>
        <w:ind w:left="426"/>
        <w:contextualSpacing w:val="0"/>
        <w:jc w:val="both"/>
        <w:rPr>
          <w:rFonts w:asciiTheme="minorHAnsi" w:hAnsiTheme="minorHAnsi"/>
          <w:sz w:val="22"/>
          <w:szCs w:val="22"/>
        </w:rPr>
      </w:pPr>
      <w:r w:rsidRPr="00F21196">
        <w:rPr>
          <w:rFonts w:asciiTheme="minorHAnsi" w:hAnsiTheme="minorHAnsi"/>
          <w:sz w:val="22"/>
          <w:szCs w:val="22"/>
        </w:rPr>
        <w:t>zwiększenia zakresu oferowanych klientom konsularnym usług za pomocą sprawnie działającej infolinii, w tym zwiększenia zasięgu terytorialnego usług świadczonych za pośrednictwem infolinii.</w:t>
      </w:r>
    </w:p>
    <w:p w14:paraId="471AE092" w14:textId="77777777" w:rsidR="00776D77" w:rsidRPr="00F21196" w:rsidRDefault="00776D77" w:rsidP="00723B3F">
      <w:pPr>
        <w:pStyle w:val="Akapitzlist"/>
        <w:numPr>
          <w:ilvl w:val="0"/>
          <w:numId w:val="13"/>
        </w:numPr>
        <w:shd w:val="clear" w:color="auto" w:fill="FFFFFF"/>
        <w:spacing w:line="276" w:lineRule="auto"/>
        <w:ind w:left="426"/>
        <w:contextualSpacing w:val="0"/>
        <w:jc w:val="both"/>
        <w:rPr>
          <w:rFonts w:asciiTheme="minorHAnsi" w:hAnsiTheme="minorHAnsi"/>
          <w:sz w:val="22"/>
          <w:szCs w:val="22"/>
        </w:rPr>
      </w:pPr>
      <w:r w:rsidRPr="00F21196">
        <w:rPr>
          <w:rFonts w:asciiTheme="minorHAnsi" w:hAnsiTheme="minorHAnsi"/>
          <w:sz w:val="22"/>
          <w:szCs w:val="22"/>
        </w:rPr>
        <w:t>usprawnienia realizacji spraw z zakresu pomocy konsularnej dla obywateli polskich.</w:t>
      </w:r>
    </w:p>
    <w:p w14:paraId="6D261794" w14:textId="77777777" w:rsidR="00776D77" w:rsidRPr="00F21196" w:rsidRDefault="00776D77" w:rsidP="00723B3F">
      <w:pPr>
        <w:pStyle w:val="Akapitzlist"/>
        <w:numPr>
          <w:ilvl w:val="0"/>
          <w:numId w:val="13"/>
        </w:numPr>
        <w:shd w:val="clear" w:color="auto" w:fill="FFFFFF"/>
        <w:spacing w:line="276" w:lineRule="auto"/>
        <w:ind w:left="426"/>
        <w:contextualSpacing w:val="0"/>
        <w:jc w:val="both"/>
        <w:rPr>
          <w:rFonts w:asciiTheme="minorHAnsi" w:hAnsiTheme="minorHAnsi"/>
          <w:sz w:val="22"/>
          <w:szCs w:val="22"/>
        </w:rPr>
      </w:pPr>
      <w:r w:rsidRPr="00F21196">
        <w:rPr>
          <w:rFonts w:asciiTheme="minorHAnsi" w:hAnsiTheme="minorHAnsi"/>
          <w:sz w:val="22"/>
          <w:szCs w:val="22"/>
        </w:rPr>
        <w:t>poprawy zarządzania treścią stron internetowych urzędów konsularnych i przedstawicielstw dyplomatycznych (w ramach projektu budowy stron internetowych administracji).</w:t>
      </w:r>
    </w:p>
    <w:p w14:paraId="69638119" w14:textId="77777777" w:rsidR="00776D77" w:rsidRPr="00F21196" w:rsidRDefault="00776D77" w:rsidP="00776D77">
      <w:pPr>
        <w:rPr>
          <w:color w:val="2F5496" w:themeColor="accent5" w:themeShade="BF"/>
          <w:lang w:eastAsia="pl-PL"/>
        </w:rPr>
      </w:pPr>
    </w:p>
    <w:p w14:paraId="295C917F" w14:textId="77777777" w:rsidR="00776D77" w:rsidRPr="009A0FAA" w:rsidRDefault="00776D77" w:rsidP="00776D77">
      <w:pPr>
        <w:pBdr>
          <w:bottom w:val="single" w:sz="24" w:space="1" w:color="A8D08D" w:themeColor="accent6" w:themeTint="99"/>
        </w:pBdr>
        <w:shd w:val="clear" w:color="auto" w:fill="D9D9D9" w:themeFill="background1" w:themeFillShade="D9"/>
        <w:autoSpaceDE w:val="0"/>
        <w:autoSpaceDN w:val="0"/>
        <w:adjustRightInd w:val="0"/>
        <w:spacing w:after="0" w:line="240" w:lineRule="auto"/>
        <w:jc w:val="both"/>
        <w:rPr>
          <w:rFonts w:cs="Arial"/>
          <w:b/>
          <w:bCs/>
          <w:iCs/>
          <w:color w:val="000000"/>
        </w:rPr>
      </w:pPr>
      <w:r w:rsidRPr="009A0FAA">
        <w:rPr>
          <w:rFonts w:cs="Calibri,Bold"/>
          <w:b/>
          <w:bCs/>
        </w:rPr>
        <w:t>Kierunek interwencji 3</w:t>
      </w:r>
      <w:r w:rsidRPr="009A0FAA">
        <w:rPr>
          <w:rFonts w:cs="Arial"/>
          <w:b/>
          <w:bCs/>
          <w:iCs/>
          <w:color w:val="000000"/>
        </w:rPr>
        <w:t xml:space="preserve">. </w:t>
      </w:r>
    </w:p>
    <w:p w14:paraId="5F4680D0" w14:textId="5CD9B054" w:rsidR="00776D77" w:rsidRPr="009A0FAA" w:rsidRDefault="00776D77" w:rsidP="00776D77">
      <w:pPr>
        <w:pBdr>
          <w:bottom w:val="single" w:sz="24" w:space="1" w:color="A8D08D" w:themeColor="accent6" w:themeTint="99"/>
        </w:pBdr>
        <w:shd w:val="clear" w:color="auto" w:fill="D9D9D9" w:themeFill="background1" w:themeFillShade="D9"/>
        <w:autoSpaceDE w:val="0"/>
        <w:autoSpaceDN w:val="0"/>
        <w:adjustRightInd w:val="0"/>
        <w:spacing w:after="0" w:line="240" w:lineRule="auto"/>
        <w:jc w:val="center"/>
        <w:rPr>
          <w:rFonts w:cs="Arial"/>
          <w:b/>
          <w:i/>
          <w:color w:val="000000"/>
        </w:rPr>
      </w:pPr>
      <w:r w:rsidRPr="009A0FAA">
        <w:rPr>
          <w:rFonts w:cs="Calibri,Bold"/>
          <w:b/>
          <w:bCs/>
          <w:i/>
        </w:rPr>
        <w:t>Zwiększenie zdolności administracji rządowej i służby publicznej do kreowania i zarządzania</w:t>
      </w:r>
      <w:r w:rsidR="009A0FAA">
        <w:rPr>
          <w:rFonts w:cs="Calibri,Bold"/>
          <w:b/>
          <w:bCs/>
          <w:i/>
        </w:rPr>
        <w:br/>
      </w:r>
      <w:r w:rsidRPr="009A0FAA">
        <w:rPr>
          <w:rFonts w:cs="Calibri,Bold"/>
          <w:b/>
          <w:bCs/>
          <w:i/>
        </w:rPr>
        <w:t xml:space="preserve"> polityką państwa</w:t>
      </w:r>
    </w:p>
    <w:p w14:paraId="2EC896F0" w14:textId="77777777" w:rsidR="00776D77" w:rsidRPr="00F21196" w:rsidRDefault="00776D77" w:rsidP="00776D77">
      <w:pPr>
        <w:spacing w:before="120" w:after="120" w:line="276" w:lineRule="auto"/>
        <w:jc w:val="both"/>
      </w:pPr>
      <w:r w:rsidRPr="00AC7B18">
        <w:rPr>
          <w:rFonts w:cs="Calibri,Bold"/>
          <w:b/>
          <w:bCs/>
          <w:u w:val="single"/>
        </w:rPr>
        <w:t>3.1 Zwiększenie zdolności do kreowania i zarządzania polityką państwa.</w:t>
      </w:r>
      <w:r>
        <w:rPr>
          <w:rFonts w:cs="Calibri,Bold"/>
          <w:b/>
          <w:bCs/>
          <w:u w:val="single"/>
        </w:rPr>
        <w:t xml:space="preserve"> </w:t>
      </w:r>
      <w:r w:rsidRPr="00F21196">
        <w:rPr>
          <w:rFonts w:cs="Calibri,Bold"/>
          <w:bCs/>
        </w:rPr>
        <w:t xml:space="preserve">Zwiększenie zdolności administracji rządowej i służby publicznej do kreowania i zarządzania polityką państwa stanowi wyzwanie </w:t>
      </w:r>
      <w:r w:rsidRPr="00F21196">
        <w:t>innowacyjne, dając</w:t>
      </w:r>
      <w:r>
        <w:t>e</w:t>
      </w:r>
      <w:r w:rsidRPr="00F21196">
        <w:t xml:space="preserve"> odpowiedź na potrzeby społeczne i wyzwania technologiczne, zakorzenione w wartościach etycznych</w:t>
      </w:r>
      <w:r>
        <w:t>.</w:t>
      </w:r>
      <w:r w:rsidRPr="00F21196">
        <w:t xml:space="preserve"> </w:t>
      </w:r>
      <w:r>
        <w:t>A</w:t>
      </w:r>
      <w:r w:rsidRPr="00F21196">
        <w:t xml:space="preserve">dministracja, jej usługi i personel </w:t>
      </w:r>
      <w:r>
        <w:t>a</w:t>
      </w:r>
      <w:r w:rsidRPr="00F21196">
        <w:t xml:space="preserve"> także nowoczesna kultura organizacyjna urzędów przyczyniająca się do budowania zaufania społecznego do </w:t>
      </w:r>
      <w:r>
        <w:t>państwa</w:t>
      </w:r>
      <w:r w:rsidRPr="00F21196">
        <w:t xml:space="preserve">. </w:t>
      </w:r>
      <w:r w:rsidRPr="00F21196">
        <w:rPr>
          <w:rFonts w:cs="Calibri,Bold"/>
          <w:bCs/>
        </w:rPr>
        <w:t>Równocześnie z podejmowaniem inicjatyw zwiększających zdolności administracji rządowej będą realizowane działania Szefa Służby Cywilnej o charakterze modernizacyjnym i rozwojowym w obszarze służby cywilnej. Będą to przede wszystkim działania ukierunkowane na promowanie kariery w służbie cywilnej, wzmocnienie kompetencji kierowniczych u osób zarządzających pracownikami, podniesienie standardów zarządzania zasobami ludzkimi, budowanie kultury uczciwości w służbie cywilnej oraz zwiększające profesjonalizm korpusu służby cywilnej.</w:t>
      </w:r>
    </w:p>
    <w:p w14:paraId="605333D3" w14:textId="77777777" w:rsidR="00776D77" w:rsidRDefault="00776D77" w:rsidP="00776D77">
      <w:pPr>
        <w:spacing w:after="120" w:line="276" w:lineRule="auto"/>
        <w:jc w:val="both"/>
        <w:rPr>
          <w:rFonts w:eastAsia="Times New Roman" w:cs="Arial"/>
          <w:lang w:eastAsia="pl-PL"/>
        </w:rPr>
      </w:pPr>
      <w:r w:rsidRPr="00F21196">
        <w:rPr>
          <w:rFonts w:eastAsia="Times New Roman" w:cs="Arial"/>
          <w:lang w:eastAsia="pl-PL"/>
        </w:rPr>
        <w:t xml:space="preserve">Budowa </w:t>
      </w:r>
      <w:r w:rsidRPr="00F21196">
        <w:rPr>
          <w:rFonts w:cs="Arial"/>
          <w:iCs/>
          <w:color w:val="000000"/>
        </w:rPr>
        <w:t xml:space="preserve">zintegrowanego systemu zarządzania rozwojem </w:t>
      </w:r>
      <w:r w:rsidRPr="00F21196">
        <w:rPr>
          <w:rFonts w:eastAsia="Times New Roman" w:cs="Arial"/>
          <w:lang w:eastAsia="pl-PL"/>
        </w:rPr>
        <w:t>nie została zakończona na pożądanym poziomie. Dlatego też będzie kontynuowana, zgodnie z ukształtowanymi potrzebami polityki rozwoju, a zwłaszcza celami rozwojowymi Polski określonymi i skonkretyzowanymi na gruncie SOR. W ramach SNP podjęte zostaną działania korekcyjno-naprawcze i inicjujące nowe rozwiązania, a mianowicie: wzmocnienie strategicznych zdolności państwa do kreowania polityki rozwoju kraju i zintegrowanie planowania społecznego, gospodarczego i przestrzennego. Środkiem do ich realizacji będzie przebudowa systemu zarządzania rozwojem Polski.</w:t>
      </w:r>
    </w:p>
    <w:p w14:paraId="72F82028" w14:textId="77777777" w:rsidR="00776D77" w:rsidRPr="00DF0226" w:rsidRDefault="00776D77" w:rsidP="00A23644">
      <w:pPr>
        <w:spacing w:after="0" w:line="276" w:lineRule="auto"/>
        <w:jc w:val="both"/>
        <w:rPr>
          <w:rFonts w:cs="Calibri"/>
        </w:rPr>
      </w:pPr>
      <w:r w:rsidRPr="00AC7B18">
        <w:rPr>
          <w:rFonts w:eastAsia="Times New Roman" w:cs="Arial"/>
          <w:b/>
          <w:u w:val="single"/>
          <w:lang w:eastAsia="pl-PL"/>
        </w:rPr>
        <w:t>3.2</w:t>
      </w:r>
      <w:r>
        <w:rPr>
          <w:rFonts w:eastAsia="Times New Roman" w:cs="Arial"/>
          <w:b/>
          <w:u w:val="single"/>
          <w:lang w:eastAsia="pl-PL"/>
        </w:rPr>
        <w:t>.</w:t>
      </w:r>
      <w:r w:rsidRPr="00AC7B18">
        <w:rPr>
          <w:rFonts w:eastAsia="Times New Roman" w:cs="Arial"/>
          <w:b/>
          <w:u w:val="single"/>
          <w:lang w:eastAsia="pl-PL"/>
        </w:rPr>
        <w:t xml:space="preserve"> Wzmocnienie </w:t>
      </w:r>
      <w:r w:rsidRPr="003A6497">
        <w:rPr>
          <w:rFonts w:eastAsia="Times New Roman" w:cs="Arial"/>
          <w:b/>
          <w:u w:val="single"/>
          <w:lang w:eastAsia="pl-PL"/>
        </w:rPr>
        <w:t>sektora geoinformacyjnego, jako strategicznego elementu rozwoju kraju.</w:t>
      </w:r>
      <w:r>
        <w:rPr>
          <w:rFonts w:eastAsia="Times New Roman" w:cs="Arial"/>
          <w:b/>
          <w:u w:val="single"/>
          <w:lang w:eastAsia="pl-PL"/>
        </w:rPr>
        <w:t xml:space="preserve"> </w:t>
      </w:r>
      <w:r w:rsidRPr="00DF0226">
        <w:rPr>
          <w:rFonts w:cs="Calibri"/>
        </w:rPr>
        <w:t xml:space="preserve">Tworzenie zintegrowanych systemów geoinformacyjnych jest jednym z zasadniczych elementów rozwoju nowoczesnej gospodarki Polski. Są one niezbędne do prawidłowego funkcjonowania i współpracy administracji rządowej i samorządowej, przedsiębiorców oraz obywateli. Sektor geoinformacji w Polsce jest </w:t>
      </w:r>
      <w:r>
        <w:rPr>
          <w:rFonts w:cs="Calibri"/>
        </w:rPr>
        <w:t xml:space="preserve">też </w:t>
      </w:r>
      <w:r w:rsidRPr="00DF0226">
        <w:rPr>
          <w:rFonts w:cs="Calibri"/>
        </w:rPr>
        <w:t xml:space="preserve">jednym z filarów gospodarki cyfrowej. Zasoby i sektor geoinformacyjny </w:t>
      </w:r>
      <w:r>
        <w:rPr>
          <w:rFonts w:cs="Calibri"/>
        </w:rPr>
        <w:t xml:space="preserve">(w tym zasoby geodezyjne i kartograficzne) </w:t>
      </w:r>
      <w:r w:rsidRPr="00DF0226">
        <w:rPr>
          <w:rFonts w:cs="Calibri"/>
        </w:rPr>
        <w:t xml:space="preserve"> mają fundamentalne znaczenie dla wielu obszar</w:t>
      </w:r>
      <w:r>
        <w:rPr>
          <w:rFonts w:cs="Calibri"/>
        </w:rPr>
        <w:t>ów rozwoju kraju, w tym mię</w:t>
      </w:r>
      <w:r w:rsidRPr="00DF0226">
        <w:rPr>
          <w:rFonts w:cs="Calibri"/>
        </w:rPr>
        <w:t>dzy innymi: planowania i realizacji procesów inwestycyjnych; rozwoju regionalnego i lokalnego; bezpieczeństwa publicznego i zarządzania kryzysowego; procesów decyzyjnych r</w:t>
      </w:r>
      <w:r>
        <w:rPr>
          <w:rFonts w:cs="Calibri"/>
        </w:rPr>
        <w:t>ealizowanych przez administrację publiczną oraz sektor prywatny</w:t>
      </w:r>
      <w:r w:rsidRPr="00DF0226">
        <w:rPr>
          <w:rFonts w:cs="Calibri"/>
        </w:rPr>
        <w:t>; infrastruktury krytycznej oraz zarządzania procesami logistycznymi; monitorowania i ochrony środowiska czy rozwoju społeczeństwa informacyjnego. Dalszy rozwój gospodarki cyfrowej w obszarze geoinformacji oraz samego sektora geoinformacyjnego wymaga podjęcia działań, których celem powinno być:</w:t>
      </w:r>
    </w:p>
    <w:p w14:paraId="33F69E0F" w14:textId="77777777" w:rsidR="00776D77" w:rsidRPr="00DF0226" w:rsidRDefault="00776D77" w:rsidP="00723B3F">
      <w:pPr>
        <w:pStyle w:val="Akapitzlist"/>
        <w:numPr>
          <w:ilvl w:val="0"/>
          <w:numId w:val="46"/>
        </w:numPr>
        <w:spacing w:line="276" w:lineRule="auto"/>
        <w:ind w:left="284"/>
        <w:jc w:val="both"/>
        <w:rPr>
          <w:rFonts w:ascii="Calibri" w:hAnsi="Calibri" w:cs="Calibri"/>
          <w:sz w:val="22"/>
          <w:szCs w:val="22"/>
        </w:rPr>
      </w:pPr>
      <w:r>
        <w:rPr>
          <w:rFonts w:ascii="Calibri" w:hAnsi="Calibri" w:cs="Calibri"/>
          <w:sz w:val="22"/>
          <w:szCs w:val="22"/>
        </w:rPr>
        <w:t>rozwój</w:t>
      </w:r>
      <w:r w:rsidRPr="00DF0226">
        <w:rPr>
          <w:rFonts w:ascii="Calibri" w:hAnsi="Calibri" w:cs="Calibri"/>
          <w:sz w:val="22"/>
          <w:szCs w:val="22"/>
        </w:rPr>
        <w:t xml:space="preserve"> interoperacyjnych zbiorów i usług danych przestrzennych,</w:t>
      </w:r>
    </w:p>
    <w:p w14:paraId="171A8549" w14:textId="77777777" w:rsidR="00776D77" w:rsidRPr="00DF0226" w:rsidRDefault="00776D77" w:rsidP="00723B3F">
      <w:pPr>
        <w:pStyle w:val="Akapitzlist"/>
        <w:numPr>
          <w:ilvl w:val="0"/>
          <w:numId w:val="46"/>
        </w:numPr>
        <w:spacing w:line="276" w:lineRule="auto"/>
        <w:ind w:left="284"/>
        <w:jc w:val="both"/>
        <w:rPr>
          <w:rFonts w:ascii="Calibri" w:hAnsi="Calibri" w:cs="Calibri"/>
          <w:sz w:val="22"/>
          <w:szCs w:val="22"/>
        </w:rPr>
      </w:pPr>
      <w:r w:rsidRPr="00DF0226">
        <w:rPr>
          <w:rFonts w:ascii="Calibri" w:hAnsi="Calibri" w:cs="Calibri"/>
          <w:sz w:val="22"/>
          <w:szCs w:val="22"/>
        </w:rPr>
        <w:t>zapewnienie dostępu do zintegrowanych i referencyjnych baz danych geoinformacyjnych</w:t>
      </w:r>
      <w:r>
        <w:rPr>
          <w:rFonts w:ascii="Calibri" w:hAnsi="Calibri" w:cs="Calibri"/>
          <w:sz w:val="22"/>
          <w:szCs w:val="22"/>
        </w:rPr>
        <w:t xml:space="preserve"> w szczególności za pomocą ogólnodostępnych usług sieciowych</w:t>
      </w:r>
      <w:r w:rsidRPr="00DF0226">
        <w:rPr>
          <w:rFonts w:ascii="Calibri" w:hAnsi="Calibri" w:cs="Calibri"/>
          <w:sz w:val="22"/>
          <w:szCs w:val="22"/>
        </w:rPr>
        <w:t>,</w:t>
      </w:r>
    </w:p>
    <w:p w14:paraId="6F780135" w14:textId="77777777" w:rsidR="00776D77" w:rsidRPr="00DF0226" w:rsidRDefault="00776D77" w:rsidP="00723B3F">
      <w:pPr>
        <w:pStyle w:val="Akapitzlist"/>
        <w:numPr>
          <w:ilvl w:val="0"/>
          <w:numId w:val="46"/>
        </w:numPr>
        <w:spacing w:before="120" w:line="276" w:lineRule="auto"/>
        <w:ind w:left="284"/>
        <w:jc w:val="both"/>
        <w:rPr>
          <w:rFonts w:ascii="Calibri" w:hAnsi="Calibri" w:cs="Calibri"/>
          <w:sz w:val="22"/>
          <w:szCs w:val="22"/>
        </w:rPr>
      </w:pPr>
      <w:r>
        <w:rPr>
          <w:rFonts w:ascii="Calibri" w:hAnsi="Calibri" w:cs="Calibri"/>
          <w:sz w:val="22"/>
          <w:szCs w:val="22"/>
        </w:rPr>
        <w:t xml:space="preserve">podnoszenie kompetencji w zakresie wykorzystania infrastruktury informacji przestrzennej, </w:t>
      </w:r>
      <w:r w:rsidRPr="00F7361D">
        <w:rPr>
          <w:rFonts w:ascii="Calibri" w:hAnsi="Calibri" w:cs="Calibri"/>
          <w:sz w:val="22"/>
          <w:szCs w:val="22"/>
        </w:rPr>
        <w:t xml:space="preserve">popularyzacja i rozwój </w:t>
      </w:r>
      <w:r>
        <w:rPr>
          <w:rFonts w:ascii="Calibri" w:hAnsi="Calibri" w:cs="Calibri"/>
          <w:sz w:val="22"/>
          <w:szCs w:val="22"/>
        </w:rPr>
        <w:t xml:space="preserve">sektora geoinformacyjnego, </w:t>
      </w:r>
      <w:r w:rsidRPr="00A555FE">
        <w:rPr>
          <w:rFonts w:ascii="Calibri" w:hAnsi="Calibri" w:cs="Calibri"/>
          <w:sz w:val="22"/>
          <w:szCs w:val="22"/>
        </w:rPr>
        <w:t xml:space="preserve">w tym w szczególności </w:t>
      </w:r>
      <w:r>
        <w:rPr>
          <w:rFonts w:ascii="Calibri" w:hAnsi="Calibri" w:cs="Calibri"/>
          <w:sz w:val="22"/>
          <w:szCs w:val="22"/>
        </w:rPr>
        <w:t xml:space="preserve">serwisu  geoportal.gov.pl. </w:t>
      </w:r>
    </w:p>
    <w:p w14:paraId="69D3373A" w14:textId="77777777" w:rsidR="00776D77" w:rsidRPr="00DF0226" w:rsidRDefault="00776D77" w:rsidP="00776D77">
      <w:pPr>
        <w:spacing w:before="120" w:line="276" w:lineRule="auto"/>
        <w:jc w:val="both"/>
        <w:rPr>
          <w:rFonts w:cs="Calibri"/>
        </w:rPr>
      </w:pPr>
      <w:r w:rsidRPr="00DF0226">
        <w:rPr>
          <w:rFonts w:cs="Calibri"/>
          <w:b/>
        </w:rPr>
        <w:t>Informacja przestrzenna jest wykorzystywana we wszystkich sektorach gospodarki</w:t>
      </w:r>
      <w:r w:rsidRPr="00DF0226">
        <w:rPr>
          <w:rFonts w:cs="Calibri"/>
        </w:rPr>
        <w:t xml:space="preserve">. W celu budowy społeczeństwa informacyjnego, rozwoju przedsiębiorczości, podniesienia innowacyjności i konkurencyjności przedsiębiorstw na rynku, a także zapewnienia rozwoju gospodarczego kraju, niezbędny jest powszechny i łatwy dostęp do informacji przestrzennej w formie elektronicznej. Aby spełnić te oczekiwania należy budować </w:t>
      </w:r>
      <w:r>
        <w:rPr>
          <w:rFonts w:cs="Calibri"/>
        </w:rPr>
        <w:t xml:space="preserve">i rozwijać </w:t>
      </w:r>
      <w:r w:rsidRPr="00DF0226">
        <w:rPr>
          <w:rFonts w:cs="Calibri"/>
        </w:rPr>
        <w:t>interoperacyjne zbiory i usługi danych przestrzennych na poziomie centralnym</w:t>
      </w:r>
      <w:r>
        <w:rPr>
          <w:rFonts w:cs="Calibri"/>
        </w:rPr>
        <w:t>, regionalnym</w:t>
      </w:r>
      <w:r w:rsidRPr="00DF0226">
        <w:rPr>
          <w:rFonts w:cs="Calibri"/>
        </w:rPr>
        <w:t xml:space="preserve"> i lokalnym. </w:t>
      </w:r>
    </w:p>
    <w:p w14:paraId="66FA9857" w14:textId="77777777" w:rsidR="00776D77" w:rsidRPr="00DF0226" w:rsidRDefault="00776D77" w:rsidP="00776D77">
      <w:pPr>
        <w:spacing w:before="120" w:line="276" w:lineRule="auto"/>
        <w:jc w:val="both"/>
        <w:rPr>
          <w:rFonts w:cs="Calibri"/>
        </w:rPr>
      </w:pPr>
      <w:r w:rsidRPr="00DF0226">
        <w:rPr>
          <w:rFonts w:cs="Calibri"/>
        </w:rPr>
        <w:t>Interoperacyjność systemów tworzonych przez organy administracji publicznej, w tym świadczenie usług, ma kluczowe znaczenie przy budowie e-administracji. Integracja usług mo</w:t>
      </w:r>
      <w:r>
        <w:rPr>
          <w:rFonts w:cs="Calibri"/>
        </w:rPr>
        <w:t>że</w:t>
      </w:r>
      <w:r w:rsidRPr="00DF0226">
        <w:rPr>
          <w:rFonts w:cs="Calibri"/>
        </w:rPr>
        <w:t xml:space="preserve"> wspierać działania jednostek administracji publicznej, w których potrzebne jest wykorzystanie aktualnych zasobów geoinformacyjnych</w:t>
      </w:r>
      <w:r>
        <w:rPr>
          <w:rFonts w:cs="Calibri"/>
        </w:rPr>
        <w:t xml:space="preserve"> w </w:t>
      </w:r>
      <w:r w:rsidRPr="00A05876">
        <w:rPr>
          <w:rFonts w:cs="Calibri"/>
        </w:rPr>
        <w:t>szczególności wchodzących w skład państwowego zasobu geodezyjnego i kartograficznego, poprzez udostępnienie rejestrów publicznych oraz zasobów geoinformacyjnych pochodzących z różnych źródeł. Elektroniczny dostęp do zasobów i usług geoinformacyjnych na platformach elektronicznych jest elementem wsparcia działań administracji publicznej. Usługi oferowane przez jednostki administracyjne przyczyniają się do budowy sprawnej i nowoczesnej administracji, społeczeństwa informacyjnego oraz gospodarki opartej na wiedzy. Dane przestrzenne i związane z nimi usługi są wykorzystywane  p</w:t>
      </w:r>
      <w:r w:rsidRPr="00DF0226">
        <w:rPr>
          <w:rFonts w:cs="Calibri"/>
        </w:rPr>
        <w:t xml:space="preserve">rzy realizacji zadań związanych z zarządzaniem kryzysowym, poprzez wsparcie służb w symulacji zagrożeń i lokalizacji miejsca zdarzenia, przeprowadzeniu badań i analiz ryzyka, oraz pozyskaniu danych pomocnych przy ochronie ludności. </w:t>
      </w:r>
      <w:r>
        <w:rPr>
          <w:rFonts w:cs="Calibri"/>
        </w:rPr>
        <w:t xml:space="preserve">Jednostki administracyjne </w:t>
      </w:r>
      <w:r w:rsidRPr="00DF0226">
        <w:rPr>
          <w:rFonts w:cs="Calibri"/>
        </w:rPr>
        <w:t xml:space="preserve">powinny świadczyć przystępne, stabilne, dobrej jakości i interoperacyjne usługi, które przyczyniają się </w:t>
      </w:r>
      <w:r>
        <w:rPr>
          <w:rFonts w:cs="Calibri"/>
        </w:rPr>
        <w:t xml:space="preserve">do podniesienia świadomości związanej z danymi przestrzennymi </w:t>
      </w:r>
      <w:r w:rsidRPr="00DF0226">
        <w:rPr>
          <w:rFonts w:cs="Calibri"/>
        </w:rPr>
        <w:t xml:space="preserve"> oraz wzrostu efektywności działań (zaoszczędzony czas załatwiania spraw urzędowych, mniej dokumentów w formie papierowej, krótszy czas obsługi w urzędzie, niższe koszty funkcjonowania państwa i samorządu) w tych dziedzinach życia, gdzie konieczna jest bezpośrednia relacja: państwo ‒ obywatel. </w:t>
      </w:r>
    </w:p>
    <w:p w14:paraId="36B32D81" w14:textId="77777777" w:rsidR="00776D77" w:rsidRDefault="00776D77" w:rsidP="00776D77">
      <w:pPr>
        <w:spacing w:after="120" w:line="276" w:lineRule="auto"/>
        <w:jc w:val="both"/>
        <w:rPr>
          <w:rFonts w:cs="Calibri"/>
          <w:bCs/>
          <w:lang w:eastAsia="pl-PL"/>
        </w:rPr>
      </w:pPr>
      <w:r w:rsidRPr="00DF0226">
        <w:rPr>
          <w:rFonts w:cs="Calibri"/>
          <w:bCs/>
          <w:lang w:eastAsia="pl-PL"/>
        </w:rPr>
        <w:t>Wzmocnienie sektora geoinformacyjnego</w:t>
      </w:r>
      <w:r w:rsidRPr="00B0027B">
        <w:rPr>
          <w:rFonts w:cs="Calibri"/>
          <w:bCs/>
          <w:color w:val="FF0000"/>
          <w:lang w:eastAsia="pl-PL"/>
        </w:rPr>
        <w:t xml:space="preserve">, </w:t>
      </w:r>
      <w:r w:rsidRPr="00A05876">
        <w:rPr>
          <w:rFonts w:cs="Calibri"/>
          <w:bCs/>
          <w:lang w:eastAsia="pl-PL"/>
        </w:rPr>
        <w:t xml:space="preserve">w tym geodezji i kartografii, </w:t>
      </w:r>
      <w:r w:rsidRPr="00DF0226">
        <w:rPr>
          <w:rFonts w:cs="Calibri"/>
          <w:bCs/>
          <w:lang w:eastAsia="pl-PL"/>
        </w:rPr>
        <w:t>dzięki zaplanowanym działaniom, pozwoli na rozwój nowoczesnego i perspektywicznego obszaru cyfrowej gospodarki Polski.</w:t>
      </w:r>
    </w:p>
    <w:p w14:paraId="12E576EC" w14:textId="77777777" w:rsidR="00776D77" w:rsidRPr="00F21196" w:rsidRDefault="00776D77" w:rsidP="00776D77">
      <w:pPr>
        <w:spacing w:after="60" w:line="252" w:lineRule="auto"/>
        <w:ind w:left="160" w:hanging="160"/>
        <w:rPr>
          <w:rFonts w:cs="Arial"/>
          <w:b/>
          <w:i/>
        </w:rPr>
      </w:pPr>
    </w:p>
    <w:p w14:paraId="080FF309" w14:textId="77777777" w:rsidR="00776D77" w:rsidRPr="009A0FAA" w:rsidRDefault="00776D77" w:rsidP="00776D77">
      <w:pPr>
        <w:pBdr>
          <w:bottom w:val="single" w:sz="24" w:space="1" w:color="A8D08D" w:themeColor="accent6" w:themeTint="99"/>
        </w:pBdr>
        <w:shd w:val="clear" w:color="auto" w:fill="D9D9D9" w:themeFill="background1" w:themeFillShade="D9"/>
        <w:tabs>
          <w:tab w:val="left" w:pos="6061"/>
        </w:tabs>
        <w:spacing w:after="60"/>
        <w:rPr>
          <w:rFonts w:cs="Arial"/>
          <w:b/>
          <w:spacing w:val="4"/>
        </w:rPr>
      </w:pPr>
      <w:r w:rsidRPr="009A0FAA">
        <w:rPr>
          <w:rFonts w:cs="Calibri,Bold"/>
          <w:b/>
          <w:bCs/>
        </w:rPr>
        <w:t>Kierunek interwencji 4</w:t>
      </w:r>
      <w:r w:rsidRPr="009A0FAA">
        <w:rPr>
          <w:rFonts w:cs="Arial"/>
          <w:b/>
          <w:spacing w:val="4"/>
        </w:rPr>
        <w:t xml:space="preserve">. </w:t>
      </w:r>
    </w:p>
    <w:p w14:paraId="66EB55B1" w14:textId="1816FCEE" w:rsidR="00776D77" w:rsidRPr="009A0FAA" w:rsidRDefault="00776D77" w:rsidP="00776D77">
      <w:pPr>
        <w:pBdr>
          <w:bottom w:val="single" w:sz="24" w:space="1" w:color="A8D08D" w:themeColor="accent6" w:themeTint="99"/>
        </w:pBdr>
        <w:shd w:val="clear" w:color="auto" w:fill="D9D9D9" w:themeFill="background1" w:themeFillShade="D9"/>
        <w:tabs>
          <w:tab w:val="left" w:pos="6061"/>
        </w:tabs>
        <w:spacing w:after="60"/>
        <w:jc w:val="center"/>
        <w:rPr>
          <w:rFonts w:cs="Arial"/>
          <w:b/>
          <w:i/>
          <w:spacing w:val="4"/>
        </w:rPr>
      </w:pPr>
      <w:r w:rsidRPr="009A0FAA">
        <w:rPr>
          <w:rFonts w:cs="Arial"/>
          <w:b/>
          <w:i/>
          <w:spacing w:val="4"/>
        </w:rPr>
        <w:t>Trwałe włączenie dostępności do wszystkich polityk publicznych</w:t>
      </w:r>
      <w:r w:rsidR="009A0FAA">
        <w:rPr>
          <w:rFonts w:cs="Arial"/>
          <w:b/>
          <w:i/>
          <w:spacing w:val="4"/>
        </w:rPr>
        <w:t>.</w:t>
      </w:r>
    </w:p>
    <w:p w14:paraId="6D4354B2" w14:textId="77777777" w:rsidR="00776D77" w:rsidRDefault="00776D77" w:rsidP="00776D77">
      <w:pPr>
        <w:spacing w:before="120" w:after="0"/>
        <w:rPr>
          <w:rFonts w:cs="Arial"/>
          <w:b/>
          <w:u w:val="single"/>
        </w:rPr>
      </w:pPr>
      <w:r>
        <w:rPr>
          <w:rFonts w:cs="Arial"/>
          <w:b/>
          <w:u w:val="single"/>
        </w:rPr>
        <w:t>4.1. Wprowadzenie przepisów prawa</w:t>
      </w:r>
      <w:r w:rsidRPr="00E50C7D">
        <w:rPr>
          <w:rFonts w:cs="Arial"/>
          <w:b/>
          <w:u w:val="single"/>
        </w:rPr>
        <w:t xml:space="preserve"> </w:t>
      </w:r>
      <w:r>
        <w:rPr>
          <w:rFonts w:cs="Arial"/>
          <w:b/>
          <w:u w:val="single"/>
        </w:rPr>
        <w:t>gwarantujących dostępność przestrzeni publicznej.</w:t>
      </w:r>
    </w:p>
    <w:p w14:paraId="4B1511FF" w14:textId="77777777" w:rsidR="00776D77" w:rsidRDefault="00776D77" w:rsidP="00776D77">
      <w:pPr>
        <w:spacing w:after="0"/>
        <w:jc w:val="both"/>
        <w:rPr>
          <w:rFonts w:cs="Arial"/>
        </w:rPr>
      </w:pPr>
      <w:r>
        <w:rPr>
          <w:rFonts w:cs="Arial"/>
        </w:rPr>
        <w:t>Wprowadzenie</w:t>
      </w:r>
      <w:r w:rsidRPr="002159B1">
        <w:rPr>
          <w:rFonts w:cs="Arial"/>
        </w:rPr>
        <w:t xml:space="preserve"> </w:t>
      </w:r>
      <w:r>
        <w:rPr>
          <w:rFonts w:cs="Arial"/>
        </w:rPr>
        <w:t xml:space="preserve">do porządku prawnego przepisów dotyczących </w:t>
      </w:r>
      <w:r w:rsidRPr="00D435B9">
        <w:rPr>
          <w:rFonts w:cs="Arial"/>
        </w:rPr>
        <w:t xml:space="preserve">dostępności cyfrowej stron internetowych </w:t>
      </w:r>
      <w:r>
        <w:rPr>
          <w:rFonts w:cs="Arial"/>
        </w:rPr>
        <w:br/>
      </w:r>
      <w:r w:rsidRPr="00D435B9">
        <w:rPr>
          <w:rFonts w:cs="Arial"/>
        </w:rPr>
        <w:t>i aplikacji mobilnych podmiotów publicznych</w:t>
      </w:r>
      <w:r>
        <w:rPr>
          <w:rStyle w:val="Odwoanieprzypisudolnego"/>
          <w:rFonts w:cs="Arial"/>
          <w:i/>
        </w:rPr>
        <w:footnoteReference w:id="61"/>
      </w:r>
      <w:r>
        <w:rPr>
          <w:rFonts w:cs="Arial"/>
        </w:rPr>
        <w:t xml:space="preserve"> </w:t>
      </w:r>
      <w:r w:rsidRPr="00D435B9">
        <w:rPr>
          <w:rFonts w:cs="Arial"/>
        </w:rPr>
        <w:t>oraz</w:t>
      </w:r>
      <w:r w:rsidRPr="00FF32BD">
        <w:rPr>
          <w:rFonts w:cs="Arial"/>
          <w:i/>
        </w:rPr>
        <w:t xml:space="preserve"> </w:t>
      </w:r>
      <w:r w:rsidRPr="00D435B9">
        <w:rPr>
          <w:rFonts w:cs="Arial"/>
        </w:rPr>
        <w:t xml:space="preserve">przepisów </w:t>
      </w:r>
      <w:r>
        <w:rPr>
          <w:sz w:val="21"/>
          <w:szCs w:val="21"/>
        </w:rPr>
        <w:t xml:space="preserve">określających </w:t>
      </w:r>
      <w:r w:rsidRPr="00BB4554">
        <w:t>środki służące zapewnianiu dostępności osobom ze szczególnymi potrzebami z uwzględnieniem obowiązków podmiotów publicznych</w:t>
      </w:r>
      <w:r w:rsidRPr="00BB4554">
        <w:rPr>
          <w:rStyle w:val="Odwoanieprzypisudolnego"/>
          <w:rFonts w:cs="Arial"/>
        </w:rPr>
        <w:footnoteReference w:id="62"/>
      </w:r>
      <w:r w:rsidRPr="00BB4554">
        <w:rPr>
          <w:rFonts w:cs="Arial"/>
        </w:rPr>
        <w:t xml:space="preserve"> </w:t>
      </w:r>
      <w:r w:rsidRPr="00BB4554">
        <w:rPr>
          <w:rFonts w:cs="Arial"/>
        </w:rPr>
        <w:br/>
        <w:t>nie zagwarantowało pełnego włączenia tematyki dostępności do prawa.</w:t>
      </w:r>
      <w:r>
        <w:rPr>
          <w:rFonts w:cs="Arial"/>
        </w:rPr>
        <w:t xml:space="preserve">  Nadal konieczna jest bowiem aktualizacja szeregu przepisów sektorowych w zakresie standardów dostępności</w:t>
      </w:r>
      <w:r w:rsidRPr="002159B1">
        <w:rPr>
          <w:rFonts w:cs="Arial"/>
        </w:rPr>
        <w:t>, które zagwarantują dostępność w prowadzeniu inwest</w:t>
      </w:r>
      <w:r>
        <w:rPr>
          <w:rFonts w:cs="Arial"/>
        </w:rPr>
        <w:t>ycji budowlanych, zakupu</w:t>
      </w:r>
      <w:r w:rsidRPr="002159B1">
        <w:rPr>
          <w:rFonts w:cs="Arial"/>
        </w:rPr>
        <w:t xml:space="preserve"> odpowiednio przygotowanyc</w:t>
      </w:r>
      <w:r>
        <w:rPr>
          <w:rFonts w:cs="Arial"/>
        </w:rPr>
        <w:t>h środków transportu, oznaczania</w:t>
      </w:r>
      <w:r w:rsidRPr="002159B1">
        <w:rPr>
          <w:rFonts w:cs="Arial"/>
        </w:rPr>
        <w:t xml:space="preserve"> tras i przestrzeni publicznej, usług czy realizacji zadań z wykorzystaniem środków publicznych.</w:t>
      </w:r>
      <w:r>
        <w:rPr>
          <w:rFonts w:cs="Arial"/>
        </w:rPr>
        <w:t xml:space="preserve"> </w:t>
      </w:r>
    </w:p>
    <w:p w14:paraId="02603BAE" w14:textId="77777777" w:rsidR="00776D77" w:rsidRDefault="00776D77" w:rsidP="00776D77">
      <w:pPr>
        <w:jc w:val="both"/>
        <w:rPr>
          <w:rFonts w:cs="Arial"/>
        </w:rPr>
      </w:pPr>
      <w:r>
        <w:rPr>
          <w:rFonts w:cs="Arial"/>
        </w:rPr>
        <w:t xml:space="preserve">Dzięki przyjętej horyzontalnej ustawie o zapewnianiu dostępności nastąpi </w:t>
      </w:r>
      <w:r w:rsidRPr="00420A0C">
        <w:rPr>
          <w:rFonts w:cs="Arial"/>
        </w:rPr>
        <w:t>uwzględnienie aspektu dostępności w aktach prawnych regulujących szczegółowo określone obszary funkcjonowania życia obywateli (na przykład nowelizacja ustawy o radiofonii i telewizji; ustawa o transporcie zbiorowym; rozporządzenia w sprawie określenia rodzajów zadań powiatu, które mogą być finansowane ze środków Państwowego Funduszu Rehabilitacji Osób Niepełnosprawnych; rozporządzenia w sprawie warunków technicznych dróg publicznych; stworzenie przepisów dotyczących ewakuacji osób z niepełnosprawnościami w sytuacji zagrożenia życia; ujednolicenie przepisów prawa o parkowaniu przez osoby niepełnosprawne; wprowadzenie obowiązku przeprowadzania audytów dostępności inwestycji).</w:t>
      </w:r>
    </w:p>
    <w:p w14:paraId="40DE4619" w14:textId="77777777" w:rsidR="00776D77" w:rsidRDefault="00776D77" w:rsidP="00776D77">
      <w:pPr>
        <w:jc w:val="both"/>
        <w:rPr>
          <w:rFonts w:cs="Arial"/>
        </w:rPr>
      </w:pPr>
      <w:r w:rsidRPr="002159B1">
        <w:rPr>
          <w:rFonts w:cs="Arial"/>
        </w:rPr>
        <w:t>Wymaga to skoordynowanego podejścia w różnych sektorach. Skoordynowana polityka zapewniania dostępności musi mieć charakter partycypacyjny – włączający wszystkie podmioty i środowiska w przygotowanie, dostarczanie i weryfikację dostępnych produktów i usług powszechnych. W rezultacie tych działań, kwestia dostępności stanie się integralnym, trwałym i istotnym elementem różnych polityk publicznych. Oznacza to, że każde nowo podejmowane działanie, każdy nowo zakupiony środek transportu czy każdy nowo oddawany do użytku budynek publiczny i wielorodzinny budynek mieszkalny będzie spełniał wymagania dostępności, służąc wszystkim użytkownikom.</w:t>
      </w:r>
    </w:p>
    <w:p w14:paraId="2A33F64A" w14:textId="77777777" w:rsidR="00776D77" w:rsidRDefault="00776D77" w:rsidP="00776D77">
      <w:pPr>
        <w:jc w:val="both"/>
        <w:rPr>
          <w:rFonts w:cs="Arial"/>
        </w:rPr>
      </w:pPr>
      <w:r>
        <w:rPr>
          <w:rFonts w:cs="Arial"/>
        </w:rPr>
        <w:t xml:space="preserve">Konieczne jest również </w:t>
      </w:r>
      <w:r w:rsidRPr="00420A0C">
        <w:rPr>
          <w:rFonts w:cs="Arial"/>
        </w:rPr>
        <w:t>włączenie tematyki dostępności w procesy decyzyjne i legislacyjne, podejmowane w administracji publicznej. Chodzi o wypracowanie mechanizmów oceny skutków regulacji (OSR) w odniesieniu do wpływu projektów aktów prawnych w wybranych obszarach na poprawę stopnia dostępności w Polsce.</w:t>
      </w:r>
    </w:p>
    <w:p w14:paraId="267C511F" w14:textId="77777777" w:rsidR="00776D77" w:rsidRPr="002631C0" w:rsidRDefault="00776D77" w:rsidP="009A0FAA">
      <w:pPr>
        <w:spacing w:after="0"/>
        <w:jc w:val="both"/>
        <w:rPr>
          <w:rFonts w:cs="Arial"/>
          <w:b/>
          <w:u w:val="single"/>
        </w:rPr>
      </w:pPr>
      <w:r>
        <w:rPr>
          <w:rFonts w:cs="Arial"/>
          <w:b/>
          <w:u w:val="single"/>
        </w:rPr>
        <w:t>4</w:t>
      </w:r>
      <w:r w:rsidRPr="002631C0">
        <w:rPr>
          <w:rFonts w:cs="Arial"/>
          <w:b/>
          <w:u w:val="single"/>
        </w:rPr>
        <w:t>.2. Innowacje technologiczne i wsparcie kształcenia w zakresie dostępności</w:t>
      </w:r>
    </w:p>
    <w:p w14:paraId="0A40DCBE" w14:textId="77777777" w:rsidR="00776D77" w:rsidRPr="002631C0" w:rsidRDefault="00776D77" w:rsidP="009A0FAA">
      <w:pPr>
        <w:spacing w:after="0"/>
        <w:jc w:val="both"/>
        <w:rPr>
          <w:rFonts w:cs="Arial"/>
        </w:rPr>
      </w:pPr>
      <w:r w:rsidRPr="002631C0">
        <w:rPr>
          <w:rFonts w:cs="Arial"/>
        </w:rPr>
        <w:t>Włączenie idei dostępności do polityk publicznych powinno obejmować także rozwój innowacyjności w tworzeniu produktów i usług opartych na inteligentnej jakości</w:t>
      </w:r>
      <w:r>
        <w:rPr>
          <w:rFonts w:cs="Arial"/>
        </w:rPr>
        <w:t>,</w:t>
      </w:r>
      <w:r w:rsidRPr="002631C0">
        <w:rPr>
          <w:rFonts w:cs="Arial"/>
        </w:rPr>
        <w:t xml:space="preserve"> dzięki zastosowaniu koncepcji „projektowania uniwersalnego”, które należy rozumieć jako projektowanie produktów, środowiska, programów i usług w taki sposób, by były użyteczne dla wszystkich w możliwie największym stopniu, bez potrzeby adaptacji lub specjalistycznego projektowania.</w:t>
      </w:r>
    </w:p>
    <w:p w14:paraId="75612DA0" w14:textId="77777777" w:rsidR="00776D77" w:rsidRPr="002631C0" w:rsidRDefault="00776D77" w:rsidP="00776D77">
      <w:pPr>
        <w:jc w:val="both"/>
        <w:rPr>
          <w:rFonts w:cs="Arial"/>
        </w:rPr>
      </w:pPr>
      <w:r w:rsidRPr="002631C0">
        <w:rPr>
          <w:rFonts w:cs="Arial"/>
        </w:rPr>
        <w:t>Do 2030 roku planowane jest utworzenie centrów testujących, w których firmy będą mogły przetestować pomysły na produkty oraz centrów prezentacji produktów dla potencjalnych nabywców, inwestorów i klientów. Specjalizacja w obszarze technologii asystujących czy kompensacyjnych może być zarówno przewagą konkurencyjną przedsiębiorstwa, jak również pozwoli na priorytetowe traktowanie firmy przez sektor publiczny w dostępie do kapitału i usług wspierających, ze względu na wagę tego zagadnienia dla polityki państwa.</w:t>
      </w:r>
    </w:p>
    <w:p w14:paraId="2C2053B4" w14:textId="77777777" w:rsidR="00776D77" w:rsidRPr="002631C0" w:rsidRDefault="00776D77" w:rsidP="00776D77">
      <w:pPr>
        <w:jc w:val="both"/>
        <w:rPr>
          <w:rFonts w:cstheme="minorHAnsi"/>
          <w:szCs w:val="24"/>
        </w:rPr>
      </w:pPr>
      <w:r w:rsidRPr="002631C0">
        <w:rPr>
          <w:rFonts w:cstheme="minorHAnsi"/>
          <w:szCs w:val="24"/>
        </w:rPr>
        <w:t>Ponadto planowane jest stworzenie krajowego programu</w:t>
      </w:r>
      <w:r>
        <w:rPr>
          <w:rFonts w:cstheme="minorHAnsi"/>
          <w:szCs w:val="24"/>
        </w:rPr>
        <w:t>,</w:t>
      </w:r>
      <w:r w:rsidRPr="002631C0">
        <w:rPr>
          <w:rFonts w:cstheme="minorHAnsi"/>
          <w:szCs w:val="24"/>
        </w:rPr>
        <w:t xml:space="preserve"> z którego można będzie finansować badania nad zastosowaniem, uniwersalnego projektowania w różnych obszarach (</w:t>
      </w:r>
      <w:r>
        <w:rPr>
          <w:rFonts w:cstheme="minorHAnsi"/>
          <w:szCs w:val="24"/>
        </w:rPr>
        <w:t>np.</w:t>
      </w:r>
      <w:r w:rsidRPr="002631C0">
        <w:rPr>
          <w:rFonts w:cstheme="minorHAnsi"/>
          <w:szCs w:val="24"/>
        </w:rPr>
        <w:t xml:space="preserve"> budownictwo, cyfryzacja, edukacja, mobilność, transport).</w:t>
      </w:r>
    </w:p>
    <w:p w14:paraId="6F37EE8A" w14:textId="77777777" w:rsidR="00776D77" w:rsidRPr="002631C0" w:rsidRDefault="00776D77" w:rsidP="00776D77">
      <w:pPr>
        <w:jc w:val="both"/>
        <w:rPr>
          <w:rFonts w:cstheme="minorHAnsi"/>
          <w:szCs w:val="24"/>
        </w:rPr>
      </w:pPr>
      <w:r w:rsidRPr="002631C0">
        <w:rPr>
          <w:rFonts w:cstheme="minorHAnsi"/>
          <w:szCs w:val="24"/>
        </w:rPr>
        <w:t>Program będzie też wspierał prowadzenie badań nad zaprojektowaniem konkretnych produktów do szczególnych potrzeb ich użytkowników (między innymi: elementy mieszkań, sprzęt AGD, meble, odzież, naczynia).</w:t>
      </w:r>
    </w:p>
    <w:p w14:paraId="4FC70F48" w14:textId="77777777" w:rsidR="00776D77" w:rsidRPr="00F21196" w:rsidRDefault="00776D77" w:rsidP="00776D77">
      <w:pPr>
        <w:spacing w:after="120" w:line="276" w:lineRule="auto"/>
        <w:jc w:val="both"/>
        <w:rPr>
          <w:rFonts w:eastAsia="Times New Roman" w:cs="Arial"/>
          <w:lang w:eastAsia="pl-PL"/>
        </w:rPr>
      </w:pPr>
    </w:p>
    <w:p w14:paraId="22A20D68" w14:textId="77777777" w:rsidR="00776D77" w:rsidRPr="009A0FAA" w:rsidRDefault="00776D77" w:rsidP="00776D77">
      <w:pPr>
        <w:pBdr>
          <w:bottom w:val="single" w:sz="24" w:space="1" w:color="A8D08D" w:themeColor="accent6" w:themeTint="99"/>
        </w:pBdr>
        <w:shd w:val="clear" w:color="auto" w:fill="D9D9D9" w:themeFill="background1" w:themeFillShade="D9"/>
        <w:spacing w:after="0"/>
        <w:rPr>
          <w:rFonts w:eastAsia="Times New Roman" w:cs="Calibri"/>
          <w:b/>
          <w:color w:val="0D0D0D" w:themeColor="text1" w:themeTint="F2"/>
          <w:lang w:eastAsia="pl-PL"/>
        </w:rPr>
      </w:pPr>
      <w:r w:rsidRPr="009A0FAA">
        <w:rPr>
          <w:rFonts w:cs="Calibri,Bold"/>
          <w:b/>
          <w:bCs/>
        </w:rPr>
        <w:t>Kierunek interwencji 5</w:t>
      </w:r>
      <w:r w:rsidRPr="009A0FAA">
        <w:rPr>
          <w:rFonts w:eastAsia="Times New Roman" w:cs="Calibri"/>
          <w:b/>
          <w:color w:val="0D0D0D" w:themeColor="text1" w:themeTint="F2"/>
          <w:lang w:eastAsia="pl-PL"/>
        </w:rPr>
        <w:t xml:space="preserve">. </w:t>
      </w:r>
    </w:p>
    <w:p w14:paraId="3DE916DD" w14:textId="77777777" w:rsidR="00776D77" w:rsidRPr="00F21196" w:rsidRDefault="00776D77" w:rsidP="00776D77">
      <w:pPr>
        <w:pBdr>
          <w:bottom w:val="single" w:sz="24" w:space="1" w:color="A8D08D" w:themeColor="accent6" w:themeTint="99"/>
        </w:pBdr>
        <w:shd w:val="clear" w:color="auto" w:fill="D9D9D9" w:themeFill="background1" w:themeFillShade="D9"/>
        <w:spacing w:after="0"/>
        <w:jc w:val="center"/>
        <w:rPr>
          <w:rFonts w:eastAsia="Times New Roman" w:cs="Calibri"/>
          <w:b/>
          <w:i/>
          <w:color w:val="2F5496" w:themeColor="accent5" w:themeShade="BF"/>
          <w:sz w:val="24"/>
          <w:lang w:eastAsia="pl-PL"/>
        </w:rPr>
      </w:pPr>
      <w:r w:rsidRPr="009A0FAA">
        <w:rPr>
          <w:rFonts w:eastAsia="Times New Roman" w:cs="Calibri"/>
          <w:b/>
          <w:i/>
          <w:color w:val="0D0D0D" w:themeColor="text1" w:themeTint="F2"/>
          <w:lang w:eastAsia="pl-PL"/>
        </w:rPr>
        <w:t>Poprawa funkcjonowania wymiaru sprawiedliwości, w tym prokuratury</w:t>
      </w:r>
      <w:r w:rsidRPr="00F21196">
        <w:rPr>
          <w:rFonts w:eastAsia="Times New Roman" w:cs="Calibri"/>
          <w:b/>
          <w:i/>
          <w:color w:val="0D0D0D" w:themeColor="text1" w:themeTint="F2"/>
          <w:sz w:val="24"/>
          <w:lang w:eastAsia="pl-PL"/>
        </w:rPr>
        <w:t>.</w:t>
      </w:r>
    </w:p>
    <w:p w14:paraId="6753CCA0" w14:textId="77777777" w:rsidR="00776D77" w:rsidRDefault="00776D77" w:rsidP="00776D77">
      <w:pPr>
        <w:spacing w:before="120" w:after="0"/>
        <w:jc w:val="both"/>
        <w:rPr>
          <w:rFonts w:eastAsia="Times New Roman" w:cs="Calibri"/>
          <w:strike/>
          <w:szCs w:val="18"/>
          <w:lang w:eastAsia="pl-PL"/>
        </w:rPr>
      </w:pPr>
      <w:r>
        <w:rPr>
          <w:rFonts w:eastAsia="Times New Roman" w:cs="Calibri"/>
          <w:b/>
          <w:u w:val="single"/>
          <w:lang w:eastAsia="pl-PL"/>
        </w:rPr>
        <w:t>5</w:t>
      </w:r>
      <w:r w:rsidRPr="005F72BA">
        <w:rPr>
          <w:rFonts w:eastAsia="Times New Roman" w:cs="Calibri"/>
          <w:b/>
          <w:u w:val="single"/>
          <w:lang w:eastAsia="pl-PL"/>
        </w:rPr>
        <w:t xml:space="preserve">.1. Wzrost sprawności prowadzenia postępowań sądowych. </w:t>
      </w:r>
      <w:r w:rsidRPr="005F72BA">
        <w:rPr>
          <w:rFonts w:eastAsia="Times New Roman" w:cs="Calibri"/>
          <w:lang w:eastAsia="pl-PL"/>
        </w:rPr>
        <w:t>Do wzrostu sprawności postępowań sądowych przyczynią się zmiany w procedurze karnej i cywilnej, jak również ograniczenie kognicji sądów na rzecz postępowań administracyjnych (zmiany dotyczące wykroczeń</w:t>
      </w:r>
      <w:r>
        <w:rPr>
          <w:rFonts w:eastAsia="Times New Roman" w:cs="Calibri"/>
          <w:lang w:eastAsia="pl-PL"/>
        </w:rPr>
        <w:t xml:space="preserve">). </w:t>
      </w:r>
      <w:r w:rsidRPr="005F72BA">
        <w:rPr>
          <w:rFonts w:eastAsia="Times New Roman" w:cs="Calibri"/>
          <w:lang w:eastAsia="pl-PL"/>
        </w:rPr>
        <w:t>Należy dążyć do zmniejszenia liczby spraw wpływających do sądów</w:t>
      </w:r>
      <w:r>
        <w:rPr>
          <w:rFonts w:eastAsia="Times New Roman" w:cs="Calibri"/>
          <w:lang w:eastAsia="pl-PL"/>
        </w:rPr>
        <w:t>,</w:t>
      </w:r>
      <w:r w:rsidRPr="005F72BA">
        <w:rPr>
          <w:rFonts w:eastAsia="Times New Roman" w:cs="Calibri"/>
          <w:lang w:eastAsia="pl-PL"/>
        </w:rPr>
        <w:t xml:space="preserve"> także w szeroko rozumianym pionie cywilnym, który boryka się z rosnącym od lat wpływem i obciążeniami sędziów</w:t>
      </w:r>
      <w:r>
        <w:rPr>
          <w:rFonts w:eastAsia="Times New Roman" w:cs="Calibri"/>
          <w:lang w:eastAsia="pl-PL"/>
        </w:rPr>
        <w:t xml:space="preserve"> oraz referendarzy sądowych. </w:t>
      </w:r>
      <w:r w:rsidRPr="005F72BA">
        <w:rPr>
          <w:rFonts w:eastAsia="Times New Roman" w:cs="Calibri"/>
          <w:lang w:eastAsia="pl-PL"/>
        </w:rPr>
        <w:t xml:space="preserve"> </w:t>
      </w:r>
      <w:r>
        <w:rPr>
          <w:rFonts w:eastAsia="Times New Roman" w:cs="Calibri"/>
          <w:lang w:eastAsia="pl-PL"/>
        </w:rPr>
        <w:t>Na zmniejszenie ilości spraw wpływających do sądów będzie miało wpływ m.in. przeredagowanie przepisów dotyczących odszkodowania i zadośćuczynienia w taki sposób, aby zasadą było wypłacanie tych świadczeń przez podmiot ponoszący odpowiedzialność odszkodowawczą poza postępowaniem sądowym , a sąd rozstrzygał  jedynie sprawy bardziej skomplikowane, z zawiłym stanem faktycznym, w których strony nie będą mogły dojść do porozumienia. Ponadto trwają prace legislacyjne mające na celu objęcie ochroną konsumencką poszkodowanych w relacjach z zakładem ubezpieczeń, z którym zawarł sprawca zdarzenia powodującego szkodę. W wyniku tego część sporów aktualnie trafiających do sądu będą rozwiązywane poza sądownie.</w:t>
      </w:r>
    </w:p>
    <w:p w14:paraId="14DDFEA7" w14:textId="77777777" w:rsidR="00776D77" w:rsidRPr="005856EB" w:rsidRDefault="00776D77" w:rsidP="00776D77">
      <w:pPr>
        <w:spacing w:after="0" w:line="240" w:lineRule="auto"/>
        <w:rPr>
          <w:rFonts w:eastAsia="Times New Roman" w:cs="Calibri"/>
          <w:b/>
          <w:bCs/>
          <w:szCs w:val="18"/>
          <w:lang w:eastAsia="pl-PL"/>
        </w:rPr>
      </w:pPr>
    </w:p>
    <w:p w14:paraId="237F0F0E" w14:textId="77777777" w:rsidR="00776D77" w:rsidRPr="00F21196" w:rsidRDefault="00776D77" w:rsidP="00776D77">
      <w:pPr>
        <w:spacing w:after="0"/>
        <w:jc w:val="both"/>
        <w:rPr>
          <w:rFonts w:eastAsia="Times New Roman" w:cs="Calibri"/>
          <w:lang w:eastAsia="pl-PL"/>
        </w:rPr>
      </w:pPr>
      <w:r>
        <w:rPr>
          <w:rFonts w:eastAsia="Times New Roman" w:cs="Calibri"/>
          <w:b/>
          <w:u w:val="single"/>
          <w:lang w:eastAsia="pl-PL"/>
        </w:rPr>
        <w:t>5</w:t>
      </w:r>
      <w:r w:rsidRPr="00F21196">
        <w:rPr>
          <w:rFonts w:eastAsia="Times New Roman" w:cs="Calibri"/>
          <w:b/>
          <w:u w:val="single"/>
          <w:lang w:eastAsia="pl-PL"/>
        </w:rPr>
        <w:t>.</w:t>
      </w:r>
      <w:r>
        <w:rPr>
          <w:rFonts w:eastAsia="Times New Roman" w:cs="Calibri"/>
          <w:b/>
          <w:u w:val="single"/>
          <w:lang w:eastAsia="pl-PL"/>
        </w:rPr>
        <w:t>2</w:t>
      </w:r>
      <w:r w:rsidRPr="00F21196">
        <w:rPr>
          <w:rFonts w:eastAsia="Times New Roman" w:cs="Calibri"/>
          <w:b/>
          <w:u w:val="single"/>
          <w:lang w:eastAsia="pl-PL"/>
        </w:rPr>
        <w:t>. Usprawnienie działania sądów i prokuratury – efektywne zarządzanie w instytucjach wymiaru sprawiedliwości.</w:t>
      </w:r>
      <w:r>
        <w:rPr>
          <w:rFonts w:eastAsia="Times New Roman" w:cs="Calibri"/>
          <w:b/>
          <w:u w:val="single"/>
          <w:lang w:eastAsia="pl-PL"/>
        </w:rPr>
        <w:t xml:space="preserve"> </w:t>
      </w:r>
      <w:r w:rsidRPr="00F21196">
        <w:rPr>
          <w:rFonts w:eastAsia="Times New Roman" w:cs="Calibri"/>
          <w:lang w:eastAsia="pl-PL"/>
        </w:rPr>
        <w:t xml:space="preserve">Usprawnienie procesów zarządzania i komunikacji w obszarze </w:t>
      </w:r>
      <w:r>
        <w:rPr>
          <w:rFonts w:eastAsia="Times New Roman" w:cs="Calibri"/>
          <w:lang w:eastAsia="pl-PL"/>
        </w:rPr>
        <w:t>ob</w:t>
      </w:r>
      <w:r w:rsidRPr="00F21196">
        <w:rPr>
          <w:rFonts w:eastAsia="Times New Roman" w:cs="Calibri"/>
          <w:lang w:eastAsia="pl-PL"/>
        </w:rPr>
        <w:t xml:space="preserve">sługi interesanta w sądownictwie powszechnym poprzez wdrożenie standardów obsługi interesanta, katalogu usług z kartami usługi i powiązanymi nimi procedurami świadczenia usług oraz wspierania tworzenia Biur Obsługi Interesanta w sądach. Wprowadzenie jednolitych wzorców postępowania w sądach powszechnych przyczyni się do podniesienia jakości świadczonych usług i wpłynie na budowanie zaufania do wymiaru sprawiedliwości. </w:t>
      </w:r>
    </w:p>
    <w:p w14:paraId="5C716360" w14:textId="77777777" w:rsidR="00776D77" w:rsidRPr="00F21196" w:rsidRDefault="00776D77" w:rsidP="00776D77">
      <w:pPr>
        <w:spacing w:before="120" w:after="0" w:line="276" w:lineRule="auto"/>
        <w:jc w:val="both"/>
        <w:rPr>
          <w:rFonts w:eastAsia="Times New Roman" w:cs="Calibri"/>
          <w:lang w:eastAsia="pl-PL"/>
        </w:rPr>
      </w:pPr>
      <w:r w:rsidRPr="00F21196">
        <w:rPr>
          <w:rFonts w:eastAsia="Times New Roman" w:cs="Calibri"/>
          <w:lang w:eastAsia="pl-PL"/>
        </w:rPr>
        <w:t xml:space="preserve">Podniesienie kompetencji kadry zarządzającej w sądownictwie powszechnym oraz upowszechnienie wiedzy </w:t>
      </w:r>
      <w:r w:rsidRPr="00F21196">
        <w:rPr>
          <w:rFonts w:eastAsia="Times New Roman" w:cs="Calibri"/>
          <w:lang w:eastAsia="pl-PL"/>
        </w:rPr>
        <w:br/>
        <w:t xml:space="preserve">i dobrych praktyk w zakresie nowoczesnych metod zarządzania przyczyni się do poprawy efektywności zarządzania podległymi jednostkami. Efektem szkoleń w kierunku sprawnego zarządzania sprawami dotyczącymi cyberprzestępczości i przestępstw podatkowych powinno być sprawne prowadzenie postępowań w tych zakresach. </w:t>
      </w:r>
    </w:p>
    <w:p w14:paraId="04FE4B2C" w14:textId="77777777" w:rsidR="00776D77" w:rsidRPr="003C2F07" w:rsidRDefault="00776D77" w:rsidP="00776D77">
      <w:pPr>
        <w:spacing w:after="0" w:line="276" w:lineRule="auto"/>
        <w:jc w:val="both"/>
        <w:rPr>
          <w:rFonts w:eastAsia="Times New Roman" w:cs="Calibri"/>
          <w:lang w:eastAsia="pl-PL"/>
        </w:rPr>
      </w:pPr>
      <w:r w:rsidRPr="003C2F07">
        <w:rPr>
          <w:rFonts w:eastAsia="Times New Roman" w:cs="Calibri"/>
          <w:lang w:eastAsia="pl-PL"/>
        </w:rPr>
        <w:t xml:space="preserve">W powszechnych jednostkach organizacyjnych prokuratury w związku z centralizacją wykorzystywanych systemów informatycznych nastąpi zmiana organizacji zarządzania świadczeniem usług informatycznych przez pracowników jednostek organizacyjnych poprzez stworzenie nowego modelu organizacyjnego, specjalizację pracowników oraz przygotowanie jednolitych metod (procedur) realizacji procesów związanych ze świadczeniem usług informatycznych we wszystkich jednostkach prokuratury. </w:t>
      </w:r>
    </w:p>
    <w:p w14:paraId="2A967CAD" w14:textId="77777777" w:rsidR="00776D77" w:rsidRPr="00F21196" w:rsidRDefault="00776D77" w:rsidP="00776D77">
      <w:pPr>
        <w:autoSpaceDE w:val="0"/>
        <w:autoSpaceDN w:val="0"/>
        <w:adjustRightInd w:val="0"/>
        <w:spacing w:before="120" w:after="0" w:line="276" w:lineRule="auto"/>
        <w:jc w:val="both"/>
      </w:pPr>
      <w:r>
        <w:rPr>
          <w:color w:val="000000"/>
          <w:lang w:eastAsia="pl-PL"/>
        </w:rPr>
        <w:t>Ponadto w</w:t>
      </w:r>
      <w:r w:rsidRPr="00F21196">
        <w:t>szelkie zmiany legislacyjne, skutkujące wzrostem wpływu spraw do sądów</w:t>
      </w:r>
      <w:r>
        <w:t xml:space="preserve"> powszechnych</w:t>
      </w:r>
      <w:r w:rsidRPr="00F21196">
        <w:t xml:space="preserve">, muszą być </w:t>
      </w:r>
      <w:r w:rsidRPr="00561E9F">
        <w:t>powiązane z adekwatnym wzrostem etatyzacji</w:t>
      </w:r>
      <w:r w:rsidRPr="00F21196">
        <w:t xml:space="preserve"> w tych grupach zawodowych, które będą zaangażowane w rozpoznawanie nowych kategorii spraw (sędziowie, asesorzy, referendarze</w:t>
      </w:r>
      <w:r>
        <w:t xml:space="preserve"> sądowi</w:t>
      </w:r>
      <w:r w:rsidRPr="00F21196">
        <w:t>,</w:t>
      </w:r>
      <w:r>
        <w:t xml:space="preserve"> kuratorzy sądowi,</w:t>
      </w:r>
      <w:r w:rsidRPr="00F21196">
        <w:t xml:space="preserve"> asystenci, urzędnicy)</w:t>
      </w:r>
      <w:r>
        <w:t>.</w:t>
      </w:r>
    </w:p>
    <w:p w14:paraId="6A39BA55" w14:textId="77777777" w:rsidR="00776D77" w:rsidRPr="00F21196" w:rsidRDefault="00776D77" w:rsidP="00776D77">
      <w:pPr>
        <w:spacing w:after="0" w:line="276" w:lineRule="auto"/>
        <w:jc w:val="both"/>
        <w:rPr>
          <w:rFonts w:eastAsia="Times New Roman" w:cs="Calibri"/>
          <w:lang w:eastAsia="pl-PL"/>
        </w:rPr>
      </w:pPr>
    </w:p>
    <w:p w14:paraId="43AE45A4" w14:textId="77777777" w:rsidR="00776D77" w:rsidRPr="00651566" w:rsidRDefault="00776D77" w:rsidP="00776D77">
      <w:pPr>
        <w:spacing w:after="0" w:line="276" w:lineRule="auto"/>
        <w:jc w:val="both"/>
        <w:rPr>
          <w:rFonts w:eastAsia="Times New Roman" w:cs="Calibri"/>
          <w:szCs w:val="18"/>
          <w:lang w:eastAsia="pl-PL"/>
        </w:rPr>
      </w:pPr>
      <w:r>
        <w:rPr>
          <w:rFonts w:eastAsia="Times New Roman" w:cs="Calibri"/>
          <w:b/>
          <w:szCs w:val="18"/>
          <w:u w:val="single"/>
          <w:lang w:eastAsia="pl-PL"/>
        </w:rPr>
        <w:t>5</w:t>
      </w:r>
      <w:r w:rsidRPr="00651566">
        <w:rPr>
          <w:rFonts w:eastAsia="Times New Roman" w:cs="Calibri"/>
          <w:b/>
          <w:szCs w:val="18"/>
          <w:u w:val="single"/>
          <w:lang w:eastAsia="pl-PL"/>
        </w:rPr>
        <w:t xml:space="preserve">.3. </w:t>
      </w:r>
      <w:r w:rsidRPr="00651566">
        <w:rPr>
          <w:rFonts w:eastAsia="Times New Roman" w:cs="Calibri"/>
          <w:b/>
          <w:bCs/>
          <w:szCs w:val="18"/>
          <w:u w:val="single"/>
          <w:lang w:eastAsia="pl-PL"/>
        </w:rPr>
        <w:t>Zwiększenie dostępności do wymiaru sprawiedliwości dla osób z niepełnosprawnościami oraz osób starszych.</w:t>
      </w:r>
      <w:r w:rsidRPr="008A63DC">
        <w:rPr>
          <w:rFonts w:eastAsia="Times New Roman" w:cs="Calibri"/>
          <w:szCs w:val="18"/>
          <w:lang w:eastAsia="pl-PL"/>
        </w:rPr>
        <w:t xml:space="preserve"> </w:t>
      </w:r>
      <w:r w:rsidRPr="00651566">
        <w:rPr>
          <w:rFonts w:eastAsia="Times New Roman" w:cs="Calibri"/>
          <w:szCs w:val="18"/>
          <w:lang w:eastAsia="pl-PL"/>
        </w:rPr>
        <w:t>Równy i powszechny dostęp do wymiaru sprawiedliwości jest podstawą sprawnego funkcjonowania wymiaru sprawiedliwości i powinien być zapewniony wszystkim obywatelom. W tym celu konieczne są działania interwencyjne w zakresie likwidacji szeroko pojętych barier zarówno architektonicznych jak i komunikacyjnych. Podstawowym problemem, który nasuwa się przy omawianiu dostępności dla osób z niepełnosprawnościami</w:t>
      </w:r>
      <w:r>
        <w:rPr>
          <w:rFonts w:eastAsia="Times New Roman" w:cs="Calibri"/>
          <w:szCs w:val="18"/>
          <w:lang w:eastAsia="pl-PL"/>
        </w:rPr>
        <w:t xml:space="preserve">, są </w:t>
      </w:r>
      <w:r w:rsidRPr="00651566">
        <w:rPr>
          <w:rFonts w:eastAsia="Times New Roman" w:cs="Calibri"/>
          <w:szCs w:val="18"/>
          <w:lang w:eastAsia="pl-PL"/>
        </w:rPr>
        <w:t>to bariery fizyczne uniemożliwiające kontakt z wymiarem sprawiedliwości dla osób mających trudności z poruszaniem się. Równie dużym problemem są jednak bariery komunikacyjne, polegające na ograniczonym kontakcie z osobami posługującymi się pozawerbalnym systemem komunikacji. W celu podniesienia kompetencji pracowników wymiaru sprawiedliwości w zakresie komunikacji niewerbalnej konieczne będzie przeprowadzenie serii szkoleń dla wyznaczonych osób z zakresu komunikacji niewerbalnej (języka migowego, alfabetu Braille’a, komunikacji wspomagającej oraz alternatywnej) oraz rozpoznawania potrzeb osób z niepełnosprawnościami. Niezbędne są też działania propagujące dostępność do wymiaru sprawiedliwości mające na celu profilaktykę wykluczenia z tej sfery aktywności ludzi z niepełnosprawnościami.</w:t>
      </w:r>
    </w:p>
    <w:p w14:paraId="0FB27A99" w14:textId="77777777" w:rsidR="00776D77" w:rsidRPr="00651566" w:rsidRDefault="00776D77" w:rsidP="00776D77">
      <w:pPr>
        <w:spacing w:after="0" w:line="276" w:lineRule="auto"/>
        <w:rPr>
          <w:rFonts w:eastAsia="Times New Roman" w:cs="Calibri"/>
          <w:b/>
          <w:i/>
          <w:u w:val="single"/>
          <w:lang w:eastAsia="pl-PL"/>
        </w:rPr>
      </w:pPr>
    </w:p>
    <w:p w14:paraId="4D160723" w14:textId="77777777" w:rsidR="00776D77" w:rsidRPr="00F1063E" w:rsidRDefault="00776D77" w:rsidP="00776D77">
      <w:pPr>
        <w:spacing w:after="0" w:line="276" w:lineRule="auto"/>
        <w:jc w:val="both"/>
        <w:rPr>
          <w:rFonts w:eastAsia="Times New Roman" w:cs="Calibri"/>
          <w:lang w:eastAsia="pl-PL"/>
        </w:rPr>
      </w:pPr>
      <w:r>
        <w:rPr>
          <w:rFonts w:eastAsia="Times New Roman" w:cs="Calibri"/>
          <w:b/>
          <w:u w:val="single"/>
          <w:lang w:eastAsia="pl-PL"/>
        </w:rPr>
        <w:t>5</w:t>
      </w:r>
      <w:r w:rsidRPr="00F21196">
        <w:rPr>
          <w:rFonts w:eastAsia="Times New Roman" w:cs="Calibri"/>
          <w:b/>
          <w:u w:val="single"/>
          <w:lang w:eastAsia="pl-PL"/>
        </w:rPr>
        <w:t>.</w:t>
      </w:r>
      <w:r>
        <w:rPr>
          <w:rFonts w:eastAsia="Times New Roman" w:cs="Calibri"/>
          <w:b/>
          <w:u w:val="single"/>
          <w:lang w:eastAsia="pl-PL"/>
        </w:rPr>
        <w:t>4</w:t>
      </w:r>
      <w:r w:rsidRPr="00F21196">
        <w:rPr>
          <w:rFonts w:eastAsia="Times New Roman" w:cs="Calibri"/>
          <w:b/>
          <w:u w:val="single"/>
          <w:lang w:eastAsia="pl-PL"/>
        </w:rPr>
        <w:t>. Upowszechnianie alternatywnych metod rozwiązywania sporów.</w:t>
      </w:r>
      <w:r w:rsidRPr="00651566">
        <w:rPr>
          <w:b/>
        </w:rPr>
        <w:t xml:space="preserve"> </w:t>
      </w:r>
      <w:r w:rsidRPr="00F21196">
        <w:rPr>
          <w:rFonts w:eastAsia="Times New Roman" w:cs="Calibri"/>
          <w:lang w:eastAsia="pl-PL"/>
        </w:rPr>
        <w:t>Promocja mediacji w zakresie profesjonalizacji usług mediacyjnych</w:t>
      </w:r>
      <w:r w:rsidRPr="00DB369E">
        <w:rPr>
          <w:rFonts w:eastAsia="Times New Roman" w:cs="Calibri"/>
          <w:lang w:eastAsia="pl-PL"/>
        </w:rPr>
        <w:t xml:space="preserve"> poprzez podniesienie kompetencji mediatorów - przeprowadzenie cyklu szkoleń mediacyjnych w ramac</w:t>
      </w:r>
      <w:r w:rsidRPr="00F1063E">
        <w:rPr>
          <w:rFonts w:eastAsia="Times New Roman" w:cs="Calibri"/>
          <w:lang w:eastAsia="pl-PL"/>
        </w:rPr>
        <w:t>h Zintegrowanego Systemu Kwalifikacji oraz utworzenie Krajowego Rejestru Mediatorów (KRM).</w:t>
      </w:r>
      <w:r>
        <w:rPr>
          <w:rFonts w:eastAsia="Times New Roman" w:cs="Calibri"/>
          <w:lang w:eastAsia="pl-PL"/>
        </w:rPr>
        <w:t xml:space="preserve"> </w:t>
      </w:r>
      <w:r w:rsidRPr="00F1063E">
        <w:rPr>
          <w:rFonts w:eastAsia="Times New Roman" w:cs="Calibri"/>
          <w:lang w:eastAsia="pl-PL"/>
        </w:rPr>
        <w:t>Koordynow</w:t>
      </w:r>
      <w:r w:rsidRPr="00DB369E">
        <w:rPr>
          <w:rFonts w:eastAsia="Times New Roman" w:cs="Calibri"/>
          <w:lang w:eastAsia="pl-PL"/>
        </w:rPr>
        <w:t>anie działań przedstawicieli różnych grup zawodowych w celu zwiększenia dostępności mediacji dla społeczeństwa, jak też jej efektywności w procesie rozwiązywania sporów (także na etapie przedsądowym) oraz współpraca z organami innych państw na arenie międzynarodowej w zakresie wymiany doświadczeń, praktyk i wzorców.</w:t>
      </w:r>
    </w:p>
    <w:p w14:paraId="611CB576" w14:textId="77777777" w:rsidR="00776D77" w:rsidRPr="00F21196" w:rsidRDefault="00776D77" w:rsidP="00776D77">
      <w:pPr>
        <w:spacing w:after="0" w:line="276" w:lineRule="auto"/>
        <w:jc w:val="both"/>
        <w:rPr>
          <w:rFonts w:eastAsia="Times New Roman" w:cs="Calibri"/>
          <w:lang w:eastAsia="pl-PL"/>
        </w:rPr>
      </w:pPr>
      <w:r>
        <w:rPr>
          <w:rFonts w:eastAsia="Times New Roman" w:cs="Calibri"/>
          <w:lang w:eastAsia="pl-PL"/>
        </w:rPr>
        <w:t>Podejmowane będą</w:t>
      </w:r>
      <w:r w:rsidRPr="00F21196">
        <w:rPr>
          <w:rFonts w:eastAsia="Times New Roman" w:cs="Calibri"/>
          <w:lang w:eastAsia="pl-PL"/>
        </w:rPr>
        <w:t xml:space="preserve"> działania mające na celu propagowanie i wdrażanie</w:t>
      </w:r>
      <w:r w:rsidRPr="00F1063E">
        <w:rPr>
          <w:rFonts w:eastAsia="Times New Roman" w:cs="Calibri"/>
          <w:lang w:eastAsia="pl-PL"/>
        </w:rPr>
        <w:t xml:space="preserve"> mediacji, w szczególności</w:t>
      </w:r>
      <w:r w:rsidRPr="00F21196">
        <w:rPr>
          <w:rFonts w:eastAsia="Times New Roman" w:cs="Calibri"/>
          <w:lang w:eastAsia="pl-PL"/>
        </w:rPr>
        <w:t xml:space="preserve"> mediacji rówieśniczej w środowisku dzieci i młodzieży szkolnej</w:t>
      </w:r>
      <w:r>
        <w:rPr>
          <w:rFonts w:eastAsia="Times New Roman" w:cs="Calibri"/>
          <w:lang w:eastAsia="pl-PL"/>
        </w:rPr>
        <w:t>. Wdrażane zostaną</w:t>
      </w:r>
      <w:r w:rsidRPr="00F1063E">
        <w:rPr>
          <w:rFonts w:eastAsia="Times New Roman" w:cs="Calibri"/>
          <w:lang w:eastAsia="pl-PL"/>
        </w:rPr>
        <w:t xml:space="preserve"> </w:t>
      </w:r>
      <w:r>
        <w:rPr>
          <w:rFonts w:eastAsia="Times New Roman" w:cs="Calibri"/>
          <w:lang w:eastAsia="pl-PL"/>
        </w:rPr>
        <w:t>programy</w:t>
      </w:r>
      <w:r w:rsidRPr="00F21196">
        <w:rPr>
          <w:rFonts w:eastAsia="Times New Roman" w:cs="Calibri"/>
          <w:lang w:eastAsia="pl-PL"/>
        </w:rPr>
        <w:t xml:space="preserve"> służą</w:t>
      </w:r>
      <w:r>
        <w:rPr>
          <w:rFonts w:eastAsia="Times New Roman" w:cs="Calibri"/>
          <w:lang w:eastAsia="pl-PL"/>
        </w:rPr>
        <w:t>ce</w:t>
      </w:r>
      <w:r w:rsidRPr="00F21196">
        <w:rPr>
          <w:rFonts w:eastAsia="Times New Roman" w:cs="Calibri"/>
          <w:lang w:eastAsia="pl-PL"/>
        </w:rPr>
        <w:t xml:space="preserve"> rozpowszechnianiu, promowaniu i zwiększeniu zasięgu mediacji w sprawach karnych nieletnich, cywilnych, rodzinnych</w:t>
      </w:r>
      <w:r>
        <w:rPr>
          <w:rFonts w:eastAsia="Times New Roman" w:cs="Calibri"/>
          <w:lang w:eastAsia="pl-PL"/>
        </w:rPr>
        <w:t xml:space="preserve"> </w:t>
      </w:r>
      <w:r w:rsidRPr="00F1063E">
        <w:rPr>
          <w:rFonts w:eastAsia="Times New Roman" w:cs="Calibri"/>
          <w:lang w:eastAsia="pl-PL"/>
        </w:rPr>
        <w:t>i</w:t>
      </w:r>
      <w:r w:rsidRPr="00F21196">
        <w:rPr>
          <w:rFonts w:eastAsia="Times New Roman" w:cs="Calibri"/>
          <w:lang w:eastAsia="pl-PL"/>
        </w:rPr>
        <w:t xml:space="preserve"> gospodarczych. </w:t>
      </w:r>
      <w:r>
        <w:rPr>
          <w:rFonts w:eastAsia="Times New Roman" w:cs="Calibri"/>
          <w:lang w:eastAsia="pl-PL"/>
        </w:rPr>
        <w:t>Edukacja</w:t>
      </w:r>
      <w:r w:rsidRPr="00F21196">
        <w:rPr>
          <w:rFonts w:eastAsia="Times New Roman" w:cs="Calibri"/>
          <w:lang w:eastAsia="pl-PL"/>
        </w:rPr>
        <w:t xml:space="preserve"> społeczeństwa w zakresie alternatywnych metod rozwiązywania sporów. W ramach propagowania pozasądowych metod rozwiązywania sporów </w:t>
      </w:r>
      <w:r>
        <w:rPr>
          <w:rFonts w:eastAsia="Times New Roman" w:cs="Calibri"/>
          <w:lang w:eastAsia="pl-PL"/>
        </w:rPr>
        <w:t>utworzono</w:t>
      </w:r>
      <w:r w:rsidRPr="00F21196">
        <w:rPr>
          <w:rFonts w:eastAsia="Times New Roman" w:cs="Calibri"/>
          <w:lang w:eastAsia="pl-PL"/>
        </w:rPr>
        <w:t xml:space="preserve"> </w:t>
      </w:r>
      <w:r>
        <w:rPr>
          <w:rFonts w:eastAsia="Times New Roman" w:cs="Calibri"/>
          <w:lang w:eastAsia="pl-PL"/>
        </w:rPr>
        <w:t xml:space="preserve">ogólnopolską sieć </w:t>
      </w:r>
      <w:r w:rsidRPr="00F21196">
        <w:rPr>
          <w:rFonts w:eastAsia="Times New Roman" w:cs="Calibri"/>
          <w:lang w:eastAsia="pl-PL"/>
        </w:rPr>
        <w:t>Centrów Arbitrażu i Mediacji</w:t>
      </w:r>
      <w:r>
        <w:rPr>
          <w:rFonts w:eastAsia="Times New Roman" w:cs="Calibri"/>
          <w:lang w:eastAsia="pl-PL"/>
        </w:rPr>
        <w:t>.</w:t>
      </w:r>
      <w:r w:rsidRPr="00F21196">
        <w:rPr>
          <w:rFonts w:eastAsia="Times New Roman" w:cs="Calibri"/>
          <w:lang w:eastAsia="pl-PL"/>
        </w:rPr>
        <w:t xml:space="preserve"> Rezultatem działania ma być </w:t>
      </w:r>
      <w:r>
        <w:rPr>
          <w:rFonts w:eastAsia="Times New Roman" w:cs="Calibri"/>
          <w:lang w:eastAsia="pl-PL"/>
        </w:rPr>
        <w:t>rozwijanie</w:t>
      </w:r>
      <w:r w:rsidRPr="00F21196">
        <w:rPr>
          <w:rFonts w:eastAsia="Times New Roman" w:cs="Calibri"/>
          <w:lang w:eastAsia="pl-PL"/>
        </w:rPr>
        <w:t xml:space="preserve"> zintegrowanego systemu zarządzania informacją o mediacji w sprawach gospodarczych.</w:t>
      </w:r>
      <w:r>
        <w:rPr>
          <w:rFonts w:eastAsia="Times New Roman" w:cs="Calibri"/>
          <w:lang w:eastAsia="pl-PL"/>
        </w:rPr>
        <w:t xml:space="preserve"> </w:t>
      </w:r>
    </w:p>
    <w:p w14:paraId="256A515A" w14:textId="77777777" w:rsidR="00776D77" w:rsidRPr="00F21196" w:rsidRDefault="00776D77" w:rsidP="00776D77">
      <w:pPr>
        <w:spacing w:after="0" w:line="276" w:lineRule="auto"/>
        <w:jc w:val="both"/>
        <w:rPr>
          <w:rFonts w:eastAsia="Times New Roman" w:cs="Calibri"/>
          <w:lang w:eastAsia="pl-PL"/>
        </w:rPr>
      </w:pPr>
      <w:r w:rsidRPr="00651566">
        <w:rPr>
          <w:rFonts w:cstheme="minorHAnsi"/>
          <w:color w:val="000000" w:themeColor="text1"/>
          <w:shd w:val="clear" w:color="auto" w:fill="FFFFFF"/>
        </w:rPr>
        <w:t>Włączenie mediacji do katalogu nieodpłatnych usług prawnych oferowanych osobom mniej zamożnym</w:t>
      </w:r>
      <w:r>
        <w:rPr>
          <w:rFonts w:cstheme="minorHAnsi"/>
          <w:color w:val="000000" w:themeColor="text1"/>
          <w:shd w:val="clear" w:color="auto" w:fill="FFFFFF"/>
        </w:rPr>
        <w:t xml:space="preserve">, obligatoryjne świadczenie nieodpłatnej mediacji we wszystkich punktach NPP. </w:t>
      </w:r>
      <w:r w:rsidRPr="00F21196">
        <w:rPr>
          <w:rFonts w:eastAsia="Times New Roman" w:cs="Calibri"/>
          <w:lang w:eastAsia="pl-PL"/>
        </w:rPr>
        <w:t xml:space="preserve">Upowszechnienie </w:t>
      </w:r>
      <w:r w:rsidRPr="00F21196">
        <w:rPr>
          <w:lang w:eastAsia="pl-PL"/>
        </w:rPr>
        <w:t>tego alternatywnego (</w:t>
      </w:r>
      <w:r>
        <w:rPr>
          <w:lang w:eastAsia="pl-PL"/>
        </w:rPr>
        <w:t>w stosunku do</w:t>
      </w:r>
      <w:r w:rsidRPr="00F21196">
        <w:rPr>
          <w:lang w:eastAsia="pl-PL"/>
        </w:rPr>
        <w:t xml:space="preserve"> postępowania sądowego) sposobu rozstrzygania sporów</w:t>
      </w:r>
      <w:r w:rsidRPr="00F21196">
        <w:rPr>
          <w:rFonts w:eastAsia="Times New Roman" w:cs="Calibri"/>
          <w:lang w:eastAsia="pl-PL"/>
        </w:rPr>
        <w:t xml:space="preserve"> powinno spowodować zwiększenie liczby </w:t>
      </w:r>
      <w:r>
        <w:rPr>
          <w:rFonts w:eastAsia="Times New Roman" w:cs="Calibri"/>
          <w:lang w:eastAsia="pl-PL"/>
        </w:rPr>
        <w:t>postępowań mediacyjnych oraz</w:t>
      </w:r>
      <w:r w:rsidRPr="00F21196">
        <w:rPr>
          <w:rFonts w:eastAsia="Times New Roman" w:cs="Calibri"/>
          <w:lang w:eastAsia="pl-PL"/>
        </w:rPr>
        <w:t xml:space="preserve"> spraw kierowanych do mediacji, a tym samym zmniejszenie zaangażowania wymiaru sprawiedliwości w merytoryczne rozstrzyganie poszczególnych spraw.</w:t>
      </w:r>
    </w:p>
    <w:p w14:paraId="7ABFA93B" w14:textId="77777777" w:rsidR="00776D77" w:rsidRPr="00F21196" w:rsidRDefault="00776D77" w:rsidP="00776D77">
      <w:pPr>
        <w:spacing w:after="0" w:line="276" w:lineRule="auto"/>
        <w:rPr>
          <w:rFonts w:eastAsia="Times New Roman" w:cs="Calibri"/>
          <w:b/>
          <w:i/>
          <w:u w:val="single"/>
          <w:lang w:eastAsia="pl-PL"/>
        </w:rPr>
      </w:pPr>
    </w:p>
    <w:p w14:paraId="25CC3DD6" w14:textId="77777777" w:rsidR="00776D77" w:rsidRPr="00F21196" w:rsidRDefault="00776D77" w:rsidP="00776D77">
      <w:pPr>
        <w:spacing w:after="0" w:line="276" w:lineRule="auto"/>
        <w:jc w:val="both"/>
        <w:rPr>
          <w:rFonts w:eastAsia="Times New Roman" w:cs="Calibri"/>
          <w:lang w:eastAsia="pl-PL"/>
        </w:rPr>
      </w:pPr>
      <w:r>
        <w:rPr>
          <w:rFonts w:eastAsia="Times New Roman" w:cs="Calibri"/>
          <w:b/>
          <w:u w:val="single"/>
          <w:lang w:eastAsia="pl-PL"/>
        </w:rPr>
        <w:t>5</w:t>
      </w:r>
      <w:r w:rsidRPr="00F21196">
        <w:rPr>
          <w:rFonts w:eastAsia="Times New Roman" w:cs="Calibri"/>
          <w:b/>
          <w:u w:val="single"/>
          <w:lang w:eastAsia="pl-PL"/>
        </w:rPr>
        <w:t>.</w:t>
      </w:r>
      <w:r>
        <w:rPr>
          <w:rFonts w:eastAsia="Times New Roman" w:cs="Calibri"/>
          <w:b/>
          <w:u w:val="single"/>
          <w:lang w:eastAsia="pl-PL"/>
        </w:rPr>
        <w:t>5</w:t>
      </w:r>
      <w:r w:rsidRPr="00F21196">
        <w:rPr>
          <w:rFonts w:eastAsia="Times New Roman" w:cs="Calibri"/>
          <w:b/>
          <w:u w:val="single"/>
          <w:lang w:eastAsia="pl-PL"/>
        </w:rPr>
        <w:t>. Działania systemowe na rzecz skutecznej prokuratury.</w:t>
      </w:r>
      <w:r w:rsidRPr="008A63DC">
        <w:rPr>
          <w:rFonts w:eastAsia="Times New Roman" w:cs="Calibri"/>
          <w:b/>
          <w:lang w:eastAsia="pl-PL"/>
        </w:rPr>
        <w:t xml:space="preserve"> </w:t>
      </w:r>
      <w:r>
        <w:rPr>
          <w:rFonts w:eastAsia="Times New Roman" w:cs="Calibri"/>
          <w:lang w:eastAsia="pl-PL"/>
        </w:rPr>
        <w:t>Podejmowane działania dotyczące Pro</w:t>
      </w:r>
      <w:r w:rsidRPr="00F21196">
        <w:rPr>
          <w:rFonts w:eastAsia="Times New Roman" w:cs="Calibri"/>
          <w:lang w:eastAsia="pl-PL"/>
        </w:rPr>
        <w:t xml:space="preserve">kuratury </w:t>
      </w:r>
      <w:r>
        <w:rPr>
          <w:rFonts w:eastAsia="Times New Roman" w:cs="Calibri"/>
          <w:lang w:eastAsia="pl-PL"/>
        </w:rPr>
        <w:t xml:space="preserve">będą miały na celu </w:t>
      </w:r>
      <w:r w:rsidRPr="00F21196">
        <w:rPr>
          <w:rFonts w:eastAsia="Times New Roman" w:cs="Calibri"/>
          <w:lang w:eastAsia="pl-PL"/>
        </w:rPr>
        <w:t xml:space="preserve">wzrost sprawności prowadzonych postępowań przygotowawczych, skrócenie obiegu informacji, usprawnienie współdziałania prokuratury z organami współpracującymi na etapie postępowania przygotowawczego, wyeliminowanie barier faktycznych ograniczających możliwość efektywnego zapoznania się z aktami sprawy przez uczestników postępowania karnego, wzrost efektywności procesów udostępniania zdigitalizowanych akt sądom, policji i stronom postępowań, co będzie miało także wymierny efekt ekonomiczny (czynności przekazywania akt pomiędzy organami, konwojowanie osób tymczasowo aresztowanych). Działania te przyczynią się także do poprawy efektywności zarządzania powszechnymi jednostkami organizacyjnymi prokuratury, utworzenia </w:t>
      </w:r>
      <w:r>
        <w:rPr>
          <w:rFonts w:eastAsia="Times New Roman" w:cs="Calibri"/>
          <w:lang w:eastAsia="pl-PL"/>
        </w:rPr>
        <w:t>s</w:t>
      </w:r>
      <w:r w:rsidRPr="00F21196">
        <w:rPr>
          <w:rFonts w:eastAsia="Times New Roman" w:cs="Calibri"/>
          <w:lang w:eastAsia="pl-PL"/>
        </w:rPr>
        <w:t>centralizowanej platformy komunikacji prokuratury ze społeczeństwem oraz mediami i poprawę jakości obsługi interesantów w powszechnych jednostkach organizacyjnych prokuratury.</w:t>
      </w:r>
    </w:p>
    <w:p w14:paraId="276D08E5" w14:textId="77777777" w:rsidR="00776D77" w:rsidRPr="00F21196" w:rsidRDefault="00776D77" w:rsidP="00776D77">
      <w:pPr>
        <w:spacing w:after="0" w:line="276" w:lineRule="auto"/>
        <w:jc w:val="both"/>
        <w:rPr>
          <w:rFonts w:eastAsia="Times New Roman" w:cs="Calibri"/>
          <w:lang w:eastAsia="pl-PL"/>
        </w:rPr>
      </w:pPr>
      <w:r>
        <w:rPr>
          <w:rFonts w:eastAsia="Times New Roman" w:cs="Calibri"/>
          <w:lang w:eastAsia="pl-PL"/>
        </w:rPr>
        <w:t xml:space="preserve">W dalszej kolejności pożądane jest przeprowadzenie kompleksowej analizy procesów zachodzących w ramach postępowania karego pod kątem ich optymalizacji poprzez wykorzystanie nowoczesnych oraz najbardziej adekwatnych rozwiązań informatycznych dla poprawy ich efektywności. W ramach analizy należy rozważyć wykorzystanie rozwiązań zwiększających efektywność procesów analitycznych i decyzyjnych zachodzących w ramach postępowania karnego. Wyniki przeprowadzonych analiz stanowić będą podstawę dla eliminacji z systemu prawnego przepisów uniemożliwiających wykorzystanie nowych technologii, wprowadzenie regulacji umożliwiających ich wykorzystanie w procesie karnym oraz wykorzystane zostaną do określenia kierunku dalszego rozwoju systemów informatycznych wspierających procesy postępowania karnego. </w:t>
      </w:r>
    </w:p>
    <w:p w14:paraId="1CFAFDFA" w14:textId="77777777" w:rsidR="00776D77" w:rsidRDefault="00776D77" w:rsidP="00776D77">
      <w:pPr>
        <w:spacing w:line="276" w:lineRule="auto"/>
        <w:jc w:val="both"/>
      </w:pPr>
      <w:r w:rsidRPr="00F21196">
        <w:t xml:space="preserve">Usprawnienie prokuratury nastąpi poprzez systematyczne wprowadzanie nowoczesnych metod zarządzania prokuraturami, zmianę mechanizmu weryfikacji skuteczności i terminowości postępowań, modyfikację działań motywacyjnych. Wzrośnie poziom informatyzacji prokuratur i tym samym nastąpi wzrost skuteczności prowadzonych postępowań przygotowawczych oraz skrócenie obiegu informacji z wykorzystaniem systemów i narzędzi wsparcia informatycznego i informacyjnego. </w:t>
      </w:r>
      <w:r>
        <w:t>W</w:t>
      </w:r>
      <w:r w:rsidRPr="00F21196">
        <w:t>drożone zostaną zharmonizowane rozwiązania ustawowe i organizacyjne poprawiające funkcjonowanie prokuratury</w:t>
      </w:r>
      <w:r w:rsidRPr="00D32801">
        <w:t xml:space="preserve"> </w:t>
      </w:r>
      <w:r w:rsidRPr="00F21196">
        <w:t xml:space="preserve">w obszarze </w:t>
      </w:r>
      <w:r>
        <w:t xml:space="preserve">postępowania karnego. </w:t>
      </w:r>
    </w:p>
    <w:p w14:paraId="63EE2FEB" w14:textId="77777777" w:rsidR="00776D77" w:rsidRPr="0056004D" w:rsidRDefault="00776D77" w:rsidP="00776D77">
      <w:pPr>
        <w:spacing w:after="0" w:line="276" w:lineRule="auto"/>
        <w:jc w:val="both"/>
        <w:rPr>
          <w:rFonts w:eastAsia="Times New Roman" w:cs="Calibri"/>
          <w:b/>
          <w:u w:val="single"/>
          <w:lang w:eastAsia="pl-PL"/>
        </w:rPr>
      </w:pPr>
      <w:r>
        <w:rPr>
          <w:rFonts w:eastAsia="Times New Roman" w:cs="Calibri"/>
          <w:b/>
          <w:u w:val="single"/>
          <w:lang w:eastAsia="pl-PL"/>
        </w:rPr>
        <w:t>5</w:t>
      </w:r>
      <w:r w:rsidRPr="0056004D">
        <w:rPr>
          <w:rFonts w:eastAsia="Times New Roman" w:cs="Calibri"/>
          <w:b/>
          <w:u w:val="single"/>
          <w:lang w:eastAsia="pl-PL"/>
        </w:rPr>
        <w:t>.</w:t>
      </w:r>
      <w:r>
        <w:rPr>
          <w:rFonts w:eastAsia="Times New Roman" w:cs="Calibri"/>
          <w:b/>
          <w:u w:val="single"/>
          <w:lang w:eastAsia="pl-PL"/>
        </w:rPr>
        <w:t>6</w:t>
      </w:r>
      <w:r w:rsidRPr="0056004D">
        <w:rPr>
          <w:rFonts w:eastAsia="Times New Roman" w:cs="Calibri"/>
          <w:b/>
          <w:u w:val="single"/>
          <w:lang w:eastAsia="pl-PL"/>
        </w:rPr>
        <w:t xml:space="preserve">. </w:t>
      </w:r>
      <w:r>
        <w:rPr>
          <w:rFonts w:eastAsia="Times New Roman" w:cs="Calibri"/>
          <w:b/>
          <w:u w:val="single"/>
          <w:lang w:eastAsia="pl-PL"/>
        </w:rPr>
        <w:t>Informatyzacja sądów i prokuratury.</w:t>
      </w:r>
    </w:p>
    <w:p w14:paraId="43B12AE1" w14:textId="77777777" w:rsidR="00776D77" w:rsidRDefault="00776D77" w:rsidP="00776D77">
      <w:pPr>
        <w:spacing w:after="0" w:line="276" w:lineRule="auto"/>
        <w:jc w:val="both"/>
        <w:rPr>
          <w:rFonts w:eastAsia="Times New Roman" w:cs="Calibri"/>
          <w:lang w:eastAsia="pl-PL"/>
        </w:rPr>
      </w:pPr>
      <w:r w:rsidRPr="00F21196">
        <w:rPr>
          <w:rFonts w:eastAsia="Times New Roman" w:cs="Calibri"/>
          <w:lang w:eastAsia="pl-PL"/>
        </w:rPr>
        <w:t>Zwiększenie efektywności funkcjonowania sądów restrukturyzacyjnych i upadłościowych nastąpi przez wdrożenie projektów informatycznych</w:t>
      </w:r>
      <w:r>
        <w:rPr>
          <w:rFonts w:eastAsia="Times New Roman" w:cs="Calibri"/>
          <w:lang w:eastAsia="pl-PL"/>
        </w:rPr>
        <w:t>,</w:t>
      </w:r>
      <w:r w:rsidRPr="00F21196">
        <w:rPr>
          <w:rFonts w:eastAsia="Times New Roman" w:cs="Calibri"/>
          <w:lang w:eastAsia="pl-PL"/>
        </w:rPr>
        <w:t xml:space="preserve"> mających na celu usprawnienie postępowania restrukturyzacyjnego </w:t>
      </w:r>
      <w:r>
        <w:rPr>
          <w:rFonts w:eastAsia="Times New Roman" w:cs="Calibri"/>
          <w:lang w:eastAsia="pl-PL"/>
        </w:rPr>
        <w:br/>
      </w:r>
      <w:r w:rsidRPr="00F21196">
        <w:rPr>
          <w:rFonts w:eastAsia="Times New Roman" w:cs="Calibri"/>
          <w:lang w:eastAsia="pl-PL"/>
        </w:rPr>
        <w:t>i upadłościowego</w:t>
      </w:r>
      <w:r>
        <w:rPr>
          <w:rFonts w:eastAsia="Times New Roman" w:cs="Calibri"/>
          <w:lang w:eastAsia="pl-PL"/>
        </w:rPr>
        <w:t>.</w:t>
      </w:r>
      <w:r w:rsidRPr="00F21196">
        <w:rPr>
          <w:rFonts w:eastAsia="Times New Roman" w:cs="Calibri"/>
          <w:lang w:eastAsia="pl-PL"/>
        </w:rPr>
        <w:t xml:space="preserve"> </w:t>
      </w:r>
      <w:r>
        <w:rPr>
          <w:rFonts w:eastAsia="Times New Roman" w:cs="Calibri"/>
          <w:lang w:eastAsia="pl-PL"/>
        </w:rPr>
        <w:t xml:space="preserve">Odbędzie się to poprzez </w:t>
      </w:r>
      <w:r w:rsidRPr="00F21196">
        <w:rPr>
          <w:rFonts w:eastAsia="Times New Roman" w:cs="Calibri"/>
          <w:lang w:eastAsia="pl-PL"/>
        </w:rPr>
        <w:t xml:space="preserve">wdrożenie nowoczesnych rozwiązań teleinformatycznych w zakresie komunikacji pomiędzy uczestnikami postępowań oraz wsparcie pracy merytorycznej właściwych jednostek organizacyjnych sądownictwa powszechnego. </w:t>
      </w:r>
    </w:p>
    <w:p w14:paraId="7EC6D1C7" w14:textId="77777777" w:rsidR="00776D77" w:rsidRDefault="00776D77" w:rsidP="00776D77">
      <w:pPr>
        <w:spacing w:after="0" w:line="276" w:lineRule="auto"/>
        <w:jc w:val="both"/>
        <w:rPr>
          <w:rFonts w:eastAsia="Times New Roman" w:cs="Calibri"/>
          <w:strike/>
          <w:lang w:eastAsia="pl-PL"/>
        </w:rPr>
      </w:pPr>
      <w:r w:rsidRPr="00F21196">
        <w:rPr>
          <w:rFonts w:eastAsia="Times New Roman" w:cs="Calibri"/>
          <w:lang w:eastAsia="pl-PL"/>
        </w:rPr>
        <w:t xml:space="preserve">Modernizacja systemu informatycznego Krajowego Rejestru Karnego </w:t>
      </w:r>
      <w:r w:rsidRPr="005D4A78">
        <w:rPr>
          <w:rFonts w:eastAsia="Times New Roman" w:cs="Calibri"/>
          <w:lang w:eastAsia="pl-PL"/>
        </w:rPr>
        <w:t>obejmująca dostarczenie uprawnionym podmiotom usługi sieciowej</w:t>
      </w:r>
      <w:r>
        <w:rPr>
          <w:rFonts w:eastAsia="Times New Roman" w:cs="Calibri"/>
          <w:lang w:eastAsia="pl-PL"/>
        </w:rPr>
        <w:t xml:space="preserve"> (web service) </w:t>
      </w:r>
      <w:r w:rsidRPr="00F21196">
        <w:rPr>
          <w:rFonts w:eastAsia="Times New Roman" w:cs="Calibri"/>
          <w:lang w:eastAsia="pl-PL"/>
        </w:rPr>
        <w:t xml:space="preserve">umożliwi organom wymiaru sprawiedliwości i prokuraturze uzyskiwanie informacji z Krajowego Rejestru Karnego w sposób bezpośredni i w czasie rzeczywistym, co przyczyni się do przyśpieszenia prowadzonych postępowań. </w:t>
      </w:r>
      <w:r>
        <w:rPr>
          <w:rFonts w:eastAsia="Times New Roman" w:cs="Calibri"/>
          <w:lang w:eastAsia="pl-PL"/>
        </w:rPr>
        <w:t>Dodatkowo integracja systemów informatycznych sądów i prokuratury odpowiedzialnych ze przesyłanie określonych danych do Krajowego Rejestru Karnego z systemem teleinformatycznym KRK 2.0. usprawni</w:t>
      </w:r>
      <w:r w:rsidRPr="00597735">
        <w:rPr>
          <w:rFonts w:eastAsia="Times New Roman" w:cs="Calibri"/>
          <w:lang w:eastAsia="pl-PL"/>
        </w:rPr>
        <w:t xml:space="preserve"> gromadzenie oraz aktualizację bazy danych rejestru oraz usprawni procesy realizowane przez te podmioty.</w:t>
      </w:r>
    </w:p>
    <w:p w14:paraId="2C6AA98B" w14:textId="77777777" w:rsidR="00776D77" w:rsidRDefault="00776D77" w:rsidP="00776D77">
      <w:pPr>
        <w:spacing w:after="0" w:line="276" w:lineRule="auto"/>
        <w:jc w:val="both"/>
        <w:rPr>
          <w:rFonts w:eastAsia="Times New Roman" w:cs="Calibri"/>
          <w:lang w:eastAsia="pl-PL"/>
        </w:rPr>
      </w:pPr>
      <w:r>
        <w:rPr>
          <w:rFonts w:eastAsia="Times New Roman" w:cs="Calibri"/>
          <w:lang w:eastAsia="pl-PL"/>
        </w:rPr>
        <w:t xml:space="preserve">Zostanie wprowadzony szereg zmian w systemie informatycznym Krajowego Rejestru Sądowego, który jest gwarantem pewności obrotu gospodarczego a sprawnie funkcjonujący ma istotny wpływ na rozwój przedsiębiorczości w Polsce. Dzięki modernizacji zostanie osiągnięty cel, jakim jest wzmocnienie pewności i bezpieczeństwa obrotu, skrócenie czasu wpisu podmiotu do KRS oraz zapewnienie aktualnych danych udostępnianych z rejestru (Elektroniczny Krajowy Rejestr Sądowy – eKRS) . </w:t>
      </w:r>
    </w:p>
    <w:p w14:paraId="12F702DB" w14:textId="77777777" w:rsidR="00776D77" w:rsidRPr="00651566" w:rsidRDefault="00776D77" w:rsidP="00776D77">
      <w:pPr>
        <w:spacing w:after="0" w:line="276" w:lineRule="auto"/>
        <w:jc w:val="both"/>
        <w:rPr>
          <w:rFonts w:eastAsia="Times New Roman" w:cs="Calibri"/>
          <w:lang w:eastAsia="pl-PL"/>
        </w:rPr>
      </w:pPr>
      <w:r w:rsidRPr="00651566">
        <w:rPr>
          <w:rFonts w:eastAsia="Times New Roman" w:cs="Calibri"/>
          <w:lang w:eastAsia="pl-PL"/>
        </w:rPr>
        <w:t>Sposobem ułatwiającym uczestnikom postępowania karnego realizację prawa do zapoznania się z aktami postępowania jest wykorzystanie nowoczesnych technologii w postaci digitalizacji akt postępowań przygotowawczych oraz przygotowanie technicznych warunków do udostępnienie zdigitalizowanych akt poprzez Internet.</w:t>
      </w:r>
    </w:p>
    <w:p w14:paraId="2935385E" w14:textId="77777777" w:rsidR="00776D77" w:rsidRDefault="00776D77" w:rsidP="00776D77">
      <w:pPr>
        <w:spacing w:after="0" w:line="276" w:lineRule="auto"/>
        <w:jc w:val="both"/>
        <w:rPr>
          <w:rFonts w:eastAsia="Times New Roman" w:cs="Calibri"/>
          <w:lang w:eastAsia="pl-PL"/>
        </w:rPr>
      </w:pPr>
      <w:r>
        <w:rPr>
          <w:rFonts w:eastAsia="Times New Roman" w:cs="Calibri"/>
          <w:lang w:eastAsia="pl-PL"/>
        </w:rPr>
        <w:t>Kolejnymi etapami procesu informatyzacji postępowania karnego powinno być stworzenie rozwiązań o charakterze ponadsektorowym- obejmujących całokształt procesów postępowania karnego realizowanych przez Policję, jednostki organizacyjne prokuratury oraz sądy przy jednoczesnym zwiększaniu wykorzystania technologii umożliwiających łatwiejszą partycypację stron w czynnościach postępowania karnego.</w:t>
      </w:r>
      <w:r w:rsidRPr="00F21196">
        <w:rPr>
          <w:rFonts w:eastAsia="Times New Roman" w:cs="Calibri"/>
          <w:lang w:eastAsia="pl-PL"/>
        </w:rPr>
        <w:t xml:space="preserve"> </w:t>
      </w:r>
    </w:p>
    <w:p w14:paraId="4AFD7A62" w14:textId="77777777" w:rsidR="00A23644" w:rsidRPr="00F21196" w:rsidRDefault="00A23644" w:rsidP="00776D77">
      <w:pPr>
        <w:spacing w:after="0" w:line="276" w:lineRule="auto"/>
        <w:jc w:val="both"/>
        <w:rPr>
          <w:rFonts w:eastAsia="Times New Roman" w:cs="Calibri"/>
          <w:b/>
          <w:color w:val="2F5496" w:themeColor="accent5" w:themeShade="BF"/>
          <w:lang w:eastAsia="pl-PL"/>
        </w:rPr>
      </w:pPr>
    </w:p>
    <w:p w14:paraId="5E68DFAB" w14:textId="77777777" w:rsidR="00776D77" w:rsidRPr="009A0FAA" w:rsidRDefault="00776D77" w:rsidP="00776D77">
      <w:pPr>
        <w:pBdr>
          <w:bottom w:val="single" w:sz="24" w:space="1" w:color="A8D08D" w:themeColor="accent6" w:themeTint="99"/>
        </w:pBdr>
        <w:shd w:val="clear" w:color="auto" w:fill="D9D9D9" w:themeFill="background1" w:themeFillShade="D9"/>
        <w:tabs>
          <w:tab w:val="left" w:pos="6061"/>
        </w:tabs>
        <w:spacing w:after="60"/>
        <w:rPr>
          <w:rFonts w:cs="Arial"/>
          <w:b/>
          <w:spacing w:val="4"/>
        </w:rPr>
      </w:pPr>
      <w:r w:rsidRPr="009A0FAA">
        <w:rPr>
          <w:rFonts w:cs="Calibri,Bold"/>
          <w:b/>
          <w:bCs/>
        </w:rPr>
        <w:t>Kierunek interwencji 6</w:t>
      </w:r>
      <w:r w:rsidRPr="009A0FAA">
        <w:rPr>
          <w:rFonts w:cs="Arial"/>
          <w:b/>
          <w:spacing w:val="4"/>
        </w:rPr>
        <w:t xml:space="preserve">. </w:t>
      </w:r>
    </w:p>
    <w:p w14:paraId="78599CBA" w14:textId="38144194" w:rsidR="00776D77" w:rsidRPr="009A0FAA" w:rsidRDefault="00776D77" w:rsidP="00776D77">
      <w:pPr>
        <w:pBdr>
          <w:bottom w:val="single" w:sz="24" w:space="1" w:color="A8D08D" w:themeColor="accent6" w:themeTint="99"/>
        </w:pBdr>
        <w:shd w:val="clear" w:color="auto" w:fill="D9D9D9" w:themeFill="background1" w:themeFillShade="D9"/>
        <w:tabs>
          <w:tab w:val="left" w:pos="6061"/>
        </w:tabs>
        <w:spacing w:after="60"/>
        <w:jc w:val="center"/>
        <w:rPr>
          <w:rFonts w:cs="Arial"/>
          <w:b/>
          <w:i/>
          <w:spacing w:val="4"/>
        </w:rPr>
      </w:pPr>
      <w:r w:rsidRPr="009A0FAA">
        <w:rPr>
          <w:rFonts w:cs="Arial"/>
          <w:b/>
          <w:i/>
          <w:spacing w:val="4"/>
        </w:rPr>
        <w:t>Zintegrowanie planowania społecznego, gospodarczego i przestrzennego, w tym zagospodarowania przestrzennego obszarów morskich</w:t>
      </w:r>
      <w:r w:rsidR="009A0FAA">
        <w:rPr>
          <w:rFonts w:cs="Arial"/>
          <w:b/>
          <w:i/>
          <w:spacing w:val="4"/>
        </w:rPr>
        <w:t>.</w:t>
      </w:r>
    </w:p>
    <w:p w14:paraId="20DE8435" w14:textId="77777777" w:rsidR="00776D77" w:rsidRPr="00F21196" w:rsidRDefault="00776D77" w:rsidP="00776D77">
      <w:pPr>
        <w:spacing w:before="120" w:after="60" w:line="276" w:lineRule="auto"/>
        <w:jc w:val="both"/>
      </w:pPr>
      <w:r>
        <w:rPr>
          <w:rFonts w:cs="Arial"/>
          <w:b/>
          <w:color w:val="000000"/>
          <w:u w:val="single"/>
        </w:rPr>
        <w:t>6</w:t>
      </w:r>
      <w:r w:rsidRPr="00F21196">
        <w:rPr>
          <w:rFonts w:cs="Arial"/>
          <w:b/>
          <w:color w:val="000000"/>
          <w:u w:val="single"/>
        </w:rPr>
        <w:t>.1</w:t>
      </w:r>
      <w:r>
        <w:rPr>
          <w:rFonts w:cs="Arial"/>
          <w:b/>
          <w:color w:val="000000"/>
          <w:u w:val="single"/>
        </w:rPr>
        <w:t>.</w:t>
      </w:r>
      <w:r w:rsidRPr="00F21196">
        <w:rPr>
          <w:rFonts w:cs="Arial"/>
          <w:b/>
          <w:color w:val="000000"/>
          <w:u w:val="single"/>
        </w:rPr>
        <w:t xml:space="preserve"> Efektywne prowadzenie polityki przestrzennej.</w:t>
      </w:r>
      <w:r>
        <w:rPr>
          <w:rFonts w:cs="Arial"/>
          <w:b/>
          <w:color w:val="000000"/>
          <w:u w:val="single"/>
        </w:rPr>
        <w:t xml:space="preserve"> </w:t>
      </w:r>
      <w:r w:rsidRPr="00F21196">
        <w:t>Powiązanie planowania społeczno-gospodarczego i przestrzennego na wszystkich poziomach zarządzania: krajowym, regionalnym i lokalnym stanowi istotny filar w rozwoju gospodarki. W praktyce planowanie zintegrowane oznacza zarządzanie rozwojem w oparciu o potencjał terytorialny, tj. wyznaczenie optymalnego wykorzystania cech danego terytorium dla osiągnięcia celów rozwojowych przy jednoczesnym zachowaniu tych cech terytorium, które wymagają ochrony i stanowią podstawy dla trwałego i zrównoważonego rozwoju. Podejście zintegrowane wymaga również integracji działań na rzecz realizacji przewidywanych celów poprzez zapewnienie partycypacji społecznej, współpracę na zasadach partnerstwa i skoordynowane wykorzystanie instrumentów będących w dyspozycji różnych interesariuszy, w tym rządu, samorządu, podmiotów gospodarczych, partnerów społecznych. Instrumentem programowania rozwoju będą zintegrowane dokumenty strategiczno-planistyczne sporządzane na każdym poziomie zarządzania, stanowiące podstawę dla dokumentów wykonawczych, w tym programów, planów, aktów planowania przestrzennego.</w:t>
      </w:r>
    </w:p>
    <w:p w14:paraId="1382A9D1" w14:textId="77777777" w:rsidR="00776D77" w:rsidRPr="00F21196" w:rsidRDefault="00776D77" w:rsidP="00776D77">
      <w:pPr>
        <w:spacing w:after="240" w:line="276" w:lineRule="auto"/>
        <w:jc w:val="both"/>
      </w:pPr>
      <w:r w:rsidRPr="00F21196">
        <w:t xml:space="preserve">Drugim aspektem zintegrowanego planowania jest </w:t>
      </w:r>
      <w:r w:rsidRPr="00595767">
        <w:t>konieczność wzmocnienia współpracy i koordynacji</w:t>
      </w:r>
      <w:r w:rsidRPr="00F21196">
        <w:t xml:space="preserve"> zarówno pomiędzy różnymi poziomami władzy, jak i pomiędzy władzami na tym samym poziomie zarządzania oraz zapewnienie możliwości skutecznej realizacji celów publicznych wskazanych w dokumentach wyższego szczebla (rządowych i samorządowych). Przewiduje się określenie dokładnych relacji między dokumentami różnych poziomów i określenie wytycznych/ustaleń, które powinny być uwzględniane na odpowiednich poziomach zarządzania. Zostaną wprowadzone rozwiązania zapewniające </w:t>
      </w:r>
      <w:r w:rsidRPr="00595767">
        <w:t>spójność strategii z krajowymi celami strategicznymi, wskaźnikami i projektami strategicznym</w:t>
      </w:r>
      <w:r>
        <w:t>i</w:t>
      </w:r>
      <w:r w:rsidRPr="00F21196">
        <w:t xml:space="preserve"> sporządzany</w:t>
      </w:r>
      <w:r>
        <w:t>mi</w:t>
      </w:r>
      <w:r w:rsidRPr="00F21196">
        <w:t xml:space="preserve"> na poszczególnych szczeblach zarządzania. System powiązań i relacji dokumentów zintegrowanych będzie określony w oparciu o zasadę samorządności i pomocniczości. Efektywne prowadzenie polityki rozwoju, wymaga także zmian w obrębie przepisów systemu planowania przestrzennego, takich jak: wdrożenie kompleksowych regulacji dotyczących zasad i sposobu finansowania kosztów urbanizacji, </w:t>
      </w:r>
      <w:r w:rsidRPr="00F21196">
        <w:rPr>
          <w:rFonts w:cs="Arial"/>
        </w:rPr>
        <w:t>wprowadzenie mechanizmów zwiększenia aktywności planistycznej gmin wraz z narzędziami umożliwiającymi koncentrację inwestycji na terenach zurbanizowanych i wyposażonych w adekwatną infrastrukturę</w:t>
      </w:r>
      <w:r w:rsidRPr="00F21196">
        <w:t xml:space="preserve">. Ponadto potrzebne jest zwiększenie efektywności mechanizmów nadzoru i kontroli społecznej. </w:t>
      </w:r>
    </w:p>
    <w:p w14:paraId="16B9721F" w14:textId="77777777" w:rsidR="00776D77" w:rsidRPr="00F21196" w:rsidRDefault="00776D77" w:rsidP="00776D77">
      <w:pPr>
        <w:spacing w:after="240" w:line="276" w:lineRule="auto"/>
        <w:jc w:val="both"/>
      </w:pPr>
      <w:r w:rsidRPr="00F21196">
        <w:t xml:space="preserve">Proponowane rozwiązania usprawnią oraz zwiększą skuteczność i spójność planowania i realizacji polityki rozwoju. Ograniczenie liczby dokumentów oraz nadanie im charakteru zintegrowanej i spójnej koncepcji rozwoju przełoży się na horyzontalne podejście do zarządzania rozwojem kraju, trafniejsze ukierunkowanie planowanych interwencji oraz wybór bardziej skoordynowanych i zamierzonych działań. Zintegrowane podejście wyeliminuje również przypadki określania kolizyjnych celów, w odniesieniu do tego samego obszaru, co powoduje powstawanie złożonych struktur przestrzennych i chaosu w przestrzeni. </w:t>
      </w:r>
      <w:r>
        <w:t>Zapewnienie związków pomiędzy zintegrowanymi dokumentami na różnych poziomach zarządzania przyczyni się do zwiększenia efektywności programowania oraz do podniesienia rangi interesu publicznego.</w:t>
      </w:r>
      <w:r w:rsidRPr="00F21196">
        <w:t xml:space="preserve"> Promowanie partnerskiego podejścia oraz otwartych, opartych na dobrej woli i dialogu konsultacji społecznych przyspieszy proces programowania rozwoju oraz ograniczy liczbę konfliktów, przyczyni się do podejmowania optymalnych decyzji i wpłynie na jakość sporządzanych dokumentów polityki rozwoju.</w:t>
      </w:r>
    </w:p>
    <w:p w14:paraId="635BD5C4" w14:textId="77777777" w:rsidR="00776D77" w:rsidRPr="00F21196" w:rsidRDefault="00776D77" w:rsidP="00776D77">
      <w:pPr>
        <w:spacing w:after="120" w:line="276" w:lineRule="auto"/>
        <w:jc w:val="both"/>
        <w:rPr>
          <w:rFonts w:cs="Arial"/>
        </w:rPr>
      </w:pPr>
      <w:r>
        <w:rPr>
          <w:rFonts w:cs="Arial"/>
          <w:b/>
          <w:u w:val="single"/>
        </w:rPr>
        <w:t>6</w:t>
      </w:r>
      <w:r w:rsidRPr="00F21196">
        <w:rPr>
          <w:rFonts w:cs="Arial"/>
          <w:b/>
          <w:u w:val="single"/>
        </w:rPr>
        <w:t>.2. Wprowadzenie standardu zbiorów danych przestrzennych aktów planowania przestrzennego.</w:t>
      </w:r>
      <w:r>
        <w:rPr>
          <w:rFonts w:cs="Arial"/>
          <w:b/>
          <w:u w:val="single"/>
        </w:rPr>
        <w:t xml:space="preserve"> </w:t>
      </w:r>
      <w:r w:rsidRPr="00F21196">
        <w:rPr>
          <w:rFonts w:cs="Arial"/>
        </w:rPr>
        <w:t xml:space="preserve">Rozwój infrastruktury informacji przestrzennej </w:t>
      </w:r>
      <w:r>
        <w:rPr>
          <w:rFonts w:cs="Arial"/>
        </w:rPr>
        <w:t>w zakresie planowania i zagospodarowania przestrzennego</w:t>
      </w:r>
      <w:r w:rsidRPr="00F21196">
        <w:rPr>
          <w:rFonts w:cs="Arial"/>
        </w:rPr>
        <w:t xml:space="preserve"> jest nierównomierny</w:t>
      </w:r>
      <w:r>
        <w:rPr>
          <w:rFonts w:cs="Arial"/>
        </w:rPr>
        <w:t xml:space="preserve">. </w:t>
      </w:r>
      <w:r w:rsidRPr="00F21196">
        <w:rPr>
          <w:rFonts w:cs="Arial"/>
        </w:rPr>
        <w:t>Zakres tematyczny danych przestrzennych z dziedziny planowania</w:t>
      </w:r>
      <w:r>
        <w:rPr>
          <w:rFonts w:cs="Arial"/>
        </w:rPr>
        <w:t xml:space="preserve"> </w:t>
      </w:r>
      <w:r w:rsidRPr="00F21196">
        <w:rPr>
          <w:rFonts w:cs="Arial"/>
        </w:rPr>
        <w:t xml:space="preserve">i zagospodarowania przestrzennego udostępnianych za pośrednictwem </w:t>
      </w:r>
      <w:r>
        <w:rPr>
          <w:rFonts w:cs="Arial"/>
        </w:rPr>
        <w:t xml:space="preserve">usług sieciowych, a także </w:t>
      </w:r>
      <w:r w:rsidRPr="00F21196">
        <w:rPr>
          <w:rFonts w:cs="Arial"/>
        </w:rPr>
        <w:t>geoportali</w:t>
      </w:r>
      <w:r>
        <w:rPr>
          <w:rFonts w:cs="Arial"/>
        </w:rPr>
        <w:t>,</w:t>
      </w:r>
      <w:r w:rsidRPr="00F21196">
        <w:rPr>
          <w:rFonts w:cs="Arial"/>
        </w:rPr>
        <w:t xml:space="preserve"> </w:t>
      </w:r>
      <w:r>
        <w:rPr>
          <w:rFonts w:cs="Arial"/>
        </w:rPr>
        <w:t>na każdym poziomie administracji państwa,</w:t>
      </w:r>
      <w:r w:rsidRPr="00F21196">
        <w:rPr>
          <w:rFonts w:cs="Arial"/>
        </w:rPr>
        <w:t xml:space="preserve"> jest bardzo zróżnicowany. W wielu przypadkach w ogóle nie </w:t>
      </w:r>
      <w:r>
        <w:rPr>
          <w:rFonts w:cs="Arial"/>
        </w:rPr>
        <w:t>są udostępniane</w:t>
      </w:r>
      <w:r w:rsidRPr="00F21196" w:rsidDel="00DF72A5">
        <w:rPr>
          <w:rFonts w:cs="Arial"/>
        </w:rPr>
        <w:t xml:space="preserve"> </w:t>
      </w:r>
      <w:r w:rsidRPr="00F21196">
        <w:rPr>
          <w:rFonts w:cs="Arial"/>
        </w:rPr>
        <w:t xml:space="preserve">dane dotyczące aktów planowania przestrzennego, w tym planów miejscowych. Z kolei te </w:t>
      </w:r>
      <w:r>
        <w:rPr>
          <w:rFonts w:cs="Arial"/>
        </w:rPr>
        <w:t>informacje nt. planowania przestrzennego</w:t>
      </w:r>
      <w:r w:rsidRPr="00F21196">
        <w:rPr>
          <w:rFonts w:cs="Arial"/>
        </w:rPr>
        <w:t xml:space="preserve">, które są prezentowane, </w:t>
      </w:r>
      <w:r>
        <w:rPr>
          <w:rFonts w:cs="Arial"/>
        </w:rPr>
        <w:t xml:space="preserve">często </w:t>
      </w:r>
      <w:r w:rsidRPr="00F21196">
        <w:rPr>
          <w:rFonts w:cs="Arial"/>
        </w:rPr>
        <w:t xml:space="preserve">nie posiadają cech zasobu referencyjnego, </w:t>
      </w:r>
      <w:r>
        <w:rPr>
          <w:rFonts w:cs="Arial"/>
        </w:rPr>
        <w:t>a jedynie</w:t>
      </w:r>
      <w:r w:rsidRPr="00F21196">
        <w:rPr>
          <w:rFonts w:cs="Arial"/>
        </w:rPr>
        <w:t xml:space="preserve"> mają charakter poglądowy. </w:t>
      </w:r>
      <w:r>
        <w:rPr>
          <w:rFonts w:cs="Arial"/>
        </w:rPr>
        <w:t>Stosowane są</w:t>
      </w:r>
      <w:r w:rsidRPr="00F21196">
        <w:rPr>
          <w:rFonts w:cs="Arial"/>
        </w:rPr>
        <w:t xml:space="preserve"> różne regionalne lub lokalne standardy techniczne tworzenia zbiorów danych przestrzennych zawierających treści planistyczne</w:t>
      </w:r>
      <w:r>
        <w:rPr>
          <w:rFonts w:cs="Arial"/>
        </w:rPr>
        <w:t>.</w:t>
      </w:r>
      <w:r w:rsidRPr="00F21196">
        <w:rPr>
          <w:rFonts w:cs="Arial"/>
        </w:rPr>
        <w:t xml:space="preserve"> </w:t>
      </w:r>
      <w:r>
        <w:rPr>
          <w:rFonts w:cs="Arial"/>
        </w:rPr>
        <w:t>Występują</w:t>
      </w:r>
      <w:r w:rsidRPr="00F21196">
        <w:rPr>
          <w:rFonts w:cs="Arial"/>
        </w:rPr>
        <w:t xml:space="preserve"> różnice w stosowanych pojęciach i definicjach, </w:t>
      </w:r>
      <w:r>
        <w:rPr>
          <w:rFonts w:cs="Arial"/>
        </w:rPr>
        <w:t>które</w:t>
      </w:r>
      <w:r w:rsidRPr="00F21196">
        <w:rPr>
          <w:rFonts w:cs="Arial"/>
        </w:rPr>
        <w:t xml:space="preserve"> uniemożliwiają łączenie danych przestrzennych pochodzących z różnych źródeł i wykonywanie analiz przestrzennych bez ich uprzedniego przetworzenia.</w:t>
      </w:r>
      <w:r>
        <w:rPr>
          <w:rFonts w:cs="Arial"/>
        </w:rPr>
        <w:t xml:space="preserve"> </w:t>
      </w:r>
    </w:p>
    <w:p w14:paraId="5524BD7B" w14:textId="77777777" w:rsidR="00776D77" w:rsidRPr="00F21196" w:rsidRDefault="00776D77" w:rsidP="00776D77">
      <w:pPr>
        <w:spacing w:after="120" w:line="276" w:lineRule="auto"/>
        <w:jc w:val="both"/>
        <w:rPr>
          <w:rFonts w:cs="Arial"/>
        </w:rPr>
      </w:pPr>
      <w:r w:rsidRPr="00F21196">
        <w:rPr>
          <w:rFonts w:cs="Arial"/>
        </w:rPr>
        <w:t>Stosowane w praktyce planistycznej klasyfikacje przeznaczeń terenów w poszczególnych jednostkach administracyjnych w znaczny sposób różnią się od siebie, zarówno pod względem szczegółowości, stosowanej terminologii, a także oznaczeń wykorzystywanych w załącznikach graficznych. Powyższe sprawia, że porównanie poszczególnych przeznaczeń terenu jest często utrudnione, a w niektórych przypadkach wręcz niemożliwe. Brak spójnej terminologii i szczegółowości oznaczeń stosowanych w szczególności w lokalnych aktach planowania przestrzennego zdecydowanie utrudnia zrozumienie zapisów planistycznych.</w:t>
      </w:r>
    </w:p>
    <w:p w14:paraId="7D860C7E" w14:textId="77777777" w:rsidR="00776D77" w:rsidRDefault="00776D77" w:rsidP="00776D77">
      <w:pPr>
        <w:spacing w:after="60" w:line="276" w:lineRule="auto"/>
        <w:jc w:val="both"/>
        <w:rPr>
          <w:rFonts w:cs="Arial"/>
        </w:rPr>
      </w:pPr>
      <w:r>
        <w:rPr>
          <w:rFonts w:cs="Arial"/>
        </w:rPr>
        <w:t>Pomimo wypracowanych wstępnych założeń dla krajowych standardów tworzenia zbiorów danych przestrzennych, obejmujących akty planowania przestrzennego, niezbędne jest podjęcie prac weryfikacyjnych i konsultacyjnych przed ich docelowym wdrożeniem.</w:t>
      </w:r>
    </w:p>
    <w:p w14:paraId="1A9A44CC" w14:textId="77777777" w:rsidR="00776D77" w:rsidRPr="001A1EFE" w:rsidRDefault="00776D77" w:rsidP="00776D77">
      <w:pPr>
        <w:spacing w:after="60" w:line="276" w:lineRule="auto"/>
        <w:jc w:val="both"/>
        <w:rPr>
          <w:rFonts w:cs="Arial"/>
        </w:rPr>
      </w:pPr>
      <w:r w:rsidRPr="001A1EFE">
        <w:rPr>
          <w:rFonts w:cs="Arial"/>
        </w:rPr>
        <w:t xml:space="preserve">Tworzenie infrastruktury informacji przestrzennej dla tematu </w:t>
      </w:r>
      <w:r>
        <w:rPr>
          <w:rFonts w:cs="Arial"/>
        </w:rPr>
        <w:t>„</w:t>
      </w:r>
      <w:r w:rsidRPr="001A1EFE">
        <w:rPr>
          <w:rFonts w:cs="Arial"/>
        </w:rPr>
        <w:t>zagospodarowanie przestrzenne</w:t>
      </w:r>
      <w:r>
        <w:rPr>
          <w:rFonts w:cs="Arial"/>
        </w:rPr>
        <w:t>”</w:t>
      </w:r>
      <w:r w:rsidRPr="001A1EFE">
        <w:rPr>
          <w:rFonts w:cs="Arial"/>
        </w:rPr>
        <w:t xml:space="preserve"> wiąże</w:t>
      </w:r>
      <w:r>
        <w:rPr>
          <w:rFonts w:cs="Arial"/>
        </w:rPr>
        <w:t xml:space="preserve"> </w:t>
      </w:r>
      <w:r w:rsidRPr="001A1EFE">
        <w:rPr>
          <w:rFonts w:cs="Arial"/>
        </w:rPr>
        <w:t>się ze stosowaniem standardów tworzenia zbiorów danych przestrzennych, zarówno w odniesieniu</w:t>
      </w:r>
      <w:r>
        <w:rPr>
          <w:rFonts w:cs="Arial"/>
        </w:rPr>
        <w:t xml:space="preserve"> </w:t>
      </w:r>
      <w:r w:rsidRPr="001A1EFE">
        <w:rPr>
          <w:rFonts w:cs="Arial"/>
        </w:rPr>
        <w:t>do wewnętrznej struktury tych danych, jak również do zasad technicznych związanych z ich</w:t>
      </w:r>
      <w:r>
        <w:rPr>
          <w:rFonts w:cs="Arial"/>
        </w:rPr>
        <w:t xml:space="preserve"> </w:t>
      </w:r>
      <w:r w:rsidRPr="001A1EFE">
        <w:rPr>
          <w:rFonts w:cs="Arial"/>
        </w:rPr>
        <w:t>gromadzeniem, utrzymywaniem, przetwarzaniem i udostępnianiem. Niezbędne jest zapewnienie</w:t>
      </w:r>
      <w:r>
        <w:rPr>
          <w:rFonts w:cs="Arial"/>
        </w:rPr>
        <w:t xml:space="preserve"> </w:t>
      </w:r>
      <w:r w:rsidRPr="001A1EFE">
        <w:rPr>
          <w:rFonts w:cs="Arial"/>
        </w:rPr>
        <w:t>harmonizacji zbiorów i usług danych przestrzennych, określenie zasad i wymogów dla istniejących</w:t>
      </w:r>
      <w:r>
        <w:rPr>
          <w:rFonts w:cs="Arial"/>
        </w:rPr>
        <w:t xml:space="preserve"> </w:t>
      </w:r>
      <w:r w:rsidRPr="001A1EFE">
        <w:rPr>
          <w:rFonts w:cs="Arial"/>
        </w:rPr>
        <w:t xml:space="preserve">i nowo tworzonych danych na potrzeby infrastruktury informacji przestrzennej. </w:t>
      </w:r>
    </w:p>
    <w:p w14:paraId="2B4E05E0" w14:textId="77777777" w:rsidR="00776D77" w:rsidRPr="00F21196" w:rsidRDefault="00776D77" w:rsidP="00776D77">
      <w:pPr>
        <w:spacing w:after="60" w:line="276" w:lineRule="auto"/>
        <w:jc w:val="both"/>
        <w:rPr>
          <w:rFonts w:cs="Arial"/>
        </w:rPr>
      </w:pPr>
      <w:r>
        <w:rPr>
          <w:rFonts w:cs="Arial"/>
        </w:rPr>
        <w:t>Konieczne jest opracowanie</w:t>
      </w:r>
      <w:r w:rsidRPr="001A1EFE">
        <w:rPr>
          <w:rFonts w:cs="Arial"/>
        </w:rPr>
        <w:t xml:space="preserve"> standardow</w:t>
      </w:r>
      <w:r>
        <w:rPr>
          <w:rFonts w:cs="Arial"/>
        </w:rPr>
        <w:t>ego</w:t>
      </w:r>
      <w:r w:rsidRPr="001A1EFE">
        <w:rPr>
          <w:rFonts w:cs="Arial"/>
        </w:rPr>
        <w:t xml:space="preserve"> model</w:t>
      </w:r>
      <w:r>
        <w:rPr>
          <w:rFonts w:cs="Arial"/>
        </w:rPr>
        <w:t>u</w:t>
      </w:r>
      <w:r w:rsidRPr="001A1EFE">
        <w:rPr>
          <w:rFonts w:cs="Arial"/>
        </w:rPr>
        <w:t xml:space="preserve"> danych, który uwzględniałby specyfikę polskiego systemu</w:t>
      </w:r>
      <w:r>
        <w:rPr>
          <w:rFonts w:cs="Arial"/>
        </w:rPr>
        <w:t xml:space="preserve"> </w:t>
      </w:r>
      <w:r w:rsidRPr="001A1EFE">
        <w:rPr>
          <w:rFonts w:cs="Arial"/>
        </w:rPr>
        <w:t xml:space="preserve">planowania przestrzennego, a także specyfikację danych INSPIRE dla tematu </w:t>
      </w:r>
      <w:r>
        <w:rPr>
          <w:rFonts w:cs="Arial"/>
        </w:rPr>
        <w:t>„</w:t>
      </w:r>
      <w:r w:rsidRPr="001A1EFE">
        <w:rPr>
          <w:rFonts w:cs="Arial"/>
        </w:rPr>
        <w:t>zagospodarowanie</w:t>
      </w:r>
      <w:r>
        <w:rPr>
          <w:rFonts w:cs="Arial"/>
        </w:rPr>
        <w:t xml:space="preserve"> </w:t>
      </w:r>
      <w:r w:rsidRPr="001A1EFE">
        <w:rPr>
          <w:rFonts w:cs="Arial"/>
        </w:rPr>
        <w:t>przestrzenne</w:t>
      </w:r>
      <w:r>
        <w:rPr>
          <w:rFonts w:cs="Arial"/>
        </w:rPr>
        <w:t>”</w:t>
      </w:r>
      <w:r w:rsidRPr="001A1EFE">
        <w:rPr>
          <w:rFonts w:cs="Arial"/>
        </w:rPr>
        <w:t>.</w:t>
      </w:r>
    </w:p>
    <w:p w14:paraId="6B442BF4" w14:textId="77777777" w:rsidR="00776D77" w:rsidRPr="00F21196" w:rsidRDefault="00776D77" w:rsidP="00776D77">
      <w:pPr>
        <w:spacing w:after="60" w:line="276" w:lineRule="auto"/>
        <w:jc w:val="both"/>
        <w:rPr>
          <w:rFonts w:cs="Arial"/>
        </w:rPr>
      </w:pPr>
      <w:r w:rsidRPr="00F21196">
        <w:rPr>
          <w:rFonts w:cs="Arial"/>
        </w:rPr>
        <w:t>W ramach kierunku interwencji 5.2 planowane jest podjęcie przedsięwzięć polegających w szczególności na:</w:t>
      </w:r>
    </w:p>
    <w:p w14:paraId="315717B8" w14:textId="77777777" w:rsidR="00776D77" w:rsidRPr="00F21196" w:rsidRDefault="00776D77" w:rsidP="00776D77">
      <w:pPr>
        <w:pStyle w:val="Akapitzlist"/>
        <w:numPr>
          <w:ilvl w:val="0"/>
          <w:numId w:val="9"/>
        </w:numPr>
        <w:spacing w:line="276" w:lineRule="auto"/>
        <w:ind w:left="426"/>
        <w:rPr>
          <w:rFonts w:asciiTheme="minorHAnsi" w:hAnsiTheme="minorHAnsi" w:cs="Arial"/>
          <w:sz w:val="22"/>
          <w:szCs w:val="22"/>
        </w:rPr>
      </w:pPr>
      <w:r>
        <w:rPr>
          <w:rFonts w:asciiTheme="minorHAnsi" w:hAnsiTheme="minorHAnsi" w:cs="Arial"/>
          <w:sz w:val="22"/>
          <w:szCs w:val="22"/>
        </w:rPr>
        <w:t>weryfikacji i</w:t>
      </w:r>
      <w:r w:rsidRPr="00F21196">
        <w:rPr>
          <w:rFonts w:asciiTheme="minorHAnsi" w:hAnsiTheme="minorHAnsi" w:cs="Arial"/>
          <w:sz w:val="22"/>
          <w:szCs w:val="22"/>
        </w:rPr>
        <w:t xml:space="preserve"> wdrożeni</w:t>
      </w:r>
      <w:r>
        <w:rPr>
          <w:rFonts w:asciiTheme="minorHAnsi" w:hAnsiTheme="minorHAnsi" w:cs="Arial"/>
          <w:sz w:val="22"/>
          <w:szCs w:val="22"/>
        </w:rPr>
        <w:t>u</w:t>
      </w:r>
      <w:r w:rsidRPr="00F21196">
        <w:rPr>
          <w:rFonts w:asciiTheme="minorHAnsi" w:hAnsiTheme="minorHAnsi" w:cs="Arial"/>
          <w:sz w:val="22"/>
          <w:szCs w:val="22"/>
        </w:rPr>
        <w:t xml:space="preserve"> krajowego standardu zbioru danych aktów planowania przestrzennego; </w:t>
      </w:r>
    </w:p>
    <w:p w14:paraId="7535ACDB" w14:textId="77777777" w:rsidR="00776D77" w:rsidRPr="00F21196" w:rsidRDefault="00776D77" w:rsidP="00776D77">
      <w:pPr>
        <w:pStyle w:val="Akapitzlist"/>
        <w:numPr>
          <w:ilvl w:val="0"/>
          <w:numId w:val="9"/>
        </w:numPr>
        <w:spacing w:line="276" w:lineRule="auto"/>
        <w:ind w:left="426"/>
        <w:jc w:val="both"/>
        <w:rPr>
          <w:rFonts w:asciiTheme="minorHAnsi" w:hAnsiTheme="minorHAnsi" w:cs="Arial"/>
          <w:sz w:val="22"/>
          <w:szCs w:val="22"/>
        </w:rPr>
      </w:pPr>
      <w:r w:rsidRPr="00F21196">
        <w:rPr>
          <w:rFonts w:asciiTheme="minorHAnsi" w:hAnsiTheme="minorHAnsi" w:cs="Arial"/>
          <w:sz w:val="22"/>
          <w:szCs w:val="22"/>
        </w:rPr>
        <w:t>opracowani</w:t>
      </w:r>
      <w:r>
        <w:rPr>
          <w:rFonts w:asciiTheme="minorHAnsi" w:hAnsiTheme="minorHAnsi" w:cs="Arial"/>
          <w:sz w:val="22"/>
          <w:szCs w:val="22"/>
        </w:rPr>
        <w:t>u</w:t>
      </w:r>
      <w:r w:rsidRPr="00F21196">
        <w:rPr>
          <w:rFonts w:asciiTheme="minorHAnsi" w:hAnsiTheme="minorHAnsi" w:cs="Arial"/>
          <w:sz w:val="22"/>
          <w:szCs w:val="22"/>
        </w:rPr>
        <w:t xml:space="preserve"> krajowej klasyfikacji </w:t>
      </w:r>
      <w:r>
        <w:rPr>
          <w:rFonts w:asciiTheme="minorHAnsi" w:hAnsiTheme="minorHAnsi" w:cs="Arial"/>
          <w:sz w:val="22"/>
          <w:szCs w:val="22"/>
        </w:rPr>
        <w:t>zagospodarowania</w:t>
      </w:r>
      <w:r w:rsidRPr="00F21196">
        <w:rPr>
          <w:rFonts w:asciiTheme="minorHAnsi" w:hAnsiTheme="minorHAnsi" w:cs="Arial"/>
          <w:sz w:val="22"/>
          <w:szCs w:val="22"/>
        </w:rPr>
        <w:t xml:space="preserve"> terenu </w:t>
      </w:r>
      <w:r>
        <w:rPr>
          <w:rFonts w:asciiTheme="minorHAnsi" w:hAnsiTheme="minorHAnsi" w:cs="Arial"/>
          <w:sz w:val="22"/>
          <w:szCs w:val="22"/>
        </w:rPr>
        <w:t xml:space="preserve">uwzględniając jej powiązanie z </w:t>
      </w:r>
      <w:r w:rsidRPr="00F21196">
        <w:rPr>
          <w:rFonts w:asciiTheme="minorHAnsi" w:hAnsiTheme="minorHAnsi" w:cs="Arial"/>
          <w:sz w:val="22"/>
          <w:szCs w:val="22"/>
        </w:rPr>
        <w:t xml:space="preserve">klasyfikacją europejską (HILUCS); </w:t>
      </w:r>
    </w:p>
    <w:p w14:paraId="2735448C" w14:textId="77777777" w:rsidR="00776D77" w:rsidRPr="00F21196" w:rsidRDefault="00776D77" w:rsidP="00776D77">
      <w:pPr>
        <w:pStyle w:val="Akapitzlist"/>
        <w:numPr>
          <w:ilvl w:val="0"/>
          <w:numId w:val="9"/>
        </w:numPr>
        <w:spacing w:after="60" w:line="276" w:lineRule="auto"/>
        <w:ind w:left="426"/>
        <w:jc w:val="both"/>
        <w:rPr>
          <w:rFonts w:asciiTheme="minorHAnsi" w:hAnsiTheme="minorHAnsi" w:cs="Arial"/>
          <w:sz w:val="22"/>
          <w:szCs w:val="22"/>
        </w:rPr>
      </w:pPr>
      <w:r w:rsidRPr="00F21196">
        <w:rPr>
          <w:rFonts w:asciiTheme="minorHAnsi" w:hAnsiTheme="minorHAnsi" w:cs="Arial"/>
          <w:sz w:val="22"/>
          <w:szCs w:val="22"/>
        </w:rPr>
        <w:t>wprowadzeni</w:t>
      </w:r>
      <w:r>
        <w:rPr>
          <w:rFonts w:asciiTheme="minorHAnsi" w:hAnsiTheme="minorHAnsi" w:cs="Arial"/>
          <w:sz w:val="22"/>
          <w:szCs w:val="22"/>
        </w:rPr>
        <w:t>u</w:t>
      </w:r>
      <w:r w:rsidRPr="00F21196">
        <w:rPr>
          <w:rFonts w:asciiTheme="minorHAnsi" w:hAnsiTheme="minorHAnsi" w:cs="Arial"/>
          <w:sz w:val="22"/>
          <w:szCs w:val="22"/>
        </w:rPr>
        <w:t xml:space="preserve"> rozwiązań legislacyjnych w zakresie wymagań technicznych dla zbiorów danych przestrzennych aktów planowania przestrzennego na poziomie ustawy oraz przepisów wykonawczych.</w:t>
      </w:r>
    </w:p>
    <w:p w14:paraId="794CEED8" w14:textId="77777777" w:rsidR="00A23644" w:rsidRPr="00F21196" w:rsidRDefault="00A23644" w:rsidP="00776D77">
      <w:pPr>
        <w:spacing w:after="60" w:line="252" w:lineRule="auto"/>
        <w:ind w:left="160" w:hanging="160"/>
        <w:rPr>
          <w:rFonts w:cs="Arial"/>
          <w:b/>
          <w:i/>
        </w:rPr>
      </w:pPr>
    </w:p>
    <w:p w14:paraId="50BFB16D" w14:textId="77777777" w:rsidR="00776D77" w:rsidRPr="00F21196" w:rsidRDefault="00776D77" w:rsidP="00776D77">
      <w:pPr>
        <w:spacing w:after="60" w:line="252" w:lineRule="auto"/>
        <w:jc w:val="both"/>
        <w:rPr>
          <w:rFonts w:cs="Arial"/>
        </w:rPr>
      </w:pPr>
      <w:r>
        <w:rPr>
          <w:rFonts w:cs="Arial"/>
          <w:b/>
          <w:u w:val="single"/>
        </w:rPr>
        <w:t>6</w:t>
      </w:r>
      <w:r w:rsidRPr="00F21196">
        <w:rPr>
          <w:rFonts w:cs="Arial"/>
          <w:b/>
          <w:u w:val="single"/>
        </w:rPr>
        <w:t>.3. Zapewnienie dostępu do aktualnej informacji o istniejącym i planowanym zagospodarowaniu przestrzennym w postaci elektronicznej.</w:t>
      </w:r>
      <w:r>
        <w:rPr>
          <w:rFonts w:cs="Arial"/>
          <w:b/>
          <w:u w:val="single"/>
        </w:rPr>
        <w:t xml:space="preserve"> </w:t>
      </w:r>
      <w:r w:rsidRPr="00F21196">
        <w:rPr>
          <w:rFonts w:cs="Arial"/>
        </w:rPr>
        <w:t>Obecnie nie ma obowiązku tworzenia zbiorów danych przestrzennych</w:t>
      </w:r>
      <w:r>
        <w:rPr>
          <w:rFonts w:cs="Arial"/>
        </w:rPr>
        <w:t>, w rozumieniu przepisów ustawy o infrastrukturze informacji przestrzennej</w:t>
      </w:r>
      <w:r>
        <w:rPr>
          <w:rStyle w:val="Odwoanieprzypisudolnego"/>
          <w:rFonts w:cs="Arial"/>
        </w:rPr>
        <w:footnoteReference w:id="63"/>
      </w:r>
      <w:r>
        <w:rPr>
          <w:rFonts w:cs="Arial"/>
        </w:rPr>
        <w:t>, dla</w:t>
      </w:r>
      <w:r w:rsidRPr="00F21196">
        <w:rPr>
          <w:rFonts w:cs="Arial"/>
        </w:rPr>
        <w:t xml:space="preserve"> aktów planowania przestrzennego. Niemniej jednak </w:t>
      </w:r>
      <w:r w:rsidRPr="00776D77">
        <w:rPr>
          <w:rFonts w:cs="Arial"/>
        </w:rPr>
        <w:t xml:space="preserve">według badania PZP-1 za 2017 rok już dla 38,9% </w:t>
      </w:r>
      <w:r w:rsidRPr="00F21196">
        <w:rPr>
          <w:rFonts w:cs="Arial"/>
        </w:rPr>
        <w:t>dokumentów planistycznych</w:t>
      </w:r>
      <w:r>
        <w:rPr>
          <w:rFonts w:cs="Arial"/>
        </w:rPr>
        <w:t xml:space="preserve"> utworzono</w:t>
      </w:r>
      <w:r w:rsidRPr="00F21196">
        <w:rPr>
          <w:rFonts w:cs="Arial"/>
        </w:rPr>
        <w:t xml:space="preserve"> elektroniczne zbiory danych </w:t>
      </w:r>
      <w:r>
        <w:rPr>
          <w:rFonts w:cs="Arial"/>
        </w:rPr>
        <w:t>przestrzennych</w:t>
      </w:r>
      <w:r w:rsidRPr="00F21196">
        <w:rPr>
          <w:rFonts w:cs="Arial"/>
        </w:rPr>
        <w:t xml:space="preserve"> (uwzględniono zbiory danych, w których rysunki występują w postaci wektorowej z nadaną georeferencją) i jest to trend rosnący.</w:t>
      </w:r>
    </w:p>
    <w:p w14:paraId="65068F77" w14:textId="77777777" w:rsidR="00776D77" w:rsidRPr="00F21196" w:rsidRDefault="00776D77" w:rsidP="00776D77">
      <w:pPr>
        <w:spacing w:after="60" w:line="276" w:lineRule="auto"/>
        <w:jc w:val="both"/>
        <w:rPr>
          <w:rFonts w:cs="Arial"/>
        </w:rPr>
      </w:pPr>
      <w:r>
        <w:rPr>
          <w:rFonts w:cs="Arial"/>
        </w:rPr>
        <w:t>N</w:t>
      </w:r>
      <w:r w:rsidRPr="00F21196">
        <w:rPr>
          <w:rFonts w:cs="Arial"/>
        </w:rPr>
        <w:t>ależy zaznaczyć, że pozornej obfitości informacji o przestrzeni towarzyszy jej niedosyt, jeśli chodzi o jakość, kompletność i wiarygodność. Techniczna łatwość dostępu do informacji powoduje paradoksalnie wysoki koszt jej pozyskania ze względu na konieczność selekcji. Przełamanie tych ograniczeń wymaga działań ze strony władz, których elementem jest tworzenie i rozwijanie krajowej infrastruktury informacji przestrzennej.</w:t>
      </w:r>
    </w:p>
    <w:p w14:paraId="47BAC583" w14:textId="77777777" w:rsidR="00776D77" w:rsidRPr="00F21196" w:rsidRDefault="00776D77" w:rsidP="00776D77">
      <w:pPr>
        <w:spacing w:after="60" w:line="252" w:lineRule="auto"/>
        <w:jc w:val="both"/>
        <w:rPr>
          <w:rFonts w:cs="Arial"/>
        </w:rPr>
      </w:pPr>
      <w:r w:rsidRPr="00F21196">
        <w:rPr>
          <w:rFonts w:cs="Arial"/>
        </w:rPr>
        <w:t>Obecnie zarówno inwestorzy (w tym posiadacze, nabywcy nieruchomości), jak i obywatele, przedsiębiorcy oraz organy administracji, mają utrudniony dostęp do aktualnych i wiarygodnych informacji dotyczących kształtowania i realizacji polityki przestrzennej oraz procesu inwestycyjnego. Utrudnia to zarówno prowadzenie postępowań inwestycyjnych jak i świadome kształtowanie przestrzeni wykorzystujące partycypację społeczną. Brak jest centralnego punktu dostępu, który w sposób zintegrowany z wykorzystaniem usług sieciowych zapewni dostęp do ww. danych i informacji.</w:t>
      </w:r>
    </w:p>
    <w:p w14:paraId="6338010A" w14:textId="77777777" w:rsidR="00776D77" w:rsidRPr="00F21196" w:rsidRDefault="00776D77" w:rsidP="00776D77">
      <w:pPr>
        <w:spacing w:after="60" w:line="276" w:lineRule="auto"/>
        <w:jc w:val="both"/>
        <w:rPr>
          <w:rFonts w:cs="Arial"/>
        </w:rPr>
      </w:pPr>
      <w:r w:rsidRPr="00F21196">
        <w:rPr>
          <w:rFonts w:cs="Arial"/>
        </w:rPr>
        <w:t xml:space="preserve">W ramach kierunku interwencji </w:t>
      </w:r>
      <w:r>
        <w:rPr>
          <w:rFonts w:cs="Arial"/>
        </w:rPr>
        <w:t>6</w:t>
      </w:r>
      <w:r w:rsidRPr="00F21196">
        <w:rPr>
          <w:rFonts w:cs="Arial"/>
        </w:rPr>
        <w:t>.3 planowane jest podjęcie przedsięwzięć polegających w szczególności na:</w:t>
      </w:r>
    </w:p>
    <w:p w14:paraId="768CBD4A" w14:textId="77777777" w:rsidR="00776D77" w:rsidRDefault="00776D77" w:rsidP="00776D77">
      <w:pPr>
        <w:pStyle w:val="Akapitzlist"/>
        <w:numPr>
          <w:ilvl w:val="0"/>
          <w:numId w:val="10"/>
        </w:numPr>
        <w:spacing w:line="276" w:lineRule="auto"/>
        <w:ind w:left="426"/>
        <w:jc w:val="both"/>
        <w:rPr>
          <w:rFonts w:asciiTheme="minorHAnsi" w:hAnsiTheme="minorHAnsi" w:cs="Arial"/>
          <w:sz w:val="22"/>
          <w:szCs w:val="22"/>
        </w:rPr>
      </w:pPr>
      <w:r w:rsidRPr="001E0557">
        <w:rPr>
          <w:rFonts w:asciiTheme="minorHAnsi" w:hAnsiTheme="minorHAnsi" w:cs="Arial"/>
          <w:sz w:val="22"/>
          <w:szCs w:val="22"/>
        </w:rPr>
        <w:t>wprowadzeni</w:t>
      </w:r>
      <w:r>
        <w:rPr>
          <w:rFonts w:asciiTheme="minorHAnsi" w:hAnsiTheme="minorHAnsi" w:cs="Arial"/>
          <w:sz w:val="22"/>
          <w:szCs w:val="22"/>
        </w:rPr>
        <w:t>u</w:t>
      </w:r>
      <w:r w:rsidRPr="001E0557">
        <w:rPr>
          <w:rFonts w:asciiTheme="minorHAnsi" w:hAnsiTheme="minorHAnsi" w:cs="Arial"/>
          <w:sz w:val="22"/>
          <w:szCs w:val="22"/>
        </w:rPr>
        <w:t xml:space="preserve"> podstaw prawnych </w:t>
      </w:r>
      <w:r>
        <w:rPr>
          <w:rFonts w:asciiTheme="minorHAnsi" w:hAnsiTheme="minorHAnsi" w:cs="Arial"/>
          <w:sz w:val="22"/>
          <w:szCs w:val="22"/>
        </w:rPr>
        <w:t xml:space="preserve">nakładających </w:t>
      </w:r>
      <w:r w:rsidRPr="004A68E1">
        <w:rPr>
          <w:rFonts w:asciiTheme="minorHAnsi" w:hAnsiTheme="minorHAnsi" w:cs="Arial"/>
          <w:sz w:val="22"/>
          <w:szCs w:val="22"/>
        </w:rPr>
        <w:t>obowiązek utworzenia i aktualizowania zbiorów danych przestrzennych, obejmujących dane przestrzenne aktów</w:t>
      </w:r>
      <w:r>
        <w:rPr>
          <w:rFonts w:asciiTheme="minorHAnsi" w:hAnsiTheme="minorHAnsi" w:cs="Arial"/>
          <w:sz w:val="22"/>
          <w:szCs w:val="22"/>
        </w:rPr>
        <w:t xml:space="preserve"> planowania przestrzennego;</w:t>
      </w:r>
    </w:p>
    <w:p w14:paraId="1046A5DD" w14:textId="77777777" w:rsidR="00776D77" w:rsidRDefault="00776D77" w:rsidP="00776D77">
      <w:pPr>
        <w:pStyle w:val="Akapitzlist"/>
        <w:numPr>
          <w:ilvl w:val="0"/>
          <w:numId w:val="10"/>
        </w:numPr>
        <w:spacing w:line="276" w:lineRule="auto"/>
        <w:ind w:left="426"/>
        <w:jc w:val="both"/>
        <w:rPr>
          <w:rFonts w:asciiTheme="minorHAnsi" w:hAnsiTheme="minorHAnsi" w:cs="Arial"/>
          <w:sz w:val="22"/>
          <w:szCs w:val="22"/>
        </w:rPr>
      </w:pPr>
      <w:r>
        <w:rPr>
          <w:rFonts w:asciiTheme="minorHAnsi" w:hAnsiTheme="minorHAnsi" w:cs="Arial"/>
          <w:sz w:val="22"/>
          <w:szCs w:val="22"/>
        </w:rPr>
        <w:t>zapewnieniu powszechnego dostępu do</w:t>
      </w:r>
      <w:r w:rsidRPr="001E0557">
        <w:rPr>
          <w:rFonts w:asciiTheme="minorHAnsi" w:hAnsiTheme="minorHAnsi" w:cs="Arial"/>
          <w:sz w:val="22"/>
          <w:szCs w:val="22"/>
        </w:rPr>
        <w:t xml:space="preserve"> dokumentów planistycznych z wykorzystaniem technik ge</w:t>
      </w:r>
      <w:r>
        <w:rPr>
          <w:rFonts w:asciiTheme="minorHAnsi" w:hAnsiTheme="minorHAnsi" w:cs="Arial"/>
          <w:sz w:val="22"/>
          <w:szCs w:val="22"/>
        </w:rPr>
        <w:t>o</w:t>
      </w:r>
      <w:r w:rsidRPr="001E0557">
        <w:rPr>
          <w:rFonts w:asciiTheme="minorHAnsi" w:hAnsiTheme="minorHAnsi" w:cs="Arial"/>
          <w:sz w:val="22"/>
          <w:szCs w:val="22"/>
        </w:rPr>
        <w:t>informacyjnych</w:t>
      </w:r>
      <w:r>
        <w:rPr>
          <w:rFonts w:asciiTheme="minorHAnsi" w:hAnsiTheme="minorHAnsi" w:cs="Arial"/>
          <w:sz w:val="22"/>
          <w:szCs w:val="22"/>
        </w:rPr>
        <w:t>;</w:t>
      </w:r>
      <w:r w:rsidRPr="001E0557">
        <w:rPr>
          <w:rFonts w:asciiTheme="minorHAnsi" w:hAnsiTheme="minorHAnsi" w:cs="Arial"/>
          <w:sz w:val="22"/>
          <w:szCs w:val="22"/>
        </w:rPr>
        <w:t xml:space="preserve"> </w:t>
      </w:r>
    </w:p>
    <w:p w14:paraId="0155CB02" w14:textId="77777777" w:rsidR="00776D77" w:rsidRPr="00115D68" w:rsidRDefault="00776D77" w:rsidP="00776D77">
      <w:pPr>
        <w:pStyle w:val="Akapitzlist"/>
        <w:numPr>
          <w:ilvl w:val="0"/>
          <w:numId w:val="10"/>
        </w:numPr>
        <w:spacing w:line="276" w:lineRule="auto"/>
        <w:ind w:left="426"/>
        <w:jc w:val="both"/>
        <w:rPr>
          <w:rFonts w:asciiTheme="minorHAnsi" w:hAnsiTheme="minorHAnsi" w:cs="Arial"/>
          <w:sz w:val="22"/>
          <w:szCs w:val="22"/>
        </w:rPr>
      </w:pPr>
      <w:r w:rsidRPr="00115D68">
        <w:rPr>
          <w:rFonts w:asciiTheme="minorHAnsi" w:hAnsiTheme="minorHAnsi" w:cs="Arial"/>
          <w:sz w:val="22"/>
          <w:szCs w:val="22"/>
        </w:rPr>
        <w:t>wprowadzeniu rozwiązań legislacyjnych obejmujących profil metadanych infrastruktury informacji przestrzennej w zakresie zagospodarowania przestrzennego;</w:t>
      </w:r>
    </w:p>
    <w:p w14:paraId="5359B649" w14:textId="77777777" w:rsidR="00776D77" w:rsidRPr="00F21196" w:rsidRDefault="00776D77" w:rsidP="00776D77">
      <w:pPr>
        <w:pStyle w:val="Akapitzlist"/>
        <w:numPr>
          <w:ilvl w:val="0"/>
          <w:numId w:val="10"/>
        </w:numPr>
        <w:spacing w:line="276" w:lineRule="auto"/>
        <w:ind w:left="426"/>
        <w:jc w:val="both"/>
        <w:rPr>
          <w:rFonts w:asciiTheme="minorHAnsi" w:hAnsiTheme="minorHAnsi" w:cs="Arial"/>
          <w:sz w:val="22"/>
          <w:szCs w:val="22"/>
        </w:rPr>
      </w:pPr>
      <w:r w:rsidRPr="00F21196">
        <w:rPr>
          <w:rFonts w:asciiTheme="minorHAnsi" w:hAnsiTheme="minorHAnsi" w:cs="Arial"/>
          <w:sz w:val="22"/>
          <w:szCs w:val="22"/>
        </w:rPr>
        <w:t>realizacj</w:t>
      </w:r>
      <w:r>
        <w:rPr>
          <w:rFonts w:asciiTheme="minorHAnsi" w:hAnsiTheme="minorHAnsi" w:cs="Arial"/>
          <w:sz w:val="22"/>
          <w:szCs w:val="22"/>
        </w:rPr>
        <w:t>i</w:t>
      </w:r>
      <w:r w:rsidRPr="00F21196">
        <w:rPr>
          <w:rFonts w:asciiTheme="minorHAnsi" w:hAnsiTheme="minorHAnsi" w:cs="Arial"/>
          <w:sz w:val="22"/>
          <w:szCs w:val="22"/>
        </w:rPr>
        <w:t xml:space="preserve"> wymogów INSPIRE – zapewnieni</w:t>
      </w:r>
      <w:r>
        <w:rPr>
          <w:rFonts w:asciiTheme="minorHAnsi" w:hAnsiTheme="minorHAnsi" w:cs="Arial"/>
          <w:sz w:val="22"/>
          <w:szCs w:val="22"/>
        </w:rPr>
        <w:t>u</w:t>
      </w:r>
      <w:r w:rsidRPr="00F21196">
        <w:rPr>
          <w:rFonts w:asciiTheme="minorHAnsi" w:hAnsiTheme="minorHAnsi" w:cs="Arial"/>
          <w:sz w:val="22"/>
          <w:szCs w:val="22"/>
        </w:rPr>
        <w:t xml:space="preserve"> dostępu do interoperacyjnych zbiorów danych przestrzennych na poziomie tematu „zagospodarowanie przestrzenne”;</w:t>
      </w:r>
    </w:p>
    <w:p w14:paraId="33B2EEF4" w14:textId="77777777" w:rsidR="00776D77" w:rsidRDefault="00776D77" w:rsidP="00776D77">
      <w:pPr>
        <w:pStyle w:val="Akapitzlist"/>
        <w:numPr>
          <w:ilvl w:val="0"/>
          <w:numId w:val="10"/>
        </w:numPr>
        <w:spacing w:line="276" w:lineRule="auto"/>
        <w:ind w:left="426"/>
        <w:jc w:val="both"/>
        <w:rPr>
          <w:rFonts w:asciiTheme="minorHAnsi" w:hAnsiTheme="minorHAnsi" w:cs="Arial"/>
          <w:sz w:val="22"/>
          <w:szCs w:val="22"/>
        </w:rPr>
      </w:pPr>
      <w:r>
        <w:rPr>
          <w:rFonts w:asciiTheme="minorHAnsi" w:hAnsiTheme="minorHAnsi" w:cs="Arial"/>
          <w:sz w:val="22"/>
          <w:szCs w:val="22"/>
        </w:rPr>
        <w:t>zobligowaniu organów administracji do prowadzenia w systemie teleinformatycznym rejestru zagospodarowania przestrzennego stanowiącego</w:t>
      </w:r>
      <w:r w:rsidRPr="00092065">
        <w:rPr>
          <w:rFonts w:asciiTheme="minorHAnsi" w:hAnsiTheme="minorHAnsi" w:cs="Arial"/>
          <w:sz w:val="22"/>
          <w:szCs w:val="22"/>
        </w:rPr>
        <w:t xml:space="preserve"> źródł</w:t>
      </w:r>
      <w:r>
        <w:rPr>
          <w:rFonts w:asciiTheme="minorHAnsi" w:hAnsiTheme="minorHAnsi" w:cs="Arial"/>
          <w:sz w:val="22"/>
          <w:szCs w:val="22"/>
        </w:rPr>
        <w:t>o</w:t>
      </w:r>
      <w:r w:rsidRPr="00092065">
        <w:rPr>
          <w:rFonts w:asciiTheme="minorHAnsi" w:hAnsiTheme="minorHAnsi" w:cs="Arial"/>
          <w:sz w:val="22"/>
          <w:szCs w:val="22"/>
        </w:rPr>
        <w:t xml:space="preserve"> danych i informacji przestrzennych z zakresu istniejącego i planowanego zagospodarowania przestrzennego</w:t>
      </w:r>
      <w:r>
        <w:rPr>
          <w:rFonts w:asciiTheme="minorHAnsi" w:hAnsiTheme="minorHAnsi" w:cs="Arial"/>
          <w:sz w:val="22"/>
          <w:szCs w:val="22"/>
        </w:rPr>
        <w:t xml:space="preserve">. </w:t>
      </w:r>
    </w:p>
    <w:p w14:paraId="7285E32D" w14:textId="77777777" w:rsidR="00776D77" w:rsidRPr="00AE6F44" w:rsidRDefault="00776D77" w:rsidP="00776D77">
      <w:pPr>
        <w:spacing w:after="60" w:line="276" w:lineRule="auto"/>
        <w:ind w:left="66"/>
        <w:jc w:val="both"/>
        <w:rPr>
          <w:rFonts w:cs="Arial"/>
        </w:rPr>
      </w:pPr>
    </w:p>
    <w:p w14:paraId="15691BB4" w14:textId="77777777" w:rsidR="00776D77" w:rsidRPr="00C703A4" w:rsidRDefault="00776D77" w:rsidP="00776D77">
      <w:pPr>
        <w:spacing w:after="60" w:line="276" w:lineRule="auto"/>
        <w:jc w:val="both"/>
        <w:rPr>
          <w:rFonts w:cs="Arial"/>
          <w:iCs/>
          <w:color w:val="000000"/>
        </w:rPr>
      </w:pPr>
      <w:r>
        <w:rPr>
          <w:rFonts w:cs="Arial"/>
          <w:b/>
          <w:u w:val="single"/>
        </w:rPr>
        <w:t>6</w:t>
      </w:r>
      <w:r w:rsidRPr="00F21196">
        <w:rPr>
          <w:rFonts w:cs="Arial"/>
          <w:b/>
          <w:u w:val="single"/>
        </w:rPr>
        <w:t>.4. Tworzenie uwarunkowań dla krajowego zintegrowanego systemu monitorowania zmian stanu zagospodarowania przestrzennego i jego oceny, opartego na GIS.</w:t>
      </w:r>
      <w:r>
        <w:rPr>
          <w:rFonts w:cs="Arial"/>
          <w:b/>
          <w:u w:val="single"/>
        </w:rPr>
        <w:t xml:space="preserve"> </w:t>
      </w:r>
      <w:r w:rsidRPr="00C703A4">
        <w:rPr>
          <w:rFonts w:cs="Arial"/>
          <w:iCs/>
          <w:color w:val="000000"/>
        </w:rPr>
        <w:t>W Polsce nie ma funkcjonującego systemu monitorowania zagospodarowania przestrzennego, który byłby jednolity i kompletny w skali kraju. Obecny poziom wiedzy o stanie istniejącego i planowanego zagospodarowania przestrzennego oraz występujących między nimi zależnościach jest niewystarczający do prawidłowego, sprawnego kształtowania polityki przestrzennej.</w:t>
      </w:r>
    </w:p>
    <w:p w14:paraId="7C5880A9" w14:textId="77777777" w:rsidR="00776D77" w:rsidRPr="00F21196" w:rsidRDefault="00776D77" w:rsidP="00776D77">
      <w:pPr>
        <w:tabs>
          <w:tab w:val="center" w:pos="4536"/>
          <w:tab w:val="right" w:pos="9072"/>
        </w:tabs>
        <w:spacing w:after="0" w:line="276" w:lineRule="auto"/>
        <w:jc w:val="both"/>
        <w:rPr>
          <w:rFonts w:cs="Arial"/>
          <w:iCs/>
          <w:color w:val="000000"/>
        </w:rPr>
      </w:pPr>
      <w:r w:rsidRPr="00F21196">
        <w:rPr>
          <w:rFonts w:cs="Arial"/>
          <w:iCs/>
          <w:color w:val="000000"/>
        </w:rPr>
        <w:t>Stworzenie jednolitego systemu monitorowania stanu zagospodarowania i jego oceny wymaga uprzedniego zrealizowania trzech zadań polegających na:</w:t>
      </w:r>
    </w:p>
    <w:p w14:paraId="6A4CBD0B" w14:textId="77777777" w:rsidR="00776D77" w:rsidRPr="00F21196" w:rsidRDefault="00776D77" w:rsidP="00723B3F">
      <w:pPr>
        <w:numPr>
          <w:ilvl w:val="0"/>
          <w:numId w:val="55"/>
        </w:numPr>
        <w:spacing w:after="0" w:line="276" w:lineRule="auto"/>
        <w:ind w:left="426"/>
        <w:jc w:val="both"/>
        <w:rPr>
          <w:rFonts w:cs="Arial"/>
          <w:iCs/>
        </w:rPr>
      </w:pPr>
      <w:r w:rsidRPr="00F21196">
        <w:rPr>
          <w:rFonts w:cs="Arial"/>
          <w:iCs/>
          <w:color w:val="000000"/>
        </w:rPr>
        <w:t>rozpoznaniu i przeanalizowaniu istotnych uwarunkowań budowy systemu (prawnych, organizacyjnych, technicznych i finansowych),</w:t>
      </w:r>
    </w:p>
    <w:p w14:paraId="1CFD2D55" w14:textId="77777777" w:rsidR="00776D77" w:rsidRPr="00F21196" w:rsidRDefault="00776D77" w:rsidP="00723B3F">
      <w:pPr>
        <w:numPr>
          <w:ilvl w:val="0"/>
          <w:numId w:val="55"/>
        </w:numPr>
        <w:spacing w:after="0" w:line="276" w:lineRule="auto"/>
        <w:ind w:left="426"/>
        <w:jc w:val="both"/>
        <w:rPr>
          <w:rFonts w:cs="Arial"/>
          <w:iCs/>
        </w:rPr>
      </w:pPr>
      <w:r w:rsidRPr="00F21196">
        <w:rPr>
          <w:rFonts w:cs="Arial"/>
          <w:iCs/>
        </w:rPr>
        <w:t>opracowaniu specyfikacji danych przestrzennych istniejącego zagospodarowania przestrzennego oraz przeprowadzeniu  projektu pilotażowego,</w:t>
      </w:r>
    </w:p>
    <w:p w14:paraId="37C0E3A8" w14:textId="77777777" w:rsidR="00776D77" w:rsidRPr="00F21196" w:rsidRDefault="00776D77" w:rsidP="00723B3F">
      <w:pPr>
        <w:pStyle w:val="Akapitzlist"/>
        <w:numPr>
          <w:ilvl w:val="0"/>
          <w:numId w:val="55"/>
        </w:numPr>
        <w:tabs>
          <w:tab w:val="left" w:pos="6061"/>
        </w:tabs>
        <w:spacing w:after="60" w:line="276" w:lineRule="auto"/>
        <w:ind w:left="426"/>
        <w:rPr>
          <w:rFonts w:asciiTheme="minorHAnsi" w:hAnsiTheme="minorHAnsi" w:cs="Arial"/>
          <w:iCs/>
          <w:color w:val="000000"/>
          <w:sz w:val="22"/>
          <w:szCs w:val="22"/>
        </w:rPr>
      </w:pPr>
      <w:r w:rsidRPr="00F21196">
        <w:rPr>
          <w:rFonts w:asciiTheme="minorHAnsi" w:hAnsiTheme="minorHAnsi" w:cs="Arial"/>
          <w:iCs/>
          <w:color w:val="000000"/>
          <w:sz w:val="22"/>
          <w:szCs w:val="22"/>
        </w:rPr>
        <w:t xml:space="preserve"> opracowaniu modelu systemu monitorowania zagospodarowania przestrzennego.</w:t>
      </w:r>
    </w:p>
    <w:p w14:paraId="7DEA6C55" w14:textId="77777777" w:rsidR="00776D77" w:rsidRPr="00274314" w:rsidRDefault="00776D77" w:rsidP="00776D77">
      <w:pPr>
        <w:tabs>
          <w:tab w:val="center" w:pos="4536"/>
          <w:tab w:val="right" w:pos="9072"/>
        </w:tabs>
        <w:spacing w:after="0" w:line="276" w:lineRule="auto"/>
        <w:jc w:val="both"/>
        <w:rPr>
          <w:rFonts w:cs="Arial"/>
          <w:iCs/>
          <w:color w:val="000000"/>
        </w:rPr>
      </w:pPr>
      <w:r w:rsidRPr="00274314">
        <w:rPr>
          <w:rFonts w:cs="Arial"/>
        </w:rPr>
        <w:t>Wskazane zadania będą wykonane w ramach projektu</w:t>
      </w:r>
      <w:r>
        <w:rPr>
          <w:rStyle w:val="Odwoanieprzypisudolnego"/>
          <w:rFonts w:cs="Arial"/>
        </w:rPr>
        <w:footnoteReference w:id="64"/>
      </w:r>
      <w:r w:rsidRPr="00274314">
        <w:rPr>
          <w:rFonts w:cs="Arial"/>
        </w:rPr>
        <w:t xml:space="preserve"> pn. „</w:t>
      </w:r>
      <w:r w:rsidRPr="00274314">
        <w:rPr>
          <w:rFonts w:cs="Arial"/>
          <w:i/>
        </w:rPr>
        <w:t>Wspólna przestrzeń – wspólne dobro – system monitorowania zmian w zagospodarowaniu przestrzennym</w:t>
      </w:r>
      <w:r w:rsidRPr="0035263F">
        <w:rPr>
          <w:rFonts w:cs="Arial"/>
        </w:rPr>
        <w:t>”, którego celem</w:t>
      </w:r>
      <w:r w:rsidRPr="0035263F">
        <w:rPr>
          <w:rFonts w:cs="Arial"/>
          <w:iCs/>
          <w:color w:val="000000"/>
        </w:rPr>
        <w:t xml:space="preserve"> jest wypracowanie założeń systemu monitorowania zmian w zagospodarowaniu przestrzennym, służącego</w:t>
      </w:r>
      <w:r w:rsidRPr="00274314">
        <w:rPr>
          <w:rFonts w:cs="Arial"/>
          <w:iCs/>
          <w:color w:val="000000"/>
        </w:rPr>
        <w:t>:</w:t>
      </w:r>
    </w:p>
    <w:p w14:paraId="254B03F3" w14:textId="77777777" w:rsidR="00776D77" w:rsidRPr="00274314" w:rsidRDefault="00776D77" w:rsidP="00723B3F">
      <w:pPr>
        <w:pStyle w:val="Akapitzlist"/>
        <w:numPr>
          <w:ilvl w:val="0"/>
          <w:numId w:val="54"/>
        </w:numPr>
        <w:spacing w:line="276" w:lineRule="auto"/>
        <w:ind w:left="426"/>
        <w:jc w:val="both"/>
        <w:rPr>
          <w:rFonts w:asciiTheme="minorHAnsi" w:hAnsiTheme="minorHAnsi" w:cs="Arial"/>
          <w:iCs/>
          <w:sz w:val="22"/>
        </w:rPr>
      </w:pPr>
      <w:r w:rsidRPr="00274314">
        <w:rPr>
          <w:rFonts w:asciiTheme="minorHAnsi" w:hAnsiTheme="minorHAnsi" w:cs="Arial"/>
          <w:iCs/>
          <w:sz w:val="22"/>
        </w:rPr>
        <w:t>dostarczaniu informacji o uwarunkowaniach i stanie zagospodarowania przestrzennego;</w:t>
      </w:r>
    </w:p>
    <w:p w14:paraId="49E3398C" w14:textId="77777777" w:rsidR="00776D77" w:rsidRPr="00274314" w:rsidRDefault="00776D77" w:rsidP="00723B3F">
      <w:pPr>
        <w:pStyle w:val="Akapitzlist"/>
        <w:numPr>
          <w:ilvl w:val="0"/>
          <w:numId w:val="54"/>
        </w:numPr>
        <w:spacing w:line="276" w:lineRule="auto"/>
        <w:ind w:left="426"/>
        <w:jc w:val="both"/>
        <w:rPr>
          <w:rFonts w:asciiTheme="minorHAnsi" w:hAnsiTheme="minorHAnsi" w:cs="Arial"/>
          <w:iCs/>
          <w:sz w:val="22"/>
        </w:rPr>
      </w:pPr>
      <w:r w:rsidRPr="00274314">
        <w:rPr>
          <w:rFonts w:asciiTheme="minorHAnsi" w:hAnsiTheme="minorHAnsi" w:cs="Arial"/>
          <w:iCs/>
          <w:sz w:val="22"/>
        </w:rPr>
        <w:t>sporządzaniu prognoz przestrzennych potrzeb rozwojowych;</w:t>
      </w:r>
    </w:p>
    <w:p w14:paraId="2D239982" w14:textId="77777777" w:rsidR="00776D77" w:rsidRPr="00274314" w:rsidRDefault="00776D77" w:rsidP="00723B3F">
      <w:pPr>
        <w:pStyle w:val="Akapitzlist"/>
        <w:numPr>
          <w:ilvl w:val="0"/>
          <w:numId w:val="54"/>
        </w:numPr>
        <w:spacing w:line="276" w:lineRule="auto"/>
        <w:ind w:left="426"/>
        <w:jc w:val="both"/>
        <w:rPr>
          <w:rFonts w:asciiTheme="minorHAnsi" w:hAnsiTheme="minorHAnsi" w:cs="Arial"/>
          <w:iCs/>
          <w:sz w:val="22"/>
        </w:rPr>
      </w:pPr>
      <w:r w:rsidRPr="00274314">
        <w:rPr>
          <w:rFonts w:asciiTheme="minorHAnsi" w:hAnsiTheme="minorHAnsi" w:cs="Arial"/>
          <w:iCs/>
          <w:sz w:val="22"/>
        </w:rPr>
        <w:t>ocenie skutków przestrzennych polityk publicznych;</w:t>
      </w:r>
    </w:p>
    <w:p w14:paraId="49C4EE69" w14:textId="77777777" w:rsidR="00776D77" w:rsidRPr="00274314" w:rsidRDefault="00776D77" w:rsidP="00723B3F">
      <w:pPr>
        <w:pStyle w:val="Akapitzlist"/>
        <w:numPr>
          <w:ilvl w:val="0"/>
          <w:numId w:val="54"/>
        </w:numPr>
        <w:spacing w:line="276" w:lineRule="auto"/>
        <w:ind w:left="426"/>
        <w:jc w:val="both"/>
        <w:rPr>
          <w:rFonts w:asciiTheme="minorHAnsi" w:hAnsiTheme="minorHAnsi" w:cs="Arial"/>
          <w:iCs/>
          <w:sz w:val="22"/>
        </w:rPr>
      </w:pPr>
      <w:r w:rsidRPr="00274314">
        <w:rPr>
          <w:rFonts w:asciiTheme="minorHAnsi" w:hAnsiTheme="minorHAnsi" w:cs="Arial"/>
          <w:iCs/>
          <w:sz w:val="22"/>
        </w:rPr>
        <w:t>ocenie dynamiki zmian w zagospodarowaniu przestrzennym, w powiązaniu z aktami planowania przestrzennego.</w:t>
      </w:r>
    </w:p>
    <w:p w14:paraId="15E1DEE2" w14:textId="77777777" w:rsidR="00776D77" w:rsidRDefault="00776D77" w:rsidP="009A0FAA">
      <w:pPr>
        <w:tabs>
          <w:tab w:val="left" w:pos="6061"/>
        </w:tabs>
        <w:spacing w:before="120" w:after="120" w:line="276" w:lineRule="auto"/>
        <w:jc w:val="both"/>
        <w:rPr>
          <w:rStyle w:val="Tekstpodstawowy2"/>
          <w:rFonts w:asciiTheme="minorHAnsi" w:hAnsiTheme="minorHAnsi" w:cs="Arial"/>
          <w:sz w:val="22"/>
          <w:szCs w:val="18"/>
          <w:u w:val="none"/>
        </w:rPr>
      </w:pPr>
      <w:r>
        <w:rPr>
          <w:rFonts w:cs="Arial"/>
          <w:b/>
          <w:spacing w:val="4"/>
          <w:u w:val="single"/>
        </w:rPr>
        <w:t>6</w:t>
      </w:r>
      <w:r w:rsidRPr="00F21196">
        <w:rPr>
          <w:rFonts w:cs="Arial"/>
          <w:b/>
          <w:spacing w:val="4"/>
          <w:u w:val="single"/>
        </w:rPr>
        <w:t>.5. Zagospodarowanie przestrzenne obszarów morskich.</w:t>
      </w:r>
      <w:r>
        <w:rPr>
          <w:rFonts w:cs="Arial"/>
          <w:b/>
          <w:spacing w:val="4"/>
          <w:u w:val="single"/>
        </w:rPr>
        <w:t xml:space="preserve"> </w:t>
      </w:r>
      <w:r>
        <w:rPr>
          <w:rStyle w:val="Tekstpodstawowy2"/>
          <w:rFonts w:asciiTheme="minorHAnsi" w:hAnsiTheme="minorHAnsi" w:cs="Arial"/>
          <w:sz w:val="22"/>
          <w:szCs w:val="18"/>
          <w:u w:val="none"/>
        </w:rPr>
        <w:t xml:space="preserve">Intensyfikacja sposobów </w:t>
      </w:r>
      <w:r w:rsidRPr="00F21196">
        <w:rPr>
          <w:rStyle w:val="Tekstpodstawowy2"/>
          <w:rFonts w:asciiTheme="minorHAnsi" w:hAnsiTheme="minorHAnsi" w:cs="Arial"/>
          <w:sz w:val="22"/>
          <w:szCs w:val="18"/>
          <w:u w:val="none"/>
        </w:rPr>
        <w:t>wykorzystania obszarów morskich wpływa na konieczność podjęcia działań służących utrzymaniu ładu przestrzennego. Celem morskiego planowania przestrzennego jest stworzeni</w:t>
      </w:r>
      <w:r>
        <w:rPr>
          <w:rStyle w:val="Tekstpodstawowy2"/>
          <w:rFonts w:asciiTheme="minorHAnsi" w:hAnsiTheme="minorHAnsi" w:cs="Arial"/>
          <w:sz w:val="22"/>
          <w:szCs w:val="18"/>
          <w:u w:val="none"/>
        </w:rPr>
        <w:t>e</w:t>
      </w:r>
      <w:r w:rsidRPr="00F21196">
        <w:rPr>
          <w:rStyle w:val="Tekstpodstawowy2"/>
          <w:rFonts w:asciiTheme="minorHAnsi" w:hAnsiTheme="minorHAnsi" w:cs="Arial"/>
          <w:sz w:val="22"/>
          <w:szCs w:val="18"/>
          <w:u w:val="none"/>
        </w:rPr>
        <w:t xml:space="preserve"> narzędzia w postaci planu, służącego koordynacji działań przestrzennych, w tym realizacji przedsięwzięć na polskich obszarach morskich w sposób zrównoważony, tj. aby zapewnić efektywne wykorzystanie ich cech, zasobów i właściwości dla celów społecznych i gospodarczych, zminimalizować konflikty między użytkownikami oraz z otoczeniem, jak również zapewnić trwałość nieodnawialnych zasobów i procesów przyrodniczych w perspektywie obecnego i </w:t>
      </w:r>
      <w:r>
        <w:rPr>
          <w:rStyle w:val="Tekstpodstawowy2"/>
          <w:rFonts w:asciiTheme="minorHAnsi" w:hAnsiTheme="minorHAnsi" w:cs="Arial"/>
          <w:sz w:val="22"/>
          <w:szCs w:val="18"/>
          <w:u w:val="none"/>
        </w:rPr>
        <w:t>przyszłych</w:t>
      </w:r>
      <w:r w:rsidRPr="00F21196">
        <w:rPr>
          <w:rStyle w:val="Tekstpodstawowy2"/>
          <w:rFonts w:asciiTheme="minorHAnsi" w:hAnsiTheme="minorHAnsi" w:cs="Arial"/>
          <w:sz w:val="22"/>
          <w:szCs w:val="18"/>
          <w:u w:val="none"/>
        </w:rPr>
        <w:t xml:space="preserve"> pokoleń, uwzględniając podejście ekosystemowe. Dopełniające nakładanie na siebie rozstrzygnięć planistycznych w zagospodarowaniu przestrzennym polskich obszarów morskich i innych decyzji zarządczych wobec tych obszarów (np. takich jak plany ochrony obszarów Natura 2000, określanie obszarów służących bezpieczeństwu i obronności państwa, decyzje w sprawie stref separacji ruchu statków, ustalenia maksymalnych kwot połowowych, itp.) wpłynie na stan i zrównoważony rozwój polskich obszarów morskich. Planowanie i zagospodarowanie przestrzenne polskich obszarów morskich nie powinno zastępować innych procesów decyzyjnych, natomiast służyć temu, aby wszystkie te procesy były wobec siebie komplementarne</w:t>
      </w:r>
      <w:r>
        <w:rPr>
          <w:rStyle w:val="Tekstpodstawowy2"/>
          <w:rFonts w:asciiTheme="minorHAnsi" w:hAnsiTheme="minorHAnsi" w:cs="Arial"/>
          <w:sz w:val="22"/>
          <w:szCs w:val="18"/>
          <w:u w:val="none"/>
        </w:rPr>
        <w:t>.</w:t>
      </w:r>
    </w:p>
    <w:p w14:paraId="3F5A0880" w14:textId="77777777" w:rsidR="005D39BA" w:rsidRPr="00F21196" w:rsidRDefault="00D163B6" w:rsidP="00AB2D73">
      <w:pPr>
        <w:pBdr>
          <w:bottom w:val="single" w:sz="24" w:space="1" w:color="A8D08D" w:themeColor="accent6" w:themeTint="99"/>
        </w:pBdr>
        <w:shd w:val="clear" w:color="auto" w:fill="E2EFD9" w:themeFill="accent6" w:themeFillTint="33"/>
        <w:spacing w:after="0"/>
        <w:rPr>
          <w:rFonts w:eastAsia="Times New Roman" w:cs="Calibri"/>
          <w:b/>
          <w:lang w:eastAsia="pl-PL"/>
        </w:rPr>
      </w:pPr>
      <w:r w:rsidRPr="00F21196">
        <w:rPr>
          <w:rFonts w:eastAsia="Times New Roman" w:cs="Calibri"/>
          <w:b/>
          <w:lang w:eastAsia="pl-PL"/>
        </w:rPr>
        <w:t>II.</w:t>
      </w:r>
      <w:r w:rsidR="005D39BA" w:rsidRPr="00F21196">
        <w:rPr>
          <w:rFonts w:eastAsia="Times New Roman" w:cs="Calibri"/>
          <w:b/>
          <w:lang w:eastAsia="pl-PL"/>
        </w:rPr>
        <w:t>5.</w:t>
      </w:r>
      <w:r w:rsidR="002673A5" w:rsidRPr="00F21196">
        <w:rPr>
          <w:rFonts w:eastAsia="Times New Roman" w:cs="Calibri"/>
          <w:b/>
          <w:lang w:eastAsia="pl-PL"/>
        </w:rPr>
        <w:t xml:space="preserve"> </w:t>
      </w:r>
      <w:r w:rsidR="00F41029" w:rsidRPr="00F21196">
        <w:rPr>
          <w:rFonts w:eastAsia="Times New Roman" w:cs="Calibri"/>
          <w:b/>
          <w:sz w:val="24"/>
          <w:lang w:eastAsia="pl-PL"/>
        </w:rPr>
        <w:t>Wykaz projektów strategicznych</w:t>
      </w:r>
    </w:p>
    <w:p w14:paraId="7C04DCC8" w14:textId="77777777" w:rsidR="00844B6E" w:rsidRPr="00F21196" w:rsidRDefault="00844B6E" w:rsidP="00844B6E">
      <w:pPr>
        <w:spacing w:after="0" w:line="276" w:lineRule="auto"/>
        <w:jc w:val="both"/>
        <w:rPr>
          <w:bCs/>
        </w:rPr>
      </w:pPr>
    </w:p>
    <w:tbl>
      <w:tblPr>
        <w:tblW w:w="9923" w:type="dxa"/>
        <w:tblInd w:w="-10" w:type="dxa"/>
        <w:tblBorders>
          <w:top w:val="single" w:sz="8" w:space="0" w:color="A8D08D" w:themeColor="accent6" w:themeTint="99"/>
          <w:left w:val="single" w:sz="8" w:space="0" w:color="A8D08D" w:themeColor="accent6" w:themeTint="99"/>
          <w:bottom w:val="single" w:sz="8" w:space="0" w:color="A8D08D" w:themeColor="accent6" w:themeTint="99"/>
          <w:right w:val="single" w:sz="8" w:space="0" w:color="A8D08D" w:themeColor="accent6" w:themeTint="99"/>
          <w:insideH w:val="single" w:sz="8" w:space="0" w:color="A8D08D" w:themeColor="accent6" w:themeTint="99"/>
          <w:insideV w:val="single" w:sz="8" w:space="0" w:color="A8D08D" w:themeColor="accent6" w:themeTint="99"/>
        </w:tblBorders>
        <w:tblLayout w:type="fixed"/>
        <w:tblCellMar>
          <w:left w:w="70" w:type="dxa"/>
          <w:right w:w="70" w:type="dxa"/>
        </w:tblCellMar>
        <w:tblLook w:val="04A0" w:firstRow="1" w:lastRow="0" w:firstColumn="1" w:lastColumn="0" w:noHBand="0" w:noVBand="1"/>
      </w:tblPr>
      <w:tblGrid>
        <w:gridCol w:w="1985"/>
        <w:gridCol w:w="1134"/>
        <w:gridCol w:w="1276"/>
        <w:gridCol w:w="3827"/>
        <w:gridCol w:w="1701"/>
      </w:tblGrid>
      <w:tr w:rsidR="00DC61CB" w:rsidRPr="00F21196" w14:paraId="739A733E" w14:textId="4C7FE375" w:rsidTr="00A23644">
        <w:trPr>
          <w:trHeight w:val="204"/>
          <w:tblHeader/>
        </w:trPr>
        <w:tc>
          <w:tcPr>
            <w:tcW w:w="1985" w:type="dxa"/>
            <w:shd w:val="clear" w:color="auto" w:fill="E2EFD9" w:themeFill="accent6" w:themeFillTint="33"/>
            <w:hideMark/>
          </w:tcPr>
          <w:p w14:paraId="6196CD08" w14:textId="77777777" w:rsidR="00DC61CB" w:rsidRPr="00F21196" w:rsidRDefault="00DC61CB" w:rsidP="00090463">
            <w:pPr>
              <w:spacing w:after="0" w:line="240" w:lineRule="auto"/>
              <w:jc w:val="center"/>
              <w:rPr>
                <w:rFonts w:eastAsia="Times New Roman" w:cs="Calibri"/>
                <w:b/>
                <w:bCs/>
                <w:sz w:val="18"/>
                <w:szCs w:val="18"/>
                <w:lang w:eastAsia="pl-PL"/>
              </w:rPr>
            </w:pPr>
            <w:r w:rsidRPr="00F21196">
              <w:rPr>
                <w:rFonts w:eastAsia="Times New Roman" w:cs="Calibri"/>
                <w:b/>
                <w:bCs/>
                <w:sz w:val="18"/>
                <w:szCs w:val="18"/>
                <w:lang w:eastAsia="pl-PL"/>
              </w:rPr>
              <w:t>Inicjatywa</w:t>
            </w:r>
          </w:p>
        </w:tc>
        <w:tc>
          <w:tcPr>
            <w:tcW w:w="1134" w:type="dxa"/>
            <w:shd w:val="clear" w:color="auto" w:fill="E2EFD9" w:themeFill="accent6" w:themeFillTint="33"/>
            <w:hideMark/>
          </w:tcPr>
          <w:p w14:paraId="714486CB" w14:textId="77777777" w:rsidR="00DC61CB" w:rsidRPr="00F21196" w:rsidRDefault="00DC61CB" w:rsidP="00090463">
            <w:pPr>
              <w:spacing w:after="0" w:line="240" w:lineRule="auto"/>
              <w:ind w:hanging="5"/>
              <w:jc w:val="center"/>
              <w:rPr>
                <w:rFonts w:eastAsia="Times New Roman" w:cs="Calibri"/>
                <w:b/>
                <w:bCs/>
                <w:sz w:val="18"/>
                <w:szCs w:val="18"/>
                <w:lang w:eastAsia="pl-PL"/>
              </w:rPr>
            </w:pPr>
            <w:r w:rsidRPr="00F21196">
              <w:rPr>
                <w:rFonts w:eastAsia="Times New Roman" w:cs="Calibri"/>
                <w:b/>
                <w:bCs/>
                <w:sz w:val="18"/>
                <w:szCs w:val="18"/>
                <w:lang w:eastAsia="pl-PL"/>
              </w:rPr>
              <w:t>Podmiot wiodący</w:t>
            </w:r>
          </w:p>
        </w:tc>
        <w:tc>
          <w:tcPr>
            <w:tcW w:w="1276" w:type="dxa"/>
            <w:shd w:val="clear" w:color="auto" w:fill="E2EFD9" w:themeFill="accent6" w:themeFillTint="33"/>
          </w:tcPr>
          <w:p w14:paraId="6CF4003F" w14:textId="77777777" w:rsidR="00DC61CB" w:rsidRPr="00F21196" w:rsidRDefault="00DC61CB" w:rsidP="00090463">
            <w:pPr>
              <w:spacing w:after="0" w:line="240" w:lineRule="auto"/>
              <w:jc w:val="center"/>
              <w:rPr>
                <w:rFonts w:eastAsia="Times New Roman" w:cs="Calibri"/>
                <w:b/>
                <w:bCs/>
                <w:sz w:val="18"/>
                <w:szCs w:val="18"/>
                <w:lang w:eastAsia="pl-PL"/>
              </w:rPr>
            </w:pPr>
            <w:r w:rsidRPr="00F21196">
              <w:rPr>
                <w:rFonts w:eastAsia="Times New Roman" w:cs="Calibri"/>
                <w:b/>
                <w:sz w:val="18"/>
                <w:szCs w:val="18"/>
                <w:lang w:eastAsia="pl-PL"/>
              </w:rPr>
              <w:t>Planowany przedział czasowy na realizację</w:t>
            </w:r>
          </w:p>
        </w:tc>
        <w:tc>
          <w:tcPr>
            <w:tcW w:w="3827" w:type="dxa"/>
            <w:shd w:val="clear" w:color="auto" w:fill="E2EFD9" w:themeFill="accent6" w:themeFillTint="33"/>
          </w:tcPr>
          <w:p w14:paraId="67BA5D4E" w14:textId="77777777" w:rsidR="00DC61CB" w:rsidRPr="00F21196" w:rsidRDefault="00DC61CB" w:rsidP="00090463">
            <w:pPr>
              <w:spacing w:after="0" w:line="240" w:lineRule="auto"/>
              <w:jc w:val="center"/>
              <w:rPr>
                <w:rFonts w:eastAsia="Times New Roman" w:cs="Calibri"/>
                <w:b/>
                <w:bCs/>
                <w:sz w:val="18"/>
                <w:szCs w:val="18"/>
                <w:lang w:eastAsia="pl-PL"/>
              </w:rPr>
            </w:pPr>
            <w:r w:rsidRPr="00F21196">
              <w:rPr>
                <w:rFonts w:eastAsia="Times New Roman" w:cs="Calibri"/>
                <w:b/>
                <w:bCs/>
                <w:sz w:val="18"/>
                <w:szCs w:val="18"/>
                <w:lang w:eastAsia="pl-PL"/>
              </w:rPr>
              <w:t>Syntetyczny opis</w:t>
            </w:r>
          </w:p>
        </w:tc>
        <w:tc>
          <w:tcPr>
            <w:tcW w:w="1701" w:type="dxa"/>
            <w:shd w:val="clear" w:color="auto" w:fill="E2EFD9" w:themeFill="accent6" w:themeFillTint="33"/>
          </w:tcPr>
          <w:p w14:paraId="6145CD47" w14:textId="64AA58FE" w:rsidR="00DC61CB" w:rsidRPr="00F21196" w:rsidRDefault="00DC61CB" w:rsidP="00090463">
            <w:pPr>
              <w:spacing w:after="0" w:line="240" w:lineRule="auto"/>
              <w:jc w:val="center"/>
              <w:rPr>
                <w:rFonts w:eastAsia="Times New Roman" w:cs="Calibri"/>
                <w:b/>
                <w:bCs/>
                <w:sz w:val="18"/>
                <w:szCs w:val="18"/>
                <w:lang w:eastAsia="pl-PL"/>
              </w:rPr>
            </w:pPr>
            <w:r>
              <w:rPr>
                <w:rFonts w:eastAsia="Times New Roman" w:cs="Calibri"/>
                <w:b/>
                <w:bCs/>
                <w:sz w:val="18"/>
                <w:szCs w:val="18"/>
                <w:lang w:eastAsia="pl-PL"/>
              </w:rPr>
              <w:t>Kierunek interwencji</w:t>
            </w:r>
          </w:p>
        </w:tc>
      </w:tr>
      <w:tr w:rsidR="00DC61CB" w:rsidRPr="00F21196" w14:paraId="0C2DB985" w14:textId="7EE0C9AC" w:rsidTr="00A23644">
        <w:trPr>
          <w:trHeight w:val="70"/>
        </w:trPr>
        <w:tc>
          <w:tcPr>
            <w:tcW w:w="1985" w:type="dxa"/>
            <w:shd w:val="clear" w:color="auto" w:fill="auto"/>
          </w:tcPr>
          <w:p w14:paraId="3FCDA87C" w14:textId="77777777" w:rsidR="00DC61CB" w:rsidRPr="005F4F5D" w:rsidRDefault="00DC61CB" w:rsidP="00C5216D">
            <w:pPr>
              <w:spacing w:line="240" w:lineRule="auto"/>
              <w:rPr>
                <w:b/>
                <w:sz w:val="18"/>
                <w:szCs w:val="18"/>
              </w:rPr>
            </w:pPr>
            <w:r w:rsidRPr="005F4F5D">
              <w:rPr>
                <w:rFonts w:cs="Arial"/>
                <w:b/>
                <w:sz w:val="18"/>
                <w:szCs w:val="18"/>
              </w:rPr>
              <w:t>Reforma procesu inwestycyjno-budowlanego</w:t>
            </w:r>
          </w:p>
        </w:tc>
        <w:tc>
          <w:tcPr>
            <w:tcW w:w="1134" w:type="dxa"/>
            <w:shd w:val="clear" w:color="auto" w:fill="auto"/>
            <w:vAlign w:val="center"/>
          </w:tcPr>
          <w:p w14:paraId="4FC583FF" w14:textId="0B273279" w:rsidR="00DC61CB" w:rsidRPr="00F21196" w:rsidRDefault="00DC61CB" w:rsidP="00E670D4">
            <w:pPr>
              <w:spacing w:line="240" w:lineRule="auto"/>
              <w:jc w:val="center"/>
              <w:rPr>
                <w:rFonts w:cs="Calibri"/>
                <w:sz w:val="20"/>
                <w:szCs w:val="20"/>
              </w:rPr>
            </w:pPr>
            <w:r>
              <w:rPr>
                <w:rFonts w:eastAsia="Times New Roman" w:cs="Calibri"/>
                <w:sz w:val="20"/>
                <w:szCs w:val="20"/>
                <w:lang w:eastAsia="pl-PL"/>
              </w:rPr>
              <w:t>MR</w:t>
            </w:r>
            <w:r w:rsidR="0073424C">
              <w:rPr>
                <w:rFonts w:eastAsia="Times New Roman" w:cs="Calibri"/>
                <w:sz w:val="20"/>
                <w:szCs w:val="20"/>
                <w:lang w:eastAsia="pl-PL"/>
              </w:rPr>
              <w:t>,PiT</w:t>
            </w:r>
          </w:p>
        </w:tc>
        <w:tc>
          <w:tcPr>
            <w:tcW w:w="1276" w:type="dxa"/>
            <w:shd w:val="clear" w:color="auto" w:fill="auto"/>
            <w:vAlign w:val="center"/>
          </w:tcPr>
          <w:p w14:paraId="6765BD81" w14:textId="77777777" w:rsidR="00DC61CB" w:rsidRPr="00F21196" w:rsidRDefault="00DC61CB" w:rsidP="00DC61CB">
            <w:pPr>
              <w:autoSpaceDE w:val="0"/>
              <w:autoSpaceDN w:val="0"/>
              <w:adjustRightInd w:val="0"/>
              <w:spacing w:line="240" w:lineRule="auto"/>
              <w:jc w:val="center"/>
              <w:rPr>
                <w:rFonts w:eastAsia="Calibri"/>
                <w:sz w:val="18"/>
                <w:szCs w:val="20"/>
              </w:rPr>
            </w:pPr>
            <w:r w:rsidRPr="00F21196">
              <w:rPr>
                <w:rFonts w:eastAsia="Times New Roman" w:cs="Calibri"/>
                <w:sz w:val="18"/>
                <w:szCs w:val="18"/>
                <w:lang w:eastAsia="pl-PL"/>
              </w:rPr>
              <w:t>Od 2016</w:t>
            </w:r>
          </w:p>
        </w:tc>
        <w:tc>
          <w:tcPr>
            <w:tcW w:w="3827" w:type="dxa"/>
          </w:tcPr>
          <w:p w14:paraId="4523DEF8" w14:textId="77777777" w:rsidR="00DC61CB" w:rsidRPr="00F21196" w:rsidRDefault="00DC61CB" w:rsidP="00C5216D">
            <w:pPr>
              <w:autoSpaceDE w:val="0"/>
              <w:autoSpaceDN w:val="0"/>
              <w:adjustRightInd w:val="0"/>
              <w:spacing w:after="0" w:line="240" w:lineRule="auto"/>
              <w:rPr>
                <w:rFonts w:eastAsia="Times New Roman" w:cs="Calibri"/>
                <w:color w:val="1F497D"/>
                <w:sz w:val="18"/>
                <w:szCs w:val="18"/>
                <w:lang w:eastAsia="pl-PL"/>
              </w:rPr>
            </w:pPr>
            <w:r w:rsidRPr="00F21196">
              <w:rPr>
                <w:rFonts w:cs="Calibri"/>
                <w:sz w:val="18"/>
                <w:szCs w:val="18"/>
              </w:rPr>
              <w:t>Kompleksowa regulacja zakładająca osiągnięcie trzech głównych celów: 1) przywrócenia i utrwalenia ładu przestrzennego, 2) usprawnienia procesów</w:t>
            </w:r>
            <w:r>
              <w:rPr>
                <w:rFonts w:cs="Calibri"/>
                <w:sz w:val="18"/>
                <w:szCs w:val="18"/>
              </w:rPr>
              <w:t xml:space="preserve"> </w:t>
            </w:r>
            <w:r w:rsidRPr="00F21196">
              <w:rPr>
                <w:rFonts w:cs="Calibri"/>
                <w:sz w:val="18"/>
                <w:szCs w:val="18"/>
              </w:rPr>
              <w:t>inwestycyjno-budowlanych, 3) zapewnienia sprawnej i terminowej realizacji inwestycji celu publicznego.</w:t>
            </w:r>
          </w:p>
        </w:tc>
        <w:tc>
          <w:tcPr>
            <w:tcW w:w="1701" w:type="dxa"/>
          </w:tcPr>
          <w:p w14:paraId="10A5B523" w14:textId="47F94223" w:rsidR="00DC61CB" w:rsidRPr="002F36D3" w:rsidRDefault="001D6D08" w:rsidP="001D6D08">
            <w:pPr>
              <w:autoSpaceDE w:val="0"/>
              <w:autoSpaceDN w:val="0"/>
              <w:adjustRightInd w:val="0"/>
              <w:spacing w:after="0" w:line="240" w:lineRule="auto"/>
              <w:rPr>
                <w:rFonts w:cs="Calibri"/>
                <w:sz w:val="18"/>
                <w:szCs w:val="18"/>
              </w:rPr>
            </w:pPr>
            <w:r>
              <w:rPr>
                <w:rFonts w:cs="Calibri,Bold"/>
                <w:bCs/>
                <w:sz w:val="18"/>
                <w:szCs w:val="18"/>
              </w:rPr>
              <w:t>6</w:t>
            </w:r>
            <w:r w:rsidR="00A063CB" w:rsidRPr="002F36D3">
              <w:rPr>
                <w:rFonts w:cs="Calibri,Bold"/>
                <w:bCs/>
                <w:sz w:val="18"/>
                <w:szCs w:val="18"/>
              </w:rPr>
              <w:t xml:space="preserve">. </w:t>
            </w:r>
            <w:r w:rsidR="00A063CB" w:rsidRPr="002F36D3">
              <w:rPr>
                <w:sz w:val="18"/>
                <w:szCs w:val="18"/>
              </w:rPr>
              <w:t xml:space="preserve">Zintegrowanie planowania społecznego, gospodarczego i przestrzennego, w tym </w:t>
            </w:r>
            <w:r w:rsidR="00A063CB" w:rsidRPr="002F36D3">
              <w:rPr>
                <w:rFonts w:cs="Arial"/>
                <w:iCs/>
                <w:sz w:val="18"/>
                <w:szCs w:val="18"/>
              </w:rPr>
              <w:t>zagospodarowania przestrzennego obszarów morskich.</w:t>
            </w:r>
          </w:p>
        </w:tc>
      </w:tr>
      <w:tr w:rsidR="00DC61CB" w:rsidRPr="00F21196" w14:paraId="4B42D576" w14:textId="4022B7B0" w:rsidTr="00A23644">
        <w:trPr>
          <w:trHeight w:val="1996"/>
        </w:trPr>
        <w:tc>
          <w:tcPr>
            <w:tcW w:w="1985" w:type="dxa"/>
            <w:shd w:val="clear" w:color="auto" w:fill="auto"/>
          </w:tcPr>
          <w:p w14:paraId="5132EC98" w14:textId="77777777" w:rsidR="00DC61CB" w:rsidRPr="005F4F5D" w:rsidRDefault="00DC61CB" w:rsidP="00E670D4">
            <w:pPr>
              <w:spacing w:after="0" w:line="240" w:lineRule="auto"/>
              <w:rPr>
                <w:rFonts w:eastAsia="Times New Roman" w:cs="Calibri"/>
                <w:b/>
                <w:bCs/>
                <w:sz w:val="18"/>
                <w:szCs w:val="18"/>
                <w:lang w:eastAsia="pl-PL"/>
              </w:rPr>
            </w:pPr>
            <w:r w:rsidRPr="005F4F5D">
              <w:rPr>
                <w:rFonts w:eastAsia="Times New Roman" w:cs="Calibri"/>
                <w:b/>
                <w:sz w:val="18"/>
                <w:szCs w:val="18"/>
                <w:lang w:eastAsia="pl-PL"/>
              </w:rPr>
              <w:t>Powszechny system monitorowania usług publicznych</w:t>
            </w:r>
          </w:p>
        </w:tc>
        <w:tc>
          <w:tcPr>
            <w:tcW w:w="1134" w:type="dxa"/>
            <w:shd w:val="clear" w:color="auto" w:fill="auto"/>
          </w:tcPr>
          <w:p w14:paraId="29AB75C9" w14:textId="77777777" w:rsidR="00DC61CB" w:rsidRPr="00F64187" w:rsidRDefault="00DC61CB" w:rsidP="00E670D4">
            <w:pPr>
              <w:spacing w:after="0" w:line="240" w:lineRule="auto"/>
              <w:jc w:val="center"/>
              <w:rPr>
                <w:rFonts w:eastAsia="Times New Roman" w:cs="Calibri"/>
                <w:sz w:val="20"/>
                <w:szCs w:val="20"/>
                <w:lang w:eastAsia="pl-PL"/>
              </w:rPr>
            </w:pPr>
            <w:r w:rsidRPr="00F64187">
              <w:rPr>
                <w:rFonts w:eastAsia="Times New Roman" w:cs="Calibri"/>
                <w:sz w:val="20"/>
                <w:szCs w:val="20"/>
                <w:lang w:eastAsia="pl-PL"/>
              </w:rPr>
              <w:t>MSWiA</w:t>
            </w:r>
          </w:p>
        </w:tc>
        <w:tc>
          <w:tcPr>
            <w:tcW w:w="1276" w:type="dxa"/>
            <w:shd w:val="clear" w:color="auto" w:fill="auto"/>
          </w:tcPr>
          <w:p w14:paraId="31D26F72" w14:textId="77777777" w:rsidR="00DC61CB" w:rsidRPr="00F64187" w:rsidRDefault="00DC61CB" w:rsidP="00DC61CB">
            <w:pPr>
              <w:spacing w:after="0"/>
              <w:jc w:val="center"/>
              <w:rPr>
                <w:rFonts w:eastAsia="Times New Roman" w:cs="Calibri"/>
                <w:sz w:val="18"/>
                <w:szCs w:val="18"/>
                <w:lang w:eastAsia="pl-PL"/>
              </w:rPr>
            </w:pPr>
            <w:r w:rsidRPr="00F64187">
              <w:rPr>
                <w:rFonts w:eastAsia="Times New Roman" w:cs="Calibri"/>
                <w:sz w:val="18"/>
                <w:szCs w:val="18"/>
                <w:lang w:eastAsia="pl-PL"/>
              </w:rPr>
              <w:t>2019-2021</w:t>
            </w:r>
          </w:p>
        </w:tc>
        <w:tc>
          <w:tcPr>
            <w:tcW w:w="3827" w:type="dxa"/>
          </w:tcPr>
          <w:p w14:paraId="03499D98" w14:textId="77777777" w:rsidR="00AE755D" w:rsidRPr="00AE755D" w:rsidRDefault="00AE755D" w:rsidP="00AE755D">
            <w:pPr>
              <w:spacing w:after="0" w:line="240" w:lineRule="auto"/>
              <w:jc w:val="both"/>
              <w:rPr>
                <w:rFonts w:eastAsia="Times New Roman" w:cstheme="minorHAnsi"/>
                <w:sz w:val="18"/>
                <w:szCs w:val="18"/>
                <w:lang w:eastAsia="pl-PL"/>
              </w:rPr>
            </w:pPr>
            <w:r w:rsidRPr="00AE755D">
              <w:rPr>
                <w:rFonts w:eastAsia="Times New Roman" w:cstheme="minorHAnsi"/>
                <w:sz w:val="18"/>
                <w:szCs w:val="18"/>
                <w:lang w:eastAsia="pl-PL"/>
              </w:rPr>
              <w:t>Wdrażanie w administracji samorządowej rozwiązań poprawiających efektywność zarządzania usługami publicznymi w następujących obszarach:</w:t>
            </w:r>
          </w:p>
          <w:p w14:paraId="3A2F874B" w14:textId="77777777" w:rsidR="00AE755D" w:rsidRPr="00AE755D" w:rsidRDefault="00AE755D" w:rsidP="00723B3F">
            <w:pPr>
              <w:pStyle w:val="Akapitzlist"/>
              <w:numPr>
                <w:ilvl w:val="0"/>
                <w:numId w:val="71"/>
              </w:numPr>
              <w:jc w:val="both"/>
              <w:rPr>
                <w:rFonts w:asciiTheme="minorHAnsi" w:eastAsia="Times New Roman" w:hAnsiTheme="minorHAnsi" w:cstheme="minorHAnsi"/>
                <w:sz w:val="18"/>
                <w:szCs w:val="18"/>
              </w:rPr>
            </w:pPr>
            <w:r w:rsidRPr="00AE755D">
              <w:rPr>
                <w:rFonts w:asciiTheme="minorHAnsi" w:eastAsia="Times New Roman" w:hAnsiTheme="minorHAnsi" w:cstheme="minorHAnsi"/>
                <w:sz w:val="18"/>
                <w:szCs w:val="18"/>
              </w:rPr>
              <w:t>Podatki i opłaty lokalne,</w:t>
            </w:r>
          </w:p>
          <w:p w14:paraId="4C660F21" w14:textId="77777777" w:rsidR="00AE755D" w:rsidRPr="00AE755D" w:rsidRDefault="00AE755D" w:rsidP="00723B3F">
            <w:pPr>
              <w:pStyle w:val="Akapitzlist"/>
              <w:numPr>
                <w:ilvl w:val="0"/>
                <w:numId w:val="71"/>
              </w:numPr>
              <w:jc w:val="both"/>
              <w:rPr>
                <w:rFonts w:asciiTheme="minorHAnsi" w:hAnsiTheme="minorHAnsi" w:cstheme="minorHAnsi"/>
                <w:sz w:val="18"/>
                <w:szCs w:val="18"/>
              </w:rPr>
            </w:pPr>
            <w:r w:rsidRPr="00AE755D">
              <w:rPr>
                <w:rFonts w:asciiTheme="minorHAnsi" w:eastAsia="Times New Roman" w:hAnsiTheme="minorHAnsi" w:cstheme="minorHAnsi"/>
                <w:sz w:val="18"/>
                <w:szCs w:val="18"/>
              </w:rPr>
              <w:t>Gospodarowanie nieruchomościami,</w:t>
            </w:r>
          </w:p>
          <w:p w14:paraId="025F4F64" w14:textId="77777777" w:rsidR="00AE755D" w:rsidRPr="00AE755D" w:rsidRDefault="00AE755D" w:rsidP="00723B3F">
            <w:pPr>
              <w:pStyle w:val="Akapitzlist"/>
              <w:numPr>
                <w:ilvl w:val="0"/>
                <w:numId w:val="71"/>
              </w:numPr>
              <w:jc w:val="both"/>
              <w:rPr>
                <w:rFonts w:asciiTheme="minorHAnsi" w:hAnsiTheme="minorHAnsi" w:cstheme="minorHAnsi"/>
                <w:sz w:val="18"/>
                <w:szCs w:val="18"/>
              </w:rPr>
            </w:pPr>
            <w:r w:rsidRPr="00AE755D">
              <w:rPr>
                <w:rFonts w:asciiTheme="minorHAnsi" w:eastAsia="Times New Roman" w:hAnsiTheme="minorHAnsi" w:cstheme="minorHAnsi"/>
                <w:sz w:val="18"/>
                <w:szCs w:val="18"/>
              </w:rPr>
              <w:t>Drogownictwo i transport,</w:t>
            </w:r>
          </w:p>
          <w:p w14:paraId="1D75601C" w14:textId="77777777" w:rsidR="00AE755D" w:rsidRPr="00AE755D" w:rsidRDefault="00AE755D" w:rsidP="00723B3F">
            <w:pPr>
              <w:pStyle w:val="Akapitzlist"/>
              <w:numPr>
                <w:ilvl w:val="0"/>
                <w:numId w:val="71"/>
              </w:numPr>
              <w:jc w:val="both"/>
              <w:rPr>
                <w:rFonts w:asciiTheme="minorHAnsi" w:hAnsiTheme="minorHAnsi" w:cstheme="minorHAnsi"/>
                <w:sz w:val="18"/>
                <w:szCs w:val="18"/>
              </w:rPr>
            </w:pPr>
            <w:r w:rsidRPr="00AE755D">
              <w:rPr>
                <w:rFonts w:asciiTheme="minorHAnsi" w:eastAsia="Times New Roman" w:hAnsiTheme="minorHAnsi" w:cstheme="minorHAnsi"/>
                <w:sz w:val="18"/>
                <w:szCs w:val="18"/>
              </w:rPr>
              <w:t>Ochrona środowiska,</w:t>
            </w:r>
          </w:p>
          <w:p w14:paraId="3AF4CF2B" w14:textId="77777777" w:rsidR="00AE755D" w:rsidRPr="00AE755D" w:rsidRDefault="00AE755D" w:rsidP="00723B3F">
            <w:pPr>
              <w:pStyle w:val="Akapitzlist"/>
              <w:numPr>
                <w:ilvl w:val="0"/>
                <w:numId w:val="71"/>
              </w:numPr>
              <w:jc w:val="both"/>
              <w:rPr>
                <w:rFonts w:asciiTheme="minorHAnsi" w:hAnsiTheme="minorHAnsi" w:cstheme="minorHAnsi"/>
                <w:sz w:val="18"/>
                <w:szCs w:val="18"/>
              </w:rPr>
            </w:pPr>
            <w:r w:rsidRPr="00AE755D">
              <w:rPr>
                <w:rFonts w:asciiTheme="minorHAnsi" w:eastAsia="Times New Roman" w:hAnsiTheme="minorHAnsi" w:cstheme="minorHAnsi"/>
                <w:sz w:val="18"/>
                <w:szCs w:val="18"/>
              </w:rPr>
              <w:t>Inwestycje i budownictwo,</w:t>
            </w:r>
          </w:p>
          <w:p w14:paraId="5CBC698E" w14:textId="77777777" w:rsidR="00AE755D" w:rsidRPr="00AE755D" w:rsidRDefault="00AE755D" w:rsidP="00723B3F">
            <w:pPr>
              <w:pStyle w:val="Akapitzlist"/>
              <w:numPr>
                <w:ilvl w:val="0"/>
                <w:numId w:val="71"/>
              </w:numPr>
              <w:jc w:val="both"/>
              <w:rPr>
                <w:rFonts w:asciiTheme="minorHAnsi" w:hAnsiTheme="minorHAnsi" w:cstheme="minorHAnsi"/>
                <w:sz w:val="18"/>
                <w:szCs w:val="18"/>
              </w:rPr>
            </w:pPr>
            <w:r w:rsidRPr="00AE755D">
              <w:rPr>
                <w:rFonts w:asciiTheme="minorHAnsi" w:eastAsia="Times New Roman" w:hAnsiTheme="minorHAnsi" w:cstheme="minorHAnsi"/>
                <w:sz w:val="18"/>
                <w:szCs w:val="18"/>
              </w:rPr>
              <w:t>Geodezja i kartografia,</w:t>
            </w:r>
          </w:p>
          <w:p w14:paraId="432A4A9F" w14:textId="77777777" w:rsidR="00AE755D" w:rsidRPr="00AE755D" w:rsidRDefault="00AE755D" w:rsidP="00723B3F">
            <w:pPr>
              <w:pStyle w:val="Akapitzlist"/>
              <w:numPr>
                <w:ilvl w:val="0"/>
                <w:numId w:val="71"/>
              </w:numPr>
              <w:jc w:val="both"/>
              <w:rPr>
                <w:rFonts w:asciiTheme="minorHAnsi" w:hAnsiTheme="minorHAnsi" w:cstheme="minorHAnsi"/>
                <w:sz w:val="18"/>
                <w:szCs w:val="18"/>
              </w:rPr>
            </w:pPr>
            <w:r w:rsidRPr="00AE755D">
              <w:rPr>
                <w:rFonts w:asciiTheme="minorHAnsi" w:eastAsia="Times New Roman" w:hAnsiTheme="minorHAnsi" w:cstheme="minorHAnsi"/>
                <w:sz w:val="18"/>
                <w:szCs w:val="18"/>
              </w:rPr>
              <w:t>Edukacja,</w:t>
            </w:r>
          </w:p>
          <w:p w14:paraId="487D8E07" w14:textId="77777777" w:rsidR="00AE755D" w:rsidRPr="00AE755D" w:rsidRDefault="00AE755D" w:rsidP="00723B3F">
            <w:pPr>
              <w:pStyle w:val="Akapitzlist"/>
              <w:numPr>
                <w:ilvl w:val="0"/>
                <w:numId w:val="71"/>
              </w:numPr>
              <w:jc w:val="both"/>
              <w:rPr>
                <w:rFonts w:asciiTheme="minorHAnsi" w:hAnsiTheme="minorHAnsi" w:cstheme="minorHAnsi"/>
                <w:sz w:val="18"/>
                <w:szCs w:val="18"/>
              </w:rPr>
            </w:pPr>
            <w:r w:rsidRPr="00AE755D">
              <w:rPr>
                <w:rFonts w:asciiTheme="minorHAnsi" w:eastAsia="Times New Roman" w:hAnsiTheme="minorHAnsi" w:cstheme="minorHAnsi"/>
                <w:sz w:val="18"/>
                <w:szCs w:val="18"/>
              </w:rPr>
              <w:t>Lokalna polityka społeczna,</w:t>
            </w:r>
          </w:p>
          <w:p w14:paraId="13BE7B56" w14:textId="77777777" w:rsidR="00AE755D" w:rsidRPr="00AE755D" w:rsidRDefault="00AE755D" w:rsidP="00723B3F">
            <w:pPr>
              <w:pStyle w:val="Akapitzlist"/>
              <w:numPr>
                <w:ilvl w:val="0"/>
                <w:numId w:val="71"/>
              </w:numPr>
              <w:jc w:val="both"/>
              <w:rPr>
                <w:rFonts w:asciiTheme="minorHAnsi" w:hAnsiTheme="minorHAnsi" w:cstheme="minorHAnsi"/>
                <w:sz w:val="18"/>
                <w:szCs w:val="18"/>
              </w:rPr>
            </w:pPr>
            <w:r w:rsidRPr="00AE755D">
              <w:rPr>
                <w:rFonts w:asciiTheme="minorHAnsi" w:eastAsia="Times New Roman" w:hAnsiTheme="minorHAnsi" w:cstheme="minorHAnsi"/>
                <w:sz w:val="18"/>
                <w:szCs w:val="18"/>
              </w:rPr>
              <w:t>Kultura i rekreacja.</w:t>
            </w:r>
          </w:p>
          <w:p w14:paraId="2C621EC2" w14:textId="0D8E4F16" w:rsidR="00DC61CB" w:rsidRPr="00F21196" w:rsidRDefault="00AE755D" w:rsidP="00AE755D">
            <w:pPr>
              <w:spacing w:after="0" w:line="240" w:lineRule="auto"/>
              <w:ind w:left="215" w:hanging="215"/>
              <w:jc w:val="both"/>
              <w:rPr>
                <w:sz w:val="18"/>
                <w:szCs w:val="18"/>
                <w:lang w:eastAsia="pl-PL"/>
              </w:rPr>
            </w:pPr>
            <w:r w:rsidRPr="00AE755D">
              <w:rPr>
                <w:rFonts w:eastAsia="Times New Roman" w:cstheme="minorHAnsi"/>
                <w:sz w:val="18"/>
                <w:szCs w:val="18"/>
              </w:rPr>
              <w:t xml:space="preserve">System SMUP, dzięki swojej zawartości informacyjnej, pozwoli samorządom na realizację polityk publicznych w oparciu o dane (tzw. evidence based policy). Pozostali interesariusze systemu – przedsiębiorcy, organizacje pozarządowe, środowiska naukowe oraz ogół społeczeństwa – otrzymają otwarty dostęp do danych o ilości, jakości, dostępności oraz efektywności finansowej usług publicznych świadczonych przez JST w Polsce.  </w:t>
            </w:r>
          </w:p>
        </w:tc>
        <w:tc>
          <w:tcPr>
            <w:tcW w:w="1701" w:type="dxa"/>
          </w:tcPr>
          <w:p w14:paraId="2EED0DE9" w14:textId="77777777" w:rsidR="00A063CB" w:rsidRPr="002F36D3" w:rsidRDefault="00A063CB" w:rsidP="00A063CB">
            <w:pPr>
              <w:spacing w:after="0" w:line="240" w:lineRule="auto"/>
              <w:ind w:left="31" w:hanging="31"/>
              <w:rPr>
                <w:rFonts w:cs="Calibri,Bold"/>
                <w:bCs/>
                <w:sz w:val="18"/>
                <w:szCs w:val="18"/>
              </w:rPr>
            </w:pPr>
            <w:r w:rsidRPr="002F36D3">
              <w:rPr>
                <w:rFonts w:cs="Calibri,Bold"/>
                <w:bCs/>
                <w:sz w:val="18"/>
                <w:szCs w:val="18"/>
              </w:rPr>
              <w:t>1. Doskonalenie funkcjonowania jednostek samorządu terytorialnego.</w:t>
            </w:r>
          </w:p>
          <w:p w14:paraId="0EEDA8B7" w14:textId="77777777" w:rsidR="00DC61CB" w:rsidRPr="002F36D3" w:rsidRDefault="00DC61CB" w:rsidP="00041BCE">
            <w:pPr>
              <w:spacing w:after="0" w:line="240" w:lineRule="auto"/>
              <w:jc w:val="both"/>
              <w:rPr>
                <w:rFonts w:eastAsia="Times New Roman" w:cs="Calibri"/>
                <w:sz w:val="18"/>
                <w:szCs w:val="18"/>
                <w:lang w:eastAsia="pl-PL"/>
              </w:rPr>
            </w:pPr>
          </w:p>
        </w:tc>
      </w:tr>
      <w:tr w:rsidR="00DC61CB" w:rsidRPr="00F21196" w14:paraId="5FE1F268" w14:textId="1713CAD8" w:rsidTr="00A23644">
        <w:trPr>
          <w:trHeight w:val="295"/>
        </w:trPr>
        <w:tc>
          <w:tcPr>
            <w:tcW w:w="1985" w:type="dxa"/>
            <w:shd w:val="clear" w:color="auto" w:fill="auto"/>
          </w:tcPr>
          <w:p w14:paraId="1764CBD3" w14:textId="77777777" w:rsidR="00DC61CB" w:rsidRPr="005F4F5D" w:rsidRDefault="00DC61CB" w:rsidP="00B73479">
            <w:pPr>
              <w:spacing w:line="240" w:lineRule="auto"/>
              <w:rPr>
                <w:rFonts w:eastAsia="Times New Roman" w:cs="Calibri"/>
                <w:b/>
                <w:bCs/>
                <w:sz w:val="18"/>
                <w:szCs w:val="18"/>
                <w:lang w:eastAsia="pl-PL"/>
              </w:rPr>
            </w:pPr>
            <w:r w:rsidRPr="005F4F5D">
              <w:rPr>
                <w:rFonts w:eastAsia="Times New Roman" w:cs="Calibri"/>
                <w:b/>
                <w:bCs/>
                <w:sz w:val="18"/>
                <w:szCs w:val="18"/>
                <w:lang w:eastAsia="pl-PL"/>
              </w:rPr>
              <w:t>Plan zagospodarowania przestrzennego polskich obszarów morskich</w:t>
            </w:r>
          </w:p>
        </w:tc>
        <w:tc>
          <w:tcPr>
            <w:tcW w:w="1134" w:type="dxa"/>
            <w:shd w:val="clear" w:color="auto" w:fill="auto"/>
          </w:tcPr>
          <w:p w14:paraId="10EC2057" w14:textId="095BDF79" w:rsidR="00DC61CB" w:rsidRPr="00F21196" w:rsidRDefault="0073424C" w:rsidP="00B73479">
            <w:pPr>
              <w:spacing w:line="240" w:lineRule="auto"/>
              <w:jc w:val="center"/>
              <w:rPr>
                <w:rFonts w:eastAsia="Times New Roman" w:cs="Calibri"/>
                <w:sz w:val="20"/>
                <w:szCs w:val="20"/>
                <w:lang w:eastAsia="pl-PL"/>
              </w:rPr>
            </w:pPr>
            <w:r>
              <w:rPr>
                <w:rFonts w:eastAsia="Times New Roman" w:cs="Calibri"/>
                <w:sz w:val="20"/>
                <w:szCs w:val="20"/>
                <w:lang w:eastAsia="pl-PL"/>
              </w:rPr>
              <w:t>MI</w:t>
            </w:r>
          </w:p>
        </w:tc>
        <w:tc>
          <w:tcPr>
            <w:tcW w:w="1276" w:type="dxa"/>
            <w:shd w:val="clear" w:color="auto" w:fill="auto"/>
          </w:tcPr>
          <w:p w14:paraId="4DA17668" w14:textId="77777777" w:rsidR="00DC61CB" w:rsidRPr="00F21196" w:rsidRDefault="00DC61CB" w:rsidP="00B73479">
            <w:pPr>
              <w:autoSpaceDE w:val="0"/>
              <w:autoSpaceDN w:val="0"/>
              <w:adjustRightInd w:val="0"/>
              <w:spacing w:line="240" w:lineRule="auto"/>
              <w:rPr>
                <w:rFonts w:eastAsia="Times New Roman" w:cs="Calibri"/>
                <w:sz w:val="18"/>
                <w:szCs w:val="18"/>
                <w:lang w:eastAsia="pl-PL"/>
              </w:rPr>
            </w:pPr>
            <w:r w:rsidRPr="00F21196">
              <w:rPr>
                <w:rFonts w:eastAsia="Times New Roman" w:cs="Calibri"/>
                <w:sz w:val="18"/>
                <w:szCs w:val="18"/>
                <w:lang w:eastAsia="pl-PL"/>
              </w:rPr>
              <w:t>2015-2021</w:t>
            </w:r>
          </w:p>
        </w:tc>
        <w:tc>
          <w:tcPr>
            <w:tcW w:w="3827" w:type="dxa"/>
          </w:tcPr>
          <w:p w14:paraId="16CBF53E" w14:textId="77777777" w:rsidR="00DC61CB" w:rsidRDefault="00DC61CB" w:rsidP="00B73479">
            <w:pPr>
              <w:autoSpaceDE w:val="0"/>
              <w:autoSpaceDN w:val="0"/>
              <w:adjustRightInd w:val="0"/>
              <w:spacing w:after="0" w:line="240" w:lineRule="auto"/>
              <w:rPr>
                <w:rFonts w:cs="Calibri"/>
                <w:b/>
                <w:sz w:val="18"/>
                <w:szCs w:val="18"/>
              </w:rPr>
            </w:pPr>
            <w:r w:rsidRPr="00B54373">
              <w:rPr>
                <w:rFonts w:cs="Calibri"/>
                <w:sz w:val="18"/>
                <w:szCs w:val="18"/>
              </w:rPr>
              <w:t>Baza dla efektywnego wykorzystania przestrzeni morskiej przy zastosowaniu podejścia ekosystemowego, usprawnienia procedur dotyczących procesów inwestycyjnych w polskich obszarach morskich, wzmocnienia pozycji</w:t>
            </w:r>
            <w:r>
              <w:rPr>
                <w:rFonts w:cs="Calibri"/>
                <w:sz w:val="18"/>
                <w:szCs w:val="18"/>
              </w:rPr>
              <w:t xml:space="preserve"> </w:t>
            </w:r>
            <w:r w:rsidRPr="00B54373">
              <w:rPr>
                <w:rFonts w:cs="Calibri"/>
                <w:sz w:val="18"/>
                <w:szCs w:val="18"/>
              </w:rPr>
              <w:t>polskich portów morskich, zwiększenia konkurencyjności transportu morskiego, zapewnienia bezpieczeństwa morskiego odcinka granicy państwowej i obszarów morskich, bezpieczeństwa morskiego oraz zwiększenia udziału sektora morskiego w PKB. Podstawą do jego przyjęcia przez ministra właściwego ds. gospodarki morskiej będzie opracowanie projektu tego planu przez właściwych terytorialnie dyrektorów urzędów morskich. Produktem finalnym będzie objęcie polskich obszarów morskich planami zagospodarowania przestrzennego, które przyczynią się do wprowadzenia ładu przestrzennego i zrównoważonego rozwoju na tych obszarach. Projekt planu uwzględni uwarunkowania wynikające ze zintegrowanego systemu bezpieczeństwa morskiego odcinka granicy RP.</w:t>
            </w:r>
            <w:r w:rsidRPr="00B54373">
              <w:rPr>
                <w:rFonts w:cs="Calibri"/>
                <w:b/>
                <w:sz w:val="18"/>
                <w:szCs w:val="18"/>
              </w:rPr>
              <w:t xml:space="preserve">  </w:t>
            </w:r>
          </w:p>
          <w:p w14:paraId="46485497" w14:textId="77777777" w:rsidR="00A063CB" w:rsidRPr="00B54373" w:rsidRDefault="00A063CB" w:rsidP="00B73479">
            <w:pPr>
              <w:autoSpaceDE w:val="0"/>
              <w:autoSpaceDN w:val="0"/>
              <w:adjustRightInd w:val="0"/>
              <w:spacing w:after="0" w:line="240" w:lineRule="auto"/>
              <w:rPr>
                <w:rFonts w:eastAsia="Times New Roman" w:cs="Calibri"/>
                <w:sz w:val="18"/>
                <w:szCs w:val="18"/>
                <w:lang w:eastAsia="pl-PL"/>
              </w:rPr>
            </w:pPr>
          </w:p>
        </w:tc>
        <w:tc>
          <w:tcPr>
            <w:tcW w:w="1701" w:type="dxa"/>
          </w:tcPr>
          <w:p w14:paraId="6D5983D4" w14:textId="24A11380" w:rsidR="00DC61CB" w:rsidRPr="002F36D3" w:rsidRDefault="00F70E5C" w:rsidP="00F70E5C">
            <w:pPr>
              <w:autoSpaceDE w:val="0"/>
              <w:autoSpaceDN w:val="0"/>
              <w:adjustRightInd w:val="0"/>
              <w:spacing w:after="0" w:line="240" w:lineRule="auto"/>
              <w:rPr>
                <w:rFonts w:cs="Calibri"/>
                <w:sz w:val="18"/>
                <w:szCs w:val="18"/>
              </w:rPr>
            </w:pPr>
            <w:r>
              <w:rPr>
                <w:rFonts w:cs="Calibri,Bold"/>
                <w:bCs/>
                <w:sz w:val="18"/>
                <w:szCs w:val="18"/>
              </w:rPr>
              <w:t>6</w:t>
            </w:r>
            <w:r w:rsidR="00A063CB" w:rsidRPr="002F36D3">
              <w:rPr>
                <w:rFonts w:cs="Calibri,Bold"/>
                <w:bCs/>
                <w:sz w:val="18"/>
                <w:szCs w:val="18"/>
              </w:rPr>
              <w:t xml:space="preserve">. </w:t>
            </w:r>
            <w:r w:rsidR="00A063CB" w:rsidRPr="002F36D3">
              <w:rPr>
                <w:sz w:val="18"/>
                <w:szCs w:val="18"/>
              </w:rPr>
              <w:t xml:space="preserve">Zintegrowanie planowania społecznego, gospodarczego i przestrzennego, w tym </w:t>
            </w:r>
            <w:r w:rsidR="00A063CB" w:rsidRPr="002F36D3">
              <w:rPr>
                <w:rFonts w:cs="Arial"/>
                <w:iCs/>
                <w:sz w:val="18"/>
                <w:szCs w:val="18"/>
              </w:rPr>
              <w:t>zagospodarowania przestrzennego obszarów morskich.</w:t>
            </w:r>
          </w:p>
        </w:tc>
      </w:tr>
      <w:tr w:rsidR="006F4312" w:rsidRPr="00F21196" w14:paraId="7C50BE92" w14:textId="1E23412C" w:rsidTr="00A23644">
        <w:trPr>
          <w:trHeight w:val="163"/>
        </w:trPr>
        <w:tc>
          <w:tcPr>
            <w:tcW w:w="1985" w:type="dxa"/>
            <w:shd w:val="clear" w:color="auto" w:fill="auto"/>
          </w:tcPr>
          <w:p w14:paraId="7A1D598B" w14:textId="77777777" w:rsidR="006F4312" w:rsidRPr="005F4F5D" w:rsidRDefault="006F4312" w:rsidP="006F4312">
            <w:pPr>
              <w:spacing w:after="0" w:line="240" w:lineRule="auto"/>
              <w:rPr>
                <w:rFonts w:eastAsia="Times New Roman" w:cs="Calibri"/>
                <w:b/>
                <w:bCs/>
                <w:sz w:val="18"/>
                <w:szCs w:val="18"/>
                <w:lang w:eastAsia="pl-PL"/>
              </w:rPr>
            </w:pPr>
            <w:r w:rsidRPr="005F4F5D">
              <w:rPr>
                <w:rFonts w:eastAsia="Times New Roman" w:cs="Calibri"/>
                <w:b/>
                <w:bCs/>
                <w:sz w:val="18"/>
                <w:szCs w:val="18"/>
                <w:lang w:eastAsia="pl-PL"/>
              </w:rPr>
              <w:t>Wdrożenie standardów i procedur obsługi interesanta w sądownictwie powszechnym (</w:t>
            </w:r>
            <w:r>
              <w:rPr>
                <w:rFonts w:eastAsia="Times New Roman" w:cs="Calibri"/>
                <w:b/>
                <w:bCs/>
                <w:sz w:val="18"/>
                <w:szCs w:val="18"/>
                <w:lang w:eastAsia="pl-PL"/>
              </w:rPr>
              <w:t>W</w:t>
            </w:r>
            <w:r w:rsidRPr="005F4F5D">
              <w:rPr>
                <w:rFonts w:eastAsia="Times New Roman" w:cs="Calibri"/>
                <w:b/>
                <w:bCs/>
                <w:sz w:val="18"/>
                <w:szCs w:val="18"/>
                <w:lang w:eastAsia="pl-PL"/>
              </w:rPr>
              <w:t>SOI)</w:t>
            </w:r>
          </w:p>
        </w:tc>
        <w:tc>
          <w:tcPr>
            <w:tcW w:w="1134" w:type="dxa"/>
            <w:shd w:val="clear" w:color="auto" w:fill="auto"/>
          </w:tcPr>
          <w:p w14:paraId="53011A90" w14:textId="77777777" w:rsidR="006F4312" w:rsidRPr="00F21196" w:rsidRDefault="006F4312" w:rsidP="006F4312">
            <w:pPr>
              <w:spacing w:after="0" w:line="240" w:lineRule="auto"/>
              <w:jc w:val="center"/>
              <w:rPr>
                <w:rFonts w:eastAsia="Times New Roman" w:cs="Calibri"/>
                <w:sz w:val="20"/>
                <w:szCs w:val="20"/>
                <w:lang w:eastAsia="pl-PL"/>
              </w:rPr>
            </w:pPr>
            <w:r w:rsidRPr="00F21196">
              <w:rPr>
                <w:rFonts w:eastAsia="Times New Roman" w:cs="Calibri"/>
                <w:sz w:val="20"/>
                <w:szCs w:val="20"/>
                <w:lang w:eastAsia="pl-PL"/>
              </w:rPr>
              <w:t>MS</w:t>
            </w:r>
          </w:p>
        </w:tc>
        <w:tc>
          <w:tcPr>
            <w:tcW w:w="1276" w:type="dxa"/>
            <w:shd w:val="clear" w:color="auto" w:fill="auto"/>
          </w:tcPr>
          <w:p w14:paraId="6C64E3E5" w14:textId="77777777" w:rsidR="006F4312" w:rsidRPr="00F21196" w:rsidRDefault="006F4312" w:rsidP="006F4312">
            <w:pPr>
              <w:spacing w:after="0" w:line="240" w:lineRule="auto"/>
              <w:rPr>
                <w:rFonts w:eastAsia="Times New Roman" w:cs="Calibri"/>
                <w:sz w:val="18"/>
                <w:szCs w:val="18"/>
                <w:lang w:eastAsia="pl-PL"/>
              </w:rPr>
            </w:pPr>
            <w:r>
              <w:rPr>
                <w:rFonts w:eastAsia="Times New Roman" w:cs="Calibri"/>
                <w:sz w:val="18"/>
                <w:szCs w:val="18"/>
                <w:lang w:eastAsia="pl-PL"/>
              </w:rPr>
              <w:t>2018-2020</w:t>
            </w:r>
          </w:p>
        </w:tc>
        <w:tc>
          <w:tcPr>
            <w:tcW w:w="3827" w:type="dxa"/>
          </w:tcPr>
          <w:p w14:paraId="745F0506" w14:textId="4FFC567F" w:rsidR="006F4312" w:rsidRPr="00F21196" w:rsidRDefault="006F4312" w:rsidP="00EE69AD">
            <w:pPr>
              <w:spacing w:after="0" w:line="240" w:lineRule="auto"/>
              <w:jc w:val="both"/>
              <w:rPr>
                <w:rFonts w:eastAsia="Times New Roman" w:cs="Calibri"/>
                <w:sz w:val="18"/>
                <w:szCs w:val="18"/>
                <w:lang w:eastAsia="pl-PL"/>
              </w:rPr>
            </w:pPr>
            <w:r w:rsidRPr="00F21196">
              <w:rPr>
                <w:rFonts w:eastAsia="Times New Roman" w:cs="Calibri"/>
                <w:sz w:val="18"/>
                <w:szCs w:val="18"/>
                <w:lang w:eastAsia="pl-PL"/>
              </w:rPr>
              <w:t>Celem projektu jest usprawnienie procesów zarz</w:t>
            </w:r>
            <w:r>
              <w:rPr>
                <w:rFonts w:eastAsia="Times New Roman" w:cs="Calibri"/>
                <w:sz w:val="18"/>
                <w:szCs w:val="18"/>
                <w:lang w:eastAsia="pl-PL"/>
              </w:rPr>
              <w:t>ą</w:t>
            </w:r>
            <w:r w:rsidRPr="00F21196">
              <w:rPr>
                <w:rFonts w:eastAsia="Times New Roman" w:cs="Calibri"/>
                <w:sz w:val="18"/>
                <w:szCs w:val="18"/>
                <w:lang w:eastAsia="pl-PL"/>
              </w:rPr>
              <w:t>dzania i komunikacji w obszarze usługi interesanta w s</w:t>
            </w:r>
            <w:r>
              <w:rPr>
                <w:rFonts w:eastAsia="Times New Roman" w:cs="Calibri"/>
                <w:sz w:val="18"/>
                <w:szCs w:val="18"/>
                <w:lang w:eastAsia="pl-PL"/>
              </w:rPr>
              <w:t>ą</w:t>
            </w:r>
            <w:r w:rsidRPr="00F21196">
              <w:rPr>
                <w:rFonts w:eastAsia="Times New Roman" w:cs="Calibri"/>
                <w:sz w:val="18"/>
                <w:szCs w:val="18"/>
                <w:lang w:eastAsia="pl-PL"/>
              </w:rPr>
              <w:t>downictwie powszechnym poprzez wdrożenie standardów obsługi interesanta, katalogu usług z kartami usług i powiązanymi z nimi procedurami świadczenia usług oraz wspieranie tworzenia Biur Obsługi interesanta w sądach. Działania mają na celu efektywne świadczenie usług publicznych. W sposób bezpośredni wpłyną na sprawność działania, a tym samym na wzmocnienie zdolności instytucjonalnych wszystkich sądów powszechnych oraz obywateli korzystających z usług świadczonych na ich rzecz przez Biura Obsługi Interesantów, Punkty Obsługi Interesanta, Punkty Informacyjne oraz sekretariaty wydziałów. Wzrost kompetencji urzędników wymiaru sprawiedliwości (</w:t>
            </w:r>
            <w:r>
              <w:rPr>
                <w:rFonts w:eastAsia="Times New Roman" w:cs="Calibri"/>
                <w:sz w:val="18"/>
                <w:szCs w:val="18"/>
                <w:lang w:eastAsia="pl-PL"/>
              </w:rPr>
              <w:t xml:space="preserve">warsztaty, </w:t>
            </w:r>
            <w:r w:rsidRPr="00F21196">
              <w:rPr>
                <w:rFonts w:eastAsia="Times New Roman" w:cs="Calibri"/>
                <w:sz w:val="18"/>
                <w:szCs w:val="18"/>
                <w:lang w:eastAsia="pl-PL"/>
              </w:rPr>
              <w:t xml:space="preserve">szkolenia e-learningowe, </w:t>
            </w:r>
            <w:r>
              <w:rPr>
                <w:rFonts w:eastAsia="Times New Roman" w:cs="Calibri"/>
                <w:sz w:val="18"/>
                <w:szCs w:val="18"/>
                <w:lang w:eastAsia="pl-PL"/>
              </w:rPr>
              <w:t>superwizje</w:t>
            </w:r>
            <w:r w:rsidRPr="00F21196">
              <w:rPr>
                <w:rFonts w:eastAsia="Times New Roman" w:cs="Calibri"/>
                <w:sz w:val="18"/>
                <w:szCs w:val="18"/>
                <w:lang w:eastAsia="pl-PL"/>
              </w:rPr>
              <w:t xml:space="preserve">) zajmujących się obsługą interesantów wpłynie na wzmocnienie pozytywnego wizerunku sądów, a tym samym lepsze postrzeganie sądów jako </w:t>
            </w:r>
            <w:r>
              <w:rPr>
                <w:rFonts w:eastAsia="Times New Roman" w:cs="Calibri"/>
                <w:sz w:val="18"/>
                <w:szCs w:val="18"/>
                <w:lang w:eastAsia="pl-PL"/>
              </w:rPr>
              <w:t>instytucji zaufania publicznego oraz</w:t>
            </w:r>
            <w:r w:rsidRPr="00F21196">
              <w:rPr>
                <w:rFonts w:eastAsia="Times New Roman" w:cs="Calibri"/>
                <w:sz w:val="18"/>
                <w:szCs w:val="18"/>
                <w:lang w:eastAsia="pl-PL"/>
              </w:rPr>
              <w:t xml:space="preserve"> </w:t>
            </w:r>
            <w:r>
              <w:rPr>
                <w:rFonts w:eastAsia="Times New Roman" w:cs="Calibri"/>
                <w:sz w:val="18"/>
                <w:szCs w:val="18"/>
                <w:lang w:eastAsia="pl-PL"/>
              </w:rPr>
              <w:t xml:space="preserve"> </w:t>
            </w:r>
            <w:r w:rsidRPr="00F21196">
              <w:rPr>
                <w:rFonts w:eastAsia="Times New Roman" w:cs="Calibri"/>
                <w:sz w:val="18"/>
                <w:szCs w:val="18"/>
                <w:lang w:eastAsia="pl-PL"/>
              </w:rPr>
              <w:t>poprawę wizerunku sądów wśród obywateli.</w:t>
            </w:r>
          </w:p>
        </w:tc>
        <w:tc>
          <w:tcPr>
            <w:tcW w:w="1701" w:type="dxa"/>
          </w:tcPr>
          <w:p w14:paraId="4987F0DA" w14:textId="2839AD1E" w:rsidR="006F4312" w:rsidRPr="002F36D3" w:rsidRDefault="006F4312" w:rsidP="006F4312">
            <w:pPr>
              <w:spacing w:after="0" w:line="240" w:lineRule="auto"/>
              <w:rPr>
                <w:rFonts w:eastAsia="Times New Roman" w:cs="Calibri"/>
                <w:sz w:val="18"/>
                <w:szCs w:val="18"/>
                <w:lang w:eastAsia="pl-PL"/>
              </w:rPr>
            </w:pPr>
            <w:r>
              <w:rPr>
                <w:rFonts w:cs="Arial"/>
                <w:sz w:val="18"/>
                <w:szCs w:val="18"/>
              </w:rPr>
              <w:t>5.</w:t>
            </w:r>
            <w:r w:rsidRPr="002F36D3">
              <w:rPr>
                <w:rFonts w:cs="Arial"/>
                <w:sz w:val="18"/>
                <w:szCs w:val="18"/>
              </w:rPr>
              <w:t>Poprawa funkcjonowania wymiaru sprawiedliwości, w tym prokuratury.</w:t>
            </w:r>
          </w:p>
        </w:tc>
      </w:tr>
      <w:tr w:rsidR="006F4312" w:rsidRPr="00F21196" w14:paraId="4F3FB9C7" w14:textId="7F2FBA0D" w:rsidTr="00A23644">
        <w:trPr>
          <w:trHeight w:val="163"/>
        </w:trPr>
        <w:tc>
          <w:tcPr>
            <w:tcW w:w="1985" w:type="dxa"/>
            <w:shd w:val="clear" w:color="auto" w:fill="auto"/>
          </w:tcPr>
          <w:p w14:paraId="40ABEFEF" w14:textId="77777777" w:rsidR="006F4312" w:rsidRPr="005F4F5D" w:rsidRDefault="006F4312" w:rsidP="006F4312">
            <w:pPr>
              <w:spacing w:after="0" w:line="240" w:lineRule="auto"/>
              <w:rPr>
                <w:rFonts w:cs="Times New Roman"/>
                <w:b/>
                <w:sz w:val="18"/>
                <w:szCs w:val="18"/>
              </w:rPr>
            </w:pPr>
            <w:r w:rsidRPr="005F4F5D">
              <w:rPr>
                <w:b/>
                <w:sz w:val="18"/>
                <w:szCs w:val="18"/>
              </w:rPr>
              <w:t>Wzrost skuteczności prowadzonych postępowań przygotowawczych i skrócenie obiegu informacji z wykorzystaniem systemów oraz narzędzi wsparcia i</w:t>
            </w:r>
            <w:r>
              <w:rPr>
                <w:b/>
                <w:sz w:val="18"/>
                <w:szCs w:val="18"/>
              </w:rPr>
              <w:t>nformatycznego i informacyjnego</w:t>
            </w:r>
          </w:p>
        </w:tc>
        <w:tc>
          <w:tcPr>
            <w:tcW w:w="1134" w:type="dxa"/>
            <w:shd w:val="clear" w:color="auto" w:fill="auto"/>
          </w:tcPr>
          <w:p w14:paraId="1F207845" w14:textId="77777777" w:rsidR="006F4312" w:rsidRPr="00F21196" w:rsidRDefault="006F4312" w:rsidP="006F4312">
            <w:pPr>
              <w:spacing w:after="0" w:line="240" w:lineRule="auto"/>
              <w:jc w:val="center"/>
              <w:rPr>
                <w:rFonts w:cs="Times New Roman"/>
                <w:sz w:val="20"/>
                <w:szCs w:val="20"/>
              </w:rPr>
            </w:pPr>
            <w:r w:rsidRPr="00F21196">
              <w:rPr>
                <w:rFonts w:cs="Times New Roman"/>
                <w:sz w:val="20"/>
                <w:szCs w:val="20"/>
              </w:rPr>
              <w:t>PK</w:t>
            </w:r>
          </w:p>
        </w:tc>
        <w:tc>
          <w:tcPr>
            <w:tcW w:w="1276" w:type="dxa"/>
            <w:shd w:val="clear" w:color="auto" w:fill="auto"/>
          </w:tcPr>
          <w:p w14:paraId="3BB2BDBE" w14:textId="77777777" w:rsidR="006F4312" w:rsidRPr="00F21196" w:rsidRDefault="006F4312" w:rsidP="006F4312">
            <w:pPr>
              <w:spacing w:after="0" w:line="240" w:lineRule="auto"/>
              <w:rPr>
                <w:rFonts w:cs="Times New Roman"/>
                <w:sz w:val="18"/>
                <w:szCs w:val="18"/>
              </w:rPr>
            </w:pPr>
            <w:r w:rsidRPr="00F21196">
              <w:rPr>
                <w:rFonts w:cs="Times New Roman"/>
                <w:sz w:val="18"/>
                <w:szCs w:val="18"/>
              </w:rPr>
              <w:t>201</w:t>
            </w:r>
            <w:r>
              <w:rPr>
                <w:rFonts w:cs="Times New Roman"/>
                <w:sz w:val="18"/>
                <w:szCs w:val="18"/>
              </w:rPr>
              <w:t>8</w:t>
            </w:r>
            <w:r w:rsidRPr="00F21196">
              <w:rPr>
                <w:rFonts w:cs="Times New Roman"/>
                <w:sz w:val="18"/>
                <w:szCs w:val="18"/>
              </w:rPr>
              <w:t>-202</w:t>
            </w:r>
            <w:r>
              <w:rPr>
                <w:rFonts w:cs="Times New Roman"/>
                <w:sz w:val="18"/>
                <w:szCs w:val="18"/>
              </w:rPr>
              <w:t>1</w:t>
            </w:r>
          </w:p>
        </w:tc>
        <w:tc>
          <w:tcPr>
            <w:tcW w:w="3827" w:type="dxa"/>
            <w:vAlign w:val="center"/>
          </w:tcPr>
          <w:p w14:paraId="5325F139" w14:textId="77777777" w:rsidR="006F4312" w:rsidRDefault="006F4312" w:rsidP="00680F26">
            <w:pPr>
              <w:spacing w:after="0" w:line="240" w:lineRule="auto"/>
              <w:jc w:val="both"/>
              <w:rPr>
                <w:sz w:val="18"/>
                <w:szCs w:val="18"/>
              </w:rPr>
            </w:pPr>
            <w:r w:rsidRPr="00F21196">
              <w:rPr>
                <w:sz w:val="18"/>
                <w:szCs w:val="18"/>
              </w:rPr>
              <w:t>W perspektywie do roku 202</w:t>
            </w:r>
            <w:r>
              <w:rPr>
                <w:sz w:val="18"/>
                <w:szCs w:val="18"/>
              </w:rPr>
              <w:t>1</w:t>
            </w:r>
            <w:r w:rsidRPr="00F21196">
              <w:rPr>
                <w:sz w:val="18"/>
                <w:szCs w:val="18"/>
              </w:rPr>
              <w:t xml:space="preserve"> prokuratura kontynuuje procesy informatyzacji poprzez realizację projektów mających na celu integrację i automatyzację procesów decyzyjnych, kompleksowe wsparcie informacyjne i podnoszenie kompetencji kadr prokuratury w prowadzeniu postępowań przygotowawczych oraz rozbudowę systemu digitalizacji akt na prokuratury rejonowe - </w:t>
            </w:r>
            <w:r>
              <w:rPr>
                <w:sz w:val="18"/>
                <w:szCs w:val="18"/>
              </w:rPr>
              <w:t>i</w:t>
            </w:r>
            <w:r w:rsidRPr="00F21196">
              <w:rPr>
                <w:sz w:val="18"/>
                <w:szCs w:val="18"/>
              </w:rPr>
              <w:t xml:space="preserve">SDA i centralizację świadczenia i udostępniania usług </w:t>
            </w:r>
            <w:r>
              <w:rPr>
                <w:sz w:val="18"/>
                <w:szCs w:val="18"/>
              </w:rPr>
              <w:t>drogą elektroniczną, w tym zdigitalizowanych akt stronom postępowań</w:t>
            </w:r>
            <w:r w:rsidRPr="00F21196">
              <w:rPr>
                <w:sz w:val="18"/>
                <w:szCs w:val="18"/>
              </w:rPr>
              <w:t xml:space="preserve"> </w:t>
            </w:r>
            <w:r>
              <w:rPr>
                <w:sz w:val="18"/>
                <w:szCs w:val="18"/>
              </w:rPr>
              <w:t>przygotowawczych.</w:t>
            </w:r>
          </w:p>
          <w:p w14:paraId="71A3F152" w14:textId="77777777" w:rsidR="006F4312" w:rsidRPr="00F21196" w:rsidRDefault="006F4312" w:rsidP="00680F26">
            <w:pPr>
              <w:spacing w:after="0" w:line="240" w:lineRule="auto"/>
              <w:jc w:val="both"/>
              <w:rPr>
                <w:sz w:val="18"/>
                <w:szCs w:val="18"/>
              </w:rPr>
            </w:pPr>
            <w:r>
              <w:rPr>
                <w:sz w:val="18"/>
                <w:szCs w:val="18"/>
              </w:rPr>
              <w:t xml:space="preserve">Podjęte działania mają na </w:t>
            </w:r>
            <w:r w:rsidRPr="00F21196">
              <w:rPr>
                <w:sz w:val="18"/>
                <w:szCs w:val="18"/>
              </w:rPr>
              <w:t>celu</w:t>
            </w:r>
            <w:r>
              <w:rPr>
                <w:sz w:val="18"/>
                <w:szCs w:val="18"/>
              </w:rPr>
              <w:t xml:space="preserve"> usprawnienie prowadzonych postępowań,</w:t>
            </w:r>
            <w:r w:rsidRPr="00F21196">
              <w:rPr>
                <w:sz w:val="18"/>
                <w:szCs w:val="18"/>
              </w:rPr>
              <w:t xml:space="preserve"> zredukowanie kosztów </w:t>
            </w:r>
            <w:r>
              <w:rPr>
                <w:sz w:val="18"/>
                <w:szCs w:val="18"/>
              </w:rPr>
              <w:t xml:space="preserve"> ich prowadzenia oraz kosztów </w:t>
            </w:r>
            <w:r w:rsidRPr="00F21196">
              <w:rPr>
                <w:sz w:val="18"/>
                <w:szCs w:val="18"/>
              </w:rPr>
              <w:t xml:space="preserve">utrzymania i eksploatacji rozproszonej infrastruktury ITS. </w:t>
            </w:r>
          </w:p>
          <w:p w14:paraId="396DB9EC" w14:textId="77777777" w:rsidR="006F4312" w:rsidRPr="005E7974" w:rsidRDefault="006F4312" w:rsidP="00680F26">
            <w:pPr>
              <w:spacing w:after="0" w:line="240" w:lineRule="auto"/>
              <w:jc w:val="both"/>
              <w:rPr>
                <w:sz w:val="18"/>
                <w:szCs w:val="18"/>
              </w:rPr>
            </w:pPr>
            <w:r w:rsidRPr="005E7974">
              <w:rPr>
                <w:sz w:val="18"/>
                <w:szCs w:val="18"/>
              </w:rPr>
              <w:t xml:space="preserve">Aktualnie, Prokuratura Krajowa realizuje projekt „Rozwój Systemu Digitalizacji Akt Postępowań Przygotowawczych w sprawach Karnych (iSDA v.2.0)”  w oparciu o porozumienie  z Centrum Projektów Polska Cyfrowa  stanowiący kontynuację projektu iSDA na podstawie realizowanego porozumienia nr POPC.02.01.00-00-0041/15-00 o dofinansowanie w ramach Programu Operacyjnego Polska Cyfrowa na lata 2014-2020. </w:t>
            </w:r>
          </w:p>
          <w:p w14:paraId="41825233" w14:textId="34844DE7" w:rsidR="006F4312" w:rsidRPr="005E7974" w:rsidRDefault="006F4312" w:rsidP="00680F26">
            <w:pPr>
              <w:spacing w:after="0" w:line="240" w:lineRule="auto"/>
              <w:jc w:val="both"/>
              <w:rPr>
                <w:i/>
                <w:sz w:val="18"/>
                <w:szCs w:val="18"/>
              </w:rPr>
            </w:pPr>
            <w:r w:rsidRPr="005E7974">
              <w:rPr>
                <w:sz w:val="18"/>
                <w:szCs w:val="18"/>
              </w:rPr>
              <w:t>Planowany termin zakończenia projektu i jego sfinansowania to I kwartał 2021 r.</w:t>
            </w:r>
            <w:r w:rsidRPr="005E7974">
              <w:rPr>
                <w:i/>
                <w:sz w:val="18"/>
                <w:szCs w:val="18"/>
              </w:rPr>
              <w:t xml:space="preserve"> </w:t>
            </w:r>
          </w:p>
          <w:p w14:paraId="3F984299" w14:textId="77777777" w:rsidR="006F4312" w:rsidRPr="00F21196" w:rsidRDefault="006F4312" w:rsidP="00680F26">
            <w:pPr>
              <w:spacing w:after="0" w:line="240" w:lineRule="auto"/>
              <w:jc w:val="both"/>
              <w:rPr>
                <w:rFonts w:cs="Times New Roman"/>
                <w:sz w:val="18"/>
                <w:szCs w:val="18"/>
              </w:rPr>
            </w:pPr>
            <w:r>
              <w:rPr>
                <w:sz w:val="18"/>
                <w:szCs w:val="18"/>
              </w:rPr>
              <w:t xml:space="preserve">Zadania realizowane w ramach Projektu </w:t>
            </w:r>
            <w:r w:rsidRPr="00F21196">
              <w:rPr>
                <w:sz w:val="18"/>
                <w:szCs w:val="18"/>
              </w:rPr>
              <w:t>są finansowane zarówno ze środków finansowych budżetu państwa jak również z funduszy Unii Europejskiej.</w:t>
            </w:r>
          </w:p>
        </w:tc>
        <w:tc>
          <w:tcPr>
            <w:tcW w:w="1701" w:type="dxa"/>
          </w:tcPr>
          <w:p w14:paraId="65018346" w14:textId="47B31411" w:rsidR="006F4312" w:rsidRPr="002F36D3" w:rsidRDefault="006F4312" w:rsidP="006F4312">
            <w:pPr>
              <w:spacing w:line="240" w:lineRule="auto"/>
              <w:rPr>
                <w:sz w:val="18"/>
                <w:szCs w:val="18"/>
              </w:rPr>
            </w:pPr>
            <w:r>
              <w:rPr>
                <w:rFonts w:cs="Arial"/>
                <w:sz w:val="18"/>
                <w:szCs w:val="18"/>
              </w:rPr>
              <w:t>5.</w:t>
            </w:r>
            <w:r w:rsidRPr="002F36D3">
              <w:rPr>
                <w:rFonts w:cs="Arial"/>
                <w:sz w:val="18"/>
                <w:szCs w:val="18"/>
              </w:rPr>
              <w:t>Poprawa funkcjonowania wymiaru sprawiedliwości, w tym prokuratury.</w:t>
            </w:r>
          </w:p>
        </w:tc>
      </w:tr>
      <w:tr w:rsidR="006F4312" w:rsidRPr="00F21196" w14:paraId="209C791C" w14:textId="06160CB2" w:rsidTr="00A23644">
        <w:trPr>
          <w:trHeight w:val="163"/>
        </w:trPr>
        <w:tc>
          <w:tcPr>
            <w:tcW w:w="1985" w:type="dxa"/>
            <w:shd w:val="clear" w:color="auto" w:fill="auto"/>
          </w:tcPr>
          <w:p w14:paraId="5AC6EB19" w14:textId="77777777" w:rsidR="006F4312" w:rsidRPr="005F4F5D" w:rsidRDefault="006F4312" w:rsidP="006F4312">
            <w:pPr>
              <w:spacing w:after="0" w:line="240" w:lineRule="auto"/>
              <w:rPr>
                <w:b/>
                <w:sz w:val="18"/>
                <w:szCs w:val="18"/>
              </w:rPr>
            </w:pPr>
            <w:r w:rsidRPr="005F4F5D">
              <w:rPr>
                <w:b/>
                <w:sz w:val="18"/>
                <w:szCs w:val="18"/>
              </w:rPr>
              <w:t>Wyższe kompetencje pracowników sądów i prokuratorów</w:t>
            </w:r>
          </w:p>
        </w:tc>
        <w:tc>
          <w:tcPr>
            <w:tcW w:w="1134" w:type="dxa"/>
            <w:shd w:val="clear" w:color="auto" w:fill="auto"/>
          </w:tcPr>
          <w:p w14:paraId="1C35F5D3" w14:textId="77777777" w:rsidR="006F4312" w:rsidRPr="00F21196" w:rsidRDefault="006F4312" w:rsidP="006F4312">
            <w:pPr>
              <w:spacing w:after="0" w:line="240" w:lineRule="auto"/>
              <w:jc w:val="center"/>
              <w:rPr>
                <w:rFonts w:cs="Times New Roman"/>
                <w:sz w:val="20"/>
                <w:szCs w:val="20"/>
              </w:rPr>
            </w:pPr>
            <w:r w:rsidRPr="00F21196">
              <w:rPr>
                <w:rFonts w:eastAsia="Times New Roman" w:cs="Calibri"/>
                <w:sz w:val="20"/>
                <w:szCs w:val="20"/>
                <w:lang w:eastAsia="pl-PL"/>
              </w:rPr>
              <w:t>MS</w:t>
            </w:r>
          </w:p>
        </w:tc>
        <w:tc>
          <w:tcPr>
            <w:tcW w:w="1276" w:type="dxa"/>
            <w:shd w:val="clear" w:color="auto" w:fill="auto"/>
          </w:tcPr>
          <w:p w14:paraId="5D246E07" w14:textId="77777777" w:rsidR="006F4312" w:rsidRPr="00F21196" w:rsidRDefault="006F4312" w:rsidP="006F4312">
            <w:pPr>
              <w:spacing w:after="0" w:line="240" w:lineRule="auto"/>
              <w:rPr>
                <w:rFonts w:cs="Times New Roman"/>
                <w:sz w:val="18"/>
                <w:szCs w:val="18"/>
              </w:rPr>
            </w:pPr>
            <w:r>
              <w:rPr>
                <w:rFonts w:cs="Times New Roman"/>
                <w:sz w:val="18"/>
                <w:szCs w:val="18"/>
              </w:rPr>
              <w:t>2018-2030</w:t>
            </w:r>
          </w:p>
        </w:tc>
        <w:tc>
          <w:tcPr>
            <w:tcW w:w="3827" w:type="dxa"/>
            <w:shd w:val="clear" w:color="auto" w:fill="auto"/>
            <w:vAlign w:val="center"/>
          </w:tcPr>
          <w:p w14:paraId="599DDC3B" w14:textId="77777777" w:rsidR="006F4312" w:rsidRPr="00F21196" w:rsidRDefault="006F4312" w:rsidP="006F4312">
            <w:pPr>
              <w:spacing w:after="0" w:line="240" w:lineRule="auto"/>
              <w:jc w:val="both"/>
              <w:rPr>
                <w:sz w:val="18"/>
                <w:szCs w:val="18"/>
              </w:rPr>
            </w:pPr>
            <w:r w:rsidRPr="00F21196">
              <w:rPr>
                <w:sz w:val="18"/>
                <w:szCs w:val="18"/>
              </w:rPr>
              <w:t xml:space="preserve">W ramach </w:t>
            </w:r>
            <w:r>
              <w:rPr>
                <w:sz w:val="18"/>
                <w:szCs w:val="18"/>
              </w:rPr>
              <w:t xml:space="preserve">tej inicjatywy </w:t>
            </w:r>
            <w:r w:rsidRPr="00F21196">
              <w:rPr>
                <w:sz w:val="18"/>
                <w:szCs w:val="18"/>
              </w:rPr>
              <w:t xml:space="preserve">są i będą podejmowane działania o charakterze szkoleniowym dla następujących typów projektów: </w:t>
            </w:r>
          </w:p>
          <w:p w14:paraId="1816AD89" w14:textId="5CB22A90" w:rsidR="006F4312" w:rsidRPr="00F21196" w:rsidRDefault="006F4312" w:rsidP="006F4312">
            <w:pPr>
              <w:spacing w:after="0" w:line="240" w:lineRule="auto"/>
              <w:jc w:val="both"/>
              <w:rPr>
                <w:sz w:val="18"/>
                <w:szCs w:val="18"/>
              </w:rPr>
            </w:pPr>
            <w:r w:rsidRPr="00F21196">
              <w:rPr>
                <w:sz w:val="18"/>
                <w:szCs w:val="18"/>
              </w:rPr>
              <w:t>-</w:t>
            </w:r>
            <w:r>
              <w:rPr>
                <w:sz w:val="18"/>
                <w:szCs w:val="18"/>
              </w:rPr>
              <w:t xml:space="preserve"> szkolenia</w:t>
            </w:r>
            <w:r w:rsidRPr="00F21196">
              <w:rPr>
                <w:sz w:val="18"/>
                <w:szCs w:val="18"/>
              </w:rPr>
              <w:t xml:space="preserve"> dla sędziów, urzędników i innych pracowników zatrudnionych w sądach i prokuraturach oraz w Ministerstwie Sprawiedliwości, wspierające wdrażanie modeli nowoczesnego zarządzania zasobami ludzkimi, finansami, informacją i komunikacją, świadczenie usług informatycznych, a także kontroli zarządczej oraz obsługi interesanta;</w:t>
            </w:r>
          </w:p>
          <w:p w14:paraId="390C1C0A" w14:textId="77777777" w:rsidR="006F4312" w:rsidRPr="00F21196" w:rsidRDefault="006F4312" w:rsidP="006F4312">
            <w:pPr>
              <w:tabs>
                <w:tab w:val="num" w:pos="720"/>
                <w:tab w:val="left" w:pos="851"/>
              </w:tabs>
              <w:spacing w:after="0" w:line="240" w:lineRule="auto"/>
              <w:jc w:val="both"/>
              <w:rPr>
                <w:sz w:val="18"/>
                <w:szCs w:val="18"/>
              </w:rPr>
            </w:pPr>
            <w:r w:rsidRPr="00F21196">
              <w:rPr>
                <w:sz w:val="18"/>
                <w:szCs w:val="18"/>
              </w:rPr>
              <w:t xml:space="preserve">- szkolenia oraz studia podyplomowe dla sędziów, urzędników i innych pracowników zatrudnionych w sądach powszechnych, prokuratorów, urzędników i innych pracowników powszechnych jednostek prokuratury z zakresu prawa gospodarczego, </w:t>
            </w:r>
            <w:r>
              <w:rPr>
                <w:sz w:val="18"/>
                <w:szCs w:val="18"/>
              </w:rPr>
              <w:t xml:space="preserve">mediacji, </w:t>
            </w:r>
            <w:r w:rsidRPr="00F21196">
              <w:rPr>
                <w:sz w:val="18"/>
                <w:szCs w:val="18"/>
              </w:rPr>
              <w:t>informatyki śledczej, ochrony konsumenta, zwalczania i zapobiegania przestępczości gospodarczej i skarbowej, prawa własności intelektualnej, prawa upadłościowego</w:t>
            </w:r>
            <w:r>
              <w:rPr>
                <w:sz w:val="18"/>
                <w:szCs w:val="18"/>
              </w:rPr>
              <w:t>.</w:t>
            </w:r>
          </w:p>
        </w:tc>
        <w:tc>
          <w:tcPr>
            <w:tcW w:w="1701" w:type="dxa"/>
          </w:tcPr>
          <w:p w14:paraId="16F1AA3C" w14:textId="25565691" w:rsidR="006F4312" w:rsidRPr="00F21196" w:rsidRDefault="006F4312" w:rsidP="006F4312">
            <w:pPr>
              <w:spacing w:after="0" w:line="240" w:lineRule="auto"/>
              <w:rPr>
                <w:sz w:val="18"/>
                <w:szCs w:val="18"/>
              </w:rPr>
            </w:pPr>
            <w:r w:rsidRPr="006F4312">
              <w:rPr>
                <w:rFonts w:cs="Arial"/>
                <w:sz w:val="18"/>
                <w:szCs w:val="18"/>
              </w:rPr>
              <w:t>5.</w:t>
            </w:r>
            <w:r w:rsidRPr="00F21196">
              <w:rPr>
                <w:rFonts w:cs="Arial"/>
                <w:b/>
                <w:sz w:val="18"/>
                <w:szCs w:val="18"/>
              </w:rPr>
              <w:t xml:space="preserve"> </w:t>
            </w:r>
            <w:r w:rsidRPr="00F21196">
              <w:rPr>
                <w:rFonts w:cs="Arial"/>
                <w:sz w:val="18"/>
                <w:szCs w:val="18"/>
              </w:rPr>
              <w:t>Poprawa funkcjonowania wymiaru sprawiedliwości</w:t>
            </w:r>
            <w:r>
              <w:rPr>
                <w:rFonts w:cs="Arial"/>
                <w:sz w:val="18"/>
                <w:szCs w:val="18"/>
              </w:rPr>
              <w:t xml:space="preserve">, w tym </w:t>
            </w:r>
            <w:r w:rsidRPr="00F21196">
              <w:rPr>
                <w:rFonts w:cs="Arial"/>
                <w:sz w:val="18"/>
                <w:szCs w:val="18"/>
              </w:rPr>
              <w:t>prokuratury.</w:t>
            </w:r>
          </w:p>
        </w:tc>
      </w:tr>
      <w:tr w:rsidR="006F4312" w:rsidRPr="00F21196" w14:paraId="11147D55" w14:textId="501C81A8" w:rsidTr="00A23644">
        <w:trPr>
          <w:trHeight w:val="163"/>
        </w:trPr>
        <w:tc>
          <w:tcPr>
            <w:tcW w:w="1985" w:type="dxa"/>
            <w:shd w:val="clear" w:color="auto" w:fill="auto"/>
          </w:tcPr>
          <w:p w14:paraId="2DDEF9F8" w14:textId="77777777" w:rsidR="006F4312" w:rsidRPr="005F4F5D" w:rsidRDefault="006F4312" w:rsidP="006F4312">
            <w:pPr>
              <w:spacing w:line="240" w:lineRule="auto"/>
              <w:ind w:right="99"/>
              <w:rPr>
                <w:rFonts w:cs="Times New Roman"/>
                <w:b/>
                <w:sz w:val="18"/>
                <w:szCs w:val="18"/>
              </w:rPr>
            </w:pPr>
            <w:r w:rsidRPr="005F4F5D">
              <w:rPr>
                <w:rFonts w:cs="Times New Roman"/>
                <w:b/>
                <w:sz w:val="18"/>
                <w:szCs w:val="18"/>
              </w:rPr>
              <w:t>Budowa i wdrożenie centralnego systemu przetwarzania i udostępniania danych przez powszechne jednostki organizacyjne prokuratury</w:t>
            </w:r>
          </w:p>
          <w:p w14:paraId="5E286DEB" w14:textId="77777777" w:rsidR="006F4312" w:rsidRPr="005F4F5D" w:rsidRDefault="006F4312" w:rsidP="006F4312">
            <w:pPr>
              <w:spacing w:after="0" w:line="240" w:lineRule="auto"/>
              <w:rPr>
                <w:rFonts w:eastAsia="Times New Roman" w:cs="Calibri"/>
                <w:b/>
                <w:bCs/>
                <w:sz w:val="18"/>
                <w:szCs w:val="18"/>
                <w:lang w:eastAsia="pl-PL"/>
              </w:rPr>
            </w:pPr>
          </w:p>
        </w:tc>
        <w:tc>
          <w:tcPr>
            <w:tcW w:w="1134" w:type="dxa"/>
            <w:shd w:val="clear" w:color="auto" w:fill="auto"/>
          </w:tcPr>
          <w:p w14:paraId="500DAD82" w14:textId="77777777" w:rsidR="006F4312" w:rsidRPr="00AC34D7" w:rsidRDefault="006F4312" w:rsidP="006F4312">
            <w:pPr>
              <w:spacing w:after="0" w:line="240" w:lineRule="auto"/>
              <w:jc w:val="center"/>
              <w:rPr>
                <w:rFonts w:eastAsia="Times New Roman" w:cs="Calibri"/>
                <w:bCs/>
                <w:sz w:val="18"/>
                <w:szCs w:val="18"/>
                <w:lang w:eastAsia="pl-PL"/>
              </w:rPr>
            </w:pPr>
            <w:r w:rsidRPr="00AC34D7">
              <w:rPr>
                <w:rFonts w:cs="Times New Roman"/>
                <w:sz w:val="18"/>
                <w:szCs w:val="18"/>
              </w:rPr>
              <w:t>PK</w:t>
            </w:r>
          </w:p>
        </w:tc>
        <w:tc>
          <w:tcPr>
            <w:tcW w:w="1276" w:type="dxa"/>
            <w:shd w:val="clear" w:color="auto" w:fill="auto"/>
          </w:tcPr>
          <w:p w14:paraId="37C62599" w14:textId="77777777" w:rsidR="006F4312" w:rsidRPr="00AC34D7" w:rsidRDefault="006F4312" w:rsidP="006F4312">
            <w:pPr>
              <w:spacing w:after="0" w:line="240" w:lineRule="auto"/>
              <w:rPr>
                <w:sz w:val="18"/>
                <w:szCs w:val="18"/>
              </w:rPr>
            </w:pPr>
            <w:r w:rsidRPr="00AC34D7">
              <w:rPr>
                <w:sz w:val="18"/>
                <w:szCs w:val="18"/>
              </w:rPr>
              <w:t>201</w:t>
            </w:r>
            <w:r>
              <w:rPr>
                <w:sz w:val="18"/>
                <w:szCs w:val="18"/>
              </w:rPr>
              <w:t>8</w:t>
            </w:r>
            <w:r w:rsidRPr="00AC34D7">
              <w:rPr>
                <w:sz w:val="18"/>
                <w:szCs w:val="18"/>
              </w:rPr>
              <w:t>-2021</w:t>
            </w:r>
          </w:p>
        </w:tc>
        <w:tc>
          <w:tcPr>
            <w:tcW w:w="3827" w:type="dxa"/>
            <w:vAlign w:val="center"/>
          </w:tcPr>
          <w:p w14:paraId="479D4276" w14:textId="77777777" w:rsidR="006F4312" w:rsidRPr="006F4312" w:rsidRDefault="006F4312" w:rsidP="006F4312">
            <w:pPr>
              <w:spacing w:after="0" w:line="240" w:lineRule="auto"/>
              <w:jc w:val="both"/>
              <w:rPr>
                <w:rFonts w:cs="Times New Roman"/>
                <w:sz w:val="18"/>
                <w:szCs w:val="18"/>
              </w:rPr>
            </w:pPr>
            <w:r w:rsidRPr="006F4312">
              <w:rPr>
                <w:rFonts w:cs="Times New Roman"/>
                <w:sz w:val="18"/>
                <w:szCs w:val="18"/>
              </w:rPr>
              <w:t>Wzrost skuteczności prowadzonych postępowań przygotowawczych i skrócenie obiegu informacji.</w:t>
            </w:r>
          </w:p>
          <w:p w14:paraId="770B8793" w14:textId="77777777" w:rsidR="006F4312" w:rsidRPr="006F4312" w:rsidRDefault="006F4312" w:rsidP="006F4312">
            <w:pPr>
              <w:spacing w:after="0" w:line="240" w:lineRule="auto"/>
              <w:jc w:val="both"/>
              <w:rPr>
                <w:rFonts w:cs="Times New Roman"/>
                <w:sz w:val="18"/>
                <w:szCs w:val="18"/>
              </w:rPr>
            </w:pPr>
            <w:r w:rsidRPr="006F4312">
              <w:rPr>
                <w:rFonts w:cs="Times New Roman"/>
                <w:sz w:val="18"/>
                <w:szCs w:val="18"/>
              </w:rPr>
              <w:t>Usprawnienie współdziałania prokuratury z organami współpracującymi na etapie postępowania przygotowawczego. Optymalne wykorzystanie oraz ograniczenie kosztów eksploatacji i utrzymania infrastruktury techniczno-systemowej.</w:t>
            </w:r>
          </w:p>
          <w:p w14:paraId="5B49B0F4" w14:textId="2E98C9BF" w:rsidR="006F4312" w:rsidRPr="006F4312" w:rsidRDefault="006F4312" w:rsidP="006F4312">
            <w:pPr>
              <w:tabs>
                <w:tab w:val="num" w:pos="720"/>
                <w:tab w:val="left" w:pos="851"/>
              </w:tabs>
              <w:spacing w:after="0" w:line="240" w:lineRule="auto"/>
              <w:jc w:val="both"/>
              <w:rPr>
                <w:rFonts w:cs="Times New Roman"/>
                <w:sz w:val="18"/>
                <w:szCs w:val="18"/>
              </w:rPr>
            </w:pPr>
            <w:r w:rsidRPr="006F4312">
              <w:rPr>
                <w:rFonts w:cs="Times New Roman"/>
                <w:sz w:val="18"/>
                <w:szCs w:val="18"/>
              </w:rPr>
              <w:t>Zapewnienie dostępu on-line do informacji niezbędnych w prowadzonych postępowaniach</w:t>
            </w:r>
            <w:r w:rsidR="00F70E5C">
              <w:rPr>
                <w:rFonts w:cs="Times New Roman"/>
                <w:sz w:val="18"/>
                <w:szCs w:val="18"/>
              </w:rPr>
              <w:t xml:space="preserve"> przygotowawczych. Usprawnienie </w:t>
            </w:r>
            <w:r w:rsidRPr="006F4312">
              <w:rPr>
                <w:rFonts w:cs="Times New Roman"/>
                <w:sz w:val="18"/>
                <w:szCs w:val="18"/>
              </w:rPr>
              <w:t>oraz ograniczenie kosztów dostępu do danych w zewnętrznych rejestrach danych. Realizacja ustawowego obowiązku przesyłania danych z prokuratury do zewnętrznych rejestrów baz danych.</w:t>
            </w:r>
          </w:p>
          <w:p w14:paraId="388DF058" w14:textId="77777777" w:rsidR="006F4312" w:rsidRPr="006F4312" w:rsidRDefault="006F4312" w:rsidP="006F4312">
            <w:pPr>
              <w:spacing w:after="0" w:line="240" w:lineRule="auto"/>
              <w:jc w:val="both"/>
              <w:rPr>
                <w:rFonts w:cs="Times New Roman"/>
                <w:sz w:val="18"/>
                <w:szCs w:val="18"/>
              </w:rPr>
            </w:pPr>
            <w:r w:rsidRPr="006F4312">
              <w:rPr>
                <w:rFonts w:cs="Times New Roman"/>
                <w:sz w:val="18"/>
                <w:szCs w:val="18"/>
              </w:rPr>
              <w:t>Wyeliminowanie barier faktycznych ograniczających możliwość efektywnego zapoznania się z aktami sprawy przez uczestników postępowania karnego.</w:t>
            </w:r>
          </w:p>
          <w:p w14:paraId="384A2FB1" w14:textId="77777777" w:rsidR="006F4312" w:rsidRPr="006F4312" w:rsidRDefault="006F4312" w:rsidP="006F4312">
            <w:pPr>
              <w:tabs>
                <w:tab w:val="num" w:pos="720"/>
                <w:tab w:val="left" w:pos="851"/>
              </w:tabs>
              <w:spacing w:after="0" w:line="240" w:lineRule="auto"/>
              <w:rPr>
                <w:sz w:val="18"/>
                <w:szCs w:val="18"/>
              </w:rPr>
            </w:pPr>
            <w:r w:rsidRPr="006F4312">
              <w:rPr>
                <w:rFonts w:cs="Times New Roman"/>
                <w:sz w:val="18"/>
                <w:szCs w:val="18"/>
              </w:rPr>
              <w:t>Wzrost efektywności procesów udostępniania zdigitalizowanych akt Sądom, Policji i stronom postępowań. Ograniczenie kosztów dokonywania czynności administracyjnych związanych z postępowaniem karnym (czynności przekazywania akt pomiędzy organami zaangażowanymi w czynności związane z procesem karnym, konwojowanie osób tymczasowo aresztowanych).</w:t>
            </w:r>
          </w:p>
        </w:tc>
        <w:tc>
          <w:tcPr>
            <w:tcW w:w="1701" w:type="dxa"/>
          </w:tcPr>
          <w:p w14:paraId="70A6FD45" w14:textId="240E4E1B" w:rsidR="006F4312" w:rsidRPr="006F4312" w:rsidRDefault="006F4312" w:rsidP="006F4312">
            <w:pPr>
              <w:spacing w:after="0" w:line="240" w:lineRule="auto"/>
              <w:rPr>
                <w:rFonts w:cs="Times New Roman"/>
                <w:sz w:val="18"/>
                <w:szCs w:val="18"/>
              </w:rPr>
            </w:pPr>
            <w:r w:rsidRPr="006F4312">
              <w:rPr>
                <w:rFonts w:cs="Arial"/>
                <w:sz w:val="18"/>
                <w:szCs w:val="18"/>
              </w:rPr>
              <w:t>5.  Poprawa funkcjonowania wymiaru sprawiedliwości, w tym prokuratury.</w:t>
            </w:r>
          </w:p>
        </w:tc>
      </w:tr>
      <w:tr w:rsidR="006F4312" w:rsidRPr="00F21196" w14:paraId="0EA488B0" w14:textId="514F27D7" w:rsidTr="00A23644">
        <w:trPr>
          <w:trHeight w:val="163"/>
        </w:trPr>
        <w:tc>
          <w:tcPr>
            <w:tcW w:w="1985" w:type="dxa"/>
            <w:shd w:val="clear" w:color="auto" w:fill="auto"/>
          </w:tcPr>
          <w:p w14:paraId="5A18EC29" w14:textId="77777777" w:rsidR="006F4312" w:rsidRPr="00FB7FE1" w:rsidRDefault="006F4312" w:rsidP="006F4312">
            <w:pPr>
              <w:spacing w:line="240" w:lineRule="auto"/>
              <w:ind w:right="99"/>
              <w:rPr>
                <w:rFonts w:cs="Times New Roman"/>
                <w:b/>
                <w:sz w:val="18"/>
                <w:szCs w:val="18"/>
              </w:rPr>
            </w:pPr>
            <w:r>
              <w:rPr>
                <w:rFonts w:cs="Times New Roman"/>
                <w:b/>
                <w:sz w:val="18"/>
                <w:szCs w:val="18"/>
              </w:rPr>
              <w:t>Usprawnienie procesów zarządzania procesami i usługami IT w prokuraturze</w:t>
            </w:r>
          </w:p>
        </w:tc>
        <w:tc>
          <w:tcPr>
            <w:tcW w:w="1134" w:type="dxa"/>
            <w:shd w:val="clear" w:color="auto" w:fill="auto"/>
          </w:tcPr>
          <w:p w14:paraId="0928C946" w14:textId="77777777" w:rsidR="006F4312" w:rsidRPr="00FB7FE1" w:rsidRDefault="006F4312" w:rsidP="006F4312">
            <w:pPr>
              <w:spacing w:after="0" w:line="240" w:lineRule="auto"/>
              <w:jc w:val="center"/>
              <w:rPr>
                <w:rFonts w:cs="Times New Roman"/>
                <w:sz w:val="20"/>
                <w:szCs w:val="20"/>
              </w:rPr>
            </w:pPr>
            <w:r w:rsidRPr="00FB7FE1">
              <w:rPr>
                <w:rFonts w:cs="Times New Roman"/>
                <w:sz w:val="20"/>
                <w:szCs w:val="20"/>
              </w:rPr>
              <w:t>PK</w:t>
            </w:r>
          </w:p>
        </w:tc>
        <w:tc>
          <w:tcPr>
            <w:tcW w:w="1276" w:type="dxa"/>
            <w:shd w:val="clear" w:color="auto" w:fill="auto"/>
          </w:tcPr>
          <w:p w14:paraId="7CBE36E0" w14:textId="3680784F" w:rsidR="006F4312" w:rsidRPr="00FB7FE1" w:rsidRDefault="006F4312" w:rsidP="00F70E5C">
            <w:pPr>
              <w:spacing w:after="0" w:line="240" w:lineRule="auto"/>
              <w:rPr>
                <w:sz w:val="20"/>
                <w:szCs w:val="20"/>
              </w:rPr>
            </w:pPr>
            <w:r>
              <w:rPr>
                <w:sz w:val="20"/>
                <w:szCs w:val="20"/>
              </w:rPr>
              <w:t>2019-2022</w:t>
            </w:r>
          </w:p>
        </w:tc>
        <w:tc>
          <w:tcPr>
            <w:tcW w:w="3827" w:type="dxa"/>
            <w:vAlign w:val="center"/>
          </w:tcPr>
          <w:p w14:paraId="284C3546" w14:textId="77777777" w:rsidR="006F4312" w:rsidRPr="00FB7FE1" w:rsidRDefault="006F4312" w:rsidP="006F4312">
            <w:pPr>
              <w:spacing w:after="0" w:line="240" w:lineRule="auto"/>
              <w:jc w:val="both"/>
              <w:rPr>
                <w:rFonts w:cs="Times New Roman"/>
                <w:sz w:val="18"/>
                <w:szCs w:val="18"/>
              </w:rPr>
            </w:pPr>
            <w:r>
              <w:rPr>
                <w:rFonts w:cs="Times New Roman"/>
                <w:sz w:val="18"/>
                <w:szCs w:val="18"/>
              </w:rPr>
              <w:t xml:space="preserve">Przedmiotem projektu jest wdrożenie rozwiązań organizacyjnych będących odpowiedzią na centralizację systemów informatycznych prokuratury. Efektem projektu ma być stworzenie scentralizowanej struktury zarządzania informatyzacją w skali kraju, ujednolicenie stosowanych procedur oraz wzmocnienie kompetencji osób uczestniczących w realizacji procesów związanych ze świadczeniem usług informatycznych przez właściwe jednostki organizacyjne prokuratury. Rezultatem projektu będzie zwiększenie efektywności zarządzania świadczonymi usługami. Projekt jest przewidziany do realizacji w ramach rocznego planu działania Programu Operacyjnego Wiedza Edukacja Rozwój. </w:t>
            </w:r>
          </w:p>
        </w:tc>
        <w:tc>
          <w:tcPr>
            <w:tcW w:w="1701" w:type="dxa"/>
          </w:tcPr>
          <w:p w14:paraId="64B852F9" w14:textId="7D838140" w:rsidR="006F4312" w:rsidRDefault="006F4312" w:rsidP="006F4312">
            <w:pPr>
              <w:spacing w:after="0" w:line="240" w:lineRule="auto"/>
              <w:rPr>
                <w:rFonts w:cs="Times New Roman"/>
                <w:sz w:val="18"/>
                <w:szCs w:val="18"/>
              </w:rPr>
            </w:pPr>
            <w:r w:rsidRPr="006F4312">
              <w:rPr>
                <w:rFonts w:cs="Arial"/>
                <w:sz w:val="18"/>
                <w:szCs w:val="18"/>
              </w:rPr>
              <w:t>5.</w:t>
            </w:r>
            <w:r w:rsidRPr="00F21196">
              <w:rPr>
                <w:rFonts w:cs="Arial"/>
                <w:b/>
                <w:sz w:val="18"/>
                <w:szCs w:val="18"/>
              </w:rPr>
              <w:t xml:space="preserve"> </w:t>
            </w:r>
            <w:r w:rsidRPr="00F21196">
              <w:rPr>
                <w:rFonts w:cs="Arial"/>
                <w:sz w:val="18"/>
                <w:szCs w:val="18"/>
              </w:rPr>
              <w:t>Poprawa funkcjonowania wymiaru sprawiedliwości</w:t>
            </w:r>
            <w:r>
              <w:rPr>
                <w:rFonts w:cs="Arial"/>
                <w:sz w:val="18"/>
                <w:szCs w:val="18"/>
              </w:rPr>
              <w:t xml:space="preserve">, w tym </w:t>
            </w:r>
            <w:r w:rsidRPr="00F21196">
              <w:rPr>
                <w:rFonts w:cs="Arial"/>
                <w:sz w:val="18"/>
                <w:szCs w:val="18"/>
              </w:rPr>
              <w:t>prokuratury.</w:t>
            </w:r>
          </w:p>
        </w:tc>
      </w:tr>
      <w:tr w:rsidR="006F4312" w:rsidRPr="00F21196" w14:paraId="7C5F3C57" w14:textId="0E53FB91" w:rsidTr="00A23644">
        <w:trPr>
          <w:trHeight w:val="163"/>
        </w:trPr>
        <w:tc>
          <w:tcPr>
            <w:tcW w:w="1985" w:type="dxa"/>
            <w:shd w:val="clear" w:color="auto" w:fill="auto"/>
          </w:tcPr>
          <w:p w14:paraId="591C7BA3" w14:textId="77777777" w:rsidR="006F4312" w:rsidRPr="00FB7FE1" w:rsidRDefault="006F4312" w:rsidP="006F4312">
            <w:pPr>
              <w:spacing w:line="240" w:lineRule="auto"/>
              <w:ind w:right="99"/>
              <w:rPr>
                <w:rFonts w:cs="Times New Roman"/>
                <w:b/>
                <w:sz w:val="18"/>
                <w:szCs w:val="18"/>
              </w:rPr>
            </w:pPr>
            <w:r>
              <w:rPr>
                <w:rFonts w:cs="Times New Roman"/>
                <w:b/>
                <w:sz w:val="18"/>
                <w:szCs w:val="18"/>
              </w:rPr>
              <w:t xml:space="preserve">Analiza możliwości optymalizacji procesów postępowania karnego poprzez zwiększenie stopnia wykorzystania rozwiązań informatycznych </w:t>
            </w:r>
          </w:p>
        </w:tc>
        <w:tc>
          <w:tcPr>
            <w:tcW w:w="1134" w:type="dxa"/>
            <w:shd w:val="clear" w:color="auto" w:fill="auto"/>
          </w:tcPr>
          <w:p w14:paraId="34C002CB" w14:textId="77777777" w:rsidR="006F4312" w:rsidRPr="00FB7FE1" w:rsidRDefault="006F4312" w:rsidP="006F4312">
            <w:pPr>
              <w:spacing w:after="0" w:line="240" w:lineRule="auto"/>
              <w:jc w:val="center"/>
              <w:rPr>
                <w:rFonts w:cs="Times New Roman"/>
                <w:sz w:val="20"/>
                <w:szCs w:val="20"/>
              </w:rPr>
            </w:pPr>
            <w:r w:rsidRPr="00FB7FE1">
              <w:rPr>
                <w:rFonts w:cs="Times New Roman"/>
                <w:sz w:val="20"/>
                <w:szCs w:val="20"/>
              </w:rPr>
              <w:t>PK</w:t>
            </w:r>
          </w:p>
        </w:tc>
        <w:tc>
          <w:tcPr>
            <w:tcW w:w="1276" w:type="dxa"/>
            <w:shd w:val="clear" w:color="auto" w:fill="auto"/>
          </w:tcPr>
          <w:p w14:paraId="4537F2C6" w14:textId="77777777" w:rsidR="006F4312" w:rsidRPr="00FB7FE1" w:rsidRDefault="006F4312" w:rsidP="006F4312">
            <w:pPr>
              <w:spacing w:after="0" w:line="240" w:lineRule="auto"/>
              <w:rPr>
                <w:sz w:val="20"/>
                <w:szCs w:val="20"/>
              </w:rPr>
            </w:pPr>
            <w:r>
              <w:rPr>
                <w:sz w:val="20"/>
                <w:szCs w:val="20"/>
              </w:rPr>
              <w:t>2021-2023</w:t>
            </w:r>
          </w:p>
        </w:tc>
        <w:tc>
          <w:tcPr>
            <w:tcW w:w="3827" w:type="dxa"/>
            <w:vAlign w:val="center"/>
          </w:tcPr>
          <w:p w14:paraId="0E696548" w14:textId="77777777" w:rsidR="006F4312" w:rsidRPr="00FB7FE1" w:rsidRDefault="006F4312" w:rsidP="006F4312">
            <w:pPr>
              <w:spacing w:after="0" w:line="240" w:lineRule="auto"/>
              <w:jc w:val="both"/>
              <w:rPr>
                <w:rFonts w:cs="Times New Roman"/>
                <w:sz w:val="18"/>
                <w:szCs w:val="18"/>
              </w:rPr>
            </w:pPr>
            <w:r>
              <w:rPr>
                <w:rFonts w:cs="Times New Roman"/>
                <w:sz w:val="18"/>
                <w:szCs w:val="18"/>
              </w:rPr>
              <w:t xml:space="preserve">Działania o charakterze projektu koncepcyjnego (analitycznego), którego przedmiotem będzie przeprowadzenie analizy biznesowej procesów zachodzących w ramach postępowania karnego. Analiza powinna wskazać potencjalną możliwość optymalizacji poszczególnych procesów poprzez wykorzystanie konkretnej technologii informatycznej lub odmienne wykorzystanie już posiadanych rozwiązań informatycznych oraz wskazać obszary koniecznych zmian legislacyjnych lub zmian regulacji wewnętrznych. W ramach prowadzonych działań należy przeanalizować możliwość wykorzystania systemów uczących się (sztucznej inteligencji) do wsparcia procesów analitycznych oraz decyzyjnych podejmowanych w ramach postępowania karnego. W projekcie należy uwzględnić udział przedstawicieli wszystkich interesariuszy oraz przedstawicieli środowisk eksperckich w obszarze nauk prawnych oraz nauk informatycznych. Efektem projektu będzie zidentyfikowanie dalszych działań o charakterze legislacyjnym oraz działań w obszarze rozwoju posiadanych systemów informatycznych. </w:t>
            </w:r>
          </w:p>
        </w:tc>
        <w:tc>
          <w:tcPr>
            <w:tcW w:w="1701" w:type="dxa"/>
          </w:tcPr>
          <w:p w14:paraId="46E6ACBD" w14:textId="2AA56112" w:rsidR="006F4312" w:rsidRPr="002F36D3" w:rsidRDefault="006F4312" w:rsidP="006F4312">
            <w:pPr>
              <w:spacing w:after="0" w:line="240" w:lineRule="auto"/>
              <w:rPr>
                <w:rFonts w:cs="Times New Roman"/>
                <w:sz w:val="18"/>
                <w:szCs w:val="18"/>
              </w:rPr>
            </w:pPr>
            <w:r>
              <w:rPr>
                <w:rFonts w:cs="Arial"/>
                <w:sz w:val="18"/>
                <w:szCs w:val="18"/>
              </w:rPr>
              <w:t>5.</w:t>
            </w:r>
            <w:r w:rsidRPr="002F36D3">
              <w:rPr>
                <w:rFonts w:cs="Arial"/>
                <w:sz w:val="18"/>
                <w:szCs w:val="18"/>
              </w:rPr>
              <w:t xml:space="preserve"> Poprawa funkcjonowania wymiaru sprawiedliwości, w tym prokuratury.</w:t>
            </w:r>
          </w:p>
        </w:tc>
      </w:tr>
      <w:tr w:rsidR="006F4312" w:rsidRPr="00F21196" w14:paraId="3F5078E6" w14:textId="6C9AEF89" w:rsidTr="00A23644">
        <w:trPr>
          <w:trHeight w:val="163"/>
        </w:trPr>
        <w:tc>
          <w:tcPr>
            <w:tcW w:w="1985" w:type="dxa"/>
            <w:shd w:val="clear" w:color="auto" w:fill="auto"/>
          </w:tcPr>
          <w:p w14:paraId="16630B39" w14:textId="77777777" w:rsidR="006F4312" w:rsidRPr="005F4F5D" w:rsidRDefault="006F4312" w:rsidP="006F4312">
            <w:pPr>
              <w:spacing w:line="240" w:lineRule="auto"/>
              <w:ind w:right="99"/>
              <w:rPr>
                <w:rFonts w:cstheme="minorHAnsi"/>
                <w:b/>
                <w:sz w:val="18"/>
                <w:szCs w:val="18"/>
              </w:rPr>
            </w:pPr>
            <w:r w:rsidRPr="00DF0226">
              <w:rPr>
                <w:rFonts w:cs="Calibri"/>
                <w:b/>
                <w:sz w:val="18"/>
                <w:szCs w:val="18"/>
              </w:rPr>
              <w:t>Budowa interoperacyjnych zbiorów i usług danych przestrzennych</w:t>
            </w:r>
          </w:p>
        </w:tc>
        <w:tc>
          <w:tcPr>
            <w:tcW w:w="1134" w:type="dxa"/>
            <w:shd w:val="clear" w:color="auto" w:fill="auto"/>
          </w:tcPr>
          <w:p w14:paraId="261D08C1" w14:textId="77777777" w:rsidR="006F4312" w:rsidRDefault="006F4312" w:rsidP="006F4312">
            <w:pPr>
              <w:spacing w:after="0" w:line="240" w:lineRule="auto"/>
              <w:ind w:left="-70" w:right="-70"/>
              <w:jc w:val="center"/>
              <w:rPr>
                <w:rFonts w:cs="Calibri"/>
                <w:sz w:val="18"/>
                <w:szCs w:val="18"/>
                <w:lang w:eastAsia="pl-PL"/>
              </w:rPr>
            </w:pPr>
            <w:r>
              <w:rPr>
                <w:rFonts w:cs="Calibri"/>
                <w:sz w:val="18"/>
                <w:szCs w:val="18"/>
                <w:lang w:eastAsia="pl-PL"/>
              </w:rPr>
              <w:t xml:space="preserve">GUGiK </w:t>
            </w:r>
          </w:p>
          <w:p w14:paraId="7FB9C209" w14:textId="77777777" w:rsidR="006F4312" w:rsidRDefault="006F4312" w:rsidP="006F4312">
            <w:pPr>
              <w:spacing w:after="0" w:line="240" w:lineRule="auto"/>
              <w:ind w:left="-70" w:right="-70"/>
              <w:jc w:val="center"/>
              <w:rPr>
                <w:rFonts w:cs="Calibri"/>
                <w:sz w:val="18"/>
                <w:szCs w:val="18"/>
                <w:lang w:eastAsia="pl-PL"/>
              </w:rPr>
            </w:pPr>
          </w:p>
          <w:p w14:paraId="70B25442" w14:textId="42E5AA0E" w:rsidR="006F4312" w:rsidRPr="00DF0226" w:rsidRDefault="006F4312" w:rsidP="006F4312">
            <w:pPr>
              <w:spacing w:after="0" w:line="240" w:lineRule="auto"/>
              <w:ind w:left="-70" w:right="-70"/>
              <w:jc w:val="center"/>
              <w:rPr>
                <w:rFonts w:cs="Calibri"/>
                <w:sz w:val="18"/>
                <w:szCs w:val="18"/>
                <w:lang w:eastAsia="pl-PL"/>
              </w:rPr>
            </w:pPr>
            <w:r>
              <w:rPr>
                <w:rFonts w:cs="Calibri"/>
                <w:sz w:val="18"/>
                <w:szCs w:val="18"/>
                <w:lang w:eastAsia="pl-PL"/>
              </w:rPr>
              <w:t>organy administracji współtworzące infrastrukturę informacji przestrzennej</w:t>
            </w:r>
            <w:r>
              <w:rPr>
                <w:rStyle w:val="Odwoanieprzypisudolnego"/>
                <w:rFonts w:cs="Calibri"/>
                <w:sz w:val="18"/>
                <w:szCs w:val="18"/>
                <w:lang w:eastAsia="pl-PL"/>
              </w:rPr>
              <w:footnoteReference w:id="65"/>
            </w:r>
          </w:p>
          <w:p w14:paraId="1455C324" w14:textId="77777777" w:rsidR="006F4312" w:rsidRDefault="006F4312" w:rsidP="006F4312">
            <w:pPr>
              <w:spacing w:after="0" w:line="240" w:lineRule="auto"/>
              <w:ind w:left="-70" w:right="-70"/>
              <w:jc w:val="center"/>
              <w:rPr>
                <w:rFonts w:cs="Calibri"/>
                <w:sz w:val="18"/>
                <w:szCs w:val="18"/>
                <w:lang w:eastAsia="pl-PL"/>
              </w:rPr>
            </w:pPr>
          </w:p>
          <w:p w14:paraId="26BAB041" w14:textId="53ECB343" w:rsidR="006F4312" w:rsidRPr="00FA505A" w:rsidRDefault="0073424C" w:rsidP="006F4312">
            <w:pPr>
              <w:spacing w:after="0" w:line="240" w:lineRule="auto"/>
              <w:ind w:left="-70" w:right="-70"/>
              <w:jc w:val="center"/>
              <w:rPr>
                <w:rFonts w:cs="Calibri"/>
                <w:sz w:val="18"/>
                <w:szCs w:val="18"/>
                <w:lang w:eastAsia="pl-PL"/>
              </w:rPr>
            </w:pPr>
            <w:r>
              <w:rPr>
                <w:rFonts w:cs="Calibri"/>
                <w:sz w:val="18"/>
                <w:szCs w:val="18"/>
                <w:lang w:eastAsia="pl-PL"/>
              </w:rPr>
              <w:t>KPRM</w:t>
            </w:r>
          </w:p>
        </w:tc>
        <w:tc>
          <w:tcPr>
            <w:tcW w:w="1276" w:type="dxa"/>
            <w:shd w:val="clear" w:color="auto" w:fill="auto"/>
          </w:tcPr>
          <w:p w14:paraId="630863B6" w14:textId="77777777" w:rsidR="006F4312" w:rsidRPr="00FA505A" w:rsidRDefault="006F4312" w:rsidP="006F4312">
            <w:pPr>
              <w:spacing w:after="0" w:line="240" w:lineRule="auto"/>
              <w:rPr>
                <w:sz w:val="18"/>
                <w:szCs w:val="18"/>
              </w:rPr>
            </w:pPr>
          </w:p>
        </w:tc>
        <w:tc>
          <w:tcPr>
            <w:tcW w:w="3827" w:type="dxa"/>
          </w:tcPr>
          <w:p w14:paraId="53E61C80" w14:textId="77777777" w:rsidR="006F4312" w:rsidRPr="00DF0226" w:rsidRDefault="006F4312" w:rsidP="006F4312">
            <w:pPr>
              <w:spacing w:after="0"/>
              <w:jc w:val="both"/>
              <w:rPr>
                <w:rFonts w:cs="Calibri"/>
                <w:sz w:val="18"/>
                <w:szCs w:val="18"/>
                <w:lang w:eastAsia="pl-PL"/>
              </w:rPr>
            </w:pPr>
            <w:r>
              <w:rPr>
                <w:rFonts w:cs="Calibri"/>
                <w:sz w:val="18"/>
                <w:szCs w:val="18"/>
                <w:lang w:eastAsia="pl-PL"/>
              </w:rPr>
              <w:t>Rozwój</w:t>
            </w:r>
            <w:r w:rsidRPr="00DF0226">
              <w:rPr>
                <w:rFonts w:cs="Calibri"/>
                <w:sz w:val="18"/>
                <w:szCs w:val="18"/>
                <w:lang w:eastAsia="pl-PL"/>
              </w:rPr>
              <w:t xml:space="preserve"> interoperacyjnych zbiorów i usług danych przestrzennych wymaga podjęcia działań i realizacji projektów dotyczących:</w:t>
            </w:r>
          </w:p>
          <w:p w14:paraId="3DE03D1B" w14:textId="77777777" w:rsidR="006F4312" w:rsidRPr="0055740D" w:rsidRDefault="006F4312" w:rsidP="006F4312">
            <w:pPr>
              <w:pStyle w:val="Akapitzlist"/>
              <w:numPr>
                <w:ilvl w:val="0"/>
                <w:numId w:val="4"/>
              </w:numPr>
              <w:ind w:left="72" w:hanging="142"/>
              <w:contextualSpacing w:val="0"/>
              <w:jc w:val="both"/>
              <w:rPr>
                <w:rFonts w:ascii="Calibri" w:hAnsi="Calibri" w:cs="Calibri"/>
                <w:sz w:val="18"/>
                <w:szCs w:val="18"/>
              </w:rPr>
            </w:pPr>
            <w:r w:rsidRPr="0055740D">
              <w:rPr>
                <w:rFonts w:ascii="Calibri" w:hAnsi="Calibri" w:cs="Calibri"/>
                <w:sz w:val="18"/>
                <w:szCs w:val="18"/>
              </w:rPr>
              <w:t>cyfryzacji danych przestrzennych i tworzenia interoperacyjnych zbiorów danych przestrzennych na szczeblu rządowym i samorządowym;</w:t>
            </w:r>
          </w:p>
          <w:p w14:paraId="5E951025" w14:textId="77777777" w:rsidR="006F4312" w:rsidRPr="0055740D" w:rsidRDefault="006F4312" w:rsidP="006F4312">
            <w:pPr>
              <w:pStyle w:val="Akapitzlist"/>
              <w:numPr>
                <w:ilvl w:val="0"/>
                <w:numId w:val="4"/>
              </w:numPr>
              <w:ind w:left="72" w:hanging="142"/>
              <w:contextualSpacing w:val="0"/>
              <w:jc w:val="both"/>
              <w:rPr>
                <w:rFonts w:ascii="Calibri" w:hAnsi="Calibri" w:cs="Calibri"/>
                <w:sz w:val="18"/>
                <w:szCs w:val="18"/>
              </w:rPr>
            </w:pPr>
            <w:r w:rsidRPr="0055740D">
              <w:rPr>
                <w:rFonts w:ascii="Calibri" w:hAnsi="Calibri" w:cs="Calibri"/>
                <w:sz w:val="18"/>
                <w:szCs w:val="18"/>
              </w:rPr>
              <w:t>tworzenia nowoczesnych usług danych przestrzennych umożliwiających dostęp do zasobów danych do szerokiego wykorzystania w gospodarce;</w:t>
            </w:r>
          </w:p>
          <w:p w14:paraId="17994565" w14:textId="77777777" w:rsidR="006F4312" w:rsidRPr="0055740D" w:rsidRDefault="006F4312" w:rsidP="006F4312">
            <w:pPr>
              <w:pStyle w:val="Akapitzlist"/>
              <w:numPr>
                <w:ilvl w:val="0"/>
                <w:numId w:val="4"/>
              </w:numPr>
              <w:ind w:left="72" w:hanging="142"/>
              <w:contextualSpacing w:val="0"/>
              <w:jc w:val="both"/>
              <w:rPr>
                <w:rFonts w:ascii="Calibri" w:hAnsi="Calibri" w:cs="Calibri"/>
                <w:sz w:val="18"/>
                <w:szCs w:val="18"/>
              </w:rPr>
            </w:pPr>
            <w:r w:rsidRPr="0055740D">
              <w:rPr>
                <w:rFonts w:ascii="Calibri" w:hAnsi="Calibri" w:cs="Calibri"/>
                <w:sz w:val="18"/>
                <w:szCs w:val="18"/>
              </w:rPr>
              <w:t>zapewnienia dostępu do referencyjnych rejestrów IIP dla obywateli, przedsiębiorców, podmiotów administracji publicznej oraz służb ratowniczych;</w:t>
            </w:r>
          </w:p>
          <w:p w14:paraId="6E07E105" w14:textId="53C66F91" w:rsidR="006F4312" w:rsidRPr="00FA505A" w:rsidRDefault="006F4312" w:rsidP="006F4312">
            <w:pPr>
              <w:spacing w:after="0" w:line="240" w:lineRule="auto"/>
              <w:jc w:val="both"/>
              <w:rPr>
                <w:rFonts w:cstheme="minorHAnsi"/>
                <w:sz w:val="18"/>
                <w:szCs w:val="18"/>
              </w:rPr>
            </w:pPr>
            <w:r>
              <w:rPr>
                <w:rFonts w:cs="Calibri"/>
                <w:sz w:val="18"/>
                <w:szCs w:val="18"/>
              </w:rPr>
              <w:t xml:space="preserve">- </w:t>
            </w:r>
            <w:r w:rsidRPr="00DF0226">
              <w:rPr>
                <w:rFonts w:cs="Calibri"/>
                <w:sz w:val="18"/>
                <w:szCs w:val="18"/>
              </w:rPr>
              <w:t>otwierania zasobów, zapewnieni</w:t>
            </w:r>
            <w:r>
              <w:rPr>
                <w:rFonts w:cs="Calibri"/>
                <w:sz w:val="18"/>
                <w:szCs w:val="18"/>
              </w:rPr>
              <w:t>a</w:t>
            </w:r>
            <w:r w:rsidRPr="00DF0226">
              <w:rPr>
                <w:rFonts w:cs="Calibri"/>
                <w:sz w:val="18"/>
                <w:szCs w:val="18"/>
              </w:rPr>
              <w:t xml:space="preserve"> </w:t>
            </w:r>
            <w:r>
              <w:rPr>
                <w:rFonts w:cs="Calibri"/>
                <w:sz w:val="18"/>
                <w:szCs w:val="18"/>
              </w:rPr>
              <w:t>ponownego</w:t>
            </w:r>
            <w:r w:rsidRPr="00DF0226">
              <w:rPr>
                <w:rFonts w:cs="Calibri"/>
                <w:sz w:val="18"/>
                <w:szCs w:val="18"/>
              </w:rPr>
              <w:t xml:space="preserve"> wykorzystania publicznych danych przestrzennych oraz zmniejszenie, ograniczenie lub wyeliminowanie odpłatności za dane przestrzenne.</w:t>
            </w:r>
          </w:p>
        </w:tc>
        <w:tc>
          <w:tcPr>
            <w:tcW w:w="1701" w:type="dxa"/>
          </w:tcPr>
          <w:p w14:paraId="0EE4494B" w14:textId="058DD13F" w:rsidR="006F4312" w:rsidRPr="002F36D3" w:rsidRDefault="0009264E" w:rsidP="006F4312">
            <w:pPr>
              <w:spacing w:after="0"/>
              <w:ind w:right="-70"/>
              <w:rPr>
                <w:rFonts w:cs="Calibri"/>
                <w:sz w:val="18"/>
                <w:szCs w:val="18"/>
                <w:lang w:eastAsia="pl-PL"/>
              </w:rPr>
            </w:pPr>
            <w:r>
              <w:rPr>
                <w:rFonts w:cs="Calibri,Bold"/>
                <w:bCs/>
                <w:sz w:val="18"/>
                <w:szCs w:val="18"/>
              </w:rPr>
              <w:t>6</w:t>
            </w:r>
            <w:r w:rsidR="006F4312" w:rsidRPr="002F36D3">
              <w:rPr>
                <w:rFonts w:cs="Calibri,Bold"/>
                <w:bCs/>
                <w:sz w:val="18"/>
                <w:szCs w:val="18"/>
              </w:rPr>
              <w:t xml:space="preserve">. </w:t>
            </w:r>
            <w:r w:rsidR="006F4312" w:rsidRPr="002F36D3">
              <w:rPr>
                <w:sz w:val="18"/>
                <w:szCs w:val="18"/>
              </w:rPr>
              <w:t xml:space="preserve">Zintegrowanie planowania społecznego, gospodarczego i przestrzennego, w tym </w:t>
            </w:r>
            <w:r w:rsidR="006F4312" w:rsidRPr="002F36D3">
              <w:rPr>
                <w:rFonts w:cs="Arial"/>
                <w:iCs/>
                <w:sz w:val="18"/>
                <w:szCs w:val="18"/>
              </w:rPr>
              <w:t>zagospodarowania przestrzennego obszarów morskich.</w:t>
            </w:r>
          </w:p>
        </w:tc>
      </w:tr>
      <w:tr w:rsidR="006F4312" w:rsidRPr="00F21196" w14:paraId="471CFEC7" w14:textId="66DC72B9" w:rsidTr="00A23644">
        <w:trPr>
          <w:trHeight w:val="163"/>
        </w:trPr>
        <w:tc>
          <w:tcPr>
            <w:tcW w:w="1985" w:type="dxa"/>
            <w:shd w:val="clear" w:color="auto" w:fill="auto"/>
          </w:tcPr>
          <w:p w14:paraId="0D3AE19B" w14:textId="77777777" w:rsidR="006F4312" w:rsidRPr="005F4F5D" w:rsidRDefault="006F4312" w:rsidP="006F4312">
            <w:pPr>
              <w:spacing w:line="240" w:lineRule="auto"/>
              <w:ind w:right="99"/>
              <w:rPr>
                <w:rFonts w:cs="Times New Roman"/>
                <w:b/>
                <w:sz w:val="18"/>
                <w:szCs w:val="18"/>
              </w:rPr>
            </w:pPr>
            <w:r w:rsidRPr="005F4F5D">
              <w:rPr>
                <w:rFonts w:cs="Calibri"/>
                <w:b/>
                <w:sz w:val="18"/>
                <w:szCs w:val="18"/>
              </w:rPr>
              <w:t>Udostępnienie innowacyjnych usług i danych infrastruktury informacji przestrzennej w ramach administracji publicznej</w:t>
            </w:r>
          </w:p>
        </w:tc>
        <w:tc>
          <w:tcPr>
            <w:tcW w:w="1134" w:type="dxa"/>
            <w:shd w:val="clear" w:color="auto" w:fill="auto"/>
          </w:tcPr>
          <w:p w14:paraId="26EDA6D1" w14:textId="77777777" w:rsidR="006F4312" w:rsidRPr="00F21196" w:rsidRDefault="006F4312" w:rsidP="006F4312">
            <w:pPr>
              <w:spacing w:after="0" w:line="240" w:lineRule="auto"/>
              <w:jc w:val="center"/>
              <w:rPr>
                <w:rFonts w:cs="Times New Roman"/>
                <w:sz w:val="20"/>
                <w:szCs w:val="20"/>
              </w:rPr>
            </w:pPr>
            <w:r w:rsidRPr="00F21196">
              <w:rPr>
                <w:rFonts w:cs="Calibri"/>
                <w:sz w:val="20"/>
                <w:szCs w:val="20"/>
                <w:lang w:eastAsia="pl-PL"/>
              </w:rPr>
              <w:t>GUGiK</w:t>
            </w:r>
          </w:p>
        </w:tc>
        <w:tc>
          <w:tcPr>
            <w:tcW w:w="1276" w:type="dxa"/>
            <w:shd w:val="clear" w:color="auto" w:fill="auto"/>
          </w:tcPr>
          <w:p w14:paraId="0625598D" w14:textId="77777777" w:rsidR="006F4312" w:rsidRDefault="006F4312" w:rsidP="006F4312">
            <w:pPr>
              <w:spacing w:after="0" w:line="240" w:lineRule="auto"/>
              <w:rPr>
                <w:sz w:val="20"/>
                <w:szCs w:val="20"/>
              </w:rPr>
            </w:pPr>
          </w:p>
        </w:tc>
        <w:tc>
          <w:tcPr>
            <w:tcW w:w="3827" w:type="dxa"/>
          </w:tcPr>
          <w:p w14:paraId="61E91D7C" w14:textId="77777777" w:rsidR="006F4312" w:rsidRPr="00F21196" w:rsidRDefault="006F4312" w:rsidP="006F4312">
            <w:pPr>
              <w:spacing w:after="0" w:line="240" w:lineRule="auto"/>
              <w:jc w:val="both"/>
              <w:rPr>
                <w:rFonts w:cs="Times New Roman"/>
                <w:sz w:val="18"/>
                <w:szCs w:val="18"/>
              </w:rPr>
            </w:pPr>
            <w:r w:rsidRPr="00F21196">
              <w:rPr>
                <w:rFonts w:cs="Calibri"/>
                <w:sz w:val="18"/>
                <w:szCs w:val="18"/>
              </w:rPr>
              <w:t>Wdrożenie nowych innowacyjnych e-usług pozwoli na możliwość dalszego wdrażania nowych kierunków działań administracji rządowej</w:t>
            </w:r>
            <w:r>
              <w:rPr>
                <w:rFonts w:cs="Calibri"/>
                <w:sz w:val="18"/>
                <w:szCs w:val="18"/>
              </w:rPr>
              <w:t>,</w:t>
            </w:r>
            <w:r w:rsidRPr="00F21196">
              <w:rPr>
                <w:rFonts w:cs="Calibri"/>
                <w:sz w:val="18"/>
                <w:szCs w:val="18"/>
              </w:rPr>
              <w:t xml:space="preserve"> a także umożliwi osiągnięcie długofalowych korzyści w odniesieniu do poprawy konkurencyjności cyfrowej gospodarki oraz wsparcia w zarządzaniu Krajowym Zasobem Nieruchomości (KZN) jak również wytworzenie złożonych analiz kryminalnych ukierunkowanych na rozpoznawanie, wykrywanie i zwalczanie przestępczości ekonomicznej w ramach Krajowej Administracji Skarbowej .</w:t>
            </w:r>
          </w:p>
        </w:tc>
        <w:tc>
          <w:tcPr>
            <w:tcW w:w="1701" w:type="dxa"/>
          </w:tcPr>
          <w:p w14:paraId="322A110E" w14:textId="386F021E" w:rsidR="006F4312" w:rsidRPr="002F36D3" w:rsidRDefault="0009264E" w:rsidP="0009264E">
            <w:pPr>
              <w:spacing w:after="0" w:line="240" w:lineRule="auto"/>
              <w:ind w:right="-70"/>
              <w:rPr>
                <w:rFonts w:cs="Calibri"/>
                <w:sz w:val="18"/>
                <w:szCs w:val="18"/>
              </w:rPr>
            </w:pPr>
            <w:r>
              <w:rPr>
                <w:rFonts w:cs="Calibri,Bold"/>
                <w:bCs/>
                <w:sz w:val="18"/>
                <w:szCs w:val="18"/>
              </w:rPr>
              <w:t>6</w:t>
            </w:r>
            <w:r w:rsidR="006F4312" w:rsidRPr="002F36D3">
              <w:rPr>
                <w:rFonts w:cs="Calibri,Bold"/>
                <w:bCs/>
                <w:sz w:val="18"/>
                <w:szCs w:val="18"/>
              </w:rPr>
              <w:t xml:space="preserve">. </w:t>
            </w:r>
            <w:r w:rsidR="006F4312" w:rsidRPr="002F36D3">
              <w:rPr>
                <w:sz w:val="18"/>
                <w:szCs w:val="18"/>
              </w:rPr>
              <w:t xml:space="preserve">Zintegrowanie planowania społecznego, gospodarczego i przestrzennego, w tym </w:t>
            </w:r>
            <w:r w:rsidR="006F4312" w:rsidRPr="002F36D3">
              <w:rPr>
                <w:rFonts w:cs="Arial"/>
                <w:iCs/>
                <w:sz w:val="18"/>
                <w:szCs w:val="18"/>
              </w:rPr>
              <w:t>zagospodarowania przestrzennego obszarów morskich.</w:t>
            </w:r>
          </w:p>
        </w:tc>
      </w:tr>
      <w:tr w:rsidR="006F4312" w:rsidRPr="00F21196" w14:paraId="0F769B93" w14:textId="12DD0481" w:rsidTr="00A23644">
        <w:trPr>
          <w:trHeight w:val="900"/>
        </w:trPr>
        <w:tc>
          <w:tcPr>
            <w:tcW w:w="1985" w:type="dxa"/>
            <w:shd w:val="clear" w:color="auto" w:fill="auto"/>
          </w:tcPr>
          <w:p w14:paraId="3E67053D" w14:textId="77777777" w:rsidR="006F4312" w:rsidRPr="00541A23" w:rsidRDefault="006F4312" w:rsidP="006F4312">
            <w:pPr>
              <w:spacing w:line="240" w:lineRule="auto"/>
              <w:ind w:right="99"/>
              <w:rPr>
                <w:rFonts w:cs="Calibri"/>
                <w:b/>
                <w:sz w:val="18"/>
                <w:szCs w:val="18"/>
              </w:rPr>
            </w:pPr>
            <w:r w:rsidRPr="00541A23">
              <w:rPr>
                <w:rFonts w:cs="Calibri"/>
                <w:b/>
                <w:sz w:val="18"/>
                <w:szCs w:val="18"/>
              </w:rPr>
              <w:t>Podnoszenie kompetencji w zakresie wykorzystania infrastruktury informacji przestrzennej</w:t>
            </w:r>
          </w:p>
          <w:p w14:paraId="1140D30C" w14:textId="77777777" w:rsidR="006F4312" w:rsidRPr="005F4F5D" w:rsidRDefault="006F4312" w:rsidP="006F4312">
            <w:pPr>
              <w:spacing w:line="240" w:lineRule="auto"/>
              <w:ind w:right="99"/>
              <w:rPr>
                <w:rFonts w:cs="Calibri"/>
                <w:b/>
                <w:sz w:val="18"/>
                <w:szCs w:val="18"/>
              </w:rPr>
            </w:pPr>
          </w:p>
        </w:tc>
        <w:tc>
          <w:tcPr>
            <w:tcW w:w="1134" w:type="dxa"/>
            <w:shd w:val="clear" w:color="auto" w:fill="auto"/>
          </w:tcPr>
          <w:p w14:paraId="0A57443B" w14:textId="0DCCF55C" w:rsidR="006F4312" w:rsidRDefault="006F4312" w:rsidP="006F4312">
            <w:pPr>
              <w:spacing w:after="0" w:line="240" w:lineRule="auto"/>
              <w:jc w:val="center"/>
              <w:rPr>
                <w:rFonts w:cs="Calibri"/>
                <w:sz w:val="20"/>
                <w:szCs w:val="20"/>
                <w:lang w:eastAsia="pl-PL"/>
              </w:rPr>
            </w:pPr>
            <w:r w:rsidRPr="00970BD4">
              <w:rPr>
                <w:rFonts w:cs="Calibri"/>
                <w:sz w:val="20"/>
                <w:szCs w:val="20"/>
                <w:lang w:eastAsia="pl-PL"/>
              </w:rPr>
              <w:t>GUG</w:t>
            </w:r>
            <w:r w:rsidR="0073424C">
              <w:rPr>
                <w:rFonts w:cs="Calibri"/>
                <w:sz w:val="20"/>
                <w:szCs w:val="20"/>
                <w:lang w:eastAsia="pl-PL"/>
              </w:rPr>
              <w:t>i</w:t>
            </w:r>
            <w:r w:rsidRPr="00970BD4">
              <w:rPr>
                <w:rFonts w:cs="Calibri"/>
                <w:sz w:val="20"/>
                <w:szCs w:val="20"/>
                <w:lang w:eastAsia="pl-PL"/>
              </w:rPr>
              <w:t>K</w:t>
            </w:r>
          </w:p>
          <w:p w14:paraId="7A57AB91" w14:textId="02420EF0" w:rsidR="006F4312" w:rsidRDefault="0073424C" w:rsidP="006F4312">
            <w:pPr>
              <w:spacing w:after="0" w:line="240" w:lineRule="auto"/>
              <w:jc w:val="center"/>
              <w:rPr>
                <w:rFonts w:cs="Calibri"/>
                <w:sz w:val="20"/>
                <w:szCs w:val="20"/>
                <w:lang w:eastAsia="pl-PL"/>
              </w:rPr>
            </w:pPr>
            <w:r>
              <w:rPr>
                <w:rFonts w:cs="Calibri"/>
                <w:sz w:val="20"/>
                <w:szCs w:val="20"/>
                <w:lang w:eastAsia="pl-PL"/>
              </w:rPr>
              <w:t>KPRM</w:t>
            </w:r>
          </w:p>
          <w:p w14:paraId="7EED3DAF" w14:textId="7DA9E8DF" w:rsidR="006F4312" w:rsidRPr="00F21196" w:rsidRDefault="006F4312" w:rsidP="006F4312">
            <w:pPr>
              <w:spacing w:after="0" w:line="240" w:lineRule="auto"/>
              <w:jc w:val="center"/>
              <w:rPr>
                <w:rFonts w:cs="Calibri"/>
                <w:sz w:val="20"/>
                <w:szCs w:val="20"/>
                <w:lang w:eastAsia="pl-PL"/>
              </w:rPr>
            </w:pPr>
            <w:r w:rsidRPr="0073424C">
              <w:rPr>
                <w:rFonts w:cs="Calibri"/>
                <w:sz w:val="20"/>
                <w:szCs w:val="20"/>
                <w:lang w:eastAsia="pl-PL"/>
              </w:rPr>
              <w:t>MNiSW</w:t>
            </w:r>
          </w:p>
        </w:tc>
        <w:tc>
          <w:tcPr>
            <w:tcW w:w="1276" w:type="dxa"/>
            <w:shd w:val="clear" w:color="auto" w:fill="auto"/>
          </w:tcPr>
          <w:p w14:paraId="6E6469F8" w14:textId="77777777" w:rsidR="006F4312" w:rsidRDefault="006F4312" w:rsidP="006F4312">
            <w:pPr>
              <w:spacing w:after="0" w:line="240" w:lineRule="auto"/>
              <w:rPr>
                <w:sz w:val="20"/>
                <w:szCs w:val="20"/>
              </w:rPr>
            </w:pPr>
          </w:p>
        </w:tc>
        <w:tc>
          <w:tcPr>
            <w:tcW w:w="3827" w:type="dxa"/>
          </w:tcPr>
          <w:p w14:paraId="1D4231A0" w14:textId="34490D3A" w:rsidR="006F4312" w:rsidRPr="00F21196" w:rsidRDefault="006F4312" w:rsidP="006F4312">
            <w:pPr>
              <w:spacing w:after="0" w:line="240" w:lineRule="auto"/>
              <w:jc w:val="both"/>
              <w:rPr>
                <w:rFonts w:cs="Calibri"/>
                <w:sz w:val="18"/>
                <w:szCs w:val="18"/>
              </w:rPr>
            </w:pPr>
            <w:r w:rsidRPr="0055740D">
              <w:rPr>
                <w:rFonts w:cs="Calibri"/>
                <w:sz w:val="18"/>
                <w:szCs w:val="18"/>
              </w:rPr>
              <w:t xml:space="preserve">Przeprowadzenie działań edukacyjno-szkoleniowych/warsztatów z zakresu zastosowania IIP, otwierania zasobów publicznych, zapewnienia </w:t>
            </w:r>
            <w:r>
              <w:rPr>
                <w:rFonts w:cs="Calibri"/>
                <w:sz w:val="18"/>
                <w:szCs w:val="18"/>
              </w:rPr>
              <w:t>ponownego</w:t>
            </w:r>
            <w:r w:rsidRPr="0055740D">
              <w:rPr>
                <w:rFonts w:cs="Calibri"/>
                <w:sz w:val="18"/>
                <w:szCs w:val="18"/>
              </w:rPr>
              <w:t xml:space="preserve"> wykorzystania danych przestrzennych dla obywateli, przedsiębiorców oraz administracji publicznej.</w:t>
            </w:r>
          </w:p>
        </w:tc>
        <w:tc>
          <w:tcPr>
            <w:tcW w:w="1701" w:type="dxa"/>
          </w:tcPr>
          <w:p w14:paraId="4402881A" w14:textId="40ED333F" w:rsidR="006F4312" w:rsidRPr="002F36D3" w:rsidRDefault="0078631E" w:rsidP="00680F26">
            <w:pPr>
              <w:spacing w:after="0" w:line="240" w:lineRule="auto"/>
              <w:ind w:right="-70"/>
              <w:rPr>
                <w:rFonts w:cs="Calibri"/>
                <w:sz w:val="18"/>
                <w:szCs w:val="18"/>
              </w:rPr>
            </w:pPr>
            <w:r>
              <w:rPr>
                <w:rFonts w:cs="Calibri,Bold"/>
                <w:bCs/>
                <w:sz w:val="18"/>
                <w:szCs w:val="18"/>
              </w:rPr>
              <w:t>6</w:t>
            </w:r>
            <w:r w:rsidR="006F4312" w:rsidRPr="002F36D3">
              <w:rPr>
                <w:rFonts w:cs="Calibri,Bold"/>
                <w:bCs/>
                <w:sz w:val="18"/>
                <w:szCs w:val="18"/>
              </w:rPr>
              <w:t xml:space="preserve">. </w:t>
            </w:r>
            <w:r w:rsidR="006F4312" w:rsidRPr="002F36D3">
              <w:rPr>
                <w:sz w:val="18"/>
                <w:szCs w:val="18"/>
              </w:rPr>
              <w:t xml:space="preserve">Zintegrowanie planowania społecznego, gospodarczego i przestrzennego, w tym </w:t>
            </w:r>
            <w:r w:rsidR="006F4312" w:rsidRPr="002F36D3">
              <w:rPr>
                <w:rFonts w:cs="Arial"/>
                <w:iCs/>
                <w:sz w:val="18"/>
                <w:szCs w:val="18"/>
              </w:rPr>
              <w:t>zagospodarowania przestrzennego obszarów morskich.</w:t>
            </w:r>
          </w:p>
        </w:tc>
      </w:tr>
      <w:tr w:rsidR="006F4312" w:rsidRPr="00F21196" w14:paraId="0E838C6A" w14:textId="302C32F9" w:rsidTr="00A23644">
        <w:trPr>
          <w:trHeight w:val="163"/>
        </w:trPr>
        <w:tc>
          <w:tcPr>
            <w:tcW w:w="1985" w:type="dxa"/>
            <w:shd w:val="clear" w:color="auto" w:fill="auto"/>
          </w:tcPr>
          <w:p w14:paraId="543AFEB6" w14:textId="105DE3EC" w:rsidR="006F4312" w:rsidRPr="005F4F5D" w:rsidRDefault="006F4312" w:rsidP="006F4312">
            <w:pPr>
              <w:spacing w:line="240" w:lineRule="auto"/>
              <w:ind w:right="99"/>
              <w:rPr>
                <w:rFonts w:cs="Calibri"/>
                <w:b/>
                <w:sz w:val="18"/>
                <w:szCs w:val="18"/>
              </w:rPr>
            </w:pPr>
            <w:r>
              <w:rPr>
                <w:rFonts w:cs="Calibri"/>
                <w:b/>
                <w:sz w:val="18"/>
                <w:szCs w:val="18"/>
              </w:rPr>
              <w:t>Budowa systemu informatycznego Krajowego Rejestru Karnego wraz ze zmianami organizacyjnymi i legislacyjnymi – KRK 2.0.</w:t>
            </w:r>
          </w:p>
        </w:tc>
        <w:tc>
          <w:tcPr>
            <w:tcW w:w="1134" w:type="dxa"/>
            <w:shd w:val="clear" w:color="auto" w:fill="auto"/>
          </w:tcPr>
          <w:p w14:paraId="764A81AD" w14:textId="77777777" w:rsidR="006F4312" w:rsidRPr="00F21196" w:rsidRDefault="006F4312" w:rsidP="006F4312">
            <w:pPr>
              <w:spacing w:after="0" w:line="240" w:lineRule="auto"/>
              <w:jc w:val="center"/>
              <w:rPr>
                <w:rFonts w:cs="Calibri"/>
                <w:sz w:val="20"/>
                <w:szCs w:val="20"/>
                <w:lang w:eastAsia="pl-PL"/>
              </w:rPr>
            </w:pPr>
            <w:r>
              <w:rPr>
                <w:rFonts w:cs="Calibri"/>
                <w:sz w:val="20"/>
                <w:szCs w:val="20"/>
                <w:lang w:eastAsia="pl-PL"/>
              </w:rPr>
              <w:t>MS</w:t>
            </w:r>
          </w:p>
        </w:tc>
        <w:tc>
          <w:tcPr>
            <w:tcW w:w="1276" w:type="dxa"/>
            <w:shd w:val="clear" w:color="auto" w:fill="auto"/>
          </w:tcPr>
          <w:p w14:paraId="235DC9D4" w14:textId="0E9BD7A7" w:rsidR="006F4312" w:rsidRDefault="006F4312" w:rsidP="0078631E">
            <w:pPr>
              <w:spacing w:after="0" w:line="240" w:lineRule="auto"/>
              <w:rPr>
                <w:sz w:val="20"/>
                <w:szCs w:val="20"/>
              </w:rPr>
            </w:pPr>
            <w:r>
              <w:rPr>
                <w:sz w:val="20"/>
                <w:szCs w:val="20"/>
              </w:rPr>
              <w:t>2016-202</w:t>
            </w:r>
            <w:r w:rsidR="0078631E">
              <w:rPr>
                <w:sz w:val="20"/>
                <w:szCs w:val="20"/>
              </w:rPr>
              <w:t>2</w:t>
            </w:r>
          </w:p>
        </w:tc>
        <w:tc>
          <w:tcPr>
            <w:tcW w:w="3827" w:type="dxa"/>
          </w:tcPr>
          <w:p w14:paraId="601486C8" w14:textId="7AE4C8E5" w:rsidR="006F4312" w:rsidRPr="00F21196" w:rsidRDefault="0078631E" w:rsidP="00196B69">
            <w:pPr>
              <w:spacing w:after="0" w:line="240" w:lineRule="auto"/>
              <w:jc w:val="both"/>
              <w:rPr>
                <w:rFonts w:cs="Calibri"/>
                <w:sz w:val="18"/>
                <w:szCs w:val="18"/>
              </w:rPr>
            </w:pPr>
            <w:r>
              <w:rPr>
                <w:rFonts w:cs="Calibri"/>
                <w:sz w:val="18"/>
                <w:szCs w:val="18"/>
              </w:rPr>
              <w:t xml:space="preserve">Celem projektu jest usprawnienie obsługi osób fizycznych, przedsiębiorców oraz podmiotów sektora publicznego przez Biuro Informacyjne Krajowego Rejestru Karnego. </w:t>
            </w:r>
            <w:r w:rsidRPr="0039492D">
              <w:rPr>
                <w:rFonts w:eastAsia="Times New Roman" w:cs="Calibri"/>
                <w:bCs/>
                <w:sz w:val="18"/>
                <w:szCs w:val="18"/>
                <w:lang w:eastAsia="pl-PL"/>
              </w:rPr>
              <w:t xml:space="preserve">Usługi </w:t>
            </w:r>
            <w:r>
              <w:rPr>
                <w:rFonts w:eastAsia="Times New Roman" w:cs="Calibri"/>
                <w:bCs/>
                <w:sz w:val="18"/>
                <w:szCs w:val="18"/>
                <w:lang w:eastAsia="pl-PL"/>
              </w:rPr>
              <w:t xml:space="preserve">sieciowe </w:t>
            </w:r>
            <w:r w:rsidRPr="0039492D">
              <w:rPr>
                <w:rFonts w:eastAsia="Times New Roman" w:cs="Calibri"/>
                <w:bCs/>
                <w:sz w:val="18"/>
                <w:szCs w:val="18"/>
                <w:lang w:eastAsia="pl-PL"/>
              </w:rPr>
              <w:t xml:space="preserve">zbudowane w ramach projektu </w:t>
            </w:r>
            <w:r w:rsidRPr="001452F3">
              <w:rPr>
                <w:rFonts w:eastAsia="Times New Roman" w:cs="Calibri"/>
                <w:bCs/>
                <w:sz w:val="18"/>
                <w:szCs w:val="18"/>
                <w:lang w:eastAsia="pl-PL"/>
              </w:rPr>
              <w:t>umożliwią</w:t>
            </w:r>
            <w:r>
              <w:rPr>
                <w:rFonts w:eastAsia="Times New Roman" w:cs="Calibri"/>
                <w:bCs/>
                <w:sz w:val="18"/>
                <w:szCs w:val="18"/>
                <w:lang w:eastAsia="pl-PL"/>
              </w:rPr>
              <w:t xml:space="preserve"> określonym podmiotom (m. in. sądom, policji, prokuraturze, służbom specjalnym, or</w:t>
            </w:r>
            <w:r w:rsidR="00196B69">
              <w:rPr>
                <w:rFonts w:eastAsia="Times New Roman" w:cs="Calibri"/>
                <w:bCs/>
                <w:sz w:val="18"/>
                <w:szCs w:val="18"/>
                <w:lang w:eastAsia="pl-PL"/>
              </w:rPr>
              <w:t xml:space="preserve">ganom postępowania wykonawczego </w:t>
            </w:r>
            <w:r w:rsidRPr="001452F3">
              <w:rPr>
                <w:rFonts w:eastAsia="Times New Roman" w:cs="Calibri"/>
                <w:bCs/>
                <w:sz w:val="18"/>
                <w:szCs w:val="18"/>
                <w:lang w:eastAsia="pl-PL"/>
              </w:rPr>
              <w:t>uzyskiwanie  informacji z Krajowego Rejestru Karnego w sposób bezpośredni i w czasie rzeczywistym, co przyczyni się do przyśpi</w:t>
            </w:r>
            <w:r w:rsidRPr="00D12D25">
              <w:rPr>
                <w:rFonts w:eastAsia="Times New Roman" w:cs="Calibri"/>
                <w:bCs/>
                <w:sz w:val="18"/>
                <w:szCs w:val="18"/>
                <w:lang w:eastAsia="pl-PL"/>
              </w:rPr>
              <w:t xml:space="preserve">eszenia prowadzonych </w:t>
            </w:r>
            <w:r>
              <w:rPr>
                <w:rFonts w:eastAsia="Times New Roman" w:cs="Calibri"/>
                <w:bCs/>
                <w:sz w:val="18"/>
                <w:szCs w:val="18"/>
                <w:lang w:eastAsia="pl-PL"/>
              </w:rPr>
              <w:t xml:space="preserve">przez te podmioty </w:t>
            </w:r>
            <w:r w:rsidRPr="00D12D25">
              <w:rPr>
                <w:rFonts w:eastAsia="Times New Roman" w:cs="Calibri"/>
                <w:bCs/>
                <w:sz w:val="18"/>
                <w:szCs w:val="18"/>
                <w:lang w:eastAsia="pl-PL"/>
              </w:rPr>
              <w:t>postępowań</w:t>
            </w:r>
            <w:r>
              <w:rPr>
                <w:rFonts w:eastAsia="Times New Roman" w:cs="Calibri"/>
                <w:bCs/>
                <w:sz w:val="18"/>
                <w:szCs w:val="18"/>
                <w:lang w:eastAsia="pl-PL"/>
              </w:rPr>
              <w:t>.</w:t>
            </w:r>
            <w:r w:rsidRPr="001452F3">
              <w:rPr>
                <w:rFonts w:eastAsia="Times New Roman" w:cs="Calibri"/>
                <w:bCs/>
                <w:sz w:val="18"/>
                <w:szCs w:val="18"/>
                <w:lang w:eastAsia="pl-PL"/>
              </w:rPr>
              <w:t xml:space="preserve">  Integracja systemu teleinformatycznego KRK 2.0 z zewnętrznymi systemami informatycznymi podmiotów odpowiedzialnych za przesyłanie danych do Krajowego Rejestru Karnego (sądy, prokuratury, Centralny Zarząd Służby Więziennej) przyśpieszy </w:t>
            </w:r>
            <w:r>
              <w:rPr>
                <w:rFonts w:eastAsia="Times New Roman" w:cs="Calibri"/>
                <w:bCs/>
                <w:sz w:val="18"/>
                <w:szCs w:val="18"/>
                <w:lang w:eastAsia="pl-PL"/>
              </w:rPr>
              <w:t xml:space="preserve">gromadzenie oraz </w:t>
            </w:r>
            <w:r w:rsidRPr="001452F3">
              <w:rPr>
                <w:rFonts w:eastAsia="Times New Roman" w:cs="Calibri"/>
                <w:bCs/>
                <w:sz w:val="18"/>
                <w:szCs w:val="18"/>
                <w:lang w:eastAsia="pl-PL"/>
              </w:rPr>
              <w:t>aktualizację bazy danych rejestru oraz usprawni procesy realizowane przez te podmioty.</w:t>
            </w:r>
            <w:r w:rsidRPr="0039492D">
              <w:rPr>
                <w:rFonts w:cs="Calibri"/>
                <w:sz w:val="18"/>
                <w:szCs w:val="18"/>
              </w:rPr>
              <w:t xml:space="preserve"> </w:t>
            </w:r>
            <w:r>
              <w:rPr>
                <w:rFonts w:cs="Calibri"/>
                <w:sz w:val="18"/>
                <w:szCs w:val="18"/>
              </w:rPr>
              <w:t>Wdrożenie nowego serwisu internetowego uprości proces uzyskiwania zaświadczeń z KRK, co w konsekwencji skróci czas oczekiwania na informacje z KRK.</w:t>
            </w:r>
          </w:p>
        </w:tc>
        <w:tc>
          <w:tcPr>
            <w:tcW w:w="1701" w:type="dxa"/>
          </w:tcPr>
          <w:p w14:paraId="2AAC5905" w14:textId="4EED619F" w:rsidR="006F4312" w:rsidRPr="002F36D3" w:rsidRDefault="0078631E" w:rsidP="0078631E">
            <w:pPr>
              <w:spacing w:after="0" w:line="240" w:lineRule="auto"/>
              <w:rPr>
                <w:rFonts w:cs="Calibri"/>
                <w:sz w:val="18"/>
                <w:szCs w:val="18"/>
              </w:rPr>
            </w:pPr>
            <w:r>
              <w:rPr>
                <w:rFonts w:cs="Arial"/>
                <w:sz w:val="18"/>
                <w:szCs w:val="18"/>
              </w:rPr>
              <w:t>5</w:t>
            </w:r>
            <w:r w:rsidR="006F4312" w:rsidRPr="002F36D3">
              <w:rPr>
                <w:rFonts w:cs="Arial"/>
                <w:sz w:val="18"/>
                <w:szCs w:val="18"/>
              </w:rPr>
              <w:t>. Poprawa funkcjonowania wymiaru sprawiedliwości, w tym prokuratury.</w:t>
            </w:r>
          </w:p>
        </w:tc>
      </w:tr>
      <w:tr w:rsidR="006F4312" w:rsidRPr="00F21196" w14:paraId="6C4CBCB3" w14:textId="30DFD123" w:rsidTr="00A23644">
        <w:trPr>
          <w:trHeight w:val="163"/>
        </w:trPr>
        <w:tc>
          <w:tcPr>
            <w:tcW w:w="1985" w:type="dxa"/>
            <w:shd w:val="clear" w:color="auto" w:fill="auto"/>
          </w:tcPr>
          <w:p w14:paraId="67AE653E" w14:textId="77777777" w:rsidR="006F4312" w:rsidRPr="005F4F5D" w:rsidRDefault="006F4312" w:rsidP="006F4312">
            <w:pPr>
              <w:spacing w:line="240" w:lineRule="auto"/>
              <w:ind w:right="99"/>
              <w:rPr>
                <w:rFonts w:cs="Calibri"/>
                <w:b/>
                <w:sz w:val="18"/>
                <w:szCs w:val="18"/>
              </w:rPr>
            </w:pPr>
            <w:r>
              <w:rPr>
                <w:rFonts w:cs="Calibri"/>
                <w:b/>
                <w:sz w:val="18"/>
                <w:szCs w:val="18"/>
              </w:rPr>
              <w:t xml:space="preserve">Budowa systemu informatycznego - Krajowy Rejestr Zadłużonych (KRZ). </w:t>
            </w:r>
          </w:p>
        </w:tc>
        <w:tc>
          <w:tcPr>
            <w:tcW w:w="1134" w:type="dxa"/>
            <w:shd w:val="clear" w:color="auto" w:fill="auto"/>
          </w:tcPr>
          <w:p w14:paraId="286EF835" w14:textId="77777777" w:rsidR="006F4312" w:rsidRPr="00F21196" w:rsidRDefault="006F4312" w:rsidP="006F4312">
            <w:pPr>
              <w:spacing w:after="0" w:line="240" w:lineRule="auto"/>
              <w:jc w:val="center"/>
              <w:rPr>
                <w:rFonts w:cs="Calibri"/>
                <w:sz w:val="20"/>
                <w:szCs w:val="20"/>
                <w:lang w:eastAsia="pl-PL"/>
              </w:rPr>
            </w:pPr>
            <w:r>
              <w:rPr>
                <w:rFonts w:cs="Calibri"/>
                <w:sz w:val="20"/>
                <w:szCs w:val="20"/>
                <w:lang w:eastAsia="pl-PL"/>
              </w:rPr>
              <w:t>MS</w:t>
            </w:r>
          </w:p>
        </w:tc>
        <w:tc>
          <w:tcPr>
            <w:tcW w:w="1276" w:type="dxa"/>
            <w:shd w:val="clear" w:color="auto" w:fill="auto"/>
          </w:tcPr>
          <w:p w14:paraId="4434C652" w14:textId="77777777" w:rsidR="006F4312" w:rsidRDefault="006F4312" w:rsidP="006F4312">
            <w:pPr>
              <w:spacing w:after="0" w:line="240" w:lineRule="auto"/>
              <w:rPr>
                <w:sz w:val="20"/>
                <w:szCs w:val="20"/>
              </w:rPr>
            </w:pPr>
            <w:r>
              <w:rPr>
                <w:sz w:val="20"/>
                <w:szCs w:val="20"/>
              </w:rPr>
              <w:t>2016-2021</w:t>
            </w:r>
          </w:p>
        </w:tc>
        <w:tc>
          <w:tcPr>
            <w:tcW w:w="3827" w:type="dxa"/>
          </w:tcPr>
          <w:p w14:paraId="37A9130D" w14:textId="147E25C6" w:rsidR="006F4312" w:rsidRPr="00F21196" w:rsidRDefault="006F4312" w:rsidP="0014742D">
            <w:pPr>
              <w:spacing w:after="0" w:line="240" w:lineRule="auto"/>
              <w:jc w:val="both"/>
              <w:rPr>
                <w:rFonts w:cs="Calibri"/>
                <w:sz w:val="18"/>
                <w:szCs w:val="18"/>
              </w:rPr>
            </w:pPr>
            <w:r>
              <w:rPr>
                <w:rFonts w:cs="Calibri"/>
                <w:sz w:val="18"/>
                <w:szCs w:val="18"/>
              </w:rPr>
              <w:t xml:space="preserve">Celem projektu jest zwiększenie efektywności funkcjonowania sądów restrukturyzacyjnych i upadłościowych. Cel projektu zostanie osiągnięty poprzez budowę rejestru, który będzie kompleksowo prezentował informacje o dłużnikach niewypłacalnych i zagrożonych niewypłacalnością, </w:t>
            </w:r>
            <w:r w:rsidR="0014742D">
              <w:rPr>
                <w:rFonts w:cs="Calibri"/>
                <w:sz w:val="18"/>
                <w:szCs w:val="18"/>
              </w:rPr>
              <w:t>a także o</w:t>
            </w:r>
            <w:r>
              <w:rPr>
                <w:rFonts w:cs="Calibri"/>
                <w:sz w:val="18"/>
                <w:szCs w:val="18"/>
              </w:rPr>
              <w:t xml:space="preserve"> podmiotach wobec których umorzono bezskuteczną egzekucję. Realizacja projektu pozwoli na usprawnienie, przyspieszenie oraz zwiększenie efektywności postępowań restrukturyzacyjnych i upadłościowych poprzez przewidzianą informatyzację tych postępowań. Projekt rozwiąże problem małej transparentności postępowań restrukturyzacyjnych i upadłościowych poprzez zapewnienie wierzycielom bieżącego dostępu do akt postępowań za pośrednictwem systemu teleinformatycznego ( przez internet).</w:t>
            </w:r>
          </w:p>
        </w:tc>
        <w:tc>
          <w:tcPr>
            <w:tcW w:w="1701" w:type="dxa"/>
          </w:tcPr>
          <w:p w14:paraId="1566E7A9" w14:textId="1AFEE907" w:rsidR="006F4312" w:rsidRPr="002F36D3" w:rsidRDefault="0014742D" w:rsidP="0014742D">
            <w:pPr>
              <w:spacing w:after="0" w:line="240" w:lineRule="auto"/>
              <w:rPr>
                <w:rFonts w:cs="Calibri"/>
                <w:sz w:val="18"/>
                <w:szCs w:val="18"/>
              </w:rPr>
            </w:pPr>
            <w:r>
              <w:rPr>
                <w:rFonts w:cs="Arial"/>
                <w:sz w:val="18"/>
                <w:szCs w:val="18"/>
              </w:rPr>
              <w:t>5</w:t>
            </w:r>
            <w:r w:rsidR="006F4312" w:rsidRPr="002F36D3">
              <w:rPr>
                <w:rFonts w:cs="Arial"/>
                <w:sz w:val="18"/>
                <w:szCs w:val="18"/>
              </w:rPr>
              <w:t>. Poprawa funkcjonowania wymiaru sprawiedliwości, w tym prokuratury.</w:t>
            </w:r>
          </w:p>
        </w:tc>
      </w:tr>
      <w:tr w:rsidR="006F4312" w:rsidRPr="00F21196" w14:paraId="10D7D3E8" w14:textId="27D1FDDC" w:rsidTr="00A23644">
        <w:trPr>
          <w:trHeight w:val="163"/>
        </w:trPr>
        <w:tc>
          <w:tcPr>
            <w:tcW w:w="1985" w:type="dxa"/>
            <w:shd w:val="clear" w:color="auto" w:fill="auto"/>
          </w:tcPr>
          <w:p w14:paraId="56F01D35" w14:textId="77777777" w:rsidR="006F4312" w:rsidRDefault="006F4312" w:rsidP="006F4312">
            <w:pPr>
              <w:spacing w:line="240" w:lineRule="auto"/>
              <w:ind w:right="99"/>
              <w:rPr>
                <w:rFonts w:cs="Calibri"/>
                <w:b/>
                <w:sz w:val="18"/>
                <w:szCs w:val="18"/>
              </w:rPr>
            </w:pPr>
            <w:r w:rsidRPr="007704A0">
              <w:rPr>
                <w:rFonts w:cs="Calibri"/>
                <w:b/>
                <w:sz w:val="18"/>
                <w:szCs w:val="18"/>
              </w:rPr>
              <w:t xml:space="preserve">Upowszechnienie alternatywnych metod rozwiązywania sporów poprzez podniesienie kompetencji mediatorów, utworzenie </w:t>
            </w:r>
            <w:r w:rsidRPr="007704A0">
              <w:rPr>
                <w:rFonts w:cs="Calibri"/>
                <w:b/>
                <w:sz w:val="18"/>
                <w:szCs w:val="18"/>
              </w:rPr>
              <w:br/>
              <w:t>Krajowego Rejestru Mediatorów (KRM) oraz działania informacyjne</w:t>
            </w:r>
          </w:p>
        </w:tc>
        <w:tc>
          <w:tcPr>
            <w:tcW w:w="1134" w:type="dxa"/>
            <w:shd w:val="clear" w:color="auto" w:fill="auto"/>
          </w:tcPr>
          <w:p w14:paraId="549D4F99" w14:textId="77777777" w:rsidR="006F4312" w:rsidRDefault="006F4312" w:rsidP="006F4312">
            <w:pPr>
              <w:spacing w:after="0" w:line="240" w:lineRule="auto"/>
              <w:jc w:val="center"/>
              <w:rPr>
                <w:rFonts w:cs="Calibri"/>
                <w:sz w:val="20"/>
                <w:szCs w:val="20"/>
                <w:lang w:eastAsia="pl-PL"/>
              </w:rPr>
            </w:pPr>
            <w:r>
              <w:rPr>
                <w:rFonts w:cs="Calibri"/>
                <w:sz w:val="20"/>
                <w:szCs w:val="20"/>
                <w:lang w:eastAsia="pl-PL"/>
              </w:rPr>
              <w:t>MS</w:t>
            </w:r>
          </w:p>
        </w:tc>
        <w:tc>
          <w:tcPr>
            <w:tcW w:w="1276" w:type="dxa"/>
            <w:shd w:val="clear" w:color="auto" w:fill="auto"/>
          </w:tcPr>
          <w:p w14:paraId="32037627" w14:textId="77777777" w:rsidR="006F4312" w:rsidRDefault="006F4312" w:rsidP="006F4312">
            <w:pPr>
              <w:spacing w:after="0" w:line="240" w:lineRule="auto"/>
              <w:rPr>
                <w:sz w:val="20"/>
                <w:szCs w:val="20"/>
              </w:rPr>
            </w:pPr>
            <w:r>
              <w:rPr>
                <w:sz w:val="20"/>
                <w:szCs w:val="20"/>
              </w:rPr>
              <w:t>2020-2023</w:t>
            </w:r>
          </w:p>
        </w:tc>
        <w:tc>
          <w:tcPr>
            <w:tcW w:w="3827" w:type="dxa"/>
          </w:tcPr>
          <w:p w14:paraId="49D87A47" w14:textId="4ADA211F" w:rsidR="006F4312" w:rsidRDefault="006F4312" w:rsidP="006F4312">
            <w:pPr>
              <w:spacing w:after="0" w:line="240" w:lineRule="auto"/>
              <w:jc w:val="both"/>
              <w:rPr>
                <w:rFonts w:cs="Calibri"/>
                <w:sz w:val="18"/>
                <w:szCs w:val="18"/>
              </w:rPr>
            </w:pPr>
            <w:r w:rsidRPr="007704A0">
              <w:rPr>
                <w:rFonts w:cs="Calibri"/>
                <w:sz w:val="18"/>
                <w:szCs w:val="18"/>
              </w:rPr>
              <w:t>Celem głównym projektu jest profesjonalizacja zawodu mediatora poprzez utworzenie Krajowego Rejestru Mediatorów (KRM) oraz przeprowadzenie cyklu szkoleń mediacyjnych w ramach Zintegrowanego Systemu Kwalifikacji</w:t>
            </w:r>
            <w:r>
              <w:rPr>
                <w:rFonts w:cs="Calibri"/>
                <w:sz w:val="18"/>
                <w:szCs w:val="18"/>
              </w:rPr>
              <w:t xml:space="preserve"> tj. Prowadzenie mediacji sądowych i pozasądowych w sprawach cywilnych oraz Prowadzenie mediacji sądowych i pozasądowych w sprawach rodzinnych.</w:t>
            </w:r>
          </w:p>
        </w:tc>
        <w:tc>
          <w:tcPr>
            <w:tcW w:w="1701" w:type="dxa"/>
          </w:tcPr>
          <w:p w14:paraId="3E04B4FE" w14:textId="3726066D" w:rsidR="006F4312" w:rsidRPr="002F36D3" w:rsidRDefault="0014742D" w:rsidP="0014742D">
            <w:pPr>
              <w:spacing w:after="0" w:line="240" w:lineRule="auto"/>
              <w:rPr>
                <w:rFonts w:cs="Calibri"/>
                <w:sz w:val="18"/>
                <w:szCs w:val="18"/>
              </w:rPr>
            </w:pPr>
            <w:r>
              <w:rPr>
                <w:rFonts w:cs="Arial"/>
                <w:sz w:val="18"/>
                <w:szCs w:val="18"/>
              </w:rPr>
              <w:t>5</w:t>
            </w:r>
            <w:r w:rsidR="006F4312" w:rsidRPr="002F36D3">
              <w:rPr>
                <w:rFonts w:cs="Arial"/>
                <w:sz w:val="18"/>
                <w:szCs w:val="18"/>
              </w:rPr>
              <w:t>. Poprawa funkcjonowania wymiaru sprawiedliwości, w tym prokuratury.</w:t>
            </w:r>
          </w:p>
        </w:tc>
      </w:tr>
      <w:tr w:rsidR="006F4312" w:rsidRPr="00F21196" w14:paraId="3E2D6DE0" w14:textId="55A04678" w:rsidTr="00A23644">
        <w:trPr>
          <w:trHeight w:val="163"/>
        </w:trPr>
        <w:tc>
          <w:tcPr>
            <w:tcW w:w="1985" w:type="dxa"/>
            <w:shd w:val="clear" w:color="auto" w:fill="auto"/>
          </w:tcPr>
          <w:p w14:paraId="42E92427" w14:textId="77777777" w:rsidR="006F4312" w:rsidRDefault="006F4312" w:rsidP="006F4312">
            <w:pPr>
              <w:spacing w:line="240" w:lineRule="auto"/>
              <w:ind w:right="99"/>
              <w:rPr>
                <w:rFonts w:cs="Calibri"/>
                <w:b/>
                <w:sz w:val="18"/>
                <w:szCs w:val="18"/>
              </w:rPr>
            </w:pPr>
            <w:r>
              <w:rPr>
                <w:rFonts w:cs="Calibri"/>
                <w:b/>
                <w:sz w:val="18"/>
                <w:szCs w:val="18"/>
              </w:rPr>
              <w:t xml:space="preserve">Elektroniczny Krajowy Rejestr Sądowy (eKRS) </w:t>
            </w:r>
          </w:p>
        </w:tc>
        <w:tc>
          <w:tcPr>
            <w:tcW w:w="1134" w:type="dxa"/>
            <w:shd w:val="clear" w:color="auto" w:fill="auto"/>
          </w:tcPr>
          <w:p w14:paraId="051CC0D7" w14:textId="77777777" w:rsidR="006F4312" w:rsidRDefault="006F4312" w:rsidP="006F4312">
            <w:pPr>
              <w:spacing w:after="0" w:line="240" w:lineRule="auto"/>
              <w:jc w:val="center"/>
              <w:rPr>
                <w:rFonts w:cs="Calibri"/>
                <w:sz w:val="20"/>
                <w:szCs w:val="20"/>
                <w:lang w:eastAsia="pl-PL"/>
              </w:rPr>
            </w:pPr>
            <w:r>
              <w:rPr>
                <w:rFonts w:cs="Calibri"/>
                <w:sz w:val="20"/>
                <w:szCs w:val="20"/>
                <w:lang w:eastAsia="pl-PL"/>
              </w:rPr>
              <w:t>MS</w:t>
            </w:r>
          </w:p>
        </w:tc>
        <w:tc>
          <w:tcPr>
            <w:tcW w:w="1276" w:type="dxa"/>
            <w:shd w:val="clear" w:color="auto" w:fill="auto"/>
          </w:tcPr>
          <w:p w14:paraId="3B1EB553" w14:textId="77777777" w:rsidR="006F4312" w:rsidRDefault="006F4312" w:rsidP="006F4312">
            <w:pPr>
              <w:spacing w:after="0" w:line="240" w:lineRule="auto"/>
              <w:rPr>
                <w:sz w:val="20"/>
                <w:szCs w:val="20"/>
              </w:rPr>
            </w:pPr>
            <w:r>
              <w:rPr>
                <w:sz w:val="20"/>
                <w:szCs w:val="20"/>
              </w:rPr>
              <w:t>2018-2022</w:t>
            </w:r>
          </w:p>
        </w:tc>
        <w:tc>
          <w:tcPr>
            <w:tcW w:w="3827" w:type="dxa"/>
          </w:tcPr>
          <w:p w14:paraId="241EF3FE" w14:textId="77777777" w:rsidR="006F4312" w:rsidRDefault="006F4312" w:rsidP="006F4312">
            <w:pPr>
              <w:spacing w:after="0" w:line="240" w:lineRule="auto"/>
              <w:jc w:val="both"/>
              <w:rPr>
                <w:rFonts w:cs="Calibri"/>
                <w:sz w:val="18"/>
                <w:szCs w:val="18"/>
              </w:rPr>
            </w:pPr>
            <w:r>
              <w:rPr>
                <w:rFonts w:cs="Calibri"/>
                <w:sz w:val="18"/>
                <w:szCs w:val="18"/>
              </w:rPr>
              <w:t>Cele projektu:</w:t>
            </w:r>
          </w:p>
          <w:p w14:paraId="52830BA6" w14:textId="77777777" w:rsidR="006F4312" w:rsidRDefault="006F4312" w:rsidP="006F4312">
            <w:pPr>
              <w:spacing w:after="0" w:line="240" w:lineRule="auto"/>
              <w:jc w:val="both"/>
              <w:rPr>
                <w:rFonts w:cs="Calibri"/>
                <w:sz w:val="18"/>
                <w:szCs w:val="18"/>
              </w:rPr>
            </w:pPr>
            <w:r>
              <w:rPr>
                <w:rFonts w:cs="Calibri"/>
                <w:sz w:val="18"/>
                <w:szCs w:val="18"/>
              </w:rPr>
              <w:t>- ułatwienie, uproszczenie i przyspieszenie rejestracji podmiotów, rejestrowanych w Krajowym Rejestrze Sądowym poprzez wprowadzenie elektronicznych wniosków o wpis do KRS wypełnianych za pomocą interaktywnych formularzy;</w:t>
            </w:r>
          </w:p>
          <w:p w14:paraId="0862B7E0" w14:textId="77777777" w:rsidR="006F4312" w:rsidRDefault="006F4312" w:rsidP="006F4312">
            <w:pPr>
              <w:spacing w:after="0" w:line="240" w:lineRule="auto"/>
              <w:jc w:val="both"/>
              <w:rPr>
                <w:rFonts w:cs="Calibri"/>
                <w:sz w:val="18"/>
                <w:szCs w:val="18"/>
              </w:rPr>
            </w:pPr>
            <w:r>
              <w:rPr>
                <w:rFonts w:cs="Calibri"/>
                <w:sz w:val="18"/>
                <w:szCs w:val="18"/>
              </w:rPr>
              <w:t>- ułatwienie komunikacji z sądem rejestrowym poprzez wprowadzenie składania pism procesowych za pośrednictwem systemu teleinformatycznego oraz elektronicznych doręczeń;</w:t>
            </w:r>
          </w:p>
          <w:p w14:paraId="4E34B450" w14:textId="77777777" w:rsidR="006F4312" w:rsidRDefault="006F4312" w:rsidP="006F4312">
            <w:pPr>
              <w:spacing w:after="0" w:line="240" w:lineRule="auto"/>
              <w:jc w:val="both"/>
              <w:rPr>
                <w:rFonts w:cs="Calibri"/>
                <w:sz w:val="18"/>
                <w:szCs w:val="18"/>
              </w:rPr>
            </w:pPr>
            <w:r>
              <w:rPr>
                <w:rFonts w:cs="Calibri"/>
                <w:sz w:val="18"/>
                <w:szCs w:val="18"/>
              </w:rPr>
              <w:t>- udostępnienie pełnej informacji o podmiotach wpisanych w KRS;</w:t>
            </w:r>
          </w:p>
          <w:p w14:paraId="56F633C8" w14:textId="77777777" w:rsidR="006F4312" w:rsidRDefault="006F4312" w:rsidP="006F4312">
            <w:pPr>
              <w:spacing w:after="0" w:line="240" w:lineRule="auto"/>
              <w:jc w:val="both"/>
              <w:rPr>
                <w:rFonts w:cs="Calibri"/>
                <w:sz w:val="18"/>
                <w:szCs w:val="18"/>
              </w:rPr>
            </w:pPr>
            <w:r>
              <w:rPr>
                <w:rFonts w:cs="Calibri"/>
                <w:sz w:val="18"/>
                <w:szCs w:val="18"/>
              </w:rPr>
              <w:t>- odciążenie sądów rejestrowych poprzez zmiany procedur, tj. wprowadzenie akt elektronicznych.</w:t>
            </w:r>
          </w:p>
        </w:tc>
        <w:tc>
          <w:tcPr>
            <w:tcW w:w="1701" w:type="dxa"/>
          </w:tcPr>
          <w:p w14:paraId="00BC4D67" w14:textId="212018B3" w:rsidR="006F4312" w:rsidRPr="002F36D3" w:rsidRDefault="0014742D" w:rsidP="006F4312">
            <w:pPr>
              <w:spacing w:after="0" w:line="240" w:lineRule="auto"/>
              <w:rPr>
                <w:rFonts w:cs="Calibri"/>
                <w:sz w:val="18"/>
                <w:szCs w:val="18"/>
              </w:rPr>
            </w:pPr>
            <w:r>
              <w:rPr>
                <w:rFonts w:cs="Arial"/>
                <w:sz w:val="18"/>
                <w:szCs w:val="18"/>
              </w:rPr>
              <w:t>5</w:t>
            </w:r>
            <w:r w:rsidR="006F4312" w:rsidRPr="002F36D3">
              <w:rPr>
                <w:rFonts w:cs="Arial"/>
                <w:sz w:val="18"/>
                <w:szCs w:val="18"/>
              </w:rPr>
              <w:t>. Poprawa funkcjonowania wymiaru sprawiedliwości, w tym prokuratury.</w:t>
            </w:r>
          </w:p>
        </w:tc>
      </w:tr>
      <w:tr w:rsidR="0014742D" w:rsidRPr="00F21196" w14:paraId="677361FD" w14:textId="77777777" w:rsidTr="00A23644">
        <w:trPr>
          <w:trHeight w:val="163"/>
        </w:trPr>
        <w:tc>
          <w:tcPr>
            <w:tcW w:w="1985" w:type="dxa"/>
            <w:shd w:val="clear" w:color="auto" w:fill="auto"/>
          </w:tcPr>
          <w:p w14:paraId="1267A6F0" w14:textId="662D210F" w:rsidR="0014742D" w:rsidRDefault="0014742D" w:rsidP="0014742D">
            <w:pPr>
              <w:spacing w:line="240" w:lineRule="auto"/>
              <w:ind w:right="99"/>
              <w:rPr>
                <w:rFonts w:cs="Calibri"/>
                <w:b/>
                <w:sz w:val="18"/>
                <w:szCs w:val="18"/>
              </w:rPr>
            </w:pPr>
            <w:r w:rsidRPr="00E46DFC">
              <w:rPr>
                <w:b/>
                <w:sz w:val="18"/>
                <w:szCs w:val="18"/>
              </w:rPr>
              <w:t>Rozwój analizy kryminalnej gromadzonych przez powszechne jednostki organizacyjne prokuratury danych</w:t>
            </w:r>
          </w:p>
        </w:tc>
        <w:tc>
          <w:tcPr>
            <w:tcW w:w="1134" w:type="dxa"/>
            <w:shd w:val="clear" w:color="auto" w:fill="auto"/>
          </w:tcPr>
          <w:p w14:paraId="2D7BF585" w14:textId="6C5A2FC3" w:rsidR="0014742D" w:rsidRDefault="0014742D" w:rsidP="0014742D">
            <w:pPr>
              <w:spacing w:after="0" w:line="240" w:lineRule="auto"/>
              <w:jc w:val="center"/>
              <w:rPr>
                <w:rFonts w:cs="Calibri"/>
                <w:sz w:val="20"/>
                <w:szCs w:val="20"/>
                <w:lang w:eastAsia="pl-PL"/>
              </w:rPr>
            </w:pPr>
            <w:r>
              <w:rPr>
                <w:rFonts w:cs="Calibri"/>
                <w:sz w:val="20"/>
                <w:szCs w:val="20"/>
                <w:lang w:eastAsia="pl-PL"/>
              </w:rPr>
              <w:t>PK</w:t>
            </w:r>
          </w:p>
        </w:tc>
        <w:tc>
          <w:tcPr>
            <w:tcW w:w="1276" w:type="dxa"/>
            <w:shd w:val="clear" w:color="auto" w:fill="auto"/>
          </w:tcPr>
          <w:p w14:paraId="0786A8DD" w14:textId="5AE73A95" w:rsidR="0014742D" w:rsidRDefault="0014742D" w:rsidP="0014742D">
            <w:pPr>
              <w:spacing w:after="0" w:line="240" w:lineRule="auto"/>
              <w:rPr>
                <w:sz w:val="20"/>
                <w:szCs w:val="20"/>
              </w:rPr>
            </w:pPr>
            <w:r>
              <w:rPr>
                <w:sz w:val="20"/>
                <w:szCs w:val="20"/>
              </w:rPr>
              <w:t>2020-2030</w:t>
            </w:r>
          </w:p>
        </w:tc>
        <w:tc>
          <w:tcPr>
            <w:tcW w:w="3827" w:type="dxa"/>
          </w:tcPr>
          <w:p w14:paraId="5408ECF1" w14:textId="533C716C" w:rsidR="0014742D" w:rsidRDefault="0014742D" w:rsidP="002F4FBD">
            <w:pPr>
              <w:spacing w:after="0" w:line="240" w:lineRule="auto"/>
              <w:jc w:val="both"/>
              <w:rPr>
                <w:rFonts w:cs="Calibri"/>
                <w:sz w:val="18"/>
                <w:szCs w:val="18"/>
              </w:rPr>
            </w:pPr>
            <w:r w:rsidRPr="00E46DFC">
              <w:rPr>
                <w:rFonts w:cs="Calibri"/>
                <w:sz w:val="18"/>
                <w:szCs w:val="18"/>
                <w:lang w:eastAsia="pl-PL"/>
              </w:rPr>
              <w:t>Rozwój analizy kryminalnej w kontekście powstającej w wyniku digitalizacji bazy akt w postaci cyfrowej, jak również analizy związanej z działaniami w zakresie zwalczania i zapobiegania przestępczości, w tym wykorzystywania wyników analizy do opracowywania metod zwalczania oraz zapobiegania zjawiskom o charakterze przestępczym</w:t>
            </w:r>
          </w:p>
        </w:tc>
        <w:tc>
          <w:tcPr>
            <w:tcW w:w="1701" w:type="dxa"/>
          </w:tcPr>
          <w:p w14:paraId="7576BE67" w14:textId="5D432480" w:rsidR="0014742D" w:rsidRDefault="0014742D" w:rsidP="0014742D">
            <w:pPr>
              <w:spacing w:after="0" w:line="240" w:lineRule="auto"/>
              <w:rPr>
                <w:rFonts w:cs="Arial"/>
                <w:sz w:val="18"/>
                <w:szCs w:val="18"/>
              </w:rPr>
            </w:pPr>
            <w:r w:rsidRPr="00E46DFC">
              <w:rPr>
                <w:rFonts w:cs="Arial"/>
                <w:sz w:val="18"/>
                <w:szCs w:val="18"/>
              </w:rPr>
              <w:t>5. Poprawa funkcjonowania wymiaru sprawiedliwości, w tym prokuratury</w:t>
            </w:r>
          </w:p>
        </w:tc>
      </w:tr>
      <w:tr w:rsidR="0014742D" w:rsidRPr="00F21196" w14:paraId="0C8A5037" w14:textId="77777777" w:rsidTr="00A23644">
        <w:trPr>
          <w:trHeight w:val="163"/>
        </w:trPr>
        <w:tc>
          <w:tcPr>
            <w:tcW w:w="1985" w:type="dxa"/>
            <w:shd w:val="clear" w:color="auto" w:fill="auto"/>
          </w:tcPr>
          <w:p w14:paraId="366F4F36" w14:textId="608B0C81" w:rsidR="0014742D" w:rsidRDefault="0014742D" w:rsidP="0014742D">
            <w:pPr>
              <w:spacing w:line="240" w:lineRule="auto"/>
              <w:ind w:right="99"/>
              <w:rPr>
                <w:rFonts w:cs="Calibri"/>
                <w:b/>
                <w:sz w:val="18"/>
                <w:szCs w:val="18"/>
              </w:rPr>
            </w:pPr>
            <w:r w:rsidRPr="00CC6A2E">
              <w:rPr>
                <w:rFonts w:cs="Times New Roman"/>
                <w:b/>
                <w:sz w:val="18"/>
                <w:szCs w:val="18"/>
              </w:rPr>
              <w:t>Budowa i wdrożenie systemu obiegu informacji pomiędzy organami państwa uczestniczącymi w procesie karnym</w:t>
            </w:r>
          </w:p>
        </w:tc>
        <w:tc>
          <w:tcPr>
            <w:tcW w:w="1134" w:type="dxa"/>
            <w:shd w:val="clear" w:color="auto" w:fill="auto"/>
          </w:tcPr>
          <w:p w14:paraId="673EAAC0" w14:textId="516BA7A0" w:rsidR="0014742D" w:rsidRDefault="0014742D" w:rsidP="0014742D">
            <w:pPr>
              <w:spacing w:after="0" w:line="240" w:lineRule="auto"/>
              <w:jc w:val="center"/>
              <w:rPr>
                <w:rFonts w:cs="Calibri"/>
                <w:sz w:val="20"/>
                <w:szCs w:val="20"/>
                <w:lang w:eastAsia="pl-PL"/>
              </w:rPr>
            </w:pPr>
            <w:r>
              <w:rPr>
                <w:rFonts w:cs="Calibri"/>
                <w:sz w:val="20"/>
                <w:szCs w:val="20"/>
                <w:lang w:eastAsia="pl-PL"/>
              </w:rPr>
              <w:t>PK</w:t>
            </w:r>
          </w:p>
        </w:tc>
        <w:tc>
          <w:tcPr>
            <w:tcW w:w="1276" w:type="dxa"/>
            <w:shd w:val="clear" w:color="auto" w:fill="auto"/>
          </w:tcPr>
          <w:p w14:paraId="6A29634F" w14:textId="2A0A7B25" w:rsidR="0014742D" w:rsidRDefault="0014742D" w:rsidP="0014742D">
            <w:pPr>
              <w:spacing w:after="0" w:line="240" w:lineRule="auto"/>
              <w:rPr>
                <w:sz w:val="20"/>
                <w:szCs w:val="20"/>
              </w:rPr>
            </w:pPr>
            <w:r>
              <w:rPr>
                <w:sz w:val="20"/>
                <w:szCs w:val="20"/>
              </w:rPr>
              <w:t>2020-2030</w:t>
            </w:r>
          </w:p>
        </w:tc>
        <w:tc>
          <w:tcPr>
            <w:tcW w:w="3827" w:type="dxa"/>
          </w:tcPr>
          <w:p w14:paraId="50D3CC8D" w14:textId="6F2301FF" w:rsidR="0014742D" w:rsidRDefault="0014742D" w:rsidP="0014742D">
            <w:pPr>
              <w:spacing w:after="0" w:line="240" w:lineRule="auto"/>
              <w:jc w:val="both"/>
              <w:rPr>
                <w:rFonts w:cs="Calibri"/>
                <w:sz w:val="18"/>
                <w:szCs w:val="18"/>
              </w:rPr>
            </w:pPr>
            <w:r w:rsidRPr="00CC6A2E">
              <w:rPr>
                <w:rFonts w:cs="Times New Roman"/>
                <w:sz w:val="18"/>
                <w:szCs w:val="18"/>
              </w:rPr>
              <w:t>Budowa i wdrożenie systemu teleinformatycznego usprawniającego obieg informacji między organami państwa uczestniczącymi w realizacji zadań związanych z procesem karnym, w tym przekazywanie pism procesowych, w powiązaniu ze zmianami przepisów Kodeksu postępowania karnego; Integracja wdrożonego systemu z projektowanym systemem doręczeń elektronicznych w procesie karnym. Projekt powinien wdrażać rozwiązania zidentyfikowane w rezultacie analizy wskazanej w punkcie poprzednim. Efektem projektu powinno być wdrożenie rozwiązań technicznych i organizacyjnych o charakterze ponadsektorowym obejmujących wszystkie podmioty zaangażowane w realizację czynności postępowania karnego. Projekt powinien uwzględniać zwiększenie stopnia partycypacji stron procesowych w czynności postępowania karnego oraz wprowadzenie ułatwień technologicznych umożliwiających takie zwiększenie.</w:t>
            </w:r>
          </w:p>
        </w:tc>
        <w:tc>
          <w:tcPr>
            <w:tcW w:w="1701" w:type="dxa"/>
          </w:tcPr>
          <w:p w14:paraId="685B2AEA" w14:textId="2D107F63" w:rsidR="0014742D" w:rsidRDefault="0014742D" w:rsidP="0014742D">
            <w:pPr>
              <w:spacing w:after="0" w:line="240" w:lineRule="auto"/>
              <w:rPr>
                <w:rFonts w:cs="Arial"/>
                <w:sz w:val="18"/>
                <w:szCs w:val="18"/>
              </w:rPr>
            </w:pPr>
            <w:r w:rsidRPr="00E46DFC">
              <w:rPr>
                <w:rFonts w:cs="Arial"/>
                <w:sz w:val="18"/>
                <w:szCs w:val="18"/>
              </w:rPr>
              <w:t>5. Poprawa funkcjonowania wymiaru sprawiedliwości, w tym prokuratury</w:t>
            </w:r>
          </w:p>
        </w:tc>
      </w:tr>
      <w:tr w:rsidR="0014742D" w:rsidRPr="00F21196" w14:paraId="1E240E7A" w14:textId="77777777" w:rsidTr="00A23644">
        <w:trPr>
          <w:trHeight w:val="163"/>
        </w:trPr>
        <w:tc>
          <w:tcPr>
            <w:tcW w:w="1985" w:type="dxa"/>
            <w:shd w:val="clear" w:color="auto" w:fill="auto"/>
          </w:tcPr>
          <w:p w14:paraId="58AC41DD" w14:textId="4F6E6AF7" w:rsidR="0014742D" w:rsidRPr="00CC6A2E" w:rsidRDefault="0014742D" w:rsidP="0014742D">
            <w:pPr>
              <w:spacing w:line="240" w:lineRule="auto"/>
              <w:ind w:right="99"/>
              <w:rPr>
                <w:rFonts w:cs="Times New Roman"/>
                <w:b/>
                <w:sz w:val="18"/>
                <w:szCs w:val="18"/>
              </w:rPr>
            </w:pPr>
            <w:r>
              <w:rPr>
                <w:b/>
                <w:sz w:val="18"/>
                <w:szCs w:val="18"/>
              </w:rPr>
              <w:t>Budowa systemu informatycznego do obsługi procesów postępowania karnego</w:t>
            </w:r>
          </w:p>
        </w:tc>
        <w:tc>
          <w:tcPr>
            <w:tcW w:w="1134" w:type="dxa"/>
            <w:shd w:val="clear" w:color="auto" w:fill="auto"/>
          </w:tcPr>
          <w:p w14:paraId="636797E5" w14:textId="5A0A5261" w:rsidR="0014742D" w:rsidRDefault="0014742D" w:rsidP="0014742D">
            <w:pPr>
              <w:spacing w:after="0" w:line="240" w:lineRule="auto"/>
              <w:jc w:val="center"/>
              <w:rPr>
                <w:rFonts w:cs="Calibri"/>
                <w:sz w:val="20"/>
                <w:szCs w:val="20"/>
                <w:lang w:eastAsia="pl-PL"/>
              </w:rPr>
            </w:pPr>
            <w:r>
              <w:rPr>
                <w:rFonts w:cs="Calibri"/>
                <w:sz w:val="20"/>
                <w:szCs w:val="20"/>
                <w:lang w:eastAsia="pl-PL"/>
              </w:rPr>
              <w:t>PK</w:t>
            </w:r>
          </w:p>
        </w:tc>
        <w:tc>
          <w:tcPr>
            <w:tcW w:w="1276" w:type="dxa"/>
            <w:shd w:val="clear" w:color="auto" w:fill="auto"/>
          </w:tcPr>
          <w:p w14:paraId="183B1984" w14:textId="59074C79" w:rsidR="0014742D" w:rsidRDefault="0014742D" w:rsidP="0014742D">
            <w:pPr>
              <w:spacing w:after="0" w:line="240" w:lineRule="auto"/>
              <w:rPr>
                <w:sz w:val="20"/>
                <w:szCs w:val="20"/>
              </w:rPr>
            </w:pPr>
            <w:r>
              <w:rPr>
                <w:sz w:val="20"/>
                <w:szCs w:val="20"/>
              </w:rPr>
              <w:t>2021-2026</w:t>
            </w:r>
          </w:p>
        </w:tc>
        <w:tc>
          <w:tcPr>
            <w:tcW w:w="3827" w:type="dxa"/>
          </w:tcPr>
          <w:p w14:paraId="0BEA05C5" w14:textId="77777777" w:rsidR="0014742D" w:rsidRDefault="0014742D" w:rsidP="0014742D">
            <w:pPr>
              <w:spacing w:after="0"/>
              <w:jc w:val="both"/>
              <w:rPr>
                <w:rFonts w:cs="Calibri"/>
                <w:sz w:val="18"/>
                <w:szCs w:val="18"/>
                <w:lang w:eastAsia="pl-PL"/>
              </w:rPr>
            </w:pPr>
            <w:r>
              <w:rPr>
                <w:rFonts w:cs="Calibri"/>
                <w:sz w:val="18"/>
                <w:szCs w:val="18"/>
                <w:lang w:eastAsia="pl-PL"/>
              </w:rPr>
              <w:t xml:space="preserve">Przedmiotem projektu będzie rozwój posiadanych rozwiązań informatycznych (systemu PROK-Sys) poprzez stworzenie rozwiązań umożliwiających wykonywanie czynności postępowania karnego przy wykorzystaniu narzędzi informatycznych. </w:t>
            </w:r>
          </w:p>
          <w:p w14:paraId="2BEC01F4" w14:textId="77777777" w:rsidR="0014742D" w:rsidRDefault="0014742D" w:rsidP="0014742D">
            <w:pPr>
              <w:spacing w:after="0"/>
              <w:jc w:val="both"/>
              <w:rPr>
                <w:rFonts w:cs="Calibri"/>
                <w:sz w:val="18"/>
                <w:szCs w:val="18"/>
                <w:lang w:eastAsia="pl-PL"/>
              </w:rPr>
            </w:pPr>
            <w:r>
              <w:rPr>
                <w:rFonts w:cs="Calibri"/>
                <w:sz w:val="18"/>
                <w:szCs w:val="18"/>
                <w:lang w:eastAsia="pl-PL"/>
              </w:rPr>
              <w:t xml:space="preserve">Projekt powiązany jest z analizą </w:t>
            </w:r>
            <w:r w:rsidRPr="005D4A78">
              <w:rPr>
                <w:rFonts w:cs="Calibri"/>
                <w:sz w:val="18"/>
                <w:szCs w:val="18"/>
                <w:lang w:eastAsia="pl-PL"/>
              </w:rPr>
              <w:t>możliwości optymalizacji procesów postępowania karnego poprzez zwiększenie stopnia wykorzystania rozwiązań informatycznych</w:t>
            </w:r>
            <w:r>
              <w:rPr>
                <w:rFonts w:cs="Calibri"/>
                <w:sz w:val="18"/>
                <w:szCs w:val="18"/>
                <w:lang w:eastAsia="pl-PL"/>
              </w:rPr>
              <w:t xml:space="preserve"> oraz odpowiada na zmiany legislacyjne, wprowadzające obowiązek informatyzacji określonych procesów postępowania karnego (e- doręczenia). </w:t>
            </w:r>
          </w:p>
          <w:p w14:paraId="2E4E90F4" w14:textId="1813A7A3" w:rsidR="0014742D" w:rsidRPr="00CC6A2E" w:rsidRDefault="0014742D" w:rsidP="0014742D">
            <w:pPr>
              <w:spacing w:after="0" w:line="240" w:lineRule="auto"/>
              <w:jc w:val="both"/>
              <w:rPr>
                <w:rFonts w:cs="Times New Roman"/>
                <w:sz w:val="18"/>
                <w:szCs w:val="18"/>
              </w:rPr>
            </w:pPr>
            <w:r>
              <w:rPr>
                <w:rFonts w:cs="Calibri"/>
                <w:sz w:val="18"/>
                <w:szCs w:val="18"/>
                <w:lang w:eastAsia="pl-PL"/>
              </w:rPr>
              <w:t>W ramach projektu informatyzacji podlegać będą zarówno procesy wewnątrzadministracyjne (przede wszystkim procesy związane z dokonywaniem czynności i przekazywaniem dokumentów, których adresatem jest Policja i sądy) jak również procesy zewnętrzne, których adresatem są obywatele.</w:t>
            </w:r>
          </w:p>
        </w:tc>
        <w:tc>
          <w:tcPr>
            <w:tcW w:w="1701" w:type="dxa"/>
          </w:tcPr>
          <w:p w14:paraId="171BBCBB" w14:textId="00812FEC" w:rsidR="0014742D" w:rsidRPr="00E46DFC" w:rsidRDefault="0014742D" w:rsidP="0014742D">
            <w:pPr>
              <w:spacing w:after="0" w:line="240" w:lineRule="auto"/>
              <w:rPr>
                <w:rFonts w:cs="Arial"/>
                <w:sz w:val="18"/>
                <w:szCs w:val="18"/>
              </w:rPr>
            </w:pPr>
            <w:r w:rsidRPr="00E46DFC">
              <w:rPr>
                <w:rFonts w:cs="Arial"/>
                <w:sz w:val="18"/>
                <w:szCs w:val="18"/>
              </w:rPr>
              <w:t>5. Poprawa funkcjonowania wymiaru sprawiedliwości, w tym prokuratury</w:t>
            </w:r>
          </w:p>
        </w:tc>
      </w:tr>
    </w:tbl>
    <w:p w14:paraId="6FDD0BA1" w14:textId="77777777" w:rsidR="006E7DF3" w:rsidRDefault="006E7DF3" w:rsidP="006E7DF3">
      <w:pPr>
        <w:spacing w:after="120"/>
        <w:ind w:left="284" w:hanging="284"/>
        <w:rPr>
          <w:rFonts w:eastAsia="Times New Roman" w:cs="Calibri"/>
          <w:b/>
          <w:color w:val="000000" w:themeColor="text1"/>
          <w:sz w:val="24"/>
          <w:lang w:eastAsia="pl-PL"/>
        </w:rPr>
      </w:pPr>
    </w:p>
    <w:p w14:paraId="20EB28C7" w14:textId="77777777" w:rsidR="009A0FAA" w:rsidRDefault="009A0FAA">
      <w:pPr>
        <w:rPr>
          <w:rFonts w:eastAsia="Times New Roman" w:cs="Calibri"/>
          <w:b/>
          <w:color w:val="000000" w:themeColor="text1"/>
          <w:sz w:val="24"/>
          <w:szCs w:val="28"/>
          <w:lang w:eastAsia="pl-PL"/>
        </w:rPr>
      </w:pPr>
      <w:r>
        <w:rPr>
          <w:rFonts w:eastAsia="Times New Roman" w:cs="Calibri"/>
          <w:b/>
          <w:color w:val="000000" w:themeColor="text1"/>
          <w:sz w:val="24"/>
          <w:szCs w:val="28"/>
          <w:lang w:eastAsia="pl-PL"/>
        </w:rPr>
        <w:br w:type="page"/>
      </w:r>
    </w:p>
    <w:p w14:paraId="33BD6A4F" w14:textId="4CD19FC5" w:rsidR="00824FBA" w:rsidRPr="00E740D4" w:rsidRDefault="00824FBA" w:rsidP="00020B43">
      <w:pPr>
        <w:shd w:val="clear" w:color="auto" w:fill="FFF2CC" w:themeFill="accent4" w:themeFillTint="33"/>
        <w:spacing w:after="120"/>
        <w:ind w:left="284" w:hanging="284"/>
        <w:rPr>
          <w:rFonts w:eastAsia="Times New Roman" w:cs="Calibri"/>
          <w:b/>
          <w:color w:val="000000" w:themeColor="text1"/>
          <w:sz w:val="24"/>
          <w:szCs w:val="28"/>
          <w:lang w:eastAsia="pl-PL"/>
        </w:rPr>
      </w:pPr>
      <w:r w:rsidRPr="00E740D4">
        <w:rPr>
          <w:rFonts w:eastAsia="Times New Roman" w:cs="Calibri"/>
          <w:b/>
          <w:color w:val="000000" w:themeColor="text1"/>
          <w:sz w:val="24"/>
          <w:szCs w:val="28"/>
          <w:lang w:eastAsia="pl-PL"/>
        </w:rPr>
        <w:t>Cel szczegółowy III.</w:t>
      </w:r>
    </w:p>
    <w:p w14:paraId="29509406" w14:textId="06A51AEB" w:rsidR="00DF6905" w:rsidRPr="0022382C" w:rsidRDefault="00020B43" w:rsidP="0073424C">
      <w:pPr>
        <w:shd w:val="clear" w:color="auto" w:fill="FFF2CC" w:themeFill="accent4" w:themeFillTint="33"/>
        <w:spacing w:after="0" w:line="240" w:lineRule="auto"/>
        <w:jc w:val="center"/>
        <w:rPr>
          <w:rFonts w:eastAsia="Times New Roman" w:cs="Calibri"/>
          <w:b/>
          <w:sz w:val="28"/>
          <w:szCs w:val="28"/>
          <w:lang w:eastAsia="pl-PL"/>
        </w:rPr>
      </w:pPr>
      <w:r w:rsidRPr="0022382C">
        <w:rPr>
          <w:rFonts w:eastAsia="Times New Roman" w:cstheme="minorHAnsi"/>
          <w:b/>
          <w:iCs/>
          <w:color w:val="000000" w:themeColor="text1"/>
          <w:sz w:val="28"/>
          <w:szCs w:val="28"/>
        </w:rPr>
        <w:t xml:space="preserve">Podniesienie sprawności realizacji zadań państwa poprzez wykorzystanie technologii cyfrowych i zmianę sposobu działania stosownie do </w:t>
      </w:r>
      <w:r w:rsidR="003A6497" w:rsidRPr="0022382C">
        <w:rPr>
          <w:rFonts w:eastAsia="Times New Roman" w:cstheme="minorHAnsi"/>
          <w:b/>
          <w:iCs/>
          <w:color w:val="000000" w:themeColor="text1"/>
          <w:sz w:val="28"/>
          <w:szCs w:val="28"/>
        </w:rPr>
        <w:t>możliwości, jakie</w:t>
      </w:r>
      <w:r w:rsidRPr="0022382C">
        <w:rPr>
          <w:rFonts w:eastAsia="Times New Roman" w:cstheme="minorHAnsi"/>
          <w:b/>
          <w:iCs/>
          <w:color w:val="000000" w:themeColor="text1"/>
          <w:sz w:val="28"/>
          <w:szCs w:val="28"/>
        </w:rPr>
        <w:t xml:space="preserve"> stwarza technologia</w:t>
      </w:r>
    </w:p>
    <w:p w14:paraId="6F0CAF8A" w14:textId="77777777" w:rsidR="00BA057D" w:rsidRPr="00F21196" w:rsidRDefault="00BA057D" w:rsidP="00BA057D">
      <w:pPr>
        <w:spacing w:after="120" w:line="276" w:lineRule="auto"/>
        <w:jc w:val="both"/>
        <w:rPr>
          <w:rFonts w:eastAsia="Times New Roman" w:cs="Calibri"/>
          <w:lang w:eastAsia="pl-PL"/>
        </w:rPr>
      </w:pPr>
      <w:r w:rsidRPr="00F21196">
        <w:rPr>
          <w:rFonts w:eastAsia="Times New Roman" w:cs="Calibri"/>
          <w:lang w:eastAsia="pl-PL"/>
        </w:rPr>
        <w:t xml:space="preserve">Cel szczegółowy III </w:t>
      </w:r>
      <w:r>
        <w:rPr>
          <w:rFonts w:eastAsia="Times New Roman" w:cs="Calibri"/>
          <w:lang w:eastAsia="pl-PL"/>
        </w:rPr>
        <w:t>obejmuje swoim zakresem</w:t>
      </w:r>
      <w:r w:rsidRPr="00F21196">
        <w:rPr>
          <w:rFonts w:eastAsia="Times New Roman" w:cs="Calibri"/>
          <w:b/>
          <w:lang w:eastAsia="pl-PL"/>
        </w:rPr>
        <w:t xml:space="preserve"> </w:t>
      </w:r>
      <w:r w:rsidRPr="00F21196">
        <w:rPr>
          <w:rFonts w:eastAsia="Times New Roman" w:cs="Calibri"/>
          <w:lang w:eastAsia="pl-PL"/>
        </w:rPr>
        <w:t>udostępni</w:t>
      </w:r>
      <w:r>
        <w:rPr>
          <w:rFonts w:eastAsia="Times New Roman" w:cs="Calibri"/>
          <w:lang w:eastAsia="pl-PL"/>
        </w:rPr>
        <w:t>anie</w:t>
      </w:r>
      <w:r w:rsidRPr="00F21196">
        <w:rPr>
          <w:rFonts w:eastAsia="Times New Roman" w:cs="Calibri"/>
          <w:lang w:eastAsia="pl-PL"/>
        </w:rPr>
        <w:t xml:space="preserve"> szerokiego zakresu usług publiczn</w:t>
      </w:r>
      <w:r>
        <w:rPr>
          <w:rFonts w:eastAsia="Times New Roman" w:cs="Calibri"/>
          <w:lang w:eastAsia="pl-PL"/>
        </w:rPr>
        <w:t>ych świadczonych drogą elektroniczną (tzw. e-usług)</w:t>
      </w:r>
      <w:r w:rsidRPr="00F21196">
        <w:rPr>
          <w:rFonts w:eastAsia="Times New Roman" w:cs="Calibri"/>
          <w:lang w:eastAsia="pl-PL"/>
        </w:rPr>
        <w:t xml:space="preserve">, </w:t>
      </w:r>
      <w:r w:rsidRPr="00E06BB4">
        <w:rPr>
          <w:rFonts w:eastAsia="Times New Roman" w:cs="Calibri"/>
          <w:lang w:eastAsia="pl-PL"/>
        </w:rPr>
        <w:t>w tym na coraz wyższych poziomach dojrzałości (usługi transakcyjne)</w:t>
      </w:r>
      <w:r>
        <w:rPr>
          <w:rFonts w:eastAsia="Times New Roman" w:cs="Calibri"/>
          <w:lang w:eastAsia="pl-PL"/>
        </w:rPr>
        <w:t xml:space="preserve">, </w:t>
      </w:r>
      <w:r w:rsidRPr="00F21196">
        <w:rPr>
          <w:rFonts w:eastAsia="Times New Roman" w:cs="Calibri"/>
          <w:lang w:eastAsia="pl-PL"/>
        </w:rPr>
        <w:t>wykorzystani</w:t>
      </w:r>
      <w:r>
        <w:rPr>
          <w:rFonts w:eastAsia="Times New Roman" w:cs="Calibri"/>
          <w:lang w:eastAsia="pl-PL"/>
        </w:rPr>
        <w:t>e</w:t>
      </w:r>
      <w:r w:rsidRPr="00F21196">
        <w:rPr>
          <w:rFonts w:eastAsia="Times New Roman" w:cs="Calibri"/>
          <w:lang w:eastAsia="pl-PL"/>
        </w:rPr>
        <w:t xml:space="preserve"> zestandaryzowanych</w:t>
      </w:r>
      <w:r>
        <w:rPr>
          <w:rFonts w:eastAsia="Times New Roman" w:cs="Calibri"/>
          <w:lang w:eastAsia="pl-PL"/>
        </w:rPr>
        <w:t>,</w:t>
      </w:r>
      <w:r w:rsidRPr="00F21196">
        <w:rPr>
          <w:rFonts w:eastAsia="Times New Roman" w:cs="Calibri"/>
          <w:lang w:eastAsia="pl-PL"/>
        </w:rPr>
        <w:t xml:space="preserve"> interoperacyjnych</w:t>
      </w:r>
      <w:r w:rsidRPr="002D2A5D">
        <w:rPr>
          <w:rFonts w:eastAsia="Times New Roman" w:cs="Calibri"/>
          <w:lang w:eastAsia="pl-PL"/>
        </w:rPr>
        <w:t>, dostępnych cyfrowo</w:t>
      </w:r>
      <w:r>
        <w:rPr>
          <w:rFonts w:eastAsia="Times New Roman" w:cs="Calibri"/>
          <w:lang w:eastAsia="pl-PL"/>
        </w:rPr>
        <w:t xml:space="preserve"> i horyzontalnych</w:t>
      </w:r>
      <w:r w:rsidRPr="00F21196">
        <w:rPr>
          <w:rFonts w:eastAsia="Times New Roman" w:cs="Calibri"/>
          <w:lang w:eastAsia="pl-PL"/>
        </w:rPr>
        <w:t xml:space="preserve"> rozwiązań </w:t>
      </w:r>
      <w:r>
        <w:rPr>
          <w:rFonts w:eastAsia="Times New Roman" w:cs="Calibri"/>
          <w:lang w:eastAsia="pl-PL"/>
        </w:rPr>
        <w:t>w ramach systemów tele</w:t>
      </w:r>
      <w:r w:rsidRPr="00F21196">
        <w:rPr>
          <w:rFonts w:eastAsia="Times New Roman" w:cs="Calibri"/>
          <w:lang w:eastAsia="pl-PL"/>
        </w:rPr>
        <w:t>informatycznych</w:t>
      </w:r>
      <w:r>
        <w:rPr>
          <w:rFonts w:eastAsia="Times New Roman" w:cs="Calibri"/>
          <w:lang w:eastAsia="pl-PL"/>
        </w:rPr>
        <w:t xml:space="preserve"> podmiotów publicznych</w:t>
      </w:r>
      <w:r w:rsidRPr="00F21196">
        <w:rPr>
          <w:rFonts w:eastAsia="Times New Roman" w:cs="Calibri"/>
          <w:lang w:eastAsia="pl-PL"/>
        </w:rPr>
        <w:t>, udostępnianie informacji</w:t>
      </w:r>
      <w:r>
        <w:rPr>
          <w:rFonts w:eastAsia="Times New Roman" w:cs="Calibri"/>
          <w:lang w:eastAsia="pl-PL"/>
        </w:rPr>
        <w:t>,</w:t>
      </w:r>
      <w:r w:rsidRPr="007A3A11">
        <w:t xml:space="preserve"> </w:t>
      </w:r>
      <w:r w:rsidRPr="007A3A11">
        <w:rPr>
          <w:rFonts w:eastAsia="Times New Roman" w:cs="Calibri"/>
          <w:lang w:eastAsia="pl-PL"/>
        </w:rPr>
        <w:t>otwieranie danych publicznych,</w:t>
      </w:r>
      <w:r>
        <w:rPr>
          <w:rFonts w:eastAsia="Times New Roman" w:cs="Calibri"/>
          <w:lang w:eastAsia="pl-PL"/>
        </w:rPr>
        <w:t xml:space="preserve"> wykorzystanie potencjału nowoczesnych technologii cyfrowych na rzecz usprawniania państwa czy zapewnienie powszechnego dostępu do szerokopasmowego Internetu.</w:t>
      </w:r>
      <w:r w:rsidRPr="00204D93">
        <w:t xml:space="preserve"> </w:t>
      </w:r>
      <w:r>
        <w:t xml:space="preserve">Realizacja celu ma przynieść wprowadzenie </w:t>
      </w:r>
      <w:r w:rsidRPr="006F38AD">
        <w:t xml:space="preserve">zmian w sposobie funkcjonowania administracji publicznej, </w:t>
      </w:r>
      <w:r>
        <w:t xml:space="preserve">dzięki którym – poprzez wykorzystanie technologii cyfrowych - </w:t>
      </w:r>
      <w:r w:rsidRPr="006F38AD">
        <w:t>zada</w:t>
      </w:r>
      <w:r>
        <w:t>nia</w:t>
      </w:r>
      <w:r w:rsidRPr="006F38AD">
        <w:t xml:space="preserve"> państwa </w:t>
      </w:r>
      <w:r>
        <w:t xml:space="preserve">będą realizowane sprawniej i taniej. Zmiany obejmą </w:t>
      </w:r>
      <w:r w:rsidRPr="006F38AD">
        <w:t>stworzenie warunków dla efektywnej</w:t>
      </w:r>
      <w:r w:rsidRPr="002D3A38">
        <w:t>, dostępnej cyfrowo</w:t>
      </w:r>
      <w:r w:rsidRPr="006F38AD">
        <w:t xml:space="preserve"> i bezpiecznej e-administracji,  świadczeni</w:t>
      </w:r>
      <w:r>
        <w:t>a</w:t>
      </w:r>
      <w:r w:rsidRPr="006F38AD">
        <w:t xml:space="preserve"> e-usług i zapewnieni</w:t>
      </w:r>
      <w:r>
        <w:t>a</w:t>
      </w:r>
      <w:r w:rsidRPr="006F38AD">
        <w:t xml:space="preserve"> bezpieczeństwa w cyberprzestrzeni. Zmianom tym towarzyszyć będ</w:t>
      </w:r>
      <w:r>
        <w:t>zie</w:t>
      </w:r>
      <w:r w:rsidRPr="006F38AD">
        <w:t xml:space="preserve"> otwierani</w:t>
      </w:r>
      <w:r>
        <w:t>e</w:t>
      </w:r>
      <w:r w:rsidRPr="006F38AD">
        <w:t xml:space="preserve"> zasobów informacyjnych państwa oraz podnoszeni</w:t>
      </w:r>
      <w:r>
        <w:t>e</w:t>
      </w:r>
      <w:r w:rsidRPr="006F38AD">
        <w:t xml:space="preserve"> kompetencji cyfrowych społeczeństwa i </w:t>
      </w:r>
      <w:r>
        <w:t xml:space="preserve">pracowników </w:t>
      </w:r>
      <w:r w:rsidRPr="006F38AD">
        <w:t>administracji</w:t>
      </w:r>
      <w:r>
        <w:t xml:space="preserve"> publicznej.</w:t>
      </w:r>
    </w:p>
    <w:p w14:paraId="54B73220" w14:textId="77777777" w:rsidR="00BA057D" w:rsidRPr="00401D39" w:rsidRDefault="00BA057D" w:rsidP="00BA057D">
      <w:pPr>
        <w:spacing w:before="120" w:after="0" w:line="276" w:lineRule="auto"/>
        <w:jc w:val="both"/>
        <w:rPr>
          <w:rFonts w:eastAsia="Times New Roman" w:cs="Calibri"/>
          <w:lang w:eastAsia="pl-PL"/>
        </w:rPr>
      </w:pPr>
      <w:r w:rsidRPr="00401D39">
        <w:rPr>
          <w:rFonts w:eastAsia="Times New Roman" w:cs="Calibri"/>
          <w:lang w:eastAsia="pl-PL"/>
        </w:rPr>
        <w:t xml:space="preserve">Kluczowym zagadnieniem jest również zapewnienie możliwości dostępu do Internetu o bardzo wysokich przepustowościach obywatelom, przedsiębiorstwom i instytucjom. Bez osiągnięcia pełnego pokrycia sieciami szerokopasmowymi obszaru całego kraju nie będzie możliwy rozwój i wykorzystanie technologii informacyjno-komunikacyjnych, w tym w szczególności usług e-administracji. Znaczenie szybkiego i o wysokiej jakości dostępu do sieci dla ogółu społeczeństwa, przemysłu i administracji publicznej wykazała pandemia COVID-19. Pokrycie sieciami szerokopasmowymi jak nigdy stało się priorytetem w sytuacji w jakiej znalazł się nasz kraj. Wdrażanie rozwiązań z wykorzystaniem zaawansowanych technologii cyfrowych będzie stanowiło istotne wsparcie i konieczne uzupełnienie działań opisanych w celu szczegółowym oraz zmian legislacyjnych, umożliwiających upowszechnianie z powodzeniem przeprowadzonych wdrożeń z wykorzystaniem nowych technologii, jak internet rzeczy, sztuczna inteligencja czy rejestry rozproszone (blockchain). W celu tym będą również prowadzone działania na rzecz dostępności cyfrowej czyli pełnego udostępnienia wszelkich danych w formie elektronicznej dla osób z niepełnosprawnościami, bez względu na rodzaj niepełnosprawności. </w:t>
      </w:r>
      <w:r w:rsidRPr="002216B3">
        <w:rPr>
          <w:rFonts w:eastAsia="Times New Roman" w:cs="Calibri"/>
          <w:lang w:eastAsia="pl-PL"/>
        </w:rPr>
        <w:t>A dla wsparcia celu głównego opracowanie polityki publicznej dla stworzenia warunków dla tworzenia i rozwoju sztucznej inteligencji i ram ekosystemu i centrum skoordynowanego zarządzania dynamicznymi wymiarami tego ekosystemu jak ramy prawne, etyczne, standardy techniczne i organizacyjne oraz relacje międzynarodowe oraz czynnik</w:t>
      </w:r>
      <w:r w:rsidRPr="00401D39">
        <w:rPr>
          <w:rFonts w:eastAsia="Times New Roman" w:cs="Calibri"/>
          <w:lang w:eastAsia="pl-PL"/>
        </w:rPr>
        <w:t>i</w:t>
      </w:r>
      <w:r w:rsidRPr="002216B3">
        <w:rPr>
          <w:rFonts w:eastAsia="Times New Roman" w:cs="Calibri"/>
          <w:lang w:eastAsia="pl-PL"/>
        </w:rPr>
        <w:t xml:space="preserve"> rozwoju sztucznej inteligencji jakimi są: polityka danych (nie tylko osobowych czy publicznych, ale pozostałych), wiedza i kompetencj</w:t>
      </w:r>
      <w:r w:rsidRPr="00401D39">
        <w:rPr>
          <w:rFonts w:eastAsia="Times New Roman" w:cs="Calibri"/>
          <w:lang w:eastAsia="pl-PL"/>
        </w:rPr>
        <w:t>e</w:t>
      </w:r>
      <w:r w:rsidRPr="002216B3">
        <w:rPr>
          <w:rFonts w:eastAsia="Times New Roman" w:cs="Calibri"/>
          <w:lang w:eastAsia="pl-PL"/>
        </w:rPr>
        <w:t>, infrastruktura oraz finasowanie, co w całości pozwoli na realizację celu głównego SNP.</w:t>
      </w:r>
      <w:r w:rsidRPr="00401D39">
        <w:rPr>
          <w:rFonts w:eastAsia="Times New Roman" w:cs="Calibri"/>
          <w:lang w:eastAsia="pl-PL"/>
        </w:rPr>
        <w:t xml:space="preserve"> </w:t>
      </w:r>
    </w:p>
    <w:p w14:paraId="130ACC2C" w14:textId="77777777" w:rsidR="00BA057D" w:rsidRPr="00401D39" w:rsidRDefault="00BA057D" w:rsidP="00BA057D">
      <w:pPr>
        <w:spacing w:before="120" w:after="0" w:line="276" w:lineRule="auto"/>
        <w:jc w:val="both"/>
        <w:rPr>
          <w:rFonts w:eastAsia="Times New Roman" w:cs="Calibri"/>
          <w:lang w:eastAsia="pl-PL"/>
        </w:rPr>
      </w:pPr>
      <w:r w:rsidRPr="00401D39">
        <w:rPr>
          <w:rFonts w:eastAsia="Times New Roman" w:cs="Calibri"/>
          <w:lang w:eastAsia="pl-PL"/>
        </w:rPr>
        <w:t xml:space="preserve">Wszystkie działania związane z rozwojem wykorzystania technologii cyfrowych muszą być prowadzone </w:t>
      </w:r>
      <w:r w:rsidRPr="00401D39">
        <w:rPr>
          <w:rFonts w:eastAsia="Times New Roman" w:cs="Calibri"/>
          <w:lang w:eastAsia="pl-PL"/>
        </w:rPr>
        <w:br/>
        <w:t>z zachowaniem wysokich standardów cyberbezpieczeństwa.</w:t>
      </w:r>
    </w:p>
    <w:p w14:paraId="20475F98" w14:textId="77777777" w:rsidR="00BA057D" w:rsidRPr="00401D39" w:rsidRDefault="00BA057D" w:rsidP="00BA057D">
      <w:pPr>
        <w:spacing w:before="120" w:after="0" w:line="276" w:lineRule="auto"/>
        <w:jc w:val="both"/>
        <w:rPr>
          <w:rFonts w:eastAsia="Times New Roman" w:cs="Calibri"/>
          <w:lang w:eastAsia="pl-PL"/>
        </w:rPr>
      </w:pPr>
      <w:r w:rsidRPr="00401D39">
        <w:rPr>
          <w:rFonts w:eastAsia="Times New Roman" w:cs="Calibri"/>
          <w:lang w:eastAsia="pl-PL"/>
        </w:rPr>
        <w:t>W celu podniesienia poziomu cyberbezpieczeństwa należy konsekwentnie realizować plan działań na rzecz wdrożenia</w:t>
      </w:r>
      <w:r w:rsidRPr="00401D39">
        <w:rPr>
          <w:rFonts w:cs="Calibri"/>
        </w:rPr>
        <w:t xml:space="preserve"> </w:t>
      </w:r>
      <w:r w:rsidRPr="00401D39">
        <w:rPr>
          <w:rFonts w:eastAsia="Times New Roman" w:cs="Calibri"/>
          <w:lang w:eastAsia="pl-PL"/>
        </w:rPr>
        <w:t>Strategii Cyberbezpieczeństwa Rzeczypospolitej Polskiej na lata 2019–2024. Plan działań na rzecz wdrożenia Strategii Cyberbezpieczeństwa zawiera w szczególności informacje o podmiotach odpowiedzialnych za realizację poszczególnych działań, wskaźniki monitorowania oraz wskazanie źródeł finansowania (krajowych i europejskich).</w:t>
      </w:r>
    </w:p>
    <w:p w14:paraId="6D2B191E" w14:textId="77777777" w:rsidR="00BA057D" w:rsidRPr="00F21196" w:rsidRDefault="00BA057D" w:rsidP="00BA057D">
      <w:pPr>
        <w:spacing w:before="120" w:after="0"/>
        <w:jc w:val="both"/>
        <w:rPr>
          <w:rFonts w:eastAsia="Times New Roman" w:cs="Calibri"/>
          <w:lang w:eastAsia="pl-PL"/>
        </w:rPr>
      </w:pPr>
      <w:r w:rsidRPr="00F21196">
        <w:rPr>
          <w:rFonts w:eastAsia="Times New Roman" w:cs="Calibri"/>
          <w:lang w:eastAsia="pl-PL"/>
        </w:rPr>
        <w:t xml:space="preserve">Cel szczegółowy III powiązany jest z celem szczegółowym III SOR: </w:t>
      </w:r>
      <w:r w:rsidRPr="00F21196">
        <w:rPr>
          <w:rFonts w:eastAsia="Times New Roman" w:cs="Calibri"/>
          <w:i/>
          <w:lang w:eastAsia="pl-PL"/>
        </w:rPr>
        <w:t xml:space="preserve">Skuteczne państwo i instytucje służące wzrostowi oraz włączeniu </w:t>
      </w:r>
      <w:r>
        <w:rPr>
          <w:rFonts w:eastAsia="Times New Roman" w:cs="Calibri"/>
          <w:i/>
          <w:lang w:eastAsia="pl-PL"/>
        </w:rPr>
        <w:t xml:space="preserve">społecznemu </w:t>
      </w:r>
      <w:r w:rsidRPr="00F21196">
        <w:rPr>
          <w:rFonts w:eastAsia="Times New Roman" w:cs="Calibri"/>
          <w:i/>
          <w:lang w:eastAsia="pl-PL"/>
        </w:rPr>
        <w:t>i gospodarczemu</w:t>
      </w:r>
      <w:r w:rsidRPr="00F21196">
        <w:rPr>
          <w:rFonts w:eastAsia="Times New Roman" w:cs="Calibri"/>
          <w:lang w:eastAsia="pl-PL"/>
        </w:rPr>
        <w:t xml:space="preserve">. Natomiast kierunki interwencji korespondują z dwoma obszarami interwencji państwa wskazanymi w SOR, czyli z obszarem: </w:t>
      </w:r>
      <w:r w:rsidRPr="00F21196">
        <w:rPr>
          <w:rFonts w:eastAsia="Times New Roman" w:cs="Calibri"/>
          <w:i/>
          <w:lang w:eastAsia="pl-PL"/>
        </w:rPr>
        <w:t>E-państwo</w:t>
      </w:r>
      <w:r w:rsidRPr="00F21196">
        <w:rPr>
          <w:rFonts w:eastAsia="Times New Roman" w:cs="Calibri"/>
          <w:lang w:eastAsia="pl-PL"/>
        </w:rPr>
        <w:t xml:space="preserve"> oraz z obszarem: </w:t>
      </w:r>
      <w:r w:rsidRPr="00F21196">
        <w:rPr>
          <w:rFonts w:eastAsia="Times New Roman" w:cs="Calibri"/>
          <w:i/>
          <w:lang w:eastAsia="pl-PL"/>
        </w:rPr>
        <w:t>Cyfryzacja.</w:t>
      </w:r>
    </w:p>
    <w:p w14:paraId="296F7801" w14:textId="77777777" w:rsidR="00BA057D" w:rsidRPr="00401D39" w:rsidRDefault="00BA057D" w:rsidP="00BA057D">
      <w:pPr>
        <w:spacing w:after="0"/>
        <w:ind w:left="426" w:hanging="284"/>
        <w:rPr>
          <w:rFonts w:eastAsia="Times New Roman" w:cs="Calibri"/>
          <w:b/>
          <w:color w:val="2F5496"/>
          <w:lang w:eastAsia="pl-PL"/>
        </w:rPr>
      </w:pPr>
    </w:p>
    <w:p w14:paraId="345B8B9E" w14:textId="77777777" w:rsidR="00BA057D" w:rsidRPr="00F21196" w:rsidRDefault="00BA057D" w:rsidP="00BA057D">
      <w:pPr>
        <w:pBdr>
          <w:bottom w:val="single" w:sz="24" w:space="1" w:color="FFD966"/>
        </w:pBdr>
        <w:shd w:val="clear" w:color="auto" w:fill="FFF2CC"/>
        <w:spacing w:after="0"/>
        <w:rPr>
          <w:lang w:eastAsia="pl-PL"/>
        </w:rPr>
      </w:pPr>
      <w:r w:rsidRPr="00F21196">
        <w:rPr>
          <w:rFonts w:eastAsia="Times New Roman" w:cs="Calibri"/>
          <w:b/>
          <w:lang w:eastAsia="pl-PL"/>
        </w:rPr>
        <w:t>III.1. Diagnoza</w:t>
      </w:r>
    </w:p>
    <w:p w14:paraId="3707EA4A" w14:textId="77777777" w:rsidR="00BA057D" w:rsidRPr="00F21196" w:rsidRDefault="00BA057D" w:rsidP="00BA057D">
      <w:pPr>
        <w:spacing w:before="120"/>
        <w:jc w:val="both"/>
        <w:rPr>
          <w:rFonts w:eastAsia="Times New Roman" w:cs="Calibri"/>
          <w:lang w:eastAsia="pl-PL"/>
        </w:rPr>
      </w:pPr>
      <w:r w:rsidRPr="00F21196">
        <w:rPr>
          <w:rFonts w:eastAsia="Times New Roman" w:cs="Calibri"/>
          <w:lang w:eastAsia="pl-PL"/>
        </w:rPr>
        <w:t>Diagnozie</w:t>
      </w:r>
      <w:r w:rsidRPr="00F21196">
        <w:rPr>
          <w:rStyle w:val="Odwoanieprzypisudolnego"/>
          <w:rFonts w:eastAsia="Times New Roman" w:cs="Calibri"/>
          <w:lang w:eastAsia="pl-PL"/>
        </w:rPr>
        <w:footnoteReference w:id="66"/>
      </w:r>
      <w:r w:rsidRPr="00F21196">
        <w:rPr>
          <w:rFonts w:eastAsia="Times New Roman" w:cs="Calibri"/>
          <w:lang w:eastAsia="pl-PL"/>
        </w:rPr>
        <w:t xml:space="preserve"> poddano zagadnienia wynikające z zakresu tematycznego określonego przez KKPR. Wśród tematów znajduje się problematyka dotycząca </w:t>
      </w:r>
      <w:r>
        <w:rPr>
          <w:rFonts w:eastAsia="Times New Roman" w:cs="Calibri"/>
          <w:lang w:eastAsia="pl-PL"/>
        </w:rPr>
        <w:t xml:space="preserve">m.in. </w:t>
      </w:r>
      <w:r w:rsidRPr="00F21196">
        <w:rPr>
          <w:rFonts w:eastAsia="Times New Roman" w:cs="Calibri"/>
          <w:lang w:eastAsia="pl-PL"/>
        </w:rPr>
        <w:t xml:space="preserve">jakości zasobów </w:t>
      </w:r>
      <w:r>
        <w:rPr>
          <w:rFonts w:eastAsia="Times New Roman" w:cs="Calibri"/>
          <w:lang w:eastAsia="pl-PL"/>
        </w:rPr>
        <w:t>informacyjnych</w:t>
      </w:r>
      <w:r w:rsidRPr="00F21196">
        <w:rPr>
          <w:rFonts w:eastAsia="Times New Roman" w:cs="Calibri"/>
          <w:lang w:eastAsia="pl-PL"/>
        </w:rPr>
        <w:t xml:space="preserve">, udostępniania </w:t>
      </w:r>
      <w:r>
        <w:rPr>
          <w:rFonts w:eastAsia="Times New Roman" w:cs="Calibri"/>
          <w:lang w:eastAsia="pl-PL"/>
        </w:rPr>
        <w:t>e-</w:t>
      </w:r>
      <w:r w:rsidRPr="00F21196">
        <w:rPr>
          <w:rFonts w:eastAsia="Times New Roman" w:cs="Calibri"/>
          <w:lang w:eastAsia="pl-PL"/>
        </w:rPr>
        <w:t>usług publiczn</w:t>
      </w:r>
      <w:r>
        <w:rPr>
          <w:rFonts w:eastAsia="Times New Roman" w:cs="Calibri"/>
          <w:lang w:eastAsia="pl-PL"/>
        </w:rPr>
        <w:t>ych</w:t>
      </w:r>
      <w:r w:rsidRPr="00F21196">
        <w:rPr>
          <w:rFonts w:eastAsia="Times New Roman" w:cs="Calibri"/>
          <w:lang w:eastAsia="pl-PL"/>
        </w:rPr>
        <w:t xml:space="preserve">, </w:t>
      </w:r>
      <w:r>
        <w:rPr>
          <w:rFonts w:eastAsia="Times New Roman" w:cs="Calibri"/>
          <w:lang w:eastAsia="pl-PL"/>
        </w:rPr>
        <w:t xml:space="preserve">czy </w:t>
      </w:r>
      <w:r w:rsidRPr="00F21196">
        <w:rPr>
          <w:rFonts w:eastAsia="Times New Roman" w:cs="Calibri"/>
          <w:lang w:eastAsia="pl-PL"/>
        </w:rPr>
        <w:t xml:space="preserve">dostępu do </w:t>
      </w:r>
      <w:r>
        <w:rPr>
          <w:rFonts w:eastAsia="Times New Roman" w:cs="Calibri"/>
          <w:lang w:eastAsia="pl-PL"/>
        </w:rPr>
        <w:t>Internetu</w:t>
      </w:r>
      <w:r w:rsidRPr="00F21196">
        <w:rPr>
          <w:rFonts w:eastAsia="Times New Roman" w:cs="Calibri"/>
          <w:lang w:eastAsia="pl-PL"/>
        </w:rPr>
        <w:t xml:space="preserve">. </w:t>
      </w:r>
      <w:r>
        <w:rPr>
          <w:rFonts w:eastAsia="Times New Roman" w:cs="Calibri"/>
          <w:lang w:eastAsia="pl-PL"/>
        </w:rPr>
        <w:t xml:space="preserve">Ponadto dużą uwagę przywiązano do znaczenia kompetencji cyfrowych, wykorzystania e-usług oraz poprawy relacji na linii państwo-obywatel, poprzez </w:t>
      </w:r>
      <w:r w:rsidRPr="00E06BB4">
        <w:rPr>
          <w:rFonts w:eastAsia="Times New Roman" w:cs="Calibri"/>
          <w:lang w:eastAsia="pl-PL"/>
        </w:rPr>
        <w:t>np. wprowadzenie rejestru danych kontaktowych</w:t>
      </w:r>
      <w:r>
        <w:rPr>
          <w:rFonts w:eastAsia="Times New Roman" w:cs="Calibri"/>
          <w:lang w:eastAsia="pl-PL"/>
        </w:rPr>
        <w:t xml:space="preserve">. </w:t>
      </w:r>
    </w:p>
    <w:p w14:paraId="45B3F412" w14:textId="77777777" w:rsidR="00BA057D" w:rsidRPr="00401D39" w:rsidRDefault="00BA057D" w:rsidP="00BA057D">
      <w:pPr>
        <w:spacing w:before="120" w:line="276" w:lineRule="auto"/>
        <w:jc w:val="both"/>
        <w:rPr>
          <w:rFonts w:cs="Calibri"/>
        </w:rPr>
      </w:pPr>
      <w:r w:rsidRPr="00401D39">
        <w:rPr>
          <w:rFonts w:cs="Calibri"/>
          <w:b/>
        </w:rPr>
        <w:t xml:space="preserve">Efektywna i bezpieczna e-administracja. </w:t>
      </w:r>
      <w:r w:rsidRPr="00401D39">
        <w:rPr>
          <w:rFonts w:cs="Calibri"/>
        </w:rPr>
        <w:t xml:space="preserve">Trwający proces budowy elektronicznej administracji przyniósł wymierne korzyści zarówno obywatelom, jak i samej administracji, a realizowane działania skutkują wdrażaniem szeregu rozwiązań technicznych i organizacyjnych opartych na nowoczesnych technologiach. </w:t>
      </w:r>
    </w:p>
    <w:p w14:paraId="23A7328E" w14:textId="77777777" w:rsidR="00BA057D" w:rsidRPr="00401D39" w:rsidRDefault="00BA057D" w:rsidP="00BA057D">
      <w:pPr>
        <w:spacing w:before="120" w:line="276" w:lineRule="auto"/>
        <w:jc w:val="both"/>
        <w:rPr>
          <w:rFonts w:cs="Calibri"/>
        </w:rPr>
      </w:pPr>
      <w:r w:rsidRPr="00401D39">
        <w:rPr>
          <w:rFonts w:cs="Calibri"/>
        </w:rPr>
        <w:t xml:space="preserve">Kryzys wywołany pandemią COVID-19 uwidocznił obszary spraw administracyjnych wymagające zintensyfikowanej i przyspieszonej cyfryzacji, a także wykreował nowe potrzeby wśród użytkowników usług elektronicznych dotyczące zarówno jakości, jak i dostępności e-usług.  Ze względu na konieczność ograniczenia w przemieszczaniu się ludności oraz bezpośredniego kontaktu międzyludzkiego dostępność e-usług publicznych, realizowanych z wykorzystaniem identyfikacji elektronicznej i podpisu elektronicznego, stała się kluczowym elementem zapewnienia ciągłości działania administracji publicznej oraz kluczowych procesów społecznych i gospodarczych. W czasie pandemii uwypukliła się również kwestia  związana z zapewnieniem bezpiecznych warunków do wykonywania pracy zdalnej przez jednostki administracji publicznej. Można było zaobserwować także różną dojrzałość i gotowość do szybkiej transformacji z pracy prowadzonej w urzędzie, na pracę świadczoną przy wykorzystaniu nowoczesnych technologii. </w:t>
      </w:r>
    </w:p>
    <w:p w14:paraId="604B2728" w14:textId="77777777" w:rsidR="00BA057D" w:rsidRPr="00C15024" w:rsidRDefault="00BA057D" w:rsidP="00BA057D">
      <w:pPr>
        <w:spacing w:before="120" w:line="276" w:lineRule="auto"/>
        <w:jc w:val="both"/>
        <w:rPr>
          <w:strike/>
        </w:rPr>
      </w:pPr>
      <w:r w:rsidRPr="00401D39">
        <w:rPr>
          <w:rFonts w:cs="Calibri"/>
        </w:rPr>
        <w:t xml:space="preserve">Potrzeba szybkiego reagowania na stale zmieniającą się sytuację epidemiologiczną uwidoczniła znaczenie Portalu Gov.pl (www.gov.pl) jako centralnej bramy do usług i informacji administracji publicznej. Portal RP zawiera materiały informacyjne, prasowe oraz multimedia. </w:t>
      </w:r>
    </w:p>
    <w:p w14:paraId="3E2A24DD" w14:textId="0E1770CB" w:rsidR="00BA057D" w:rsidRDefault="00BA057D" w:rsidP="00BA057D">
      <w:pPr>
        <w:jc w:val="both"/>
      </w:pPr>
      <w:r>
        <w:t xml:space="preserve">W połowie 2020 r. </w:t>
      </w:r>
      <w:r w:rsidRPr="00BD16FB">
        <w:t>Portal RP udostępnia</w:t>
      </w:r>
      <w:r>
        <w:t>ł</w:t>
      </w:r>
      <w:r w:rsidRPr="00BD16FB">
        <w:t xml:space="preserve"> prawie 300 witryn, przeszło 113 tys. artykułów i ponad 192 tys. plików. W rekordowych miesiącach portal odwiedza ponad 25 mln użytkowników (unikalni użytkownicy). Od stycznia do maja 2020 r. użytkownicy wyświetlili treści portalu ponad 680 mln razy. W szczycie portal obsługuje 6 mln użytkowników w ciągu jednego dnia.</w:t>
      </w:r>
      <w:r>
        <w:t xml:space="preserve"> </w:t>
      </w:r>
      <w:r w:rsidRPr="00A149DC">
        <w:t>W odpowiedzi na sytuację kryzysową związaną z pandemią na Portalu Gov.pl stworzono specjalne strony, zawierające istotne dla obywateli informacje dot. koronawirusa, w tym stronę Tarczy Antykryzysowa oraz Mapę Zakażeń, gdzie obywatele mogli znaleźć kompleksowe informacje, publikowane także w jęz</w:t>
      </w:r>
      <w:r w:rsidR="000145A3">
        <w:t>yku</w:t>
      </w:r>
      <w:r w:rsidRPr="00A149DC">
        <w:t xml:space="preserve"> angielskim oraz rosyjskim i ukraińskim.</w:t>
      </w:r>
    </w:p>
    <w:p w14:paraId="71D50B5F" w14:textId="77777777" w:rsidR="00BA057D" w:rsidRPr="00401D39" w:rsidRDefault="00BA057D" w:rsidP="00BA057D">
      <w:pPr>
        <w:spacing w:after="0" w:line="276" w:lineRule="auto"/>
        <w:jc w:val="both"/>
        <w:rPr>
          <w:rFonts w:cs="Calibri"/>
        </w:rPr>
      </w:pPr>
      <w:r w:rsidRPr="00401D39">
        <w:rPr>
          <w:rFonts w:cs="Calibri"/>
        </w:rPr>
        <w:t>Trwają prace nad rozbudową funkcjonalności portalu oraz nad integracją serwisów informacyjnych kolejnych urzędów i instytucji. Poprzez Portal RP do połowy 2020 r. zostały udostępnione:</w:t>
      </w:r>
    </w:p>
    <w:p w14:paraId="15223A98" w14:textId="77777777" w:rsidR="00BA057D" w:rsidRPr="00401D39" w:rsidRDefault="00BA057D" w:rsidP="00723B3F">
      <w:pPr>
        <w:pStyle w:val="Akapitzlist"/>
        <w:numPr>
          <w:ilvl w:val="0"/>
          <w:numId w:val="63"/>
        </w:numPr>
        <w:spacing w:line="259" w:lineRule="auto"/>
        <w:ind w:left="426"/>
        <w:jc w:val="both"/>
        <w:rPr>
          <w:rFonts w:ascii="Calibri" w:hAnsi="Calibri" w:cs="Calibri"/>
          <w:sz w:val="22"/>
          <w:szCs w:val="22"/>
        </w:rPr>
      </w:pPr>
      <w:r w:rsidRPr="00401D39">
        <w:rPr>
          <w:rFonts w:ascii="Calibri" w:hAnsi="Calibri" w:cs="Calibri"/>
          <w:sz w:val="22"/>
          <w:szCs w:val="22"/>
        </w:rPr>
        <w:t>serwisy informacyjne  34 urzędów centralnych, w tym: 19 ministerstw, KPRM, 4 urzędów wojewódzkich, 10 urzędów centralnych,</w:t>
      </w:r>
    </w:p>
    <w:p w14:paraId="5D2E8F17" w14:textId="77777777" w:rsidR="00BA057D" w:rsidRPr="00401D39" w:rsidRDefault="00BA057D" w:rsidP="00723B3F">
      <w:pPr>
        <w:pStyle w:val="Akapitzlist"/>
        <w:numPr>
          <w:ilvl w:val="0"/>
          <w:numId w:val="63"/>
        </w:numPr>
        <w:spacing w:line="259" w:lineRule="auto"/>
        <w:ind w:left="426"/>
        <w:jc w:val="both"/>
        <w:rPr>
          <w:rFonts w:ascii="Calibri" w:hAnsi="Calibri" w:cs="Calibri"/>
          <w:sz w:val="22"/>
          <w:szCs w:val="22"/>
        </w:rPr>
      </w:pPr>
      <w:r w:rsidRPr="00401D39">
        <w:rPr>
          <w:rFonts w:ascii="Calibri" w:hAnsi="Calibri" w:cs="Calibri"/>
          <w:sz w:val="22"/>
          <w:szCs w:val="22"/>
        </w:rPr>
        <w:t>lista e-usług administracji rządowej w podziale na e-usługi dla obywateli, przedsiębiorców i urzędników (350 kart usług),</w:t>
      </w:r>
    </w:p>
    <w:p w14:paraId="5E345632" w14:textId="77777777" w:rsidR="00BA057D" w:rsidRPr="00401D39" w:rsidRDefault="00BA057D" w:rsidP="00723B3F">
      <w:pPr>
        <w:pStyle w:val="Akapitzlist"/>
        <w:numPr>
          <w:ilvl w:val="0"/>
          <w:numId w:val="63"/>
        </w:numPr>
        <w:spacing w:after="120" w:line="259" w:lineRule="auto"/>
        <w:jc w:val="both"/>
        <w:rPr>
          <w:rFonts w:ascii="Calibri" w:hAnsi="Calibri" w:cs="Calibri"/>
          <w:sz w:val="22"/>
          <w:szCs w:val="22"/>
        </w:rPr>
      </w:pPr>
      <w:r w:rsidRPr="00401D39">
        <w:rPr>
          <w:rFonts w:ascii="Calibri" w:hAnsi="Calibri" w:cs="Calibri"/>
          <w:sz w:val="22"/>
          <w:szCs w:val="22"/>
        </w:rPr>
        <w:t>strony 102 placówek dyplomatycznych RP w jęz. polskim i angielskim, a dodatkowo część z nich w językach narodowych (np. ormiańskim, koreańskim, japońskim),</w:t>
      </w:r>
    </w:p>
    <w:p w14:paraId="18DBAB23" w14:textId="77777777" w:rsidR="00BA057D" w:rsidRPr="00401D39" w:rsidRDefault="00BA057D" w:rsidP="00723B3F">
      <w:pPr>
        <w:pStyle w:val="Akapitzlist"/>
        <w:numPr>
          <w:ilvl w:val="0"/>
          <w:numId w:val="63"/>
        </w:numPr>
        <w:spacing w:after="120" w:line="259" w:lineRule="auto"/>
        <w:jc w:val="both"/>
        <w:rPr>
          <w:rFonts w:cs="Calibri"/>
        </w:rPr>
      </w:pPr>
      <w:r w:rsidRPr="00401D39">
        <w:rPr>
          <w:rFonts w:ascii="Calibri" w:hAnsi="Calibri" w:cs="Calibri"/>
          <w:sz w:val="22"/>
          <w:szCs w:val="22"/>
        </w:rPr>
        <w:t>strony 21 serwisów tematycznych.</w:t>
      </w:r>
    </w:p>
    <w:p w14:paraId="3E411191" w14:textId="77777777" w:rsidR="00BA057D" w:rsidRPr="00401D39" w:rsidRDefault="00BA057D" w:rsidP="00BA057D">
      <w:pPr>
        <w:spacing w:after="0" w:line="276" w:lineRule="auto"/>
        <w:jc w:val="both"/>
        <w:rPr>
          <w:rFonts w:cs="Calibri"/>
        </w:rPr>
      </w:pPr>
      <w:r w:rsidRPr="00401D39">
        <w:rPr>
          <w:rFonts w:cs="Calibri"/>
        </w:rPr>
        <w:t>Z Portalem RP integrowane są – w coraz głębszych warstwach technologicznych – portale usługowe administracji publicznej.  E-usługi i informacje dostępne są na portalu w trzech sekcjach: dla obywatela, urzędnika i dla przedsiębiorcy. Korzystanie z różnych e-usług o informacji na portalu ułatwia panel użytkownika – Mój GOV.PL.</w:t>
      </w:r>
    </w:p>
    <w:p w14:paraId="614BB5D3" w14:textId="77777777" w:rsidR="00BA057D" w:rsidRPr="00401D39" w:rsidRDefault="00BA057D" w:rsidP="00BA057D">
      <w:pPr>
        <w:spacing w:after="0" w:line="276" w:lineRule="auto"/>
        <w:jc w:val="both"/>
        <w:rPr>
          <w:rFonts w:cs="Calibri"/>
        </w:rPr>
      </w:pPr>
      <w:r w:rsidRPr="00401D39">
        <w:rPr>
          <w:rFonts w:cs="Calibri"/>
        </w:rPr>
        <w:t>Logując się do panelu, użytkownik może:</w:t>
      </w:r>
    </w:p>
    <w:p w14:paraId="308B4ACD" w14:textId="77777777" w:rsidR="00BA057D" w:rsidRPr="00401D39" w:rsidRDefault="00BA057D" w:rsidP="00723B3F">
      <w:pPr>
        <w:pStyle w:val="Akapitzlist"/>
        <w:numPr>
          <w:ilvl w:val="0"/>
          <w:numId w:val="56"/>
        </w:numPr>
        <w:spacing w:line="276" w:lineRule="auto"/>
        <w:ind w:left="567"/>
        <w:jc w:val="both"/>
        <w:rPr>
          <w:rFonts w:ascii="Calibri" w:hAnsi="Calibri" w:cs="Calibri"/>
          <w:sz w:val="22"/>
          <w:szCs w:val="22"/>
        </w:rPr>
      </w:pPr>
      <w:r w:rsidRPr="00401D39">
        <w:rPr>
          <w:rFonts w:ascii="Calibri" w:hAnsi="Calibri" w:cs="Calibri"/>
          <w:sz w:val="22"/>
          <w:szCs w:val="22"/>
        </w:rPr>
        <w:t xml:space="preserve">sprawdzić swoje dane np. w Rejestrze Dowodów Osobistych, Rejestrze PESEL, Profilu Zaufanym, a także dane o swoich pojazdach zgromadzone w bazie CEPiK, </w:t>
      </w:r>
    </w:p>
    <w:p w14:paraId="6AC16A92" w14:textId="77777777" w:rsidR="00BA057D" w:rsidRPr="00401D39" w:rsidRDefault="00BA057D" w:rsidP="00723B3F">
      <w:pPr>
        <w:pStyle w:val="Akapitzlist"/>
        <w:numPr>
          <w:ilvl w:val="0"/>
          <w:numId w:val="56"/>
        </w:numPr>
        <w:spacing w:line="276" w:lineRule="auto"/>
        <w:ind w:left="567"/>
        <w:jc w:val="both"/>
        <w:rPr>
          <w:rFonts w:ascii="Calibri" w:hAnsi="Calibri" w:cs="Calibri"/>
          <w:sz w:val="22"/>
          <w:szCs w:val="22"/>
        </w:rPr>
      </w:pPr>
      <w:r w:rsidRPr="00401D39">
        <w:rPr>
          <w:rFonts w:ascii="Calibri" w:hAnsi="Calibri" w:cs="Calibri"/>
          <w:sz w:val="22"/>
          <w:szCs w:val="22"/>
        </w:rPr>
        <w:t>pobrać dokument elektroniczny o zameldowaniu,</w:t>
      </w:r>
    </w:p>
    <w:p w14:paraId="1922438D" w14:textId="77777777" w:rsidR="00BA057D" w:rsidRPr="00401D39" w:rsidRDefault="00BA057D" w:rsidP="00723B3F">
      <w:pPr>
        <w:pStyle w:val="Akapitzlist"/>
        <w:numPr>
          <w:ilvl w:val="0"/>
          <w:numId w:val="56"/>
        </w:numPr>
        <w:spacing w:line="276" w:lineRule="auto"/>
        <w:ind w:left="567"/>
        <w:jc w:val="both"/>
        <w:rPr>
          <w:rFonts w:ascii="Calibri" w:hAnsi="Calibri" w:cs="Calibri"/>
          <w:sz w:val="22"/>
          <w:szCs w:val="22"/>
        </w:rPr>
      </w:pPr>
      <w:r w:rsidRPr="00401D39">
        <w:rPr>
          <w:rFonts w:ascii="Calibri" w:hAnsi="Calibri" w:cs="Calibri"/>
          <w:sz w:val="22"/>
          <w:szCs w:val="22"/>
        </w:rPr>
        <w:t xml:space="preserve">skorzystać z popularnych e-usług administracji publicznej oraz rządowych aplikacji mobilnych, </w:t>
      </w:r>
    </w:p>
    <w:p w14:paraId="528629E6" w14:textId="77777777" w:rsidR="00BA057D" w:rsidRPr="00401D39" w:rsidRDefault="00BA057D" w:rsidP="00723B3F">
      <w:pPr>
        <w:pStyle w:val="Akapitzlist"/>
        <w:numPr>
          <w:ilvl w:val="0"/>
          <w:numId w:val="56"/>
        </w:numPr>
        <w:spacing w:line="276" w:lineRule="auto"/>
        <w:ind w:left="567"/>
        <w:jc w:val="both"/>
        <w:rPr>
          <w:rFonts w:ascii="Calibri" w:hAnsi="Calibri" w:cs="Calibri"/>
          <w:sz w:val="22"/>
          <w:szCs w:val="22"/>
        </w:rPr>
      </w:pPr>
      <w:r w:rsidRPr="00401D39">
        <w:rPr>
          <w:rFonts w:ascii="Calibri" w:hAnsi="Calibri" w:cs="Calibri"/>
          <w:sz w:val="22"/>
          <w:szCs w:val="22"/>
        </w:rPr>
        <w:t xml:space="preserve">łatwo przejść do portali sektorowych np. PUE ZUS, czy Internetowego Konta Pacjenta. </w:t>
      </w:r>
    </w:p>
    <w:p w14:paraId="000246CF" w14:textId="77777777" w:rsidR="00BA057D" w:rsidRPr="00401D39" w:rsidRDefault="00BA057D" w:rsidP="00BA057D">
      <w:pPr>
        <w:spacing w:after="0" w:line="276" w:lineRule="auto"/>
        <w:jc w:val="both"/>
        <w:rPr>
          <w:rFonts w:cs="Calibri"/>
        </w:rPr>
      </w:pPr>
      <w:r w:rsidRPr="00401D39">
        <w:rPr>
          <w:rFonts w:cs="Calibri"/>
        </w:rPr>
        <w:t xml:space="preserve">Nowe e-usługi administracji to interaktywne formularze w nowoczesnym layoucie, zaprojektowane z myślą o potrzebach wymagającego użytkownika, według zasad service design. Są dostępne dla wszystkich obywateli, w tym z niepełnosprawnościami. Do formularza użytkownik wprowadza tylko niezbędne dane. Pozostałe dane są zaciągane z rejestrów państwowych. Po wprowadzeniu danych generowany jest wniosek lub pismo, które użytkownik podpisuje podpisem elektronicznym, np. bezpłatnym podpisem zaufanym. Po podpisaniu pismo jest wysyłane do wybranego urzędu na jego elektroniczną skrzynkę podawczą. </w:t>
      </w:r>
    </w:p>
    <w:p w14:paraId="7263160A" w14:textId="77777777" w:rsidR="00BA057D" w:rsidRPr="00401D39" w:rsidRDefault="00BA057D" w:rsidP="00BA057D">
      <w:pPr>
        <w:spacing w:after="0" w:line="276" w:lineRule="auto"/>
        <w:jc w:val="both"/>
        <w:rPr>
          <w:rFonts w:cs="Calibri"/>
        </w:rPr>
      </w:pPr>
      <w:r w:rsidRPr="00401D39">
        <w:rPr>
          <w:rFonts w:cs="Calibri"/>
        </w:rPr>
        <w:t>Usługi są dostępne na urządzeniach mobilnych zgodnie z zasadą mobile first.  Uwzględniają także wymagania Rozporządzenia Parlamentu Europejskiego i Rady Europy nr 2018/1724 w sprawie utworzenia jednolitego Portalu Cyfrowego.</w:t>
      </w:r>
    </w:p>
    <w:p w14:paraId="5E51693B" w14:textId="77777777" w:rsidR="00BA057D" w:rsidRPr="00401D39" w:rsidRDefault="00BA057D" w:rsidP="00BA057D">
      <w:pPr>
        <w:spacing w:before="120" w:line="276" w:lineRule="auto"/>
        <w:jc w:val="both"/>
        <w:rPr>
          <w:rFonts w:cs="Calibri"/>
        </w:rPr>
      </w:pPr>
      <w:r w:rsidRPr="00401D39">
        <w:rPr>
          <w:rFonts w:cs="Calibri"/>
        </w:rPr>
        <w:t xml:space="preserve">Ponadto udostępniono aplikację mWeryfikator oraz publiczną aplikację mobilną – mObywatel, która oferuje obywatelom takie usługi, jak: mTożsamość, mPojazd, mLegitymacja szkolna, mLegitymacja studencka, eRecepta i Polak za granicą. Aplikacja jest sukcesywnie rozwijana i rozbudowywana o kolejne usługi i dokumenty. Korzysta z niej coraz więcej obywateli. W trakcie pandemii COVID-19 przygotowano także aplikację umożliwiającą kontakt z osobami zarażonymi koronawirusem lub przebywającymi na kwarantannie – aplikacja „Kwarantanna domowa”. W kolejnym kroku wdrożono także aplikację „ProteGO Safe”, dzięki której jesteśmy w stanie dowiedzieć się czy mieliśmy kontakt z osobą zarażoną oraz monitorować swój stan zdrowia. Aplikacja jest  bezpieczna i oparta o powszechnie wykorzystywane rozwiązania technologiczne. </w:t>
      </w:r>
    </w:p>
    <w:p w14:paraId="743EDDEA" w14:textId="77777777" w:rsidR="00BA057D" w:rsidRPr="00885CCF" w:rsidRDefault="00BA057D" w:rsidP="00BA057D">
      <w:pPr>
        <w:spacing w:before="120" w:line="276" w:lineRule="auto"/>
        <w:jc w:val="both"/>
        <w:rPr>
          <w:b/>
        </w:rPr>
      </w:pPr>
      <w:r w:rsidRPr="00401D39">
        <w:rPr>
          <w:rFonts w:cs="Calibri"/>
        </w:rPr>
        <w:t xml:space="preserve">Budowane i rozwijane systemy teleinformatyczne umożliwiają wdrażanie licznych e-usług m.in. z zakresu podatków, świadczeń socjalnych i zdrowotnych oraz spraw obywatelskich. Systematycznie rośnie liczba e-usług świadczonych przez administrację publiczną szczebla centralnego jak również osób korzystających z już działających e-usług. Według danych Głównego Urzędu Statystycznego („Społeczeństwo informacyjne w Polsce w 2019 r.”), w 2019 r. osoby korzystające w ciągu ostatnich 12 miesięcy z usług administracji publicznej przez Internet stanowiły ponad 40% populacji osób w wieku 16–74 lata. Powiększa się grupa osób, które korzystają z opcji pobierania formularzy i odsyłania wypełnionych. W 2019 r. odsetek osób pobierających formularze wzrósł w skali roku o 2,5 p. proc., a wysyłających – o 6,8 p. proc. Wykorzystywanie tych usług możliwe jest też dzięki wdrażaniu krajowego schematu identyfikacji elektronicznej. Za pośrednictwem uruchomionego Krajowego Węzła Identyfikacji Elektronicznej, łączącego krajowe systemy identyfikacji elektronicznej, obywatele uzyskują możliwość bezpiecznego korzystania z wybranych przez nich środków identyfikacji elektronicznej. Jednocześnie obserwuje się coraz większe wykorzystanie profilu zaufanego do uwierzytelniania i identyfikacji elektronicznej obywateli w systemach administracji publicznej, co przekłada się na poprawę oceny funkcjonowania administracji publicznej. Coraz powszechniej wykorzystywane są certyfikat identyfikacji i uwierzytelnienia (profil osobisty) i certyfikat podpisu osobistego zamieszczane w dowodach osobistych z warstwą elektroniczną </w:t>
      </w:r>
      <w:r w:rsidRPr="00401D39">
        <w:rPr>
          <w:rFonts w:cs="Calibri"/>
        </w:rPr>
        <w:br/>
        <w:t xml:space="preserve">(e-dowodach). Za pomocą login.gov.pl można w prosty i bezpieczny sposób uzyskać dostęp do wielu e-portali i usług publicznych online, takich jak ePUAP, IKP, PUE ZUS, PIU Empatia, praca.gov.pl czy biznes.gov.pl. Założenie i prowadzenie działalności gospodarczej jest również łatwiejsze i szybsze dzięki e-usługom i informacjom dedykowanym biznesowi, realizowanym przy współdziałaniu szeregu instytucji i systemów teleinformatycznych. </w:t>
      </w:r>
    </w:p>
    <w:p w14:paraId="2AD43FE9" w14:textId="77777777" w:rsidR="00BA057D" w:rsidRPr="00401D39" w:rsidRDefault="00BA057D" w:rsidP="00BA057D">
      <w:pPr>
        <w:spacing w:before="120" w:line="276" w:lineRule="auto"/>
        <w:jc w:val="both"/>
        <w:rPr>
          <w:rFonts w:cs="Calibri"/>
        </w:rPr>
      </w:pPr>
      <w:r w:rsidRPr="00401D39">
        <w:rPr>
          <w:rFonts w:cs="Calibri"/>
        </w:rPr>
        <w:t>Budowane rozwiązania, dzięki wdrażanym procedurom koordynacyjnym oraz monitorującym, m.in. w ramach Komitetu Rady Ministrów do spraw Cyfryzacji</w:t>
      </w:r>
      <w:r w:rsidRPr="00401D39">
        <w:rPr>
          <w:rStyle w:val="Odwoanieprzypisudolnego"/>
          <w:rFonts w:cs="Calibri"/>
        </w:rPr>
        <w:footnoteReference w:id="67"/>
      </w:r>
      <w:r w:rsidRPr="00401D39">
        <w:rPr>
          <w:rFonts w:cs="Calibri"/>
        </w:rPr>
        <w:t xml:space="preserve"> (KRMC), stają się w coraz większym stopniu interoperacyjne i komplementarne. Jednak nadal obserwujemy fragmentaryczność udostępnianych rozwiązań, a także rozproszone zarządzanie zasobami teleinformatycznymi oraz informacyjnymi państwa. To sprawia, że koszty cyfryzacji są stosunkowo wysokie i przebiegają wolniej, niż byłoby to możliwe przy zastosowaniu zasad zakupów grupowych. Dodatkowo nie jest określony status referencyjności i jego praktyczny wymiar w odniesieniu do rejestrów publicznych. Te problemy poszczególne jednostki administracji publicznej rozwiązują przy pomocy własnych narzędzi, co przekłada się na niską efektywność kosztową oraz odmienne podejście do obsługi tej samej sprawy. </w:t>
      </w:r>
      <w:r w:rsidRPr="00467C3F">
        <w:t>Od 1 stycznia 2022 r. nałożono na organy administracji rządowej, organ</w:t>
      </w:r>
      <w:r>
        <w:t>y</w:t>
      </w:r>
      <w:r w:rsidRPr="00467C3F">
        <w:t xml:space="preserve"> kontroli państwowej i ochrony prawa, sądy, jednostki organizacyjne prokuratury, a także jednostki samorządu terytorialnego i ich organy także ZUS, KRUS i NFZ</w:t>
      </w:r>
      <w:r>
        <w:t>,</w:t>
      </w:r>
      <w:r w:rsidRPr="00467C3F">
        <w:t xml:space="preserve"> które prowadzą rejestr publiczny przy użyciu systemów teleinformatycznych, dokonanie uprzedniej weryfikacji danych wprowadzanych po raz pierwszy do tego rejestru pod względem zgodności tych danych z danymi zgromadzonymi w rejestrze PESEL. </w:t>
      </w:r>
      <w:r w:rsidRPr="00401D39">
        <w:rPr>
          <w:rFonts w:cs="Calibri"/>
        </w:rPr>
        <w:t xml:space="preserve">Brakuje mechanizmów prawnych stymulujących efektywne wydatkowanie środków i eksploatację systemów IT w skali kraju. Poszczególne jednostki administracji publicznej nie dysponują też wystarczającymi kompetencjami w zakresie zamawiania, projektowania, budowy systemów informatycznych oraz ich utrzymania, co powoduje opóźnienia w ich wdrażaniu, niską jakość i znikomą skuteczność stosowanych rozwiązań i może przyczyniać się do powstawania nieuzasadnionych kosztów po stronie państwa. </w:t>
      </w:r>
      <w:r w:rsidRPr="7C129536">
        <w:t>Brakuje również standardów technologicznych, określających zas</w:t>
      </w:r>
      <w:r w:rsidRPr="006C08AA">
        <w:t>ady budowy, utrzymania, zabezpieczania i bez</w:t>
      </w:r>
      <w:r w:rsidRPr="005036FF">
        <w:t xml:space="preserve">pieczeństwa dostępu dla </w:t>
      </w:r>
      <w:r w:rsidRPr="00FF5501">
        <w:t>budowanych</w:t>
      </w:r>
      <w:r w:rsidRPr="00CA2413">
        <w:t xml:space="preserve"> </w:t>
      </w:r>
      <w:r w:rsidRPr="00BA14D5">
        <w:t xml:space="preserve">systemów teleinformatycznych. </w:t>
      </w:r>
      <w:r w:rsidRPr="005036FF">
        <w:t>Dotyczy to współpracy zarówno z dostawcami zewnętrznymi, jak też wewnętrznymi. Brakuje modelu współpracy między instytucjami administracji publicznej w realizowaniu zadań wspólnych, wymiany gotowych, sprawdzonych rozwiązań, świa</w:t>
      </w:r>
      <w:r w:rsidRPr="00FF5501">
        <w:t>dczenia sobie usług i rozliczania ich.</w:t>
      </w:r>
      <w:r w:rsidRPr="00885CCF">
        <w:t xml:space="preserve"> Przekłada się to na niski poziom wdrażania innowacyjnych rozwiązań w administracji – do końca 2019 roku gminy </w:t>
      </w:r>
      <w:r w:rsidRPr="00401D39">
        <w:rPr>
          <w:rFonts w:cs="Calibri"/>
        </w:rPr>
        <w:t>zgłosiły zaledwie 101 projektów wykorzystujących elementy Internetu Rzeczy czy sztucznej inteligencji.</w:t>
      </w:r>
      <w:r w:rsidRPr="00401D39">
        <w:rPr>
          <w:rStyle w:val="Odwoanieprzypisudolnego"/>
          <w:rFonts w:cs="Calibri"/>
        </w:rPr>
        <w:footnoteReference w:id="68"/>
      </w:r>
    </w:p>
    <w:p w14:paraId="2BA4A8AF" w14:textId="77777777" w:rsidR="00BA057D" w:rsidRPr="006963D0" w:rsidRDefault="00BA057D" w:rsidP="00BA057D">
      <w:pPr>
        <w:jc w:val="both"/>
      </w:pPr>
      <w:bookmarkStart w:id="7" w:name="_Toc512001219"/>
      <w:r w:rsidRPr="00551D90">
        <w:rPr>
          <w:b/>
        </w:rPr>
        <w:t>C</w:t>
      </w:r>
      <w:r w:rsidRPr="004E366E">
        <w:rPr>
          <w:b/>
        </w:rPr>
        <w:t>yber</w:t>
      </w:r>
      <w:r w:rsidRPr="00551D90">
        <w:rPr>
          <w:b/>
        </w:rPr>
        <w:t xml:space="preserve">bezpieczeństwo. </w:t>
      </w:r>
      <w:r w:rsidRPr="00921B09">
        <w:t>W cyberprzestrzeni tworzone i kształtowane są relacje społeczne, a Internet stał się nie tylko narzędziem do wpływania na zachowania grup społecznych, a także oddziaływania w sferze politycznej. Każde znaczące zakłócenie funkcjonowania cyberprzestrzeni, czy to o charakterze globalnym, czy lokalnym, m</w:t>
      </w:r>
      <w:r w:rsidRPr="00055688">
        <w:t>a wpływ na bezpieczeństwo obrotu gospodarczego, poczucie bezpieczeństwa obywateli, sprawność funkcjonowania instytucji sektora publicznego, zaufanie do usług świadczonych elektronicznie, przebieg procesów pro</w:t>
      </w:r>
      <w:r w:rsidRPr="006963D0">
        <w:t xml:space="preserve">dukcyjnych i usługowych, a w rezultacie na ogólnie pojmowane </w:t>
      </w:r>
      <w:r w:rsidRPr="004E366E">
        <w:t>bezpieczeństwo narodowe</w:t>
      </w:r>
      <w:r w:rsidRPr="00551D90">
        <w:t>.</w:t>
      </w:r>
      <w:r w:rsidRPr="00921B09">
        <w:t xml:space="preserve"> </w:t>
      </w:r>
    </w:p>
    <w:p w14:paraId="66E80FA6" w14:textId="77777777" w:rsidR="00BA057D" w:rsidRPr="00401D39" w:rsidRDefault="00BA057D" w:rsidP="00BA057D">
      <w:pPr>
        <w:widowControl w:val="0"/>
        <w:spacing w:after="0" w:line="276" w:lineRule="auto"/>
        <w:jc w:val="both"/>
        <w:rPr>
          <w:rFonts w:eastAsia="Times New Roman"/>
          <w:kern w:val="28"/>
          <w:lang w:eastAsia="pl-PL"/>
        </w:rPr>
      </w:pPr>
      <w:r w:rsidRPr="00921B09">
        <w:t>I</w:t>
      </w:r>
      <w:r w:rsidRPr="00401D39">
        <w:rPr>
          <w:kern w:val="2"/>
        </w:rPr>
        <w:t>stnieją ponadto poważne ryzyka związane z cyber</w:t>
      </w:r>
      <w:r w:rsidRPr="00401D39">
        <w:rPr>
          <w:kern w:val="28"/>
        </w:rPr>
        <w:t>szpiegostwem, wykorzystywaniem Internetu przez ekstremistyczne środowiska polityczne, organizacje terrorystyczne oraz obce służby specjalne w celu dezinformacji, propagowania skrajnych poglądów, zachęcania do udziału w organizowanych przez nie przedsięwzięciach. Ponadto prowadzone są zorganizowane kampanie dezinformacyjne oraz działania</w:t>
      </w:r>
      <w:r w:rsidRPr="00401D39">
        <w:rPr>
          <w:rFonts w:eastAsia="Times New Roman"/>
          <w:kern w:val="28"/>
          <w:lang w:eastAsia="pl-PL"/>
        </w:rPr>
        <w:t xml:space="preserve"> </w:t>
      </w:r>
      <w:r w:rsidRPr="00401D39">
        <w:rPr>
          <w:kern w:val="28"/>
        </w:rPr>
        <w:t>w cyberprzestrzeni o charakterze terrorystycznym, czyli ataki lub groźby ataku na sieci i systemy informatyczne ze strony obcych służb specjalnych, podmiotów niepaństwowych lub organizacji terrorystycznych, w celu zastraszenia lub wymuszenia na rządzie bądź społeczeństwie danego kraju realizacji określonych żądań</w:t>
      </w:r>
      <w:r w:rsidRPr="00401D39">
        <w:rPr>
          <w:rFonts w:eastAsia="Times New Roman"/>
          <w:kern w:val="28"/>
          <w:lang w:eastAsia="pl-PL"/>
        </w:rPr>
        <w:t>.</w:t>
      </w:r>
      <w:r w:rsidRPr="00401D39">
        <w:rPr>
          <w:rFonts w:eastAsia="Times New Roman" w:cs="Calibri"/>
          <w:kern w:val="28"/>
          <w:lang w:eastAsia="pl-PL"/>
        </w:rPr>
        <w:t xml:space="preserve"> Temu zjawisku sprzyja </w:t>
      </w:r>
      <w:r w:rsidRPr="00401D39">
        <w:rPr>
          <w:rFonts w:eastAsia="Times New Roman"/>
          <w:kern w:val="28"/>
          <w:lang w:eastAsia="pl-PL"/>
        </w:rPr>
        <w:t xml:space="preserve">upowszechnienie dostępu do sieci Internet, w kontekście globalnego charakteru cyberprzestrzeni, przy jednocześnie stosunkowo dużej możliwości zachowania anonimowości i popełniania przestępstw na terenie jednego państwa z obszaru innego. Dodatkowym wyzwaniem dla organów ścigania w tym zakresie jest stosowanie przez sprawców przedmiotowych przestępstw </w:t>
      </w:r>
      <w:r w:rsidRPr="00401D39">
        <w:rPr>
          <w:rFonts w:eastAsia="Microsoft YaHei UI" w:cs="Calibri"/>
          <w:bCs/>
          <w:color w:val="000000"/>
          <w:kern w:val="2"/>
        </w:rPr>
        <w:t xml:space="preserve">narzędzi anonimizujących - </w:t>
      </w:r>
      <w:r w:rsidRPr="00401D39">
        <w:rPr>
          <w:rFonts w:eastAsia="Microsoft YaHei UI" w:cs="Calibri"/>
          <w:color w:val="000000"/>
          <w:kern w:val="2"/>
        </w:rPr>
        <w:t>powszechne wykorzystywana jest sieć TOR, serwery Proxy czy narzędzia do szyfrowania transmisji danych (VPN), jak również szyfrowanie danych na nośnikach (</w:t>
      </w:r>
      <w:r w:rsidRPr="00401D39">
        <w:rPr>
          <w:rFonts w:eastAsia="Microsoft YaHei UI" w:cs="Calibri"/>
          <w:i/>
          <w:color w:val="000000"/>
          <w:kern w:val="2"/>
        </w:rPr>
        <w:t>Truecrypt</w:t>
      </w:r>
      <w:r w:rsidRPr="00401D39">
        <w:rPr>
          <w:rFonts w:eastAsia="Microsoft YaHei UI" w:cs="Calibri"/>
          <w:color w:val="000000"/>
          <w:kern w:val="2"/>
        </w:rPr>
        <w:t xml:space="preserve">, </w:t>
      </w:r>
      <w:r w:rsidRPr="00401D39">
        <w:rPr>
          <w:rFonts w:eastAsia="Microsoft YaHei UI" w:cs="Calibri"/>
          <w:i/>
          <w:color w:val="000000"/>
          <w:kern w:val="2"/>
        </w:rPr>
        <w:t>Veracrypt</w:t>
      </w:r>
      <w:r w:rsidRPr="00401D39">
        <w:rPr>
          <w:rFonts w:eastAsia="Microsoft YaHei UI" w:cs="Calibri"/>
          <w:color w:val="000000"/>
          <w:kern w:val="2"/>
        </w:rPr>
        <w:t>).</w:t>
      </w:r>
    </w:p>
    <w:p w14:paraId="6FAD377B" w14:textId="77777777" w:rsidR="00BA057D" w:rsidRPr="00401D39" w:rsidRDefault="00BA057D" w:rsidP="00BA057D">
      <w:pPr>
        <w:widowControl w:val="0"/>
        <w:spacing w:before="120" w:after="0" w:line="276" w:lineRule="auto"/>
        <w:jc w:val="both"/>
        <w:rPr>
          <w:rFonts w:eastAsia="Times New Roman"/>
          <w:kern w:val="28"/>
          <w:lang w:eastAsia="pl-PL"/>
        </w:rPr>
      </w:pPr>
      <w:r w:rsidRPr="00401D39">
        <w:rPr>
          <w:rFonts w:eastAsia="Times New Roman"/>
          <w:kern w:val="28"/>
          <w:lang w:eastAsia="pl-PL"/>
        </w:rPr>
        <w:t xml:space="preserve">Innym elementem istotnym z punktu zapewnienia wysokiego cyberbezpieczeństwa jest świadomość użytkowników o cyberzagrożeniach, która jest wciąż niska. Dotyczy to nie tylko obywateli, którzy mogą paść ofiarą fałszywych stron podających się za rządowe (por. wyłudzenia poprzez prywatne rejestry przedsiębiorców udające państwowe instytucje), ale również pracowników administracji, którzy obsługują obywateli z pomocą nowoczesnych systemów teleinformatycznych. Dodatkowo, przestępcy wykorzystują niską świadomość użytkowników nowoczesnych technologii, w celu wyłudzenia danych (przede wszystkim wrażliwych), kradzieży środków finansowych, czy wręcz po prostu z chęci zaszkodzenia danej osobie/organizacji/firmie. Pandemia COVID-19 pokazuje, że cyberprzestępcy nie wahają się wykorzystywać lęków i obaw naszych obywateli, aby osiągnąć swoje cele – najczęściej w postaci kradzieży danych i pieniędzy. Instytucje odpowiedzialne za reagowanie na incydenty oraz zagrożenia cyberbezpieczeństwa odnotowały znaczący wzrost ataków. Jednym z głównych celów cyberprzestępców są placówki ochrony zdrowia, instytuty badawcze zajmujące się np. opracowaniem szczepionki na koronawirusa. Zadaniem rządu RP jest wzmocnienie systemu cyberbezpieczeństwa, aby krytyczne dla bezpieczeństwa państwa instytucje np. szpitale, miały zapewnioną wzmocniona odporność na cyberataki. </w:t>
      </w:r>
    </w:p>
    <w:p w14:paraId="63366444" w14:textId="77777777" w:rsidR="00BA057D" w:rsidRPr="00E455D2" w:rsidRDefault="00BA057D" w:rsidP="00BA057D">
      <w:pPr>
        <w:spacing w:before="120" w:after="120"/>
        <w:jc w:val="both"/>
      </w:pPr>
      <w:r>
        <w:t xml:space="preserve">Przyjęcie w 2018 r. ustawy </w:t>
      </w:r>
      <w:r w:rsidRPr="008C05B8">
        <w:rPr>
          <w:i/>
        </w:rPr>
        <w:t>o krajowym systemie cyberbezpieczeństwa</w:t>
      </w:r>
      <w:r>
        <w:rPr>
          <w:rStyle w:val="Odwoanieprzypisudolnego"/>
          <w:i/>
        </w:rPr>
        <w:footnoteReference w:id="69"/>
      </w:r>
      <w:r>
        <w:t xml:space="preserve"> stworzyło podstawy prawne i organizacyjne dla zbudowania, po raz pierwszy w historii, kompleksowego systemu cyberbezpieczeństwa w Polsce. </w:t>
      </w:r>
      <w:r w:rsidRPr="00E455D2">
        <w:t>Dwa lata</w:t>
      </w:r>
      <w:r>
        <w:t xml:space="preserve"> funkcjonowania ustawy pozwoliło</w:t>
      </w:r>
      <w:r w:rsidRPr="00E455D2">
        <w:t xml:space="preserve"> na</w:t>
      </w:r>
      <w:r>
        <w:t xml:space="preserve"> ocenę funkcjonujących przepisów, co w rezultacie umożliwiło dokonać analizy </w:t>
      </w:r>
      <w:r w:rsidRPr="00E455D2">
        <w:t>pod k</w:t>
      </w:r>
      <w:r>
        <w:t>ątem przyszłych zmian. Uzyskana w ten sposób wiedza pozwala</w:t>
      </w:r>
      <w:r w:rsidRPr="00E455D2">
        <w:t xml:space="preserve"> na wskazanie </w:t>
      </w:r>
      <w:r>
        <w:t xml:space="preserve">dalszych kluczowych kierunków </w:t>
      </w:r>
      <w:r w:rsidRPr="00E455D2">
        <w:t>zmian</w:t>
      </w:r>
      <w:r>
        <w:t xml:space="preserve"> w systemie. Zmiany muszą także brać pod uwagę doświadczenia z pandemii COVID-19, związane przede wszystkim z zapewnieniem szczególnej odporności systemów wykorzystywanych w krytycznych dla społeczno-ekonomicznego bezpieczeństwa państwa sektorach m.in., zdrowia, czy energii.</w:t>
      </w:r>
    </w:p>
    <w:p w14:paraId="38B164D6" w14:textId="77777777" w:rsidR="00BA057D" w:rsidRPr="00401D39" w:rsidRDefault="00BA057D" w:rsidP="00BA057D">
      <w:pPr>
        <w:jc w:val="both"/>
        <w:rPr>
          <w:rFonts w:cs="Calibri"/>
        </w:rPr>
      </w:pPr>
      <w:r w:rsidRPr="00064AF3">
        <w:rPr>
          <w:i/>
        </w:rPr>
        <w:t>Strategia Cyberbezpieczeństwa RP</w:t>
      </w:r>
      <w:r>
        <w:t xml:space="preserve"> </w:t>
      </w:r>
      <w:r w:rsidRPr="00064AF3">
        <w:rPr>
          <w:i/>
        </w:rPr>
        <w:t>na lata 2019-2024</w:t>
      </w:r>
      <w:r>
        <w:t xml:space="preserve"> określiła kluczowe kierunki działań rządu RP tj.t podniesienie poziomu odporności na cyberzagrożenia oraz wzmocnienie ochrony poprzez m.in. rozwój Krajowego Systemu Cyberbezpieczeństwa. Tworzenie profesjonalnych kadr, budowanie świadomości o zagrożeniach wśród użytkowników, bezpieczne i efektywne procesy oraz nowoczesne i sprawdzone pod kątem bezpieczeństwa technologie informatyczne, nie są jedynymi zadaniami ujętymi w Planie działań na rzecz wdrożenia Strategii, czyli dokumencie wykonawczym Strategii.</w:t>
      </w:r>
    </w:p>
    <w:p w14:paraId="0876414F" w14:textId="77777777" w:rsidR="00BA057D" w:rsidRPr="00401D39" w:rsidRDefault="00BA057D" w:rsidP="00BA057D">
      <w:pPr>
        <w:spacing w:before="120" w:after="0"/>
        <w:jc w:val="both"/>
        <w:rPr>
          <w:rFonts w:cs="Calibri"/>
        </w:rPr>
      </w:pPr>
      <w:r w:rsidRPr="00401D39">
        <w:rPr>
          <w:rFonts w:cs="Calibri"/>
          <w:b/>
        </w:rPr>
        <w:t>Nowoczesne technologie</w:t>
      </w:r>
      <w:r w:rsidRPr="00401D39">
        <w:rPr>
          <w:rFonts w:cs="Calibri"/>
        </w:rPr>
        <w:t xml:space="preserve">. Rozwój i stopniowe wdrażanie nowoczesnych technologii w gospodarce i administracji publicznej determinuje jakość oraz zakres komunikacji między instytucjami, a także między różnymi instytucjami pośredniczącymi a obywatelem. Systematycznie ograniczane są osobiste kontakty pomiędzy administracją a obywatelem i przedsiębiorcą, czy też przedsiębiorcą a konsumentem. W tym celu wykorzystuje się cały szereg najnowszych rozwiązań technologicznych, począwszy od zawansowanych systemów organizujących funkcjonowanie różnych organizacji, a skończywszy na praktycznym zastosowaniu sztucznej inteligencji, Internetu rzeczy, przetwarzania w chmurze obliczeniowej czy technologii blockchain. Wskazane technologie są siłą napędową czwartej rewolucji przemysłowej, która determinuje kierunki rozwoju gospodarki opartej na danych, relacji społecznych, ale również modernizacji administracji publicznej. Pandemia wyraźnie podniosła zapotrzebowanie na rozwiązania cyfrowe i automatyzację procesów zarówno w administracji publicznej jak i biznesie. Jednocześnie ujawnił się niski poziom świadomości o dostępnych rozwiązaniach i narzędziach oraz źródłach finansowania inwestycji w innowacje.  </w:t>
      </w:r>
    </w:p>
    <w:p w14:paraId="3BB425D4" w14:textId="77777777" w:rsidR="00BA057D" w:rsidRPr="00401D39" w:rsidRDefault="00BA057D" w:rsidP="00BA057D">
      <w:pPr>
        <w:spacing w:before="120" w:after="0"/>
        <w:jc w:val="both"/>
        <w:rPr>
          <w:rFonts w:cs="Calibri"/>
        </w:rPr>
      </w:pPr>
      <w:r w:rsidRPr="00401D39">
        <w:rPr>
          <w:rFonts w:cs="Calibri"/>
        </w:rPr>
        <w:t xml:space="preserve">W dobie pandemii wyjątkowo wyraźnie ujawniła się potrzeba pilnego wdrożenie mechanizmów - finansowych i organizacyjnych – umożliwiających szybkie uruchamiania prac badawczych celem przetestowania proponowanych rozwiązań i  sprawnego transferu wyników badań na rynek, celem upowszechnienia wdrożeń.  </w:t>
      </w:r>
    </w:p>
    <w:p w14:paraId="091BFD5A" w14:textId="77777777" w:rsidR="00BA057D" w:rsidRPr="00D379CA" w:rsidRDefault="00BA057D" w:rsidP="00BA057D">
      <w:pPr>
        <w:spacing w:before="120" w:after="0"/>
        <w:jc w:val="both"/>
      </w:pPr>
      <w:r w:rsidRPr="00401D39">
        <w:rPr>
          <w:rFonts w:cs="Calibri"/>
          <w:b/>
        </w:rPr>
        <w:t xml:space="preserve">Dostęp do Internetu. </w:t>
      </w:r>
      <w:r w:rsidRPr="00401D39">
        <w:rPr>
          <w:rFonts w:cs="Calibri"/>
        </w:rPr>
        <w:t>Kluczowym zagadnieniem jest zapewnienie możliwości dostępu do Internetu o bardzo wysokich przepustowościach obywatelom, przedsiębiorstwom i instytucjom. Bez osiągnięcia pełnego pokrycia sieciami szerokopasmowymi obszaru całego kraju nie będzie możliwy rozwój i wykorzystanie technologii informacyjno-komunikacyjnych, w tym w szczególności usług e-administracji. W tym celu niezbędne jest zapewnienie odpowiedniej infrastruktury telekomunikacyjnej i ciągłe wspieranie jej rozwoju.</w:t>
      </w:r>
      <w:r w:rsidRPr="00AD31A2">
        <w:rPr>
          <w:rFonts w:eastAsia="Times New Roman" w:cs="Calibri"/>
          <w:lang w:eastAsia="pl-PL"/>
        </w:rPr>
        <w:t xml:space="preserve"> </w:t>
      </w:r>
      <w:r>
        <w:rPr>
          <w:rFonts w:eastAsia="Times New Roman" w:cs="Calibri"/>
          <w:lang w:eastAsia="pl-PL"/>
        </w:rPr>
        <w:t xml:space="preserve">Znaczenie szybkiego i o wysokiej jakości dostępu do sieci dla ogółu społeczeństwa, przemysłu i administracji publicznej wykazała pandemia COVID-19. Pokrycie sieciami szerokopasmowymi jak nigdy stało się priorytetem w sytuacji w jakiej znalazł się nasz kraj. Przeniesienie aktywności społeczeństwa i gospodarki w tryb zdalny wiązało się ze zwiększeniem popytu na usługi szerokopasmowego dostępu do szybkiego internetu w gospodarstwach domowych. Wg danych operatorów telekomunikacyjnych, wolumen transmisji danych w niektórych sieciach telekomunikacyjnych wzrósł nawet o 50%. Administracja rządowa we współpracy z operatorami podjęła szereg działań uzupełniających możliwości korzystania przez obywateli z usług o choćby podstawowych parametrach jakościowych, wystarczających do wykonywania np. pracy zdalnej czy uczestnictwa w zdalnych lekcjach, jednakże w wielu obszarach, w których nowoczesna infrastruktura szerokopasmowa nie została jeszcze zrealizowana, działania te nie wyczerpały sygnalizowanego popytu na jakość usługi. </w:t>
      </w:r>
      <w:r w:rsidRPr="00C55F36">
        <w:rPr>
          <w:rFonts w:eastAsia="Times New Roman" w:cs="Calibri"/>
          <w:lang w:eastAsia="pl-PL"/>
        </w:rPr>
        <w:t xml:space="preserve">Jednocześnie, jako państwo musimy być technicznie przygotowani do sytuacji kolejnego możliwego </w:t>
      </w:r>
      <w:r>
        <w:rPr>
          <w:rFonts w:eastAsia="Times New Roman" w:cs="Calibri"/>
          <w:lang w:eastAsia="pl-PL"/>
        </w:rPr>
        <w:t>ograniczenia przemieszczania się obywateli</w:t>
      </w:r>
      <w:r w:rsidRPr="00C55F36">
        <w:rPr>
          <w:rFonts w:eastAsia="Times New Roman" w:cs="Calibri"/>
          <w:lang w:eastAsia="pl-PL"/>
        </w:rPr>
        <w:t>.</w:t>
      </w:r>
      <w:r>
        <w:rPr>
          <w:rFonts w:eastAsia="Times New Roman" w:cs="Calibri"/>
          <w:lang w:eastAsia="pl-PL"/>
        </w:rPr>
        <w:t xml:space="preserve"> W tym trudnym okresie szczególnie wyraźnie unaoczniły się skutki długoletniego utrzymywania barier administracyjno-prawnych dla szybkiej i taniej budowy sieci telekomunikacyjnych – przewodowych i bezprzewodowych. Skutki pandemii wirusa SARS-CoV-2 przyspieszyły także uruchomienie Funduszu Szerokopasmowego, z którego dofinansowywane będą inwestycje szerokopasmowe. </w:t>
      </w:r>
    </w:p>
    <w:p w14:paraId="11D3162D" w14:textId="77777777" w:rsidR="00BA057D" w:rsidRPr="00401D39" w:rsidRDefault="00BA057D" w:rsidP="00BA057D">
      <w:pPr>
        <w:jc w:val="both"/>
        <w:rPr>
          <w:rFonts w:cs="Calibri"/>
        </w:rPr>
      </w:pPr>
      <w:r w:rsidRPr="00401D39">
        <w:rPr>
          <w:rFonts w:cs="Calibri"/>
        </w:rPr>
        <w:t>W okresie programowania 2007-2013 zrealizowano projekty budowy sieci szkieletowo-dystrybucyjnych (Regionalne Sieci Szerokopasmowe)</w:t>
      </w:r>
      <w:r w:rsidRPr="00401D39">
        <w:rPr>
          <w:rFonts w:cs="Calibri"/>
          <w:vertAlign w:val="superscript"/>
        </w:rPr>
        <w:footnoteReference w:id="70"/>
      </w:r>
      <w:r w:rsidRPr="00401D39">
        <w:rPr>
          <w:rFonts w:cs="Calibri"/>
        </w:rPr>
        <w:t>. W wyniku realizacji tych przedsięwzięć w latach 2007-2013 wybudowano łącznie ponad 23 490 km sieci</w:t>
      </w:r>
      <w:r w:rsidRPr="00401D39">
        <w:rPr>
          <w:rFonts w:cs="Calibri"/>
          <w:vertAlign w:val="superscript"/>
        </w:rPr>
        <w:footnoteReference w:id="71"/>
      </w:r>
      <w:r w:rsidRPr="00401D39">
        <w:rPr>
          <w:rFonts w:cs="Calibri"/>
        </w:rPr>
        <w:t>. W tym okresie zrealizowano również wiele projektów budowy sieci dostępowych (tzw. ostatniej mili)</w:t>
      </w:r>
      <w:r w:rsidRPr="00401D39">
        <w:rPr>
          <w:rFonts w:cs="Calibri"/>
          <w:vertAlign w:val="superscript"/>
        </w:rPr>
        <w:footnoteReference w:id="72"/>
      </w:r>
      <w:r w:rsidRPr="00401D39">
        <w:rPr>
          <w:rFonts w:cs="Calibri"/>
        </w:rPr>
        <w:t>, które objęły swoim zasięgiem ponad 360 tys. gospodarstw domowych (w tym ponad 318 tys. w technologiach opartych o medium światłowodowe).</w:t>
      </w:r>
    </w:p>
    <w:p w14:paraId="6A0683D4" w14:textId="77777777" w:rsidR="00BA057D" w:rsidRPr="00401D39" w:rsidRDefault="00BA057D" w:rsidP="00BA057D">
      <w:pPr>
        <w:jc w:val="both"/>
        <w:rPr>
          <w:rFonts w:cs="Calibri"/>
        </w:rPr>
      </w:pPr>
      <w:r w:rsidRPr="00401D39">
        <w:rPr>
          <w:rFonts w:cs="Calibri"/>
        </w:rPr>
        <w:t xml:space="preserve">W okresie programowania 2014-2020 środki na wsparcie projektów budowy sieci szerokopasmowych w wysokości ponad 1 miliarda euro zostały zapewnione w ramach Programu Operacyjnego Polska Cyfrowa na lata 2014-2020 w 1 osi priorytetowej „Powszechny dostęp do szybkiego Internetu”, Działaniu 1.1 „Wyrównywanie terytorialnych różnic w możliwości dostępu do szerokopasmowego Internetu o wysokich przepustowościach”. W ramach tego Programu w pierwszym i drugim konkursie na dofinansowanie projektów beneficjenci zadeklarowali objęcie zasięgiem nowoczesnych sieci ok. 1 200 tysięcy gospodarstw domowych, w pierwszej rundzie trzeciego konkursu ponad 654 tysiące gospodarstw domowych, a w drugiej rundzie kolejne ponad 50 tys. gospodarstw. W lipcu 2020 r. został rozstrzygnięty 4 konkurs w działaniu 1.1, dzięki któremu do szybkiego internetu zostanie podłączonych kolejne 144 tys. gospodarstw domowych, a także m.in. 132 jednostki Ochotniczej Straży Pożarnej. Szacuje się, że w efekcie wdrażania Programu dostęp do szybkiego Internetu uzyska ponad 2 miliony gospodarstw domowych oraz wszystkie szkoły, nieposiadające dostępu do szybkiego internetu na zasadach komercyjnych. Dodatkowo, każda gmina w Polsce mogła otrzymać dofinansowanie na realizację punktów bezpłatnego bezprzewodowego dostępu do internetu w miejscach publicznych w ramach inicjatywy </w:t>
      </w:r>
      <w:r w:rsidRPr="00401D39">
        <w:rPr>
          <w:rFonts w:cs="Calibri"/>
          <w:i/>
        </w:rPr>
        <w:t>Publiczny internet dla każdego</w:t>
      </w:r>
      <w:r w:rsidRPr="00401D39">
        <w:rPr>
          <w:rFonts w:cs="Calibri"/>
        </w:rPr>
        <w:t>.</w:t>
      </w:r>
    </w:p>
    <w:p w14:paraId="16FC40CC" w14:textId="77777777" w:rsidR="00BA057D" w:rsidRPr="00401D39" w:rsidRDefault="00BA057D" w:rsidP="00BA057D">
      <w:pPr>
        <w:jc w:val="both"/>
        <w:rPr>
          <w:rFonts w:cs="Calibri"/>
        </w:rPr>
      </w:pPr>
      <w:r w:rsidRPr="00401D39">
        <w:rPr>
          <w:rFonts w:cs="Calibri"/>
        </w:rPr>
        <w:t>Zasięgi i jakość infrastruktury operatorów systematycznej się poprawiają. Zgodnie z danymi Komisji Europejskiej (Digital Agenda Scoreboard) w 2014 roku 53,4% gospodarstw domowych w Polsce miało możliwość dostępu do sieci NGA (Next Generation Access), zapewniającej dostęp do Internetu o przepustowości co najmniej 30 Mb/s (średnia dla krajów UE – 68%). Z kolei abonament na dostęp do Internetu o przepustowości co najmniej 100 Mb/s w 2014 roku miało w Polsce 5% gospodarstw domowych spośród 60%, mających szerokopasmowy dostęp do Internetu (średnia dla krajów UE – 9%)</w:t>
      </w:r>
      <w:r w:rsidRPr="00401D39">
        <w:rPr>
          <w:rFonts w:cs="Calibri"/>
          <w:vertAlign w:val="superscript"/>
        </w:rPr>
        <w:footnoteReference w:id="73"/>
      </w:r>
      <w:r w:rsidRPr="00401D39">
        <w:rPr>
          <w:rFonts w:cs="Calibri"/>
        </w:rPr>
        <w:t>. Na koniec 2019 roku natomiast odsetek gospodarstw domowych z możliwością dostępu do Internetu o prędkości 30 Mb/s lub większej wyniósł 75%, a z usług o przepustowości 100 Mb/s korzystało 23,3 % gospodarstw domowych w kraju. Z kolei z usług o przepustowości co najmniej 100 Mb/s świadczonych w sieciach, które umożliwią także korzystanie z usług o przepustowościach gigabitowych, mogło korzystać 61,7% gospodarstw domowych.</w:t>
      </w:r>
    </w:p>
    <w:bookmarkEnd w:id="7"/>
    <w:p w14:paraId="664E9159" w14:textId="77777777" w:rsidR="00BA057D" w:rsidRPr="00401D39" w:rsidRDefault="00BA057D" w:rsidP="00BA057D">
      <w:pPr>
        <w:jc w:val="both"/>
        <w:rPr>
          <w:rFonts w:cs="Calibri"/>
        </w:rPr>
      </w:pPr>
      <w:r w:rsidRPr="00401D39">
        <w:rPr>
          <w:rFonts w:cs="Calibri"/>
        </w:rPr>
        <w:t xml:space="preserve">O ile dla większości gmin odsetek gospodarstw domowych bez możliwości dostępu do Internetu o przepustowości co najmniej 100 Mb/s jest nieznaczny, to są takie obszary, gdzie przekracza on połowę, a niekiedy nawet 75% gospodarstw domowych. </w:t>
      </w:r>
    </w:p>
    <w:p w14:paraId="6F2AE8DB" w14:textId="77777777" w:rsidR="00BA057D" w:rsidRPr="00401D39" w:rsidRDefault="00BA057D" w:rsidP="00BA057D">
      <w:pPr>
        <w:keepNext/>
        <w:spacing w:after="0" w:line="240" w:lineRule="auto"/>
        <w:rPr>
          <w:rFonts w:eastAsia="Times New Roman" w:cs="Calibri"/>
          <w:b/>
          <w:bCs/>
          <w:sz w:val="18"/>
          <w:szCs w:val="18"/>
          <w:lang w:eastAsia="pl-PL"/>
        </w:rPr>
      </w:pPr>
      <w:r w:rsidRPr="00401D39">
        <w:rPr>
          <w:rFonts w:eastAsia="Times New Roman" w:cs="Calibri"/>
          <w:b/>
          <w:bCs/>
          <w:sz w:val="18"/>
          <w:szCs w:val="18"/>
          <w:lang w:eastAsia="pl-PL"/>
        </w:rPr>
        <w:t>Rysunek 3. Penetracja lokalowa zasięgiem usług o przepustowości co najmniej 100 Mb/s</w:t>
      </w:r>
    </w:p>
    <w:p w14:paraId="5C341E7B" w14:textId="5C82D6D4" w:rsidR="00BA057D" w:rsidRPr="00401D39" w:rsidRDefault="00BA057D" w:rsidP="00BA057D">
      <w:pPr>
        <w:keepNext/>
        <w:spacing w:line="252" w:lineRule="auto"/>
        <w:jc w:val="center"/>
        <w:rPr>
          <w:rFonts w:eastAsia="Times New Roman" w:cs="Calibri"/>
          <w:sz w:val="16"/>
          <w:szCs w:val="18"/>
          <w:lang w:eastAsia="pl-PL"/>
        </w:rPr>
      </w:pPr>
      <w:r w:rsidRPr="00401D39">
        <w:rPr>
          <w:rFonts w:eastAsia="Times New Roman" w:cs="Calibri"/>
          <w:noProof/>
          <w:szCs w:val="24"/>
          <w:lang w:eastAsia="pl-PL"/>
        </w:rPr>
        <w:drawing>
          <wp:inline distT="0" distB="0" distL="0" distR="0" wp14:anchorId="15EC003A" wp14:editId="63DAD0A3">
            <wp:extent cx="4270375" cy="3364230"/>
            <wp:effectExtent l="0" t="0" r="0" b="76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0375" cy="3364230"/>
                    </a:xfrm>
                    <a:prstGeom prst="rect">
                      <a:avLst/>
                    </a:prstGeom>
                    <a:noFill/>
                    <a:ln>
                      <a:noFill/>
                    </a:ln>
                  </pic:spPr>
                </pic:pic>
              </a:graphicData>
            </a:graphic>
          </wp:inline>
        </w:drawing>
      </w:r>
    </w:p>
    <w:p w14:paraId="56823783" w14:textId="77777777" w:rsidR="00BA057D" w:rsidRPr="00401D39" w:rsidRDefault="00BA057D" w:rsidP="00BA057D">
      <w:pPr>
        <w:keepNext/>
        <w:spacing w:line="252" w:lineRule="auto"/>
        <w:rPr>
          <w:rFonts w:eastAsia="Times New Roman" w:cs="Calibri"/>
          <w:sz w:val="16"/>
          <w:szCs w:val="18"/>
          <w:lang w:eastAsia="pl-PL"/>
        </w:rPr>
      </w:pPr>
      <w:r w:rsidRPr="00401D39">
        <w:rPr>
          <w:rFonts w:eastAsia="Times New Roman" w:cs="Calibri"/>
          <w:sz w:val="16"/>
          <w:szCs w:val="18"/>
          <w:lang w:eastAsia="pl-PL"/>
        </w:rPr>
        <w:t xml:space="preserve">Źródło: </w:t>
      </w:r>
      <w:r w:rsidRPr="00401D39">
        <w:rPr>
          <w:rFonts w:cs="Calibri"/>
          <w:sz w:val="16"/>
          <w:szCs w:val="18"/>
          <w:lang w:eastAsia="pl-PL"/>
        </w:rPr>
        <w:t>Raport o stanie rynku telekomunikacyjnego w Polsce w 2019 r., Urząd Komunikacji Elektronicznej</w:t>
      </w:r>
      <w:r w:rsidRPr="00401D39">
        <w:rPr>
          <w:rFonts w:eastAsia="Times New Roman" w:cs="Calibri"/>
          <w:sz w:val="16"/>
          <w:szCs w:val="18"/>
          <w:lang w:eastAsia="pl-PL"/>
        </w:rPr>
        <w:t>.</w:t>
      </w:r>
    </w:p>
    <w:p w14:paraId="5C988CD5" w14:textId="77777777" w:rsidR="00BA057D" w:rsidRPr="00401D39" w:rsidRDefault="00BA057D" w:rsidP="00BA057D">
      <w:pPr>
        <w:jc w:val="both"/>
        <w:rPr>
          <w:rFonts w:cs="Calibri"/>
        </w:rPr>
      </w:pPr>
      <w:r w:rsidRPr="00401D39">
        <w:rPr>
          <w:rFonts w:cs="Calibri"/>
        </w:rPr>
        <w:t>W Narodowym Planie Szerokopasmowym oszacowano, że liczba gospodarstw domowych poza zasięgiem sieci o przepustowości co najmniej 30 Mb/s na koniec roku 2017 wyniosła ponad 4 420 tysięcy. Oszacowana liczba gospodarstw domowych poza zasięgiem sieci o przepustowości co najmniej 100 Mb/s na koniec roku 2017 wyniosła zaś ponad 8 255 tysięcy.</w:t>
      </w:r>
    </w:p>
    <w:p w14:paraId="635FA4F6" w14:textId="77777777" w:rsidR="00BA057D" w:rsidRPr="00401D39" w:rsidRDefault="00BA057D" w:rsidP="00BA057D">
      <w:pPr>
        <w:jc w:val="both"/>
        <w:rPr>
          <w:rFonts w:cs="Calibri"/>
        </w:rPr>
      </w:pPr>
      <w:r w:rsidRPr="00401D39">
        <w:rPr>
          <w:rFonts w:cs="Calibri"/>
        </w:rPr>
        <w:t>Potrzeby w zakresie dostępu gospodarstw domowych do Internetu o przepustowości co najmniej 30 Mb/s i 100 Mb/s są więc znaczące i wymagają ukierunkowanej interwencji w obszarach, gdzie brak jest odpowiedniej infrastruktury szerokopasmowej, w szczególności na obszarach wiejskich. Należy również pamiętać, że równolegle rosnąć będzie popyt na usługi o znacznie większej przepustowości (przekraczającej 1 Gb/s), napędzany w szczególności przez miejsca odpowiedzialne za rozwój społeczno-gospodarczy (szkoły, szpitale, miejsca świadczenia usług publicznych, przedsiębiorstwa prowadzące intensywną działalność w sieci bądź też wykorzystujące infrastrukturę telekomunikacyjną do procesów zarządzania, produkcji, automatyzacji czy też przetwarzania dużych zbiorów danych np. w chmurze, itp.), który również należy zaspokoić z odpowiednim wyprzedzeniem</w:t>
      </w:r>
      <w:r w:rsidRPr="00401D39">
        <w:rPr>
          <w:rFonts w:cs="Calibri"/>
          <w:vertAlign w:val="superscript"/>
        </w:rPr>
        <w:footnoteReference w:id="74"/>
      </w:r>
      <w:r w:rsidRPr="00401D39">
        <w:rPr>
          <w:rFonts w:cs="Calibri"/>
        </w:rPr>
        <w:t xml:space="preserve">. </w:t>
      </w:r>
    </w:p>
    <w:p w14:paraId="67486C8C" w14:textId="77777777" w:rsidR="00BA057D" w:rsidRPr="00401D39" w:rsidRDefault="00BA057D" w:rsidP="00BA057D">
      <w:pPr>
        <w:jc w:val="both"/>
        <w:rPr>
          <w:rFonts w:cs="Calibri"/>
        </w:rPr>
      </w:pPr>
      <w:r w:rsidRPr="00401D39">
        <w:rPr>
          <w:rFonts w:cs="Calibri"/>
          <w:b/>
        </w:rPr>
        <w:t>Rozwój systemów bezprzewodowych</w:t>
      </w:r>
      <w:r w:rsidRPr="00401D39">
        <w:rPr>
          <w:rFonts w:cs="Calibri"/>
        </w:rPr>
        <w:t>.</w:t>
      </w:r>
      <w:r w:rsidRPr="00C15024">
        <w:rPr>
          <w:sz w:val="24"/>
        </w:rPr>
        <w:t xml:space="preserve"> </w:t>
      </w:r>
      <w:r w:rsidRPr="00401D39">
        <w:rPr>
          <w:rFonts w:cs="Calibri"/>
          <w:bCs/>
        </w:rPr>
        <w:t>Rozwój szybkich sieci szerokopasmowych, zarówno światłowodowych jak i bezprzewodowych, jest uznawany za jeden ze strategicznych elementów rozwoju gospodarczego Polski i krajów UE. Duży nacisk w chwili obecnej kładzie się szczególnie na sieci 5G, które traktowane są jako jeden z najważniejszych czynników warunkujących postęp ekonomiczny i techniczny, a także przezwyciężania kryzysu wywołanego pandemią.</w:t>
      </w:r>
      <w:r w:rsidRPr="00401D39">
        <w:rPr>
          <w:rFonts w:cs="Calibri"/>
        </w:rPr>
        <w:t xml:space="preserve"> Rozwój piątej generacji systemów bezprzewodowych bez wątpienia stanowi jedno z najważniejszych wyzwań współczesnej – jak najszerzej rozumianej – telekomunikacji. Systemy 5G mają stanowić kolejny etap rozwoju standardów telekomunikacyjnych znacznie przekraczający przewidywanymi funkcjonalnościami to, co oferuje obecnie obowiązujący standard 4G. Spodziewany zakres zmian będzie tu bardzo szeroki – migracja w kierunku systemów piątej generacji z całą pewnością nie ograniczy się jedynie do zdefiniowania nowych standardów wielodostępu, nowych algorytmów modulacji/kodowania, itp., lecz będzie wymagała zupełnie nowego spojrzenia na łączność bezprzewodową.</w:t>
      </w:r>
    </w:p>
    <w:p w14:paraId="60792860" w14:textId="77777777" w:rsidR="00BA057D" w:rsidRPr="00401D39" w:rsidRDefault="00BA057D" w:rsidP="00BA057D">
      <w:pPr>
        <w:jc w:val="both"/>
        <w:rPr>
          <w:rFonts w:cs="Calibri"/>
        </w:rPr>
      </w:pPr>
      <w:r w:rsidRPr="00401D39">
        <w:rPr>
          <w:rFonts w:cs="Calibri"/>
        </w:rPr>
        <w:t>Planowane rozwiązania 5G mają na celu</w:t>
      </w:r>
      <w:r w:rsidRPr="00832A52">
        <w:t xml:space="preserve"> </w:t>
      </w:r>
      <w:r w:rsidRPr="00401D39">
        <w:rPr>
          <w:rFonts w:cs="Calibri"/>
        </w:rPr>
        <w:t xml:space="preserve">zwiększenie efektywności wykorzystania widma radiowego w stosunku do obecnego standardu 4G i zapewnienie lepszych parametrów transmisji danych, co pozwoli na obsługę znacznie większej liczby użytkowników łączy szerokopasmowych oraz umożliwi realizację wysoce niezawodnej, masowej komunikacji między urządzeniami. Systemy piątej generacji mają stanowić odpowiedź na zmieniające się – ale generalnie cały czas rosnące – oczekiwania użytkowników usług mobilnych w zakresie ich dostępności, jakości, przepływności i innych parametrów jakościowych/usługowych. Z drugiej jednak strony sieci 5G będą również odzwierciedleniem zmieniającego się podejścia do sieci bezprzewodowych, w których coraz większą rolę odgrywa łączność typu maszyna-maszyna (M2M), co skutkuje koniecznością obsługi ogromnych wolumenów danych i zapewnienia bardzo wysokich pojemności. Bardzo istotne jest w tym kontekście zapewnienie cyberbezpieczeństwa infrastruktury oraz danych. Kluczowe w tym celu będą zmiany legislacyjne uwzględniający m.in. kontekst europejski, a zwłaszcza efekty prac związanych z przeprowadzonym na poziomie UE szacowania ryzyka i praktycznymi rekomendacjami w tym zakresie opracowanymi w nurcie prac Komisji Europejskiej. </w:t>
      </w:r>
    </w:p>
    <w:p w14:paraId="230ECBD6" w14:textId="77777777" w:rsidR="00BA057D" w:rsidRPr="00401D39" w:rsidRDefault="00BA057D" w:rsidP="00BA057D">
      <w:pPr>
        <w:jc w:val="both"/>
        <w:rPr>
          <w:rFonts w:cs="Calibri"/>
        </w:rPr>
      </w:pPr>
      <w:r w:rsidRPr="00401D39">
        <w:rPr>
          <w:rFonts w:cs="Calibri"/>
          <w:bCs/>
        </w:rPr>
        <w:t xml:space="preserve">Sieć 5G dostępna od 2020 roku umożliwi powstanie nowych innowacyjnych usług, które przekształcą takie obszary jak rolnictwo, przemysł, transport i logistyka, gospodarka wodna, energetyka, środowisko czy system ochrony zdrowia, wprowadzając je w erę IoT. Aby wszyscy konsumenci i przedsiębiorstwa mogli czerpać korzyści z gigabitowego społeczeństwa, należy zniwelować różnice pomiędzy obszarami miejskimi i wiejskimi oraz występującymi różnicami w rozwoju cyfrowym/technologicznym w krajach UE. </w:t>
      </w:r>
      <w:r w:rsidRPr="00401D39">
        <w:rPr>
          <w:rFonts w:cs="Calibri"/>
        </w:rPr>
        <w:t xml:space="preserve">Skuteczne wdrożenie sieci 5G i wykorzystanie dostępnych usług wytworzy daleko idące korzyści ekonomiczne i społeczne, oraz wspierać będzie skokowy rozwój gospodarki Polski. </w:t>
      </w:r>
    </w:p>
    <w:p w14:paraId="09AE85DF" w14:textId="77777777" w:rsidR="00BA057D" w:rsidRPr="00401D39" w:rsidRDefault="00BA057D" w:rsidP="00BA057D">
      <w:pPr>
        <w:jc w:val="both"/>
        <w:rPr>
          <w:rFonts w:cs="Calibri"/>
          <w:szCs w:val="24"/>
        </w:rPr>
      </w:pPr>
      <w:r w:rsidRPr="00401D39">
        <w:rPr>
          <w:rFonts w:cs="Calibri"/>
          <w:szCs w:val="24"/>
        </w:rPr>
        <w:t xml:space="preserve">Infrastruktura telekomunikacyjna szybkich sieci szerokopasmowych stanowi technologiczną podstawę dla kluczowych inwestycji w zakresie upowszechniania ICT, budowy e-państwa, integracji systemów państwowych i dostępu do danych publicznych. Jest niezbędna dla zwiększenia konkurencyjności polskiej gospodarki, rozwoju miast, dostępu do zasobów wiedzy oraz zarządzania procesami wytwórczymi w gospodarce. </w:t>
      </w:r>
    </w:p>
    <w:p w14:paraId="0752672D" w14:textId="77777777" w:rsidR="00BA057D" w:rsidRPr="00401D39" w:rsidRDefault="00BA057D" w:rsidP="00BA057D">
      <w:pPr>
        <w:jc w:val="both"/>
        <w:rPr>
          <w:rFonts w:cs="Calibri"/>
          <w:szCs w:val="24"/>
        </w:rPr>
      </w:pPr>
      <w:r w:rsidRPr="00401D39">
        <w:rPr>
          <w:rFonts w:cs="Calibri"/>
          <w:szCs w:val="24"/>
        </w:rPr>
        <w:t>Dotychczasowy rozwój dostępu do Internetu w kraju pozytywnie oddziałuje na obszar cyfryzacji, wymaga jednak zintensyfikowanych działań ukierunkowanych na obszary, gdzie niedobory infrastruktury telekomunikacyjnej są najbardziej dotkliwe. Zapewnienie odpowiedniego dostępu do Internetu na terenie całego kraju umożliwi rozwój systemów i usług zarówno państwowych, jak i komercyjnych do tej pory rozwijających się w niewystarczającym zakresie. Sytuacja związana z pandemią COVID-19 spowodowała pewne przyspieszenie, a nawet potrzebę przyspieszenia zapewnienia dostępu do szybkich sieci szerokopasmowych (także na wypadek kolejnych ograniczeń w przemieszczaniu się obywateli ).</w:t>
      </w:r>
    </w:p>
    <w:p w14:paraId="7F4CCE6F" w14:textId="77777777" w:rsidR="00BA057D" w:rsidRDefault="00BA057D" w:rsidP="00BA057D">
      <w:pPr>
        <w:spacing w:after="0" w:line="276" w:lineRule="auto"/>
        <w:jc w:val="both"/>
        <w:rPr>
          <w:lang w:eastAsia="pl-PL"/>
        </w:rPr>
      </w:pPr>
      <w:r w:rsidRPr="00A80C12">
        <w:rPr>
          <w:b/>
          <w:lang w:eastAsia="pl-PL"/>
        </w:rPr>
        <w:t>Otwarty rząd</w:t>
      </w:r>
      <w:r>
        <w:rPr>
          <w:b/>
          <w:lang w:eastAsia="pl-PL"/>
        </w:rPr>
        <w:t xml:space="preserve">. </w:t>
      </w:r>
      <w:r>
        <w:rPr>
          <w:lang w:eastAsia="pl-PL"/>
        </w:rPr>
        <w:t xml:space="preserve">Szczególną rolę w zapewnieniu partycypacji społecznej w funkcjonowaniu państwa odgrywa zagwarantowanie obywatelom szerokiego i nieskrępowanego dostępu do informacji publicznej oraz danych będących w posiadaniu </w:t>
      </w:r>
      <w:r w:rsidRPr="003C3145">
        <w:rPr>
          <w:lang w:eastAsia="pl-PL"/>
        </w:rPr>
        <w:t>szeroko rozumianego sektora publicznego, obejmującego również przedsiębiorstwa</w:t>
      </w:r>
      <w:r>
        <w:rPr>
          <w:lang w:eastAsia="pl-PL"/>
        </w:rPr>
        <w:t xml:space="preserve"> publiczne</w:t>
      </w:r>
      <w:r w:rsidRPr="003C3145">
        <w:rPr>
          <w:lang w:eastAsia="pl-PL"/>
        </w:rPr>
        <w:t>. Konieczna jest zmiana paradygmatu w myśleniu o danych pochodzących spoza tradycyjnie rozumianej administracji publicznej, umożliwiająca dostęp do danych pochodzących np. od przedsiębiorstw w związku z realizacją zadań w interesie ogólnym.  Konieczne jest wypracowanie now</w:t>
      </w:r>
      <w:r>
        <w:rPr>
          <w:lang w:eastAsia="pl-PL"/>
        </w:rPr>
        <w:t xml:space="preserve">ych modeli dzielenia się danymi. Obecnie jednak identyfikowana jest niewystarczająca dostępność i niska jakość zasobów informacyjnych państwa dla obywateli. </w:t>
      </w:r>
      <w:r w:rsidRPr="002A5BAC">
        <w:rPr>
          <w:lang w:eastAsia="pl-PL"/>
        </w:rPr>
        <w:t xml:space="preserve">Na podstawie doświadczeń wynikających z dotychczasowego funkcjonowania portalu dane.gov.pl pojawiają się problemy z jakością danych oraz niedostatecznej wiedzy i umiejętności osób przygotowujących dane do udostępnienia w sposób otwarty. Dane już udostępniane cechuje często niski stopień otwartości (błędy w przygotowaniu plików) i niska jakość. Doświadczenia zgromadzone na etapie realizacji projektu Otwarte dane – dostęp, standard, edukacja (OD-DSE), dofinansowanego w ramach II osi POPC </w:t>
      </w:r>
      <w:r>
        <w:rPr>
          <w:lang w:eastAsia="pl-PL"/>
        </w:rPr>
        <w:br/>
      </w:r>
      <w:r w:rsidRPr="002A5BAC">
        <w:rPr>
          <w:lang w:eastAsia="pl-PL"/>
        </w:rPr>
        <w:t>E</w:t>
      </w:r>
      <w:r>
        <w:rPr>
          <w:lang w:eastAsia="pl-PL"/>
        </w:rPr>
        <w:t>-</w:t>
      </w:r>
      <w:r w:rsidRPr="002A5BAC">
        <w:rPr>
          <w:lang w:eastAsia="pl-PL"/>
        </w:rPr>
        <w:t>administracja i otwarty rząd, poddziałanie 2.3.1 „Cyfrowe udostępnienie informacji sektora publicznego ze źródeł administracyjnych i zasobów nauki”, pokazują, że zapotrzebowanie na szkolenia dot. otwartości danych, standardów udostępnianych danych, ponownego wykorzystywania, jak również korzystania z danych w codziennej pracy urzędnika jest niezwykle wysokie. Wnioski płynące z wdrażania Programu Otwierania Danych Publicznych pokazują, że proces otwierania danych publicznych w poszczególnych urzędach – obejmujący usuwanie barier prawnych, technicznych i świadomościowych, a często związany z zapewnieniem bezpieczeństwa udostępniania danych – wymaga usystematyzowania i specjalistycznej wiedzy, a także ośrodka koordynującego i wspierającego. Ponadto, prowadzone od 2016 r. wywiady z dysponentami baz danych oraz Pełnomocnikami ds. otwartości danych dostarczyły wiedzy nt. priorytetów związanych z udostępni</w:t>
      </w:r>
      <w:r>
        <w:rPr>
          <w:lang w:eastAsia="pl-PL"/>
        </w:rPr>
        <w:t>a</w:t>
      </w:r>
      <w:r w:rsidRPr="002A5BAC">
        <w:rPr>
          <w:lang w:eastAsia="pl-PL"/>
        </w:rPr>
        <w:t>niem określonych zasobów, ograniczeń i możliwości oraz koniecznych kompetencji w zakresie otwierania baz, a w tym nowych zasobów informacyjnych.</w:t>
      </w:r>
      <w:r>
        <w:rPr>
          <w:lang w:eastAsia="pl-PL"/>
        </w:rPr>
        <w:t xml:space="preserve"> Brakuje też powszechnej świadomości nt. społecznego i gospodarczego potencjału ponownego wykorzystywania danych publicznych. Powoduje to niskie wykorzystanie danych na rzecz rozwoju gospodarki i społeczeństwa informacyjnego. Z</w:t>
      </w:r>
      <w:r w:rsidRPr="001E44D1">
        <w:rPr>
          <w:lang w:eastAsia="pl-PL"/>
        </w:rPr>
        <w:t>naczna część danych jest gromadzona wielokrotnie i powielana (na poziomie centralnym, regionalnym i lokalnym), nie są one wykorzystywane w wystarczającym stopniu, co skutkuje wielokrotnymi nakładami na gromadzenie danych i niespójnością informacyjną</w:t>
      </w:r>
      <w:r>
        <w:rPr>
          <w:lang w:eastAsia="pl-PL"/>
        </w:rPr>
        <w:t>. Portal dane.gov.pl – centralny punkt dostępu do danych publicznych nie jest szeroko znany, zwłaszcza wśród przedsiębiorców.</w:t>
      </w:r>
    </w:p>
    <w:p w14:paraId="40987528" w14:textId="77777777" w:rsidR="00BA057D" w:rsidRPr="00401D39" w:rsidRDefault="00BA057D" w:rsidP="00BA057D">
      <w:pPr>
        <w:tabs>
          <w:tab w:val="left" w:pos="0"/>
        </w:tabs>
        <w:spacing w:before="120" w:after="0" w:line="276" w:lineRule="auto"/>
        <w:jc w:val="both"/>
        <w:rPr>
          <w:rFonts w:cs="Calibri"/>
        </w:rPr>
      </w:pPr>
      <w:r w:rsidRPr="006E7DF3">
        <w:rPr>
          <w:lang w:eastAsia="pl-PL"/>
        </w:rPr>
        <w:t>Administracja publiczna nie zawsze dostrzega, że sama jest głównym beneficjentem otwierania danych.</w:t>
      </w:r>
      <w:r w:rsidRPr="00401D39">
        <w:rPr>
          <w:shd w:val="clear" w:color="auto" w:fill="F7CAAC"/>
          <w:lang w:eastAsia="pl-PL"/>
        </w:rPr>
        <w:t xml:space="preserve"> </w:t>
      </w:r>
      <w:r>
        <w:rPr>
          <w:lang w:eastAsia="pl-PL"/>
        </w:rPr>
        <w:t xml:space="preserve">Uwalnianie danych publicznych wpływa na poprawę wymiany wiedzy i informacji pomiędzy jednostkami administracji oraz w kontaktach z obywatelami. Dane mogą być wykorzystywane przez inne podmioty publiczne do tworzenia innowacyjnych usług dla obywateli. Wpłynie to pozytywnie na ocenę administracji jako bardziej przyjaznej i efektywnej, ukierunkowanej na potrzeby obywatela.  </w:t>
      </w:r>
      <w:r w:rsidRPr="00401D39">
        <w:rPr>
          <w:rFonts w:cs="Calibri"/>
        </w:rPr>
        <w:t>Otwieranie danych publicznych do ponownego wykorzystywania służy pełnemu wykorzystaniu ich potencjału w ogólnym interesie publicznym, z korzyścią dla gospodarki i społeczeństwa.</w:t>
      </w:r>
    </w:p>
    <w:p w14:paraId="33D34AAF" w14:textId="77777777" w:rsidR="00BA057D" w:rsidRPr="00504502" w:rsidRDefault="00BA057D" w:rsidP="00BA057D">
      <w:pPr>
        <w:pStyle w:val="Tekstpodstawowy"/>
        <w:spacing w:line="276" w:lineRule="auto"/>
        <w:jc w:val="both"/>
        <w:rPr>
          <w:lang w:eastAsia="pl-PL"/>
        </w:rPr>
      </w:pPr>
      <w:r w:rsidRPr="00504502">
        <w:rPr>
          <w:lang w:eastAsia="pl-PL"/>
        </w:rPr>
        <w:t>Działania realizowane w ramach Programu Otwierania Danych Publicznych oraz dwóch projektów Otwarte dane – dostęp, standard, edukacja i Otwarte dane plus, przyczyniają się do stopniowego wzrostu</w:t>
      </w:r>
      <w:r>
        <w:rPr>
          <w:lang w:eastAsia="pl-PL"/>
        </w:rPr>
        <w:t xml:space="preserve"> </w:t>
      </w:r>
      <w:r w:rsidRPr="00504502">
        <w:rPr>
          <w:lang w:eastAsia="pl-PL"/>
        </w:rPr>
        <w:t>efektywności realizacji polityki otwartych danych, jak również użyteczności portalu dane.gov.pl. Są to wskaźniki mierzone i porównywane przez Komisję Europejską i Organizację Współpracy Gospodarczej i Rozwoju. W 2019 r. w rankingu „Open Data Maturity in Europe Report 2019”</w:t>
      </w:r>
      <w:r>
        <w:rPr>
          <w:lang w:eastAsia="pl-PL"/>
        </w:rPr>
        <w:t xml:space="preserve"> </w:t>
      </w:r>
      <w:r w:rsidRPr="00504502">
        <w:rPr>
          <w:lang w:eastAsia="pl-PL"/>
        </w:rPr>
        <w:t xml:space="preserve">(KE) Polska uplasowała się na 7 miejscu. Polska w rok awansowała o 6 miejsc, a od 2017 aż o 16. Należymy do tzw. grupy „fast – trackers” – szybko awansujących. Pomimo awansu w rankingach, działania Polski w obszarze otwartości danych wymagają ciągłych działań, usystematyzowania i upowszechnianie standardów otwartości danych publicznych. </w:t>
      </w:r>
    </w:p>
    <w:p w14:paraId="4BE4FC88" w14:textId="77777777" w:rsidR="00BA057D" w:rsidRDefault="00BA057D" w:rsidP="00BA057D">
      <w:pPr>
        <w:tabs>
          <w:tab w:val="left" w:pos="0"/>
        </w:tabs>
        <w:spacing w:before="120" w:after="0"/>
        <w:jc w:val="both"/>
        <w:rPr>
          <w:lang w:eastAsia="pl-PL"/>
        </w:rPr>
      </w:pPr>
      <w:r w:rsidRPr="005C680B">
        <w:rPr>
          <w:b/>
          <w:lang w:eastAsia="pl-PL"/>
        </w:rPr>
        <w:t>Dostępność cyfrowa.</w:t>
      </w:r>
      <w:r>
        <w:rPr>
          <w:lang w:eastAsia="pl-PL"/>
        </w:rPr>
        <w:t xml:space="preserve"> Istotnym elementem szerokiego udostępniania informacji prezentowanych w formie elektronicznej jest spowodowanie, by wszyscy obywatele, również ci z niepełnosprawnościami, mogli mieć do nich faktyczny dostęp. Dlatego tak istotnym jest powszechne wdrażanie zaleceń dostępności zawartych w wytycznych WCAG 2.1, do których odwołuje się ustawa z dnia 4 kwietnia 2019 o dostępności cyfrowej stron internetowych i aplikacji mobilnych podmiotów publicznych (Dz.U. 2019 poz. 848). Przepisy tej ustawy odnoszą się faktycznie do wszystkich informacji prezentowanych w formie elektronicznej, usług elektronicznych oraz aplikacji mobilnych, które powinny być w odpowiednim stopniu przygotowane do odbioru przez obywateli z niepełnosprawnościami. Szacuje się, że w Polsce wśród około 4,7 mln osób niepełnosprawnych istnieje grupa ok. 2–3 mln osób, które mogą mieć trudności, a w niektórych przypadkach znaleźć się w sytuacji całkowitej bezradności, wobec coraz powszechniejszego wymogu wymiany informacji i dostępu do usług drogą elektroniczną. </w:t>
      </w:r>
    </w:p>
    <w:p w14:paraId="2AB8C8E5" w14:textId="77777777" w:rsidR="00BA057D" w:rsidRDefault="00BA057D" w:rsidP="00BA057D">
      <w:pPr>
        <w:tabs>
          <w:tab w:val="left" w:pos="0"/>
        </w:tabs>
        <w:spacing w:before="120" w:after="0"/>
        <w:jc w:val="both"/>
        <w:rPr>
          <w:lang w:eastAsia="pl-PL"/>
        </w:rPr>
      </w:pPr>
      <w:r>
        <w:rPr>
          <w:lang w:eastAsia="pl-PL"/>
        </w:rPr>
        <w:t xml:space="preserve">Obecnie niewiele ponad połowa stron www podmiotów publicznych może być uznana za dostępne cyfrowo w rozumieniu przepisów w/w ustawy (a i to jedynie w przypadku dużych podmiotów publicznych takich jak ministerstwa i urzędy centralne), natomiast ogromna większość dokumentów urzędowych mających formę elektroniczną nie spełnia tych przepisów. Dostępność cyfrowa aplikacji mobilnych tworzonych na swoje potrzeby przez podmioty publiczne nie jest w ogóle jeszcze znana, jednak z dużą pewnością można założyć, że jest bardzo niska. </w:t>
      </w:r>
    </w:p>
    <w:p w14:paraId="0DFFCAB7" w14:textId="77777777" w:rsidR="00BA057D" w:rsidRDefault="00BA057D" w:rsidP="00BA057D">
      <w:pPr>
        <w:tabs>
          <w:tab w:val="left" w:pos="0"/>
        </w:tabs>
        <w:spacing w:before="120" w:after="0"/>
        <w:jc w:val="both"/>
        <w:rPr>
          <w:lang w:eastAsia="pl-PL"/>
        </w:rPr>
      </w:pPr>
      <w:r>
        <w:rPr>
          <w:lang w:eastAsia="pl-PL"/>
        </w:rPr>
        <w:t>Ważnym jest, by do 2030 każdy obywatel z niepełnosprawnością był w stanie skorzystać na równi ze wszystkimi innymi z całości informacji i usług publicznych mających formę elektroniczną.</w:t>
      </w:r>
    </w:p>
    <w:p w14:paraId="291099EF" w14:textId="77777777" w:rsidR="00BA057D" w:rsidRDefault="00BA057D" w:rsidP="00BA057D">
      <w:pPr>
        <w:spacing w:before="120" w:after="0" w:line="276" w:lineRule="auto"/>
        <w:jc w:val="both"/>
        <w:rPr>
          <w:lang w:eastAsia="pl-PL"/>
        </w:rPr>
      </w:pPr>
      <w:r>
        <w:rPr>
          <w:b/>
          <w:lang w:eastAsia="pl-PL"/>
        </w:rPr>
        <w:t>Kompetencje cyfrowe.</w:t>
      </w:r>
      <w:r>
        <w:rPr>
          <w:lang w:eastAsia="pl-PL"/>
        </w:rPr>
        <w:t xml:space="preserve"> Wykorzystanie zaawansowanych technologii przez obywateli i administrację publiczną jest uwarunkowane m.in. wysoką świadomością i cyfrowymi kompetencjami obywateli i urzędników. Strukturalne przeobrażenia, jakim dzięki rozwojowi technologii podlega światowa gospodarka i niemal każdy aspekt życia obywateli, w ograniczonym stopniu przenoszą się na sprawność administracji i relacje obywatela z państwem. Polskie społeczeństwo charakteryzuje się skłonnością do absorpcji nowoczesnych technologii </w:t>
      </w:r>
      <w:r w:rsidRPr="005042EB">
        <w:rPr>
          <w:lang w:eastAsia="pl-PL"/>
        </w:rPr>
        <w:t>niższą niż średnio w UE</w:t>
      </w:r>
      <w:r>
        <w:rPr>
          <w:lang w:eastAsia="pl-PL"/>
        </w:rPr>
        <w:t xml:space="preserve">. Także poziom cyfryzacji polskich przedsiębiorstw </w:t>
      </w:r>
      <w:r w:rsidRPr="005042EB">
        <w:rPr>
          <w:lang w:eastAsia="pl-PL"/>
        </w:rPr>
        <w:t>należy do najniższych w Europie</w:t>
      </w:r>
      <w:r>
        <w:rPr>
          <w:lang w:eastAsia="pl-PL"/>
        </w:rPr>
        <w:t xml:space="preserve">. Procesy te mógłby przyspieszyć rozwój kompetencji cyfrowych społeczeństwa. Tymczasem w 2018 r. 46% </w:t>
      </w:r>
      <w:r w:rsidRPr="004B1527">
        <w:rPr>
          <w:lang w:eastAsia="pl-PL"/>
        </w:rPr>
        <w:t>osób</w:t>
      </w:r>
      <w:r>
        <w:rPr>
          <w:lang w:eastAsia="pl-PL"/>
        </w:rPr>
        <w:t xml:space="preserve"> w Polsce</w:t>
      </w:r>
      <w:r w:rsidRPr="004B1527">
        <w:rPr>
          <w:lang w:eastAsia="pl-PL"/>
        </w:rPr>
        <w:t xml:space="preserve"> posiada</w:t>
      </w:r>
      <w:r>
        <w:rPr>
          <w:lang w:eastAsia="pl-PL"/>
        </w:rPr>
        <w:t>ło</w:t>
      </w:r>
      <w:r w:rsidRPr="004B1527">
        <w:rPr>
          <w:lang w:eastAsia="pl-PL"/>
        </w:rPr>
        <w:t xml:space="preserve"> podstawowe lub ponadpodstawowe umiejętności cyfrowe</w:t>
      </w:r>
      <w:r>
        <w:rPr>
          <w:lang w:eastAsia="pl-PL"/>
        </w:rPr>
        <w:t xml:space="preserve"> (</w:t>
      </w:r>
      <w:r w:rsidRPr="004B1527">
        <w:rPr>
          <w:lang w:eastAsia="pl-PL"/>
        </w:rPr>
        <w:t>wg danych Eurostatu</w:t>
      </w:r>
      <w:r>
        <w:rPr>
          <w:lang w:eastAsia="pl-PL"/>
        </w:rPr>
        <w:t xml:space="preserve">) </w:t>
      </w:r>
      <w:r w:rsidRPr="004562AD">
        <w:rPr>
          <w:lang w:eastAsia="pl-PL"/>
        </w:rPr>
        <w:t xml:space="preserve">i wskaźnik ten nie wzrósł od 2017 r. </w:t>
      </w:r>
      <w:r w:rsidRPr="006230B7">
        <w:rPr>
          <w:lang w:eastAsia="pl-PL"/>
        </w:rPr>
        <w:t>W tym zakresie plasujemy się na 24. pozycji w UE, a od średniej unijnej dzieli nas ponad 10 punktów procentowych, co znów wskazuje, że sytuacja wymaga interwencji</w:t>
      </w:r>
      <w:r>
        <w:rPr>
          <w:lang w:eastAsia="pl-PL"/>
        </w:rPr>
        <w:t xml:space="preserve">. </w:t>
      </w:r>
    </w:p>
    <w:p w14:paraId="7CEE3C4A" w14:textId="01887123" w:rsidR="00BA057D" w:rsidRDefault="00BA057D" w:rsidP="00BA057D">
      <w:pPr>
        <w:spacing w:after="0" w:line="276" w:lineRule="auto"/>
        <w:jc w:val="center"/>
        <w:rPr>
          <w:lang w:eastAsia="pl-PL"/>
        </w:rPr>
      </w:pPr>
      <w:r w:rsidRPr="00F41B37">
        <w:rPr>
          <w:b/>
          <w:sz w:val="20"/>
          <w:lang w:eastAsia="pl-PL"/>
        </w:rPr>
        <w:t xml:space="preserve">Wykres </w:t>
      </w:r>
      <w:r>
        <w:rPr>
          <w:b/>
          <w:sz w:val="20"/>
          <w:lang w:eastAsia="pl-PL"/>
        </w:rPr>
        <w:t>1</w:t>
      </w:r>
      <w:r w:rsidRPr="00F41B37">
        <w:rPr>
          <w:b/>
          <w:sz w:val="20"/>
          <w:lang w:eastAsia="pl-PL"/>
        </w:rPr>
        <w:t xml:space="preserve">. Odsetek osób posiadających co najmniej podstawowe umiejętności cyfrowe w krajach UE w 2017 r. </w:t>
      </w:r>
      <w:r w:rsidRPr="00F41B37">
        <w:rPr>
          <w:i/>
          <w:sz w:val="20"/>
          <w:lang w:eastAsia="pl-PL"/>
        </w:rPr>
        <w:t>(źródło: Eurost</w:t>
      </w:r>
      <w:r>
        <w:rPr>
          <w:i/>
          <w:sz w:val="20"/>
          <w:lang w:eastAsia="pl-PL"/>
        </w:rPr>
        <w:t xml:space="preserve">at) </w:t>
      </w:r>
      <w:r w:rsidRPr="00204BBF">
        <w:rPr>
          <w:noProof/>
          <w:lang w:eastAsia="pl-PL"/>
        </w:rPr>
        <w:drawing>
          <wp:inline distT="0" distB="0" distL="0" distR="0" wp14:anchorId="19D16F0A" wp14:editId="5498B5EF">
            <wp:extent cx="5984875" cy="2207260"/>
            <wp:effectExtent l="0" t="0" r="15875" b="2540"/>
            <wp:docPr id="8" name="Wykres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A8BD43F" w14:textId="77777777" w:rsidR="00BA057D" w:rsidRDefault="00BA057D" w:rsidP="00BA057D">
      <w:pPr>
        <w:spacing w:after="0" w:line="276" w:lineRule="auto"/>
        <w:rPr>
          <w:lang w:eastAsia="pl-PL"/>
        </w:rPr>
      </w:pPr>
    </w:p>
    <w:p w14:paraId="415A6E59" w14:textId="77777777" w:rsidR="00BA057D" w:rsidRDefault="00BA057D" w:rsidP="00BA057D">
      <w:pPr>
        <w:spacing w:after="0" w:line="276" w:lineRule="auto"/>
        <w:jc w:val="both"/>
        <w:rPr>
          <w:lang w:eastAsia="pl-PL"/>
        </w:rPr>
      </w:pPr>
      <w:r>
        <w:rPr>
          <w:lang w:eastAsia="pl-PL"/>
        </w:rPr>
        <w:t xml:space="preserve">Brak kompetencji cyfrowych jest drugą w kolejności przyczyną niekorzystania z Internetu dla 58% niekorzystających z sieci. Wykluczenie cyfrowe w dużej mierze wynika z braku potrzeby wejścia w przestrzeń cyfrową. Deklaruje go 71% osób niekorzystających z Internetu. W związku z tym oraz w świetle ciągłego rozwoju technologii cyfrowych, konieczne jest podjęcie działań na rzecz zwiększania świadomości cyfrowej oraz podnoszenia kompetencji cyfrowych.   </w:t>
      </w:r>
    </w:p>
    <w:p w14:paraId="454810AB" w14:textId="77777777" w:rsidR="00BA057D" w:rsidRDefault="00BA057D" w:rsidP="00BA057D">
      <w:pPr>
        <w:spacing w:after="0" w:line="276" w:lineRule="auto"/>
        <w:jc w:val="both"/>
        <w:rPr>
          <w:lang w:eastAsia="pl-PL"/>
        </w:rPr>
      </w:pPr>
      <w:r>
        <w:rPr>
          <w:lang w:eastAsia="pl-PL"/>
        </w:rPr>
        <w:t>Pierwsze działania na rzecz budowy cyfrowego potencjału kompetencyjnego społeczeństwa zostały już podjęte – od 2018 roku wdrażana jest Ogólnopolska Sieć Edukacyjna, która umożliwia uczniom i nauczycielom szkół podstawowych i ponadpodstawowych korzystanie z nowoczesnych technologii w edukacji w swojej bieżącej pracy. Szereg działań zostało także zrealizowanych ze środków 3 osi priorytetowej PO PC.</w:t>
      </w:r>
    </w:p>
    <w:p w14:paraId="78B43CC5" w14:textId="77777777" w:rsidR="00BA057D" w:rsidRDefault="00BA057D" w:rsidP="00BA057D">
      <w:pPr>
        <w:spacing w:after="0" w:line="276" w:lineRule="auto"/>
        <w:jc w:val="both"/>
        <w:rPr>
          <w:lang w:eastAsia="pl-PL"/>
        </w:rPr>
      </w:pPr>
      <w:r>
        <w:rPr>
          <w:lang w:eastAsia="pl-PL"/>
        </w:rPr>
        <w:t xml:space="preserve">Aby sprostać wyzwaniom, jakie przed administracją publiczną stawia rynek, musi ona zapewnić sobie wykwalifikowane kadry, których umiejętności cyfrowe dorównają partnerom biznesowym i społecznym. Kompetencje cyfrowe pracowników administracji publicznej przewyższają umiejętności przeciętnych obywateli, jednak - </w:t>
      </w:r>
      <w:r w:rsidRPr="00703922">
        <w:rPr>
          <w:lang w:eastAsia="pl-PL"/>
        </w:rPr>
        <w:t xml:space="preserve">mimo podejmowanych inicjatyw (np. szkolenia kadr poszczególnych instytucji) </w:t>
      </w:r>
      <w:r>
        <w:rPr>
          <w:lang w:eastAsia="pl-PL"/>
        </w:rPr>
        <w:t>- odnotowuje się brak w zakresie kompetencji na poziomie specjalistów ICT.</w:t>
      </w:r>
    </w:p>
    <w:p w14:paraId="358C4ACD" w14:textId="77777777" w:rsidR="00BA057D" w:rsidRPr="00892C3F" w:rsidRDefault="00BA057D" w:rsidP="00BA057D">
      <w:pPr>
        <w:jc w:val="both"/>
        <w:rPr>
          <w:noProof/>
        </w:rPr>
      </w:pPr>
      <w:r>
        <w:t xml:space="preserve">Sytuacja związana z pandemią COVID-19 uwypukliła </w:t>
      </w:r>
      <w:r>
        <w:rPr>
          <w:noProof/>
        </w:rPr>
        <w:t xml:space="preserve">konieczność rozwoju kompetencji cyfrowych. </w:t>
      </w:r>
      <w:r>
        <w:t xml:space="preserve">Są one nie tylko istotne z punktu widzenia przyszłej innowacyjności naszego kraju, ale mają również bardzo duże znaczenie w perspektywie codziennego funkcjonowania naszego społeczeństwa i państwa m.in. w takich obszarach jak gospodarka, edukacja, administracja publiczna i służba zdrowia. </w:t>
      </w:r>
      <w:r>
        <w:rPr>
          <w:rFonts w:eastAsia="Arial"/>
        </w:rPr>
        <w:t>P</w:t>
      </w:r>
      <w:r w:rsidRPr="00530B4A">
        <w:rPr>
          <w:rFonts w:eastAsia="Arial"/>
        </w:rPr>
        <w:t xml:space="preserve">andemia </w:t>
      </w:r>
      <w:r>
        <w:rPr>
          <w:rFonts w:eastAsia="Arial"/>
        </w:rPr>
        <w:t xml:space="preserve">pokazała, </w:t>
      </w:r>
      <w:r w:rsidRPr="00530B4A">
        <w:rPr>
          <w:rFonts w:eastAsia="Arial"/>
        </w:rPr>
        <w:t>i</w:t>
      </w:r>
      <w:r>
        <w:rPr>
          <w:rFonts w:eastAsia="Arial"/>
        </w:rPr>
        <w:t xml:space="preserve">ż </w:t>
      </w:r>
      <w:r>
        <w:t>odpowiedni zasób kompetencji cyfrowych u obywateli w sytuacjach nadzwyczajnych, w których niezbędne staje się wdrożenie zdalnego funkcjonowania za pośrednictwem narzędzi cyfrowych umożliwia państwu płynne i pozbawione większych zakłóceń przejście do funkcjonowania w takim właśnie trybie. Tym samym zapewnienie powszechnego rozwoju kompetencji cyfrowych obywateli staje się również elementem budowy odporności Państwa w kontekście różnego rodzaju sytuacji o charakterze kryzysowym (np. pandemii).</w:t>
      </w:r>
    </w:p>
    <w:p w14:paraId="621E706A" w14:textId="77777777" w:rsidR="00BA057D" w:rsidRDefault="00BA057D" w:rsidP="00BA057D">
      <w:pPr>
        <w:spacing w:after="0" w:line="276" w:lineRule="auto"/>
        <w:jc w:val="both"/>
        <w:rPr>
          <w:lang w:eastAsia="pl-PL"/>
        </w:rPr>
      </w:pPr>
    </w:p>
    <w:p w14:paraId="44CB7976" w14:textId="77777777" w:rsidR="00BA057D" w:rsidRPr="00F21196" w:rsidRDefault="00BA057D" w:rsidP="00BA057D">
      <w:pPr>
        <w:pBdr>
          <w:bottom w:val="single" w:sz="24" w:space="1" w:color="FFD966"/>
        </w:pBdr>
        <w:shd w:val="clear" w:color="auto" w:fill="FFF2CC"/>
        <w:spacing w:after="0"/>
        <w:rPr>
          <w:rFonts w:eastAsia="Times New Roman" w:cs="Calibri"/>
          <w:b/>
          <w:lang w:eastAsia="pl-PL"/>
        </w:rPr>
      </w:pPr>
      <w:r w:rsidRPr="00F21196">
        <w:rPr>
          <w:rFonts w:eastAsia="Times New Roman" w:cs="Calibri"/>
          <w:b/>
          <w:lang w:eastAsia="pl-PL"/>
        </w:rPr>
        <w:t>III.2. Trendy rozwojowe i oczekiwane efekty</w:t>
      </w:r>
    </w:p>
    <w:p w14:paraId="4CFF6D5F" w14:textId="77777777" w:rsidR="00BA057D" w:rsidRDefault="00BA057D" w:rsidP="00BA057D">
      <w:pPr>
        <w:autoSpaceDE w:val="0"/>
        <w:autoSpaceDN w:val="0"/>
        <w:adjustRightInd w:val="0"/>
        <w:spacing w:after="120" w:line="276" w:lineRule="auto"/>
        <w:jc w:val="both"/>
        <w:rPr>
          <w:rFonts w:cs="Arial"/>
        </w:rPr>
      </w:pPr>
      <w:r>
        <w:rPr>
          <w:rFonts w:eastAsia="Times New Roman" w:cs="Calibri"/>
          <w:lang w:eastAsia="pl-PL"/>
        </w:rPr>
        <w:t>D</w:t>
      </w:r>
      <w:r w:rsidRPr="00F21196">
        <w:rPr>
          <w:rFonts w:eastAsia="Times New Roman" w:cs="Calibri"/>
          <w:lang w:eastAsia="pl-PL"/>
        </w:rPr>
        <w:t>ziałani</w:t>
      </w:r>
      <w:r>
        <w:rPr>
          <w:rFonts w:eastAsia="Times New Roman" w:cs="Calibri"/>
          <w:lang w:eastAsia="pl-PL"/>
        </w:rPr>
        <w:t>a</w:t>
      </w:r>
      <w:r w:rsidRPr="00F21196">
        <w:rPr>
          <w:rFonts w:eastAsia="Times New Roman" w:cs="Calibri"/>
          <w:lang w:eastAsia="pl-PL"/>
        </w:rPr>
        <w:t xml:space="preserve"> </w:t>
      </w:r>
      <w:r>
        <w:rPr>
          <w:rFonts w:eastAsia="Times New Roman" w:cs="Calibri"/>
          <w:lang w:eastAsia="pl-PL"/>
        </w:rPr>
        <w:t xml:space="preserve">planowane przez rząd w obszarze cyfryzacji </w:t>
      </w:r>
      <w:r w:rsidRPr="00F21196">
        <w:rPr>
          <w:rFonts w:eastAsia="Times New Roman" w:cs="Calibri"/>
          <w:lang w:eastAsia="pl-PL"/>
        </w:rPr>
        <w:t xml:space="preserve">w perspektywie do 2030 roku </w:t>
      </w:r>
      <w:r>
        <w:rPr>
          <w:rFonts w:eastAsia="Times New Roman" w:cs="Calibri"/>
          <w:lang w:eastAsia="pl-PL"/>
        </w:rPr>
        <w:t>przyczynią się do znacznego awansu cyfrowego.</w:t>
      </w:r>
      <w:r w:rsidRPr="00F21196">
        <w:rPr>
          <w:rFonts w:eastAsia="Times New Roman" w:cs="Calibri"/>
          <w:lang w:eastAsia="pl-PL"/>
        </w:rPr>
        <w:t xml:space="preserve"> Szerokie wykorzystanie nowoczesnych technologii </w:t>
      </w:r>
      <w:r w:rsidRPr="00F21196">
        <w:rPr>
          <w:rFonts w:cs="Arial"/>
        </w:rPr>
        <w:t xml:space="preserve">informacyjno-komunikacyjnych zwiększy </w:t>
      </w:r>
      <w:r w:rsidRPr="00F21196">
        <w:rPr>
          <w:rFonts w:cs="Arial"/>
          <w:bCs/>
        </w:rPr>
        <w:t xml:space="preserve">efektywność, innowacyjność i konkurencyjność gospodarki, a także </w:t>
      </w:r>
      <w:r w:rsidRPr="00F21196">
        <w:rPr>
          <w:rFonts w:cs="Arial"/>
          <w:noProof/>
        </w:rPr>
        <w:t xml:space="preserve">wydajność świadczenia usług publicznych przy jednoczesnym zmniejszeniu kosztów (e-praca, e-zdrowie, e-komunikacja, e-urząd, </w:t>
      </w:r>
      <w:r w:rsidRPr="00F21196">
        <w:rPr>
          <w:rStyle w:val="Pogrubienie"/>
          <w:rFonts w:cs="Arial"/>
          <w:b w:val="0"/>
        </w:rPr>
        <w:t>systemy informacji i planowania podróży różnymi środkami transportu itp.</w:t>
      </w:r>
      <w:r w:rsidRPr="00F21196">
        <w:rPr>
          <w:rFonts w:cs="Arial"/>
          <w:noProof/>
        </w:rPr>
        <w:t xml:space="preserve">), </w:t>
      </w:r>
      <w:r w:rsidRPr="00F21196">
        <w:rPr>
          <w:rFonts w:cs="Arial"/>
          <w:bCs/>
        </w:rPr>
        <w:t>przyspieszy realizację procedur administracyjnych</w:t>
      </w:r>
      <w:r w:rsidRPr="00F21196">
        <w:rPr>
          <w:rFonts w:cs="Arial"/>
        </w:rPr>
        <w:t xml:space="preserve">, skróci czas na działania formalno-prawne. Technologie te poprawią przejrzystość procesu rządzenia, zaangażowanie obywateli oraz zmaksymalizują wykorzystanie publicznych zasobów wiedzy, a także zmniejszą lub nawet wykluczą potrzebę tworzenia czy składania różnych dokumentów. </w:t>
      </w:r>
      <w:r>
        <w:rPr>
          <w:rFonts w:cs="Arial"/>
        </w:rPr>
        <w:t xml:space="preserve">Ponadto zbudowana zostanie infrastruktura umożliwiająca kompleksową i zautomatyzowaną realizację usług w modelu end-to-end. Załatwiane sprawy zostaną zintegrowane w obrębie usług, procesów i zdarzeń życiowych. Umożliwi to automatyczną bądź szybszą realizację usług,  a także pozwoli na sprawdzenie statusu załatwianej sprawy przez użytkownika. </w:t>
      </w:r>
    </w:p>
    <w:p w14:paraId="7E13B69E" w14:textId="77777777" w:rsidR="00BA057D" w:rsidRPr="00F21196" w:rsidRDefault="00BA057D" w:rsidP="00BA057D">
      <w:pPr>
        <w:autoSpaceDE w:val="0"/>
        <w:autoSpaceDN w:val="0"/>
        <w:adjustRightInd w:val="0"/>
        <w:spacing w:after="120" w:line="276" w:lineRule="auto"/>
        <w:jc w:val="both"/>
        <w:rPr>
          <w:rFonts w:cs="DINPro"/>
        </w:rPr>
      </w:pPr>
      <w:r w:rsidRPr="00F21196">
        <w:rPr>
          <w:rFonts w:cs="Arial"/>
          <w:noProof/>
        </w:rPr>
        <w:t xml:space="preserve">Wdrażanie nowoczesnych technologii w różnych obszarach funkcjonowania państwa umożliwi otwarcie na szeroką skalę </w:t>
      </w:r>
      <w:r>
        <w:rPr>
          <w:rFonts w:cs="Arial"/>
          <w:noProof/>
        </w:rPr>
        <w:t xml:space="preserve">kolejnych </w:t>
      </w:r>
      <w:r w:rsidRPr="00F21196">
        <w:rPr>
          <w:rFonts w:cs="Arial"/>
          <w:noProof/>
        </w:rPr>
        <w:t xml:space="preserve">informacji </w:t>
      </w:r>
      <w:r>
        <w:rPr>
          <w:rFonts w:cs="Arial"/>
          <w:noProof/>
        </w:rPr>
        <w:t>z</w:t>
      </w:r>
      <w:r w:rsidRPr="00F21196">
        <w:rPr>
          <w:rFonts w:cs="Arial"/>
          <w:noProof/>
        </w:rPr>
        <w:t xml:space="preserve"> zasobów sektora publicznego, ograniczy i usprawni wiele czynności administracji względem obywateli, umożliwi wymianę </w:t>
      </w:r>
      <w:r w:rsidRPr="00F21196">
        <w:rPr>
          <w:rFonts w:cs="Arial"/>
        </w:rPr>
        <w:t>danych między urzędami</w:t>
      </w:r>
      <w:r w:rsidRPr="00F21196">
        <w:rPr>
          <w:rFonts w:cs="Arial"/>
          <w:noProof/>
        </w:rPr>
        <w:t>, budowę platform wymiany informacji i debaty publicznej, zwiększenie przejrzystości uczestnictwa zainteresowanych stron w procesie tworzenia polityki,</w:t>
      </w:r>
      <w:r w:rsidRPr="00F21196">
        <w:rPr>
          <w:rFonts w:cs="Arial"/>
        </w:rPr>
        <w:t xml:space="preserve"> reorganizację procesów wewnętrznych administracji, </w:t>
      </w:r>
      <w:r w:rsidRPr="00F21196">
        <w:rPr>
          <w:rFonts w:cs="Arial"/>
          <w:bCs/>
        </w:rPr>
        <w:t xml:space="preserve">wymianę dokumentów </w:t>
      </w:r>
      <w:r w:rsidRPr="00F21196">
        <w:rPr>
          <w:rFonts w:cs="Arial"/>
        </w:rPr>
        <w:t xml:space="preserve">z agendami Unii Europejskiej i państwami członkowskimi oraz poszerzenie zakresu informacji dostępnej dla </w:t>
      </w:r>
      <w:r w:rsidRPr="00F21196">
        <w:rPr>
          <w:rFonts w:cs="Arial"/>
          <w:bCs/>
        </w:rPr>
        <w:t>organów ścigania czy</w:t>
      </w:r>
      <w:r w:rsidRPr="00F21196">
        <w:rPr>
          <w:rFonts w:cs="Arial"/>
        </w:rPr>
        <w:t xml:space="preserve"> </w:t>
      </w:r>
      <w:r w:rsidRPr="00F21196">
        <w:rPr>
          <w:rFonts w:cs="Arial"/>
          <w:bCs/>
        </w:rPr>
        <w:t>danych o działalności gospodarczej. Planuje się</w:t>
      </w:r>
      <w:r w:rsidRPr="00F21196">
        <w:rPr>
          <w:rFonts w:cs="DINPro"/>
        </w:rPr>
        <w:t xml:space="preserve"> zapewnienie organizacyjnej, prawnej, semantycznej oraz technicznej interoperacyjności istniejących oraz</w:t>
      </w:r>
      <w:r w:rsidRPr="00F21196">
        <w:rPr>
          <w:rFonts w:cs="DINPro"/>
          <w:color w:val="000000"/>
        </w:rPr>
        <w:t xml:space="preserve"> nowych systemów teleinformatycznych administracji publicznej, przy równoczesnym eliminowaniu powielających się funkcjonalności. Umożliwi to udostępnienie obywatelom i przedsiębiorcom usług o charakterze kluczowym, w sposób efektywny kosztowo i jakościowo. </w:t>
      </w:r>
      <w:r w:rsidRPr="00F21196">
        <w:rPr>
          <w:rFonts w:cs="DINPro"/>
        </w:rPr>
        <w:t xml:space="preserve">Docelowym, najważniejszym efektem będzie sprawnie działająca administracja, rozumiana jako sieć instytucji powiązanych systemem informacyjnym państwa, realizująca ideę otwartej administracji publicznej, wspierająca obywatela i świadcząca wysokiej jakości usługi, z wykorzystaniem nowoczesnych technologii informacyjnych. Koncentracja działań związanych z cyfryzacją państwa nastąpi w obszarach najbardziej istotnych z punktu widzenia obywatela i gospodarki – </w:t>
      </w:r>
      <w:r w:rsidRPr="009E0D4F">
        <w:t>wdrożenia</w:t>
      </w:r>
      <w:r>
        <w:t xml:space="preserve"> </w:t>
      </w:r>
      <w:r w:rsidRPr="00F21196">
        <w:rPr>
          <w:rFonts w:cs="DINPro"/>
        </w:rPr>
        <w:t xml:space="preserve">projektów dostarczających e-usługi w kluczowych sektorach działalności państwa oraz usprawniających dostęp obywatela i przedsiębiorcy do danych. </w:t>
      </w:r>
      <w:r w:rsidRPr="002E4167">
        <w:rPr>
          <w:rFonts w:cs="DINPro"/>
        </w:rPr>
        <w:t xml:space="preserve">Po to jednak, by możliwe było mówienie o otwartej administracji publicznej, musi być ona otwarta </w:t>
      </w:r>
      <w:r>
        <w:rPr>
          <w:rFonts w:cs="DINPro"/>
        </w:rPr>
        <w:t>dla</w:t>
      </w:r>
      <w:r w:rsidRPr="002E4167">
        <w:rPr>
          <w:rFonts w:cs="DINPro"/>
        </w:rPr>
        <w:t xml:space="preserve"> wszystkich obywateli i gwarantować pełną dostępność cyfrową wszelkich informacji prezentowanych w formie elektronicznej</w:t>
      </w:r>
      <w:r>
        <w:rPr>
          <w:rFonts w:cs="DINPro"/>
        </w:rPr>
        <w:t>,</w:t>
      </w:r>
      <w:r w:rsidRPr="002E4167">
        <w:rPr>
          <w:rFonts w:cs="DINPro"/>
        </w:rPr>
        <w:t xml:space="preserve"> również obywatelom z niepełnosprawnościami.</w:t>
      </w:r>
    </w:p>
    <w:p w14:paraId="5551B4D2" w14:textId="77777777" w:rsidR="00BA057D" w:rsidRPr="00401D39" w:rsidRDefault="00BA057D" w:rsidP="00BA057D">
      <w:pPr>
        <w:autoSpaceDE w:val="0"/>
        <w:autoSpaceDN w:val="0"/>
        <w:adjustRightInd w:val="0"/>
        <w:spacing w:after="0" w:line="276" w:lineRule="auto"/>
        <w:jc w:val="both"/>
        <w:rPr>
          <w:rFonts w:cs="Calibri"/>
          <w:bCs/>
          <w:iCs/>
        </w:rPr>
      </w:pPr>
      <w:r w:rsidRPr="00401D39">
        <w:rPr>
          <w:rFonts w:cs="Calibri"/>
          <w:bCs/>
          <w:iCs/>
        </w:rPr>
        <w:t>Podejmowane w ramach procesu cyfryzacji działania mają na celu stworzenie spójnego systemu informacyjnego państwa zapewniającego efektywną komunikację drogą elektroniczną. Celem operacyjnym podejmowanych działań jest wzmocnienie cyfrowego rozwoju kraju poprzez zintegrowane działania we wszystkich dziedzinach gospodarki w aspekcie cyfrowym. Cyfryzacja powinna stanowić jeden z filarów rozwoju państwa, pozwalający osiągnąć daleko idące korzyści oraz przewagę konkurencyjną.</w:t>
      </w:r>
    </w:p>
    <w:p w14:paraId="3A92CC02" w14:textId="77777777" w:rsidR="00BA057D" w:rsidRPr="00401D39" w:rsidRDefault="00BA057D" w:rsidP="00BA057D">
      <w:pPr>
        <w:spacing w:after="0"/>
        <w:rPr>
          <w:rFonts w:eastAsia="Times New Roman" w:cs="Calibri"/>
          <w:b/>
          <w:color w:val="2F5496"/>
          <w:lang w:eastAsia="pl-PL"/>
        </w:rPr>
      </w:pPr>
    </w:p>
    <w:p w14:paraId="2CA93BE6" w14:textId="77777777" w:rsidR="00BA057D" w:rsidRPr="00401D39" w:rsidRDefault="00BA057D" w:rsidP="00BA057D">
      <w:pPr>
        <w:spacing w:after="0"/>
        <w:jc w:val="both"/>
        <w:rPr>
          <w:rFonts w:cs="Calibri"/>
          <w:bCs/>
          <w:iCs/>
        </w:rPr>
      </w:pPr>
      <w:r w:rsidRPr="00F21196">
        <w:rPr>
          <w:rFonts w:eastAsia="Times New Roman" w:cs="Calibri"/>
          <w:lang w:eastAsia="pl-PL"/>
        </w:rPr>
        <w:t xml:space="preserve">Dzięki wzmożonym działaniom w zakresie </w:t>
      </w:r>
      <w:r>
        <w:rPr>
          <w:rFonts w:eastAsia="Times New Roman" w:cs="Calibri"/>
          <w:lang w:eastAsia="pl-PL"/>
        </w:rPr>
        <w:t xml:space="preserve">cyfryzacji </w:t>
      </w:r>
      <w:r w:rsidRPr="00F21196">
        <w:rPr>
          <w:rFonts w:eastAsia="Times New Roman" w:cs="Calibri"/>
          <w:lang w:eastAsia="pl-PL"/>
        </w:rPr>
        <w:t>nastąpi</w:t>
      </w:r>
      <w:r w:rsidRPr="00F21196">
        <w:rPr>
          <w:rFonts w:eastAsia="Times New Roman" w:cs="Calibri"/>
          <w:b/>
          <w:lang w:eastAsia="pl-PL"/>
        </w:rPr>
        <w:t xml:space="preserve"> </w:t>
      </w:r>
      <w:r w:rsidRPr="00F21196">
        <w:rPr>
          <w:rFonts w:eastAsia="Times New Roman" w:cs="Calibri"/>
          <w:lang w:eastAsia="pl-PL"/>
        </w:rPr>
        <w:t>w</w:t>
      </w:r>
      <w:r w:rsidRPr="00401D39">
        <w:rPr>
          <w:rFonts w:cs="Calibri"/>
          <w:bCs/>
          <w:iCs/>
        </w:rPr>
        <w:t>sparcie i stymulowanie rozwoju gospodarczego poprzez:</w:t>
      </w:r>
    </w:p>
    <w:p w14:paraId="736BB1DB" w14:textId="77777777" w:rsidR="00BA057D" w:rsidRPr="00401D39" w:rsidRDefault="00BA057D" w:rsidP="00723B3F">
      <w:pPr>
        <w:numPr>
          <w:ilvl w:val="0"/>
          <w:numId w:val="32"/>
        </w:numPr>
        <w:autoSpaceDE w:val="0"/>
        <w:autoSpaceDN w:val="0"/>
        <w:adjustRightInd w:val="0"/>
        <w:spacing w:after="0" w:line="276" w:lineRule="auto"/>
        <w:ind w:left="426"/>
        <w:jc w:val="both"/>
        <w:rPr>
          <w:rFonts w:cs="Calibri"/>
          <w:bCs/>
          <w:iCs/>
        </w:rPr>
      </w:pPr>
      <w:r w:rsidRPr="00401D39">
        <w:rPr>
          <w:rFonts w:cs="Calibri"/>
          <w:bCs/>
          <w:iCs/>
        </w:rPr>
        <w:t>uproszczenie procedur i sprawozdawczości dla przedsiębiorców poprzez wykorzystanie rozwiązań cyfrowych;</w:t>
      </w:r>
    </w:p>
    <w:p w14:paraId="05930D75" w14:textId="77777777" w:rsidR="00BA057D" w:rsidRPr="00401D39" w:rsidRDefault="00BA057D" w:rsidP="00723B3F">
      <w:pPr>
        <w:numPr>
          <w:ilvl w:val="0"/>
          <w:numId w:val="32"/>
        </w:numPr>
        <w:autoSpaceDE w:val="0"/>
        <w:autoSpaceDN w:val="0"/>
        <w:adjustRightInd w:val="0"/>
        <w:spacing w:after="0" w:line="276" w:lineRule="auto"/>
        <w:ind w:left="426"/>
        <w:jc w:val="both"/>
        <w:rPr>
          <w:rFonts w:cs="Calibri"/>
          <w:bCs/>
          <w:iCs/>
        </w:rPr>
      </w:pPr>
      <w:r w:rsidRPr="00401D39">
        <w:rPr>
          <w:rFonts w:cs="Calibri"/>
          <w:bCs/>
          <w:iCs/>
        </w:rPr>
        <w:t>udostępnienie zasobów informacyjnych administracji obywatelom i przedsiębiorcom – dane i procesy dla biznesu, M2M, regulacje i znoszenie barier, udostępnianie interfejsów komunikacyjnych;</w:t>
      </w:r>
    </w:p>
    <w:p w14:paraId="7577EE62" w14:textId="77777777" w:rsidR="00BA057D" w:rsidRPr="00401D39" w:rsidRDefault="00BA057D" w:rsidP="00723B3F">
      <w:pPr>
        <w:numPr>
          <w:ilvl w:val="0"/>
          <w:numId w:val="32"/>
        </w:numPr>
        <w:autoSpaceDE w:val="0"/>
        <w:autoSpaceDN w:val="0"/>
        <w:adjustRightInd w:val="0"/>
        <w:spacing w:after="0" w:line="276" w:lineRule="auto"/>
        <w:ind w:left="426"/>
        <w:jc w:val="both"/>
        <w:rPr>
          <w:rFonts w:cs="Calibri"/>
          <w:bCs/>
          <w:iCs/>
        </w:rPr>
      </w:pPr>
      <w:r w:rsidRPr="00401D39">
        <w:rPr>
          <w:rFonts w:cs="Calibri"/>
          <w:bCs/>
          <w:iCs/>
        </w:rPr>
        <w:t>upowszechnienie i zwiększenie dostępu do Internetu - 5G, szerokopasmowy Internet, współpraca rządu z jednostkami samorządu terytorialnego w tym obszarze;</w:t>
      </w:r>
    </w:p>
    <w:p w14:paraId="15011E3D" w14:textId="77777777" w:rsidR="00BA057D" w:rsidRPr="00401D39" w:rsidRDefault="00BA057D" w:rsidP="00723B3F">
      <w:pPr>
        <w:numPr>
          <w:ilvl w:val="0"/>
          <w:numId w:val="32"/>
        </w:numPr>
        <w:autoSpaceDE w:val="0"/>
        <w:autoSpaceDN w:val="0"/>
        <w:adjustRightInd w:val="0"/>
        <w:spacing w:after="0" w:line="276" w:lineRule="auto"/>
        <w:ind w:left="426"/>
        <w:jc w:val="both"/>
        <w:rPr>
          <w:rFonts w:cs="Calibri"/>
          <w:bCs/>
          <w:iCs/>
        </w:rPr>
      </w:pPr>
      <w:r w:rsidRPr="00401D39">
        <w:rPr>
          <w:rFonts w:cs="Calibri"/>
          <w:bCs/>
          <w:iCs/>
        </w:rPr>
        <w:t xml:space="preserve">wsparcie przedsiębiorców poprzez cyfryzację kanałów komunikacyjnych z administracją publiczną - platformy i systemy centralne, standardy, regulacje; </w:t>
      </w:r>
    </w:p>
    <w:p w14:paraId="66F1CEB8" w14:textId="77777777" w:rsidR="00BA057D" w:rsidRPr="00401D39" w:rsidRDefault="00BA057D" w:rsidP="00723B3F">
      <w:pPr>
        <w:numPr>
          <w:ilvl w:val="0"/>
          <w:numId w:val="32"/>
        </w:numPr>
        <w:autoSpaceDE w:val="0"/>
        <w:autoSpaceDN w:val="0"/>
        <w:adjustRightInd w:val="0"/>
        <w:spacing w:after="0" w:line="276" w:lineRule="auto"/>
        <w:ind w:left="426"/>
        <w:jc w:val="both"/>
        <w:rPr>
          <w:rFonts w:cs="Calibri"/>
          <w:bCs/>
          <w:iCs/>
        </w:rPr>
      </w:pPr>
      <w:r w:rsidRPr="00401D39">
        <w:rPr>
          <w:rFonts w:cs="Calibri"/>
          <w:bCs/>
          <w:iCs/>
        </w:rPr>
        <w:t>we współpracy z właściwymi ministrami – tworzenie cyfrowych rozwiązań i znoszenie cyfrowych barier ekspansji międzynarodowej.</w:t>
      </w:r>
    </w:p>
    <w:p w14:paraId="65944A66" w14:textId="77777777" w:rsidR="00BA057D" w:rsidRPr="00401D39" w:rsidRDefault="00BA057D" w:rsidP="00BA057D">
      <w:pPr>
        <w:autoSpaceDE w:val="0"/>
        <w:autoSpaceDN w:val="0"/>
        <w:adjustRightInd w:val="0"/>
        <w:spacing w:before="120" w:after="0" w:line="276" w:lineRule="auto"/>
        <w:rPr>
          <w:rFonts w:cs="Calibri"/>
          <w:bCs/>
          <w:iCs/>
        </w:rPr>
      </w:pPr>
      <w:r w:rsidRPr="00401D39">
        <w:rPr>
          <w:rFonts w:cs="Calibri"/>
          <w:bCs/>
          <w:iCs/>
        </w:rPr>
        <w:t>Ponadto wzrośnie wykorzystanie zasobów informacyjnych państwa poprzez:</w:t>
      </w:r>
    </w:p>
    <w:p w14:paraId="04F717EE" w14:textId="77777777" w:rsidR="00BA057D" w:rsidRPr="00401D39" w:rsidRDefault="00BA057D" w:rsidP="00723B3F">
      <w:pPr>
        <w:numPr>
          <w:ilvl w:val="0"/>
          <w:numId w:val="33"/>
        </w:numPr>
        <w:autoSpaceDE w:val="0"/>
        <w:autoSpaceDN w:val="0"/>
        <w:adjustRightInd w:val="0"/>
        <w:spacing w:after="0" w:line="276" w:lineRule="auto"/>
        <w:ind w:left="426"/>
        <w:rPr>
          <w:rFonts w:cs="Calibri"/>
          <w:bCs/>
          <w:iCs/>
        </w:rPr>
      </w:pPr>
      <w:r w:rsidRPr="00401D39">
        <w:rPr>
          <w:rFonts w:cs="Calibri"/>
          <w:bCs/>
          <w:iCs/>
        </w:rPr>
        <w:t>zwiększanie wykorzystania danych w sektorze publicznym i prywatnym:</w:t>
      </w:r>
    </w:p>
    <w:p w14:paraId="165DB604" w14:textId="77777777" w:rsidR="00BA057D" w:rsidRPr="00401D39" w:rsidRDefault="00BA057D" w:rsidP="00723B3F">
      <w:pPr>
        <w:numPr>
          <w:ilvl w:val="1"/>
          <w:numId w:val="47"/>
        </w:numPr>
        <w:autoSpaceDE w:val="0"/>
        <w:autoSpaceDN w:val="0"/>
        <w:adjustRightInd w:val="0"/>
        <w:spacing w:after="0" w:line="276" w:lineRule="auto"/>
        <w:ind w:left="993"/>
        <w:rPr>
          <w:rFonts w:cs="Calibri"/>
          <w:bCs/>
          <w:iCs/>
        </w:rPr>
      </w:pPr>
      <w:r w:rsidRPr="00401D39">
        <w:rPr>
          <w:rFonts w:cs="Calibri"/>
          <w:bCs/>
          <w:iCs/>
        </w:rPr>
        <w:t>zapewnienie bezpieczeństwa udostępniania danych, w tym ochrony danych osobowych;</w:t>
      </w:r>
    </w:p>
    <w:p w14:paraId="241C85E8" w14:textId="77777777" w:rsidR="00BA057D" w:rsidRPr="00401D39" w:rsidRDefault="00BA057D" w:rsidP="00723B3F">
      <w:pPr>
        <w:numPr>
          <w:ilvl w:val="1"/>
          <w:numId w:val="47"/>
        </w:numPr>
        <w:autoSpaceDE w:val="0"/>
        <w:autoSpaceDN w:val="0"/>
        <w:adjustRightInd w:val="0"/>
        <w:spacing w:after="0" w:line="276" w:lineRule="auto"/>
        <w:ind w:left="993"/>
        <w:rPr>
          <w:rFonts w:cs="Calibri"/>
          <w:bCs/>
          <w:iCs/>
        </w:rPr>
      </w:pPr>
      <w:r w:rsidRPr="00401D39">
        <w:rPr>
          <w:rFonts w:cs="Calibri"/>
          <w:bCs/>
          <w:iCs/>
        </w:rPr>
        <w:t>zapewnienie dostępności cyfrowej dla osób z niepełnosprawnościami w przypadku wszelkich informacji, usług i narzędzi cyfrowych tworzonych przez sektor publiczny;</w:t>
      </w:r>
    </w:p>
    <w:p w14:paraId="7549CF93" w14:textId="77777777" w:rsidR="00BA057D" w:rsidRPr="00401D39" w:rsidRDefault="00BA057D" w:rsidP="00723B3F">
      <w:pPr>
        <w:numPr>
          <w:ilvl w:val="1"/>
          <w:numId w:val="47"/>
        </w:numPr>
        <w:autoSpaceDE w:val="0"/>
        <w:autoSpaceDN w:val="0"/>
        <w:adjustRightInd w:val="0"/>
        <w:spacing w:after="0" w:line="276" w:lineRule="auto"/>
        <w:ind w:left="993"/>
        <w:rPr>
          <w:rFonts w:cs="Calibri"/>
          <w:bCs/>
          <w:iCs/>
        </w:rPr>
      </w:pPr>
      <w:r w:rsidRPr="00401D39">
        <w:rPr>
          <w:rFonts w:cs="Calibri"/>
          <w:bCs/>
          <w:iCs/>
        </w:rPr>
        <w:t>gromadzenie, ochrona i udostępnianie dóbr kultury i nauki;</w:t>
      </w:r>
    </w:p>
    <w:p w14:paraId="2BAD2062" w14:textId="77777777" w:rsidR="00BA057D" w:rsidRPr="00401D39" w:rsidRDefault="00BA057D" w:rsidP="00723B3F">
      <w:pPr>
        <w:numPr>
          <w:ilvl w:val="1"/>
          <w:numId w:val="47"/>
        </w:numPr>
        <w:autoSpaceDE w:val="0"/>
        <w:autoSpaceDN w:val="0"/>
        <w:adjustRightInd w:val="0"/>
        <w:spacing w:after="0" w:line="276" w:lineRule="auto"/>
        <w:ind w:left="993"/>
        <w:rPr>
          <w:rFonts w:cs="Calibri"/>
          <w:bCs/>
          <w:iCs/>
        </w:rPr>
      </w:pPr>
      <w:r w:rsidRPr="00401D39">
        <w:rPr>
          <w:rFonts w:cs="Calibri"/>
          <w:bCs/>
          <w:iCs/>
        </w:rPr>
        <w:t>wzajemne wykorzystanie danych między sektorem prywatnym i publicznym;</w:t>
      </w:r>
    </w:p>
    <w:p w14:paraId="2BC00B52" w14:textId="77777777" w:rsidR="00BA057D" w:rsidRPr="00401D39" w:rsidRDefault="00BA057D" w:rsidP="00723B3F">
      <w:pPr>
        <w:numPr>
          <w:ilvl w:val="1"/>
          <w:numId w:val="47"/>
        </w:numPr>
        <w:autoSpaceDE w:val="0"/>
        <w:autoSpaceDN w:val="0"/>
        <w:adjustRightInd w:val="0"/>
        <w:spacing w:after="0" w:line="276" w:lineRule="auto"/>
        <w:ind w:left="993"/>
        <w:rPr>
          <w:rFonts w:cs="Calibri"/>
          <w:bCs/>
          <w:iCs/>
        </w:rPr>
      </w:pPr>
      <w:r w:rsidRPr="00401D39">
        <w:rPr>
          <w:rFonts w:cs="Calibri"/>
          <w:bCs/>
          <w:iCs/>
        </w:rPr>
        <w:t>otwieranie danych publicznych;</w:t>
      </w:r>
    </w:p>
    <w:p w14:paraId="017F19B7" w14:textId="77777777" w:rsidR="00BA057D" w:rsidRPr="00401D39" w:rsidRDefault="00BA057D" w:rsidP="00723B3F">
      <w:pPr>
        <w:numPr>
          <w:ilvl w:val="0"/>
          <w:numId w:val="33"/>
        </w:numPr>
        <w:autoSpaceDE w:val="0"/>
        <w:autoSpaceDN w:val="0"/>
        <w:adjustRightInd w:val="0"/>
        <w:spacing w:after="0" w:line="276" w:lineRule="auto"/>
        <w:ind w:left="426"/>
        <w:rPr>
          <w:rFonts w:cs="Calibri"/>
          <w:bCs/>
          <w:iCs/>
        </w:rPr>
      </w:pPr>
      <w:r w:rsidRPr="00401D39">
        <w:rPr>
          <w:rFonts w:cs="Calibri"/>
          <w:bCs/>
          <w:iCs/>
        </w:rPr>
        <w:t>rozwój technik i zdolności wykorzystywania danych w administracji publicznej i gospodarce;</w:t>
      </w:r>
    </w:p>
    <w:p w14:paraId="040A3B8E" w14:textId="77777777" w:rsidR="00BA057D" w:rsidRPr="00401D39" w:rsidRDefault="00BA057D" w:rsidP="00723B3F">
      <w:pPr>
        <w:numPr>
          <w:ilvl w:val="0"/>
          <w:numId w:val="18"/>
        </w:numPr>
        <w:autoSpaceDE w:val="0"/>
        <w:autoSpaceDN w:val="0"/>
        <w:adjustRightInd w:val="0"/>
        <w:spacing w:after="0" w:line="276" w:lineRule="auto"/>
        <w:ind w:left="426" w:hanging="357"/>
        <w:rPr>
          <w:rFonts w:cs="Calibri"/>
          <w:bCs/>
          <w:iCs/>
        </w:rPr>
      </w:pPr>
      <w:r w:rsidRPr="00401D39">
        <w:rPr>
          <w:rFonts w:cs="Calibri"/>
          <w:bCs/>
          <w:iCs/>
        </w:rPr>
        <w:t>udostępnianie informacji i danych państwowych w sposób automatyczny – poprzez interfejsy komunikacyjne i standaryzację zakresu udostępniania danych</w:t>
      </w:r>
    </w:p>
    <w:p w14:paraId="179B614D" w14:textId="77777777" w:rsidR="00BA057D" w:rsidRPr="00401D39" w:rsidRDefault="00BA057D" w:rsidP="00723B3F">
      <w:pPr>
        <w:numPr>
          <w:ilvl w:val="0"/>
          <w:numId w:val="18"/>
        </w:numPr>
        <w:autoSpaceDE w:val="0"/>
        <w:autoSpaceDN w:val="0"/>
        <w:adjustRightInd w:val="0"/>
        <w:spacing w:after="0" w:line="276" w:lineRule="auto"/>
        <w:ind w:left="426" w:hanging="357"/>
        <w:rPr>
          <w:rFonts w:cs="Calibri"/>
          <w:bCs/>
          <w:iCs/>
        </w:rPr>
      </w:pPr>
      <w:r w:rsidRPr="00401D39">
        <w:rPr>
          <w:rFonts w:cs="Calibri"/>
          <w:bCs/>
          <w:iCs/>
        </w:rPr>
        <w:t>udostępnianie usług o charakterze transakcyjnym tj. wykorzystujących zasoby informacyjne rejestrów a tym samym eliminujące udział urzędnika i przyspieszające obsługę obywatela np. pobranie odpisu aktu stanu cywilnego, pobranie informacji o adresie zameldowania, zgłoszenie utraty lub uszkodzenia dowodu osobistego, zawieszenia lub cofnięcia zawieszenia dowodu osobistego</w:t>
      </w:r>
    </w:p>
    <w:p w14:paraId="3EF0741D" w14:textId="77777777" w:rsidR="00BA057D" w:rsidRPr="00401D39" w:rsidRDefault="00BA057D" w:rsidP="00BA057D">
      <w:pPr>
        <w:autoSpaceDE w:val="0"/>
        <w:autoSpaceDN w:val="0"/>
        <w:adjustRightInd w:val="0"/>
        <w:spacing w:before="120" w:after="0" w:line="276" w:lineRule="auto"/>
        <w:rPr>
          <w:rFonts w:cs="Calibri"/>
          <w:bCs/>
          <w:iCs/>
        </w:rPr>
      </w:pPr>
      <w:r w:rsidRPr="00401D39">
        <w:rPr>
          <w:rFonts w:cs="Calibri"/>
          <w:bCs/>
          <w:iCs/>
        </w:rPr>
        <w:t>Do 2030 r. znacznie podniesiona zostanie świadomość cyfrowa i rozwój kompetencji cyfrowych w wyniku wdrożenia Programu Rozwoju Kompetencji Cyfrowych obejmującego:</w:t>
      </w:r>
    </w:p>
    <w:p w14:paraId="29A34C64" w14:textId="77777777" w:rsidR="00BA057D" w:rsidRPr="00401D39" w:rsidRDefault="00BA057D" w:rsidP="00723B3F">
      <w:pPr>
        <w:numPr>
          <w:ilvl w:val="0"/>
          <w:numId w:val="25"/>
        </w:numPr>
        <w:autoSpaceDE w:val="0"/>
        <w:autoSpaceDN w:val="0"/>
        <w:adjustRightInd w:val="0"/>
        <w:spacing w:after="0" w:line="276" w:lineRule="auto"/>
        <w:ind w:left="426"/>
        <w:rPr>
          <w:rFonts w:cs="Calibri"/>
          <w:bCs/>
          <w:iCs/>
        </w:rPr>
      </w:pPr>
      <w:r w:rsidRPr="00401D39">
        <w:rPr>
          <w:rFonts w:cs="Calibri"/>
          <w:bCs/>
          <w:iCs/>
        </w:rPr>
        <w:t>kształtowanie kompetencji cyfrowych obywateli w celu umożliwienia im bezpiecznego i efektywnego czerpania korzyści z rozwoju technologii i narzędzi komunikacji,</w:t>
      </w:r>
    </w:p>
    <w:p w14:paraId="78B66BCC" w14:textId="77777777" w:rsidR="00BA057D" w:rsidRPr="00401D39" w:rsidRDefault="00BA057D" w:rsidP="00723B3F">
      <w:pPr>
        <w:numPr>
          <w:ilvl w:val="0"/>
          <w:numId w:val="25"/>
        </w:numPr>
        <w:autoSpaceDE w:val="0"/>
        <w:autoSpaceDN w:val="0"/>
        <w:adjustRightInd w:val="0"/>
        <w:spacing w:after="0" w:line="276" w:lineRule="auto"/>
        <w:ind w:left="426"/>
        <w:rPr>
          <w:rFonts w:cs="Calibri"/>
          <w:bCs/>
          <w:iCs/>
        </w:rPr>
      </w:pPr>
      <w:r w:rsidRPr="00401D39">
        <w:rPr>
          <w:rFonts w:cs="Calibri"/>
          <w:bCs/>
          <w:iCs/>
        </w:rPr>
        <w:t>rozwój kadr dla nowoczesnej gospodarki i administracji publicznej (popularyzacja i wzmacnianie kompetencji kluczowych do pracy w zawodach w branży ICT już na etapie szkolnictwa podstawowego i wyższego; dopasowanie szkolnictwa zawodowego do potrzeb rynku pracy itp.),</w:t>
      </w:r>
    </w:p>
    <w:p w14:paraId="0952584A" w14:textId="77777777" w:rsidR="00BA057D" w:rsidRPr="00401D39" w:rsidRDefault="00BA057D" w:rsidP="00723B3F">
      <w:pPr>
        <w:numPr>
          <w:ilvl w:val="0"/>
          <w:numId w:val="25"/>
        </w:numPr>
        <w:autoSpaceDE w:val="0"/>
        <w:autoSpaceDN w:val="0"/>
        <w:adjustRightInd w:val="0"/>
        <w:spacing w:after="0" w:line="276" w:lineRule="auto"/>
        <w:ind w:left="426"/>
        <w:rPr>
          <w:rFonts w:cs="Calibri"/>
          <w:bCs/>
          <w:iCs/>
        </w:rPr>
      </w:pPr>
      <w:r w:rsidRPr="00401D39">
        <w:rPr>
          <w:rFonts w:cs="Calibri"/>
          <w:bCs/>
          <w:iCs/>
        </w:rPr>
        <w:t>podnoszenie świadomości konieczności rozwoju kompetencji cyfrowych wśród obywateli, przedsiębiorców (szczególnie sektora MŚP) oraz wśród pracowników sektora publicznego,</w:t>
      </w:r>
    </w:p>
    <w:p w14:paraId="3711C701" w14:textId="77777777" w:rsidR="00BA057D" w:rsidRPr="00401D39" w:rsidRDefault="00BA057D" w:rsidP="00723B3F">
      <w:pPr>
        <w:numPr>
          <w:ilvl w:val="0"/>
          <w:numId w:val="25"/>
        </w:numPr>
        <w:autoSpaceDE w:val="0"/>
        <w:autoSpaceDN w:val="0"/>
        <w:adjustRightInd w:val="0"/>
        <w:spacing w:after="0" w:line="276" w:lineRule="auto"/>
        <w:ind w:left="426"/>
        <w:rPr>
          <w:rFonts w:cs="Calibri"/>
          <w:bCs/>
          <w:iCs/>
        </w:rPr>
      </w:pPr>
      <w:r w:rsidRPr="00401D39">
        <w:rPr>
          <w:rFonts w:cs="Calibri"/>
          <w:bCs/>
          <w:iCs/>
        </w:rPr>
        <w:t>rozwój edukacji cyfrowej,</w:t>
      </w:r>
    </w:p>
    <w:p w14:paraId="400C4D13" w14:textId="77777777" w:rsidR="00BA057D" w:rsidRPr="00401D39" w:rsidRDefault="00BA057D" w:rsidP="00723B3F">
      <w:pPr>
        <w:numPr>
          <w:ilvl w:val="0"/>
          <w:numId w:val="25"/>
        </w:numPr>
        <w:autoSpaceDE w:val="0"/>
        <w:autoSpaceDN w:val="0"/>
        <w:adjustRightInd w:val="0"/>
        <w:spacing w:after="0" w:line="276" w:lineRule="auto"/>
        <w:ind w:left="426"/>
        <w:rPr>
          <w:rFonts w:cs="Calibri"/>
          <w:bCs/>
          <w:iCs/>
        </w:rPr>
      </w:pPr>
      <w:r w:rsidRPr="00401D39">
        <w:rPr>
          <w:rFonts w:cs="Calibri"/>
          <w:bCs/>
          <w:iCs/>
        </w:rPr>
        <w:t>sprawne zarządzanie rozwojem kompetencji cyfrowych w Polsce.</w:t>
      </w:r>
    </w:p>
    <w:p w14:paraId="32F5B855" w14:textId="77777777" w:rsidR="00BA057D" w:rsidRPr="00401D39" w:rsidRDefault="00BA057D" w:rsidP="00BA057D">
      <w:pPr>
        <w:autoSpaceDE w:val="0"/>
        <w:autoSpaceDN w:val="0"/>
        <w:adjustRightInd w:val="0"/>
        <w:spacing w:after="0" w:line="276" w:lineRule="auto"/>
        <w:jc w:val="both"/>
        <w:rPr>
          <w:rFonts w:cs="Calibri"/>
          <w:bCs/>
          <w:iCs/>
        </w:rPr>
      </w:pPr>
      <w:r w:rsidRPr="00401D39">
        <w:rPr>
          <w:rFonts w:cs="Calibri"/>
          <w:bCs/>
          <w:iCs/>
        </w:rPr>
        <w:t>Do 2030 roku wszystkie strony internetowe, aplikacje mobilne i inne dokumenty administracji publicznej powinny być dostępne cyfrowo dla osób z niepełnosprawnościami. Istotnym jest zapewnienie dostępności cyfrowej zarówno obywatelom, jak również wewnątrz jednostek publicznych, tak aby osoby z niepełnosprawnościami mogły być w pełni równorzędnymi pracownikami w strukturach tych podmiotów, bez względu na rodzaj niepełnosprawności.</w:t>
      </w:r>
    </w:p>
    <w:p w14:paraId="17AD53F9" w14:textId="77777777" w:rsidR="00BA057D" w:rsidRPr="00401D39" w:rsidRDefault="00BA057D" w:rsidP="00BA057D">
      <w:pPr>
        <w:autoSpaceDE w:val="0"/>
        <w:autoSpaceDN w:val="0"/>
        <w:adjustRightInd w:val="0"/>
        <w:spacing w:after="0" w:line="276" w:lineRule="auto"/>
        <w:ind w:left="66"/>
        <w:rPr>
          <w:rFonts w:cs="Calibri"/>
          <w:bCs/>
          <w:iCs/>
        </w:rPr>
      </w:pPr>
    </w:p>
    <w:p w14:paraId="6F7B28AF" w14:textId="77777777" w:rsidR="00BA057D" w:rsidRPr="00F21196" w:rsidRDefault="00BA057D" w:rsidP="00BA057D">
      <w:pPr>
        <w:pBdr>
          <w:bottom w:val="single" w:sz="24" w:space="1" w:color="FFD966"/>
        </w:pBdr>
        <w:shd w:val="clear" w:color="auto" w:fill="FFF2CC"/>
        <w:spacing w:after="0"/>
        <w:ind w:left="142"/>
        <w:rPr>
          <w:rFonts w:eastAsia="Times New Roman" w:cs="Calibri"/>
          <w:b/>
          <w:lang w:eastAsia="pl-PL"/>
        </w:rPr>
      </w:pPr>
      <w:r w:rsidRPr="00F21196">
        <w:rPr>
          <w:rFonts w:eastAsia="Times New Roman" w:cs="Calibri"/>
          <w:b/>
          <w:lang w:eastAsia="pl-PL"/>
        </w:rPr>
        <w:t>III.3. Wskaźniki monitorowania</w:t>
      </w:r>
    </w:p>
    <w:p w14:paraId="62D4A860" w14:textId="77777777" w:rsidR="00BA057D" w:rsidRPr="00401D39" w:rsidRDefault="00BA057D" w:rsidP="00BA057D">
      <w:pPr>
        <w:spacing w:after="0"/>
        <w:ind w:left="142"/>
        <w:rPr>
          <w:rFonts w:eastAsia="Times New Roman" w:cs="Calibri"/>
          <w:b/>
          <w:color w:val="2F5496"/>
          <w:lang w:eastAsia="pl-PL"/>
        </w:rPr>
      </w:pPr>
    </w:p>
    <w:tbl>
      <w:tblPr>
        <w:tblW w:w="9771" w:type="dxa"/>
        <w:tblInd w:w="142" w:type="dxa"/>
        <w:tblBorders>
          <w:top w:val="single" w:sz="8" w:space="0" w:color="FFD966"/>
          <w:left w:val="single" w:sz="8" w:space="0" w:color="FFD966"/>
          <w:bottom w:val="single" w:sz="8" w:space="0" w:color="FFD966"/>
          <w:right w:val="single" w:sz="8" w:space="0" w:color="FFD966"/>
          <w:insideH w:val="single" w:sz="8" w:space="0" w:color="FFD966"/>
          <w:insideV w:val="single" w:sz="8" w:space="0" w:color="FFD966"/>
        </w:tblBorders>
        <w:tblLook w:val="04A0" w:firstRow="1" w:lastRow="0" w:firstColumn="1" w:lastColumn="0" w:noHBand="0" w:noVBand="1"/>
      </w:tblPr>
      <w:tblGrid>
        <w:gridCol w:w="986"/>
        <w:gridCol w:w="8785"/>
      </w:tblGrid>
      <w:tr w:rsidR="00BA057D" w:rsidRPr="00401D39" w14:paraId="67606125" w14:textId="77777777" w:rsidTr="000C7268">
        <w:tc>
          <w:tcPr>
            <w:tcW w:w="986" w:type="dxa"/>
            <w:shd w:val="clear" w:color="auto" w:fill="FFE599"/>
          </w:tcPr>
          <w:p w14:paraId="134C4CCF" w14:textId="77777777" w:rsidR="00BA057D" w:rsidRPr="00401D39" w:rsidRDefault="00BA057D" w:rsidP="000C7268">
            <w:pPr>
              <w:spacing w:after="0" w:line="240" w:lineRule="auto"/>
              <w:jc w:val="center"/>
              <w:rPr>
                <w:rFonts w:eastAsia="Times New Roman" w:cs="Calibri"/>
                <w:b/>
                <w:lang w:eastAsia="pl-PL"/>
              </w:rPr>
            </w:pPr>
            <w:r w:rsidRPr="00401D39">
              <w:rPr>
                <w:rFonts w:eastAsia="Times New Roman" w:cs="Calibri"/>
                <w:b/>
                <w:lang w:eastAsia="pl-PL"/>
              </w:rPr>
              <w:t>Lp.</w:t>
            </w:r>
          </w:p>
          <w:p w14:paraId="712B642F" w14:textId="77777777" w:rsidR="00BA057D" w:rsidRPr="00401D39" w:rsidRDefault="00BA057D" w:rsidP="000C7268">
            <w:pPr>
              <w:spacing w:after="0" w:line="240" w:lineRule="auto"/>
              <w:jc w:val="center"/>
              <w:rPr>
                <w:rFonts w:eastAsia="Times New Roman" w:cs="Calibri"/>
                <w:b/>
                <w:lang w:eastAsia="pl-PL"/>
              </w:rPr>
            </w:pPr>
          </w:p>
        </w:tc>
        <w:tc>
          <w:tcPr>
            <w:tcW w:w="8785" w:type="dxa"/>
            <w:shd w:val="clear" w:color="auto" w:fill="FFE599"/>
          </w:tcPr>
          <w:p w14:paraId="28AF47C0" w14:textId="77777777" w:rsidR="00BA057D" w:rsidRPr="00401D39" w:rsidRDefault="00BA057D" w:rsidP="000C7268">
            <w:pPr>
              <w:spacing w:after="0" w:line="240" w:lineRule="auto"/>
              <w:ind w:firstLine="34"/>
              <w:jc w:val="center"/>
              <w:rPr>
                <w:rFonts w:eastAsia="Times New Roman" w:cs="Calibri"/>
                <w:b/>
                <w:lang w:eastAsia="pl-PL"/>
              </w:rPr>
            </w:pPr>
            <w:r w:rsidRPr="00401D39">
              <w:rPr>
                <w:rFonts w:eastAsia="Times New Roman" w:cs="Calibri"/>
                <w:b/>
                <w:lang w:eastAsia="pl-PL"/>
              </w:rPr>
              <w:t>Wskaźnik monitorowania</w:t>
            </w:r>
          </w:p>
        </w:tc>
      </w:tr>
      <w:tr w:rsidR="00BA057D" w:rsidRPr="00401D39" w14:paraId="7D3ACF13" w14:textId="77777777" w:rsidTr="000C7268">
        <w:tc>
          <w:tcPr>
            <w:tcW w:w="986" w:type="dxa"/>
            <w:shd w:val="clear" w:color="auto" w:fill="FFE599"/>
          </w:tcPr>
          <w:p w14:paraId="777BC4D2" w14:textId="77777777" w:rsidR="00BA057D" w:rsidRPr="00401D39" w:rsidRDefault="00BA057D" w:rsidP="000C7268">
            <w:pPr>
              <w:spacing w:after="0" w:line="240" w:lineRule="auto"/>
              <w:jc w:val="center"/>
              <w:rPr>
                <w:rFonts w:eastAsia="Times New Roman" w:cs="Calibri"/>
                <w:b/>
                <w:lang w:eastAsia="pl-PL"/>
              </w:rPr>
            </w:pPr>
            <w:r w:rsidRPr="00401D39">
              <w:rPr>
                <w:rFonts w:eastAsia="Times New Roman" w:cs="Calibri"/>
                <w:b/>
                <w:lang w:eastAsia="pl-PL"/>
              </w:rPr>
              <w:t>1</w:t>
            </w:r>
          </w:p>
        </w:tc>
        <w:tc>
          <w:tcPr>
            <w:tcW w:w="8785" w:type="dxa"/>
            <w:shd w:val="clear" w:color="auto" w:fill="F2F2F2"/>
            <w:vAlign w:val="center"/>
          </w:tcPr>
          <w:p w14:paraId="623A9A35" w14:textId="77777777" w:rsidR="00BA057D" w:rsidRPr="00401D39" w:rsidRDefault="00BA057D" w:rsidP="000C7268">
            <w:pPr>
              <w:spacing w:after="120" w:line="240" w:lineRule="auto"/>
              <w:rPr>
                <w:rFonts w:eastAsia="Times New Roman" w:cs="Calibri"/>
                <w:b/>
                <w:color w:val="2F5496"/>
                <w:lang w:eastAsia="pl-PL"/>
              </w:rPr>
            </w:pPr>
            <w:r w:rsidRPr="00401D39">
              <w:rPr>
                <w:rFonts w:eastAsia="Times New Roman" w:cs="Calibri"/>
                <w:kern w:val="24"/>
                <w:sz w:val="20"/>
                <w:szCs w:val="20"/>
                <w:lang w:eastAsia="pl-PL"/>
              </w:rPr>
              <w:t xml:space="preserve">Odsetek osób korzystających z Internetu w kontaktach z administracją publiczną do przekazywania wypełnionych formularzy </w:t>
            </w:r>
          </w:p>
        </w:tc>
      </w:tr>
      <w:tr w:rsidR="00BA057D" w:rsidRPr="00401D39" w14:paraId="3E669D7A" w14:textId="77777777" w:rsidTr="000C7268">
        <w:tc>
          <w:tcPr>
            <w:tcW w:w="986" w:type="dxa"/>
            <w:shd w:val="clear" w:color="auto" w:fill="FFE599"/>
          </w:tcPr>
          <w:p w14:paraId="5426F45A" w14:textId="77777777" w:rsidR="00BA057D" w:rsidRPr="00401D39" w:rsidRDefault="00BA057D" w:rsidP="000C7268">
            <w:pPr>
              <w:spacing w:after="0" w:line="240" w:lineRule="auto"/>
              <w:jc w:val="center"/>
              <w:rPr>
                <w:rFonts w:eastAsia="Times New Roman" w:cs="Calibri"/>
                <w:b/>
                <w:lang w:eastAsia="pl-PL"/>
              </w:rPr>
            </w:pPr>
            <w:r w:rsidRPr="00401D39">
              <w:rPr>
                <w:rFonts w:eastAsia="Times New Roman" w:cs="Calibri"/>
                <w:b/>
                <w:lang w:eastAsia="pl-PL"/>
              </w:rPr>
              <w:t>2</w:t>
            </w:r>
          </w:p>
        </w:tc>
        <w:tc>
          <w:tcPr>
            <w:tcW w:w="8785" w:type="dxa"/>
            <w:shd w:val="clear" w:color="auto" w:fill="F2F2F2"/>
            <w:vAlign w:val="center"/>
          </w:tcPr>
          <w:p w14:paraId="757902A0" w14:textId="77777777" w:rsidR="00BA057D" w:rsidRPr="00401D39" w:rsidRDefault="00BA057D" w:rsidP="000C7268">
            <w:pPr>
              <w:keepNext/>
              <w:autoSpaceDE w:val="0"/>
              <w:autoSpaceDN w:val="0"/>
              <w:adjustRightInd w:val="0"/>
              <w:spacing w:after="120" w:line="240" w:lineRule="auto"/>
              <w:rPr>
                <w:rFonts w:cs="Calibri"/>
                <w:sz w:val="20"/>
                <w:szCs w:val="20"/>
                <w:lang w:eastAsia="pl-PL"/>
              </w:rPr>
            </w:pPr>
            <w:r w:rsidRPr="00401D39">
              <w:rPr>
                <w:rFonts w:cs="Calibri"/>
                <w:sz w:val="20"/>
                <w:szCs w:val="20"/>
                <w:lang w:eastAsia="pl-PL"/>
              </w:rPr>
              <w:t>Odsetek gospodarstw domowych w zasięgu dostępu do Internetu o przepustowości co najmniej 30 Mb/s</w:t>
            </w:r>
            <w:r w:rsidRPr="00401D39">
              <w:rPr>
                <w:rStyle w:val="Odwoanieprzypisudolnego"/>
                <w:rFonts w:cs="Calibri"/>
                <w:sz w:val="20"/>
                <w:szCs w:val="20"/>
                <w:lang w:eastAsia="pl-PL"/>
              </w:rPr>
              <w:footnoteReference w:id="75"/>
            </w:r>
          </w:p>
        </w:tc>
      </w:tr>
      <w:tr w:rsidR="00BA057D" w:rsidRPr="00401D39" w14:paraId="4AEDA72E" w14:textId="77777777" w:rsidTr="000C7268">
        <w:tc>
          <w:tcPr>
            <w:tcW w:w="986" w:type="dxa"/>
            <w:shd w:val="clear" w:color="auto" w:fill="FFE599"/>
          </w:tcPr>
          <w:p w14:paraId="01B413C9" w14:textId="77777777" w:rsidR="00BA057D" w:rsidRPr="00401D39" w:rsidRDefault="00BA057D" w:rsidP="000C7268">
            <w:pPr>
              <w:spacing w:after="0" w:line="240" w:lineRule="auto"/>
              <w:jc w:val="center"/>
              <w:rPr>
                <w:rFonts w:eastAsia="Times New Roman" w:cs="Calibri"/>
                <w:b/>
                <w:lang w:eastAsia="pl-PL"/>
              </w:rPr>
            </w:pPr>
            <w:r w:rsidRPr="00401D39">
              <w:rPr>
                <w:rFonts w:eastAsia="Times New Roman" w:cs="Calibri"/>
                <w:b/>
                <w:lang w:eastAsia="pl-PL"/>
              </w:rPr>
              <w:t>3</w:t>
            </w:r>
          </w:p>
        </w:tc>
        <w:tc>
          <w:tcPr>
            <w:tcW w:w="8785" w:type="dxa"/>
            <w:shd w:val="clear" w:color="auto" w:fill="F2F2F2"/>
            <w:vAlign w:val="center"/>
          </w:tcPr>
          <w:p w14:paraId="7467BDEA" w14:textId="77777777" w:rsidR="00BA057D" w:rsidRPr="00401D39" w:rsidRDefault="00BA057D" w:rsidP="000C7268">
            <w:pPr>
              <w:keepNext/>
              <w:autoSpaceDE w:val="0"/>
              <w:autoSpaceDN w:val="0"/>
              <w:adjustRightInd w:val="0"/>
              <w:spacing w:after="120" w:line="240" w:lineRule="auto"/>
              <w:jc w:val="both"/>
              <w:rPr>
                <w:rFonts w:cs="Calibri"/>
                <w:sz w:val="20"/>
                <w:szCs w:val="20"/>
                <w:lang w:eastAsia="pl-PL"/>
              </w:rPr>
            </w:pPr>
            <w:r w:rsidRPr="00401D39">
              <w:rPr>
                <w:rFonts w:cs="Calibri"/>
                <w:sz w:val="20"/>
                <w:szCs w:val="20"/>
                <w:lang w:eastAsia="pl-PL"/>
              </w:rPr>
              <w:t>Odsetek gospodarstw domowych korzystających z dostępu do Internetu o przepustowości co najmniej 100 Mb/s</w:t>
            </w:r>
            <w:r w:rsidRPr="00401D39">
              <w:rPr>
                <w:rStyle w:val="Odwoanieprzypisudolnego"/>
                <w:rFonts w:cs="Calibri"/>
                <w:sz w:val="20"/>
                <w:szCs w:val="20"/>
                <w:lang w:eastAsia="pl-PL"/>
              </w:rPr>
              <w:footnoteReference w:id="76"/>
            </w:r>
          </w:p>
        </w:tc>
      </w:tr>
      <w:tr w:rsidR="00BA057D" w:rsidRPr="00401D39" w14:paraId="01877797" w14:textId="77777777" w:rsidTr="000C7268">
        <w:tc>
          <w:tcPr>
            <w:tcW w:w="986" w:type="dxa"/>
            <w:shd w:val="clear" w:color="auto" w:fill="FFE599"/>
          </w:tcPr>
          <w:p w14:paraId="1A337325" w14:textId="77777777" w:rsidR="00BA057D" w:rsidRPr="00401D39" w:rsidRDefault="00BA057D" w:rsidP="000C7268">
            <w:pPr>
              <w:spacing w:after="0" w:line="240" w:lineRule="auto"/>
              <w:jc w:val="center"/>
              <w:rPr>
                <w:rFonts w:eastAsia="Times New Roman" w:cs="Calibri"/>
                <w:b/>
                <w:lang w:eastAsia="pl-PL"/>
              </w:rPr>
            </w:pPr>
            <w:r w:rsidRPr="00401D39">
              <w:rPr>
                <w:rFonts w:eastAsia="Times New Roman" w:cs="Calibri"/>
                <w:b/>
                <w:lang w:eastAsia="pl-PL"/>
              </w:rPr>
              <w:t>4</w:t>
            </w:r>
          </w:p>
        </w:tc>
        <w:tc>
          <w:tcPr>
            <w:tcW w:w="8785" w:type="dxa"/>
            <w:shd w:val="clear" w:color="auto" w:fill="F2F2F2"/>
            <w:vAlign w:val="center"/>
          </w:tcPr>
          <w:p w14:paraId="42D50757" w14:textId="77777777" w:rsidR="00BA057D" w:rsidRPr="00401D39" w:rsidRDefault="00BA057D" w:rsidP="000C7268">
            <w:pPr>
              <w:keepNext/>
              <w:autoSpaceDE w:val="0"/>
              <w:autoSpaceDN w:val="0"/>
              <w:adjustRightInd w:val="0"/>
              <w:spacing w:after="120" w:line="240" w:lineRule="auto"/>
              <w:rPr>
                <w:rFonts w:cs="Calibri"/>
                <w:sz w:val="20"/>
                <w:szCs w:val="20"/>
                <w:lang w:eastAsia="pl-PL"/>
              </w:rPr>
            </w:pPr>
            <w:r w:rsidRPr="00401D39">
              <w:rPr>
                <w:rFonts w:eastAsia="Times New Roman" w:cs="Calibri"/>
                <w:sz w:val="20"/>
                <w:szCs w:val="20"/>
                <w:lang w:eastAsia="pl-PL"/>
              </w:rPr>
              <w:t>Odsetek gospodarstw domowych w zasięgu dostępu do Internetu o przepustowości dosyłowej łącza wynoszącej co najmniej 100 Mb/s, z możliwością jej zwiększenia do przepustowości mierzonej w gigabitach</w:t>
            </w:r>
            <w:r w:rsidRPr="00401D39">
              <w:rPr>
                <w:rFonts w:eastAsia="Times New Roman" w:cs="Calibri"/>
                <w:sz w:val="20"/>
                <w:szCs w:val="20"/>
                <w:vertAlign w:val="superscript"/>
                <w:lang w:eastAsia="pl-PL"/>
              </w:rPr>
              <w:footnoteReference w:id="77"/>
            </w:r>
          </w:p>
        </w:tc>
      </w:tr>
      <w:tr w:rsidR="00BA057D" w:rsidRPr="00401D39" w14:paraId="1E6FB808" w14:textId="77777777" w:rsidTr="000C7268">
        <w:tc>
          <w:tcPr>
            <w:tcW w:w="986" w:type="dxa"/>
            <w:shd w:val="clear" w:color="auto" w:fill="FFE599"/>
          </w:tcPr>
          <w:p w14:paraId="45038D4F" w14:textId="77777777" w:rsidR="00BA057D" w:rsidRPr="00401D39" w:rsidRDefault="00BA057D" w:rsidP="000C7268">
            <w:pPr>
              <w:spacing w:after="0" w:line="240" w:lineRule="auto"/>
              <w:jc w:val="center"/>
              <w:rPr>
                <w:rFonts w:eastAsia="Times New Roman" w:cs="Calibri"/>
                <w:b/>
                <w:lang w:eastAsia="pl-PL"/>
              </w:rPr>
            </w:pPr>
            <w:r w:rsidRPr="00401D39">
              <w:rPr>
                <w:rFonts w:eastAsia="Times New Roman" w:cs="Calibri"/>
                <w:b/>
                <w:lang w:eastAsia="pl-PL"/>
              </w:rPr>
              <w:t>5</w:t>
            </w:r>
          </w:p>
        </w:tc>
        <w:tc>
          <w:tcPr>
            <w:tcW w:w="8785" w:type="dxa"/>
            <w:shd w:val="clear" w:color="auto" w:fill="F2F2F2"/>
            <w:vAlign w:val="center"/>
          </w:tcPr>
          <w:p w14:paraId="3450E50B" w14:textId="77777777" w:rsidR="00BA057D" w:rsidRPr="00401D39" w:rsidRDefault="00BA057D" w:rsidP="000C7268">
            <w:pPr>
              <w:spacing w:after="120" w:line="240" w:lineRule="auto"/>
              <w:rPr>
                <w:rFonts w:eastAsia="Times New Roman" w:cs="Calibri"/>
                <w:b/>
                <w:color w:val="2F5496"/>
                <w:sz w:val="20"/>
                <w:szCs w:val="20"/>
                <w:lang w:eastAsia="pl-PL"/>
              </w:rPr>
            </w:pPr>
            <w:r w:rsidRPr="00401D39">
              <w:rPr>
                <w:rFonts w:eastAsia="Times New Roman" w:cs="Calibri"/>
                <w:sz w:val="20"/>
                <w:szCs w:val="20"/>
                <w:lang w:eastAsia="pl-PL"/>
              </w:rPr>
              <w:t>Odsetek długości przebiegu tras głównych szlaków komunikacyjnych</w:t>
            </w:r>
            <w:r w:rsidRPr="00401D39">
              <w:rPr>
                <w:rStyle w:val="Odwoanieprzypisudolnego"/>
                <w:rFonts w:eastAsia="Times New Roman" w:cs="Calibri"/>
                <w:sz w:val="20"/>
                <w:szCs w:val="20"/>
                <w:lang w:eastAsia="pl-PL"/>
              </w:rPr>
              <w:footnoteReference w:id="78"/>
            </w:r>
            <w:r w:rsidRPr="00401D39">
              <w:rPr>
                <w:rFonts w:eastAsia="Times New Roman" w:cs="Calibri"/>
                <w:sz w:val="20"/>
                <w:szCs w:val="20"/>
                <w:lang w:eastAsia="pl-PL"/>
              </w:rPr>
              <w:t xml:space="preserve"> z „niezakłóconym” dostępem do sieci 5G</w:t>
            </w:r>
          </w:p>
        </w:tc>
      </w:tr>
      <w:tr w:rsidR="00BA057D" w:rsidRPr="00401D39" w14:paraId="3582F33F" w14:textId="77777777" w:rsidTr="000C7268">
        <w:tc>
          <w:tcPr>
            <w:tcW w:w="986" w:type="dxa"/>
            <w:shd w:val="clear" w:color="auto" w:fill="FFE599"/>
          </w:tcPr>
          <w:p w14:paraId="3EF3C700" w14:textId="77777777" w:rsidR="00BA057D" w:rsidRPr="00401D39" w:rsidRDefault="00BA057D" w:rsidP="000C7268">
            <w:pPr>
              <w:spacing w:after="0" w:line="240" w:lineRule="auto"/>
              <w:jc w:val="center"/>
              <w:rPr>
                <w:rFonts w:eastAsia="Times New Roman" w:cs="Calibri"/>
                <w:b/>
                <w:lang w:eastAsia="pl-PL"/>
              </w:rPr>
            </w:pPr>
            <w:r w:rsidRPr="00401D39">
              <w:rPr>
                <w:rFonts w:eastAsia="Times New Roman" w:cs="Calibri"/>
                <w:b/>
                <w:lang w:eastAsia="pl-PL"/>
              </w:rPr>
              <w:t>6</w:t>
            </w:r>
          </w:p>
        </w:tc>
        <w:tc>
          <w:tcPr>
            <w:tcW w:w="8785" w:type="dxa"/>
            <w:shd w:val="clear" w:color="auto" w:fill="F2F2F2"/>
            <w:vAlign w:val="center"/>
          </w:tcPr>
          <w:p w14:paraId="29261867" w14:textId="77777777" w:rsidR="00BA057D" w:rsidRPr="00401D39" w:rsidRDefault="00BA057D" w:rsidP="000C7268">
            <w:pPr>
              <w:spacing w:after="120" w:line="240" w:lineRule="auto"/>
              <w:rPr>
                <w:bCs/>
                <w:iCs/>
                <w:sz w:val="20"/>
                <w:szCs w:val="20"/>
              </w:rPr>
            </w:pPr>
            <w:r w:rsidRPr="00401D39">
              <w:rPr>
                <w:rFonts w:eastAsia="Times New Roman" w:cs="Calibri"/>
                <w:sz w:val="20"/>
                <w:szCs w:val="20"/>
                <w:lang w:eastAsia="pl-PL"/>
              </w:rPr>
              <w:t>Liczba obszarów miejskich</w:t>
            </w:r>
            <w:r w:rsidRPr="00401D39">
              <w:rPr>
                <w:rStyle w:val="Odwoanieprzypisudolnego"/>
                <w:rFonts w:eastAsia="Times New Roman" w:cs="Calibri"/>
                <w:sz w:val="20"/>
                <w:szCs w:val="20"/>
                <w:lang w:eastAsia="pl-PL"/>
              </w:rPr>
              <w:footnoteReference w:id="79"/>
            </w:r>
            <w:r w:rsidRPr="00401D39">
              <w:rPr>
                <w:rFonts w:eastAsia="Times New Roman" w:cs="Calibri"/>
                <w:sz w:val="20"/>
                <w:szCs w:val="20"/>
                <w:lang w:eastAsia="pl-PL"/>
              </w:rPr>
              <w:t xml:space="preserve"> w Polsce posiadająca w pełni rozwiniętą usługę komercyjną łączności 5G</w:t>
            </w:r>
          </w:p>
        </w:tc>
      </w:tr>
      <w:tr w:rsidR="00BA057D" w:rsidRPr="00401D39" w14:paraId="735F3C1E" w14:textId="77777777" w:rsidTr="000C7268">
        <w:tc>
          <w:tcPr>
            <w:tcW w:w="986" w:type="dxa"/>
            <w:shd w:val="clear" w:color="auto" w:fill="FFE599"/>
          </w:tcPr>
          <w:p w14:paraId="7BBA8AD4" w14:textId="77777777" w:rsidR="00BA057D" w:rsidRPr="00401D39" w:rsidRDefault="00BA057D" w:rsidP="000C7268">
            <w:pPr>
              <w:spacing w:after="0" w:line="240" w:lineRule="auto"/>
              <w:jc w:val="center"/>
              <w:rPr>
                <w:rFonts w:eastAsia="Times New Roman" w:cs="Calibri"/>
                <w:b/>
                <w:lang w:eastAsia="pl-PL"/>
              </w:rPr>
            </w:pPr>
            <w:r w:rsidRPr="00401D39">
              <w:rPr>
                <w:rFonts w:eastAsia="Times New Roman" w:cs="Calibri"/>
                <w:b/>
                <w:lang w:eastAsia="pl-PL"/>
              </w:rPr>
              <w:t>7</w:t>
            </w:r>
          </w:p>
        </w:tc>
        <w:tc>
          <w:tcPr>
            <w:tcW w:w="8785" w:type="dxa"/>
            <w:shd w:val="clear" w:color="auto" w:fill="F2F2F2"/>
            <w:vAlign w:val="center"/>
          </w:tcPr>
          <w:p w14:paraId="3E6CEA24" w14:textId="77777777" w:rsidR="00BA057D" w:rsidRPr="00401D39" w:rsidRDefault="00BA057D" w:rsidP="000C7268">
            <w:pPr>
              <w:spacing w:after="120" w:line="240" w:lineRule="auto"/>
              <w:rPr>
                <w:rFonts w:eastAsia="Times New Roman" w:cs="Calibri"/>
                <w:sz w:val="20"/>
                <w:szCs w:val="20"/>
                <w:lang w:eastAsia="pl-PL"/>
              </w:rPr>
            </w:pPr>
            <w:r w:rsidRPr="00401D39">
              <w:rPr>
                <w:rFonts w:eastAsia="Times New Roman" w:cs="Calibri"/>
                <w:sz w:val="20"/>
                <w:szCs w:val="20"/>
                <w:lang w:eastAsia="pl-PL"/>
              </w:rPr>
              <w:t>Liczba użytkowników portalu dane.gov.pl</w:t>
            </w:r>
          </w:p>
        </w:tc>
      </w:tr>
      <w:tr w:rsidR="00BA057D" w:rsidRPr="00401D39" w14:paraId="3463CAF5" w14:textId="77777777" w:rsidTr="000C7268">
        <w:tc>
          <w:tcPr>
            <w:tcW w:w="986" w:type="dxa"/>
            <w:shd w:val="clear" w:color="auto" w:fill="FFE599"/>
          </w:tcPr>
          <w:p w14:paraId="27925152" w14:textId="77777777" w:rsidR="00BA057D" w:rsidRPr="00401D39" w:rsidRDefault="00BA057D" w:rsidP="000C7268">
            <w:pPr>
              <w:spacing w:after="0" w:line="240" w:lineRule="auto"/>
              <w:jc w:val="center"/>
              <w:rPr>
                <w:rFonts w:eastAsia="Times New Roman" w:cs="Calibri"/>
                <w:b/>
                <w:lang w:eastAsia="pl-PL"/>
              </w:rPr>
            </w:pPr>
            <w:r w:rsidRPr="00401D39">
              <w:rPr>
                <w:rFonts w:eastAsia="Times New Roman" w:cs="Calibri"/>
                <w:b/>
                <w:lang w:eastAsia="pl-PL"/>
              </w:rPr>
              <w:t>8</w:t>
            </w:r>
          </w:p>
        </w:tc>
        <w:tc>
          <w:tcPr>
            <w:tcW w:w="8785" w:type="dxa"/>
            <w:shd w:val="clear" w:color="auto" w:fill="F2F2F2"/>
            <w:vAlign w:val="center"/>
          </w:tcPr>
          <w:p w14:paraId="33468B89" w14:textId="77777777" w:rsidR="00BA057D" w:rsidRPr="00401D39" w:rsidRDefault="00BA057D" w:rsidP="000C7268">
            <w:pPr>
              <w:spacing w:after="120" w:line="240" w:lineRule="auto"/>
              <w:rPr>
                <w:rFonts w:eastAsia="Times New Roman" w:cs="Calibri"/>
                <w:sz w:val="20"/>
                <w:szCs w:val="20"/>
                <w:lang w:eastAsia="pl-PL"/>
              </w:rPr>
            </w:pPr>
            <w:r w:rsidRPr="00401D39">
              <w:rPr>
                <w:sz w:val="20"/>
                <w:szCs w:val="20"/>
              </w:rPr>
              <w:t xml:space="preserve"> </w:t>
            </w:r>
            <w:r w:rsidRPr="00401D39">
              <w:rPr>
                <w:rFonts w:eastAsia="Times New Roman" w:cs="Calibri"/>
                <w:sz w:val="20"/>
                <w:szCs w:val="20"/>
                <w:lang w:eastAsia="pl-PL"/>
              </w:rPr>
              <w:t>Odsetek osób posiadających podstawowe lub ponadpodstawowe umiejętności cyfrowe</w:t>
            </w:r>
          </w:p>
        </w:tc>
      </w:tr>
      <w:tr w:rsidR="00BA057D" w:rsidRPr="00401D39" w14:paraId="1B07F40D" w14:textId="77777777" w:rsidTr="000C7268">
        <w:tc>
          <w:tcPr>
            <w:tcW w:w="986" w:type="dxa"/>
            <w:shd w:val="clear" w:color="auto" w:fill="FFE599"/>
          </w:tcPr>
          <w:p w14:paraId="736DD7B7" w14:textId="77777777" w:rsidR="00BA057D" w:rsidRPr="00401D39" w:rsidRDefault="00BA057D" w:rsidP="000C7268">
            <w:pPr>
              <w:spacing w:after="0" w:line="240" w:lineRule="auto"/>
              <w:jc w:val="center"/>
              <w:rPr>
                <w:rFonts w:eastAsia="Times New Roman" w:cs="Calibri"/>
                <w:b/>
                <w:lang w:eastAsia="pl-PL"/>
              </w:rPr>
            </w:pPr>
            <w:r w:rsidRPr="00401D39">
              <w:rPr>
                <w:rFonts w:eastAsia="Times New Roman" w:cs="Calibri"/>
                <w:b/>
                <w:lang w:eastAsia="pl-PL"/>
              </w:rPr>
              <w:t>9</w:t>
            </w:r>
          </w:p>
        </w:tc>
        <w:tc>
          <w:tcPr>
            <w:tcW w:w="8785" w:type="dxa"/>
            <w:shd w:val="clear" w:color="auto" w:fill="F2F2F2"/>
            <w:vAlign w:val="center"/>
          </w:tcPr>
          <w:p w14:paraId="57F988F5" w14:textId="77777777" w:rsidR="00BA057D" w:rsidRPr="00401D39" w:rsidRDefault="00BA057D" w:rsidP="000C7268">
            <w:pPr>
              <w:spacing w:after="120" w:line="240" w:lineRule="auto"/>
              <w:rPr>
                <w:sz w:val="20"/>
                <w:szCs w:val="20"/>
              </w:rPr>
            </w:pPr>
            <w:r w:rsidRPr="00401D39">
              <w:rPr>
                <w:sz w:val="20"/>
                <w:szCs w:val="20"/>
              </w:rPr>
              <w:t xml:space="preserve"> Poziom zorientowania na użytkownika e-usług</w:t>
            </w:r>
          </w:p>
        </w:tc>
      </w:tr>
      <w:tr w:rsidR="00BA057D" w:rsidRPr="00401D39" w14:paraId="7EB1CAD7" w14:textId="77777777" w:rsidTr="000C7268">
        <w:tc>
          <w:tcPr>
            <w:tcW w:w="986" w:type="dxa"/>
            <w:shd w:val="clear" w:color="auto" w:fill="FFE599"/>
          </w:tcPr>
          <w:p w14:paraId="1B2A506C" w14:textId="77777777" w:rsidR="00BA057D" w:rsidRPr="00401D39" w:rsidRDefault="00BA057D" w:rsidP="000C7268">
            <w:pPr>
              <w:spacing w:after="0" w:line="240" w:lineRule="auto"/>
              <w:jc w:val="center"/>
              <w:rPr>
                <w:rFonts w:eastAsia="Times New Roman" w:cs="Calibri"/>
                <w:b/>
                <w:lang w:eastAsia="pl-PL"/>
              </w:rPr>
            </w:pPr>
            <w:r w:rsidRPr="00401D39">
              <w:rPr>
                <w:rFonts w:eastAsia="Times New Roman" w:cs="Calibri"/>
                <w:b/>
                <w:lang w:eastAsia="pl-PL"/>
              </w:rPr>
              <w:t>10</w:t>
            </w:r>
          </w:p>
        </w:tc>
        <w:tc>
          <w:tcPr>
            <w:tcW w:w="8785" w:type="dxa"/>
            <w:shd w:val="clear" w:color="auto" w:fill="F2F2F2"/>
            <w:vAlign w:val="center"/>
          </w:tcPr>
          <w:p w14:paraId="415BED77" w14:textId="77777777" w:rsidR="00BA057D" w:rsidRPr="00401D39" w:rsidRDefault="00BA057D" w:rsidP="000C7268">
            <w:pPr>
              <w:spacing w:after="120" w:line="240" w:lineRule="auto"/>
              <w:rPr>
                <w:sz w:val="20"/>
                <w:szCs w:val="20"/>
              </w:rPr>
            </w:pPr>
            <w:r w:rsidRPr="00401D39">
              <w:rPr>
                <w:sz w:val="20"/>
                <w:szCs w:val="20"/>
              </w:rPr>
              <w:t>Odsetek osób posiadających profil zaufany</w:t>
            </w:r>
          </w:p>
        </w:tc>
      </w:tr>
      <w:tr w:rsidR="00BA057D" w:rsidRPr="00401D39" w14:paraId="6CD4AB53" w14:textId="77777777" w:rsidTr="000C7268">
        <w:tc>
          <w:tcPr>
            <w:tcW w:w="986" w:type="dxa"/>
            <w:shd w:val="clear" w:color="auto" w:fill="FFE599"/>
          </w:tcPr>
          <w:p w14:paraId="05BF876E" w14:textId="77777777" w:rsidR="00BA057D" w:rsidRPr="00401D39" w:rsidRDefault="00BA057D" w:rsidP="000C7268">
            <w:pPr>
              <w:spacing w:after="0" w:line="240" w:lineRule="auto"/>
              <w:jc w:val="center"/>
              <w:rPr>
                <w:rFonts w:eastAsia="Times New Roman" w:cs="Calibri"/>
                <w:b/>
                <w:lang w:eastAsia="pl-PL"/>
              </w:rPr>
            </w:pPr>
            <w:r w:rsidRPr="00401D39">
              <w:rPr>
                <w:rFonts w:eastAsia="Times New Roman" w:cs="Calibri"/>
                <w:b/>
                <w:lang w:eastAsia="pl-PL"/>
              </w:rPr>
              <w:t>11</w:t>
            </w:r>
          </w:p>
        </w:tc>
        <w:tc>
          <w:tcPr>
            <w:tcW w:w="8785" w:type="dxa"/>
            <w:shd w:val="clear" w:color="auto" w:fill="F2F2F2"/>
            <w:vAlign w:val="center"/>
          </w:tcPr>
          <w:p w14:paraId="1FBB3B0A" w14:textId="77777777" w:rsidR="00BA057D" w:rsidRPr="00401D39" w:rsidRDefault="00BA057D" w:rsidP="000C7268">
            <w:pPr>
              <w:spacing w:after="120" w:line="240" w:lineRule="auto"/>
              <w:rPr>
                <w:sz w:val="20"/>
                <w:szCs w:val="20"/>
              </w:rPr>
            </w:pPr>
            <w:r w:rsidRPr="00401D39">
              <w:rPr>
                <w:sz w:val="20"/>
                <w:szCs w:val="20"/>
              </w:rPr>
              <w:t>Odsetek stron internetowych podmiotów publicznych spełniających wymagania ustawy z 4 kwietnia 2019 o dostępności cyfrowej stron internetowych i aplikacji mobilnych podmiotów publicznych</w:t>
            </w:r>
          </w:p>
        </w:tc>
      </w:tr>
      <w:tr w:rsidR="00BA057D" w:rsidRPr="00401D39" w14:paraId="17BBAEF6" w14:textId="77777777" w:rsidTr="000C7268">
        <w:tc>
          <w:tcPr>
            <w:tcW w:w="986" w:type="dxa"/>
            <w:shd w:val="clear" w:color="auto" w:fill="FFE599"/>
          </w:tcPr>
          <w:p w14:paraId="35BD6DF0" w14:textId="77777777" w:rsidR="00BA057D" w:rsidRPr="00401D39" w:rsidRDefault="00BA057D" w:rsidP="000C7268">
            <w:pPr>
              <w:spacing w:after="0" w:line="240" w:lineRule="auto"/>
              <w:jc w:val="center"/>
              <w:rPr>
                <w:rFonts w:eastAsia="Times New Roman" w:cs="Calibri"/>
                <w:b/>
                <w:lang w:eastAsia="pl-PL"/>
              </w:rPr>
            </w:pPr>
            <w:r w:rsidRPr="00401D39">
              <w:rPr>
                <w:rFonts w:eastAsia="Times New Roman" w:cs="Calibri"/>
                <w:b/>
                <w:lang w:eastAsia="pl-PL"/>
              </w:rPr>
              <w:t>12</w:t>
            </w:r>
          </w:p>
        </w:tc>
        <w:tc>
          <w:tcPr>
            <w:tcW w:w="8785" w:type="dxa"/>
            <w:shd w:val="clear" w:color="auto" w:fill="F2F2F2"/>
            <w:vAlign w:val="center"/>
          </w:tcPr>
          <w:p w14:paraId="3F2F617C" w14:textId="77777777" w:rsidR="00BA057D" w:rsidRPr="00401D39" w:rsidRDefault="00BA057D" w:rsidP="000C7268">
            <w:pPr>
              <w:spacing w:after="120" w:line="240" w:lineRule="auto"/>
              <w:rPr>
                <w:sz w:val="20"/>
                <w:szCs w:val="20"/>
              </w:rPr>
            </w:pPr>
            <w:r w:rsidRPr="00401D39">
              <w:rPr>
                <w:sz w:val="20"/>
                <w:szCs w:val="20"/>
              </w:rPr>
              <w:t xml:space="preserve">Odsetek osób posiadających dowód osobisty z aktywną warstwą elektroniczną </w:t>
            </w:r>
          </w:p>
        </w:tc>
      </w:tr>
    </w:tbl>
    <w:p w14:paraId="1633CFD6" w14:textId="77777777" w:rsidR="00BA057D" w:rsidRDefault="00BA057D" w:rsidP="00BA057D">
      <w:pPr>
        <w:pBdr>
          <w:bottom w:val="single" w:sz="24" w:space="1" w:color="FFD966"/>
        </w:pBdr>
        <w:spacing w:after="0"/>
        <w:rPr>
          <w:rFonts w:eastAsia="Times New Roman" w:cs="Calibri"/>
          <w:b/>
          <w:lang w:eastAsia="pl-PL"/>
        </w:rPr>
      </w:pPr>
    </w:p>
    <w:p w14:paraId="5CB90E9F" w14:textId="77777777" w:rsidR="00BA057D" w:rsidRPr="00F21196" w:rsidRDefault="00BA057D" w:rsidP="00BA057D">
      <w:pPr>
        <w:pBdr>
          <w:bottom w:val="single" w:sz="24" w:space="1" w:color="FFD966"/>
        </w:pBdr>
        <w:shd w:val="clear" w:color="auto" w:fill="FFF2CC"/>
        <w:spacing w:after="0"/>
        <w:rPr>
          <w:rFonts w:eastAsia="Times New Roman" w:cs="Calibri"/>
          <w:b/>
          <w:lang w:eastAsia="pl-PL"/>
        </w:rPr>
      </w:pPr>
      <w:r w:rsidRPr="00F21196">
        <w:rPr>
          <w:rFonts w:eastAsia="Times New Roman" w:cs="Calibri"/>
          <w:b/>
          <w:lang w:eastAsia="pl-PL"/>
        </w:rPr>
        <w:t xml:space="preserve">III.4. Kierunki interwencji </w:t>
      </w:r>
    </w:p>
    <w:p w14:paraId="4272C759" w14:textId="77777777" w:rsidR="00BA057D" w:rsidRPr="00F21196" w:rsidRDefault="00BA057D" w:rsidP="00BA057D">
      <w:pPr>
        <w:spacing w:after="0"/>
        <w:rPr>
          <w:rFonts w:eastAsia="Times New Roman" w:cs="Calibri"/>
          <w:lang w:eastAsia="pl-PL"/>
        </w:rPr>
      </w:pPr>
    </w:p>
    <w:p w14:paraId="48567627" w14:textId="77777777" w:rsidR="00BA057D" w:rsidRPr="00F21196" w:rsidRDefault="00BA057D" w:rsidP="00BA057D">
      <w:pPr>
        <w:spacing w:after="0"/>
        <w:rPr>
          <w:rFonts w:cs="Calibri,BoldItalic"/>
          <w:bCs/>
          <w:iCs/>
          <w:szCs w:val="16"/>
        </w:rPr>
      </w:pPr>
      <w:r w:rsidRPr="00F21196">
        <w:rPr>
          <w:rFonts w:eastAsia="Times New Roman" w:cs="Calibri"/>
          <w:lang w:eastAsia="pl-PL"/>
        </w:rPr>
        <w:t>Przedsięwzięcia w ramach celu I</w:t>
      </w:r>
      <w:r>
        <w:rPr>
          <w:rFonts w:eastAsia="Times New Roman" w:cs="Calibri"/>
          <w:lang w:eastAsia="pl-PL"/>
        </w:rPr>
        <w:t>II zostały przyporządkowane do trzech</w:t>
      </w:r>
      <w:r w:rsidRPr="00F21196">
        <w:rPr>
          <w:rFonts w:eastAsia="Times New Roman" w:cs="Calibri"/>
          <w:lang w:eastAsia="pl-PL"/>
        </w:rPr>
        <w:t xml:space="preserve"> kierunków interwencji.</w:t>
      </w:r>
    </w:p>
    <w:p w14:paraId="37FF8152" w14:textId="77777777" w:rsidR="00BA057D" w:rsidRPr="00401D39" w:rsidRDefault="00BA057D" w:rsidP="00BA057D">
      <w:pPr>
        <w:spacing w:after="0"/>
        <w:ind w:left="3686"/>
        <w:jc w:val="both"/>
        <w:rPr>
          <w:rFonts w:eastAsia="Times New Roman" w:cs="Calibri"/>
          <w:b/>
          <w:color w:val="2F5496"/>
          <w:lang w:eastAsia="pl-PL"/>
        </w:rPr>
      </w:pPr>
      <w:r w:rsidRPr="00401D39">
        <w:rPr>
          <w:rFonts w:cs="Calibri,BoldItalic"/>
          <w:bCs/>
          <w:iCs/>
          <w:color w:val="000000"/>
          <w:szCs w:val="16"/>
        </w:rPr>
        <w:t xml:space="preserve"> </w:t>
      </w:r>
    </w:p>
    <w:p w14:paraId="601107BF" w14:textId="01464607" w:rsidR="00BA057D" w:rsidRPr="00401D39" w:rsidRDefault="00BA057D" w:rsidP="00BA057D">
      <w:pPr>
        <w:spacing w:after="0"/>
        <w:rPr>
          <w:rFonts w:eastAsia="Times New Roman" w:cs="Calibri"/>
          <w:b/>
          <w:color w:val="2F5496"/>
          <w:lang w:eastAsia="pl-PL"/>
        </w:rPr>
      </w:pPr>
      <w:r>
        <w:rPr>
          <w:noProof/>
          <w:lang w:eastAsia="pl-PL"/>
        </w:rPr>
        <mc:AlternateContent>
          <mc:Choice Requires="wps">
            <w:drawing>
              <wp:anchor distT="0" distB="0" distL="114300" distR="114300" simplePos="0" relativeHeight="252203008" behindDoc="0" locked="0" layoutInCell="1" allowOverlap="1" wp14:anchorId="01DF172B" wp14:editId="2A32FDFB">
                <wp:simplePos x="0" y="0"/>
                <wp:positionH relativeFrom="column">
                  <wp:posOffset>-40005</wp:posOffset>
                </wp:positionH>
                <wp:positionV relativeFrom="paragraph">
                  <wp:posOffset>47625</wp:posOffset>
                </wp:positionV>
                <wp:extent cx="400050" cy="1625600"/>
                <wp:effectExtent l="0" t="0" r="19050" b="12700"/>
                <wp:wrapNone/>
                <wp:docPr id="24" name="Prostokąt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1625600"/>
                        </a:xfrm>
                        <a:prstGeom prst="rect">
                          <a:avLst/>
                        </a:prstGeom>
                        <a:solidFill>
                          <a:srgbClr val="FFC000">
                            <a:lumMod val="60000"/>
                            <a:lumOff val="40000"/>
                          </a:srgbClr>
                        </a:solidFill>
                        <a:ln w="12700" cap="flat" cmpd="sng" algn="ctr">
                          <a:solidFill>
                            <a:srgbClr val="FFC000">
                              <a:lumMod val="40000"/>
                              <a:lumOff val="60000"/>
                            </a:srgbClr>
                          </a:solidFill>
                          <a:prstDash val="solid"/>
                          <a:miter lim="800000"/>
                        </a:ln>
                        <a:effectLst/>
                      </wps:spPr>
                      <wps:txbx>
                        <w:txbxContent>
                          <w:p w14:paraId="129D8E6E" w14:textId="77777777" w:rsidR="005D4C4C" w:rsidRPr="00401D39" w:rsidRDefault="005D4C4C" w:rsidP="00BA057D">
                            <w:pPr>
                              <w:jc w:val="center"/>
                              <w:rPr>
                                <w:b/>
                                <w:color w:val="000000"/>
                                <w:sz w:val="28"/>
                              </w:rPr>
                            </w:pPr>
                            <w:r w:rsidRPr="00401D39">
                              <w:rPr>
                                <w:b/>
                                <w:color w:val="000000"/>
                                <w:sz w:val="28"/>
                              </w:rPr>
                              <w:t>Kierunki interwencji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F172B" id="Prostokąt 24" o:spid="_x0000_s1056" style="position:absolute;margin-left:-3.15pt;margin-top:3.75pt;width:31.5pt;height:128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ZZ8qwIAAJUFAAAOAAAAZHJzL2Uyb0RvYy54bWysVMlu2zAQvRfoPxC8N5JdZ6kQOTAcuCjg&#10;JgaSIucxRVlEuJWkLaX3/lk/rENKdpx0ORS9EOTMcObNm+XyqlOS7LjzwuiSjk5ySrhmphJ6U9Iv&#10;94t3F5T4ALoCaTQv6RP39Gr69s1laws+No2RFXcEnWhftLakTQi2yDLPGq7AnxjLNSpr4xQEfLpN&#10;Vjlo0buS2TjPz7LWuMo6w7j3KL3ulXSa/Nc1Z+G2rj0PRJYUsYV0unSu45lNL6HYOLCNYAMM+AcU&#10;CoTGoAdX1xCAbJ34xZUSzBlv6nDCjMpMXQvGUw6YzSh/lc1dA5anXJAcbw80+f/nlt3sVo6IqqTj&#10;CSUaFNZohQiDefzxPRAUIkOt9QUa3tmVizl6uzTs0aMie6GJDz/YdLVT0RYzJF2i++lAN+8CYSic&#10;5Hl+ikVhqBqdjU/P8lSPDIr9b+t8+MiNIvFSUoflTCzDbulDjA/F3iQBM1JUCyFlerjNei4d2QGW&#10;frGYY7D0V27VZ1P1YozYx4QCxdgpvTgC20PxvZsUyx/7l5q0iHt8jqaEAfZuLSHgVVlk0+sNJSA3&#10;OBQsuBT4xe/B7V/RHWC8RHcAjdn/EV2k5Rp80wdIofteVyLgwEmhSnoR09znKXUkjaeRGch9rme8&#10;hW7dpUZ5n75E0dpUT9g9zvRj5S1bCIy7BB9W4HCOkBncDeEWj1oapMsMN0oa4779Th7tSxpPZJaS&#10;FkcT2fy6BccpkZ809v6H0WSCqpAek9PzMT7csWZ9rNFbNTfYAiNcRJala7QPcn+tnVEPuEVmMTCq&#10;QDME19dteMxDvzJwDzE+myUznF8LYanvLIvOI3uR9PvuAZwdGjZgq9+Y/RhD8apve9v4U5vZNpha&#10;pKZ+pnaYMJz91H/DnorL5fidrJ636fQnAAAA//8DAFBLAwQUAAYACAAAACEAVw64kdkAAAAHAQAA&#10;DwAAAGRycy9kb3ducmV2LnhtbEyO306DMBTG7018h+aYeLcVR2CKlEWXTK/d9gAHeiw42hJaGL69&#10;xyu9/PL9+5W7xfZipjF03il4WCcgyDVed84oOJ8Oq0cQIaLT2HtHCr4pwK66vSmx0P7qPmg+RiN4&#10;xIUCFbQxDoWUoWnJYlj7gRx7n360GFmORuoRrzxue7lJklxa7Bw/tDjQvqXmcpwsY0zBfL3tL7NM&#10;zTs+vR7qk7G1Uvd3y8sziEhL/AvDLz53oGKm2k9OB9ErWOUpJxVsMxBsZ/kWRK1gk6cZyKqU//mr&#10;HwAAAP//AwBQSwECLQAUAAYACAAAACEAtoM4kv4AAADhAQAAEwAAAAAAAAAAAAAAAAAAAAAAW0Nv&#10;bnRlbnRfVHlwZXNdLnhtbFBLAQItABQABgAIAAAAIQA4/SH/1gAAAJQBAAALAAAAAAAAAAAAAAAA&#10;AC8BAABfcmVscy8ucmVsc1BLAQItABQABgAIAAAAIQBHkZZ8qwIAAJUFAAAOAAAAAAAAAAAAAAAA&#10;AC4CAABkcnMvZTJvRG9jLnhtbFBLAQItABQABgAIAAAAIQBXDriR2QAAAAcBAAAPAAAAAAAAAAAA&#10;AAAAAAUFAABkcnMvZG93bnJldi54bWxQSwUGAAAAAAQABADzAAAACwYAAAAA&#10;" fillcolor="#ffd966" strokecolor="#ffe699" strokeweight="1pt">
                <v:path arrowok="t"/>
                <v:textbox style="layout-flow:vertical;mso-layout-flow-alt:bottom-to-top">
                  <w:txbxContent>
                    <w:p w14:paraId="129D8E6E" w14:textId="77777777" w:rsidR="005D4C4C" w:rsidRPr="00401D39" w:rsidRDefault="005D4C4C" w:rsidP="00BA057D">
                      <w:pPr>
                        <w:jc w:val="center"/>
                        <w:rPr>
                          <w:b/>
                          <w:color w:val="000000"/>
                          <w:sz w:val="28"/>
                        </w:rPr>
                      </w:pPr>
                      <w:r w:rsidRPr="00401D39">
                        <w:rPr>
                          <w:b/>
                          <w:color w:val="000000"/>
                          <w:sz w:val="28"/>
                        </w:rPr>
                        <w:t>Kierunki interwencji</w:t>
                      </w:r>
                    </w:p>
                  </w:txbxContent>
                </v:textbox>
              </v:rect>
            </w:pict>
          </mc:Fallback>
        </mc:AlternateContent>
      </w:r>
    </w:p>
    <w:p w14:paraId="086305E1" w14:textId="07AD2736" w:rsidR="00BA057D" w:rsidRPr="00401D39" w:rsidRDefault="00BA057D" w:rsidP="00BA057D">
      <w:pPr>
        <w:spacing w:after="0"/>
        <w:rPr>
          <w:rFonts w:eastAsia="Times New Roman" w:cs="Calibri"/>
          <w:b/>
          <w:color w:val="2F5496"/>
          <w:lang w:eastAsia="pl-PL"/>
        </w:rPr>
      </w:pPr>
      <w:r>
        <w:rPr>
          <w:noProof/>
          <w:lang w:eastAsia="pl-PL"/>
        </w:rPr>
        <mc:AlternateContent>
          <mc:Choice Requires="wps">
            <w:drawing>
              <wp:anchor distT="0" distB="0" distL="114300" distR="114300" simplePos="0" relativeHeight="252205056" behindDoc="0" locked="0" layoutInCell="1" allowOverlap="1" wp14:anchorId="66887036" wp14:editId="0CD94EB5">
                <wp:simplePos x="0" y="0"/>
                <wp:positionH relativeFrom="margin">
                  <wp:posOffset>699770</wp:posOffset>
                </wp:positionH>
                <wp:positionV relativeFrom="paragraph">
                  <wp:posOffset>68580</wp:posOffset>
                </wp:positionV>
                <wp:extent cx="5361940" cy="361315"/>
                <wp:effectExtent l="0" t="0" r="10160" b="19685"/>
                <wp:wrapNone/>
                <wp:docPr id="23" name="Prostokąt zaokrąglony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1940" cy="361315"/>
                        </a:xfrm>
                        <a:prstGeom prst="roundRect">
                          <a:avLst/>
                        </a:prstGeom>
                        <a:solidFill>
                          <a:sysClr val="window" lastClr="FFFFFF">
                            <a:lumMod val="85000"/>
                          </a:sysClr>
                        </a:solidFill>
                        <a:ln w="12700" cap="flat" cmpd="sng" algn="ctr">
                          <a:solidFill>
                            <a:sysClr val="window" lastClr="FFFFFF">
                              <a:lumMod val="85000"/>
                            </a:sysClr>
                          </a:solidFill>
                          <a:prstDash val="solid"/>
                          <a:miter lim="800000"/>
                        </a:ln>
                        <a:effectLst/>
                      </wps:spPr>
                      <wps:txbx>
                        <w:txbxContent>
                          <w:p w14:paraId="416DC37D" w14:textId="77777777" w:rsidR="005D4C4C" w:rsidRPr="00824FBA" w:rsidRDefault="005D4C4C" w:rsidP="00BA057D">
                            <w:pPr>
                              <w:shd w:val="clear" w:color="auto" w:fill="D9D9D9"/>
                              <w:rPr>
                                <w:i/>
                              </w:rPr>
                            </w:pPr>
                            <w:r w:rsidRPr="00401D39">
                              <w:rPr>
                                <w:rFonts w:cs="Calibri"/>
                                <w:b/>
                                <w:i/>
                              </w:rPr>
                              <w:t xml:space="preserve">1. </w:t>
                            </w:r>
                            <w:r w:rsidRPr="00BA339B">
                              <w:rPr>
                                <w:b/>
                                <w:i/>
                              </w:rPr>
                              <w:t>Tworzenie warunków dla efektywnej</w:t>
                            </w:r>
                            <w:r w:rsidRPr="00F16ADD">
                              <w:rPr>
                                <w:b/>
                                <w:i/>
                              </w:rPr>
                              <w:t>, dostępnej cyfrowo</w:t>
                            </w:r>
                            <w:r w:rsidRPr="00BA339B">
                              <w:rPr>
                                <w:b/>
                                <w:i/>
                              </w:rPr>
                              <w:t xml:space="preserve"> i bezpiecznej e-administracji</w:t>
                            </w:r>
                            <w:r>
                              <w:rPr>
                                <w:b/>
                                <w:i/>
                              </w:rPr>
                              <w:t>.</w:t>
                            </w:r>
                          </w:p>
                          <w:p w14:paraId="2AF16EB9" w14:textId="77777777" w:rsidR="005D4C4C" w:rsidRPr="00824FBA" w:rsidRDefault="005D4C4C" w:rsidP="00BA057D">
                            <w:pPr>
                              <w:shd w:val="clear" w:color="auto" w:fill="D9D9D9"/>
                              <w:rPr>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887036" id="Prostokąt zaokrąglony 23" o:spid="_x0000_s1057" style="position:absolute;margin-left:55.1pt;margin-top:5.4pt;width:422.2pt;height:28.45pt;z-index:25220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3DIrwIAAJQFAAAOAAAAZHJzL2Uyb0RvYy54bWysVM1u2zAMvg/YOwi6r46Tpj9GnSJokWFA&#10;1gZrh54VWY6NSqImKbHTe9+sD1ZKdtK022moD4YoUvz5+JEXl62SZCOsq0HnND0aUCI0h6LWq5z+&#10;vp99O6PEeaYLJkGLnG6Fo5eTr18uGpOJIVQgC2EJOtEua0xOK+9NliSOV0IxdwRGaFSWYBXzKNpV&#10;UljWoHclk+FgcJI0YAtjgQvn8Pa6U9JJ9F+WgvvbsnTCE5lTzM3Hv43/ZfgnkwuWrSwzVc37NNh/&#10;ZKFYrTHo3tU184ysbf2XK1VzCw5Kf8RBJVCWNRexBqwmHXyo5q5iRsRaEBxn9jC5z3PLbzYLS+oi&#10;p8MRJZop7NECM/Tw+PLsyRODR/vyvMLmbQlaIFyNcRm+ujMLGwp2Zg780aEieacJgutt2tKqYIvl&#10;kjZiv91jL1pPOF6ORyfp+TG2iKMOz6N0HKIlLNu9Ntb57wIUCYecWljr4hc2OOLONnPnO/udXcwO&#10;ZF3MaimjsHVX0pINQy4ghQpoKJHMebzM6Sx+0Zdcq59QdHZn48EgsgQTcfF9zMkd+pWaNMj94Sla&#10;Es6QxaVkHo/KIK5OryhhcoXjwb2NAd697rx+flYBhmvmqs5zDNmxXdUeR07WKqdnWNy+PKkDSCIO&#10;TQ/mWxPDybfLNlJllO6IsIRii/yx0A2WM3xWY9w5orpgFicJEcHt4G/xV0pAmKA/UVKBffrXfbBH&#10;gqOWkgYnEyH8s2ZWYLN+aKT+eXoceOKjcDw+HaJgDzXLQ41eqyvAhqe4hwyPx2Dv5e5YWlAPuESm&#10;ISqqmOYYu2tWL1z5bmPgGuJiOo1mOL6G+bm+Mzw4D9AFxO/bB2ZNT1GP5L6B3RSz7ANJO9vwUsN0&#10;7aGsI4MD1B2u/Uzh6EfS9Wsq7JZDOVq9LdPJKwAAAP//AwBQSwMEFAAGAAgAAAAhAKkddEPcAAAA&#10;CQEAAA8AAABkcnMvZG93bnJldi54bWxMj01Pg0AQhu8m/ofNmHizu20qWGRpjKaXJh7EJl6nMAKR&#10;nSXsUvDfO570Nm/myfuR7xfXqwuNofNsYb0yoIgrX3fcWDi9H+4eQIWIXGPvmSx8U4B9cX2VY1b7&#10;md/oUsZGiQmHDC20MQ6Z1qFqyWFY+YFYfp9+dBhFjo2uR5zF3PV6Y0yiHXYsCS0O9NxS9VVOzsJx&#10;Nm738nrYTh/lfEo8oqP0aO3tzfL0CCrSEv9g+K0v1aGQTmc/cR1UL3ptNoLKYWSCALv7bQLqbCFJ&#10;U9BFrv8vKH4AAAD//wMAUEsBAi0AFAAGAAgAAAAhALaDOJL+AAAA4QEAABMAAAAAAAAAAAAAAAAA&#10;AAAAAFtDb250ZW50X1R5cGVzXS54bWxQSwECLQAUAAYACAAAACEAOP0h/9YAAACUAQAACwAAAAAA&#10;AAAAAAAAAAAvAQAAX3JlbHMvLnJlbHNQSwECLQAUAAYACAAAACEA82dwyK8CAACUBQAADgAAAAAA&#10;AAAAAAAAAAAuAgAAZHJzL2Uyb0RvYy54bWxQSwECLQAUAAYACAAAACEAqR10Q9wAAAAJAQAADwAA&#10;AAAAAAAAAAAAAAAJBQAAZHJzL2Rvd25yZXYueG1sUEsFBgAAAAAEAAQA8wAAABIGAAAAAA==&#10;" fillcolor="#d9d9d9" strokecolor="#d9d9d9" strokeweight="1pt">
                <v:stroke joinstyle="miter"/>
                <v:path arrowok="t"/>
                <v:textbox>
                  <w:txbxContent>
                    <w:p w14:paraId="416DC37D" w14:textId="77777777" w:rsidR="005D4C4C" w:rsidRPr="00824FBA" w:rsidRDefault="005D4C4C" w:rsidP="00BA057D">
                      <w:pPr>
                        <w:shd w:val="clear" w:color="auto" w:fill="D9D9D9"/>
                        <w:rPr>
                          <w:i/>
                        </w:rPr>
                      </w:pPr>
                      <w:r w:rsidRPr="00401D39">
                        <w:rPr>
                          <w:rFonts w:cs="Calibri"/>
                          <w:b/>
                          <w:i/>
                        </w:rPr>
                        <w:t xml:space="preserve">1. </w:t>
                      </w:r>
                      <w:r w:rsidRPr="00BA339B">
                        <w:rPr>
                          <w:b/>
                          <w:i/>
                        </w:rPr>
                        <w:t>Tworzenie warunków dla efektywnej</w:t>
                      </w:r>
                      <w:r w:rsidRPr="00F16ADD">
                        <w:rPr>
                          <w:b/>
                          <w:i/>
                        </w:rPr>
                        <w:t>, dostępnej cyfrowo</w:t>
                      </w:r>
                      <w:r w:rsidRPr="00BA339B">
                        <w:rPr>
                          <w:b/>
                          <w:i/>
                        </w:rPr>
                        <w:t xml:space="preserve"> i bezpiecznej e-administracji</w:t>
                      </w:r>
                      <w:r>
                        <w:rPr>
                          <w:b/>
                          <w:i/>
                        </w:rPr>
                        <w:t>.</w:t>
                      </w:r>
                    </w:p>
                    <w:p w14:paraId="2AF16EB9" w14:textId="77777777" w:rsidR="005D4C4C" w:rsidRPr="00824FBA" w:rsidRDefault="005D4C4C" w:rsidP="00BA057D">
                      <w:pPr>
                        <w:shd w:val="clear" w:color="auto" w:fill="D9D9D9"/>
                        <w:rPr>
                          <w:i/>
                        </w:rPr>
                      </w:pPr>
                    </w:p>
                  </w:txbxContent>
                </v:textbox>
                <w10:wrap anchorx="margin"/>
              </v:roundrect>
            </w:pict>
          </mc:Fallback>
        </mc:AlternateContent>
      </w:r>
      <w:r>
        <w:rPr>
          <w:noProof/>
          <w:lang w:eastAsia="pl-PL"/>
        </w:rPr>
        <mc:AlternateContent>
          <mc:Choice Requires="wps">
            <w:drawing>
              <wp:anchor distT="0" distB="0" distL="114300" distR="114300" simplePos="0" relativeHeight="252206080" behindDoc="0" locked="0" layoutInCell="1" allowOverlap="1" wp14:anchorId="1B45AC2D" wp14:editId="39C1A4C0">
                <wp:simplePos x="0" y="0"/>
                <wp:positionH relativeFrom="margin">
                  <wp:posOffset>355600</wp:posOffset>
                </wp:positionH>
                <wp:positionV relativeFrom="paragraph">
                  <wp:posOffset>88265</wp:posOffset>
                </wp:positionV>
                <wp:extent cx="342900" cy="314325"/>
                <wp:effectExtent l="0" t="19050" r="38100" b="47625"/>
                <wp:wrapNone/>
                <wp:docPr id="22" name="Strzałka w praw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14325"/>
                        </a:xfrm>
                        <a:prstGeom prst="rightArrow">
                          <a:avLst/>
                        </a:prstGeom>
                        <a:solidFill>
                          <a:srgbClr val="FFC000">
                            <a:lumMod val="60000"/>
                            <a:lumOff val="40000"/>
                          </a:srgbClr>
                        </a:solidFill>
                        <a:ln w="12700" cap="flat" cmpd="sng" algn="ctr">
                          <a:solidFill>
                            <a:srgbClr val="FFC000">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D64B3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22" o:spid="_x0000_s1026" type="#_x0000_t13" style="position:absolute;margin-left:28pt;margin-top:6.95pt;width:27pt;height:24.75pt;z-index:25220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06WqwIAAIsFAAAOAAAAZHJzL2Uyb0RvYy54bWysVM1u2zAMvg/YOwi6r07c9C+oUwQpMgzI&#10;2gLp0LMiy7ZQSdQkJU573Lv1vUbJTpp2Qw/DLoJEUvz5+JGXV1utyEY4L8EUdHg0oEQYDqU0dUF/&#10;3M+/nFPiAzMlU2BEQZ+Ep1eTz58uWzsWOTSgSuEIOjF+3NqCNiHYcZZ53gjN/BFYYVBZgdMs4NPV&#10;WelYi961yvLB4DRrwZXWARfeo/S6U9JJ8l9VgofbqvIiEFVQzC2k06VzFc9scsnGtWO2kbxPg/1D&#10;FppJg0H3rq5ZYGTt5B+utOQOPFThiIPOoKokF6kGrGY4eFfNsmFWpFoQHG/3MPn/55bfbO4ckWVB&#10;85wSwzT2aBncM3v59chISywCCgR1CFRr/Rjtl/bOxVK9XQB/9KjI3mjiw/c228rpaIuFkm1C/WmP&#10;utgGwlF4PMovBtgbjqrj4eg4P4nBMjbefbbOh68CNCbjsYFO1k2YOgdtQpxtFj50H3aGKTtQspxL&#10;pdLD1auZcmTDkAbz+WyA8aJcrfV3KDvxKQp7PqAYWdOJRzsxJuQ7Nyk5f+hfGdIi+/OzVAdDHleK&#10;BSxJW0TWm5oSpmocEB5cCvzmd+/2w+z2aaSk99ntk/4ouwjLNfNNFyCF7nivZcDhU1IX9DyWmcpH&#10;T8pEcEQanx7c16bG2wrKJ6SNg26evOVziUEWzIc75nCAsJ24FMItHpUCxAb6GyUNuOe/yaM98hq1&#10;lLQ4kIjbzzVzghL1zSDjL4ajUZzg9BidnOX4cIea1aHGrPUMsNlDXD+Wp2u0D2p3rRzoB9wd0xgV&#10;VcxwjN11qH/MQrcocPtwMZ0mM5xay8LCLC2PziNOEd777QNztidoQGbfwG542fgdQzvb+NPAdB2g&#10;kom+r7j2A4UTn5jWb6e4Ug7fyep1h05+AwAA//8DAFBLAwQUAAYACAAAACEAMgBlyt8AAAAIAQAA&#10;DwAAAGRycy9kb3ducmV2LnhtbEyP3UrDQBCF7wXfYRnBG7Gb2jbYmE0RoeIPCEYfYJNMk9DsbNid&#10;tvHtnV7p5ZxzOPOdfDO5QR0xxN6TgfksAYVU+6an1sD31/b2HlRkS40dPKGBH4ywKS4vcps1/kSf&#10;eCy5VVJCMbMGOuYx0zrWHTobZ35EEm/ng7MsZ2h1E+xJyt2g75Ik1c72JB86O+JTh/W+PDgDy2qs&#10;36bw8fLKzzfldr9+3604GHN9NT0+gGKc+C8MZ3xBh0KYKn+gJqrBwCqVKSz6Yg3q7M8TESoD6WIJ&#10;usj1/wHFLwAAAP//AwBQSwECLQAUAAYACAAAACEAtoM4kv4AAADhAQAAEwAAAAAAAAAAAAAAAAAA&#10;AAAAW0NvbnRlbnRfVHlwZXNdLnhtbFBLAQItABQABgAIAAAAIQA4/SH/1gAAAJQBAAALAAAAAAAA&#10;AAAAAAAAAC8BAABfcmVscy8ucmVsc1BLAQItABQABgAIAAAAIQBl606WqwIAAIsFAAAOAAAAAAAA&#10;AAAAAAAAAC4CAABkcnMvZTJvRG9jLnhtbFBLAQItABQABgAIAAAAIQAyAGXK3wAAAAgBAAAPAAAA&#10;AAAAAAAAAAAAAAUFAABkcnMvZG93bnJldi54bWxQSwUGAAAAAAQABADzAAAAEQYAAAAA&#10;" adj="11700" fillcolor="#ffd966" strokecolor="#ffe699" strokeweight="1pt">
                <v:path arrowok="t"/>
                <w10:wrap anchorx="margin"/>
              </v:shape>
            </w:pict>
          </mc:Fallback>
        </mc:AlternateContent>
      </w:r>
    </w:p>
    <w:p w14:paraId="59E533E5" w14:textId="77777777" w:rsidR="00BA057D" w:rsidRPr="00401D39" w:rsidRDefault="00BA057D" w:rsidP="00BA057D">
      <w:pPr>
        <w:spacing w:after="0"/>
        <w:rPr>
          <w:rFonts w:eastAsia="Times New Roman" w:cs="Calibri"/>
          <w:b/>
          <w:color w:val="2F5496"/>
          <w:lang w:eastAsia="pl-PL"/>
        </w:rPr>
      </w:pPr>
    </w:p>
    <w:p w14:paraId="4904CA02" w14:textId="77777777" w:rsidR="00BA057D" w:rsidRPr="00401D39" w:rsidRDefault="00BA057D" w:rsidP="00BA057D">
      <w:pPr>
        <w:spacing w:after="0"/>
        <w:rPr>
          <w:rFonts w:eastAsia="Times New Roman" w:cs="Calibri"/>
          <w:b/>
          <w:color w:val="2F5496"/>
          <w:lang w:eastAsia="pl-PL"/>
        </w:rPr>
      </w:pPr>
    </w:p>
    <w:p w14:paraId="57C68531" w14:textId="799514C1" w:rsidR="00BA057D" w:rsidRPr="00401D39" w:rsidRDefault="00BA057D" w:rsidP="00BA057D">
      <w:pPr>
        <w:spacing w:after="0"/>
        <w:rPr>
          <w:rFonts w:eastAsia="Times New Roman" w:cs="Calibri"/>
          <w:b/>
          <w:color w:val="2F5496"/>
          <w:lang w:eastAsia="pl-PL"/>
        </w:rPr>
      </w:pPr>
      <w:r>
        <w:rPr>
          <w:noProof/>
          <w:lang w:eastAsia="pl-PL"/>
        </w:rPr>
        <mc:AlternateContent>
          <mc:Choice Requires="wps">
            <w:drawing>
              <wp:anchor distT="0" distB="0" distL="114300" distR="114300" simplePos="0" relativeHeight="252199936" behindDoc="0" locked="0" layoutInCell="1" allowOverlap="1" wp14:anchorId="5AEAFBAF" wp14:editId="5E3A31CB">
                <wp:simplePos x="0" y="0"/>
                <wp:positionH relativeFrom="margin">
                  <wp:posOffset>718185</wp:posOffset>
                </wp:positionH>
                <wp:positionV relativeFrom="paragraph">
                  <wp:posOffset>3175</wp:posOffset>
                </wp:positionV>
                <wp:extent cx="5391150" cy="352425"/>
                <wp:effectExtent l="0" t="0" r="19050" b="28575"/>
                <wp:wrapNone/>
                <wp:docPr id="21" name="Prostokąt zaokrąglony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1150" cy="352425"/>
                        </a:xfrm>
                        <a:prstGeom prst="roundRect">
                          <a:avLst/>
                        </a:prstGeom>
                        <a:solidFill>
                          <a:sysClr val="window" lastClr="FFFFFF">
                            <a:lumMod val="85000"/>
                          </a:sysClr>
                        </a:solidFill>
                        <a:ln w="12700" cap="flat" cmpd="sng" algn="ctr">
                          <a:solidFill>
                            <a:sysClr val="window" lastClr="FFFFFF">
                              <a:lumMod val="85000"/>
                            </a:sysClr>
                          </a:solidFill>
                          <a:prstDash val="solid"/>
                          <a:miter lim="800000"/>
                        </a:ln>
                        <a:effectLst/>
                      </wps:spPr>
                      <wps:txbx>
                        <w:txbxContent>
                          <w:p w14:paraId="0B3180A8" w14:textId="77777777" w:rsidR="005D4C4C" w:rsidRDefault="005D4C4C" w:rsidP="00BA057D">
                            <w:pPr>
                              <w:shd w:val="clear" w:color="auto" w:fill="D9D9D9"/>
                            </w:pPr>
                            <w:r w:rsidRPr="00401D39">
                              <w:rPr>
                                <w:rFonts w:eastAsia="Times New Roman" w:cs="Calibri"/>
                                <w:b/>
                                <w:i/>
                              </w:rPr>
                              <w:t>2. Zapewnienie dostępu do Internetu szerokopasmowego.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EAFBAF" id="Prostokąt zaokrąglony 21" o:spid="_x0000_s1058" style="position:absolute;margin-left:56.55pt;margin-top:.25pt;width:424.5pt;height:27.75pt;z-index:25219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fa7rwIAAJQFAAAOAAAAZHJzL2Uyb0RvYy54bWysVM1u2zAMvg/YOwi6r07cZE2NOkXQIsOA&#10;rA3WDj0rshwblURNUmKn975ZH2yU7KRpt9NQHwxRpPjz8SMvLlslyVZYV4PO6fBkQInQHIpar3P6&#10;637+ZUKJ80wXTIIWOd0JRy+nnz9dNCYTKVQgC2EJOtEua0xOK+9NliSOV0IxdwJGaFSWYBXzKNp1&#10;UljWoHclk3Qw+Jo0YAtjgQvn8Pa6U9Jp9F+WgvvbsnTCE5lTzM3Hv43/Vfgn0wuWrS0zVc37NNh/&#10;ZKFYrTHowdU184xsbP2XK1VzCw5Kf8JBJVCWNRexBqxmOHhXzV3FjIi1IDjOHGByH+eW32yXltRF&#10;TtMhJZop7NESM/Tw+PLsyRODR/vyvMbm7QhaIFyNcRm+ujNLGwp2ZgH80aEieaMJgutt2tKqYIvl&#10;kjZivztgL1pPOF6OT8+HwzG2iKPudJyO0nGIlrBs/9pY578JUCQccmpho4uf2OCIO9sunO/s93Yx&#10;O5B1Ma+ljMLOXUlLtgy5gBQqoKFEMufxMqfz+EVfcqN+QNHZTcaDQWQJJuLi+5iTO/YrNWmQ++kZ&#10;WhLOkMWlZB6PyiCuTq8pYXKN48G9jQHevO68fnxWAYZr5qrOcwzZsV3VHkdO1iqnEyzuUJ7UASQR&#10;h6YH87WJ4eTbVRupcpruibCCYof8sdANljN8XmPcBaK6ZBYnCRHB7eBv8VdKQJigP1FSgX36132w&#10;R4KjlpIGJxMh/L1hVmCzvmuk/vlwNAqjHIXR+CxFwR5rVscavVFXgA1HdmN28RjsvdwfSwvqAZfI&#10;LERFFdMcY3fN6oUr320MXENczGbRDMfXML/Qd4YH5wG6gPh9+8Cs6Snqkdw3sJ9ilr0jaWcbXmqY&#10;bTyUdWRwgLrDtZ8pHP1Iun5Nhd1yLEer12U6/QMAAP//AwBQSwMEFAAGAAgAAAAhAKCWnmDZAAAA&#10;BwEAAA8AAABkcnMvZG93bnJldi54bWxMjkFPg0AQhe8m/ofNmHizu1RFiyyN0fTSxIPYxOsURiCy&#10;s4RdCv57x5M9fnkv7335dnG9OtEYOs8WkpUBRVz5uuPGwuFjd/MIKkTkGnvPZOGHAmyLy4scs9rP&#10;/E6nMjZKRjhkaKGNcci0DlVLDsPKD8SSffnRYRQcG12POMu46/XamFQ77FgeWhzopaXqu5ychf1s&#10;3Ob1bXc3fZbzIfWIjh721l5fLc9PoCIt8b8Mf/qiDoU4Hf3EdVC9cHKbSNXCPSiJN+la8CiYGtBF&#10;rs/9i18AAAD//wMAUEsBAi0AFAAGAAgAAAAhALaDOJL+AAAA4QEAABMAAAAAAAAAAAAAAAAAAAAA&#10;AFtDb250ZW50X1R5cGVzXS54bWxQSwECLQAUAAYACAAAACEAOP0h/9YAAACUAQAACwAAAAAAAAAA&#10;AAAAAAAvAQAAX3JlbHMvLnJlbHNQSwECLQAUAAYACAAAACEAXXH2u68CAACUBQAADgAAAAAAAAAA&#10;AAAAAAAuAgAAZHJzL2Uyb0RvYy54bWxQSwECLQAUAAYACAAAACEAoJaeYNkAAAAHAQAADwAAAAAA&#10;AAAAAAAAAAAJBQAAZHJzL2Rvd25yZXYueG1sUEsFBgAAAAAEAAQA8wAAAA8GAAAAAA==&#10;" fillcolor="#d9d9d9" strokecolor="#d9d9d9" strokeweight="1pt">
                <v:stroke joinstyle="miter"/>
                <v:path arrowok="t"/>
                <v:textbox>
                  <w:txbxContent>
                    <w:p w14:paraId="0B3180A8" w14:textId="77777777" w:rsidR="005D4C4C" w:rsidRDefault="005D4C4C" w:rsidP="00BA057D">
                      <w:pPr>
                        <w:shd w:val="clear" w:color="auto" w:fill="D9D9D9"/>
                      </w:pPr>
                      <w:r w:rsidRPr="00401D39">
                        <w:rPr>
                          <w:rFonts w:eastAsia="Times New Roman" w:cs="Calibri"/>
                          <w:b/>
                          <w:i/>
                        </w:rPr>
                        <w:t>2. Zapewnienie dostępu do Internetu szerokopasmowego.</w:t>
                      </w:r>
                    </w:p>
                  </w:txbxContent>
                </v:textbox>
                <w10:wrap anchorx="margin"/>
              </v:roundrect>
            </w:pict>
          </mc:Fallback>
        </mc:AlternateContent>
      </w:r>
      <w:r>
        <w:rPr>
          <w:noProof/>
          <w:lang w:eastAsia="pl-PL"/>
        </w:rPr>
        <mc:AlternateContent>
          <mc:Choice Requires="wps">
            <w:drawing>
              <wp:anchor distT="0" distB="0" distL="114300" distR="114300" simplePos="0" relativeHeight="252204032" behindDoc="0" locked="0" layoutInCell="1" allowOverlap="1" wp14:anchorId="03C65167" wp14:editId="731F237C">
                <wp:simplePos x="0" y="0"/>
                <wp:positionH relativeFrom="margin">
                  <wp:posOffset>361950</wp:posOffset>
                </wp:positionH>
                <wp:positionV relativeFrom="paragraph">
                  <wp:posOffset>20955</wp:posOffset>
                </wp:positionV>
                <wp:extent cx="342900" cy="314325"/>
                <wp:effectExtent l="0" t="19050" r="38100" b="47625"/>
                <wp:wrapNone/>
                <wp:docPr id="16" name="Strzałka w praw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14325"/>
                        </a:xfrm>
                        <a:prstGeom prst="rightArrow">
                          <a:avLst/>
                        </a:prstGeom>
                        <a:solidFill>
                          <a:srgbClr val="FFC000">
                            <a:lumMod val="60000"/>
                            <a:lumOff val="40000"/>
                          </a:srgbClr>
                        </a:solidFill>
                        <a:ln w="12700" cap="flat" cmpd="sng" algn="ctr">
                          <a:solidFill>
                            <a:srgbClr val="FFC000">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1CB53" id="Strzałka w prawo 16" o:spid="_x0000_s1026" type="#_x0000_t13" style="position:absolute;margin-left:28.5pt;margin-top:1.65pt;width:27pt;height:24.75pt;z-index:25220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9FFqwIAAIsFAAAOAAAAZHJzL2Uyb0RvYy54bWysVM1OGzEQvlfqO1i+l01CoBCRoCgoVaUU&#10;kELF2fF6sxa2xx072cCx79b36ti7CT+tOFS9WPbMeH6++WYuLnfWsK3CoMGNef+ox5lyEkrt1mP+&#10;/W7+6YyzEIUrhQGnxvxRBX45+fjhovEjNYAaTKmQkRMXRo0f8zpGPyqKIGtlRTgCrxwpK0ArIj1x&#10;XZQoGvJuTTHo9U6LBrD0CFKFQNKrVskn2X9VKRlvqiqoyMyYU24xn5jPVTqLyYUYrVH4WssuDfEP&#10;WVihHQU9uLoSUbAN6j9cWS0RAlTxSIItoKq0VLkGqqbfe1PNshZe5VoInOAPMIX/51Zeb2+R6ZJ6&#10;d8qZE5Z6tIz4JH79fBCsYZ4ABUY6AqrxYUT2S3+LqdTgFyAfAimKV5r0CJ3NrkKbbKlQtsuoPx5Q&#10;V7vIJAmPh4PzHvVGkuq4PzwenKRghRjtP3sM8YsCS8kEaiDqdR2niNBkxMV2EWL7YW+YswOjy7k2&#10;Jj9wvZoZZFtBNJjPZz2Kl+RmY79B2YpPSdjxgcTEmlY83IspodC6ycmFl/6NYw0hOPic6xDE48qI&#10;SCVZT8gGt+ZMmDUNiIyYA7/63bl9N7tDGjnpQ3aHpN/LLsFyJULdBsihW95bHWn4jLZjfpbKzOWT&#10;J+MSOCqPTwfuc1PTbQXlI9EGoZ2n4OVcU5CFCPFWIA0QtZOWQryhozJA2EB346wGfPqbPNkTr0nL&#10;WUMDSbj92AhUnJmvjhh/3h8O0wTnx/Dk84Ae+FKzeqlxGzsDanaf1o+X+Zrso9lfKwR7T7tjmqKS&#10;SjhJsdsOdY9ZbBcFbR+pptNsRlPrRVy4pZfJecIpwXu3uxfoO4JGYvY17IdXjN4wtLVNPx1MNxEq&#10;nen7jGs3UDTxmWnddkor5eU7Wz3v0MlvAAAA//8DAFBLAwQUAAYACAAAACEADPTkVN4AAAAHAQAA&#10;DwAAAGRycy9kb3ducmV2LnhtbEyP3UrDQBCF7wXfYRnBG7GbtFZrzKaIUPEHBKMPsEmmSWh2NuxO&#10;2/j2Tq/08swZzvlOvp7coA4YYu/JQDpLQCHVvumpNfD9tblegYpsqbGDJzTwgxHWxflZbrPGH+kT&#10;DyW3SkIoZtZAxzxmWse6Q2fjzI9I4m19cJZFhlY3wR4l3A16niS32tmepKGzIz51WO/KvTNwU431&#10;2xQ+Xl75+arc7O7ft0sOxlxeTI8PoBgn/nuGE76gQyFMld9TE9VgYHknU9jAYgHqZKep6Eru8xXo&#10;Itf/+YtfAAAA//8DAFBLAQItABQABgAIAAAAIQC2gziS/gAAAOEBAAATAAAAAAAAAAAAAAAAAAAA&#10;AABbQ29udGVudF9UeXBlc10ueG1sUEsBAi0AFAAGAAgAAAAhADj9If/WAAAAlAEAAAsAAAAAAAAA&#10;AAAAAAAALwEAAF9yZWxzLy5yZWxzUEsBAi0AFAAGAAgAAAAhALgb0UWrAgAAiwUAAA4AAAAAAAAA&#10;AAAAAAAALgIAAGRycy9lMm9Eb2MueG1sUEsBAi0AFAAGAAgAAAAhAAz05FTeAAAABwEAAA8AAAAA&#10;AAAAAAAAAAAABQUAAGRycy9kb3ducmV2LnhtbFBLBQYAAAAABAAEAPMAAAAQBgAAAAA=&#10;" adj="11700" fillcolor="#ffd966" strokecolor="#ffe699" strokeweight="1pt">
                <v:path arrowok="t"/>
                <w10:wrap anchorx="margin"/>
              </v:shape>
            </w:pict>
          </mc:Fallback>
        </mc:AlternateContent>
      </w:r>
    </w:p>
    <w:p w14:paraId="75F09A2A" w14:textId="77777777" w:rsidR="00BA057D" w:rsidRPr="00401D39" w:rsidRDefault="00BA057D" w:rsidP="00BA057D">
      <w:pPr>
        <w:spacing w:after="0"/>
        <w:rPr>
          <w:rFonts w:eastAsia="Times New Roman" w:cs="Calibri"/>
          <w:b/>
          <w:color w:val="2F5496"/>
          <w:lang w:eastAsia="pl-PL"/>
        </w:rPr>
      </w:pPr>
    </w:p>
    <w:p w14:paraId="2A5736A5" w14:textId="3B86CEEB" w:rsidR="00BA057D" w:rsidRPr="00401D39" w:rsidRDefault="00BA057D" w:rsidP="00BA057D">
      <w:pPr>
        <w:spacing w:after="0"/>
        <w:rPr>
          <w:rFonts w:eastAsia="Times New Roman" w:cs="Calibri"/>
          <w:b/>
          <w:color w:val="2F5496"/>
          <w:lang w:eastAsia="pl-PL"/>
        </w:rPr>
      </w:pPr>
      <w:r>
        <w:rPr>
          <w:noProof/>
          <w:lang w:eastAsia="pl-PL"/>
        </w:rPr>
        <mc:AlternateContent>
          <mc:Choice Requires="wps">
            <w:drawing>
              <wp:anchor distT="0" distB="0" distL="114300" distR="114300" simplePos="0" relativeHeight="252200960" behindDoc="0" locked="0" layoutInCell="1" allowOverlap="1" wp14:anchorId="6A2D9450" wp14:editId="7AE4EDE1">
                <wp:simplePos x="0" y="0"/>
                <wp:positionH relativeFrom="margin">
                  <wp:posOffset>750570</wp:posOffset>
                </wp:positionH>
                <wp:positionV relativeFrom="paragraph">
                  <wp:posOffset>95885</wp:posOffset>
                </wp:positionV>
                <wp:extent cx="5359400" cy="352425"/>
                <wp:effectExtent l="0" t="0" r="12700" b="28575"/>
                <wp:wrapNone/>
                <wp:docPr id="15" name="Prostokąt zaokrąglony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9400" cy="352425"/>
                        </a:xfrm>
                        <a:prstGeom prst="roundRect">
                          <a:avLst/>
                        </a:prstGeom>
                        <a:solidFill>
                          <a:sysClr val="window" lastClr="FFFFFF">
                            <a:lumMod val="85000"/>
                          </a:sysClr>
                        </a:solidFill>
                        <a:ln w="12700" cap="flat" cmpd="sng" algn="ctr">
                          <a:solidFill>
                            <a:sysClr val="window" lastClr="FFFFFF">
                              <a:lumMod val="85000"/>
                            </a:sysClr>
                          </a:solidFill>
                          <a:prstDash val="solid"/>
                          <a:miter lim="800000"/>
                        </a:ln>
                        <a:effectLst/>
                      </wps:spPr>
                      <wps:txbx>
                        <w:txbxContent>
                          <w:p w14:paraId="05217185" w14:textId="77777777" w:rsidR="005D4C4C" w:rsidRDefault="005D4C4C" w:rsidP="00BA057D">
                            <w:pPr>
                              <w:shd w:val="clear" w:color="auto" w:fill="D9D9D9"/>
                            </w:pPr>
                            <w:r w:rsidRPr="00401D39">
                              <w:rPr>
                                <w:rFonts w:eastAsia="Times New Roman" w:cs="Calibri"/>
                                <w:b/>
                                <w:i/>
                                <w:szCs w:val="28"/>
                              </w:rPr>
                              <w:t>3. Otwarty rząd i wspieranie rozwoju społeczeństwa informacyjnego.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2D9450" id="Prostokąt zaokrąglony 15" o:spid="_x0000_s1059" style="position:absolute;margin-left:59.1pt;margin-top:7.55pt;width:422pt;height:27.75pt;z-index:25220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36WrgIAAJQFAAAOAAAAZHJzL2Uyb0RvYy54bWysVM1OGzEQvlfqO1i+l81vgRUbFIFSVUoh&#10;KlScHa83a2F7XNvJJtx5Mx6sY+8mBNpTxR5WHs94fr75Zi4ut1qRjXBegilo/6RHiTAcSmlWBf11&#10;P/tyRokPzJRMgREF3QlPLyefP100NhcDqEGVwhF0Ynze2ILWIdg8yzyvhWb+BKwwqKzAaRZQdKus&#10;dKxB71plg17va9aAK60DLrzH2+tWSSfJf1UJHm6ryotAVEExt5D+Lv2X8Z9NLli+cszWkndpsP/I&#10;QjNpMOjB1TULjKyd/MuVltyBhyqccNAZVJXkItWA1fR776q5q5kVqRYEx9sDTP7j3PKbzcIRWWLv&#10;xpQYprFHC8wwwOPLcyBPDB7dy/MKm7cjaIFwNdbn+OrOLlws2Ns58EePiuyNJgq+s9lWTkdbLJds&#10;E/a7A/ZiGwjHy/FwfD7qYYs46objwWiQomUs37+2zodvAjSJh4I6WJvyJzY44c42cx9iEizf26Xs&#10;QMlyJpVKws5fKUc2DLmAFCqhoUQxH/CyoLP0JV9qrX9A2dqdjXuYVOvYp/cphj/2qwxpEL/BaUqf&#10;IYsrxQJWoi3i6s2KEqZWOB48uBTgzevW68dnFWG4Zr5uPaeQLdu1DDhySuqCnmFxh/KUiSCJNDQd&#10;mK9NjKewXW4TVYbDPRGWUO6QPw7awfKWzyTGnSOqC+ZwkrChuB3CLf4qBQgTdCdKanBP/7qP9khw&#10;1FLS4GQihL/XzAls1neD1D/vj0ZxlJMwGp8OUHDHmuWxxqz1FWDD+7iHLE/HaB/U/lg50A+4RKYx&#10;KqqY4Ri7bVYnXIV2Y+Aa4mI6TWY4vpaFubmzPDqP0EXE77cPzNmOogHJfQP7KWb5O5K2tvGlgek6&#10;QCUTgyPULa7dTOHoJ9J1ayrulmM5Wb0u08kfAAAA//8DAFBLAwQUAAYACAAAACEAJ8NoPN0AAAAJ&#10;AQAADwAAAGRycy9kb3ducmV2LnhtbEyPQU/DMAyF70j8h8hI3FjSCrqtazoh0C6TOFAmcfUar61o&#10;kqpJ1/LvMSe4+dlPz98r9ovtxZXG0HmnIVkpEORqbzrXaDh9HB42IEJEZ7D3jjR8U4B9eXtTYG78&#10;7N7pWsVGcIgLOWpoYxxyKUPdksWw8gM5vl38aDGyHBtpRpw53PYyVSqTFjvHH1oc6KWl+quarIbj&#10;rOz29e3wOH1W8ynziJbWR63v75bnHYhIS/wzwy8+o0PJTGc/ORNEzzrZpGzl4SkBwYZtlvLirGGt&#10;MpBlIf83KH8AAAD//wMAUEsBAi0AFAAGAAgAAAAhALaDOJL+AAAA4QEAABMAAAAAAAAAAAAAAAAA&#10;AAAAAFtDb250ZW50X1R5cGVzXS54bWxQSwECLQAUAAYACAAAACEAOP0h/9YAAACUAQAACwAAAAAA&#10;AAAAAAAAAAAvAQAAX3JlbHMvLnJlbHNQSwECLQAUAAYACAAAACEA9wN+lq4CAACUBQAADgAAAAAA&#10;AAAAAAAAAAAuAgAAZHJzL2Uyb0RvYy54bWxQSwECLQAUAAYACAAAACEAJ8NoPN0AAAAJAQAADwAA&#10;AAAAAAAAAAAAAAAIBQAAZHJzL2Rvd25yZXYueG1sUEsFBgAAAAAEAAQA8wAAABIGAAAAAA==&#10;" fillcolor="#d9d9d9" strokecolor="#d9d9d9" strokeweight="1pt">
                <v:stroke joinstyle="miter"/>
                <v:path arrowok="t"/>
                <v:textbox>
                  <w:txbxContent>
                    <w:p w14:paraId="05217185" w14:textId="77777777" w:rsidR="005D4C4C" w:rsidRDefault="005D4C4C" w:rsidP="00BA057D">
                      <w:pPr>
                        <w:shd w:val="clear" w:color="auto" w:fill="D9D9D9"/>
                      </w:pPr>
                      <w:r w:rsidRPr="00401D39">
                        <w:rPr>
                          <w:rFonts w:eastAsia="Times New Roman" w:cs="Calibri"/>
                          <w:b/>
                          <w:i/>
                          <w:szCs w:val="28"/>
                        </w:rPr>
                        <w:t>3. Otwarty rząd i wspieranie rozwoju społeczeństwa informacyjnego.</w:t>
                      </w:r>
                    </w:p>
                  </w:txbxContent>
                </v:textbox>
                <w10:wrap anchorx="margin"/>
              </v:roundrect>
            </w:pict>
          </mc:Fallback>
        </mc:AlternateContent>
      </w:r>
      <w:r>
        <w:rPr>
          <w:noProof/>
          <w:lang w:eastAsia="pl-PL"/>
        </w:rPr>
        <mc:AlternateContent>
          <mc:Choice Requires="wps">
            <w:drawing>
              <wp:anchor distT="0" distB="0" distL="114300" distR="114300" simplePos="0" relativeHeight="252201984" behindDoc="0" locked="0" layoutInCell="1" allowOverlap="1" wp14:anchorId="719FAE3B" wp14:editId="7089FD18">
                <wp:simplePos x="0" y="0"/>
                <wp:positionH relativeFrom="margin">
                  <wp:posOffset>367665</wp:posOffset>
                </wp:positionH>
                <wp:positionV relativeFrom="paragraph">
                  <wp:posOffset>103505</wp:posOffset>
                </wp:positionV>
                <wp:extent cx="342900" cy="314325"/>
                <wp:effectExtent l="0" t="19050" r="38100" b="47625"/>
                <wp:wrapNone/>
                <wp:docPr id="14" name="Strzałka w praw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14325"/>
                        </a:xfrm>
                        <a:prstGeom prst="rightArrow">
                          <a:avLst/>
                        </a:prstGeom>
                        <a:solidFill>
                          <a:srgbClr val="FFC000">
                            <a:lumMod val="60000"/>
                            <a:lumOff val="40000"/>
                          </a:srgbClr>
                        </a:solidFill>
                        <a:ln w="12700" cap="flat" cmpd="sng" algn="ctr">
                          <a:solidFill>
                            <a:srgbClr val="FFC000">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A59D8" id="Strzałka w prawo 14" o:spid="_x0000_s1026" type="#_x0000_t13" style="position:absolute;margin-left:28.95pt;margin-top:8.15pt;width:27pt;height:24.75pt;z-index:25220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oleqwIAAIsFAAAOAAAAZHJzL2Uyb0RvYy54bWysVM1OGzEQvlfqO1i+l01CoBCRoCgoVaUU&#10;kELF2fF6sxa2xx072cCx79b36ti7CT+tOFS9WPbMeH6++WYuLnfWsK3CoMGNef+ox5lyEkrt1mP+&#10;/W7+6YyzEIUrhQGnxvxRBX45+fjhovEjNYAaTKmQkRMXRo0f8zpGPyqKIGtlRTgCrxwpK0ArIj1x&#10;XZQoGvJuTTHo9U6LBrD0CFKFQNKrVskn2X9VKRlvqiqoyMyYU24xn5jPVTqLyYUYrVH4WssuDfEP&#10;WVihHQU9uLoSUbAN6j9cWS0RAlTxSIItoKq0VLkGqqbfe1PNshZe5VoInOAPMIX/51Zeb2+R6ZJ6&#10;N+TMCUs9WkZ8Er9+PgjWME+AAiMdAdX4MCL7pb/FVGrwC5APgRTFK016hM5mV6FNtlQo22XUHw+o&#10;q11kkoTHw8F5j3ojSXXcHx4PTlKwQoz2nz2G+EWBpWQCNRD1uo5TRGgy4mK7CLH9sDfM2YHR5Vwb&#10;kx+4Xs0Msq0gGsznsx7FS3Kzsd+gbMWnJOz4QGJiTSse7sWUUGjd5OTCS//GsYYQHHzOdQjicWVE&#10;pJKsJ2SDW3MmzJoGREbMgV/97ty+m90hjZz0IbtD0u9ll2C5EqFuA+TQLe+tjjR8RtsxP0tl5vLJ&#10;k3EJHJXHpwP3uanptoLykWiD0M5T8HKuKchChHgrkAaI2klLId7QURkgbKC7cVYDPv1NnuyJ16Tl&#10;rKGBJNx+bAQqzsxXR4w/7w+HaYLzY3jyeUAPfKlZvdS4jZ0BNbtP68fLfE320eyvFYK9p90xTVFJ&#10;JZyk2G2HuscstouCto9U02k2o6n1Ii7c0svkPOGU4L3b3Qv0HUEjMfsa9sMrRm8Y2tqmnw6mmwiV&#10;zvR9xrUbKJr4zLRuO6WV8vKdrZ536OQ3AAAA//8DAFBLAwQUAAYACAAAACEAzDcpb98AAAAIAQAA&#10;DwAAAGRycy9kb3ducmV2LnhtbEyPzU7DMBCE70i8g7VIXBB1AiS0IU6FkIr4kZAIPIATb5Oo8Tqy&#10;3Ta8PdsTHHdmNPtNuZ7tKA7ow+BIQbpIQCC1zgzUKfj+2lwvQYSoyejRESr4wQDr6vys1IVxR/rE&#10;Qx07wSUUCq2gj3EqpAxtj1aHhZuQ2Ns6b3Xk03fSeH3kcjvKmyTJpdUD8YdeT/jUY7ur91bBXTO1&#10;b7P/eHmNz1f1Zrd632bRK3V5MT8+gIg4x78wnPAZHSpmatyeTBCjgux+xUnW81sQJz9NWWgU5NkS&#10;ZFXK/wOqXwAAAP//AwBQSwECLQAUAAYACAAAACEAtoM4kv4AAADhAQAAEwAAAAAAAAAAAAAAAAAA&#10;AAAAW0NvbnRlbnRfVHlwZXNdLnhtbFBLAQItABQABgAIAAAAIQA4/SH/1gAAAJQBAAALAAAAAAAA&#10;AAAAAAAAAC8BAABfcmVscy8ucmVsc1BLAQItABQABgAIAAAAIQDxmoleqwIAAIsFAAAOAAAAAAAA&#10;AAAAAAAAAC4CAABkcnMvZTJvRG9jLnhtbFBLAQItABQABgAIAAAAIQDMNylv3wAAAAgBAAAPAAAA&#10;AAAAAAAAAAAAAAUFAABkcnMvZG93bnJldi54bWxQSwUGAAAAAAQABADzAAAAEQYAAAAA&#10;" adj="11700" fillcolor="#ffd966" strokecolor="#ffe699" strokeweight="1pt">
                <v:path arrowok="t"/>
                <w10:wrap anchorx="margin"/>
              </v:shape>
            </w:pict>
          </mc:Fallback>
        </mc:AlternateContent>
      </w:r>
    </w:p>
    <w:p w14:paraId="6ED8154E" w14:textId="77777777" w:rsidR="00BA057D" w:rsidRPr="00401D39" w:rsidRDefault="00BA057D" w:rsidP="00BA057D">
      <w:pPr>
        <w:spacing w:after="0"/>
        <w:rPr>
          <w:rFonts w:eastAsia="Times New Roman" w:cs="Calibri"/>
          <w:b/>
          <w:color w:val="2F5496"/>
          <w:lang w:eastAsia="pl-PL"/>
        </w:rPr>
      </w:pPr>
    </w:p>
    <w:p w14:paraId="72B64878" w14:textId="77777777" w:rsidR="00BA057D" w:rsidRPr="00401D39" w:rsidRDefault="00BA057D" w:rsidP="00BA057D">
      <w:pPr>
        <w:spacing w:after="0"/>
        <w:rPr>
          <w:rFonts w:eastAsia="Times New Roman" w:cs="Calibri"/>
          <w:b/>
          <w:color w:val="2F5496"/>
          <w:lang w:eastAsia="pl-PL"/>
        </w:rPr>
      </w:pPr>
    </w:p>
    <w:p w14:paraId="56071C9A" w14:textId="77777777" w:rsidR="00BA057D" w:rsidRPr="00401D39" w:rsidRDefault="00BA057D" w:rsidP="00BA057D">
      <w:pPr>
        <w:spacing w:after="0"/>
        <w:rPr>
          <w:rFonts w:eastAsia="Times New Roman" w:cs="Calibri"/>
          <w:b/>
          <w:color w:val="2F5496"/>
          <w:lang w:eastAsia="pl-PL"/>
        </w:rPr>
      </w:pPr>
    </w:p>
    <w:p w14:paraId="69E12745" w14:textId="77777777" w:rsidR="00BA057D" w:rsidRPr="00401D39" w:rsidRDefault="00BA057D" w:rsidP="00BA057D">
      <w:pPr>
        <w:spacing w:after="0"/>
        <w:rPr>
          <w:rFonts w:eastAsia="Times New Roman" w:cs="Calibri"/>
          <w:b/>
          <w:color w:val="2F5496"/>
          <w:lang w:eastAsia="pl-PL"/>
        </w:rPr>
      </w:pPr>
    </w:p>
    <w:p w14:paraId="7DAC6E69" w14:textId="77777777" w:rsidR="00BA057D" w:rsidRPr="00401D39" w:rsidRDefault="00BA057D" w:rsidP="00BA057D">
      <w:pPr>
        <w:pBdr>
          <w:bottom w:val="single" w:sz="24" w:space="1" w:color="FFD966"/>
        </w:pBdr>
        <w:shd w:val="clear" w:color="auto" w:fill="D9D9D9"/>
        <w:spacing w:after="0" w:line="276" w:lineRule="auto"/>
        <w:jc w:val="both"/>
        <w:rPr>
          <w:rFonts w:eastAsia="Times New Roman" w:cs="Calibri"/>
          <w:b/>
          <w:i/>
        </w:rPr>
      </w:pPr>
      <w:r w:rsidRPr="00351158">
        <w:rPr>
          <w:rFonts w:cs="Calibri,Bold"/>
          <w:b/>
          <w:bCs/>
          <w:i/>
        </w:rPr>
        <w:t xml:space="preserve">Kierunek interwencji </w:t>
      </w:r>
      <w:r w:rsidRPr="00401D39">
        <w:rPr>
          <w:rFonts w:eastAsia="Times New Roman" w:cs="Calibri"/>
          <w:b/>
          <w:i/>
        </w:rPr>
        <w:t xml:space="preserve">1. </w:t>
      </w:r>
    </w:p>
    <w:p w14:paraId="5B14A502" w14:textId="77777777" w:rsidR="00BA057D" w:rsidRPr="00401D39" w:rsidRDefault="00BA057D" w:rsidP="00BA057D">
      <w:pPr>
        <w:pBdr>
          <w:bottom w:val="single" w:sz="24" w:space="1" w:color="FFD966"/>
        </w:pBdr>
        <w:shd w:val="clear" w:color="auto" w:fill="D9D9D9"/>
        <w:spacing w:after="0" w:line="276" w:lineRule="auto"/>
        <w:jc w:val="center"/>
        <w:rPr>
          <w:rFonts w:eastAsia="Times New Roman" w:cs="Calibri"/>
          <w:b/>
          <w:i/>
        </w:rPr>
      </w:pPr>
      <w:r w:rsidRPr="00351158">
        <w:rPr>
          <w:b/>
          <w:i/>
        </w:rPr>
        <w:t>Tworzenie warunków dla efektywnej, dostępnej cyfrowo i bezpiecznej e-administracji</w:t>
      </w:r>
    </w:p>
    <w:p w14:paraId="420B2919" w14:textId="77777777" w:rsidR="00BA057D" w:rsidRPr="00401D39" w:rsidRDefault="00BA057D" w:rsidP="00BA057D">
      <w:pPr>
        <w:spacing w:after="0" w:line="276" w:lineRule="auto"/>
        <w:jc w:val="both"/>
        <w:rPr>
          <w:rFonts w:eastAsia="Times New Roman" w:cs="Calibri"/>
        </w:rPr>
      </w:pPr>
      <w:r w:rsidRPr="00401D39">
        <w:rPr>
          <w:rFonts w:eastAsia="Times New Roman" w:cs="Calibri"/>
        </w:rPr>
        <w:t>Punktem wyjścia do stworzenia efektywnej, dostępnej cyfrowo i bezpiecznej e-administracji jest budowa i utrzymanie modelu Architektury Informacyjnej Państwa (AIP), który stanowić ma ramy transformacji cyfrowej kraju. Od wielu lat każda z instytucji rządowych oraz samorządowych samodzielnie buduje własną infrastrukturę informatyczną, którą następnie musi utrzymywać. Przekłada się to na redundancję rozwiązań, utrudniony dostęp do danych oraz rozproszoną informację o e-usługach dostępnych, w tym dostępnych cyfrowo dla obywateli i przedsiębiorców. Wdrożenie modelu AIP, stanowiącego formalny opis sposobu zorganizowania systemów informacyjnych państwa i ich implementacji w systemach teleinformatycznych, z uwzględnieniem otoczenia oraz metody zarządzania ich rozwojem, będzie skutkowało nie tylko identyfikacją potencjalnych punktów synergii, ale również wykorzystaniu ich, jako środka do optymalizacji dostępnych zasobów. Na AIP składają się pryncypia, standardy, modele i procesy zarządzania oraz elementy konieczne do zrealizowania wizji cyfrowego państwa, obejmujące warstwę prawną, organizacyjną, semantyczną i techniczną. W ramach kierunku interwencji dążyć się będzie do stworzenia optymalnych warunków dla efektywnej, dostępnej cyfrowo i bezpiecznej e-administracji dzięki:</w:t>
      </w:r>
    </w:p>
    <w:p w14:paraId="41348916" w14:textId="77777777" w:rsidR="00BA057D" w:rsidRPr="00401D39" w:rsidRDefault="00BA057D" w:rsidP="00723B3F">
      <w:pPr>
        <w:pStyle w:val="Akapitzlist"/>
        <w:numPr>
          <w:ilvl w:val="0"/>
          <w:numId w:val="62"/>
        </w:numPr>
        <w:spacing w:line="276" w:lineRule="auto"/>
        <w:ind w:left="426"/>
        <w:jc w:val="both"/>
        <w:rPr>
          <w:rFonts w:ascii="Calibri" w:eastAsia="Times New Roman" w:hAnsi="Calibri" w:cs="Calibri"/>
          <w:sz w:val="22"/>
          <w:szCs w:val="22"/>
        </w:rPr>
      </w:pPr>
      <w:r w:rsidRPr="00401D39">
        <w:rPr>
          <w:rFonts w:ascii="Calibri" w:eastAsia="Times New Roman" w:hAnsi="Calibri" w:cs="Calibri"/>
          <w:sz w:val="22"/>
          <w:szCs w:val="22"/>
        </w:rPr>
        <w:t>budowie i rozwojowi rozwiązań centralnych,</w:t>
      </w:r>
    </w:p>
    <w:p w14:paraId="177BE524" w14:textId="77777777" w:rsidR="00BA057D" w:rsidRPr="00401D39" w:rsidRDefault="00BA057D" w:rsidP="00723B3F">
      <w:pPr>
        <w:pStyle w:val="Akapitzlist"/>
        <w:numPr>
          <w:ilvl w:val="0"/>
          <w:numId w:val="62"/>
        </w:numPr>
        <w:spacing w:line="276" w:lineRule="auto"/>
        <w:ind w:left="426"/>
        <w:jc w:val="both"/>
        <w:rPr>
          <w:rFonts w:ascii="Calibri" w:eastAsia="Times New Roman" w:hAnsi="Calibri" w:cs="Calibri"/>
          <w:sz w:val="22"/>
          <w:szCs w:val="22"/>
        </w:rPr>
      </w:pPr>
      <w:r w:rsidRPr="00401D39">
        <w:rPr>
          <w:rFonts w:ascii="Calibri" w:eastAsia="Times New Roman" w:hAnsi="Calibri" w:cs="Calibri"/>
          <w:sz w:val="22"/>
          <w:szCs w:val="22"/>
        </w:rPr>
        <w:t>budowie rozwiązań standaryzowanych,</w:t>
      </w:r>
    </w:p>
    <w:p w14:paraId="071248E2" w14:textId="77777777" w:rsidR="00BA057D" w:rsidRPr="00401D39" w:rsidRDefault="00BA057D" w:rsidP="00723B3F">
      <w:pPr>
        <w:pStyle w:val="Akapitzlist"/>
        <w:numPr>
          <w:ilvl w:val="0"/>
          <w:numId w:val="62"/>
        </w:numPr>
        <w:spacing w:line="276" w:lineRule="auto"/>
        <w:ind w:left="426"/>
        <w:jc w:val="both"/>
        <w:rPr>
          <w:rFonts w:ascii="Calibri" w:eastAsia="Times New Roman" w:hAnsi="Calibri" w:cs="Calibri"/>
          <w:sz w:val="22"/>
          <w:szCs w:val="22"/>
        </w:rPr>
      </w:pPr>
      <w:r w:rsidRPr="00401D39">
        <w:rPr>
          <w:rFonts w:ascii="Calibri" w:eastAsia="Times New Roman" w:hAnsi="Calibri" w:cs="Calibri"/>
          <w:sz w:val="22"/>
          <w:szCs w:val="22"/>
        </w:rPr>
        <w:t>zapewnieniu bezpieczeństwa infrastruktury teleinformatycznej, danych i informacji,</w:t>
      </w:r>
    </w:p>
    <w:p w14:paraId="6382BF6B" w14:textId="77777777" w:rsidR="00BA057D" w:rsidRPr="00401D39" w:rsidRDefault="00BA057D" w:rsidP="00723B3F">
      <w:pPr>
        <w:pStyle w:val="Akapitzlist"/>
        <w:numPr>
          <w:ilvl w:val="0"/>
          <w:numId w:val="62"/>
        </w:numPr>
        <w:spacing w:line="276" w:lineRule="auto"/>
        <w:ind w:left="426"/>
        <w:jc w:val="both"/>
        <w:rPr>
          <w:rFonts w:ascii="Calibri" w:eastAsia="Times New Roman" w:hAnsi="Calibri" w:cs="Calibri"/>
          <w:sz w:val="22"/>
          <w:szCs w:val="22"/>
        </w:rPr>
      </w:pPr>
      <w:r w:rsidRPr="00401D39">
        <w:rPr>
          <w:rFonts w:ascii="Calibri" w:eastAsia="Times New Roman" w:hAnsi="Calibri" w:cs="Calibri"/>
          <w:sz w:val="22"/>
          <w:szCs w:val="22"/>
        </w:rPr>
        <w:t>wspieraniu rozwoju i wykorzystaniu nowoczesnych technologii,</w:t>
      </w:r>
    </w:p>
    <w:p w14:paraId="29F66A5A" w14:textId="77777777" w:rsidR="00BA057D" w:rsidRPr="00401D39" w:rsidRDefault="00BA057D" w:rsidP="00723B3F">
      <w:pPr>
        <w:pStyle w:val="Akapitzlist"/>
        <w:numPr>
          <w:ilvl w:val="0"/>
          <w:numId w:val="62"/>
        </w:numPr>
        <w:spacing w:line="276" w:lineRule="auto"/>
        <w:ind w:left="426"/>
        <w:jc w:val="both"/>
        <w:rPr>
          <w:rFonts w:ascii="Calibri" w:eastAsia="Times New Roman" w:hAnsi="Calibri" w:cs="Calibri"/>
          <w:sz w:val="22"/>
          <w:szCs w:val="22"/>
        </w:rPr>
      </w:pPr>
      <w:r w:rsidRPr="00401D39">
        <w:rPr>
          <w:rFonts w:ascii="Calibri" w:eastAsia="Times New Roman" w:hAnsi="Calibri" w:cs="Calibri"/>
          <w:sz w:val="22"/>
          <w:szCs w:val="22"/>
        </w:rPr>
        <w:t>świadczeniu e-usług publicznych,</w:t>
      </w:r>
    </w:p>
    <w:p w14:paraId="6D5AC98C" w14:textId="77777777" w:rsidR="00BA057D" w:rsidRPr="00401D39" w:rsidRDefault="00BA057D" w:rsidP="00723B3F">
      <w:pPr>
        <w:pStyle w:val="Akapitzlist"/>
        <w:numPr>
          <w:ilvl w:val="0"/>
          <w:numId w:val="62"/>
        </w:numPr>
        <w:spacing w:after="120" w:line="276" w:lineRule="auto"/>
        <w:ind w:left="426"/>
        <w:jc w:val="both"/>
        <w:rPr>
          <w:rFonts w:ascii="Calibri" w:hAnsi="Calibri"/>
          <w:sz w:val="22"/>
          <w:szCs w:val="22"/>
        </w:rPr>
      </w:pPr>
      <w:r w:rsidRPr="00401D39">
        <w:rPr>
          <w:rFonts w:ascii="Calibri" w:hAnsi="Calibri"/>
          <w:sz w:val="22"/>
          <w:szCs w:val="22"/>
        </w:rPr>
        <w:t>społecznościowemu projektowaniu usług cyfrowych z wykorzystaniem Cyfrowej Piaskownicy Administracji,</w:t>
      </w:r>
    </w:p>
    <w:p w14:paraId="4EF2EB4E" w14:textId="77777777" w:rsidR="00BA057D" w:rsidRPr="00401D39" w:rsidRDefault="00BA057D" w:rsidP="00723B3F">
      <w:pPr>
        <w:pStyle w:val="Akapitzlist"/>
        <w:numPr>
          <w:ilvl w:val="0"/>
          <w:numId w:val="62"/>
        </w:numPr>
        <w:ind w:left="426"/>
        <w:rPr>
          <w:rFonts w:ascii="Calibri" w:hAnsi="Calibri"/>
          <w:sz w:val="22"/>
          <w:szCs w:val="22"/>
        </w:rPr>
      </w:pPr>
      <w:r w:rsidRPr="00401D39">
        <w:rPr>
          <w:rFonts w:ascii="Calibri" w:hAnsi="Calibri"/>
          <w:sz w:val="22"/>
          <w:szCs w:val="22"/>
        </w:rPr>
        <w:t>zapewnieniu dostępności cyfrowej usług i aplikacji w ramach e-administracji.</w:t>
      </w:r>
    </w:p>
    <w:p w14:paraId="5839FB75" w14:textId="77777777" w:rsidR="00BA057D" w:rsidRPr="00401D39" w:rsidRDefault="00BA057D" w:rsidP="00BA057D">
      <w:pPr>
        <w:spacing w:before="120" w:after="120" w:line="276" w:lineRule="auto"/>
        <w:jc w:val="both"/>
        <w:rPr>
          <w:rFonts w:eastAsia="Times New Roman" w:cs="Calibri"/>
        </w:rPr>
      </w:pPr>
      <w:r w:rsidRPr="00401D39">
        <w:rPr>
          <w:rFonts w:eastAsia="Times New Roman" w:cs="Calibri"/>
        </w:rPr>
        <w:t xml:space="preserve">Elementem zapewnienia warunków dla efektywnej, dostępnej cyfrowo i bezpiecznej e-administracji będzie także zagwarantowanie odpowiedniego zaplecza administracyjnego (z ang. </w:t>
      </w:r>
      <w:r w:rsidRPr="00E94BC9">
        <w:rPr>
          <w:i/>
        </w:rPr>
        <w:t>back-office</w:t>
      </w:r>
      <w:r w:rsidRPr="00401D39">
        <w:rPr>
          <w:rFonts w:eastAsia="Times New Roman" w:cs="Calibri"/>
        </w:rPr>
        <w:t>) w podmiotach publicznych stanowiących ekosystem e-administracji, w szczególności instrumentów finansowych (w tym w miarę możliwości bezzwrotnych źródeł zagranicznych) ukierunkowanych na rewitalizację zasobów informatycznych, w szczególności urządzeń i infrastruktury komputerowej.</w:t>
      </w:r>
    </w:p>
    <w:p w14:paraId="43709577" w14:textId="77777777" w:rsidR="00BA057D" w:rsidRPr="00401D39" w:rsidRDefault="00BA057D" w:rsidP="00BA057D">
      <w:pPr>
        <w:spacing w:after="0"/>
        <w:ind w:left="68"/>
        <w:jc w:val="both"/>
        <w:rPr>
          <w:rFonts w:eastAsia="Times New Roman" w:cs="Calibri"/>
        </w:rPr>
      </w:pPr>
      <w:r w:rsidRPr="00401D39">
        <w:rPr>
          <w:rFonts w:eastAsia="Times New Roman" w:cs="Calibri"/>
          <w:b/>
          <w:u w:val="single"/>
        </w:rPr>
        <w:t xml:space="preserve">1.1. Budowa i rozwój rozwiązań centralnych. </w:t>
      </w:r>
      <w:r w:rsidRPr="00401D39">
        <w:rPr>
          <w:rFonts w:eastAsia="Times New Roman" w:cs="Calibri"/>
        </w:rPr>
        <w:t>W ramach kierunku interwencji 1.1. prace skoncentrowane będą na następujących działaniach:</w:t>
      </w:r>
    </w:p>
    <w:p w14:paraId="5122C787" w14:textId="77777777" w:rsidR="00BA057D" w:rsidRPr="00401D39" w:rsidRDefault="00BA057D" w:rsidP="00723B3F">
      <w:pPr>
        <w:numPr>
          <w:ilvl w:val="0"/>
          <w:numId w:val="22"/>
        </w:numPr>
        <w:spacing w:after="0" w:line="276" w:lineRule="auto"/>
        <w:ind w:left="284" w:hanging="284"/>
        <w:jc w:val="both"/>
        <w:rPr>
          <w:rFonts w:eastAsia="Times New Roman" w:cs="Calibri"/>
        </w:rPr>
      </w:pPr>
      <w:r w:rsidRPr="00401D39">
        <w:rPr>
          <w:rFonts w:eastAsia="Times New Roman" w:cs="Calibri"/>
          <w:bCs/>
        </w:rPr>
        <w:t>rozwój krajowego schematu identyfikacji elektronicznej</w:t>
      </w:r>
      <w:r w:rsidRPr="00401D39">
        <w:rPr>
          <w:rFonts w:eastAsia="Times New Roman" w:cs="Calibri"/>
        </w:rPr>
        <w:t xml:space="preserve"> (powszechny system identyfikacji elektronicznej)</w:t>
      </w:r>
      <w:r w:rsidRPr="00401D39">
        <w:rPr>
          <w:rFonts w:eastAsia="Times New Roman" w:cs="Calibri"/>
          <w:bCs/>
        </w:rPr>
        <w:t>, w ramach którego dopuszczone będzie wykorzystywanie systemów identyfikacji elektronicznej zarówno z sektora publicznego, jak i prywatnego (np. bankowego, telekomunikacyjnego) w usługach publicznych</w:t>
      </w:r>
      <w:r w:rsidRPr="00401D39">
        <w:rPr>
          <w:rFonts w:eastAsia="Times New Roman" w:cs="Calibri"/>
        </w:rPr>
        <w:t>,</w:t>
      </w:r>
    </w:p>
    <w:p w14:paraId="3E4D62F4" w14:textId="77777777" w:rsidR="00BA057D" w:rsidRDefault="00BA057D" w:rsidP="00723B3F">
      <w:pPr>
        <w:numPr>
          <w:ilvl w:val="0"/>
          <w:numId w:val="22"/>
        </w:numPr>
        <w:spacing w:after="0" w:line="276" w:lineRule="auto"/>
        <w:ind w:left="284" w:hanging="284"/>
        <w:jc w:val="both"/>
        <w:rPr>
          <w:i/>
          <w:iCs/>
          <w:lang w:eastAsia="pl-PL"/>
        </w:rPr>
      </w:pPr>
      <w:r w:rsidRPr="00401D39">
        <w:rPr>
          <w:rFonts w:eastAsia="Times New Roman" w:cs="Calibri"/>
        </w:rPr>
        <w:t xml:space="preserve">rozwój </w:t>
      </w:r>
      <w:r w:rsidRPr="001E13E4">
        <w:rPr>
          <w:lang w:eastAsia="pl-PL"/>
        </w:rPr>
        <w:t>Portalu RP (</w:t>
      </w:r>
      <w:r w:rsidRPr="00401D39">
        <w:rPr>
          <w:rFonts w:eastAsia="Times New Roman" w:cs="Calibri"/>
        </w:rPr>
        <w:t>portalu gov.pl</w:t>
      </w:r>
      <w:r w:rsidRPr="001E13E4">
        <w:rPr>
          <w:lang w:eastAsia="pl-PL"/>
        </w:rPr>
        <w:t>)</w:t>
      </w:r>
      <w:r w:rsidRPr="00401D39">
        <w:rPr>
          <w:rFonts w:eastAsia="Times New Roman" w:cs="Calibri"/>
        </w:rPr>
        <w:t xml:space="preserve"> jako bramy dostępu do informacji i usług administracji publicznej, tak aby</w:t>
      </w:r>
      <w:r w:rsidRPr="001E13E4">
        <w:rPr>
          <w:lang w:eastAsia="pl-PL"/>
        </w:rPr>
        <w:t xml:space="preserve">: </w:t>
      </w:r>
      <w:r w:rsidRPr="001E13E4">
        <w:rPr>
          <w:lang w:eastAsia="pl-PL"/>
        </w:rPr>
        <w:br/>
        <w:t>a.</w:t>
      </w:r>
      <w:r w:rsidRPr="00401D39">
        <w:rPr>
          <w:rFonts w:eastAsia="Times New Roman" w:cs="Calibri"/>
        </w:rPr>
        <w:t xml:space="preserve"> użytkownik miał możliwość realizacji wszystkich swoich potrzeb związanych z kontaktem z administracją publiczną w ramach jednego portalu, przy jednoczesnym podkreśleniu, że oferowane usługi powinny być prezentowane w sposób </w:t>
      </w:r>
      <w:r w:rsidRPr="00401D39" w:rsidDel="00191B0A">
        <w:rPr>
          <w:rFonts w:eastAsia="Times New Roman" w:cs="Calibri"/>
        </w:rPr>
        <w:t>użyteczny</w:t>
      </w:r>
      <w:r w:rsidRPr="00401D39">
        <w:rPr>
          <w:rFonts w:eastAsia="Times New Roman" w:cs="Calibri"/>
        </w:rPr>
        <w:t>, dostępny, jednolity</w:t>
      </w:r>
      <w:r w:rsidRPr="001E13E4">
        <w:rPr>
          <w:lang w:eastAsia="pl-PL"/>
        </w:rPr>
        <w:t>,</w:t>
      </w:r>
      <w:r w:rsidRPr="00401D39">
        <w:rPr>
          <w:rFonts w:eastAsia="Times New Roman" w:cs="Calibri"/>
        </w:rPr>
        <w:t xml:space="preserve"> i zapewnianiający bezpieczeństwo oraz wygodę </w:t>
      </w:r>
      <w:r w:rsidRPr="001E13E4">
        <w:rPr>
          <w:lang w:eastAsia="pl-PL"/>
        </w:rPr>
        <w:t xml:space="preserve">użytkowania, </w:t>
      </w:r>
      <w:r w:rsidRPr="001E13E4">
        <w:rPr>
          <w:lang w:eastAsia="pl-PL"/>
        </w:rPr>
        <w:br/>
        <w:t>b. administracja mogła efektywnie komunikować się obywatelami, wykorzystując użyteczne, dostępne i</w:t>
      </w:r>
      <w:r>
        <w:rPr>
          <w:lang w:eastAsia="pl-PL"/>
        </w:rPr>
        <w:t> </w:t>
      </w:r>
      <w:r w:rsidRPr="001E13E4">
        <w:rPr>
          <w:lang w:eastAsia="pl-PL"/>
        </w:rPr>
        <w:t>nowoczesne kanały komunikacji</w:t>
      </w:r>
      <w:r w:rsidRPr="00401D39">
        <w:rPr>
          <w:rFonts w:eastAsia="Times New Roman" w:cs="Calibri"/>
        </w:rPr>
        <w:t xml:space="preserve"> </w:t>
      </w:r>
      <w:r w:rsidRPr="001E13E4">
        <w:rPr>
          <w:lang w:eastAsia="pl-PL"/>
        </w:rPr>
        <w:t>jak najszerszego spektrum</w:t>
      </w:r>
      <w:r w:rsidRPr="004F293E">
        <w:rPr>
          <w:i/>
          <w:iCs/>
          <w:lang w:eastAsia="pl-PL"/>
        </w:rPr>
        <w:t>,</w:t>
      </w:r>
    </w:p>
    <w:p w14:paraId="39DA0D79" w14:textId="77777777" w:rsidR="00BA057D" w:rsidRPr="004F293E" w:rsidRDefault="00BA057D" w:rsidP="00BA057D">
      <w:pPr>
        <w:spacing w:after="0" w:line="276" w:lineRule="auto"/>
        <w:ind w:left="284"/>
        <w:jc w:val="both"/>
        <w:rPr>
          <w:i/>
          <w:iCs/>
          <w:lang w:eastAsia="pl-PL"/>
        </w:rPr>
      </w:pPr>
      <w:r w:rsidRPr="004F293E">
        <w:rPr>
          <w:bCs/>
          <w:lang w:eastAsia="pl-PL"/>
        </w:rPr>
        <w:t>c. administracja otrzymywała efekty w możliwie najkrótszym czasie i mogła reagować elastycznie na stale zmieniające się potrzeby użytkowników,</w:t>
      </w:r>
    </w:p>
    <w:p w14:paraId="7D43A4D5" w14:textId="77777777" w:rsidR="00BA057D" w:rsidRDefault="00BA057D" w:rsidP="00BA057D">
      <w:pPr>
        <w:spacing w:line="276" w:lineRule="auto"/>
        <w:ind w:left="284"/>
        <w:contextualSpacing/>
        <w:jc w:val="both"/>
        <w:rPr>
          <w:lang w:eastAsia="pl-PL"/>
        </w:rPr>
      </w:pPr>
      <w:r w:rsidRPr="001E13E4">
        <w:rPr>
          <w:lang w:eastAsia="pl-PL"/>
        </w:rPr>
        <w:t xml:space="preserve">d. </w:t>
      </w:r>
      <w:r w:rsidRPr="00AF18C2">
        <w:rPr>
          <w:lang w:eastAsia="pl-PL"/>
        </w:rPr>
        <w:t>centralna wyszukiwarka zasobów administracji publicznej wdrażana na Portalu RP umożliwi wyszukanie i wyświetlenie informacji znajdujących się na stronach Portalu RP (gov.pl) oraz pobieranie informacji z rozproszonych źródeł, które obecnie nie są dostępne w jednym miejscu dla obywateli</w:t>
      </w:r>
      <w:r>
        <w:rPr>
          <w:lang w:eastAsia="pl-PL"/>
        </w:rPr>
        <w:t>;</w:t>
      </w:r>
    </w:p>
    <w:p w14:paraId="27178354" w14:textId="77777777" w:rsidR="00BA057D" w:rsidRPr="001E13E4" w:rsidRDefault="00BA057D" w:rsidP="00BA057D">
      <w:pPr>
        <w:spacing w:line="276" w:lineRule="auto"/>
        <w:ind w:firstLine="284"/>
        <w:contextualSpacing/>
        <w:jc w:val="both"/>
        <w:rPr>
          <w:i/>
          <w:iCs/>
          <w:lang w:eastAsia="pl-PL"/>
        </w:rPr>
      </w:pPr>
      <w:r>
        <w:rPr>
          <w:lang w:eastAsia="pl-PL"/>
        </w:rPr>
        <w:t xml:space="preserve">e. </w:t>
      </w:r>
      <w:r w:rsidRPr="001E13E4">
        <w:rPr>
          <w:lang w:eastAsia="pl-PL"/>
        </w:rPr>
        <w:t>portal był stale udoskonalany:</w:t>
      </w:r>
    </w:p>
    <w:p w14:paraId="4C160269" w14:textId="77777777" w:rsidR="00BA057D" w:rsidRPr="001E13E4" w:rsidRDefault="00BA057D" w:rsidP="00723B3F">
      <w:pPr>
        <w:numPr>
          <w:ilvl w:val="1"/>
          <w:numId w:val="22"/>
        </w:numPr>
        <w:spacing w:after="0" w:line="276" w:lineRule="auto"/>
        <w:ind w:left="993" w:hanging="284"/>
        <w:contextualSpacing/>
        <w:jc w:val="both"/>
        <w:rPr>
          <w:i/>
          <w:iCs/>
          <w:lang w:eastAsia="pl-PL"/>
        </w:rPr>
      </w:pPr>
      <w:r w:rsidRPr="001E13E4">
        <w:rPr>
          <w:lang w:eastAsia="pl-PL"/>
        </w:rPr>
        <w:t>podążał za najnowszymi trendami technologicznymi i stale podnosił swoją użyteczność</w:t>
      </w:r>
      <w:r>
        <w:rPr>
          <w:lang w:eastAsia="pl-PL"/>
        </w:rPr>
        <w:t xml:space="preserve"> </w:t>
      </w:r>
      <w:r w:rsidRPr="00401D39">
        <w:rPr>
          <w:rFonts w:eastAsia="Times New Roman" w:cs="Calibri"/>
        </w:rPr>
        <w:t xml:space="preserve"> i </w:t>
      </w:r>
      <w:r w:rsidRPr="001E13E4">
        <w:rPr>
          <w:lang w:eastAsia="pl-PL"/>
        </w:rPr>
        <w:t xml:space="preserve">dostępność, </w:t>
      </w:r>
      <w:r w:rsidRPr="001E13E4">
        <w:rPr>
          <w:bCs/>
          <w:lang w:eastAsia="pl-PL"/>
        </w:rPr>
        <w:t>co będzie popierane stałym cyklem badań potrzeb użytkowników oraz testowymi wdrożeniami nowych technologii w ramach prowadzonych prac badawczo-rozwojowych,</w:t>
      </w:r>
      <w:r>
        <w:rPr>
          <w:bCs/>
          <w:lang w:eastAsia="pl-PL"/>
        </w:rPr>
        <w:t xml:space="preserve"> </w:t>
      </w:r>
      <w:r w:rsidRPr="001E13E4">
        <w:rPr>
          <w:lang w:eastAsia="pl-PL"/>
        </w:rPr>
        <w:t>rozwijał personalizację komunikacji z obywatelami, w tym w szczególności poprzez rozwój tzw. konta użytkownika dostępnego pod adresem moj.gov.pl,</w:t>
      </w:r>
    </w:p>
    <w:p w14:paraId="03674845" w14:textId="77777777" w:rsidR="00BA057D" w:rsidRPr="001E13E4" w:rsidRDefault="00BA057D" w:rsidP="00723B3F">
      <w:pPr>
        <w:numPr>
          <w:ilvl w:val="1"/>
          <w:numId w:val="22"/>
        </w:numPr>
        <w:spacing w:after="0" w:line="276" w:lineRule="auto"/>
        <w:ind w:left="993" w:hanging="284"/>
        <w:contextualSpacing/>
        <w:jc w:val="both"/>
        <w:rPr>
          <w:bCs/>
          <w:i/>
          <w:iCs/>
          <w:lang w:eastAsia="pl-PL"/>
        </w:rPr>
      </w:pPr>
      <w:r w:rsidRPr="001E13E4">
        <w:rPr>
          <w:lang w:eastAsia="pl-PL"/>
        </w:rPr>
        <w:t xml:space="preserve">redukował powielanie treści oraz liczbę utrzymywanych w administracji systemów informatycznych </w:t>
      </w:r>
      <w:r w:rsidRPr="001E13E4">
        <w:rPr>
          <w:bCs/>
          <w:lang w:eastAsia="pl-PL"/>
        </w:rPr>
        <w:t>dzięki ich integracji na wspólnej platformie, w tym w szczególności w</w:t>
      </w:r>
      <w:r>
        <w:rPr>
          <w:bCs/>
          <w:lang w:eastAsia="pl-PL"/>
        </w:rPr>
        <w:t> </w:t>
      </w:r>
      <w:r w:rsidRPr="001E13E4">
        <w:rPr>
          <w:bCs/>
          <w:lang w:eastAsia="pl-PL"/>
        </w:rPr>
        <w:t>zakresie potrzeb ministerstw, Kancelarii Prezesa Rady Ministrów, urzędów wojewódzkich oraz ich stron BIP;</w:t>
      </w:r>
    </w:p>
    <w:p w14:paraId="2C4C358A" w14:textId="77777777" w:rsidR="00BA057D" w:rsidRPr="00E94BC9" w:rsidRDefault="00BA057D" w:rsidP="00723B3F">
      <w:pPr>
        <w:pStyle w:val="Akapitzlist"/>
        <w:numPr>
          <w:ilvl w:val="0"/>
          <w:numId w:val="39"/>
        </w:numPr>
        <w:spacing w:line="276" w:lineRule="auto"/>
        <w:ind w:left="283" w:hanging="357"/>
        <w:jc w:val="both"/>
        <w:rPr>
          <w:rFonts w:ascii="Calibri" w:hAnsi="Calibri"/>
          <w:sz w:val="22"/>
        </w:rPr>
      </w:pPr>
      <w:r w:rsidRPr="00E94BC9">
        <w:rPr>
          <w:rFonts w:ascii="Calibri" w:hAnsi="Calibri"/>
          <w:sz w:val="22"/>
        </w:rPr>
        <w:t xml:space="preserve">stworzenie </w:t>
      </w:r>
      <w:r w:rsidRPr="001E13E4">
        <w:rPr>
          <w:rFonts w:ascii="Calibri" w:hAnsi="Calibri" w:cs="Calibri"/>
          <w:sz w:val="22"/>
          <w:szCs w:val="22"/>
        </w:rPr>
        <w:t xml:space="preserve">Katalogów Administracji Publicznej ꟷ </w:t>
      </w:r>
      <w:r w:rsidRPr="00E94BC9">
        <w:rPr>
          <w:rFonts w:ascii="Calibri" w:hAnsi="Calibri"/>
          <w:sz w:val="22"/>
        </w:rPr>
        <w:t xml:space="preserve">referencyjnych rejestrów państwowych </w:t>
      </w:r>
      <w:r>
        <w:rPr>
          <w:rFonts w:ascii="Calibri" w:hAnsi="Calibri" w:cs="Calibri"/>
          <w:sz w:val="22"/>
          <w:szCs w:val="22"/>
        </w:rPr>
        <w:t xml:space="preserve"> </w:t>
      </w:r>
      <w:r w:rsidRPr="00401D39">
        <w:rPr>
          <w:rFonts w:ascii="Calibri" w:eastAsia="Times New Roman" w:hAnsi="Calibri" w:cs="Calibri"/>
          <w:sz w:val="22"/>
          <w:szCs w:val="22"/>
        </w:rPr>
        <w:t>udostępniających</w:t>
      </w:r>
      <w:r w:rsidRPr="00E94BC9">
        <w:rPr>
          <w:rFonts w:ascii="Calibri" w:hAnsi="Calibri"/>
          <w:sz w:val="22"/>
        </w:rPr>
        <w:t xml:space="preserve"> spójne, aktualne, kompletne, wysokiej jakości dane o podmiotach publicznych, usługach publicznych oraz </w:t>
      </w:r>
      <w:r w:rsidRPr="001E13E4">
        <w:rPr>
          <w:rFonts w:ascii="Calibri" w:hAnsi="Calibri" w:cs="Calibri"/>
          <w:sz w:val="22"/>
          <w:szCs w:val="22"/>
        </w:rPr>
        <w:t xml:space="preserve">o </w:t>
      </w:r>
      <w:r w:rsidRPr="00E94BC9">
        <w:rPr>
          <w:rFonts w:ascii="Calibri" w:hAnsi="Calibri"/>
          <w:sz w:val="22"/>
        </w:rPr>
        <w:t xml:space="preserve">powiązanych z nimi wzorach dokumentów i zasobach informacyjnych </w:t>
      </w:r>
      <w:r w:rsidRPr="001E13E4">
        <w:rPr>
          <w:rFonts w:ascii="Calibri" w:hAnsi="Calibri" w:cs="Calibri"/>
          <w:sz w:val="22"/>
          <w:szCs w:val="22"/>
        </w:rPr>
        <w:t>państwa; rejestry KAP będą wykorzystywane przez Portal RP (gov.pl) oraz inne portale usługowe i systemy dziedzinowe realizujące</w:t>
      </w:r>
      <w:r w:rsidRPr="00E94BC9">
        <w:rPr>
          <w:rFonts w:ascii="Calibri" w:hAnsi="Calibri"/>
          <w:sz w:val="22"/>
        </w:rPr>
        <w:t xml:space="preserve"> e-usługi dla obywateli, przedsiębiorców, organizacji i urzędników</w:t>
      </w:r>
      <w:r w:rsidRPr="001E13E4">
        <w:rPr>
          <w:rFonts w:ascii="Calibri" w:hAnsi="Calibri" w:cs="Calibri"/>
          <w:sz w:val="22"/>
          <w:szCs w:val="22"/>
        </w:rPr>
        <w:t xml:space="preserve">; katalogi będą wspierały zarządzanie </w:t>
      </w:r>
      <w:r w:rsidRPr="00E94BC9">
        <w:rPr>
          <w:rFonts w:ascii="Calibri" w:hAnsi="Calibri"/>
          <w:sz w:val="22"/>
        </w:rPr>
        <w:t xml:space="preserve">rozwojem e-usług publicznych i </w:t>
      </w:r>
      <w:r w:rsidRPr="001E13E4">
        <w:rPr>
          <w:rFonts w:ascii="Calibri" w:hAnsi="Calibri" w:cs="Calibri"/>
          <w:sz w:val="22"/>
          <w:szCs w:val="22"/>
        </w:rPr>
        <w:t>realizację</w:t>
      </w:r>
      <w:r w:rsidRPr="00E94BC9">
        <w:rPr>
          <w:rFonts w:ascii="Calibri" w:hAnsi="Calibri"/>
          <w:sz w:val="22"/>
        </w:rPr>
        <w:t xml:space="preserve"> polityki zarządzania danymi;</w:t>
      </w:r>
    </w:p>
    <w:p w14:paraId="02AECB00" w14:textId="77777777" w:rsidR="00BA057D" w:rsidRPr="00401D39" w:rsidRDefault="00BA057D" w:rsidP="00723B3F">
      <w:pPr>
        <w:pStyle w:val="Akapitzlist"/>
        <w:numPr>
          <w:ilvl w:val="0"/>
          <w:numId w:val="39"/>
        </w:numPr>
        <w:spacing w:line="276" w:lineRule="auto"/>
        <w:ind w:left="283" w:hanging="357"/>
        <w:jc w:val="both"/>
        <w:rPr>
          <w:rFonts w:ascii="Calibri" w:eastAsia="Times New Roman" w:hAnsi="Calibri" w:cs="Calibri"/>
          <w:sz w:val="22"/>
          <w:szCs w:val="22"/>
        </w:rPr>
      </w:pPr>
      <w:r w:rsidRPr="00401D39">
        <w:rPr>
          <w:rFonts w:ascii="Calibri" w:eastAsia="Times New Roman" w:hAnsi="Calibri" w:cs="Calibri"/>
          <w:sz w:val="22"/>
          <w:szCs w:val="22"/>
        </w:rPr>
        <w:t>stworzenie centralnego rejestru wyborców usprawniającego obsługę wyborów, a także załatwianie spraw związanych ze zmianami w spisie i rejestrze wyborców;</w:t>
      </w:r>
    </w:p>
    <w:p w14:paraId="06AE66A4" w14:textId="77777777" w:rsidR="00BA057D" w:rsidRPr="00401D39" w:rsidRDefault="00BA057D" w:rsidP="00723B3F">
      <w:pPr>
        <w:pStyle w:val="Akapitzlist"/>
        <w:numPr>
          <w:ilvl w:val="0"/>
          <w:numId w:val="39"/>
        </w:numPr>
        <w:spacing w:line="276" w:lineRule="auto"/>
        <w:ind w:left="284"/>
        <w:jc w:val="both"/>
        <w:rPr>
          <w:rFonts w:ascii="Calibri" w:eastAsia="Times New Roman" w:hAnsi="Calibri" w:cs="Calibri"/>
          <w:sz w:val="22"/>
          <w:szCs w:val="22"/>
        </w:rPr>
      </w:pPr>
      <w:r w:rsidRPr="00401D39">
        <w:rPr>
          <w:rFonts w:ascii="Calibri" w:eastAsia="Times New Roman" w:hAnsi="Calibri" w:cs="Calibri"/>
          <w:sz w:val="22"/>
          <w:szCs w:val="22"/>
        </w:rPr>
        <w:t>konsekwentne podnoszenie użyteczności i zastosowań aplikacji mobilnej mObywatel, oferującej dostęp do cyfrowych wersji dokumentów;</w:t>
      </w:r>
    </w:p>
    <w:p w14:paraId="6BA4586D" w14:textId="77777777" w:rsidR="00BA057D" w:rsidRPr="00401D39" w:rsidRDefault="00BA057D" w:rsidP="00723B3F">
      <w:pPr>
        <w:pStyle w:val="Akapitzlist"/>
        <w:numPr>
          <w:ilvl w:val="0"/>
          <w:numId w:val="39"/>
        </w:numPr>
        <w:spacing w:line="276" w:lineRule="auto"/>
        <w:ind w:left="284"/>
        <w:jc w:val="both"/>
        <w:rPr>
          <w:rFonts w:ascii="Calibri" w:eastAsia="Times New Roman" w:hAnsi="Calibri" w:cs="Calibri"/>
          <w:sz w:val="22"/>
          <w:szCs w:val="22"/>
          <w:lang w:eastAsia="en-US"/>
        </w:rPr>
      </w:pPr>
      <w:r w:rsidRPr="00401D39">
        <w:rPr>
          <w:rFonts w:ascii="Calibri" w:eastAsia="Times New Roman" w:hAnsi="Calibri" w:cs="Calibri"/>
          <w:sz w:val="22"/>
          <w:szCs w:val="22"/>
          <w:lang w:eastAsia="en-US"/>
        </w:rPr>
        <w:t>zbudowanie centralnego rozwiązania analitycznego (platformy), operującego na danych będących w dyspozycji jednostek administracji publicznej, danych g</w:t>
      </w:r>
      <w:r w:rsidRPr="00401D39">
        <w:rPr>
          <w:rFonts w:ascii="Calibri" w:eastAsia="Times New Roman" w:hAnsi="Calibri" w:cs="Calibri"/>
          <w:sz w:val="22"/>
          <w:szCs w:val="22"/>
        </w:rPr>
        <w:t>romadzonych i tworzonych przez administrację publiczną oraz danych dostępnych z innych źródeł. Zintegrowana Platforma Analityczna (ZPA) będzie służyła podnoszeniu jakości zarządzania i efektywności administracji oraz realizacji społecznie użytecznych celów w zakresie diagnozy problemów i monitoringu postępów ich rozwiązywania. Budowa ZPA, poza wyposażeniem administracji w narzędzia analityki, będzie powiązana z budową kompetencji analitycznych administracji oraz znoszeniem barier dostępu do danych państwa poprzez działania legislacyjne, standaryzacyjne i budowę interfejsów do kluczowych zasobów informacyjnych;</w:t>
      </w:r>
    </w:p>
    <w:p w14:paraId="1AE13CEF" w14:textId="77777777" w:rsidR="00BA057D" w:rsidRPr="00401D39" w:rsidRDefault="00BA057D" w:rsidP="00723B3F">
      <w:pPr>
        <w:pStyle w:val="Akapitzlist"/>
        <w:numPr>
          <w:ilvl w:val="0"/>
          <w:numId w:val="39"/>
        </w:numPr>
        <w:spacing w:line="276" w:lineRule="auto"/>
        <w:ind w:left="284"/>
        <w:jc w:val="both"/>
        <w:rPr>
          <w:rFonts w:ascii="Calibri" w:eastAsia="Times New Roman" w:hAnsi="Calibri" w:cs="Calibri"/>
          <w:sz w:val="22"/>
          <w:szCs w:val="22"/>
          <w:lang w:eastAsia="en-US"/>
        </w:rPr>
      </w:pPr>
      <w:r w:rsidRPr="00401D39">
        <w:rPr>
          <w:rFonts w:ascii="Calibri" w:eastAsia="Times New Roman" w:hAnsi="Calibri" w:cs="Calibri"/>
          <w:sz w:val="22"/>
          <w:szCs w:val="22"/>
          <w:lang w:eastAsia="en-US"/>
        </w:rPr>
        <w:t xml:space="preserve">elektronizacja świadczeń zdrowotnych – państwo będzie kontynuowało działania mające na celu budowę i udostępnianie kolejnych usług cyfrowych ukierunkowanych na usprawnienie procesów związanych z planowaniem i realizacją świadczeń zdrowotnych, ich monitorowaniem i sprawozdawczością, dostępem do informacji o świadczeniach; </w:t>
      </w:r>
    </w:p>
    <w:p w14:paraId="4DEB6461" w14:textId="77777777" w:rsidR="00BA057D" w:rsidRPr="00E94BC9" w:rsidRDefault="00BA057D" w:rsidP="00723B3F">
      <w:pPr>
        <w:numPr>
          <w:ilvl w:val="0"/>
          <w:numId w:val="39"/>
        </w:numPr>
        <w:spacing w:after="0" w:line="276" w:lineRule="auto"/>
        <w:ind w:left="284"/>
        <w:contextualSpacing/>
        <w:jc w:val="both"/>
      </w:pPr>
      <w:r w:rsidRPr="00E94BC9">
        <w:t xml:space="preserve">wdrożenie centralnego systemu umożliwiającego przejmowanie, przechowywanie i udostępnianie materiałów archiwalnych wytworzonych w postaci elektronicznej (Archiwum Dokumentów Elektronicznych), a także zarządzanie nimi przez archiwa państwowe. Rozwiązanie to zaprojektowane zostanie dla jednostek administracji publicznej zobowiązanych do przekazywania materiałów archiwalnych do archiwów państwowych. </w:t>
      </w:r>
      <w:r w:rsidRPr="002222E6">
        <w:rPr>
          <w:rFonts w:cs="Calibri"/>
          <w:lang w:eastAsia="pl-PL"/>
        </w:rPr>
        <w:t>Multimedialne archiwum wdrożone na Portalu RP pozwoli na rozszerzenie funkcjonalności obecnie działającego archiwum w taki sposób, aby można było współdzielić zasoby w nim umieszczone. Zapewni też dostęp do materiałów (w tym audio i wideo) zgromadzonych w</w:t>
      </w:r>
      <w:r>
        <w:rPr>
          <w:rFonts w:cs="Calibri"/>
          <w:lang w:eastAsia="pl-PL"/>
        </w:rPr>
        <w:t> </w:t>
      </w:r>
      <w:r w:rsidRPr="002222E6">
        <w:rPr>
          <w:rFonts w:cs="Calibri"/>
          <w:lang w:eastAsia="pl-PL"/>
        </w:rPr>
        <w:t xml:space="preserve">Archiwach Państwowych. </w:t>
      </w:r>
    </w:p>
    <w:p w14:paraId="5A76C8FC" w14:textId="77777777" w:rsidR="00BA057D" w:rsidRPr="00E064E8" w:rsidRDefault="00BA057D" w:rsidP="00723B3F">
      <w:pPr>
        <w:pStyle w:val="Akapitzlist"/>
        <w:numPr>
          <w:ilvl w:val="0"/>
          <w:numId w:val="52"/>
        </w:numPr>
        <w:spacing w:line="276" w:lineRule="auto"/>
        <w:ind w:left="284"/>
        <w:jc w:val="both"/>
      </w:pPr>
      <w:r w:rsidRPr="00E94BC9">
        <w:rPr>
          <w:rFonts w:ascii="Calibri" w:hAnsi="Calibri" w:cs="Calibri"/>
          <w:sz w:val="22"/>
          <w:szCs w:val="22"/>
        </w:rPr>
        <w:t xml:space="preserve">wdrożenie centralnego systemu świadczenia usług IT dla administracji publicznej w ramach Wspólnej Infrastruktury Informatycznej Państwa </w:t>
      </w:r>
      <w:r>
        <w:rPr>
          <w:rFonts w:ascii="Calibri" w:hAnsi="Calibri" w:cs="Calibri"/>
          <w:sz w:val="22"/>
          <w:szCs w:val="22"/>
        </w:rPr>
        <w:t>(WIIP)</w:t>
      </w:r>
      <w:r w:rsidRPr="00E94BC9">
        <w:rPr>
          <w:rFonts w:ascii="Calibri" w:hAnsi="Calibri" w:cs="Calibri"/>
          <w:sz w:val="22"/>
          <w:szCs w:val="22"/>
        </w:rPr>
        <w:t xml:space="preserve">. Inicjatywa będzie miała na celu promocję kultury współdzielenia zasobów informatycznych pomiędzy jednostkami administracji publicznej oraz upowszechnienie </w:t>
      </w:r>
      <w:r>
        <w:rPr>
          <w:rFonts w:ascii="Calibri" w:hAnsi="Calibri" w:cs="Calibri"/>
          <w:sz w:val="22"/>
          <w:szCs w:val="22"/>
        </w:rPr>
        <w:t xml:space="preserve">praktycznego wykorzystania </w:t>
      </w:r>
      <w:r w:rsidRPr="00E94BC9">
        <w:rPr>
          <w:rFonts w:ascii="Calibri" w:hAnsi="Calibri" w:cs="Calibri"/>
          <w:sz w:val="22"/>
          <w:szCs w:val="22"/>
        </w:rPr>
        <w:t xml:space="preserve">modelu chmury obliczeniowej, jako efektywnej alternatywy dla budowy zamkniętych, rozproszonych </w:t>
      </w:r>
      <w:r>
        <w:rPr>
          <w:rFonts w:ascii="Calibri" w:hAnsi="Calibri" w:cs="Calibri"/>
          <w:sz w:val="22"/>
          <w:szCs w:val="22"/>
        </w:rPr>
        <w:t>i zróżnicowanych</w:t>
      </w:r>
      <w:r w:rsidRPr="00E94BC9">
        <w:rPr>
          <w:rFonts w:ascii="Calibri" w:hAnsi="Calibri" w:cs="Calibri"/>
          <w:sz w:val="22"/>
          <w:szCs w:val="22"/>
        </w:rPr>
        <w:t xml:space="preserve"> ośrodków obliczeniowych. Inicjatywa WIIP będzie obejmować budowę chmury obliczeniowej administracji rządowej </w:t>
      </w:r>
      <w:r>
        <w:rPr>
          <w:rFonts w:ascii="Calibri" w:hAnsi="Calibri" w:cs="Calibri"/>
          <w:sz w:val="22"/>
          <w:szCs w:val="22"/>
        </w:rPr>
        <w:t xml:space="preserve">(Rządowa Chmura Obliczeniowa) </w:t>
      </w:r>
      <w:r w:rsidRPr="00E94BC9">
        <w:rPr>
          <w:rFonts w:ascii="Calibri" w:hAnsi="Calibri" w:cs="Calibri"/>
          <w:sz w:val="22"/>
          <w:szCs w:val="22"/>
        </w:rPr>
        <w:t xml:space="preserve">wraz </w:t>
      </w:r>
      <w:r>
        <w:rPr>
          <w:rFonts w:ascii="Calibri" w:hAnsi="Calibri" w:cs="Calibri"/>
          <w:sz w:val="22"/>
          <w:szCs w:val="22"/>
        </w:rPr>
        <w:t>z</w:t>
      </w:r>
      <w:r w:rsidRPr="00E94BC9">
        <w:rPr>
          <w:rFonts w:ascii="Calibri" w:hAnsi="Calibri" w:cs="Calibri"/>
          <w:sz w:val="22"/>
          <w:szCs w:val="22"/>
        </w:rPr>
        <w:t xml:space="preserve"> klastrem bezpieczeństwa, zapewniającym wysoki standard cyberbezpieczeństwa rozwiąza</w:t>
      </w:r>
      <w:r>
        <w:rPr>
          <w:rFonts w:ascii="Calibri" w:hAnsi="Calibri" w:cs="Calibri"/>
          <w:sz w:val="22"/>
          <w:szCs w:val="22"/>
        </w:rPr>
        <w:t>ń informatycznych</w:t>
      </w:r>
      <w:r w:rsidRPr="00E94BC9">
        <w:rPr>
          <w:rFonts w:ascii="Calibri" w:hAnsi="Calibri" w:cs="Calibri"/>
          <w:sz w:val="22"/>
          <w:szCs w:val="22"/>
        </w:rPr>
        <w:t xml:space="preserve"> oraz wdrożenie modelu zakupu usług chmury obliczeniowej z dedykowaną platformą wspomagającą proces zamówień publicznych na usługi IT </w:t>
      </w:r>
      <w:r>
        <w:rPr>
          <w:rFonts w:ascii="Calibri" w:hAnsi="Calibri" w:cs="Calibri"/>
          <w:sz w:val="22"/>
          <w:szCs w:val="22"/>
        </w:rPr>
        <w:t>(system ZUCH)</w:t>
      </w:r>
      <w:r w:rsidRPr="00E94BC9">
        <w:rPr>
          <w:rFonts w:ascii="Calibri" w:hAnsi="Calibri" w:cs="Calibri"/>
          <w:sz w:val="22"/>
          <w:szCs w:val="22"/>
        </w:rPr>
        <w:t>. Działania te pozwolą na rozpoczęcie stopniowego procesu migracji systemów publicznych z nieefektywnych, rozproszonych ośrodków obliczeniowych do bezpiecznej, wysoce skalowalnej i efektywnej kosztowo infrastruktury dostarczanej w formie usługi.</w:t>
      </w:r>
      <w:r>
        <w:rPr>
          <w:rFonts w:ascii="Calibri" w:hAnsi="Calibri" w:cs="Calibri"/>
          <w:sz w:val="22"/>
          <w:szCs w:val="22"/>
        </w:rPr>
        <w:t xml:space="preserve"> Odejście od paradygmatu budowy rozwiązań silosowych, krojonych na miarę bieżących i mierzonych w perspektywie krótkookresowej potrzeb na rzecz elastycznego modelu dostarczania usług w ramach wspólnej infrastruktury, pozwoli na ustandaryzowanie procesów IT w administracji oraz zwiększy zdolność adaptacji rozwiązań informatycznych do zmieniających się warunków, w tym wystąpienia sytuacji kryzysowych. Umożliwi również dostarczanie aplikacji wykorzystywanych przez administrację publiczną w modelu chmury obliczeniowej np.: EZD RP.</w:t>
      </w:r>
    </w:p>
    <w:p w14:paraId="1A094D08" w14:textId="77777777" w:rsidR="00BA057D" w:rsidRDefault="00BA057D" w:rsidP="00723B3F">
      <w:pPr>
        <w:pStyle w:val="Akapitzlist"/>
        <w:numPr>
          <w:ilvl w:val="0"/>
          <w:numId w:val="52"/>
        </w:numPr>
        <w:ind w:left="284"/>
        <w:rPr>
          <w:rFonts w:ascii="Calibri" w:hAnsi="Calibri" w:cs="Calibri"/>
          <w:sz w:val="22"/>
          <w:szCs w:val="22"/>
        </w:rPr>
      </w:pPr>
      <w:r w:rsidRPr="00AF18C2">
        <w:rPr>
          <w:rFonts w:ascii="Calibri" w:hAnsi="Calibri" w:cs="Calibri"/>
          <w:sz w:val="22"/>
          <w:szCs w:val="22"/>
        </w:rPr>
        <w:t>włączanie kolejnych rejestrów do SRP: Rejestr Dokumentów Paszportowych</w:t>
      </w:r>
      <w:r>
        <w:rPr>
          <w:rFonts w:ascii="Calibri" w:hAnsi="Calibri" w:cs="Calibri"/>
          <w:sz w:val="22"/>
          <w:szCs w:val="22"/>
        </w:rPr>
        <w:t>;</w:t>
      </w:r>
      <w:r w:rsidRPr="00AF18C2">
        <w:rPr>
          <w:rFonts w:ascii="Calibri" w:hAnsi="Calibri" w:cs="Calibri"/>
          <w:sz w:val="22"/>
          <w:szCs w:val="22"/>
        </w:rPr>
        <w:t xml:space="preserve"> </w:t>
      </w:r>
    </w:p>
    <w:p w14:paraId="71DCEB71" w14:textId="77777777" w:rsidR="00BA057D" w:rsidRPr="00401D39" w:rsidRDefault="00BA057D" w:rsidP="00723B3F">
      <w:pPr>
        <w:pStyle w:val="Akapitzlist"/>
        <w:numPr>
          <w:ilvl w:val="0"/>
          <w:numId w:val="52"/>
        </w:numPr>
        <w:ind w:left="284"/>
        <w:rPr>
          <w:rFonts w:ascii="Calibri" w:hAnsi="Calibri"/>
          <w:sz w:val="22"/>
        </w:rPr>
      </w:pPr>
      <w:r w:rsidRPr="00401D39">
        <w:rPr>
          <w:rFonts w:ascii="Calibri" w:hAnsi="Calibri"/>
          <w:sz w:val="22"/>
          <w:szCs w:val="22"/>
        </w:rPr>
        <w:t>dalsza integracja Systemu Rejestrów Państwowych z rejestrami i systemami innych ministerstw w zakresie wymiany danych w celu wyeliminowania dokumentów papierowych i przyspieszenia obiegu informacji, np. przekazywanie z rejestrów sądowych danych o rozwodzie do rejestru stanu cywilnego</w:t>
      </w:r>
      <w:r w:rsidRPr="00401D39">
        <w:rPr>
          <w:rFonts w:ascii="Calibri" w:hAnsi="Calibri"/>
        </w:rPr>
        <w:t>.</w:t>
      </w:r>
    </w:p>
    <w:p w14:paraId="43414F74" w14:textId="77777777" w:rsidR="00BA057D" w:rsidRPr="00401D39" w:rsidRDefault="00BA057D" w:rsidP="00723B3F">
      <w:pPr>
        <w:pStyle w:val="Akapitzlist"/>
        <w:numPr>
          <w:ilvl w:val="0"/>
          <w:numId w:val="52"/>
        </w:numPr>
        <w:spacing w:line="276" w:lineRule="auto"/>
        <w:ind w:left="284"/>
        <w:jc w:val="both"/>
        <w:rPr>
          <w:rFonts w:ascii="Calibri" w:eastAsia="Times New Roman" w:hAnsi="Calibri"/>
          <w:sz w:val="22"/>
          <w:szCs w:val="22"/>
        </w:rPr>
      </w:pPr>
      <w:r w:rsidRPr="00401D39">
        <w:rPr>
          <w:rFonts w:ascii="Calibri" w:eastAsia="Times New Roman" w:hAnsi="Calibri"/>
          <w:sz w:val="22"/>
          <w:szCs w:val="22"/>
        </w:rPr>
        <w:t>stała modernizacja Zintegrowanej Infrastruktury Rejestrów (ZIR) obejmującej systemy i rejestry kluczowe dla realizacji zadań państwa (m.in. SRP, CEPiK), która pozwoli na ciągłe i bezawaryjne świadczenie usług obywatelom i instytucjom z rejestrów i systemów państwowych. Kluczowe jest również zapewnienie skalowalności budowanych rozwiązań, które pozwolą na łatwą rozbudowę infrastruktury, mając na uwadze przyszłe potrzeby i nowo projektowane systemy teleinformatyczne.</w:t>
      </w:r>
    </w:p>
    <w:p w14:paraId="3B91E34B" w14:textId="77777777" w:rsidR="00BA057D" w:rsidRPr="00401D39" w:rsidRDefault="00BA057D" w:rsidP="00BA057D">
      <w:pPr>
        <w:spacing w:after="0" w:line="276" w:lineRule="auto"/>
        <w:jc w:val="both"/>
        <w:rPr>
          <w:rFonts w:eastAsia="Times New Roman" w:cs="Calibri"/>
        </w:rPr>
      </w:pPr>
    </w:p>
    <w:p w14:paraId="66C97907" w14:textId="77777777" w:rsidR="00BA057D" w:rsidRPr="00401D39" w:rsidRDefault="00BA057D" w:rsidP="00BA057D">
      <w:pPr>
        <w:spacing w:after="0"/>
        <w:ind w:left="66"/>
        <w:jc w:val="both"/>
        <w:rPr>
          <w:rFonts w:eastAsia="Times New Roman" w:cs="Calibri"/>
          <w:b/>
          <w:u w:val="single"/>
        </w:rPr>
      </w:pPr>
      <w:r w:rsidRPr="00401D39">
        <w:rPr>
          <w:rFonts w:eastAsia="Times New Roman" w:cs="Calibri"/>
          <w:b/>
          <w:u w:val="single"/>
        </w:rPr>
        <w:t>1.2. Budowa rozwiązań standaryzowanych</w:t>
      </w:r>
      <w:r w:rsidRPr="00401D39">
        <w:rPr>
          <w:rFonts w:eastAsia="Times New Roman" w:cs="Calibri"/>
        </w:rPr>
        <w:t>. Planuje się podjęcie przedsięwzięć zmierzających do:</w:t>
      </w:r>
    </w:p>
    <w:p w14:paraId="5A34F801" w14:textId="77777777" w:rsidR="00BA057D" w:rsidRPr="00401D39" w:rsidRDefault="00BA057D" w:rsidP="00723B3F">
      <w:pPr>
        <w:numPr>
          <w:ilvl w:val="0"/>
          <w:numId w:val="20"/>
        </w:numPr>
        <w:spacing w:after="0"/>
        <w:ind w:left="284" w:hanging="284"/>
        <w:jc w:val="both"/>
        <w:rPr>
          <w:rFonts w:eastAsia="Times New Roman" w:cs="Calibri"/>
        </w:rPr>
      </w:pPr>
      <w:r w:rsidRPr="00401D39">
        <w:rPr>
          <w:rFonts w:eastAsia="Times New Roman" w:cs="Calibri"/>
        </w:rPr>
        <w:t>wprowadzenia jednolitego systemu elektronicznego zarządzania dokumentacją w administracji publicznej RP (EZD RP). Stosowany powszechnie w każdym urzędzie jednolity system klasy EZD RP powinien umożliwić synergię obsługiwanych przez podmioty publiczne procesów administracyjnych, jak również powinien być dostępny cyfrowo dla osób z niepełnosprawnościami, aby mogły one bez przeszkód świadczyć pracę w administracji publicznej. Sukcesywny rozwój funkcjonalności systemu pozwoli na wdrożenie szeregu dodatkowych rozwiązań, w tym udostępnianie dokumentów i informacji publicznej w  postaci elektronicznej gromadzonych w systemach klasy EZD w sposób maksymalnie zautomatyzowany, z możliwością przetwarzania udostępnianych danych przez systemy zewnętrzne.</w:t>
      </w:r>
    </w:p>
    <w:p w14:paraId="3D1B1EDF" w14:textId="77777777" w:rsidR="00BA057D" w:rsidRPr="00401D39" w:rsidRDefault="00BA057D" w:rsidP="00BA057D">
      <w:pPr>
        <w:spacing w:after="0" w:line="276" w:lineRule="auto"/>
        <w:ind w:left="284"/>
        <w:jc w:val="both"/>
        <w:rPr>
          <w:rFonts w:eastAsia="Times New Roman" w:cs="Calibri"/>
        </w:rPr>
      </w:pPr>
      <w:r w:rsidRPr="00401D39">
        <w:rPr>
          <w:rFonts w:eastAsia="Times New Roman" w:cs="Calibri"/>
        </w:rPr>
        <w:t>Wdrożenie jednolitego systemu elektronicznego zarządzania dokumentacją powinno nie tylko wpłynąć na sprawną i w pełni elektroniczną komunikację pomiędzy urzędami w zakresie przekazywania akt sprawy, szczególnie w komunikacji z sądami administracyjnymi i innymi organami, którym udostępniana jest dokumentacja z zakresu spraw dokumentowanych elektronicznie, ale także na usprawnienie procesów wewnątrzadministracyjnych. Kluczowym działaniem w tym zakresie jest wdrożenie podejścia procesowego w realizacji zadań administracji publicznej. Z perspektywy obywatela przestanie mieć znaczenie konkretny urząd jako taki, w szczególności gdy dany proces obsługiwany jest przez kilka podmiotów;</w:t>
      </w:r>
      <w:r w:rsidRPr="00401D39" w:rsidDel="00892598">
        <w:rPr>
          <w:rFonts w:eastAsia="Times New Roman" w:cs="Calibri"/>
        </w:rPr>
        <w:t xml:space="preserve"> </w:t>
      </w:r>
    </w:p>
    <w:p w14:paraId="547C290D" w14:textId="77777777" w:rsidR="00BA057D" w:rsidRPr="00401D39" w:rsidRDefault="00BA057D" w:rsidP="00723B3F">
      <w:pPr>
        <w:numPr>
          <w:ilvl w:val="0"/>
          <w:numId w:val="51"/>
        </w:numPr>
        <w:spacing w:after="0" w:line="240" w:lineRule="auto"/>
        <w:ind w:left="284" w:hanging="284"/>
        <w:jc w:val="both"/>
        <w:rPr>
          <w:rFonts w:cs="Calibri"/>
        </w:rPr>
      </w:pPr>
      <w:r w:rsidRPr="00401D39">
        <w:rPr>
          <w:rFonts w:cs="Calibri"/>
        </w:rPr>
        <w:t>ujednolicenia i standaryzacji mechanizmu doręczenia korespondencji w relacji państwo-obywatel/biznes, umożliwiając całkowitą cyfryzację procesu po stronie podmiotów publicznych (Standard doręczeń elektronicznych);</w:t>
      </w:r>
    </w:p>
    <w:p w14:paraId="3A3FC1F9" w14:textId="77777777" w:rsidR="00BA057D" w:rsidRPr="00401D39" w:rsidRDefault="00BA057D" w:rsidP="00723B3F">
      <w:pPr>
        <w:numPr>
          <w:ilvl w:val="0"/>
          <w:numId w:val="51"/>
        </w:numPr>
        <w:spacing w:after="0" w:line="240" w:lineRule="auto"/>
        <w:ind w:left="284" w:hanging="284"/>
        <w:jc w:val="both"/>
        <w:rPr>
          <w:rFonts w:cs="Calibri"/>
        </w:rPr>
      </w:pPr>
      <w:r w:rsidRPr="00401D39">
        <w:rPr>
          <w:rFonts w:cs="Calibri"/>
        </w:rPr>
        <w:t>wdrożenia skutecznej, jednorodnej i równoważnej prawnie z przesyłką poleconą z potwierdzeniem odbioru obsługi korespondencji elektronicznej w Polsce przy pomocy usługi rejestrowanego doręczenia elektronicznego zgodnie z wymogami eIDAS:</w:t>
      </w:r>
    </w:p>
    <w:p w14:paraId="3B0136AA" w14:textId="77777777" w:rsidR="00BA057D" w:rsidRPr="00401D39" w:rsidRDefault="00BA057D" w:rsidP="00723B3F">
      <w:pPr>
        <w:numPr>
          <w:ilvl w:val="1"/>
          <w:numId w:val="51"/>
        </w:numPr>
        <w:spacing w:after="0" w:line="240" w:lineRule="auto"/>
        <w:ind w:left="567" w:hanging="283"/>
        <w:jc w:val="both"/>
        <w:rPr>
          <w:rFonts w:cs="Calibri"/>
        </w:rPr>
      </w:pPr>
      <w:r w:rsidRPr="00401D39">
        <w:rPr>
          <w:rFonts w:cs="Calibri"/>
        </w:rPr>
        <w:t xml:space="preserve">świadczenie publicznej usługi rejestrowanego doręczenia elektronicznego w kontaktach z podmiotami publicznymi będzie powierzona operatorowi wyznaczonemu, </w:t>
      </w:r>
    </w:p>
    <w:p w14:paraId="389ADCFE" w14:textId="77777777" w:rsidR="00BA057D" w:rsidRPr="00401D39" w:rsidRDefault="00BA057D" w:rsidP="00723B3F">
      <w:pPr>
        <w:numPr>
          <w:ilvl w:val="1"/>
          <w:numId w:val="51"/>
        </w:numPr>
        <w:spacing w:after="0" w:line="240" w:lineRule="auto"/>
        <w:ind w:left="567" w:hanging="283"/>
        <w:jc w:val="both"/>
        <w:rPr>
          <w:rFonts w:cs="Calibri"/>
        </w:rPr>
      </w:pPr>
      <w:r w:rsidRPr="00401D39">
        <w:rPr>
          <w:rFonts w:cs="Calibri"/>
        </w:rPr>
        <w:t>świadczenie kwalifikowanej usługi rejestrowanego doręczenia elektronicznego będzie możliwe przez Kwalifikowanych Dostawców Usług;</w:t>
      </w:r>
    </w:p>
    <w:p w14:paraId="281CCFD2" w14:textId="77777777" w:rsidR="00BA057D" w:rsidRPr="00401D39" w:rsidRDefault="00BA057D" w:rsidP="00723B3F">
      <w:pPr>
        <w:numPr>
          <w:ilvl w:val="0"/>
          <w:numId w:val="51"/>
        </w:numPr>
        <w:spacing w:after="0" w:line="240" w:lineRule="auto"/>
        <w:ind w:left="284" w:hanging="284"/>
        <w:jc w:val="both"/>
        <w:rPr>
          <w:rFonts w:cs="Calibri"/>
        </w:rPr>
      </w:pPr>
      <w:r w:rsidRPr="00401D39">
        <w:rPr>
          <w:rFonts w:cs="Calibri"/>
        </w:rPr>
        <w:t>funkcjonowania jednego adresu do doręczeń elektronicznych dla obywatela, przedsiębiorcy i podmiotu publicznego w Bazie Adresów Elektronicznych;</w:t>
      </w:r>
    </w:p>
    <w:p w14:paraId="745D7311" w14:textId="77777777" w:rsidR="00BA057D" w:rsidRPr="00401D39" w:rsidRDefault="00BA057D" w:rsidP="00723B3F">
      <w:pPr>
        <w:numPr>
          <w:ilvl w:val="0"/>
          <w:numId w:val="51"/>
        </w:numPr>
        <w:spacing w:after="120" w:line="240" w:lineRule="auto"/>
        <w:ind w:left="284" w:hanging="284"/>
        <w:jc w:val="both"/>
        <w:rPr>
          <w:rFonts w:cs="Calibri"/>
        </w:rPr>
      </w:pPr>
      <w:r w:rsidRPr="00401D39">
        <w:rPr>
          <w:rFonts w:cs="Calibri"/>
        </w:rPr>
        <w:t>wdrożenia usługi hybrydowej dla osób wykluczonych cyfrowo lub niewyrażających woli na skorzystanie z elektronicznej formy doręczenia;</w:t>
      </w:r>
    </w:p>
    <w:p w14:paraId="401453D4" w14:textId="77777777" w:rsidR="00BA057D" w:rsidRPr="00401D39" w:rsidRDefault="00BA057D" w:rsidP="00723B3F">
      <w:pPr>
        <w:pStyle w:val="Akapitzlist"/>
        <w:numPr>
          <w:ilvl w:val="0"/>
          <w:numId w:val="51"/>
        </w:numPr>
        <w:spacing w:line="276" w:lineRule="auto"/>
        <w:ind w:left="284"/>
        <w:jc w:val="both"/>
        <w:rPr>
          <w:rFonts w:ascii="Calibri" w:hAnsi="Calibri" w:cs="Calibri"/>
          <w:sz w:val="22"/>
        </w:rPr>
      </w:pPr>
      <w:r w:rsidRPr="00401D39">
        <w:rPr>
          <w:rFonts w:ascii="Calibri" w:hAnsi="Calibri" w:cs="Calibri"/>
          <w:sz w:val="22"/>
        </w:rPr>
        <w:t>udostępnienia obszaru infrastruktury informatycznej państwa w celu długotrwałego przechowywania zasobów kultury i nauki (repozytorium cyfrowych zasobów kultury i nauki). Repozytorium cyfrowych zasobów oraz platforma zintegruje wszystkie dotychczasowe portale w tym obszarze, jak również udostępni wyszukiwarkę umożliwiającą przeszukiwanie metadanych zintegrowanych zbiorów. Uporządkowany zostanie także zakres stosowanych standardów w kontekście nowych projektów digitalizacyjnych, w szczególności w obszarze kultury i dziedzictwa narodowego oraz nauki, poprzez wskazanie wspólnego metastandardu oraz preferowanych słowników metadanych.</w:t>
      </w:r>
    </w:p>
    <w:p w14:paraId="66E0C135" w14:textId="77777777" w:rsidR="00BA057D" w:rsidRPr="00EB5714" w:rsidRDefault="00BA057D" w:rsidP="00BA057D">
      <w:pPr>
        <w:spacing w:before="120" w:after="0" w:line="276" w:lineRule="auto"/>
        <w:jc w:val="both"/>
      </w:pPr>
      <w:r w:rsidRPr="00921B09">
        <w:rPr>
          <w:b/>
          <w:u w:val="single"/>
        </w:rPr>
        <w:t>1.3. Bezpieczeństwo infrastruktury teleinformatycznej, danych i informacji</w:t>
      </w:r>
      <w:r w:rsidRPr="00055688">
        <w:rPr>
          <w:b/>
          <w:u w:val="single"/>
        </w:rPr>
        <w:t xml:space="preserve">. </w:t>
      </w:r>
      <w:r w:rsidRPr="004E366E">
        <w:t>Niezbędnym elementem sprawnego i rzetelnego wykonywania zadań publicznych je</w:t>
      </w:r>
      <w:r w:rsidRPr="00A6165D">
        <w:t>st zapewnienie poufności, integralności, dostępności</w:t>
      </w:r>
      <w:r w:rsidRPr="00921B09">
        <w:t>, rozliczalności, niezaprzeczalności, niezawodności</w:t>
      </w:r>
      <w:r w:rsidRPr="004E366E">
        <w:t xml:space="preserve"> i autentyczności przetwarzanych informacji. Tylko działanie w warunkach pełnej wiedzy o</w:t>
      </w:r>
      <w:r w:rsidRPr="00921B09">
        <w:t> </w:t>
      </w:r>
      <w:r w:rsidRPr="004E366E">
        <w:t>okolicznościach istotnych dla realizacji konkretnego zadania czy</w:t>
      </w:r>
      <w:r w:rsidRPr="00A6165D">
        <w:t xml:space="preserve"> usługi pozwala na eliminację lub zminimalizowanie możliwości powstania nieprawidłowości. Nie bez znaczenia są oczekiwania społeczeństwa dotyczące poziomu i sposobu realizacji usług publicznych. Standardy ich świadczenia mają być takie same jak w sferze ko</w:t>
      </w:r>
      <w:r w:rsidRPr="00EB5714">
        <w:t>mercyjnej.</w:t>
      </w:r>
    </w:p>
    <w:p w14:paraId="5760FC3F" w14:textId="77777777" w:rsidR="00BA057D" w:rsidRPr="004E366E" w:rsidRDefault="00BA057D" w:rsidP="00BA057D">
      <w:pPr>
        <w:spacing w:line="276" w:lineRule="auto"/>
        <w:jc w:val="both"/>
      </w:pPr>
      <w:r w:rsidRPr="005B0F8C">
        <w:t>Jak wykazała kontrola NIK dotycząca bezpieczeństwa informacji w jednostkach samorządu terytorialnego, problemy w tym zakresie nie są rzadkością. Dwie główne przyczyny takiego stanu rzeczy to brak świadomości, jak ważna jest problematyka bezpieczeństwa informacji oraz trudności w realizacji niezbędnych przedsięwzięć techniczno-organizacyjnych, związane głównie z brakiem środków finansowych. Ograniczenia finansowe są także głównym powodem trudności w pozyskaniu ekspertów informatyków z</w:t>
      </w:r>
      <w:r w:rsidRPr="004E366E">
        <w:t> zakresu bez</w:t>
      </w:r>
      <w:r w:rsidRPr="00A6165D">
        <w:t xml:space="preserve">pieczeństwa informacji. Administracja publiczna powinna skupić się na działaniach edukacyjnych i zmierzać w kierunku nowej organizacji zarządzania cyberbezpieczeństwem. </w:t>
      </w:r>
    </w:p>
    <w:p w14:paraId="3EB9EF9A" w14:textId="77777777" w:rsidR="00BA057D" w:rsidRPr="00EB5714" w:rsidRDefault="00BA057D" w:rsidP="00BA057D">
      <w:pPr>
        <w:spacing w:line="276" w:lineRule="auto"/>
        <w:jc w:val="both"/>
      </w:pPr>
      <w:r w:rsidRPr="004E366E">
        <w:t>Infrastruktura teleinformatyczna w jednostkach samorządu terytorialnego powinna podleg</w:t>
      </w:r>
      <w:r w:rsidRPr="00A6165D">
        <w:t>ać stałej modernizacji</w:t>
      </w:r>
      <w:r w:rsidRPr="004E366E">
        <w:t xml:space="preserve"> i monitoringowi pod kątem bezpieczeństwa, w szczególności w tak krytycznych miejscach jak przetwarzanie danych obywatela w procesach związanych z ewidencją ludności, rejestracją stanu cywilnego czy obsługą dowodów osobistych, również w kontekście prowadzonych prac nad wdrożeniem </w:t>
      </w:r>
      <w:r>
        <w:t>drugiej cechy biometrycznej (dwóch odcisków palców) do e-dowodów zgodnie z zapisami r</w:t>
      </w:r>
      <w:r w:rsidRPr="00091325">
        <w:t>ozporządzeni</w:t>
      </w:r>
      <w:r>
        <w:t>a</w:t>
      </w:r>
      <w:r w:rsidRPr="00091325">
        <w:t xml:space="preserve"> Parlamentu Europejskiego i Rady (UE) 2019/1157 z dnia 20 czerwca 2019 r. w sprawie poprawy zabezpieczeń dowodów osobistych obywateli Unii i dokumentów pobytowych wydawanych obywatelom Unii i członkom ich rodzin korzystającym z prawa do swobodnego przemieszczania się</w:t>
      </w:r>
      <w:r>
        <w:t>.</w:t>
      </w:r>
      <w:r w:rsidRPr="004E366E">
        <w:t xml:space="preserve"> Aktywne działania informacyjne i promocyjne docelowo mogą wpłynąć na podniesienie poziomu cyberbezpieczeństwa. Działani</w:t>
      </w:r>
      <w:r w:rsidRPr="00EB5714">
        <w:t>a w tym zakresie prowadzone są samodzielnie oraz wspólnie z innymi podmiotami. Istotne jest, aby informacja dotycząca bezpieczeństwa dotarła do możliwie szerokich grup społeczeństwa.</w:t>
      </w:r>
    </w:p>
    <w:p w14:paraId="7E29C44D" w14:textId="77777777" w:rsidR="00BA057D" w:rsidRPr="004E366E" w:rsidRDefault="00BA057D" w:rsidP="00BA057D">
      <w:pPr>
        <w:spacing w:line="276" w:lineRule="auto"/>
        <w:jc w:val="both"/>
      </w:pPr>
      <w:r w:rsidRPr="00EB5714">
        <w:t>Konieczna jest kontynuacja podejmowanych działań, jak również ich rozszerzenie.</w:t>
      </w:r>
      <w:r w:rsidRPr="005F5B48">
        <w:t xml:space="preserve"> Administracja publiczna będzie aktywnie</w:t>
      </w:r>
      <w:r w:rsidRPr="005B0F8C">
        <w:t xml:space="preserve"> </w:t>
      </w:r>
      <w:r w:rsidRPr="004E366E">
        <w:t>wspierała inicjatywy podmiotów zewnętrznych w szkoleniach i warsztatach, prowadząc wykłady, dostarczając materiały informacyjne i promocyjne dotyczące cyberbezpieczeństwa, bezpieczeństwa informacji i ochrony d</w:t>
      </w:r>
      <w:r w:rsidRPr="00EB5714">
        <w:t xml:space="preserve">anych osobowych. Niezależnie od powyższych działań, uwzględniając potrzeby związane z wdrożeniem przepisów ustawy </w:t>
      </w:r>
      <w:r w:rsidRPr="00351158">
        <w:rPr>
          <w:i/>
        </w:rPr>
        <w:t>o krajowym systemie cyberbezpieczeństwa</w:t>
      </w:r>
      <w:r w:rsidRPr="004E366E">
        <w:t xml:space="preserve"> (ustawa o KSC),</w:t>
      </w:r>
      <w:r>
        <w:t xml:space="preserve"> planuje się </w:t>
      </w:r>
      <w:r w:rsidRPr="004E366E">
        <w:t xml:space="preserve"> angażowa</w:t>
      </w:r>
      <w:r>
        <w:t>nie</w:t>
      </w:r>
      <w:r w:rsidRPr="004E366E">
        <w:t xml:space="preserve"> podmiot</w:t>
      </w:r>
      <w:r>
        <w:t>ów</w:t>
      </w:r>
      <w:r w:rsidRPr="004E366E">
        <w:t xml:space="preserve"> sektora publicznego w ogólno</w:t>
      </w:r>
      <w:r w:rsidRPr="00EB5714">
        <w:t>krajowe ćwiczenia z obszaru cyberbezpieczeństwa, dystrybuowa</w:t>
      </w:r>
      <w:r>
        <w:t>nie</w:t>
      </w:r>
      <w:r w:rsidRPr="00EB5714">
        <w:t xml:space="preserve"> gotow</w:t>
      </w:r>
      <w:r>
        <w:t>ych</w:t>
      </w:r>
      <w:r w:rsidRPr="00EB5714">
        <w:t xml:space="preserve"> zestaw</w:t>
      </w:r>
      <w:r>
        <w:t>ów</w:t>
      </w:r>
      <w:r w:rsidRPr="00EB5714">
        <w:t xml:space="preserve"> praktycznych narzędzi (tzw. toolboxy) przygotowan</w:t>
      </w:r>
      <w:r>
        <w:t>ych</w:t>
      </w:r>
      <w:r w:rsidRPr="00EB5714">
        <w:t xml:space="preserve"> przez specjalistów </w:t>
      </w:r>
      <w:r>
        <w:t>i</w:t>
      </w:r>
      <w:r w:rsidRPr="00921B09">
        <w:t xml:space="preserve"> </w:t>
      </w:r>
      <w:r w:rsidRPr="003C275A">
        <w:t xml:space="preserve">liderów obszaru technologicznego. Wdrożony został wzorcowy przekład efektywnego partnerstwa publiczno-prywatnego – Program Współpracy w Cyberbezpieczeństwie (PWCyber).W efekcie </w:t>
      </w:r>
      <w:r>
        <w:t>tych działań</w:t>
      </w:r>
      <w:r w:rsidRPr="003C275A">
        <w:t xml:space="preserve"> nawiąza</w:t>
      </w:r>
      <w:r>
        <w:t>no</w:t>
      </w:r>
      <w:r w:rsidRPr="003C275A">
        <w:t xml:space="preserve"> ścisłą współpracę z liderami rynku nowoczesnych technologii. </w:t>
      </w:r>
      <w:r w:rsidRPr="004E366E">
        <w:t xml:space="preserve"> </w:t>
      </w:r>
      <w:r w:rsidRPr="00A6165D">
        <w:t>W</w:t>
      </w:r>
      <w:r w:rsidRPr="004E366E">
        <w:t xml:space="preserve"> dalszej perspektywie, </w:t>
      </w:r>
      <w:r w:rsidRPr="005B0F8C">
        <w:t>planowane jest wdrożenie systemu szkoleń dla osób zajmujących kierownicze stanowiska oraz przygotowanie scenariuszy szkoleniowych podnoszących świadomość wśród szeregowych pracowników (tzw. cyberhigien</w:t>
      </w:r>
      <w:r>
        <w:t>a</w:t>
      </w:r>
      <w:r w:rsidRPr="005B0F8C">
        <w:t xml:space="preserve">). </w:t>
      </w:r>
      <w:r>
        <w:t>Planuje</w:t>
      </w:r>
      <w:r w:rsidRPr="005B0F8C">
        <w:t xml:space="preserve"> się także organizacj</w:t>
      </w:r>
      <w:r>
        <w:t>ę</w:t>
      </w:r>
      <w:r w:rsidRPr="005B0F8C">
        <w:t xml:space="preserve"> wsparcia w zakresie budowy systemów zarządzania bezpieczeństwem oraz </w:t>
      </w:r>
      <w:r w:rsidRPr="003C275A">
        <w:t>w</w:t>
      </w:r>
      <w:r>
        <w:t>sparcie</w:t>
      </w:r>
      <w:r w:rsidRPr="003C275A">
        <w:t xml:space="preserve"> Pełnomocnika Rządu ds. Cyberbezpieczeństwa w kontekście koordynacji polityki rządu RP w obszarze </w:t>
      </w:r>
      <w:r w:rsidRPr="00A6165D">
        <w:t xml:space="preserve">nad </w:t>
      </w:r>
      <w:r w:rsidRPr="003C275A">
        <w:t xml:space="preserve">cyberbezpieczeństwa. </w:t>
      </w:r>
    </w:p>
    <w:p w14:paraId="235CCA9D" w14:textId="77777777" w:rsidR="00BA057D" w:rsidRDefault="00BA057D" w:rsidP="00BA057D">
      <w:pPr>
        <w:spacing w:line="276" w:lineRule="auto"/>
        <w:jc w:val="both"/>
      </w:pPr>
      <w:r w:rsidRPr="00EB5714">
        <w:t>Ważnym elementem promowania bezpieczeństwa informacji i ochrony danych jest także działalność prowadzona w obszarze kontroli dzi</w:t>
      </w:r>
      <w:r w:rsidRPr="005B0F8C">
        <w:t>ałania systemów teleinformatycznych używanych do realizacji zadań publicznych</w:t>
      </w:r>
      <w:r w:rsidRPr="004E366E">
        <w:rPr>
          <w:rStyle w:val="Odwoanieprzypisudolnego"/>
        </w:rPr>
        <w:footnoteReference w:id="80"/>
      </w:r>
      <w:r w:rsidRPr="004E366E">
        <w:t>. W celu zapewnienie wsparcia kontroli na wszystkich szczeblach administracji państwowej opracowano „</w:t>
      </w:r>
      <w:r w:rsidRPr="00A6165D">
        <w:t>Wytyczne dla kontroli działania systemów teleinformatycznych używanych do realizacji zadań publicznych</w:t>
      </w:r>
      <w:r w:rsidRPr="004E366E">
        <w:rPr>
          <w:i/>
        </w:rPr>
        <w:t>”</w:t>
      </w:r>
      <w:r w:rsidRPr="00A6165D">
        <w:t xml:space="preserve">, które będą </w:t>
      </w:r>
      <w:r w:rsidRPr="004E366E">
        <w:t>stanowić dla służb informatycznych administracji publicznej źródło wiedzy o wymaganiach bezpieczeństwa. Realizując zadania wynikające z Wytycznych,</w:t>
      </w:r>
      <w:r w:rsidRPr="00A6165D">
        <w:t xml:space="preserve"> </w:t>
      </w:r>
      <w:r w:rsidRPr="004E366E">
        <w:t>przeprowadzono szkolenia dla pracowników urzędów centralnych (ministerstw) i</w:t>
      </w:r>
      <w:r w:rsidRPr="00A6165D">
        <w:t xml:space="preserve"> urzędów wojewódzkich z wyżej wskazanych Wytycznych.</w:t>
      </w:r>
      <w:r w:rsidRPr="004E366E">
        <w:t xml:space="preserve"> Opracowano „Ramowy program kontroli w zakresie wykorzystywania systemów teleinformatycznych do realizacji zadań publicznych”. Ponadto wspierane będą podmioty administracji państwowej, służąc wiedzą ekspe</w:t>
      </w:r>
      <w:r w:rsidRPr="00A6165D">
        <w:t>rcką w przygotowaniu</w:t>
      </w:r>
      <w:r w:rsidRPr="004E366E">
        <w:t xml:space="preserve"> indywidualnych programów kontroli w zakresie realizacji obowiązków określonych w ustawie o informatyzacji działalności podmiotów realizujących zadania publiczne. </w:t>
      </w:r>
    </w:p>
    <w:p w14:paraId="39D5C0A1" w14:textId="77777777" w:rsidR="00BA057D" w:rsidRPr="004E366E" w:rsidRDefault="00BA057D" w:rsidP="00BA057D">
      <w:pPr>
        <w:spacing w:line="276" w:lineRule="auto"/>
        <w:jc w:val="both"/>
      </w:pPr>
      <w:r w:rsidRPr="003C275A">
        <w:t xml:space="preserve">Ponadto, w </w:t>
      </w:r>
      <w:r>
        <w:t>związku z</w:t>
      </w:r>
      <w:r w:rsidRPr="003C275A">
        <w:t xml:space="preserve"> </w:t>
      </w:r>
      <w:r>
        <w:t xml:space="preserve">realizacją inicjatywy WIIP, czyli udostępnieniem administracji publicznej możliwości wykorzystywania bezpiecznych środowisk przetwarzania w chmurze, przygotowano dedykowany zestaw standardów – Standardy </w:t>
      </w:r>
      <w:r w:rsidRPr="00A56D68">
        <w:t>Cyberbezpieczeństwa Chmur Obliczeniowych</w:t>
      </w:r>
      <w:r>
        <w:t xml:space="preserve">. Standardy te są częścią Narodowych Standardów Cyberbezpieczeństwa, które są wskazane w Strategii Cyberbezpieczeństwa jako istotny element podnoszący cyberodporność systemów teleinformatycznych wykorzystywanych w administracji publicznej. Narodowe Standardy Cyberbezpieczeństwa będą obejmować także m.in. bezpieczeństwo korzystania z aplikacji mobilnych, stacji roboczych, czy nowoczesnych sieci telekomunikacyjnych. Standardy te będą referencyjne i obowiązkowe dla całej administracji publicznej. </w:t>
      </w:r>
    </w:p>
    <w:p w14:paraId="584BA0ED" w14:textId="77777777" w:rsidR="00BA057D" w:rsidRPr="005B0F8C" w:rsidRDefault="00BA057D" w:rsidP="00BA057D">
      <w:pPr>
        <w:spacing w:line="276" w:lineRule="auto"/>
        <w:jc w:val="both"/>
      </w:pPr>
      <w:r w:rsidRPr="00A6165D">
        <w:t>Dodatkowo podejmowane będą działania w</w:t>
      </w:r>
      <w:r w:rsidRPr="004E366E">
        <w:t xml:space="preserve"> zakresie podnoszenia kompetencji </w:t>
      </w:r>
      <w:r w:rsidRPr="00A6165D">
        <w:t>w doborze, wdrażaniu i</w:t>
      </w:r>
      <w:r w:rsidRPr="004E366E">
        <w:t xml:space="preserve"> utrzymaniu środków technicznych zwiększających cyberbezpieczeństwo, w tym </w:t>
      </w:r>
      <w:r w:rsidRPr="00A6165D">
        <w:t>korzystania z</w:t>
      </w:r>
      <w:r w:rsidRPr="004E366E">
        <w:t> nowoczesnych i bezpiecznych modeli przetwarzania w chmurach obliczeniowych, tworzenia bezpiecznych aplikacji oraz korzystania z bezpiecznych syst</w:t>
      </w:r>
      <w:r w:rsidRPr="00A6165D">
        <w:t>emów mobilnych</w:t>
      </w:r>
      <w:r w:rsidRPr="004E366E">
        <w:t xml:space="preserve"> w jednostkach administracji publicznej.</w:t>
      </w:r>
      <w:r>
        <w:t xml:space="preserve"> </w:t>
      </w:r>
    </w:p>
    <w:p w14:paraId="68698607" w14:textId="77777777" w:rsidR="00BA057D" w:rsidRPr="005B0F8C" w:rsidRDefault="00BA057D" w:rsidP="00BA057D">
      <w:pPr>
        <w:spacing w:after="0" w:line="276" w:lineRule="auto"/>
        <w:jc w:val="both"/>
      </w:pPr>
      <w:r w:rsidRPr="005B0F8C">
        <w:t xml:space="preserve">Dostrzegając problemy wynikające z decentralizacji informatyki w administracji publicznej oraz konieczność wzmocnienia cyberbezpieczeństwa, </w:t>
      </w:r>
      <w:r>
        <w:t xml:space="preserve">w ramach </w:t>
      </w:r>
      <w:r w:rsidRPr="005B0F8C">
        <w:t>realizacj</w:t>
      </w:r>
      <w:r>
        <w:t>i</w:t>
      </w:r>
      <w:r w:rsidRPr="005B0F8C">
        <w:t xml:space="preserve"> </w:t>
      </w:r>
      <w:r>
        <w:t>Inicjatywy</w:t>
      </w:r>
      <w:r w:rsidRPr="005B0F8C">
        <w:t xml:space="preserve"> WIIP – Wspólna Infrastruktura Informatyczna Państwa</w:t>
      </w:r>
      <w:r>
        <w:t>, planuje się skoncentrować na:</w:t>
      </w:r>
    </w:p>
    <w:p w14:paraId="3347A3E5" w14:textId="77777777" w:rsidR="00BA057D" w:rsidRPr="00401D39" w:rsidRDefault="00BA057D" w:rsidP="00723B3F">
      <w:pPr>
        <w:pStyle w:val="Akapitzlist"/>
        <w:numPr>
          <w:ilvl w:val="0"/>
          <w:numId w:val="64"/>
        </w:numPr>
        <w:spacing w:line="276" w:lineRule="auto"/>
        <w:ind w:left="426"/>
        <w:jc w:val="both"/>
        <w:rPr>
          <w:rFonts w:ascii="Calibri" w:hAnsi="Calibri" w:cs="Calibri"/>
          <w:sz w:val="22"/>
        </w:rPr>
      </w:pPr>
      <w:r w:rsidRPr="00401D39">
        <w:rPr>
          <w:rFonts w:ascii="Calibri" w:hAnsi="Calibri" w:cs="Calibri"/>
          <w:sz w:val="22"/>
        </w:rPr>
        <w:t>zapewnieniu bezpieczeństwa danych przetwarzanych w systemach teleinformatycznych podmiotów administracji publicznej oraz optymalizacji kosztów utrzymania tych systemów;</w:t>
      </w:r>
    </w:p>
    <w:p w14:paraId="5E674A80" w14:textId="77777777" w:rsidR="00BA057D" w:rsidRPr="00401D39" w:rsidRDefault="00BA057D" w:rsidP="00723B3F">
      <w:pPr>
        <w:pStyle w:val="Akapitzlist"/>
        <w:numPr>
          <w:ilvl w:val="0"/>
          <w:numId w:val="64"/>
        </w:numPr>
        <w:spacing w:line="276" w:lineRule="auto"/>
        <w:ind w:left="426"/>
        <w:jc w:val="both"/>
        <w:rPr>
          <w:rFonts w:ascii="Calibri" w:hAnsi="Calibri" w:cs="Calibri"/>
          <w:sz w:val="22"/>
        </w:rPr>
      </w:pPr>
      <w:r w:rsidRPr="00401D39">
        <w:rPr>
          <w:rFonts w:ascii="Calibri" w:hAnsi="Calibri" w:cs="Calibri"/>
          <w:sz w:val="22"/>
        </w:rPr>
        <w:t>wprowadzeniu jednolitych wysokich standardów ochrony systemów informatycznych oraz wspieraniu podmiotów administracji publicznej w utrzymaniu tych systemów i uzyskiwaniu usług niezbędnych do ich budowy;</w:t>
      </w:r>
    </w:p>
    <w:p w14:paraId="3BA20730" w14:textId="77777777" w:rsidR="00BA057D" w:rsidRPr="00401D39" w:rsidRDefault="00BA057D" w:rsidP="00723B3F">
      <w:pPr>
        <w:pStyle w:val="Akapitzlist"/>
        <w:numPr>
          <w:ilvl w:val="0"/>
          <w:numId w:val="64"/>
        </w:numPr>
        <w:spacing w:line="276" w:lineRule="auto"/>
        <w:ind w:left="426"/>
        <w:jc w:val="both"/>
        <w:rPr>
          <w:rFonts w:ascii="Calibri" w:hAnsi="Calibri" w:cs="Calibri"/>
          <w:sz w:val="22"/>
        </w:rPr>
      </w:pPr>
      <w:r w:rsidRPr="00401D39">
        <w:rPr>
          <w:rFonts w:ascii="Calibri" w:hAnsi="Calibri" w:cs="Calibri"/>
          <w:sz w:val="22"/>
        </w:rPr>
        <w:t>zapewnieniu wysokiego poziomu niezawodności usług świadczonych społeczeństwu przez administrację publiczną.</w:t>
      </w:r>
    </w:p>
    <w:p w14:paraId="51FA8B7C" w14:textId="77777777" w:rsidR="00BA057D" w:rsidRPr="005B0F8C" w:rsidRDefault="00BA057D" w:rsidP="00BA057D">
      <w:pPr>
        <w:spacing w:line="276" w:lineRule="auto"/>
        <w:jc w:val="both"/>
      </w:pPr>
      <w:r w:rsidRPr="005B0F8C">
        <w:t xml:space="preserve">Planowanym działaniom inwestycyjnym towarzyszyć będzie kampania informacyjna, której jednym z celów będzie promocja wdrażanych rozwiązań oraz szerokie informowanie odbiorców w zakresie bezpieczeństwa informacji, </w:t>
      </w:r>
      <w:r>
        <w:t>tworzenia i utrzymania Systemów Zarządzania Bezpieczeństwem Informacji</w:t>
      </w:r>
      <w:r w:rsidRPr="005B0F8C">
        <w:t>, określonych w</w:t>
      </w:r>
      <w:r>
        <w:t> </w:t>
      </w:r>
      <w:r w:rsidRPr="005B0F8C">
        <w:t xml:space="preserve">rozporządzeniu KRI </w:t>
      </w:r>
      <w:r>
        <w:t xml:space="preserve">oraz Narodowych Standardów Cyberbezpieczeństwa </w:t>
      </w:r>
      <w:r w:rsidRPr="005B0F8C">
        <w:t xml:space="preserve">i ich wpływie na zapewnienie ochrony danych, a także korzyściach z korzystania </w:t>
      </w:r>
      <w:r>
        <w:t>z </w:t>
      </w:r>
      <w:r w:rsidRPr="005B0F8C">
        <w:t xml:space="preserve">ustandaryzowanych usług </w:t>
      </w:r>
      <w:r>
        <w:t xml:space="preserve">przetwarzania w chmurze </w:t>
      </w:r>
      <w:r w:rsidRPr="005B0F8C">
        <w:t>w zapewnianiu polityki bezpieczeństwa informacyjnego systemów informatycznych administracji publicznej.</w:t>
      </w:r>
    </w:p>
    <w:p w14:paraId="13C60617" w14:textId="77777777" w:rsidR="00BA057D" w:rsidRPr="00401D39" w:rsidRDefault="00BA057D" w:rsidP="00BA057D">
      <w:pPr>
        <w:spacing w:after="0" w:line="276" w:lineRule="auto"/>
        <w:jc w:val="both"/>
        <w:rPr>
          <w:rFonts w:cs="Calibri"/>
        </w:rPr>
      </w:pPr>
      <w:r w:rsidRPr="00401D39">
        <w:rPr>
          <w:rFonts w:eastAsia="Times New Roman" w:cs="Calibri"/>
          <w:b/>
          <w:u w:val="single"/>
        </w:rPr>
        <w:t xml:space="preserve">1.4. Wspieranie rozwoju i wykorzystanie nowoczesnych technologii. </w:t>
      </w:r>
      <w:r w:rsidRPr="00401D39">
        <w:rPr>
          <w:rFonts w:cs="Calibri"/>
        </w:rPr>
        <w:t>Instytucje powinny wspierać i stymulować rozwój rozwiązań opartych na najnowszych technologiach, tak by zapewnić konkurencyjność naszej gospodarki. Z uwagi na prognozowane przemiany na globalnym rynku pracy działania prowadzone przez instytucje publiczne powinny być ukierunkowane na ulokowanie nowych dziedzin gospodarki w Polsce. Dzięki temu wzrosną szanse na wzmocnienie gałęzi polskiej gospodarki takich jak: przemysł, transport i logistyka, służba zdrowia, gospodarka odpadami, energetyka oraz rolnictwo.</w:t>
      </w:r>
    </w:p>
    <w:p w14:paraId="2EE4655E" w14:textId="77777777" w:rsidR="00BA057D" w:rsidRPr="00401D39" w:rsidRDefault="00BA057D" w:rsidP="00BA057D">
      <w:pPr>
        <w:spacing w:after="0" w:line="276" w:lineRule="auto"/>
        <w:jc w:val="both"/>
        <w:rPr>
          <w:rFonts w:cs="Calibri"/>
        </w:rPr>
      </w:pPr>
      <w:r w:rsidRPr="00401D39">
        <w:rPr>
          <w:rFonts w:cs="Calibri"/>
        </w:rPr>
        <w:t>Prawidłowa implementacja zaawansowanych technologii uzależniona jest od właściwego wsparcia instytucji publicznych dla twórców nowych rozwiązań, opartych m.in. o sztuczną inteligencję, Internet rzeczy czy blockchain, obejmującego:</w:t>
      </w:r>
    </w:p>
    <w:p w14:paraId="0B1185CB" w14:textId="77777777" w:rsidR="00BA057D" w:rsidRPr="00401D39" w:rsidRDefault="00BA057D" w:rsidP="00723B3F">
      <w:pPr>
        <w:pStyle w:val="Akapitzlist"/>
        <w:numPr>
          <w:ilvl w:val="0"/>
          <w:numId w:val="38"/>
        </w:numPr>
        <w:spacing w:line="276" w:lineRule="auto"/>
        <w:ind w:left="426"/>
        <w:jc w:val="both"/>
        <w:rPr>
          <w:rFonts w:ascii="Calibri" w:hAnsi="Calibri" w:cs="Calibri"/>
          <w:sz w:val="22"/>
          <w:szCs w:val="22"/>
          <w:lang w:eastAsia="en-US"/>
        </w:rPr>
      </w:pPr>
      <w:r w:rsidRPr="00401D39">
        <w:rPr>
          <w:rFonts w:ascii="Calibri" w:hAnsi="Calibri" w:cs="Calibri"/>
          <w:sz w:val="22"/>
          <w:szCs w:val="22"/>
          <w:lang w:eastAsia="en-US"/>
        </w:rPr>
        <w:t>wsparcie instytucjonalne oferowane twórcom technologii oraz tworzenie forów współpracy i dialogu różnych sektorów branży IT z administracją publiczną, umożliwiając tym samym przyjmowanie jednolitych standardów ułatwiających gromadzenie, przechowywanie i wymianę danych. Ułatwi to przepływ rozwiązań i technologii pomiędzy sektorami;</w:t>
      </w:r>
    </w:p>
    <w:p w14:paraId="3A466A87" w14:textId="77777777" w:rsidR="00BA057D" w:rsidRPr="00401D39" w:rsidRDefault="00BA057D" w:rsidP="00723B3F">
      <w:pPr>
        <w:pStyle w:val="Akapitzlist"/>
        <w:numPr>
          <w:ilvl w:val="0"/>
          <w:numId w:val="38"/>
        </w:numPr>
        <w:spacing w:line="276" w:lineRule="auto"/>
        <w:ind w:left="426"/>
        <w:jc w:val="both"/>
        <w:rPr>
          <w:rFonts w:ascii="Calibri" w:hAnsi="Calibri" w:cs="Calibri"/>
          <w:sz w:val="22"/>
          <w:szCs w:val="22"/>
          <w:lang w:eastAsia="en-US"/>
        </w:rPr>
      </w:pPr>
      <w:r w:rsidRPr="00401D39">
        <w:rPr>
          <w:rFonts w:ascii="Calibri" w:hAnsi="Calibri" w:cs="Calibri"/>
          <w:sz w:val="22"/>
          <w:szCs w:val="22"/>
          <w:lang w:eastAsia="en-US"/>
        </w:rPr>
        <w:t>likwidację barier prawnych i organizacyjnych we wdrażaniu tych rozwiązań;</w:t>
      </w:r>
    </w:p>
    <w:p w14:paraId="3A719635" w14:textId="77777777" w:rsidR="00BA057D" w:rsidRPr="00401D39" w:rsidRDefault="00BA057D" w:rsidP="00723B3F">
      <w:pPr>
        <w:pStyle w:val="Akapitzlist"/>
        <w:numPr>
          <w:ilvl w:val="0"/>
          <w:numId w:val="38"/>
        </w:numPr>
        <w:spacing w:line="276" w:lineRule="auto"/>
        <w:ind w:left="426"/>
        <w:jc w:val="both"/>
        <w:rPr>
          <w:rFonts w:ascii="Calibri" w:hAnsi="Calibri" w:cs="Calibri"/>
          <w:sz w:val="22"/>
          <w:szCs w:val="22"/>
          <w:lang w:eastAsia="en-US"/>
        </w:rPr>
      </w:pPr>
      <w:r w:rsidRPr="00401D39">
        <w:rPr>
          <w:rFonts w:ascii="Calibri" w:hAnsi="Calibri" w:cs="Calibri"/>
          <w:sz w:val="22"/>
          <w:szCs w:val="22"/>
          <w:lang w:eastAsia="en-US"/>
        </w:rPr>
        <w:t>stworzenie</w:t>
      </w:r>
      <w:r w:rsidRPr="00401D39">
        <w:rPr>
          <w:rFonts w:ascii="Calibri" w:hAnsi="Calibri"/>
          <w:sz w:val="22"/>
        </w:rPr>
        <w:t xml:space="preserve"> mechanizmu finansowania innowacji polegającego na dofinansowaniu wdrożeń pilotażowych. Przygotowanie programów grantowych w podziale na sektory lub obszary (np. Inteligentne Miasta – z ang. smart city)/Stworzenie Krajowego/Zintegrowanego Systemu Wspierania Innowacji</w:t>
      </w:r>
      <w:r w:rsidRPr="00401D39">
        <w:rPr>
          <w:rFonts w:ascii="Calibri" w:hAnsi="Calibri" w:cs="Calibri"/>
          <w:sz w:val="22"/>
          <w:szCs w:val="22"/>
          <w:lang w:eastAsia="en-US"/>
        </w:rPr>
        <w:t>,</w:t>
      </w:r>
      <w:r w:rsidRPr="00401D39">
        <w:rPr>
          <w:rFonts w:ascii="Calibri" w:hAnsi="Calibri"/>
          <w:sz w:val="22"/>
        </w:rPr>
        <w:t xml:space="preserve"> </w:t>
      </w:r>
      <w:r w:rsidRPr="00401D39">
        <w:rPr>
          <w:rFonts w:ascii="Calibri" w:hAnsi="Calibri" w:cs="Calibri"/>
          <w:sz w:val="22"/>
          <w:szCs w:val="22"/>
          <w:lang w:eastAsia="en-US"/>
        </w:rPr>
        <w:t>zapewnienie wszechstronnych źródeł danych, stanowiących podstawę budowy nowych rozwiązań dzięki polityce otwartości danych i polityki dzielenia się danymi w zaufanych systemach;</w:t>
      </w:r>
    </w:p>
    <w:p w14:paraId="329C4EF0" w14:textId="77777777" w:rsidR="00BA057D" w:rsidRPr="00401D39" w:rsidRDefault="00BA057D" w:rsidP="00723B3F">
      <w:pPr>
        <w:pStyle w:val="Akapitzlist"/>
        <w:numPr>
          <w:ilvl w:val="0"/>
          <w:numId w:val="38"/>
        </w:numPr>
        <w:spacing w:line="276" w:lineRule="auto"/>
        <w:ind w:left="426"/>
        <w:jc w:val="both"/>
        <w:rPr>
          <w:rFonts w:ascii="Calibri" w:hAnsi="Calibri" w:cs="Calibri"/>
          <w:sz w:val="22"/>
          <w:szCs w:val="22"/>
          <w:lang w:eastAsia="en-US"/>
        </w:rPr>
      </w:pPr>
      <w:r w:rsidRPr="00401D39">
        <w:rPr>
          <w:rFonts w:ascii="Calibri" w:hAnsi="Calibri" w:cs="Calibri"/>
          <w:sz w:val="22"/>
          <w:szCs w:val="22"/>
          <w:lang w:eastAsia="en-US"/>
        </w:rPr>
        <w:t>współpracę z branżą IT w celu identyfikacji możliwości zastosowania tych technologii w różnych przejawach funkcjonowania państwa;</w:t>
      </w:r>
    </w:p>
    <w:p w14:paraId="318D254E" w14:textId="77777777" w:rsidR="00BA057D" w:rsidRPr="00401D39" w:rsidRDefault="00BA057D" w:rsidP="00723B3F">
      <w:pPr>
        <w:pStyle w:val="Akapitzlist"/>
        <w:numPr>
          <w:ilvl w:val="0"/>
          <w:numId w:val="38"/>
        </w:numPr>
        <w:spacing w:line="276" w:lineRule="auto"/>
        <w:ind w:left="426"/>
        <w:jc w:val="both"/>
        <w:rPr>
          <w:rFonts w:ascii="Calibri" w:hAnsi="Calibri" w:cs="Calibri"/>
          <w:sz w:val="22"/>
          <w:szCs w:val="22"/>
          <w:lang w:eastAsia="en-US"/>
        </w:rPr>
      </w:pPr>
      <w:r w:rsidRPr="00401D39">
        <w:rPr>
          <w:rFonts w:ascii="Calibri" w:hAnsi="Calibri" w:cs="Calibri"/>
          <w:sz w:val="22"/>
          <w:szCs w:val="22"/>
          <w:lang w:eastAsia="en-US"/>
        </w:rPr>
        <w:t>powołanie inicjatyw zmierzających do przyśpieszenia planowania i wdrażania tych projektów cyfryzacji państwa, dla których istotnym narzędziem jest użycie technologii blockchain i rejestrów rozproszonych;</w:t>
      </w:r>
    </w:p>
    <w:p w14:paraId="0EDCEC31" w14:textId="77777777" w:rsidR="00BA057D" w:rsidRPr="00401D39" w:rsidRDefault="00BA057D" w:rsidP="00723B3F">
      <w:pPr>
        <w:pStyle w:val="Akapitzlist"/>
        <w:numPr>
          <w:ilvl w:val="0"/>
          <w:numId w:val="38"/>
        </w:numPr>
        <w:spacing w:line="276" w:lineRule="auto"/>
        <w:ind w:left="426"/>
        <w:jc w:val="both"/>
        <w:rPr>
          <w:rFonts w:ascii="Calibri" w:hAnsi="Calibri" w:cs="Calibri"/>
          <w:sz w:val="22"/>
          <w:szCs w:val="22"/>
          <w:lang w:eastAsia="en-US"/>
        </w:rPr>
      </w:pPr>
      <w:r w:rsidRPr="00401D39">
        <w:rPr>
          <w:rFonts w:ascii="Calibri" w:hAnsi="Calibri" w:cs="Calibri"/>
          <w:sz w:val="22"/>
          <w:szCs w:val="22"/>
          <w:lang w:eastAsia="en-US"/>
        </w:rPr>
        <w:t>podejmowanie działań zapewniających uczestnictwo partnerów biznesowych i społecznych w procesie podnoszenia efektywności administracji publicznej poprzez:</w:t>
      </w:r>
    </w:p>
    <w:p w14:paraId="4C5DD8E2" w14:textId="77777777" w:rsidR="00BA057D" w:rsidRPr="00401D39" w:rsidRDefault="00BA057D" w:rsidP="00723B3F">
      <w:pPr>
        <w:pStyle w:val="Akapitzlist"/>
        <w:numPr>
          <w:ilvl w:val="1"/>
          <w:numId w:val="48"/>
        </w:numPr>
        <w:spacing w:line="276" w:lineRule="auto"/>
        <w:ind w:left="993"/>
        <w:jc w:val="both"/>
        <w:rPr>
          <w:rFonts w:ascii="Calibri" w:hAnsi="Calibri" w:cs="Calibri"/>
          <w:sz w:val="22"/>
          <w:szCs w:val="22"/>
          <w:lang w:eastAsia="en-US"/>
        </w:rPr>
      </w:pPr>
      <w:r w:rsidRPr="00401D39">
        <w:rPr>
          <w:rFonts w:ascii="Calibri" w:hAnsi="Calibri" w:cs="Calibri"/>
          <w:sz w:val="22"/>
          <w:szCs w:val="22"/>
          <w:lang w:eastAsia="en-US"/>
        </w:rPr>
        <w:t xml:space="preserve">uruchamianie sandboxów i platform innowacji, </w:t>
      </w:r>
    </w:p>
    <w:p w14:paraId="47564213" w14:textId="77777777" w:rsidR="00BA057D" w:rsidRPr="00401D39" w:rsidRDefault="00BA057D" w:rsidP="00723B3F">
      <w:pPr>
        <w:pStyle w:val="Akapitzlist"/>
        <w:numPr>
          <w:ilvl w:val="1"/>
          <w:numId w:val="48"/>
        </w:numPr>
        <w:spacing w:line="276" w:lineRule="auto"/>
        <w:ind w:left="993"/>
        <w:jc w:val="both"/>
        <w:rPr>
          <w:rFonts w:ascii="Calibri" w:hAnsi="Calibri" w:cs="Calibri"/>
          <w:sz w:val="22"/>
          <w:szCs w:val="22"/>
          <w:lang w:eastAsia="en-US"/>
        </w:rPr>
      </w:pPr>
      <w:r w:rsidRPr="00401D39">
        <w:rPr>
          <w:rFonts w:ascii="Calibri" w:hAnsi="Calibri" w:cs="Calibri"/>
          <w:sz w:val="22"/>
          <w:szCs w:val="22"/>
          <w:lang w:eastAsia="en-US"/>
        </w:rPr>
        <w:t xml:space="preserve">współpracę administracji publicznej z rynkiem komercyjnym, w tym wykorzystanie potencjału innowacyjności przedsiębiorstw poprzez zamówienia na potrzeby administracji publicznej– Program rządowy GovTech, </w:t>
      </w:r>
    </w:p>
    <w:p w14:paraId="5331A2ED" w14:textId="77777777" w:rsidR="00BA057D" w:rsidRPr="00401D39" w:rsidRDefault="00BA057D" w:rsidP="00723B3F">
      <w:pPr>
        <w:pStyle w:val="Akapitzlist"/>
        <w:numPr>
          <w:ilvl w:val="1"/>
          <w:numId w:val="48"/>
        </w:numPr>
        <w:spacing w:line="276" w:lineRule="auto"/>
        <w:ind w:left="993"/>
        <w:jc w:val="both"/>
        <w:rPr>
          <w:rFonts w:ascii="Calibri" w:hAnsi="Calibri" w:cs="Calibri"/>
          <w:sz w:val="22"/>
          <w:szCs w:val="22"/>
          <w:lang w:eastAsia="en-US"/>
        </w:rPr>
      </w:pPr>
      <w:r w:rsidRPr="00401D39">
        <w:rPr>
          <w:rFonts w:ascii="Calibri" w:hAnsi="Calibri" w:cs="Calibri"/>
          <w:sz w:val="22"/>
          <w:szCs w:val="22"/>
          <w:lang w:eastAsia="en-US"/>
        </w:rPr>
        <w:t>promowanie i wdrażanie nowych technologii,</w:t>
      </w:r>
    </w:p>
    <w:p w14:paraId="324437A3" w14:textId="77777777" w:rsidR="00BA057D" w:rsidRPr="00401D39" w:rsidRDefault="00BA057D" w:rsidP="00723B3F">
      <w:pPr>
        <w:pStyle w:val="Akapitzlist"/>
        <w:numPr>
          <w:ilvl w:val="1"/>
          <w:numId w:val="48"/>
        </w:numPr>
        <w:spacing w:line="276" w:lineRule="auto"/>
        <w:ind w:left="993"/>
        <w:jc w:val="both"/>
        <w:rPr>
          <w:rFonts w:ascii="Calibri" w:hAnsi="Calibri" w:cs="Calibri"/>
          <w:sz w:val="22"/>
          <w:szCs w:val="22"/>
          <w:lang w:eastAsia="en-US"/>
        </w:rPr>
      </w:pPr>
      <w:r w:rsidRPr="00401D39">
        <w:rPr>
          <w:rFonts w:ascii="Calibri" w:hAnsi="Calibri" w:cs="Calibri"/>
          <w:sz w:val="22"/>
          <w:szCs w:val="22"/>
          <w:lang w:eastAsia="en-US"/>
        </w:rPr>
        <w:t>współpraca międzynarodowa – aktywne uczestnictwo i transfer doświadczeń.</w:t>
      </w:r>
    </w:p>
    <w:p w14:paraId="7E174460" w14:textId="77777777" w:rsidR="00BA057D" w:rsidRPr="00401D39" w:rsidRDefault="00BA057D" w:rsidP="00BA057D">
      <w:pPr>
        <w:spacing w:line="276" w:lineRule="auto"/>
        <w:jc w:val="both"/>
        <w:rPr>
          <w:rFonts w:cs="Calibri"/>
        </w:rPr>
      </w:pPr>
      <w:r w:rsidRPr="00401D39">
        <w:rPr>
          <w:rFonts w:cs="Calibri"/>
        </w:rPr>
        <w:t>Realizowane działania powinny zaowocować znaczącym zwiększeniem konkurencyjności polskiej gospodarki oraz wzrostem atrakcyjności inwestycyjnej.</w:t>
      </w:r>
    </w:p>
    <w:p w14:paraId="5DA700BF" w14:textId="77777777" w:rsidR="00BA057D" w:rsidRPr="00401D39" w:rsidRDefault="00BA057D" w:rsidP="00BA057D">
      <w:pPr>
        <w:spacing w:after="0" w:line="276" w:lineRule="auto"/>
        <w:jc w:val="both"/>
        <w:rPr>
          <w:rFonts w:eastAsia="Times New Roman" w:cs="Calibri"/>
        </w:rPr>
      </w:pPr>
      <w:r w:rsidRPr="00401D39">
        <w:rPr>
          <w:rFonts w:eastAsia="Times New Roman" w:cs="Calibri"/>
          <w:b/>
          <w:u w:val="single"/>
        </w:rPr>
        <w:t xml:space="preserve">1.5. Świadczenie e-usług publicznych. </w:t>
      </w:r>
      <w:r w:rsidRPr="00401D39">
        <w:rPr>
          <w:rFonts w:eastAsia="Times New Roman" w:cs="Calibri"/>
        </w:rPr>
        <w:t>Każdy polski obywatel oraz przedsiębiorca powinien mieć możliwość załatwienia drogą elektroniczną każdej sprawy z organami administracji publicznej dowolnego szczebla. Dla realizacji tego celu należy projektować/przebudowywać i wdrażać użyteczne, przyjazne, dostępne cyfrowo oraz odpowiadające potrzebom obywateli publiczne usługi cyfrowe. Projektowanie nowych usług będzie się odbywać w oparciu o uwzględnianie na pierwszym miejscu potrzeb i korzyści dla obywatela. Administracja publiczna będzie rozwijała usługi bazujące na wykorzystaniu danych znajdujących się już w rejestrach państwowych (np. rejestrze PESEL), co spowoduje, że użytkownicy nie będą zobowiązywani do podawania własnych danych będących w posiadaniu administracji, dane będą uzyskiwane z rejestrów państwowych. Wprowadzenie tzw. parentyzacji a więc jednoznacznego powiązania w rejestrze PESEL dziecka z rodzicami daje pole do rozszerzenia tej zasady również w przypadku działania w imieniu dzieci. Jest to zatem realizacja stosowanej w usługach administracji rządowej zasady wykorzystania danych z rejestrów państwowych ("The only one principle").</w:t>
      </w:r>
    </w:p>
    <w:p w14:paraId="6AD4928D" w14:textId="77777777" w:rsidR="00BA057D" w:rsidRPr="00401D39" w:rsidRDefault="00BA057D" w:rsidP="00BA057D">
      <w:pPr>
        <w:spacing w:after="0" w:line="276" w:lineRule="auto"/>
        <w:jc w:val="both"/>
        <w:rPr>
          <w:rFonts w:eastAsia="Times New Roman" w:cs="Calibri"/>
        </w:rPr>
      </w:pPr>
      <w:r w:rsidRPr="00401D39">
        <w:rPr>
          <w:rFonts w:eastAsia="Times New Roman" w:cs="Calibri"/>
        </w:rPr>
        <w:t xml:space="preserve"> Wykorzystanie danych znajdujących się już w posiadaniu administracji (rejestry) pozwoli również na wdrażanie usług o coraz wyższym poziomie dojrzałości związanych z samodzielnym pobieraniem uwierzytelnionych dokumentów elektronicznych z rejestrów (np. usługa pobrania odpisu aktu stanu cywilnego). W konsekwencji daje korzyści w postaci oszczędności czasu obywatela jak i urzędnika a także tańszej administracji.</w:t>
      </w:r>
    </w:p>
    <w:p w14:paraId="78070C07" w14:textId="77777777" w:rsidR="00BA057D" w:rsidRPr="00401D39" w:rsidRDefault="00BA057D" w:rsidP="00BA057D">
      <w:pPr>
        <w:spacing w:after="0" w:line="276" w:lineRule="auto"/>
        <w:jc w:val="both"/>
        <w:rPr>
          <w:rFonts w:eastAsia="Times New Roman" w:cs="Calibri"/>
        </w:rPr>
      </w:pPr>
      <w:r w:rsidRPr="00401D39">
        <w:rPr>
          <w:rFonts w:eastAsia="Times New Roman" w:cs="Calibri"/>
        </w:rPr>
        <w:t>W tym kontekście kontynuowane będą prace mające na celu upowszechnienie wykorzystania funkcjonalności dowodu osobistego z warstwą elektroniczną, tj. profilu osobistego i podpisu osobistego, w usługach publicznych oraz komercyjnych, ponieważ e-dowód jest bezpiecznym narzędziem do komunikacji obywatela z administracją, służbą zdrowia oraz podmiotami komercyjnymi.  Na wzrost zainteresowania właścicieli dostosowaniem ich systemów do wykorzystywania funkcjonalności e-dowodu, będzie miała wpływ rosnąca liczba osób posługujących się nowym dowodem osobistym z warstwą elektroniczną. Elementem procesu projektowania usług będzie wprowadzenie zmian w procedurach administracyjnych, tak, aby usługa nie była cyfrowym utożsamieniem procedury realizowanej drogą tradycyjną. Usługi cyfrowe będą udostępniane w taki sposób, aby mogła być realizowana cała sekwencja procedur w celu obsłużenia tzw. zdarzenia życiowego – jak np. narodziny dziecka, nabycie/sprzedaż pojazdu. Dostęp do usług powinien być możliwy za pośrednictwem wielu różnych narzędzi, w tym urządzeń mobilnych jak również przy użyciu różnych środków identyfikacji. Kontynuowane będą prace nad rozwojem Portalu RP (portalu gov.pl) jako punktu dostępu do informacji i usług administracji publicznych, w tym konta obywatela Mój Gov, zapewniającego dostęp do danych, usług i innych platform, a także aplikacji mobilnej mObywatel.</w:t>
      </w:r>
    </w:p>
    <w:p w14:paraId="41655C75" w14:textId="77777777" w:rsidR="00BA057D" w:rsidRPr="00401D39" w:rsidRDefault="00BA057D" w:rsidP="00BA057D">
      <w:pPr>
        <w:spacing w:before="120" w:after="0" w:line="276" w:lineRule="auto"/>
        <w:jc w:val="both"/>
        <w:rPr>
          <w:rFonts w:eastAsia="Times New Roman" w:cs="Calibri"/>
        </w:rPr>
      </w:pPr>
      <w:r w:rsidRPr="00401D39">
        <w:rPr>
          <w:rFonts w:eastAsia="Times New Roman" w:cs="Calibri"/>
        </w:rPr>
        <w:t>Zakłada się wzrost udziału podmiotów ekonomii społecznej w rynku usług publicznych, przejawiającą się m.in. w zwiększeniu udziału obywateli i ich organizacji w procesie świadczenia usług publicznych. Warunkiem rozwoju sektora usług jest m.in. stworzenie warunków prawnych i przyjaznego otoczenia instytucjonalnego dla ich funkcjonowania.</w:t>
      </w:r>
    </w:p>
    <w:p w14:paraId="6898CE57" w14:textId="77777777" w:rsidR="00BA057D" w:rsidRPr="00322213" w:rsidRDefault="00BA057D" w:rsidP="00BA057D">
      <w:pPr>
        <w:spacing w:before="120" w:after="0" w:line="276" w:lineRule="auto"/>
        <w:jc w:val="both"/>
        <w:rPr>
          <w:rFonts w:cs="Arial"/>
        </w:rPr>
      </w:pPr>
      <w:r w:rsidRPr="00322213">
        <w:rPr>
          <w:rFonts w:cs="Arial"/>
        </w:rPr>
        <w:t>Problem</w:t>
      </w:r>
      <w:r>
        <w:rPr>
          <w:rFonts w:cs="Arial"/>
        </w:rPr>
        <w:t>atyka</w:t>
      </w:r>
      <w:r w:rsidRPr="00322213">
        <w:rPr>
          <w:rFonts w:cs="Arial"/>
        </w:rPr>
        <w:t xml:space="preserve"> cyfryzacji usług publicznych w naszym kraju jest jednym z zagadnień, do których odnosi się SOR. W dokumencie tym wskazuje się na konieczność udostępnienia obywatelom wysokiej jakości e-usług publicznych. W celu poprawy funkcjonowania organów administracji publicznej zaangażowanych w proces inwestycyjno</w:t>
      </w:r>
      <w:r>
        <w:rPr>
          <w:rFonts w:cs="Arial"/>
        </w:rPr>
        <w:t>-</w:t>
      </w:r>
      <w:r w:rsidRPr="00322213">
        <w:rPr>
          <w:rFonts w:cs="Arial"/>
        </w:rPr>
        <w:t>budowlany niezbędna jest cyfryzacja usług również na tym polu. Wymaga to zarówno przeprowadzenia zmian prawnych, jak i organizacyjnych. Zapewnienie e-usług publicznych na gruncie procesu inwestycyjno</w:t>
      </w:r>
      <w:r>
        <w:rPr>
          <w:rFonts w:cs="Arial"/>
        </w:rPr>
        <w:t>-</w:t>
      </w:r>
      <w:r w:rsidRPr="00322213">
        <w:rPr>
          <w:rFonts w:cs="Arial"/>
        </w:rPr>
        <w:t xml:space="preserve">budowlanego idzie w parze z podniesieniem konkurencyjności naszego kraju poprzez wsparcie rozwoju inwestycji na etapie planowania, uzyskiwania zgód i pozwoleń oraz na etapie wykonawczym. Składanie do przyszłych organów administracji inwestycyjnej projektu budowlanego w formie cyfrowej zapewniać będzie także kompatybilność nowoczesnych rozwiązań dostępnych na rynku w zakresie projektowania obiektów budowlanych z formalnymi wymogami uzyskania szeroko rozumianej zgody budowlanej (szersze wykorzystanie BIM – </w:t>
      </w:r>
      <w:r w:rsidRPr="00322213">
        <w:rPr>
          <w:rFonts w:cs="Arial"/>
          <w:i/>
        </w:rPr>
        <w:t>Building Information Modeling</w:t>
      </w:r>
      <w:r w:rsidRPr="00322213">
        <w:rPr>
          <w:rFonts w:cs="Arial"/>
        </w:rPr>
        <w:t xml:space="preserve">). </w:t>
      </w:r>
    </w:p>
    <w:p w14:paraId="4930D7A4" w14:textId="77777777" w:rsidR="00BA057D" w:rsidRPr="00F21196" w:rsidRDefault="00BA057D" w:rsidP="00BA057D">
      <w:pPr>
        <w:spacing w:before="120" w:line="276" w:lineRule="auto"/>
        <w:jc w:val="both"/>
        <w:rPr>
          <w:rFonts w:cs="Arial"/>
        </w:rPr>
      </w:pPr>
      <w:r w:rsidRPr="00322213">
        <w:rPr>
          <w:rFonts w:cs="Arial"/>
        </w:rPr>
        <w:t>Cyfryzacja usług publicznych w zakresie procesu inwestycyjno-budowlanego wymaga przeprowadzenia zmian prawnych i organizacyjnych. W pierwszej kolejności konieczne jest dokonanie analizy obecnie obowiązujących aktów prawnych związanych z prowadzeniem procesu inwestycyjno</w:t>
      </w:r>
      <w:r w:rsidRPr="003C5A79">
        <w:rPr>
          <w:rFonts w:cs="Arial"/>
        </w:rPr>
        <w:t>-</w:t>
      </w:r>
      <w:r w:rsidRPr="00322213">
        <w:rPr>
          <w:rFonts w:cs="Arial"/>
        </w:rPr>
        <w:t>budowlanego pod tym kątem. Następnie należy przygotować system informatyczny (platforma cyfrowa), który umożliwiałby prowadzenie postępowań związanych z procesem budowlanym przez organy administracji architektoniczno-budowlanej i nadzoru budowlanego. Przy realizacji zadania należy rozwiązać szereg problemów dotyczących projektowanych usług, m.in. kwestie cyfrowego podpisywania projektów przez osoby pełniące samodzielne funkcje techniczne w budownictwie, formę zatwierdzania projektów budowlanych przez organ, a także formę zawiadamiania oraz zapewnienia dostępności do usługi stronom biorącym udział w postępowaniu, kwestie związane z zapewnieniem odpowiedniego poziomu zabezpieczeń.</w:t>
      </w:r>
    </w:p>
    <w:p w14:paraId="71CD87F7" w14:textId="4000FBF2" w:rsidR="00BA057D" w:rsidRPr="00401D39" w:rsidRDefault="00BA057D" w:rsidP="00BA057D">
      <w:pPr>
        <w:spacing w:line="276" w:lineRule="auto"/>
        <w:jc w:val="both"/>
        <w:rPr>
          <w:rFonts w:eastAsia="Times New Roman" w:cs="Calibri"/>
        </w:rPr>
      </w:pPr>
      <w:r w:rsidRPr="00401D39">
        <w:rPr>
          <w:rFonts w:eastAsia="Times New Roman" w:cs="Calibri"/>
          <w:b/>
          <w:u w:val="single"/>
        </w:rPr>
        <w:t>1.6 Wdrażanie dostępności cyfrowej</w:t>
      </w:r>
      <w:r w:rsidRPr="00401D39">
        <w:rPr>
          <w:rFonts w:eastAsia="Times New Roman" w:cs="Calibri"/>
        </w:rPr>
        <w:t xml:space="preserve">. Istotnym jest, by cyfrowe usługi publiczne, aplikacje oraz informacje, jak również narzędzia cyfrowe służące do ich przetwarzania byłaby zawsze, już od momentu ich koncepcji i projektowania, dostępne cyfrowo, zgodnie z aktualnymi zaleceniami dotyczącymi dostępności cyfrowej. Umożliwi to wszystkim obywatelom, również tym z niepełnosprawnościami, swobodne korzystanie z </w:t>
      </w:r>
      <w:r>
        <w:rPr>
          <w:rFonts w:eastAsia="Times New Roman" w:cs="Calibri"/>
        </w:rPr>
        <w:br/>
      </w:r>
      <w:r w:rsidRPr="00401D39">
        <w:rPr>
          <w:rFonts w:eastAsia="Times New Roman" w:cs="Calibri"/>
        </w:rPr>
        <w:t xml:space="preserve">e-administracji oraz zlikwiduje bariery w zatrudnianiu takich osób przez podmioty publiczne. 15 kwietnia 2019 r. Prezydent podpisał ustawę o dostępności cyfrowej stron internetowych i aplikacji mobilnych podmiotów publicznych. Do pełnego wdrożenia ustawy niezbędne jest rozpowszechnienie tematyki dostępności cyfrowej, podnoszenie świadomości oraz szkolenie pracowników sektora publicznego w tym zakresie, jak również monitoring produktów cyfrowych administracji publicznej. </w:t>
      </w:r>
    </w:p>
    <w:p w14:paraId="74E60351" w14:textId="77777777" w:rsidR="00BA057D" w:rsidRPr="00401D39" w:rsidRDefault="00BA057D" w:rsidP="00BA057D">
      <w:pPr>
        <w:spacing w:after="0" w:line="276" w:lineRule="auto"/>
        <w:rPr>
          <w:rFonts w:eastAsia="Times New Roman" w:cs="Calibri"/>
        </w:rPr>
      </w:pPr>
    </w:p>
    <w:p w14:paraId="371A2C8B" w14:textId="77777777" w:rsidR="00BA057D" w:rsidRPr="00401D39" w:rsidRDefault="00BA057D" w:rsidP="00BA057D">
      <w:pPr>
        <w:pBdr>
          <w:bottom w:val="single" w:sz="24" w:space="1" w:color="FFD966"/>
        </w:pBdr>
        <w:shd w:val="clear" w:color="auto" w:fill="F2F2F2"/>
        <w:spacing w:after="0"/>
        <w:jc w:val="both"/>
        <w:rPr>
          <w:rFonts w:eastAsia="Times New Roman" w:cs="Calibri"/>
          <w:b/>
          <w:i/>
          <w:sz w:val="20"/>
        </w:rPr>
      </w:pPr>
      <w:r w:rsidRPr="00CA4984">
        <w:rPr>
          <w:rFonts w:cs="Calibri,Bold"/>
          <w:b/>
          <w:bCs/>
          <w:sz w:val="20"/>
        </w:rPr>
        <w:t>Kierunek interwencji 2.</w:t>
      </w:r>
    </w:p>
    <w:p w14:paraId="022B9C8D" w14:textId="77777777" w:rsidR="00BA057D" w:rsidRPr="00401D39" w:rsidRDefault="00BA057D" w:rsidP="00BA057D">
      <w:pPr>
        <w:pBdr>
          <w:bottom w:val="single" w:sz="24" w:space="1" w:color="FFD966"/>
        </w:pBdr>
        <w:shd w:val="clear" w:color="auto" w:fill="F2F2F2"/>
        <w:spacing w:after="0" w:line="276" w:lineRule="auto"/>
        <w:jc w:val="center"/>
        <w:rPr>
          <w:rFonts w:eastAsia="Times New Roman" w:cs="Calibri"/>
          <w:b/>
          <w:i/>
        </w:rPr>
      </w:pPr>
      <w:r w:rsidRPr="00401D39">
        <w:rPr>
          <w:rFonts w:eastAsia="Times New Roman" w:cs="Calibri"/>
          <w:b/>
          <w:i/>
        </w:rPr>
        <w:t>Zapewnienie dostępu do Internetu szerokopasmowego</w:t>
      </w:r>
    </w:p>
    <w:p w14:paraId="5E218EB5" w14:textId="77777777" w:rsidR="00BA057D" w:rsidRPr="00401D39" w:rsidRDefault="00BA057D" w:rsidP="00BA057D">
      <w:pPr>
        <w:spacing w:after="0" w:line="276" w:lineRule="auto"/>
        <w:jc w:val="both"/>
        <w:rPr>
          <w:rFonts w:eastAsia="Times New Roman" w:cs="Calibri"/>
        </w:rPr>
      </w:pPr>
    </w:p>
    <w:p w14:paraId="486CAC84" w14:textId="77777777" w:rsidR="00BA057D" w:rsidRPr="00401D39" w:rsidRDefault="00BA057D" w:rsidP="00BA057D">
      <w:pPr>
        <w:spacing w:after="0" w:line="276" w:lineRule="auto"/>
        <w:jc w:val="both"/>
        <w:rPr>
          <w:rFonts w:eastAsia="Times New Roman" w:cs="Calibri"/>
        </w:rPr>
      </w:pPr>
      <w:r w:rsidRPr="00401D39">
        <w:rPr>
          <w:rFonts w:eastAsia="Times New Roman" w:cs="Calibri"/>
        </w:rPr>
        <w:t>Możliwość stworzenia spójnego systemu informacyjnego państwa zapewniającego efektywną komunikację drogą elektroniczną będzie w dużej części uzależniona od możliwości uzyskania przez obywateli dostępu do szerokopasmowego Internetu. W celu wypełnienia tak nakreślonego zadania będą prowadzone działania wspierające rozwój sieci i infrastruktury szerokopasmowej oraz pobudzające popyt na usługi dostępowe o wysokich przepływnościach. Główne kierunki działań i narzędzia ich realizacji w tym zakresie przedstawia Narodowy Plan Szerokopasmowy, program rozwoju w obszarze infrastruktury szerokopasmowej stanowiący jednocześnie dokument wykonawczy do Strategii i projekt strategiczny w ramach SOR. Wskazuje on cele zgodne z komunikatem w sprawie społeczeństwa gigabitowego</w:t>
      </w:r>
      <w:r w:rsidRPr="00401D39">
        <w:rPr>
          <w:rFonts w:eastAsia="Times New Roman" w:cs="Calibri"/>
          <w:vertAlign w:val="superscript"/>
        </w:rPr>
        <w:footnoteReference w:id="81"/>
      </w:r>
      <w:r w:rsidRPr="00401D39">
        <w:rPr>
          <w:rFonts w:eastAsia="Times New Roman" w:cs="Calibri"/>
        </w:rPr>
        <w:t>:</w:t>
      </w:r>
    </w:p>
    <w:p w14:paraId="0C2330FA" w14:textId="77777777" w:rsidR="00BA057D" w:rsidRPr="00401D39" w:rsidRDefault="00BA057D" w:rsidP="00BA057D">
      <w:pPr>
        <w:numPr>
          <w:ilvl w:val="0"/>
          <w:numId w:val="7"/>
        </w:numPr>
        <w:spacing w:after="0" w:line="276" w:lineRule="auto"/>
        <w:ind w:left="284" w:hanging="284"/>
        <w:jc w:val="both"/>
        <w:rPr>
          <w:rFonts w:eastAsia="Times New Roman" w:cs="Calibri"/>
          <w:lang w:eastAsia="pl-PL"/>
        </w:rPr>
      </w:pPr>
      <w:r w:rsidRPr="00401D39">
        <w:rPr>
          <w:rFonts w:eastAsia="Times New Roman" w:cs="Calibri"/>
          <w:lang w:eastAsia="pl-PL"/>
        </w:rPr>
        <w:t>gigabitowy dostęp do Internetu dla wszystkich miejsc stanowiących główną siłę napędową rozwoju społeczno-gospodarczego, takich jak szkoły, węzły transportowe i główne miejsca świadczenia usług publicznych, a także dla przedsiębiorstw prowadzących intensywną działalność w Internecie do końca 2025 roku,</w:t>
      </w:r>
    </w:p>
    <w:p w14:paraId="3D1AA550" w14:textId="77777777" w:rsidR="00BA057D" w:rsidRPr="00401D39" w:rsidRDefault="00BA057D" w:rsidP="00BA057D">
      <w:pPr>
        <w:numPr>
          <w:ilvl w:val="0"/>
          <w:numId w:val="7"/>
        </w:numPr>
        <w:spacing w:after="0" w:line="276" w:lineRule="auto"/>
        <w:ind w:left="284" w:hanging="284"/>
        <w:jc w:val="both"/>
        <w:rPr>
          <w:rFonts w:eastAsia="Times New Roman" w:cs="Calibri"/>
          <w:sz w:val="24"/>
          <w:szCs w:val="24"/>
          <w:lang w:eastAsia="pl-PL"/>
        </w:rPr>
      </w:pPr>
      <w:r w:rsidRPr="00401D39">
        <w:rPr>
          <w:rFonts w:eastAsia="Times New Roman" w:cs="Calibri"/>
          <w:lang w:eastAsia="pl-PL"/>
        </w:rPr>
        <w:t>zapewnienie do 2020 roku łączności 5G, jako w pełni rozwiniętej usługi komercyjnej w co najmniej jednym głównym mieście,</w:t>
      </w:r>
    </w:p>
    <w:p w14:paraId="4244B445" w14:textId="77777777" w:rsidR="00BA057D" w:rsidRPr="00401D39" w:rsidRDefault="00BA057D" w:rsidP="00BA057D">
      <w:pPr>
        <w:numPr>
          <w:ilvl w:val="0"/>
          <w:numId w:val="7"/>
        </w:numPr>
        <w:spacing w:after="0" w:line="276" w:lineRule="auto"/>
        <w:ind w:left="284" w:hanging="284"/>
        <w:jc w:val="both"/>
        <w:rPr>
          <w:rFonts w:eastAsia="Times New Roman" w:cs="Calibri"/>
          <w:lang w:eastAsia="pl-PL"/>
        </w:rPr>
      </w:pPr>
      <w:r w:rsidRPr="00401D39">
        <w:rPr>
          <w:rFonts w:eastAsia="Times New Roman" w:cs="Calibri"/>
          <w:lang w:eastAsia="pl-PL"/>
        </w:rPr>
        <w:t>niezakłócony dostęp do sieci 5G na wszystkich obszarach miejskich i na wszystkich głównych szlakach komunikacyjnych do 2025 roku,</w:t>
      </w:r>
    </w:p>
    <w:p w14:paraId="60C49C79" w14:textId="77777777" w:rsidR="00BA057D" w:rsidRPr="00401D39" w:rsidRDefault="00BA057D" w:rsidP="00BA057D">
      <w:pPr>
        <w:numPr>
          <w:ilvl w:val="0"/>
          <w:numId w:val="7"/>
        </w:numPr>
        <w:spacing w:after="120" w:line="276" w:lineRule="auto"/>
        <w:ind w:left="284" w:hanging="284"/>
        <w:jc w:val="both"/>
        <w:rPr>
          <w:rFonts w:cs="Calibri"/>
          <w:szCs w:val="24"/>
          <w:lang w:eastAsia="pl-PL"/>
        </w:rPr>
      </w:pPr>
      <w:r w:rsidRPr="00401D39">
        <w:rPr>
          <w:rFonts w:eastAsia="Times New Roman" w:cs="Calibri"/>
          <w:lang w:eastAsia="pl-PL"/>
        </w:rPr>
        <w:t>zapewnienie wszystkim gospodarstwom domowym, zarówno na obszarach wiejskich, jak i miejskich, dostępu do Internetu o przepustowości dla łącza „w dół” wynoszącej co najmniej 100 Mb/s, z możliwością modernizacji do prędkości mierzonej w gigabitach do 2025 roku</w:t>
      </w:r>
      <w:r w:rsidRPr="00401D39">
        <w:rPr>
          <w:rFonts w:cs="Calibri"/>
          <w:szCs w:val="24"/>
          <w:lang w:eastAsia="pl-PL"/>
        </w:rPr>
        <w:t>.</w:t>
      </w:r>
    </w:p>
    <w:p w14:paraId="71B3ACE3" w14:textId="14E1DCA4" w:rsidR="00BA057D" w:rsidRPr="00401D39" w:rsidRDefault="00BA057D" w:rsidP="00BA057D">
      <w:pPr>
        <w:tabs>
          <w:tab w:val="left" w:pos="851"/>
        </w:tabs>
        <w:spacing w:after="0" w:line="276" w:lineRule="auto"/>
        <w:ind w:left="567" w:hanging="567"/>
        <w:rPr>
          <w:rFonts w:eastAsia="Times New Roman" w:cs="Calibri"/>
        </w:rPr>
      </w:pPr>
      <w:r w:rsidRPr="00401D39">
        <w:rPr>
          <w:rFonts w:eastAsia="Times New Roman" w:cs="Calibri"/>
        </w:rPr>
        <w:t>Działania w ramach kierunku interwencji  – biorąc pod uwagę powyższe - będą skupiały się na:</w:t>
      </w:r>
    </w:p>
    <w:p w14:paraId="14FC85FD" w14:textId="77777777" w:rsidR="00BA057D" w:rsidRPr="00401D39" w:rsidRDefault="00BA057D" w:rsidP="00BA057D">
      <w:pPr>
        <w:numPr>
          <w:ilvl w:val="0"/>
          <w:numId w:val="8"/>
        </w:numPr>
        <w:spacing w:after="0" w:line="276" w:lineRule="auto"/>
        <w:ind w:left="426" w:hanging="284"/>
        <w:jc w:val="both"/>
        <w:rPr>
          <w:rFonts w:eastAsia="Times New Roman" w:cs="Calibri"/>
          <w:lang w:eastAsia="pl-PL"/>
        </w:rPr>
      </w:pPr>
      <w:r w:rsidRPr="00401D39">
        <w:rPr>
          <w:rFonts w:eastAsia="Times New Roman" w:cs="Calibri"/>
          <w:lang w:eastAsia="pl-PL"/>
        </w:rPr>
        <w:t>aktywnej promocji tworzenia otoczenia prawno-regulacyjnego sprzyjającego inwestycjom w infrastrukturę szerokopasmową oraz ustawowym interwencjom legislacyjnym w obszarach wąskich gardeł inwestycyjnych o charakterze administracyjnoprawnym,</w:t>
      </w:r>
    </w:p>
    <w:p w14:paraId="36AD08C3" w14:textId="77777777" w:rsidR="00BA057D" w:rsidRPr="00401D39" w:rsidRDefault="00BA057D" w:rsidP="00BA057D">
      <w:pPr>
        <w:numPr>
          <w:ilvl w:val="0"/>
          <w:numId w:val="8"/>
        </w:numPr>
        <w:spacing w:after="0" w:line="276" w:lineRule="auto"/>
        <w:ind w:left="426" w:hanging="284"/>
        <w:rPr>
          <w:rFonts w:eastAsia="Times New Roman" w:cs="Calibri"/>
          <w:lang w:eastAsia="pl-PL"/>
        </w:rPr>
      </w:pPr>
      <w:r w:rsidRPr="00401D39">
        <w:rPr>
          <w:rFonts w:eastAsia="Times New Roman" w:cs="Calibri"/>
          <w:lang w:eastAsia="pl-PL"/>
        </w:rPr>
        <w:t>promocji współinwestycji,</w:t>
      </w:r>
    </w:p>
    <w:p w14:paraId="2735F01E" w14:textId="77777777" w:rsidR="00BA057D" w:rsidRPr="00401D39" w:rsidRDefault="00BA057D" w:rsidP="00BA057D">
      <w:pPr>
        <w:numPr>
          <w:ilvl w:val="0"/>
          <w:numId w:val="8"/>
        </w:numPr>
        <w:spacing w:after="0" w:line="276" w:lineRule="auto"/>
        <w:ind w:left="426" w:hanging="284"/>
        <w:rPr>
          <w:rFonts w:eastAsia="Times New Roman" w:cs="Calibri"/>
          <w:lang w:eastAsia="pl-PL"/>
        </w:rPr>
      </w:pPr>
      <w:r w:rsidRPr="00401D39">
        <w:rPr>
          <w:rFonts w:eastAsia="Times New Roman" w:cs="Calibri"/>
          <w:lang w:eastAsia="pl-PL"/>
        </w:rPr>
        <w:t>zapewnieniu dostępu do informacji o infrastrukturze, projektach i popycie,</w:t>
      </w:r>
    </w:p>
    <w:p w14:paraId="5B49691E" w14:textId="77777777" w:rsidR="00BA057D" w:rsidRPr="00401D39" w:rsidRDefault="00BA057D" w:rsidP="00BA057D">
      <w:pPr>
        <w:numPr>
          <w:ilvl w:val="0"/>
          <w:numId w:val="8"/>
        </w:numPr>
        <w:spacing w:after="0" w:line="276" w:lineRule="auto"/>
        <w:ind w:left="426" w:hanging="284"/>
        <w:rPr>
          <w:rFonts w:eastAsia="Times New Roman" w:cs="Calibri"/>
        </w:rPr>
      </w:pPr>
      <w:r w:rsidRPr="00401D39">
        <w:rPr>
          <w:rFonts w:eastAsia="Times New Roman" w:cs="Calibri"/>
        </w:rPr>
        <w:t>projektowaniu i wspieraniu wykorzystania środków publicznych (ze środków polityki spójności, Krajowego Planu Odbudowy oraz Funduszu Szerokopasmowego).</w:t>
      </w:r>
    </w:p>
    <w:p w14:paraId="2A5282E9" w14:textId="77777777" w:rsidR="00BA057D" w:rsidRPr="00401D39" w:rsidRDefault="00BA057D" w:rsidP="00BA057D">
      <w:pPr>
        <w:spacing w:line="276" w:lineRule="auto"/>
        <w:jc w:val="both"/>
        <w:rPr>
          <w:rFonts w:eastAsia="Times New Roman" w:cs="Calibri"/>
        </w:rPr>
      </w:pPr>
    </w:p>
    <w:p w14:paraId="3A74E469" w14:textId="77777777" w:rsidR="00BA057D" w:rsidRPr="00401D39" w:rsidRDefault="00BA057D" w:rsidP="00BA057D">
      <w:pPr>
        <w:pBdr>
          <w:bottom w:val="single" w:sz="24" w:space="1" w:color="FFD966"/>
        </w:pBdr>
        <w:shd w:val="clear" w:color="auto" w:fill="F2F2F2"/>
        <w:spacing w:after="0"/>
        <w:rPr>
          <w:rFonts w:eastAsia="Times New Roman" w:cs="Calibri"/>
          <w:b/>
        </w:rPr>
      </w:pPr>
      <w:r w:rsidRPr="00CA4984">
        <w:rPr>
          <w:rFonts w:cs="Calibri,Bold"/>
          <w:b/>
          <w:bCs/>
        </w:rPr>
        <w:t>Kierunek interwencji 3</w:t>
      </w:r>
      <w:r w:rsidRPr="00401D39">
        <w:rPr>
          <w:rFonts w:eastAsia="Times New Roman" w:cs="Calibri"/>
          <w:b/>
        </w:rPr>
        <w:t xml:space="preserve">. </w:t>
      </w:r>
    </w:p>
    <w:p w14:paraId="316B59BA" w14:textId="77777777" w:rsidR="00BA057D" w:rsidRPr="00401D39" w:rsidRDefault="00BA057D" w:rsidP="00BA057D">
      <w:pPr>
        <w:pBdr>
          <w:bottom w:val="single" w:sz="24" w:space="1" w:color="FFD966"/>
        </w:pBdr>
        <w:shd w:val="clear" w:color="auto" w:fill="F2F2F2"/>
        <w:spacing w:after="0"/>
        <w:jc w:val="center"/>
        <w:rPr>
          <w:rFonts w:eastAsia="Times New Roman" w:cs="Calibri"/>
          <w:b/>
          <w:i/>
        </w:rPr>
      </w:pPr>
      <w:r w:rsidRPr="00401D39">
        <w:rPr>
          <w:rFonts w:eastAsia="Times New Roman" w:cs="Calibri"/>
          <w:b/>
          <w:i/>
        </w:rPr>
        <w:t>Otwarty rząd i wspieranie rozwoju społeczeństwa informacyjnego</w:t>
      </w:r>
    </w:p>
    <w:p w14:paraId="7E5DF647" w14:textId="77777777" w:rsidR="00BA057D" w:rsidRPr="00401D39" w:rsidRDefault="00BA057D" w:rsidP="00BA057D">
      <w:pPr>
        <w:spacing w:after="0" w:line="276" w:lineRule="auto"/>
        <w:jc w:val="both"/>
        <w:rPr>
          <w:rFonts w:eastAsia="Times New Roman" w:cs="Calibri"/>
        </w:rPr>
      </w:pPr>
      <w:r w:rsidRPr="00401D39">
        <w:rPr>
          <w:rFonts w:eastAsia="Times New Roman" w:cs="Calibri"/>
          <w:b/>
          <w:u w:val="single"/>
        </w:rPr>
        <w:t xml:space="preserve">3.1. Program otwierania danych publicznych i standardy otwartości danych. </w:t>
      </w:r>
      <w:r w:rsidRPr="00401D39">
        <w:rPr>
          <w:rFonts w:eastAsia="Times New Roman" w:cs="Calibri"/>
        </w:rPr>
        <w:t xml:space="preserve">Nowe technologie, Internet, łatwiejszy obieg informacji i zmiany w prawie wzmocniły znaczenie i wagę korzyści gospodarczych i społecznych, jakie można osiągnąć dzięki otwieraniu danych publicznych. Dotychczas przedmiotem debaty były korzyści z udostępnianych danych, dziś dyskusja ukierunkowana jest na zapewnienie wysokiej jakości danych, umożliwiających ponowne ich wykorzystywanie. </w:t>
      </w:r>
      <w:r w:rsidRPr="00401D39">
        <w:rPr>
          <w:rFonts w:cs="Calibri"/>
        </w:rPr>
        <w:t>W celu zapewnienia realizacji Programu Otwierania Danych Publicznych (Program ODP), przyjętego uchwałą Rady Ministrów z dnia 20 września 2016 r. Nr 107/2016 konieczne jest wdrażanie i upowszechnianie standardów otwartości danych publicznych w trzech wymiarach: prawnym, technicznym (w tym API) i bezpieczeństwa</w:t>
      </w:r>
      <w:r w:rsidRPr="00401D39">
        <w:rPr>
          <w:rFonts w:eastAsia="Times New Roman" w:cs="Calibri"/>
        </w:rPr>
        <w:t>. W odniesieniu do standardu prawnego zasadne jest wprowadzenie regulacji określających formę i sposób, w jakich powinno być realizowane prawo dostępu do danych publicznych, przewidujących powszechny dostęp do kompletnych i aktualnych danych, w wersji źródłowej, w formatach pozwalających na maszynowy odczyt, bez żadnych ograniczeń licencyjnych i zastrzeżeń, a więc w sposób zapewniający zgodność z filarami otwartości sformułowanymi w Programie Otwierania Danych Publicznych.  Udostępnianie danych publicznych zgodnie ze standardem technicznym, na co najmniej trzecim stopniu otwartości oraz stosowanie jednolitego standardu interfejsu programistycznego API zwiększy popyt na dane i ułatwi rozwój bazujących na tych danych aplikacji i usług. Szczególnie istotne są dane dynamiczne, podlegające częstym aktualizacjom, do których dostęp przez interfejs programistyczny API powinien stać się filarem procesów skutkujących powstaniem innowacyjnych produktów. Dobór odpowiednich technik pozwalających na zapewnienie prywatności, ale umożliwiających zachowanie wartości informacyjnych danego zbioru i potencjału dla ponownego wykorzystywania, jest w tym wypadku kwestią kluczową. Otwieranie danych publicznych może wiązać się z ryzykiem wkroczenia w sferę autonomii informacyjnej jednostek, dlatego istotne jest zapewnienie ochrony danych osobowych.</w:t>
      </w:r>
    </w:p>
    <w:p w14:paraId="75BE0D75" w14:textId="77777777" w:rsidR="00BA057D" w:rsidRPr="00401D39" w:rsidRDefault="00BA057D" w:rsidP="00BA057D">
      <w:pPr>
        <w:pStyle w:val="Tekstkomentarza"/>
        <w:tabs>
          <w:tab w:val="left" w:pos="0"/>
        </w:tabs>
        <w:spacing w:before="80" w:after="80" w:line="276" w:lineRule="auto"/>
        <w:jc w:val="both"/>
        <w:rPr>
          <w:rFonts w:eastAsia="Times New Roman" w:cs="Calibri"/>
          <w:sz w:val="22"/>
          <w:szCs w:val="22"/>
        </w:rPr>
      </w:pPr>
      <w:r w:rsidRPr="00784FDB">
        <w:rPr>
          <w:sz w:val="22"/>
        </w:rPr>
        <w:t xml:space="preserve">Administracja publiczna, podejmując decyzje o udostępnianiu danych w sposób otwarty, powinna wdrażać standardy otwartości na każdym etapie realizacji swoich działań. Poczynając od tworzenia baz danych oraz projektowania budowy systemów, za pomocą których są one przekazywane użytkownikom, poprzez nabywanie danych od podmiotów trzecich, w przypadku kiedy ich twórcą nie jest podmiot publiczny, a także podczas ich przechowywania i udostępniania. </w:t>
      </w:r>
    </w:p>
    <w:p w14:paraId="17173186" w14:textId="77777777" w:rsidR="00BA057D" w:rsidRPr="00401D39" w:rsidRDefault="00BA057D" w:rsidP="00BA057D">
      <w:pPr>
        <w:pStyle w:val="Tekstkomentarza"/>
        <w:tabs>
          <w:tab w:val="left" w:pos="0"/>
        </w:tabs>
        <w:spacing w:before="80" w:after="80" w:line="276" w:lineRule="auto"/>
        <w:jc w:val="both"/>
        <w:rPr>
          <w:rFonts w:eastAsia="Times New Roman" w:cs="Calibri"/>
          <w:sz w:val="22"/>
          <w:szCs w:val="22"/>
        </w:rPr>
      </w:pPr>
      <w:r w:rsidRPr="00401D39">
        <w:rPr>
          <w:rFonts w:eastAsia="Times New Roman" w:cs="Calibri"/>
          <w:sz w:val="22"/>
          <w:szCs w:val="22"/>
        </w:rPr>
        <w:t xml:space="preserve">W każdym przypadku otwierania danych publicznych niezwykle istotne jest prowadzenie przez administrację publiczną stałych konsultacji z przedstawicielami potencjalnych użytkowników w celu określenia najbardziej pożądanej grupy danych publicznych, które mają najwyższy potencjał dla ponownego wykorzystywania. Takie zapotrzebowanie powinno stanowić punkt wyjścia dla procesu otwierania danych publicznych. Bardzo istotne jest uznanie przy tym samej administracji publicznej za jednego z kluczowych beneficjentów otwartych danych. Łatwy dostęp do wiarygodnych danych publicznych z wielu dziedzin, możliwość szerokiego ich wykorzystywania na potrzeby analiz, strategii i ewaluacji stanowią podstawę dla opierania polityk publicznych na danych oraz usprawniania i podnoszenia jakości pracy urzędników. </w:t>
      </w:r>
    </w:p>
    <w:p w14:paraId="6FD3AA6F" w14:textId="77777777" w:rsidR="00BA057D" w:rsidRPr="00401D39" w:rsidRDefault="00BA057D" w:rsidP="00BA057D">
      <w:pPr>
        <w:spacing w:after="0" w:line="276" w:lineRule="auto"/>
        <w:jc w:val="both"/>
        <w:rPr>
          <w:rFonts w:eastAsia="Times New Roman" w:cs="Calibri"/>
        </w:rPr>
      </w:pPr>
      <w:r w:rsidRPr="00401D39">
        <w:rPr>
          <w:rFonts w:eastAsia="Times New Roman" w:cs="Calibri"/>
        </w:rPr>
        <w:t>Konieczne jest także wypracowanie i wdrożenie mechanizmów monitorowania zarówno skali, jak i efektów ponownego wykorzystywania informacji sektora publicznego.</w:t>
      </w:r>
    </w:p>
    <w:p w14:paraId="263E4C7A" w14:textId="77777777" w:rsidR="00BA057D" w:rsidRPr="00401D39" w:rsidRDefault="00BA057D" w:rsidP="00BA057D">
      <w:pPr>
        <w:spacing w:after="0" w:line="276" w:lineRule="auto"/>
        <w:jc w:val="both"/>
        <w:rPr>
          <w:rFonts w:eastAsia="Times New Roman" w:cs="Calibri"/>
        </w:rPr>
      </w:pPr>
      <w:r w:rsidRPr="00401D39">
        <w:rPr>
          <w:rFonts w:eastAsia="Times New Roman" w:cs="Calibri"/>
        </w:rPr>
        <w:t>Ponadto, zakłada się ustanowienie i rozwijanie wsparcia instytucjonalnego – pełnomocników ds. otwartości danych publicznych. Taka sieć pełnomocników, z koordynatorem – pełnomocnikiem ministra właściwego do spraw informatyzacji - już formalnie funkcjonuje, ale tylko na poziomie administracji rządowej (KPRM, ministerstwa, GUGiK i GUS) i wymaga ustawowego umocowania. Została powołana do stałej współpracy przy wdrażaniu Programu Otwierania Danych Publicznych. Pełnomocnicy powinni być odpowiedzialni za zakres i terminy udostępniania danych, ich jakość i zgodność ze standardami oraz kontakt ze środowiskiem zainteresowanym otwieraniem danych publicznych. Pełnomocnikom ds. otwartości danych należy przy tym zapewnić kompleksowe wsparcie eksperckie, umożliwiające skuteczne wdrażanie standardów i wypracowanie polityki otwierania danych w poszczególnych instytucjach. Stałe wzmacniana będzie także współpraca pełnomocników na poziomie administracji rządowej z Zespołem zadaniowym KRMC ds. „Programu Otwierania Danych Publicznych”, który funkcjonuje na szczeblu strategicznym i składa się z sekretarzy lub podsekretarzy stanu z poszczególnych ministerstw oraz Prezesa GUS.</w:t>
      </w:r>
    </w:p>
    <w:p w14:paraId="3F08AA61" w14:textId="77777777" w:rsidR="00BA057D" w:rsidRPr="00401D39" w:rsidRDefault="00BA057D" w:rsidP="00BA057D">
      <w:pPr>
        <w:spacing w:after="0" w:line="276" w:lineRule="auto"/>
        <w:jc w:val="both"/>
        <w:rPr>
          <w:rFonts w:eastAsia="Times New Roman" w:cs="Calibri"/>
        </w:rPr>
      </w:pPr>
      <w:r w:rsidRPr="00401D39">
        <w:rPr>
          <w:rFonts w:eastAsia="Times New Roman" w:cs="Calibri"/>
        </w:rPr>
        <w:t xml:space="preserve">Program Otwierania Danych Publicznych wyznacza strategiczne zadania do 2020 r., dlatego też zakłada się kontynuację rozpoczętych działań oraz nowych inicjatyw na podstawie nowego wieloletniego dokumentu strategicznego.  </w:t>
      </w:r>
    </w:p>
    <w:p w14:paraId="4A7D1EB5" w14:textId="77777777" w:rsidR="00BA057D" w:rsidRPr="00401D39" w:rsidRDefault="00BA057D" w:rsidP="00BA057D">
      <w:pPr>
        <w:spacing w:after="0" w:line="276" w:lineRule="auto"/>
        <w:jc w:val="both"/>
        <w:rPr>
          <w:rFonts w:eastAsia="Times New Roman" w:cs="Calibri"/>
        </w:rPr>
      </w:pPr>
      <w:r w:rsidRPr="00401D39">
        <w:rPr>
          <w:rFonts w:eastAsia="Times New Roman" w:cs="Calibri"/>
        </w:rPr>
        <w:t>Planuje się wyznaczenie nowych ram regulacyjnych dla zoptymalizowania ponownego wykorzystywania otwartych danych. Minimalny zakres ustawowy wyznaczy implementacja do krajowego porządku prawnego nowej dyrektywy 2019/1024 z dnia 20 czerwca 2019r. w sprawie otwartych danych i ponownego wykorzystywania informacji sektora publicznego. Planowana regulacja krajowa obejmie poszerzenie zakresu ponownego wykorzystywania o dane badawcze i dane będące w posiadaniu przedsiębiorstw publicznych. Wzmocnione zostanie zautomatyzowane bezpłatne udostępnianie danych poprzez API, w tym danych dynamicznych i danych o wysokiej wartości (m.in. dane meteorologiczne, statystyczne, dot. obserwacji Ziemi i środowiska, geoprzestrzenne, dane dot. mobilności, dane dot. przedsiębiorstw i ich własności), dzięki czemu wzrośnie podaż otwartych danych mających potencjał do wykorzystywania w innowacyjnych zastosowaniach takich, jak sztuczna inteligencja czy Internet rzeczy. Ponadto nowa ustawa zawierać będzie rozwiązania instytucjonalne usprawniające dystrybucję danych do dalszego wykorzystywania, które wykraczać będą poza obowiązki wynikające z transpozycji dyrektywy 2019/1024.</w:t>
      </w:r>
    </w:p>
    <w:p w14:paraId="3D0FECEE" w14:textId="77777777" w:rsidR="00BA057D" w:rsidRPr="00401D39" w:rsidRDefault="00BA057D" w:rsidP="00BA057D">
      <w:pPr>
        <w:spacing w:after="0" w:line="276" w:lineRule="auto"/>
        <w:jc w:val="both"/>
        <w:rPr>
          <w:rFonts w:eastAsia="Times New Roman" w:cs="Calibri"/>
        </w:rPr>
      </w:pPr>
      <w:r w:rsidRPr="00401D39">
        <w:rPr>
          <w:rFonts w:eastAsia="Times New Roman" w:cs="Calibri"/>
        </w:rPr>
        <w:t>Rekomendowanym będzie również wypracowanie zasad i standardów dla wymiany danych pochodzących spoza sektora publicznego, w szczególności danych nieosobowych gromadzonych w związku z realizacją zadań w interesie ogólnym.</w:t>
      </w:r>
    </w:p>
    <w:p w14:paraId="270144DF" w14:textId="77777777" w:rsidR="00BA057D" w:rsidRPr="00401D39" w:rsidRDefault="00BA057D" w:rsidP="00BA057D">
      <w:pPr>
        <w:spacing w:after="0" w:line="276" w:lineRule="auto"/>
        <w:jc w:val="both"/>
        <w:rPr>
          <w:rFonts w:eastAsia="Times New Roman" w:cs="Calibri"/>
        </w:rPr>
      </w:pPr>
      <w:r w:rsidRPr="00401D39">
        <w:rPr>
          <w:rFonts w:eastAsia="Times New Roman" w:cs="Calibri"/>
        </w:rPr>
        <w:t>Równolegle do powyższych rozwiązań niezbędne jest prowadzenie systematycznych działań edukacyjnych, na różnych poziomach zaawansowania, obejmujących zarówno osoby decyzyjne jak i pracowników urzędów zajmujących się gromadzeniem i udostępnianiem danych publicznych.</w:t>
      </w:r>
    </w:p>
    <w:p w14:paraId="76BBF3C1" w14:textId="77777777" w:rsidR="00BA057D" w:rsidRPr="00401D39" w:rsidRDefault="00BA057D" w:rsidP="00BA057D">
      <w:pPr>
        <w:spacing w:before="120" w:after="0" w:line="276" w:lineRule="auto"/>
        <w:jc w:val="both"/>
        <w:rPr>
          <w:rFonts w:eastAsia="Times New Roman" w:cs="Calibri"/>
        </w:rPr>
      </w:pPr>
      <w:r w:rsidRPr="00401D39">
        <w:rPr>
          <w:rFonts w:eastAsia="Times New Roman" w:cs="Calibri"/>
          <w:b/>
          <w:u w:val="single"/>
        </w:rPr>
        <w:t xml:space="preserve">3.2. Partycypacja społeczeństwa. </w:t>
      </w:r>
      <w:r w:rsidRPr="00401D39">
        <w:rPr>
          <w:rFonts w:eastAsia="Times New Roman" w:cs="Calibri"/>
        </w:rPr>
        <w:t>Należy zmierzać do zwiększenia udziału obywateli we współdecydowaniu o sprawach publicznych, a także otwartości na współpracę zarówno między instytucjami, jak i w relacjach zewnętrznych. Dlatego trzeba kontynuować i wzmacniać działania przyjęte przez Radę Ministrów w Programie otwierania danych publicznych, którego jednym z celów jest zwiększenie przejrzystości i skuteczności działań organów administracji, usprawnienie działań urzędów oraz możliwość partycypacji obywateli w sprawowaniu władzy, analizie czy ponownym wykorzystywaniu danych publicznych.</w:t>
      </w:r>
    </w:p>
    <w:p w14:paraId="23831DAA" w14:textId="77777777" w:rsidR="00BA057D" w:rsidRPr="00401D39" w:rsidRDefault="00BA057D" w:rsidP="000E63C1">
      <w:pPr>
        <w:spacing w:before="120" w:after="0" w:line="276" w:lineRule="auto"/>
        <w:jc w:val="both"/>
        <w:rPr>
          <w:rFonts w:eastAsia="Times New Roman" w:cs="Calibri"/>
        </w:rPr>
      </w:pPr>
      <w:r w:rsidRPr="00401D39">
        <w:rPr>
          <w:rFonts w:eastAsia="Times New Roman" w:cs="Calibri"/>
          <w:b/>
          <w:u w:val="single"/>
        </w:rPr>
        <w:t xml:space="preserve">3.3 Nowoczesna edukacja. </w:t>
      </w:r>
      <w:r w:rsidRPr="00401D39">
        <w:rPr>
          <w:rFonts w:eastAsia="Times New Roman" w:cs="Calibri"/>
        </w:rPr>
        <w:t>Niezwykle ważnym elementem w cyfrowym rozwoju kraju jest nowoczesna edukacja. Ogólnopolska Sieć Edukacyjna</w:t>
      </w:r>
      <w:r w:rsidRPr="00401D39">
        <w:rPr>
          <w:rStyle w:val="Odwoanieprzypisudolnego"/>
          <w:rFonts w:eastAsia="Times New Roman" w:cs="Calibri"/>
        </w:rPr>
        <w:footnoteReference w:id="82"/>
      </w:r>
      <w:r w:rsidRPr="00401D39">
        <w:rPr>
          <w:rFonts w:eastAsia="Times New Roman" w:cs="Calibri"/>
        </w:rPr>
        <w:t xml:space="preserve"> (OSE) jest odpowiedzią na potrzebę zintegrowanego działania na rzecz cyfryzacji polskich szkół. OSE jest publiczną siecią telekomunikacyjną, za pomocą której operator tej sieci dostarcza szkołom podstawowym i ponadpodstawowym usługi szerokopasmowego dostępu do Internetu wraz z usługami szeroko pojętego bezpieczeństwa teleinformatycznego oraz udostępnia cyfrowe treści i multimedialne narzędzia edukacyjne. Pełne wdrożenie OSE we wszystkich szkołach w Polsce planowane jest do końca 2020 roku. Dzięki OSE:</w:t>
      </w:r>
    </w:p>
    <w:p w14:paraId="7815C19F" w14:textId="77777777" w:rsidR="00BA057D" w:rsidRPr="00401D39" w:rsidRDefault="00BA057D" w:rsidP="00723B3F">
      <w:pPr>
        <w:pStyle w:val="Akapitzlist"/>
        <w:numPr>
          <w:ilvl w:val="0"/>
          <w:numId w:val="21"/>
        </w:numPr>
        <w:spacing w:line="276" w:lineRule="auto"/>
        <w:ind w:left="426" w:hanging="284"/>
        <w:jc w:val="both"/>
        <w:rPr>
          <w:rFonts w:ascii="Calibri" w:eastAsia="Times New Roman" w:hAnsi="Calibri" w:cs="Calibri"/>
          <w:sz w:val="22"/>
          <w:szCs w:val="22"/>
        </w:rPr>
      </w:pPr>
      <w:r w:rsidRPr="00401D39">
        <w:rPr>
          <w:rFonts w:ascii="Calibri" w:eastAsia="Times New Roman" w:hAnsi="Calibri" w:cs="Calibri"/>
          <w:sz w:val="22"/>
          <w:szCs w:val="22"/>
        </w:rPr>
        <w:t>zapewniony zostanie powszechny, równy i bezpłatny dostęp do bardzo szybkiego, bezpiecznego Internetu dla szkół.</w:t>
      </w:r>
    </w:p>
    <w:p w14:paraId="75B1D9CF" w14:textId="77777777" w:rsidR="00BA057D" w:rsidRPr="00401D39" w:rsidRDefault="00BA057D" w:rsidP="00BA057D">
      <w:pPr>
        <w:spacing w:line="276" w:lineRule="auto"/>
        <w:ind w:left="426"/>
        <w:jc w:val="both"/>
        <w:rPr>
          <w:rFonts w:eastAsia="Times New Roman" w:cs="Calibri"/>
        </w:rPr>
      </w:pPr>
      <w:r w:rsidRPr="00401D39">
        <w:rPr>
          <w:rFonts w:eastAsia="Times New Roman" w:cs="Calibri"/>
        </w:rPr>
        <w:t>Dotychczas wszystkie inicjatywy na rzecz cyfryzacji w edukacji miały charakter rozproszony. Zadaniem OSE jest stworzenie dzieciom w całej Polsce (w szczególności zamieszkującym tereny o niskiej gęstości zaludnienia i uczących się w szkołach o małej liczbie uczniów) równych szans edukacyjnych poprzez  dostęp do Internetu oraz wysokiej jakości materiałów edukacyjnych,</w:t>
      </w:r>
      <w:r w:rsidRPr="00AA71FD">
        <w:t xml:space="preserve"> </w:t>
      </w:r>
      <w:r w:rsidRPr="00401D39">
        <w:rPr>
          <w:rFonts w:eastAsia="Times New Roman" w:cs="Calibri"/>
        </w:rPr>
        <w:t>w tym ewentualnego uzupełnienia sprzętu komputerowego.</w:t>
      </w:r>
    </w:p>
    <w:p w14:paraId="42FDCD84" w14:textId="77777777" w:rsidR="00BA057D" w:rsidRPr="00401D39" w:rsidRDefault="00BA057D" w:rsidP="00723B3F">
      <w:pPr>
        <w:pStyle w:val="Akapitzlist"/>
        <w:numPr>
          <w:ilvl w:val="0"/>
          <w:numId w:val="21"/>
        </w:numPr>
        <w:spacing w:line="276" w:lineRule="auto"/>
        <w:ind w:left="426" w:hanging="284"/>
        <w:jc w:val="both"/>
        <w:rPr>
          <w:rFonts w:ascii="Calibri" w:eastAsia="Times New Roman" w:hAnsi="Calibri" w:cs="Calibri"/>
          <w:sz w:val="22"/>
          <w:szCs w:val="22"/>
        </w:rPr>
      </w:pPr>
      <w:r w:rsidRPr="00401D39">
        <w:rPr>
          <w:rFonts w:ascii="Calibri" w:eastAsia="Times New Roman" w:hAnsi="Calibri" w:cs="Calibri"/>
          <w:sz w:val="22"/>
          <w:szCs w:val="22"/>
        </w:rPr>
        <w:t xml:space="preserve">dokona się zmiana w sposobie kształcenia uczniów i nauczycieli poprzez włączenie i powszechne wykorzystanie zasobów edukacyjnych dostępnych z użyciem sieci Internet.  </w:t>
      </w:r>
    </w:p>
    <w:p w14:paraId="1DC20969" w14:textId="77777777" w:rsidR="00BA057D" w:rsidRPr="00401D39" w:rsidRDefault="00BA057D" w:rsidP="00BA057D">
      <w:pPr>
        <w:spacing w:line="276" w:lineRule="auto"/>
        <w:ind w:left="426"/>
        <w:jc w:val="both"/>
        <w:rPr>
          <w:rFonts w:eastAsia="Times New Roman" w:cs="Calibri"/>
        </w:rPr>
      </w:pPr>
      <w:r w:rsidRPr="00401D39">
        <w:rPr>
          <w:rFonts w:eastAsia="Times New Roman" w:cs="Calibri"/>
        </w:rPr>
        <w:t>Dostęp do szerokopasmowego Internetu w szkołach jest konieczny, aby zapewnić nauczycielom możliwość wykorzystania nowych narzędzi i materiałów w celu poszerzania edukacji tradycyjnej, podręcznikowej. Wykorzystanie Internetu na lekcjach pozwala pokazywać dzieciom i młodzieży wartościowe źródła wiedzy oraz uczyć je samodzielnie weryfikować informacje napotykane w sieci.</w:t>
      </w:r>
    </w:p>
    <w:p w14:paraId="37EFCD6C" w14:textId="77777777" w:rsidR="00BA057D" w:rsidRPr="00401D39" w:rsidRDefault="00BA057D" w:rsidP="00723B3F">
      <w:pPr>
        <w:pStyle w:val="Akapitzlist"/>
        <w:numPr>
          <w:ilvl w:val="0"/>
          <w:numId w:val="21"/>
        </w:numPr>
        <w:spacing w:line="276" w:lineRule="auto"/>
        <w:ind w:left="426" w:hanging="284"/>
        <w:jc w:val="both"/>
        <w:rPr>
          <w:rFonts w:ascii="Calibri" w:eastAsia="Times New Roman" w:hAnsi="Calibri" w:cs="Calibri"/>
          <w:sz w:val="22"/>
          <w:szCs w:val="22"/>
        </w:rPr>
      </w:pPr>
      <w:r w:rsidRPr="00401D39">
        <w:rPr>
          <w:rFonts w:ascii="Calibri" w:eastAsia="Times New Roman" w:hAnsi="Calibri" w:cs="Calibri"/>
          <w:sz w:val="22"/>
          <w:szCs w:val="22"/>
        </w:rPr>
        <w:t>powstaną nowe formy kształcenia kompetencji i umiejętności cyfrowych.</w:t>
      </w:r>
    </w:p>
    <w:p w14:paraId="05A87EA1" w14:textId="77777777" w:rsidR="00BA057D" w:rsidRPr="00401D39" w:rsidRDefault="00BA057D" w:rsidP="00BA057D">
      <w:pPr>
        <w:spacing w:line="276" w:lineRule="auto"/>
        <w:ind w:left="426"/>
        <w:jc w:val="both"/>
        <w:rPr>
          <w:rFonts w:eastAsia="Times New Roman" w:cs="Calibri"/>
        </w:rPr>
      </w:pPr>
      <w:r w:rsidRPr="00401D39">
        <w:rPr>
          <w:rFonts w:eastAsia="Times New Roman" w:cs="Calibri"/>
        </w:rPr>
        <w:t>Zwiększone wykorzystanie rozwiązań ICT w bieżącej pracy nauczycieli i uczniów to także zmiana modeli i metod kształcenia, opartych dotychczas na zasadach wykorzystywania materiałów w postaci niecyfrowej. Korzystanie z multimedialnych narzędzi podczas zajęć pozwala uczynić naukę bardziej interaktywną, przez co w sposób naturalny nabywane są kompetencje cyfrowe, a samo przyswajanie wiedzy staje się łatwiejsze.</w:t>
      </w:r>
    </w:p>
    <w:p w14:paraId="2C0EAA86" w14:textId="77777777" w:rsidR="00BA057D" w:rsidRPr="00401D39" w:rsidRDefault="00BA057D" w:rsidP="00723B3F">
      <w:pPr>
        <w:pStyle w:val="Akapitzlist"/>
        <w:numPr>
          <w:ilvl w:val="0"/>
          <w:numId w:val="21"/>
        </w:numPr>
        <w:spacing w:line="276" w:lineRule="auto"/>
        <w:ind w:left="426" w:hanging="284"/>
        <w:jc w:val="both"/>
        <w:rPr>
          <w:rFonts w:ascii="Calibri" w:eastAsia="Times New Roman" w:hAnsi="Calibri" w:cs="Calibri"/>
          <w:sz w:val="22"/>
          <w:szCs w:val="22"/>
        </w:rPr>
      </w:pPr>
      <w:r w:rsidRPr="00401D39">
        <w:rPr>
          <w:rFonts w:ascii="Calibri" w:eastAsia="Times New Roman" w:hAnsi="Calibri" w:cs="Calibri"/>
          <w:sz w:val="22"/>
          <w:szCs w:val="22"/>
        </w:rPr>
        <w:t>w uczniach kształcić się będzie świadomość bezpiecznego, skutecznego korzystania z nowoczesnych technologii cyfrowych.</w:t>
      </w:r>
    </w:p>
    <w:p w14:paraId="49B0ADD2" w14:textId="77777777" w:rsidR="00BA057D" w:rsidRPr="00401D39" w:rsidRDefault="00BA057D" w:rsidP="00BA057D">
      <w:pPr>
        <w:spacing w:line="276" w:lineRule="auto"/>
        <w:ind w:left="426"/>
        <w:jc w:val="both"/>
        <w:rPr>
          <w:rFonts w:eastAsia="Times New Roman" w:cs="Calibri"/>
        </w:rPr>
      </w:pPr>
      <w:r w:rsidRPr="00401D39">
        <w:rPr>
          <w:rFonts w:eastAsia="Times New Roman" w:cs="Calibri"/>
        </w:rPr>
        <w:t>Jednym z celów OSE jest wsparcie wykształcenia w dzieciach i młodzieży prawidłowych postaw korzystania z technologii, zarówno w aspekcie pełnego wykorzystywania ich możliwości, jak i ochrony przed negatywnymi konsekwencjami posługiwania się nimi w sposób nieodpowiedzialny. Szczególny nacisk kładziony będzie na edukację w zakresie rzeczywistego i potencjalnego wpływu korzystania z technologii na zdrowie i prawidłowy rozwój psychofizyczny.</w:t>
      </w:r>
    </w:p>
    <w:p w14:paraId="1A0934A6" w14:textId="77777777" w:rsidR="00BA057D" w:rsidRPr="00401D39" w:rsidRDefault="00BA057D" w:rsidP="00BA057D">
      <w:pPr>
        <w:spacing w:after="0" w:line="276" w:lineRule="auto"/>
        <w:jc w:val="both"/>
        <w:rPr>
          <w:rFonts w:eastAsia="Times New Roman" w:cs="Calibri"/>
          <w:b/>
        </w:rPr>
      </w:pPr>
      <w:r w:rsidRPr="00401D39">
        <w:rPr>
          <w:rFonts w:eastAsia="Times New Roman" w:cs="Calibri"/>
          <w:b/>
          <w:u w:val="single"/>
        </w:rPr>
        <w:t>3.4. Kompetencje cyfrowe.</w:t>
      </w:r>
      <w:r w:rsidRPr="00401D39">
        <w:rPr>
          <w:rFonts w:eastAsia="Times New Roman" w:cs="Calibri"/>
          <w:b/>
        </w:rPr>
        <w:t xml:space="preserve"> </w:t>
      </w:r>
      <w:r w:rsidRPr="00401D39">
        <w:rPr>
          <w:rFonts w:eastAsia="Times New Roman" w:cs="Calibri"/>
        </w:rPr>
        <w:t xml:space="preserve">Luka w kompetencjach cyfrowych Polaków w stosunku do średniej unijnej hamująca rozwój gospodarki cyfrowej i społeczeństwa informacyjnego, wymaga podjęcia systemowych, skoordynowanych działań na rzecz rozwoju kompetencji cyfrowych w Polsce. Dlatego opracowany zostanie kompleksowy wieloletni Program Rozwoju Kompetencji Cyfrowych, który uzyska status projektu strategicznego. Prowadzony będzie pod przewodnictwem ministra właściwego ds. informatyzacji w ścisłej współpracy z pozostałymi ministrami oraz z samorządami. Efektem zaplanowanych działań powinno być możliwie najwcześniejsze przygotowywanie dzieci i młodzieży do świadomego i kreatywnego korzystania z technologii cyfrowych oraz aktualizowanie i podnoszenie już posiadanych kompetencji cyfrowych wśród osób dorosłych, warunkujące użytkowanie nowopowstałych narzędzi i technologii. Takie podejście doprowadzi do wzrostu popytu na e-usługi sektora publicznego oraz prywatnego. </w:t>
      </w:r>
    </w:p>
    <w:p w14:paraId="6E35723C" w14:textId="77777777" w:rsidR="00BA057D" w:rsidRPr="00401D39" w:rsidRDefault="00BA057D" w:rsidP="00BA057D">
      <w:pPr>
        <w:spacing w:after="0" w:line="276" w:lineRule="auto"/>
        <w:jc w:val="both"/>
        <w:rPr>
          <w:rFonts w:eastAsia="Times New Roman" w:cs="Calibri"/>
        </w:rPr>
      </w:pPr>
      <w:r w:rsidRPr="00401D39">
        <w:rPr>
          <w:rFonts w:eastAsia="Times New Roman" w:cs="Calibri"/>
        </w:rPr>
        <w:t xml:space="preserve">Istotnym również elementem w zakresie zapewnienia sprawnie i efektywnie funkcjonującej administracji publicznej są cyfrowe kompetencje kadr administracji, których wsparcie jest przewidziane w opracowywanym Programie Rozwoju Kompetencji Cyfrowych. Mając na względzie obecną ewolucję technologii oraz rozwój gospodarki informacyjnej, posiadanie odpowiednich kompetencji cyfrowych przez administrację jest kluczowym czynnikiem w realizowaniu powierzonych jej zadań. Wobec tego, udoskonalanie systemu kształcenia umiejętności cyfrowych powinno być priorytetowym zadaniem. Koniecznym jest, aby administracja zdobywała kompetencje, które pozwolą na skuteczne przeprowadzanie procesu projektowania, budowy, a następnie utrzymania systemów teleinformatycznych. Istotnym jest również to, że kompetencje cyfrowe administracji nie mogą ograniczać się wyłącznie do sfery czysto technicznej. Kadra administracji musi zdobyć kompetencje w praktycznym stosowaniu technologii cyfrowych, tak by odpowiadać na realne potrzeby, niwelować bariery, upraszczać procesy i zmniejszać koszty funkcjonowania. Wychodząc naprzeciw zdiagnozowanym słabościom, zakłada się zapewnienie funkcjonowania tzw. Centrum Kompetencyjnego Administracji, które pozwoli na zbudowane odpowiednich kompetencji kadr administracji. Ideą Centrum Kompetencji Administracji jest stworzenie trwałych mechanizmów współdzielenia się wiedzą, narzędziami i koordynacji realizowanych projektów informatycznych w administracji. </w:t>
      </w:r>
    </w:p>
    <w:p w14:paraId="136C4EE7" w14:textId="77777777" w:rsidR="00BA057D" w:rsidRPr="00401D39" w:rsidRDefault="00BA057D" w:rsidP="00BA057D">
      <w:pPr>
        <w:spacing w:before="120" w:after="0" w:line="276" w:lineRule="auto"/>
        <w:jc w:val="both"/>
        <w:rPr>
          <w:rFonts w:eastAsia="Times New Roman" w:cs="Calibri"/>
        </w:rPr>
      </w:pPr>
      <w:r w:rsidRPr="00401D39">
        <w:rPr>
          <w:rFonts w:eastAsia="Times New Roman" w:cs="Calibri"/>
          <w:b/>
          <w:u w:val="single"/>
        </w:rPr>
        <w:t>3.5. Świadomość cyfrowa.</w:t>
      </w:r>
      <w:r w:rsidRPr="00401D39">
        <w:rPr>
          <w:rFonts w:eastAsia="Times New Roman" w:cs="Calibri"/>
          <w:b/>
        </w:rPr>
        <w:t xml:space="preserve"> </w:t>
      </w:r>
      <w:r w:rsidRPr="00401D39">
        <w:rPr>
          <w:rFonts w:eastAsia="Times New Roman" w:cs="Calibri"/>
        </w:rPr>
        <w:t xml:space="preserve">Warunkiem niezbędnym do wzrostu popytu na technologie jest również zwiększenie aktywności i umiejętności w zakresie korzystania z technologii cyfrowych. Popyt ten stymuluje rozwój całej gospodarki, gdyż obecnie mamy do czynienia z dyfuzją technologii teleinformatycznych we wszystkich dziedzinach życia. Tymczasem już w przypadku osób w wieku 25 lat pojawia się luka w kompetencjach cyfrowych Polaków w stosunku do średniej unijnej. Jednocześnie mniejszy odsetek społeczeństwa w Polsce korzysta z Internetu. Wskazuje na to monitorowany przez Komisję Europejską indeks DESI (ang. </w:t>
      </w:r>
      <w:r w:rsidRPr="00401D39">
        <w:rPr>
          <w:rFonts w:eastAsia="Times New Roman" w:cs="Calibri"/>
          <w:i/>
        </w:rPr>
        <w:t>The Digital Economy and Society Index</w:t>
      </w:r>
      <w:r w:rsidRPr="00401D39">
        <w:rPr>
          <w:rFonts w:eastAsia="Times New Roman" w:cs="Calibri"/>
        </w:rPr>
        <w:t>), który plasuje Polskę na końcu stawki krajów europejskich. W dłuższej perspektywie utrzymanie się takiego stanu może hamować rozwój naszej gospodarki. Stąd niezbędne są działania angażujące w świat cyfrowy osoby, które nie czują potrzeby wejścia w ten wymiar rzeczywistości lub też nie posiadają odpowiednich umiejętności w tym kierunku. W związku z tym przewiduje się prowadzenie kampanii na rzecz zwiększenia korzystania z Internetu oraz szkolenia dla osób dorosłych w celu przygotowania ich do bardziej wszechstronnego i intensywnego używania nowych technologii.</w:t>
      </w:r>
    </w:p>
    <w:p w14:paraId="3D1BA4FF" w14:textId="77777777" w:rsidR="00BA057D" w:rsidRPr="00401D39" w:rsidRDefault="00BA057D" w:rsidP="00BA057D">
      <w:pPr>
        <w:spacing w:after="0" w:line="276" w:lineRule="auto"/>
        <w:jc w:val="both"/>
        <w:rPr>
          <w:rFonts w:eastAsia="Times New Roman" w:cs="Calibri"/>
        </w:rPr>
      </w:pPr>
      <w:r w:rsidRPr="00401D39">
        <w:rPr>
          <w:rFonts w:eastAsia="Times New Roman" w:cs="Calibri"/>
        </w:rPr>
        <w:t xml:space="preserve">Powszechny dostęp do informacji publicznej to jeden z filarów demokratycznego państwa prawa, państwa przyjaznego obywatelom. Nowoczesna administracja, oparta na cyfryzacji powinna taki dostęp zapewnić poprzez w pełni zautomatyzowane procesy. Informacja udostępniana publicznie będzie miała charakter ustandaryzowany w zakresie danych i ich formatów. Prawo do dostępu do informacji wynikało będzie wprost z jej charakteru. Pozyskanie informacji możliwe będzie poprzez komunikację z systemami klasy EZD.    </w:t>
      </w:r>
    </w:p>
    <w:p w14:paraId="027581C6" w14:textId="77777777" w:rsidR="00FB0FB9" w:rsidRPr="00F21196" w:rsidRDefault="00FB0FB9" w:rsidP="006907CA">
      <w:pPr>
        <w:spacing w:after="0" w:line="276" w:lineRule="auto"/>
        <w:jc w:val="both"/>
        <w:rPr>
          <w:rFonts w:eastAsia="Times New Roman" w:cstheme="minorHAnsi"/>
        </w:rPr>
      </w:pPr>
    </w:p>
    <w:p w14:paraId="7100404D" w14:textId="77777777" w:rsidR="00570726" w:rsidRPr="00F21196" w:rsidRDefault="004D3770" w:rsidP="00A10ED7">
      <w:pPr>
        <w:shd w:val="clear" w:color="auto" w:fill="FFF2CC" w:themeFill="accent4" w:themeFillTint="33"/>
        <w:spacing w:after="0"/>
        <w:rPr>
          <w:rFonts w:eastAsia="Times New Roman" w:cs="Calibri"/>
          <w:b/>
          <w:lang w:eastAsia="pl-PL"/>
        </w:rPr>
      </w:pPr>
      <w:r w:rsidRPr="00F21196">
        <w:rPr>
          <w:rFonts w:eastAsia="Times New Roman" w:cs="Calibri"/>
          <w:b/>
          <w:lang w:eastAsia="pl-PL"/>
        </w:rPr>
        <w:t>III.</w:t>
      </w:r>
      <w:r w:rsidR="00570726" w:rsidRPr="00F21196">
        <w:rPr>
          <w:rFonts w:eastAsia="Times New Roman" w:cs="Calibri"/>
          <w:b/>
          <w:lang w:eastAsia="pl-PL"/>
        </w:rPr>
        <w:t xml:space="preserve">5. </w:t>
      </w:r>
      <w:r w:rsidR="00F41029" w:rsidRPr="00F21196">
        <w:rPr>
          <w:rFonts w:eastAsia="Times New Roman" w:cs="Calibri"/>
          <w:b/>
          <w:sz w:val="24"/>
          <w:lang w:eastAsia="pl-PL"/>
        </w:rPr>
        <w:t>Wykaz projektów strategicznych</w:t>
      </w:r>
    </w:p>
    <w:p w14:paraId="31AFACBB" w14:textId="77777777" w:rsidR="00A10ED7" w:rsidRPr="00F21196" w:rsidRDefault="00A10ED7" w:rsidP="00D1311A">
      <w:pPr>
        <w:spacing w:after="0"/>
        <w:rPr>
          <w:rFonts w:eastAsia="Times New Roman" w:cs="Calibri"/>
          <w:b/>
          <w:lang w:eastAsia="pl-PL"/>
        </w:rPr>
      </w:pPr>
    </w:p>
    <w:tbl>
      <w:tblPr>
        <w:tblW w:w="9923" w:type="dxa"/>
        <w:tblInd w:w="-8" w:type="dxa"/>
        <w:tbl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insideH w:val="single" w:sz="6" w:space="0" w:color="FFD966" w:themeColor="accent4" w:themeTint="99"/>
          <w:insideV w:val="single" w:sz="6" w:space="0" w:color="FFD966" w:themeColor="accent4" w:themeTint="99"/>
        </w:tblBorders>
        <w:tblLayout w:type="fixed"/>
        <w:tblCellMar>
          <w:left w:w="70" w:type="dxa"/>
          <w:right w:w="70" w:type="dxa"/>
        </w:tblCellMar>
        <w:tblLook w:val="04A0" w:firstRow="1" w:lastRow="0" w:firstColumn="1" w:lastColumn="0" w:noHBand="0" w:noVBand="1"/>
      </w:tblPr>
      <w:tblGrid>
        <w:gridCol w:w="1843"/>
        <w:gridCol w:w="1134"/>
        <w:gridCol w:w="1418"/>
        <w:gridCol w:w="3969"/>
        <w:gridCol w:w="1559"/>
      </w:tblGrid>
      <w:tr w:rsidR="00C03D3C" w:rsidRPr="00F21196" w14:paraId="67D0E782" w14:textId="59C09CF6" w:rsidTr="00AD050F">
        <w:trPr>
          <w:trHeight w:val="204"/>
          <w:tblHeader/>
        </w:trPr>
        <w:tc>
          <w:tcPr>
            <w:tcW w:w="1843" w:type="dxa"/>
            <w:shd w:val="clear" w:color="auto" w:fill="FFF2CC" w:themeFill="accent4" w:themeFillTint="33"/>
            <w:hideMark/>
          </w:tcPr>
          <w:p w14:paraId="3B825BEC" w14:textId="77777777" w:rsidR="00C03D3C" w:rsidRPr="00F21196" w:rsidRDefault="00C03D3C" w:rsidP="00C03D3C">
            <w:pPr>
              <w:spacing w:after="0" w:line="240" w:lineRule="auto"/>
              <w:jc w:val="center"/>
              <w:rPr>
                <w:rFonts w:eastAsia="Times New Roman" w:cs="Calibri"/>
                <w:b/>
                <w:bCs/>
                <w:sz w:val="18"/>
                <w:szCs w:val="20"/>
                <w:lang w:eastAsia="pl-PL"/>
              </w:rPr>
            </w:pPr>
            <w:r w:rsidRPr="00F21196">
              <w:rPr>
                <w:rFonts w:eastAsia="Times New Roman" w:cs="Calibri"/>
                <w:b/>
                <w:bCs/>
                <w:sz w:val="18"/>
                <w:szCs w:val="20"/>
                <w:lang w:eastAsia="pl-PL"/>
              </w:rPr>
              <w:t>Inicjatywa</w:t>
            </w:r>
          </w:p>
        </w:tc>
        <w:tc>
          <w:tcPr>
            <w:tcW w:w="1134" w:type="dxa"/>
            <w:shd w:val="clear" w:color="auto" w:fill="FFF2CC" w:themeFill="accent4" w:themeFillTint="33"/>
            <w:hideMark/>
          </w:tcPr>
          <w:p w14:paraId="130D4C59" w14:textId="77777777" w:rsidR="00C03D3C" w:rsidRPr="00F21196" w:rsidRDefault="00C03D3C" w:rsidP="00C03D3C">
            <w:pPr>
              <w:spacing w:after="0" w:line="240" w:lineRule="auto"/>
              <w:ind w:right="-71"/>
              <w:jc w:val="center"/>
              <w:rPr>
                <w:rFonts w:eastAsia="Times New Roman" w:cs="Calibri"/>
                <w:b/>
                <w:bCs/>
                <w:sz w:val="18"/>
                <w:szCs w:val="20"/>
                <w:lang w:eastAsia="pl-PL"/>
              </w:rPr>
            </w:pPr>
            <w:r w:rsidRPr="00F21196">
              <w:rPr>
                <w:rFonts w:eastAsia="Times New Roman" w:cs="Calibri"/>
                <w:b/>
                <w:bCs/>
                <w:sz w:val="18"/>
                <w:szCs w:val="20"/>
                <w:lang w:eastAsia="pl-PL"/>
              </w:rPr>
              <w:t>Podmiot wiodący</w:t>
            </w:r>
          </w:p>
        </w:tc>
        <w:tc>
          <w:tcPr>
            <w:tcW w:w="1418" w:type="dxa"/>
            <w:shd w:val="clear" w:color="auto" w:fill="FFF2CC" w:themeFill="accent4" w:themeFillTint="33"/>
          </w:tcPr>
          <w:p w14:paraId="00369D1F" w14:textId="77777777" w:rsidR="00C03D3C" w:rsidRPr="00F21196" w:rsidRDefault="00C03D3C" w:rsidP="00C03D3C">
            <w:pPr>
              <w:spacing w:after="0" w:line="240" w:lineRule="auto"/>
              <w:jc w:val="center"/>
              <w:rPr>
                <w:rFonts w:eastAsia="Times New Roman" w:cs="Calibri"/>
                <w:b/>
                <w:bCs/>
                <w:sz w:val="18"/>
                <w:szCs w:val="20"/>
                <w:lang w:eastAsia="pl-PL"/>
              </w:rPr>
            </w:pPr>
            <w:r w:rsidRPr="00F21196">
              <w:rPr>
                <w:rFonts w:eastAsia="Times New Roman" w:cs="Calibri"/>
                <w:b/>
                <w:sz w:val="18"/>
                <w:szCs w:val="20"/>
                <w:lang w:eastAsia="pl-PL"/>
              </w:rPr>
              <w:t>Planowany przedział czasowy na realizację</w:t>
            </w:r>
          </w:p>
        </w:tc>
        <w:tc>
          <w:tcPr>
            <w:tcW w:w="3969" w:type="dxa"/>
            <w:shd w:val="clear" w:color="auto" w:fill="FFF2CC" w:themeFill="accent4" w:themeFillTint="33"/>
          </w:tcPr>
          <w:p w14:paraId="4A3656DF" w14:textId="77777777" w:rsidR="00C03D3C" w:rsidRPr="00F21196" w:rsidRDefault="00C03D3C" w:rsidP="00C03D3C">
            <w:pPr>
              <w:spacing w:after="0" w:line="240" w:lineRule="auto"/>
              <w:jc w:val="center"/>
              <w:rPr>
                <w:rFonts w:eastAsia="Times New Roman" w:cs="Calibri"/>
                <w:b/>
                <w:bCs/>
                <w:sz w:val="18"/>
                <w:szCs w:val="20"/>
                <w:lang w:eastAsia="pl-PL"/>
              </w:rPr>
            </w:pPr>
            <w:r w:rsidRPr="00F21196">
              <w:rPr>
                <w:rFonts w:eastAsia="Times New Roman" w:cs="Calibri"/>
                <w:b/>
                <w:bCs/>
                <w:sz w:val="18"/>
                <w:szCs w:val="20"/>
                <w:lang w:eastAsia="pl-PL"/>
              </w:rPr>
              <w:t>Syntetyczny opis</w:t>
            </w:r>
          </w:p>
          <w:p w14:paraId="21AF9416" w14:textId="77777777" w:rsidR="00C03D3C" w:rsidRPr="00F21196" w:rsidRDefault="00C03D3C" w:rsidP="00C03D3C">
            <w:pPr>
              <w:spacing w:after="0" w:line="240" w:lineRule="auto"/>
              <w:jc w:val="center"/>
              <w:rPr>
                <w:rFonts w:eastAsia="Times New Roman" w:cs="Calibri"/>
                <w:b/>
                <w:bCs/>
                <w:sz w:val="18"/>
                <w:szCs w:val="20"/>
                <w:lang w:eastAsia="pl-PL"/>
              </w:rPr>
            </w:pPr>
          </w:p>
        </w:tc>
        <w:tc>
          <w:tcPr>
            <w:tcW w:w="1559" w:type="dxa"/>
            <w:shd w:val="clear" w:color="auto" w:fill="FFF2CC" w:themeFill="accent4" w:themeFillTint="33"/>
          </w:tcPr>
          <w:p w14:paraId="4D527078" w14:textId="6FC8F264" w:rsidR="00C03D3C" w:rsidRPr="00F21196" w:rsidRDefault="00C03D3C" w:rsidP="00C03D3C">
            <w:pPr>
              <w:spacing w:after="0" w:line="240" w:lineRule="auto"/>
              <w:jc w:val="center"/>
              <w:rPr>
                <w:rFonts w:eastAsia="Times New Roman" w:cs="Calibri"/>
                <w:b/>
                <w:bCs/>
                <w:sz w:val="18"/>
                <w:szCs w:val="20"/>
                <w:lang w:eastAsia="pl-PL"/>
              </w:rPr>
            </w:pPr>
            <w:r>
              <w:rPr>
                <w:rFonts w:eastAsia="Times New Roman" w:cs="Calibri"/>
                <w:b/>
                <w:bCs/>
                <w:sz w:val="18"/>
                <w:szCs w:val="20"/>
                <w:lang w:eastAsia="pl-PL"/>
              </w:rPr>
              <w:t>Kierunek interwencji</w:t>
            </w:r>
          </w:p>
        </w:tc>
      </w:tr>
      <w:tr w:rsidR="00C03D3C" w:rsidRPr="00F21196" w14:paraId="2FE2998B" w14:textId="6EB18308" w:rsidTr="00AD050F">
        <w:trPr>
          <w:trHeight w:val="70"/>
        </w:trPr>
        <w:tc>
          <w:tcPr>
            <w:tcW w:w="1843" w:type="dxa"/>
            <w:shd w:val="clear" w:color="auto" w:fill="auto"/>
          </w:tcPr>
          <w:p w14:paraId="544E460F" w14:textId="77777777" w:rsidR="00C03D3C" w:rsidRPr="00C03D3C" w:rsidRDefault="00C03D3C" w:rsidP="008600FC">
            <w:pPr>
              <w:spacing w:line="240" w:lineRule="auto"/>
              <w:ind w:right="99"/>
              <w:rPr>
                <w:b/>
                <w:sz w:val="18"/>
                <w:szCs w:val="18"/>
              </w:rPr>
            </w:pPr>
            <w:r w:rsidRPr="00C03D3C">
              <w:rPr>
                <w:rFonts w:eastAsia="Times New Roman" w:cs="Calibri"/>
                <w:b/>
                <w:bCs/>
                <w:sz w:val="18"/>
                <w:szCs w:val="18"/>
                <w:lang w:eastAsia="pl-PL"/>
              </w:rPr>
              <w:t>Program Zintegrowanej Informatyzacji Państwa</w:t>
            </w:r>
          </w:p>
        </w:tc>
        <w:tc>
          <w:tcPr>
            <w:tcW w:w="1134" w:type="dxa"/>
            <w:shd w:val="clear" w:color="auto" w:fill="auto"/>
          </w:tcPr>
          <w:p w14:paraId="59E29380" w14:textId="7A5B2E0E" w:rsidR="00C03D3C" w:rsidRPr="00C03D3C" w:rsidRDefault="00E9243F" w:rsidP="00E9243F">
            <w:pPr>
              <w:spacing w:line="240" w:lineRule="auto"/>
              <w:ind w:left="-69"/>
              <w:jc w:val="center"/>
              <w:rPr>
                <w:sz w:val="18"/>
                <w:szCs w:val="18"/>
              </w:rPr>
            </w:pPr>
            <w:r>
              <w:rPr>
                <w:sz w:val="18"/>
                <w:szCs w:val="18"/>
              </w:rPr>
              <w:t>KPRM</w:t>
            </w:r>
          </w:p>
        </w:tc>
        <w:tc>
          <w:tcPr>
            <w:tcW w:w="1418" w:type="dxa"/>
          </w:tcPr>
          <w:p w14:paraId="64417E79" w14:textId="48D94B3C" w:rsidR="00C03D3C" w:rsidRPr="00C03D3C" w:rsidRDefault="00C03D3C" w:rsidP="00C03D3C">
            <w:pPr>
              <w:spacing w:line="240" w:lineRule="auto"/>
              <w:jc w:val="center"/>
              <w:rPr>
                <w:sz w:val="18"/>
                <w:szCs w:val="18"/>
              </w:rPr>
            </w:pPr>
            <w:r w:rsidRPr="00C03D3C">
              <w:rPr>
                <w:sz w:val="18"/>
                <w:szCs w:val="18"/>
              </w:rPr>
              <w:t>2019-2022</w:t>
            </w:r>
          </w:p>
        </w:tc>
        <w:tc>
          <w:tcPr>
            <w:tcW w:w="3969" w:type="dxa"/>
            <w:shd w:val="clear" w:color="auto" w:fill="auto"/>
          </w:tcPr>
          <w:p w14:paraId="434FC0BF" w14:textId="77777777" w:rsidR="00C03D3C" w:rsidRPr="00C03D3C" w:rsidRDefault="00C03D3C" w:rsidP="00B61FA0">
            <w:pPr>
              <w:autoSpaceDE w:val="0"/>
              <w:autoSpaceDN w:val="0"/>
              <w:adjustRightInd w:val="0"/>
              <w:spacing w:after="0" w:line="240" w:lineRule="auto"/>
              <w:jc w:val="both"/>
              <w:rPr>
                <w:rFonts w:cs="Calibri"/>
                <w:sz w:val="18"/>
                <w:szCs w:val="18"/>
              </w:rPr>
            </w:pPr>
            <w:r w:rsidRPr="00C03D3C">
              <w:rPr>
                <w:rFonts w:cs="Calibri"/>
                <w:sz w:val="18"/>
                <w:szCs w:val="18"/>
              </w:rPr>
              <w:t xml:space="preserve">Cel główny obejmuje obecnie modernizację administracji publicznej z wykorzystaniem technologii cyfrowych, nakierowaną na podniesienie sprawności państwa i poprawienie jakości relacji administracji z obywatelami. </w:t>
            </w:r>
          </w:p>
          <w:p w14:paraId="65A23E52" w14:textId="77777777" w:rsidR="00C03D3C" w:rsidRPr="00C03D3C" w:rsidRDefault="00C03D3C" w:rsidP="00B61FA0">
            <w:pPr>
              <w:autoSpaceDE w:val="0"/>
              <w:autoSpaceDN w:val="0"/>
              <w:adjustRightInd w:val="0"/>
              <w:spacing w:after="0" w:line="240" w:lineRule="auto"/>
              <w:jc w:val="both"/>
              <w:rPr>
                <w:rFonts w:cs="Calibri"/>
                <w:sz w:val="18"/>
                <w:szCs w:val="18"/>
              </w:rPr>
            </w:pPr>
            <w:r w:rsidRPr="00C03D3C">
              <w:rPr>
                <w:rFonts w:cs="Calibri"/>
                <w:sz w:val="18"/>
                <w:szCs w:val="18"/>
              </w:rPr>
              <w:t>Przewidziano trzy kierunki działań służących osiągnięciu celów Programu:</w:t>
            </w:r>
          </w:p>
          <w:p w14:paraId="1C3DAEF3" w14:textId="77777777" w:rsidR="00C03D3C" w:rsidRPr="00C03D3C" w:rsidRDefault="00C03D3C" w:rsidP="00B61FA0">
            <w:pPr>
              <w:autoSpaceDE w:val="0"/>
              <w:autoSpaceDN w:val="0"/>
              <w:adjustRightInd w:val="0"/>
              <w:spacing w:after="0" w:line="240" w:lineRule="auto"/>
              <w:ind w:left="213" w:hanging="213"/>
              <w:jc w:val="both"/>
              <w:rPr>
                <w:rFonts w:cs="Calibri"/>
                <w:sz w:val="18"/>
                <w:szCs w:val="18"/>
              </w:rPr>
            </w:pPr>
            <w:r w:rsidRPr="00C03D3C">
              <w:rPr>
                <w:rFonts w:cs="Calibri"/>
                <w:sz w:val="18"/>
                <w:szCs w:val="18"/>
              </w:rPr>
              <w:t>•</w:t>
            </w:r>
            <w:r w:rsidRPr="00C03D3C">
              <w:rPr>
                <w:rFonts w:cs="Calibri"/>
                <w:sz w:val="18"/>
                <w:szCs w:val="18"/>
              </w:rPr>
              <w:tab/>
              <w:t xml:space="preserve">nakierowanie administracji publicznej na usługi związane z potrzebami obywatela;   </w:t>
            </w:r>
          </w:p>
          <w:p w14:paraId="056D6DFB" w14:textId="77777777" w:rsidR="00C03D3C" w:rsidRPr="00C03D3C" w:rsidRDefault="00C03D3C" w:rsidP="00B61FA0">
            <w:pPr>
              <w:autoSpaceDE w:val="0"/>
              <w:autoSpaceDN w:val="0"/>
              <w:adjustRightInd w:val="0"/>
              <w:spacing w:after="0" w:line="240" w:lineRule="auto"/>
              <w:ind w:left="213" w:hanging="213"/>
              <w:jc w:val="both"/>
              <w:rPr>
                <w:rFonts w:cs="Calibri"/>
                <w:sz w:val="18"/>
                <w:szCs w:val="18"/>
              </w:rPr>
            </w:pPr>
            <w:r w:rsidRPr="00C03D3C">
              <w:rPr>
                <w:rFonts w:cs="Calibri"/>
                <w:sz w:val="18"/>
                <w:szCs w:val="18"/>
              </w:rPr>
              <w:t>•</w:t>
            </w:r>
            <w:r w:rsidRPr="00C03D3C">
              <w:rPr>
                <w:rFonts w:cs="Calibri"/>
                <w:sz w:val="18"/>
                <w:szCs w:val="18"/>
              </w:rPr>
              <w:tab/>
              <w:t>wykorzystanie rozwiązań horyzontalnych, wspierających działania administracji publicznej (m.in. wdrożenie przygotowanie narzędzi sprzyjających wykorzystaniu cyfrowych usług publicznych);</w:t>
            </w:r>
          </w:p>
          <w:p w14:paraId="5220F785" w14:textId="77777777" w:rsidR="00C03D3C" w:rsidRPr="00C03D3C" w:rsidRDefault="00C03D3C" w:rsidP="00B61FA0">
            <w:pPr>
              <w:autoSpaceDE w:val="0"/>
              <w:autoSpaceDN w:val="0"/>
              <w:adjustRightInd w:val="0"/>
              <w:spacing w:after="0" w:line="240" w:lineRule="auto"/>
              <w:ind w:left="213" w:hanging="213"/>
              <w:jc w:val="both"/>
              <w:rPr>
                <w:rFonts w:cs="Calibri"/>
                <w:sz w:val="18"/>
                <w:szCs w:val="18"/>
              </w:rPr>
            </w:pPr>
            <w:r w:rsidRPr="00C03D3C">
              <w:rPr>
                <w:rFonts w:cs="Calibri"/>
                <w:sz w:val="18"/>
                <w:szCs w:val="18"/>
              </w:rPr>
              <w:t>•</w:t>
            </w:r>
            <w:r w:rsidRPr="00C03D3C">
              <w:rPr>
                <w:rFonts w:cs="Calibri"/>
                <w:sz w:val="18"/>
                <w:szCs w:val="18"/>
              </w:rPr>
              <w:tab/>
              <w:t>rozwój kompetencji cyfrowych obywateli, pracowników administracji publicznej oraz specjalistów TIK (Technologie informacyjno-komunikacyjne);</w:t>
            </w:r>
          </w:p>
          <w:p w14:paraId="55C49224" w14:textId="77777777" w:rsidR="00C03D3C" w:rsidRPr="00C03D3C" w:rsidRDefault="00C03D3C" w:rsidP="00B61FA0">
            <w:pPr>
              <w:autoSpaceDE w:val="0"/>
              <w:autoSpaceDN w:val="0"/>
              <w:adjustRightInd w:val="0"/>
              <w:spacing w:after="0" w:line="240" w:lineRule="auto"/>
              <w:jc w:val="both"/>
              <w:rPr>
                <w:rFonts w:cs="Calibri"/>
                <w:sz w:val="18"/>
                <w:szCs w:val="18"/>
              </w:rPr>
            </w:pPr>
            <w:r w:rsidRPr="00C03D3C">
              <w:rPr>
                <w:rFonts w:cs="Calibri"/>
                <w:sz w:val="18"/>
                <w:szCs w:val="18"/>
              </w:rPr>
              <w:t>Integralną częścią Programu jest Plan działań wszystkich resortów, służących realizacji jego założeń.</w:t>
            </w:r>
          </w:p>
          <w:p w14:paraId="71274D56" w14:textId="77777777" w:rsidR="00C03D3C" w:rsidRPr="00C03D3C" w:rsidRDefault="00C03D3C" w:rsidP="00B61FA0">
            <w:pPr>
              <w:autoSpaceDE w:val="0"/>
              <w:autoSpaceDN w:val="0"/>
              <w:adjustRightInd w:val="0"/>
              <w:spacing w:after="0" w:line="240" w:lineRule="auto"/>
              <w:jc w:val="both"/>
              <w:rPr>
                <w:rFonts w:cs="Calibri"/>
                <w:sz w:val="18"/>
                <w:szCs w:val="18"/>
              </w:rPr>
            </w:pPr>
            <w:r w:rsidRPr="00C03D3C">
              <w:rPr>
                <w:rFonts w:cs="Calibri"/>
                <w:sz w:val="18"/>
                <w:szCs w:val="18"/>
              </w:rPr>
              <w:t>Działania państwa będą obejmowały zarówno stałe podnoszenie jakości e-usług, jak i zwiększanie łatwości dostępu do nich, ich przejrzystości i kompleksowości oraz użyteczności. Osiągnięcie celu Programu będzie możliwe tylko w przypadku stopniowego dostosowania porządku prawnego państwa do wyzwań, jakie stawia technologia oraz szybkich zmian w tym obszarze. W celu zapewnienia otoczenia prawnego dla wdrażanych rozwiązań cyfrowych zakłada się przygotowanie jednego, spójnego aktu prawnego (tzw. kodeks cyfrowy), który będzie regulował wszystkie zagadnienia związane z szeroko pojętą informatyzacją, rozproszone dziś w różnych aktach prawnych.</w:t>
            </w:r>
          </w:p>
          <w:p w14:paraId="1711B403" w14:textId="74B0250F" w:rsidR="00C03D3C" w:rsidRPr="00C03D3C" w:rsidRDefault="00851181" w:rsidP="00B61FA0">
            <w:pPr>
              <w:autoSpaceDE w:val="0"/>
              <w:autoSpaceDN w:val="0"/>
              <w:adjustRightInd w:val="0"/>
              <w:spacing w:after="0" w:line="240" w:lineRule="auto"/>
              <w:jc w:val="both"/>
              <w:rPr>
                <w:rFonts w:cs="Calibri"/>
                <w:sz w:val="18"/>
                <w:szCs w:val="18"/>
              </w:rPr>
            </w:pPr>
            <w:r>
              <w:rPr>
                <w:rFonts w:cs="Calibri"/>
                <w:sz w:val="18"/>
                <w:szCs w:val="18"/>
              </w:rPr>
              <w:t>K</w:t>
            </w:r>
            <w:r w:rsidR="00C03D3C" w:rsidRPr="00C03D3C">
              <w:rPr>
                <w:rFonts w:cs="Calibri"/>
                <w:sz w:val="18"/>
                <w:szCs w:val="18"/>
              </w:rPr>
              <w:t>ontynuowane będą działania związane z budową nowoczesnych i uniwersalnych rozwiązań dla zaplecza administracji publicznej (</w:t>
            </w:r>
            <w:r w:rsidR="00C03D3C" w:rsidRPr="00C03D3C">
              <w:rPr>
                <w:i/>
                <w:sz w:val="18"/>
                <w:szCs w:val="18"/>
              </w:rPr>
              <w:t>back-office</w:t>
            </w:r>
            <w:r w:rsidR="00C03D3C" w:rsidRPr="00C03D3C">
              <w:rPr>
                <w:rFonts w:cs="Calibri"/>
                <w:sz w:val="18"/>
                <w:szCs w:val="18"/>
              </w:rPr>
              <w:t>). Rezultaty tych działań będą wspierać jej rzeczywiste potrzeby, a w efekcie posłużą do uzyskania sprawnej i bezpiecznej wymiany informacji, wesprą ujednolicanie procedur i przyczynią się do osiągnięcia wysokiej jakości przetwarzanych danych, niezbędnych do realizacji usług na rzecz obywateli. Wpłyną one również na zwiększenie efektywności funkcjonowania administracji publicznej oraz obniżenie kosztów realizacji usług. Program zakłada zatem kontynuację działań związanych z centralizacją zarządzania infrastrukturą teleinformatyczną oraz integracją zasobów, jakie państwo ma w swoim ręku. Ponadto tworzona jest Architektura Informacyjna Państwa, która zapewni uporządkowane podejście do zarządzania systemami teleinformatycznymi wspierającymi funkcjonowanie administracji państwa.</w:t>
            </w:r>
          </w:p>
          <w:p w14:paraId="5FF57037" w14:textId="77777777" w:rsidR="00C03D3C" w:rsidRPr="00C03D3C" w:rsidRDefault="00C03D3C" w:rsidP="00B61FA0">
            <w:pPr>
              <w:autoSpaceDE w:val="0"/>
              <w:autoSpaceDN w:val="0"/>
              <w:adjustRightInd w:val="0"/>
              <w:spacing w:after="0" w:line="240" w:lineRule="auto"/>
              <w:jc w:val="both"/>
              <w:rPr>
                <w:rFonts w:cs="Calibri"/>
                <w:sz w:val="18"/>
                <w:szCs w:val="18"/>
              </w:rPr>
            </w:pPr>
            <w:r w:rsidRPr="00C03D3C">
              <w:rPr>
                <w:rFonts w:cs="Calibri"/>
                <w:sz w:val="18"/>
                <w:szCs w:val="18"/>
              </w:rPr>
              <w:t>Równocześnie prowadzona wielokierunkowo edukacja cyfrowa pozwoli m.in. na zwiększenie konkurencyjności gospodarki (przez podniesienie kompetencji cyfrowych specjalistów TIK), maksymalizację wykorzystania e-usług (przez przygotowanie obywateli do ich wykorzystywania) oraz zwiększenie dostępności administracji publicznej (przez przygotowanie pracowników administracji publicznej do wdrażania rozwiązań technologicznych). Długofalowym efektem działań w tym obszarze będzie wykształcenie aktywnej postawy obywateli wobec technologii cyfrowych.</w:t>
            </w:r>
          </w:p>
          <w:p w14:paraId="709F71EE" w14:textId="4344D943" w:rsidR="00C03D3C" w:rsidRPr="00C03D3C" w:rsidRDefault="00C03D3C" w:rsidP="00B61FA0">
            <w:pPr>
              <w:autoSpaceDE w:val="0"/>
              <w:autoSpaceDN w:val="0"/>
              <w:adjustRightInd w:val="0"/>
              <w:spacing w:after="0" w:line="240" w:lineRule="auto"/>
              <w:ind w:left="213" w:hanging="213"/>
              <w:jc w:val="both"/>
              <w:rPr>
                <w:sz w:val="18"/>
                <w:szCs w:val="18"/>
              </w:rPr>
            </w:pPr>
          </w:p>
        </w:tc>
        <w:tc>
          <w:tcPr>
            <w:tcW w:w="1559" w:type="dxa"/>
          </w:tcPr>
          <w:p w14:paraId="2AFCC923" w14:textId="2EB69FA4" w:rsidR="00C03D3C" w:rsidRPr="00C03D3C" w:rsidRDefault="00C03D3C" w:rsidP="00C03D3C">
            <w:pPr>
              <w:autoSpaceDE w:val="0"/>
              <w:autoSpaceDN w:val="0"/>
              <w:adjustRightInd w:val="0"/>
              <w:spacing w:after="0" w:line="240" w:lineRule="auto"/>
              <w:rPr>
                <w:rFonts w:cs="Calibri"/>
                <w:sz w:val="18"/>
                <w:szCs w:val="18"/>
              </w:rPr>
            </w:pPr>
            <w:r w:rsidRPr="00C03D3C">
              <w:rPr>
                <w:sz w:val="18"/>
                <w:szCs w:val="18"/>
              </w:rPr>
              <w:t xml:space="preserve">1. Tworzenie warunków dla efektywnej, dostępnej cyfrowo i bezpiecznej </w:t>
            </w:r>
            <w:r>
              <w:rPr>
                <w:sz w:val="18"/>
                <w:szCs w:val="18"/>
              </w:rPr>
              <w:br/>
              <w:t>e-administracji</w:t>
            </w:r>
          </w:p>
        </w:tc>
      </w:tr>
      <w:tr w:rsidR="00C03D3C" w:rsidRPr="00F21196" w14:paraId="06BB7C51" w14:textId="3EBD07AD" w:rsidTr="00AD050F">
        <w:trPr>
          <w:trHeight w:val="831"/>
        </w:trPr>
        <w:tc>
          <w:tcPr>
            <w:tcW w:w="1843" w:type="dxa"/>
            <w:shd w:val="clear" w:color="auto" w:fill="auto"/>
          </w:tcPr>
          <w:p w14:paraId="23293A7F" w14:textId="77777777" w:rsidR="00C03D3C" w:rsidRPr="00F21196" w:rsidRDefault="00C03D3C" w:rsidP="008600FC">
            <w:pPr>
              <w:spacing w:line="240" w:lineRule="auto"/>
              <w:ind w:right="99"/>
              <w:rPr>
                <w:rFonts w:eastAsia="Times New Roman" w:cs="Calibri"/>
                <w:b/>
                <w:bCs/>
                <w:color w:val="1F497D"/>
                <w:sz w:val="18"/>
                <w:szCs w:val="18"/>
                <w:lang w:eastAsia="pl-PL"/>
              </w:rPr>
            </w:pPr>
            <w:r w:rsidRPr="00F21196">
              <w:rPr>
                <w:rFonts w:eastAsia="Times New Roman" w:cs="Calibri"/>
                <w:b/>
                <w:bCs/>
                <w:sz w:val="18"/>
                <w:szCs w:val="18"/>
                <w:lang w:eastAsia="pl-PL"/>
              </w:rPr>
              <w:t xml:space="preserve">Poczta Polska jako strategiczny filar państwa w rozwoju </w:t>
            </w:r>
            <w:r w:rsidRPr="00F21196">
              <w:rPr>
                <w:rFonts w:eastAsia="Times New Roman" w:cs="Calibri"/>
                <w:b/>
                <w:bCs/>
                <w:i/>
                <w:sz w:val="18"/>
                <w:szCs w:val="18"/>
                <w:lang w:eastAsia="pl-PL"/>
              </w:rPr>
              <w:t>e-government</w:t>
            </w:r>
          </w:p>
        </w:tc>
        <w:tc>
          <w:tcPr>
            <w:tcW w:w="1134" w:type="dxa"/>
            <w:shd w:val="clear" w:color="auto" w:fill="auto"/>
          </w:tcPr>
          <w:p w14:paraId="7FB5DB2C" w14:textId="44DBAD25" w:rsidR="00C03D3C" w:rsidRPr="00F21196" w:rsidRDefault="00E9243F" w:rsidP="00E9243F">
            <w:pPr>
              <w:spacing w:line="240" w:lineRule="auto"/>
              <w:ind w:left="-69"/>
              <w:jc w:val="center"/>
              <w:rPr>
                <w:sz w:val="20"/>
                <w:szCs w:val="20"/>
              </w:rPr>
            </w:pPr>
            <w:r>
              <w:rPr>
                <w:sz w:val="20"/>
                <w:szCs w:val="20"/>
              </w:rPr>
              <w:t>KPRM</w:t>
            </w:r>
          </w:p>
        </w:tc>
        <w:tc>
          <w:tcPr>
            <w:tcW w:w="1418" w:type="dxa"/>
            <w:shd w:val="clear" w:color="auto" w:fill="auto"/>
          </w:tcPr>
          <w:p w14:paraId="7EA61A4C" w14:textId="77777777" w:rsidR="00C03D3C" w:rsidRPr="00F21196" w:rsidRDefault="00C03D3C" w:rsidP="00DD430D">
            <w:pPr>
              <w:spacing w:line="240" w:lineRule="auto"/>
              <w:jc w:val="both"/>
              <w:rPr>
                <w:sz w:val="20"/>
                <w:szCs w:val="20"/>
              </w:rPr>
            </w:pPr>
            <w:r w:rsidRPr="00F21196">
              <w:rPr>
                <w:sz w:val="20"/>
                <w:szCs w:val="20"/>
              </w:rPr>
              <w:t>2018-2022</w:t>
            </w:r>
          </w:p>
        </w:tc>
        <w:tc>
          <w:tcPr>
            <w:tcW w:w="3969" w:type="dxa"/>
            <w:shd w:val="clear" w:color="auto" w:fill="auto"/>
          </w:tcPr>
          <w:p w14:paraId="454BC46E" w14:textId="77777777" w:rsidR="00C03D3C" w:rsidRPr="00F21196" w:rsidRDefault="00C03D3C" w:rsidP="00B61FA0">
            <w:pPr>
              <w:autoSpaceDE w:val="0"/>
              <w:autoSpaceDN w:val="0"/>
              <w:adjustRightInd w:val="0"/>
              <w:spacing w:after="0" w:line="240" w:lineRule="auto"/>
              <w:jc w:val="both"/>
              <w:rPr>
                <w:sz w:val="18"/>
                <w:szCs w:val="20"/>
              </w:rPr>
            </w:pPr>
            <w:r w:rsidRPr="00F21196">
              <w:rPr>
                <w:rFonts w:cs="Calibri"/>
                <w:sz w:val="18"/>
                <w:szCs w:val="21"/>
              </w:rPr>
              <w:t xml:space="preserve">Rozbudowa e-usług przez operatora pocztowego Poczta Polska S.A. (na platformie </w:t>
            </w:r>
            <w:r w:rsidRPr="00F21196">
              <w:rPr>
                <w:rFonts w:cs="Calibri,Italic"/>
                <w:i/>
                <w:iCs/>
                <w:sz w:val="18"/>
                <w:szCs w:val="21"/>
              </w:rPr>
              <w:t>Envelo</w:t>
            </w:r>
            <w:r w:rsidRPr="00F21196">
              <w:rPr>
                <w:rFonts w:cs="Calibri"/>
                <w:sz w:val="18"/>
                <w:szCs w:val="21"/>
              </w:rPr>
              <w:t>) w ramach projektu przyspieszenia cyfryzacji i stworzenia platformy elektronicznych relacji państwo – obywatel.</w:t>
            </w:r>
          </w:p>
        </w:tc>
        <w:tc>
          <w:tcPr>
            <w:tcW w:w="1559" w:type="dxa"/>
          </w:tcPr>
          <w:p w14:paraId="6FFC0316" w14:textId="77777777" w:rsidR="00C03D3C" w:rsidRDefault="00C03D3C" w:rsidP="00C03D3C">
            <w:pPr>
              <w:autoSpaceDE w:val="0"/>
              <w:autoSpaceDN w:val="0"/>
              <w:adjustRightInd w:val="0"/>
              <w:spacing w:after="0" w:line="240" w:lineRule="auto"/>
              <w:rPr>
                <w:sz w:val="18"/>
                <w:szCs w:val="20"/>
              </w:rPr>
            </w:pPr>
            <w:r w:rsidRPr="00C03D3C">
              <w:rPr>
                <w:sz w:val="18"/>
                <w:szCs w:val="20"/>
              </w:rPr>
              <w:t xml:space="preserve">1. Tworzenie warunków dla efektywnej, dostępnej cyfrowo i bezpiecznej </w:t>
            </w:r>
            <w:r>
              <w:rPr>
                <w:sz w:val="18"/>
                <w:szCs w:val="20"/>
              </w:rPr>
              <w:br/>
            </w:r>
            <w:r w:rsidRPr="00C03D3C">
              <w:rPr>
                <w:sz w:val="18"/>
                <w:szCs w:val="20"/>
              </w:rPr>
              <w:t>e-administracji.</w:t>
            </w:r>
          </w:p>
          <w:p w14:paraId="74DC4805" w14:textId="328E1333" w:rsidR="00C03D3C" w:rsidRPr="00F21196" w:rsidRDefault="00C03D3C" w:rsidP="00C03D3C">
            <w:pPr>
              <w:autoSpaceDE w:val="0"/>
              <w:autoSpaceDN w:val="0"/>
              <w:adjustRightInd w:val="0"/>
              <w:spacing w:after="0" w:line="240" w:lineRule="auto"/>
              <w:rPr>
                <w:rFonts w:cs="Calibri"/>
                <w:sz w:val="18"/>
                <w:szCs w:val="21"/>
              </w:rPr>
            </w:pPr>
          </w:p>
        </w:tc>
      </w:tr>
      <w:tr w:rsidR="00C03D3C" w:rsidRPr="00F21196" w14:paraId="209C08A2" w14:textId="41C3CF4B" w:rsidTr="00AD050F">
        <w:trPr>
          <w:trHeight w:val="70"/>
        </w:trPr>
        <w:tc>
          <w:tcPr>
            <w:tcW w:w="1843" w:type="dxa"/>
            <w:shd w:val="clear" w:color="auto" w:fill="auto"/>
          </w:tcPr>
          <w:p w14:paraId="619CE66C" w14:textId="77777777" w:rsidR="00C03D3C" w:rsidRPr="00DB076D" w:rsidRDefault="00C03D3C" w:rsidP="00F82CA4">
            <w:pPr>
              <w:spacing w:line="240" w:lineRule="auto"/>
              <w:ind w:right="99"/>
              <w:rPr>
                <w:rFonts w:eastAsia="Times New Roman" w:cs="Calibri"/>
                <w:b/>
                <w:bCs/>
                <w:sz w:val="18"/>
                <w:szCs w:val="18"/>
                <w:lang w:eastAsia="pl-PL"/>
              </w:rPr>
            </w:pPr>
            <w:r w:rsidRPr="00DB076D">
              <w:rPr>
                <w:rFonts w:eastAsia="Times New Roman" w:cs="Calibri"/>
                <w:b/>
                <w:bCs/>
                <w:sz w:val="18"/>
                <w:szCs w:val="18"/>
                <w:lang w:eastAsia="pl-PL"/>
              </w:rPr>
              <w:t>Narodowy Plan Szerokopasmowy</w:t>
            </w:r>
          </w:p>
        </w:tc>
        <w:tc>
          <w:tcPr>
            <w:tcW w:w="1134" w:type="dxa"/>
            <w:shd w:val="clear" w:color="auto" w:fill="auto"/>
          </w:tcPr>
          <w:p w14:paraId="5B40A383" w14:textId="0B37272F" w:rsidR="00C03D3C" w:rsidRPr="00F21196" w:rsidRDefault="00E9243F" w:rsidP="00E9243F">
            <w:pPr>
              <w:spacing w:line="240" w:lineRule="auto"/>
              <w:ind w:left="-69"/>
              <w:jc w:val="center"/>
              <w:rPr>
                <w:sz w:val="20"/>
                <w:szCs w:val="20"/>
              </w:rPr>
            </w:pPr>
            <w:r>
              <w:rPr>
                <w:sz w:val="20"/>
                <w:szCs w:val="20"/>
              </w:rPr>
              <w:t>KPRM</w:t>
            </w:r>
          </w:p>
        </w:tc>
        <w:tc>
          <w:tcPr>
            <w:tcW w:w="1418" w:type="dxa"/>
          </w:tcPr>
          <w:p w14:paraId="59CDB01B" w14:textId="77777777" w:rsidR="00C03D3C" w:rsidRPr="00F21196" w:rsidRDefault="00C03D3C" w:rsidP="003D58CF">
            <w:pPr>
              <w:spacing w:line="240" w:lineRule="auto"/>
              <w:rPr>
                <w:sz w:val="20"/>
                <w:szCs w:val="20"/>
              </w:rPr>
            </w:pPr>
            <w:r w:rsidRPr="00F21196">
              <w:rPr>
                <w:rFonts w:eastAsia="Times New Roman" w:cs="Calibri"/>
                <w:sz w:val="20"/>
                <w:szCs w:val="20"/>
                <w:lang w:eastAsia="pl-PL"/>
              </w:rPr>
              <w:t>2014–202</w:t>
            </w:r>
            <w:r>
              <w:rPr>
                <w:rFonts w:eastAsia="Times New Roman" w:cs="Calibri"/>
                <w:sz w:val="20"/>
                <w:szCs w:val="20"/>
                <w:lang w:eastAsia="pl-PL"/>
              </w:rPr>
              <w:t>5</w:t>
            </w:r>
          </w:p>
        </w:tc>
        <w:tc>
          <w:tcPr>
            <w:tcW w:w="3969" w:type="dxa"/>
            <w:shd w:val="clear" w:color="auto" w:fill="auto"/>
          </w:tcPr>
          <w:p w14:paraId="42E9DBA4" w14:textId="77777777" w:rsidR="00C03D3C" w:rsidRPr="00F21196" w:rsidRDefault="00C03D3C" w:rsidP="00B61FA0">
            <w:pPr>
              <w:autoSpaceDE w:val="0"/>
              <w:autoSpaceDN w:val="0"/>
              <w:adjustRightInd w:val="0"/>
              <w:spacing w:after="0" w:line="240" w:lineRule="auto"/>
              <w:jc w:val="both"/>
              <w:rPr>
                <w:sz w:val="18"/>
                <w:szCs w:val="20"/>
              </w:rPr>
            </w:pPr>
            <w:r w:rsidRPr="00F21196">
              <w:rPr>
                <w:rFonts w:cs="Calibri"/>
                <w:sz w:val="18"/>
                <w:szCs w:val="21"/>
              </w:rPr>
              <w:t>Zapewnienie wszystkim obywatelom dostępu do infrastruktury szerokopasmowej, umożliwiającej dostęp do szybkiego Internetu, wpływającej na rozwój społeczeństwa cyfrowego, rozwój nowoczesnej edukacji, rozwój badań i innowacji, tworzenie jednolitego rynku cyfrowego, bezpieczny i szybki dostęp do elektronicznych usług publicznych oraz sprawną komunikację między instytucjami publicznymi, obywatelami i biznesem. Likwidacja barier administracyjno-prawnych w procesie inwestycyjnym w zakresie telekomunikacji oraz redukcja kosztów budowy infrastruktury telekomunikacyjnej, budowanie przyjaznego otoczenia dla inwestycji telekomunikacyjnych, stworzenie podstaw instytucjonalno-prawnych dla wdrożenia nowoczesnych technik komunikacyjnych (w tym 5G).</w:t>
            </w:r>
          </w:p>
        </w:tc>
        <w:tc>
          <w:tcPr>
            <w:tcW w:w="1559" w:type="dxa"/>
          </w:tcPr>
          <w:p w14:paraId="0FF4443E" w14:textId="2D21425F" w:rsidR="00C03D3C" w:rsidRPr="00F21196" w:rsidRDefault="00C03D3C" w:rsidP="00C03D3C">
            <w:pPr>
              <w:autoSpaceDE w:val="0"/>
              <w:autoSpaceDN w:val="0"/>
              <w:adjustRightInd w:val="0"/>
              <w:spacing w:after="0" w:line="240" w:lineRule="auto"/>
              <w:ind w:right="-70"/>
              <w:rPr>
                <w:rFonts w:cs="Calibri"/>
                <w:sz w:val="18"/>
                <w:szCs w:val="21"/>
              </w:rPr>
            </w:pPr>
            <w:r w:rsidRPr="00C03D3C">
              <w:rPr>
                <w:rFonts w:eastAsia="Times New Roman" w:cs="Calibri"/>
                <w:sz w:val="18"/>
                <w:szCs w:val="20"/>
                <w:lang w:eastAsia="pl-PL"/>
              </w:rPr>
              <w:t>2. Zapewnienie dostępu do Internetu szerokopasmowego</w:t>
            </w:r>
          </w:p>
        </w:tc>
      </w:tr>
      <w:tr w:rsidR="00C03D3C" w:rsidRPr="00F21196" w14:paraId="6FF9D1D0" w14:textId="28EAC9C1" w:rsidTr="00AD050F">
        <w:trPr>
          <w:trHeight w:val="70"/>
        </w:trPr>
        <w:tc>
          <w:tcPr>
            <w:tcW w:w="1843" w:type="dxa"/>
            <w:shd w:val="clear" w:color="auto" w:fill="auto"/>
          </w:tcPr>
          <w:p w14:paraId="7714DFBA" w14:textId="318D5B1D" w:rsidR="00C03D3C" w:rsidRPr="003971BD" w:rsidRDefault="00C03D3C" w:rsidP="00C03D3C">
            <w:pPr>
              <w:spacing w:line="240" w:lineRule="auto"/>
              <w:rPr>
                <w:rFonts w:eastAsia="Times New Roman" w:cs="Calibri"/>
                <w:b/>
                <w:bCs/>
                <w:sz w:val="18"/>
                <w:szCs w:val="18"/>
                <w:lang w:eastAsia="pl-PL"/>
              </w:rPr>
            </w:pPr>
            <w:r w:rsidRPr="00636653">
              <w:rPr>
                <w:rFonts w:eastAsia="Times New Roman" w:cs="Calibri"/>
                <w:b/>
                <w:bCs/>
                <w:sz w:val="18"/>
                <w:szCs w:val="18"/>
                <w:lang w:eastAsia="pl-PL"/>
              </w:rPr>
              <w:t>Budowa i rozwój s</w:t>
            </w:r>
            <w:r w:rsidRPr="003971BD">
              <w:rPr>
                <w:rFonts w:eastAsia="Times New Roman" w:cs="Calibri"/>
                <w:b/>
                <w:bCs/>
                <w:sz w:val="18"/>
                <w:szCs w:val="18"/>
                <w:lang w:eastAsia="pl-PL"/>
              </w:rPr>
              <w:t>ystemu teleinformatycznego wspieraj</w:t>
            </w:r>
            <w:r w:rsidRPr="003971BD">
              <w:rPr>
                <w:rFonts w:eastAsia="Times New Roman" w:cs="Calibri" w:hint="eastAsia"/>
                <w:b/>
                <w:bCs/>
                <w:sz w:val="18"/>
                <w:szCs w:val="18"/>
                <w:lang w:eastAsia="pl-PL"/>
              </w:rPr>
              <w:t>ą</w:t>
            </w:r>
            <w:r w:rsidRPr="003971BD">
              <w:rPr>
                <w:rFonts w:eastAsia="Times New Roman" w:cs="Calibri"/>
                <w:b/>
                <w:bCs/>
                <w:sz w:val="18"/>
                <w:szCs w:val="18"/>
                <w:lang w:eastAsia="pl-PL"/>
              </w:rPr>
              <w:t>cego wsp</w:t>
            </w:r>
            <w:r w:rsidRPr="003971BD">
              <w:rPr>
                <w:rFonts w:eastAsia="Times New Roman" w:cs="Calibri" w:hint="eastAsia"/>
                <w:b/>
                <w:bCs/>
                <w:sz w:val="18"/>
                <w:szCs w:val="18"/>
                <w:lang w:eastAsia="pl-PL"/>
              </w:rPr>
              <w:t>ół</w:t>
            </w:r>
            <w:r w:rsidRPr="003971BD">
              <w:rPr>
                <w:rFonts w:eastAsia="Times New Roman" w:cs="Calibri"/>
                <w:b/>
                <w:bCs/>
                <w:sz w:val="18"/>
                <w:szCs w:val="18"/>
                <w:lang w:eastAsia="pl-PL"/>
              </w:rPr>
              <w:t>prac</w:t>
            </w:r>
            <w:r w:rsidRPr="003971BD">
              <w:rPr>
                <w:rFonts w:eastAsia="Times New Roman" w:cs="Calibri" w:hint="eastAsia"/>
                <w:b/>
                <w:bCs/>
                <w:sz w:val="18"/>
                <w:szCs w:val="18"/>
                <w:lang w:eastAsia="pl-PL"/>
              </w:rPr>
              <w:t>ę</w:t>
            </w:r>
            <w:r w:rsidRPr="003971BD">
              <w:rPr>
                <w:rFonts w:eastAsia="Times New Roman" w:cs="Calibri"/>
                <w:b/>
                <w:bCs/>
                <w:sz w:val="18"/>
                <w:szCs w:val="18"/>
                <w:lang w:eastAsia="pl-PL"/>
              </w:rPr>
              <w:t xml:space="preserve"> podmiot</w:t>
            </w:r>
            <w:r w:rsidRPr="003971BD">
              <w:rPr>
                <w:rFonts w:eastAsia="Times New Roman" w:cs="Calibri" w:hint="eastAsia"/>
                <w:b/>
                <w:bCs/>
                <w:sz w:val="18"/>
                <w:szCs w:val="18"/>
                <w:lang w:eastAsia="pl-PL"/>
              </w:rPr>
              <w:t>ó</w:t>
            </w:r>
            <w:r w:rsidRPr="003971BD">
              <w:rPr>
                <w:rFonts w:eastAsia="Times New Roman" w:cs="Calibri"/>
                <w:b/>
                <w:bCs/>
                <w:sz w:val="18"/>
                <w:szCs w:val="18"/>
                <w:lang w:eastAsia="pl-PL"/>
              </w:rPr>
              <w:t>w wchodz</w:t>
            </w:r>
            <w:r w:rsidRPr="003971BD">
              <w:rPr>
                <w:rFonts w:eastAsia="Times New Roman" w:cs="Calibri" w:hint="eastAsia"/>
                <w:b/>
                <w:bCs/>
                <w:sz w:val="18"/>
                <w:szCs w:val="18"/>
                <w:lang w:eastAsia="pl-PL"/>
              </w:rPr>
              <w:t>ą</w:t>
            </w:r>
            <w:r w:rsidRPr="003971BD">
              <w:rPr>
                <w:rFonts w:eastAsia="Times New Roman" w:cs="Calibri"/>
                <w:b/>
                <w:bCs/>
                <w:sz w:val="18"/>
                <w:szCs w:val="18"/>
                <w:lang w:eastAsia="pl-PL"/>
              </w:rPr>
              <w:t>cych w sk</w:t>
            </w:r>
            <w:r w:rsidRPr="003971BD">
              <w:rPr>
                <w:rFonts w:eastAsia="Times New Roman" w:cs="Calibri" w:hint="eastAsia"/>
                <w:b/>
                <w:bCs/>
                <w:sz w:val="18"/>
                <w:szCs w:val="18"/>
                <w:lang w:eastAsia="pl-PL"/>
              </w:rPr>
              <w:t>ł</w:t>
            </w:r>
            <w:r w:rsidRPr="003971BD">
              <w:rPr>
                <w:rFonts w:eastAsia="Times New Roman" w:cs="Calibri"/>
                <w:b/>
                <w:bCs/>
                <w:sz w:val="18"/>
                <w:szCs w:val="18"/>
                <w:lang w:eastAsia="pl-PL"/>
              </w:rPr>
              <w:t>ad krajowego systemu cyberbezpiecze</w:t>
            </w:r>
            <w:r w:rsidRPr="003971BD">
              <w:rPr>
                <w:rFonts w:eastAsia="Times New Roman" w:cs="Calibri" w:hint="eastAsia"/>
                <w:b/>
                <w:bCs/>
                <w:sz w:val="18"/>
                <w:szCs w:val="18"/>
                <w:lang w:eastAsia="pl-PL"/>
              </w:rPr>
              <w:t>ń</w:t>
            </w:r>
            <w:r w:rsidR="00641755">
              <w:rPr>
                <w:rFonts w:eastAsia="Times New Roman" w:cs="Calibri"/>
                <w:b/>
                <w:bCs/>
                <w:sz w:val="18"/>
                <w:szCs w:val="18"/>
                <w:lang w:eastAsia="pl-PL"/>
              </w:rPr>
              <w:t>stwa</w:t>
            </w:r>
          </w:p>
          <w:p w14:paraId="1D03F177" w14:textId="3FF00C4E" w:rsidR="00C03D3C" w:rsidRPr="00DB076D" w:rsidRDefault="00C03D3C" w:rsidP="00C03D3C">
            <w:pPr>
              <w:spacing w:line="240" w:lineRule="auto"/>
              <w:ind w:right="99"/>
              <w:rPr>
                <w:rFonts w:eastAsia="Times New Roman" w:cs="Calibri"/>
                <w:b/>
                <w:bCs/>
                <w:color w:val="1F497D"/>
                <w:sz w:val="18"/>
                <w:szCs w:val="18"/>
                <w:lang w:eastAsia="pl-PL"/>
              </w:rPr>
            </w:pPr>
          </w:p>
        </w:tc>
        <w:tc>
          <w:tcPr>
            <w:tcW w:w="1134" w:type="dxa"/>
            <w:shd w:val="clear" w:color="auto" w:fill="auto"/>
          </w:tcPr>
          <w:p w14:paraId="3B532810" w14:textId="047B9F52" w:rsidR="00C03D3C" w:rsidRPr="00F21196" w:rsidRDefault="00E9243F" w:rsidP="00E9243F">
            <w:pPr>
              <w:spacing w:line="240" w:lineRule="auto"/>
              <w:ind w:left="-69"/>
              <w:jc w:val="center"/>
              <w:rPr>
                <w:sz w:val="20"/>
                <w:szCs w:val="20"/>
              </w:rPr>
            </w:pPr>
            <w:r>
              <w:rPr>
                <w:sz w:val="20"/>
                <w:szCs w:val="20"/>
              </w:rPr>
              <w:t>KPRM</w:t>
            </w:r>
          </w:p>
        </w:tc>
        <w:tc>
          <w:tcPr>
            <w:tcW w:w="1418" w:type="dxa"/>
          </w:tcPr>
          <w:p w14:paraId="0034D2BF" w14:textId="0468E132" w:rsidR="00C03D3C" w:rsidRPr="00F21196" w:rsidRDefault="00C03D3C" w:rsidP="00C03D3C">
            <w:pPr>
              <w:spacing w:line="240" w:lineRule="auto"/>
              <w:jc w:val="center"/>
              <w:rPr>
                <w:sz w:val="20"/>
                <w:szCs w:val="20"/>
              </w:rPr>
            </w:pPr>
            <w:r w:rsidRPr="00F21196">
              <w:rPr>
                <w:rFonts w:eastAsia="Times New Roman" w:cs="Calibri"/>
                <w:sz w:val="20"/>
                <w:szCs w:val="20"/>
                <w:lang w:eastAsia="pl-PL"/>
              </w:rPr>
              <w:t>2017–202</w:t>
            </w:r>
            <w:r>
              <w:rPr>
                <w:rFonts w:eastAsia="Times New Roman" w:cs="Calibri"/>
                <w:sz w:val="20"/>
                <w:szCs w:val="20"/>
                <w:lang w:eastAsia="pl-PL"/>
              </w:rPr>
              <w:t>0</w:t>
            </w:r>
          </w:p>
        </w:tc>
        <w:tc>
          <w:tcPr>
            <w:tcW w:w="3969" w:type="dxa"/>
            <w:shd w:val="clear" w:color="auto" w:fill="auto"/>
          </w:tcPr>
          <w:p w14:paraId="05859034" w14:textId="4599674E" w:rsidR="00C03D3C" w:rsidRPr="00F21196" w:rsidRDefault="00C03D3C" w:rsidP="00B61FA0">
            <w:pPr>
              <w:autoSpaceDE w:val="0"/>
              <w:autoSpaceDN w:val="0"/>
              <w:adjustRightInd w:val="0"/>
              <w:spacing w:after="0" w:line="240" w:lineRule="auto"/>
              <w:jc w:val="both"/>
              <w:rPr>
                <w:sz w:val="18"/>
                <w:szCs w:val="20"/>
              </w:rPr>
            </w:pPr>
            <w:r w:rsidRPr="00F21196">
              <w:rPr>
                <w:rFonts w:cs="Calibri"/>
                <w:sz w:val="18"/>
                <w:szCs w:val="21"/>
              </w:rPr>
              <w:t xml:space="preserve">Celem projektu jest objęcie monitoringiem i korelacją zdarzeń usług </w:t>
            </w:r>
            <w:r>
              <w:rPr>
                <w:rFonts w:cs="Calibri"/>
                <w:sz w:val="18"/>
                <w:szCs w:val="21"/>
              </w:rPr>
              <w:t xml:space="preserve">kluczowych </w:t>
            </w:r>
            <w:r w:rsidRPr="00F21196">
              <w:rPr>
                <w:rFonts w:cs="Calibri"/>
                <w:sz w:val="18"/>
                <w:szCs w:val="21"/>
              </w:rPr>
              <w:t>informatycznych zapewniających bezpieczeństwo funkcjonowania państwa, obywateli i</w:t>
            </w:r>
            <w:r>
              <w:rPr>
                <w:rFonts w:cs="Calibri"/>
                <w:sz w:val="18"/>
                <w:szCs w:val="21"/>
              </w:rPr>
              <w:t> </w:t>
            </w:r>
            <w:r w:rsidRPr="00F21196">
              <w:rPr>
                <w:rFonts w:cs="Calibri"/>
                <w:sz w:val="18"/>
                <w:szCs w:val="21"/>
              </w:rPr>
              <w:t>podmiotów gospodarczych. Projekt ma na celu dostarczenie rozwiązań, które umożliwią dostęp do bieżącej informacji o</w:t>
            </w:r>
            <w:r>
              <w:rPr>
                <w:rFonts w:cs="Calibri"/>
                <w:sz w:val="18"/>
                <w:szCs w:val="21"/>
              </w:rPr>
              <w:t> </w:t>
            </w:r>
            <w:r w:rsidRPr="00F21196">
              <w:rPr>
                <w:rFonts w:cs="Calibri"/>
                <w:sz w:val="18"/>
                <w:szCs w:val="21"/>
              </w:rPr>
              <w:t xml:space="preserve">stanie </w:t>
            </w:r>
            <w:r>
              <w:rPr>
                <w:rFonts w:cs="Calibri"/>
                <w:sz w:val="18"/>
                <w:szCs w:val="21"/>
              </w:rPr>
              <w:t>cyber</w:t>
            </w:r>
            <w:r w:rsidRPr="00F21196">
              <w:rPr>
                <w:rFonts w:cs="Calibri"/>
                <w:sz w:val="18"/>
                <w:szCs w:val="21"/>
              </w:rPr>
              <w:t xml:space="preserve">bezpieczeństwa niezbędnego do oceny sytuacji i stanu </w:t>
            </w:r>
            <w:r>
              <w:rPr>
                <w:rFonts w:cs="Calibri"/>
                <w:sz w:val="18"/>
                <w:szCs w:val="21"/>
              </w:rPr>
              <w:t>cyber</w:t>
            </w:r>
            <w:r w:rsidRPr="00F21196">
              <w:rPr>
                <w:rFonts w:cs="Calibri"/>
                <w:sz w:val="18"/>
                <w:szCs w:val="21"/>
              </w:rPr>
              <w:t>bezpieczeństwa  w Polsce oraz koordynacji reagowania na incydenty komputerowe na poziomie krajowym.</w:t>
            </w:r>
            <w:r>
              <w:rPr>
                <w:rFonts w:cs="Calibri"/>
                <w:sz w:val="18"/>
                <w:szCs w:val="21"/>
              </w:rPr>
              <w:t xml:space="preserve"> </w:t>
            </w:r>
            <w:r w:rsidRPr="003971BD">
              <w:rPr>
                <w:rFonts w:cs="Calibri"/>
                <w:sz w:val="18"/>
                <w:szCs w:val="21"/>
              </w:rPr>
              <w:t>Cele te są realizowane przez trwające już projekty tj.: projekt badawczo-rozwojowy budowy Narodowej Platformy Cyberbezpieczeństwa oraz projekt „S46 – budowa systemu zapewniającego realizację wymagań art. 46 ust 1 ustawy o krajowym systemie cyberbezpieczeństwa”</w:t>
            </w:r>
            <w:r>
              <w:rPr>
                <w:rFonts w:cs="Calibri"/>
                <w:sz w:val="18"/>
                <w:szCs w:val="21"/>
              </w:rPr>
              <w:t>.</w:t>
            </w:r>
          </w:p>
        </w:tc>
        <w:tc>
          <w:tcPr>
            <w:tcW w:w="1559" w:type="dxa"/>
          </w:tcPr>
          <w:p w14:paraId="524AB2AD" w14:textId="373B059C" w:rsidR="00C03D3C" w:rsidRPr="00626BCA" w:rsidRDefault="00C03D3C" w:rsidP="00626BCA">
            <w:pPr>
              <w:autoSpaceDE w:val="0"/>
              <w:autoSpaceDN w:val="0"/>
              <w:adjustRightInd w:val="0"/>
              <w:spacing w:after="0" w:line="240" w:lineRule="auto"/>
              <w:rPr>
                <w:rFonts w:cs="Calibri"/>
                <w:sz w:val="18"/>
                <w:szCs w:val="18"/>
              </w:rPr>
            </w:pPr>
            <w:r w:rsidRPr="00626BCA">
              <w:rPr>
                <w:rFonts w:eastAsia="Times New Roman" w:cs="Calibri"/>
                <w:sz w:val="18"/>
                <w:szCs w:val="18"/>
                <w:lang w:eastAsia="pl-PL"/>
              </w:rPr>
              <w:t xml:space="preserve">1. Tworzenie warunków dla efektywnej, dostępnej cyfrowo i bezpiecznej </w:t>
            </w:r>
            <w:r w:rsidRPr="00626BCA">
              <w:rPr>
                <w:rFonts w:eastAsia="Times New Roman" w:cs="Calibri"/>
                <w:sz w:val="18"/>
                <w:szCs w:val="18"/>
                <w:lang w:eastAsia="pl-PL"/>
              </w:rPr>
              <w:br/>
              <w:t>e-administracji</w:t>
            </w:r>
          </w:p>
        </w:tc>
      </w:tr>
      <w:tr w:rsidR="00932D5D" w:rsidRPr="00F21196" w14:paraId="1EE3398C" w14:textId="77777777" w:rsidTr="00AD050F">
        <w:trPr>
          <w:trHeight w:val="70"/>
        </w:trPr>
        <w:tc>
          <w:tcPr>
            <w:tcW w:w="1843" w:type="dxa"/>
            <w:shd w:val="clear" w:color="auto" w:fill="auto"/>
          </w:tcPr>
          <w:p w14:paraId="799553BE" w14:textId="6C454A34" w:rsidR="00932D5D" w:rsidRPr="00DB076D" w:rsidRDefault="00932D5D" w:rsidP="00932D5D">
            <w:pPr>
              <w:spacing w:line="240" w:lineRule="auto"/>
              <w:ind w:right="99"/>
              <w:rPr>
                <w:rFonts w:eastAsia="Times New Roman" w:cs="Calibri"/>
                <w:b/>
                <w:bCs/>
                <w:sz w:val="18"/>
                <w:szCs w:val="18"/>
                <w:lang w:eastAsia="pl-PL"/>
              </w:rPr>
            </w:pPr>
            <w:r>
              <w:rPr>
                <w:rFonts w:eastAsia="Times New Roman" w:cs="Calibri"/>
                <w:b/>
                <w:bCs/>
                <w:sz w:val="18"/>
                <w:szCs w:val="18"/>
                <w:lang w:eastAsia="pl-PL"/>
              </w:rPr>
              <w:t>Otwarte dane plus</w:t>
            </w:r>
          </w:p>
        </w:tc>
        <w:tc>
          <w:tcPr>
            <w:tcW w:w="1134" w:type="dxa"/>
            <w:shd w:val="clear" w:color="auto" w:fill="auto"/>
          </w:tcPr>
          <w:p w14:paraId="70BAA58B" w14:textId="643CF438" w:rsidR="00932D5D" w:rsidRPr="00F21196" w:rsidRDefault="00E9243F" w:rsidP="00932D5D">
            <w:pPr>
              <w:spacing w:line="240" w:lineRule="auto"/>
              <w:ind w:left="-69"/>
              <w:jc w:val="center"/>
              <w:rPr>
                <w:sz w:val="20"/>
                <w:szCs w:val="20"/>
              </w:rPr>
            </w:pPr>
            <w:r>
              <w:rPr>
                <w:sz w:val="20"/>
                <w:szCs w:val="20"/>
              </w:rPr>
              <w:t>KPRM</w:t>
            </w:r>
          </w:p>
        </w:tc>
        <w:tc>
          <w:tcPr>
            <w:tcW w:w="1418" w:type="dxa"/>
          </w:tcPr>
          <w:p w14:paraId="436DB9B6" w14:textId="393C999D" w:rsidR="00932D5D" w:rsidRDefault="00932D5D" w:rsidP="00932D5D">
            <w:pPr>
              <w:spacing w:line="240" w:lineRule="auto"/>
              <w:rPr>
                <w:rFonts w:eastAsia="Times New Roman" w:cs="Calibri"/>
                <w:sz w:val="20"/>
                <w:szCs w:val="20"/>
                <w:lang w:eastAsia="pl-PL"/>
              </w:rPr>
            </w:pPr>
            <w:r>
              <w:rPr>
                <w:rFonts w:eastAsia="Times New Roman" w:cs="Calibri"/>
                <w:sz w:val="20"/>
                <w:szCs w:val="20"/>
                <w:lang w:eastAsia="pl-PL"/>
              </w:rPr>
              <w:t>2019-2021</w:t>
            </w:r>
          </w:p>
        </w:tc>
        <w:tc>
          <w:tcPr>
            <w:tcW w:w="3969" w:type="dxa"/>
            <w:shd w:val="clear" w:color="auto" w:fill="auto"/>
          </w:tcPr>
          <w:p w14:paraId="64DDE517" w14:textId="77777777" w:rsidR="00932D5D" w:rsidRPr="001C5B08" w:rsidRDefault="00932D5D" w:rsidP="00932D5D">
            <w:pPr>
              <w:autoSpaceDE w:val="0"/>
              <w:autoSpaceDN w:val="0"/>
              <w:adjustRightInd w:val="0"/>
              <w:spacing w:after="0" w:line="240" w:lineRule="auto"/>
              <w:jc w:val="both"/>
              <w:rPr>
                <w:rFonts w:cs="Calibri"/>
                <w:sz w:val="18"/>
                <w:szCs w:val="21"/>
              </w:rPr>
            </w:pPr>
            <w:r>
              <w:rPr>
                <w:rFonts w:cs="Calibri"/>
                <w:sz w:val="18"/>
                <w:szCs w:val="21"/>
              </w:rPr>
              <w:t xml:space="preserve">Celem ogólnym projektu jest </w:t>
            </w:r>
            <w:r w:rsidRPr="001C5B08">
              <w:rPr>
                <w:rFonts w:cs="Calibri"/>
                <w:sz w:val="18"/>
                <w:szCs w:val="21"/>
              </w:rPr>
              <w:t>wzrost ilości i poprawa jakości otwartych danych publicznych oraz zwiększenie ich ponownego wykorzystywania</w:t>
            </w:r>
            <w:r>
              <w:rPr>
                <w:rFonts w:cs="Calibri"/>
                <w:sz w:val="18"/>
                <w:szCs w:val="21"/>
              </w:rPr>
              <w:t xml:space="preserve">, w tym </w:t>
            </w:r>
            <w:r w:rsidRPr="001C5B08">
              <w:rPr>
                <w:rFonts w:cs="Calibri"/>
                <w:sz w:val="18"/>
                <w:szCs w:val="21"/>
              </w:rPr>
              <w:t>zwiększenie ilości danych o wysokim potencjale dla ponownego wykorzystywania, dostępnych przez API;</w:t>
            </w:r>
          </w:p>
          <w:p w14:paraId="637A4A77" w14:textId="2FAA8104" w:rsidR="00932D5D" w:rsidRDefault="00932D5D" w:rsidP="00932D5D">
            <w:pPr>
              <w:autoSpaceDE w:val="0"/>
              <w:autoSpaceDN w:val="0"/>
              <w:adjustRightInd w:val="0"/>
              <w:spacing w:after="0" w:line="240" w:lineRule="auto"/>
              <w:jc w:val="both"/>
              <w:rPr>
                <w:rFonts w:cs="Calibri"/>
                <w:sz w:val="18"/>
                <w:szCs w:val="21"/>
              </w:rPr>
            </w:pPr>
            <w:r w:rsidRPr="001C5B08">
              <w:rPr>
                <w:rFonts w:cs="Calibri"/>
                <w:sz w:val="18"/>
                <w:szCs w:val="21"/>
              </w:rPr>
              <w:t>zwiększenie ilości i poprawa jakości danych udostępnianych przez instytucje, objęte działaniami Pełnomocników ds. otwartości danych;</w:t>
            </w:r>
            <w:r>
              <w:rPr>
                <w:rFonts w:cs="Calibri"/>
                <w:sz w:val="18"/>
                <w:szCs w:val="21"/>
              </w:rPr>
              <w:t xml:space="preserve"> oraz </w:t>
            </w:r>
            <w:r w:rsidRPr="001C5B08">
              <w:rPr>
                <w:rFonts w:cs="Calibri"/>
                <w:sz w:val="18"/>
                <w:szCs w:val="21"/>
              </w:rPr>
              <w:t>poprawa kompetencji pracowników instytucji korzystających z produktów projektu, zaangażowanych w udostępnianie danych</w:t>
            </w:r>
          </w:p>
        </w:tc>
        <w:tc>
          <w:tcPr>
            <w:tcW w:w="1559" w:type="dxa"/>
          </w:tcPr>
          <w:p w14:paraId="65879EC8" w14:textId="3B24523E" w:rsidR="00932D5D" w:rsidRPr="00626BCA" w:rsidRDefault="00932D5D" w:rsidP="00932D5D">
            <w:pPr>
              <w:autoSpaceDE w:val="0"/>
              <w:autoSpaceDN w:val="0"/>
              <w:adjustRightInd w:val="0"/>
              <w:spacing w:after="0" w:line="240" w:lineRule="auto"/>
              <w:rPr>
                <w:rFonts w:eastAsia="Times New Roman" w:cs="Calibri"/>
                <w:sz w:val="18"/>
                <w:szCs w:val="18"/>
                <w:lang w:eastAsia="pl-PL"/>
              </w:rPr>
            </w:pPr>
            <w:r w:rsidRPr="00626BCA">
              <w:rPr>
                <w:rFonts w:eastAsia="Times New Roman" w:cs="Calibri"/>
                <w:sz w:val="18"/>
                <w:szCs w:val="18"/>
                <w:lang w:eastAsia="pl-PL"/>
              </w:rPr>
              <w:t>3. Otwarty rząd i wspieranie rozwoju społeczeństwa informacyjnego</w:t>
            </w:r>
          </w:p>
        </w:tc>
      </w:tr>
      <w:tr w:rsidR="00932D5D" w:rsidRPr="00F21196" w14:paraId="53B8AABA" w14:textId="6AB850AB" w:rsidTr="00AD050F">
        <w:trPr>
          <w:trHeight w:val="70"/>
        </w:trPr>
        <w:tc>
          <w:tcPr>
            <w:tcW w:w="1843" w:type="dxa"/>
            <w:shd w:val="clear" w:color="auto" w:fill="auto"/>
          </w:tcPr>
          <w:p w14:paraId="781B4D9D" w14:textId="77777777" w:rsidR="00932D5D" w:rsidRPr="00DB076D" w:rsidRDefault="00932D5D" w:rsidP="00932D5D">
            <w:pPr>
              <w:spacing w:line="240" w:lineRule="auto"/>
              <w:ind w:right="99"/>
              <w:rPr>
                <w:rFonts w:eastAsia="Times New Roman" w:cs="Calibri"/>
                <w:b/>
                <w:bCs/>
                <w:color w:val="1F497D"/>
                <w:sz w:val="18"/>
                <w:szCs w:val="18"/>
                <w:lang w:eastAsia="pl-PL"/>
              </w:rPr>
            </w:pPr>
            <w:r w:rsidRPr="00DB076D">
              <w:rPr>
                <w:rFonts w:eastAsia="Times New Roman" w:cs="Calibri"/>
                <w:b/>
                <w:bCs/>
                <w:sz w:val="18"/>
                <w:szCs w:val="18"/>
                <w:lang w:eastAsia="pl-PL"/>
              </w:rPr>
              <w:t xml:space="preserve">Ogólnopolska Sieć Edukacyjna – </w:t>
            </w:r>
            <w:r w:rsidRPr="00DB076D">
              <w:rPr>
                <w:rFonts w:eastAsia="Times New Roman" w:cs="Calibri"/>
                <w:bCs/>
                <w:i/>
                <w:sz w:val="18"/>
                <w:szCs w:val="18"/>
                <w:lang w:eastAsia="pl-PL"/>
              </w:rPr>
              <w:t>projekt monitorowany w ramach Strategii rozwoju kapitału ludzkiego</w:t>
            </w:r>
          </w:p>
        </w:tc>
        <w:tc>
          <w:tcPr>
            <w:tcW w:w="1134" w:type="dxa"/>
            <w:shd w:val="clear" w:color="auto" w:fill="auto"/>
          </w:tcPr>
          <w:p w14:paraId="4A7D6962" w14:textId="0285DB5B" w:rsidR="00932D5D" w:rsidRPr="00F21196" w:rsidRDefault="00E9243F" w:rsidP="00932D5D">
            <w:pPr>
              <w:spacing w:line="240" w:lineRule="auto"/>
              <w:ind w:left="-69"/>
              <w:jc w:val="center"/>
              <w:rPr>
                <w:sz w:val="20"/>
                <w:szCs w:val="20"/>
              </w:rPr>
            </w:pPr>
            <w:r>
              <w:rPr>
                <w:sz w:val="20"/>
                <w:szCs w:val="20"/>
              </w:rPr>
              <w:t>KPRM</w:t>
            </w:r>
          </w:p>
        </w:tc>
        <w:tc>
          <w:tcPr>
            <w:tcW w:w="1418" w:type="dxa"/>
          </w:tcPr>
          <w:p w14:paraId="4840BD6D" w14:textId="77777777" w:rsidR="00932D5D" w:rsidRPr="00F21196" w:rsidRDefault="00932D5D" w:rsidP="00932D5D">
            <w:pPr>
              <w:spacing w:line="240" w:lineRule="auto"/>
              <w:rPr>
                <w:sz w:val="20"/>
                <w:szCs w:val="20"/>
              </w:rPr>
            </w:pPr>
            <w:r w:rsidRPr="00F21196">
              <w:rPr>
                <w:rFonts w:eastAsia="Times New Roman" w:cs="Calibri"/>
                <w:sz w:val="20"/>
                <w:szCs w:val="20"/>
                <w:lang w:eastAsia="pl-PL"/>
              </w:rPr>
              <w:t>od 2017</w:t>
            </w:r>
          </w:p>
        </w:tc>
        <w:tc>
          <w:tcPr>
            <w:tcW w:w="3969" w:type="dxa"/>
            <w:shd w:val="clear" w:color="auto" w:fill="auto"/>
          </w:tcPr>
          <w:p w14:paraId="76AFDCDB" w14:textId="40309B07" w:rsidR="00932D5D" w:rsidRPr="00F21196" w:rsidRDefault="00932D5D" w:rsidP="00932D5D">
            <w:pPr>
              <w:autoSpaceDE w:val="0"/>
              <w:autoSpaceDN w:val="0"/>
              <w:adjustRightInd w:val="0"/>
              <w:spacing w:after="0" w:line="240" w:lineRule="auto"/>
              <w:jc w:val="both"/>
              <w:rPr>
                <w:sz w:val="18"/>
                <w:szCs w:val="20"/>
              </w:rPr>
            </w:pPr>
            <w:r w:rsidRPr="00F21196">
              <w:rPr>
                <w:rFonts w:cs="Calibri"/>
                <w:sz w:val="18"/>
                <w:szCs w:val="21"/>
              </w:rPr>
              <w:t>Dedykowana sieć łącząca wszystkie szkoły w Polsce, która zapewni dostęp do Internetu, usług i treści edukacyjnych</w:t>
            </w:r>
            <w:r>
              <w:rPr>
                <w:rFonts w:cs="Calibri"/>
                <w:sz w:val="18"/>
                <w:szCs w:val="21"/>
              </w:rPr>
              <w:t>, ewentualnie sprzętu komputerowego</w:t>
            </w:r>
            <w:r w:rsidRPr="00F21196">
              <w:rPr>
                <w:rFonts w:cs="Calibri"/>
                <w:sz w:val="18"/>
                <w:szCs w:val="21"/>
              </w:rPr>
              <w:t xml:space="preserve"> oraz zapewni bezpieczeństwo sieci. Ogólnopolska Sieć Edukacyjna jest </w:t>
            </w:r>
            <w:r>
              <w:rPr>
                <w:rFonts w:cs="Calibri"/>
                <w:sz w:val="18"/>
                <w:szCs w:val="21"/>
              </w:rPr>
              <w:t>programem</w:t>
            </w:r>
            <w:r w:rsidRPr="00F21196">
              <w:rPr>
                <w:rFonts w:cs="Calibri"/>
                <w:sz w:val="18"/>
                <w:szCs w:val="21"/>
              </w:rPr>
              <w:t xml:space="preserve"> komplementarnym z projektem Edukacj@ w społeczeństwie informacyjnym.</w:t>
            </w:r>
          </w:p>
        </w:tc>
        <w:tc>
          <w:tcPr>
            <w:tcW w:w="1559" w:type="dxa"/>
          </w:tcPr>
          <w:p w14:paraId="629AEE49" w14:textId="77777777" w:rsidR="00932D5D" w:rsidRPr="00626BCA" w:rsidRDefault="00932D5D" w:rsidP="00932D5D">
            <w:pPr>
              <w:spacing w:line="240" w:lineRule="auto"/>
              <w:ind w:right="-70"/>
              <w:rPr>
                <w:rFonts w:eastAsia="Times New Roman" w:cs="Calibri"/>
                <w:sz w:val="18"/>
                <w:szCs w:val="20"/>
                <w:lang w:eastAsia="pl-PL"/>
              </w:rPr>
            </w:pPr>
            <w:r w:rsidRPr="00626BCA">
              <w:rPr>
                <w:rFonts w:eastAsia="Times New Roman" w:cs="Calibri"/>
                <w:sz w:val="18"/>
                <w:szCs w:val="20"/>
                <w:lang w:eastAsia="pl-PL"/>
              </w:rPr>
              <w:t>2. Zapewnienie dostępu do Internetu szerokopasmowego</w:t>
            </w:r>
          </w:p>
          <w:p w14:paraId="3BFB9859" w14:textId="6CB45F87" w:rsidR="00932D5D" w:rsidRPr="00626BCA" w:rsidRDefault="00932D5D" w:rsidP="00932D5D">
            <w:pPr>
              <w:autoSpaceDE w:val="0"/>
              <w:autoSpaceDN w:val="0"/>
              <w:adjustRightInd w:val="0"/>
              <w:spacing w:after="0" w:line="240" w:lineRule="auto"/>
              <w:rPr>
                <w:rFonts w:cs="Calibri"/>
                <w:sz w:val="18"/>
                <w:szCs w:val="21"/>
              </w:rPr>
            </w:pPr>
            <w:r w:rsidRPr="00626BCA">
              <w:rPr>
                <w:rFonts w:eastAsia="Times New Roman" w:cs="Calibri"/>
                <w:sz w:val="18"/>
                <w:szCs w:val="20"/>
                <w:lang w:eastAsia="pl-PL"/>
              </w:rPr>
              <w:t>3. Otwarty rząd i wspieranie rozwoju społeczeństwa informacyjnego</w:t>
            </w:r>
          </w:p>
        </w:tc>
      </w:tr>
      <w:tr w:rsidR="00932D5D" w:rsidRPr="00F21196" w14:paraId="40EFB813" w14:textId="3E105B35" w:rsidTr="00AD050F">
        <w:trPr>
          <w:trHeight w:val="70"/>
        </w:trPr>
        <w:tc>
          <w:tcPr>
            <w:tcW w:w="1843" w:type="dxa"/>
            <w:shd w:val="clear" w:color="auto" w:fill="auto"/>
          </w:tcPr>
          <w:p w14:paraId="6E7A946F" w14:textId="3F940AB3" w:rsidR="00932D5D" w:rsidRPr="00DB076D" w:rsidRDefault="00932D5D" w:rsidP="00932D5D">
            <w:pPr>
              <w:spacing w:line="240" w:lineRule="auto"/>
              <w:rPr>
                <w:b/>
                <w:sz w:val="18"/>
                <w:szCs w:val="18"/>
              </w:rPr>
            </w:pPr>
            <w:r w:rsidRPr="00FD02FF">
              <w:rPr>
                <w:rFonts w:cstheme="minorHAnsi"/>
                <w:b/>
                <w:bCs/>
                <w:sz w:val="18"/>
                <w:szCs w:val="18"/>
              </w:rPr>
              <w:t>Wdrożenie Strategii Cyberbezpieczeństwa RP</w:t>
            </w:r>
            <w:r>
              <w:rPr>
                <w:rFonts w:cstheme="minorHAnsi"/>
                <w:b/>
                <w:bCs/>
                <w:sz w:val="18"/>
                <w:szCs w:val="18"/>
              </w:rPr>
              <w:t xml:space="preserve"> na lata 2019-2024</w:t>
            </w:r>
          </w:p>
        </w:tc>
        <w:tc>
          <w:tcPr>
            <w:tcW w:w="1134" w:type="dxa"/>
            <w:shd w:val="clear" w:color="auto" w:fill="auto"/>
          </w:tcPr>
          <w:p w14:paraId="6F9D519E" w14:textId="530984C7" w:rsidR="00932D5D" w:rsidRPr="00F21196" w:rsidRDefault="00E9243F" w:rsidP="00932D5D">
            <w:pPr>
              <w:spacing w:line="240" w:lineRule="auto"/>
              <w:ind w:left="-69"/>
              <w:jc w:val="center"/>
              <w:rPr>
                <w:sz w:val="20"/>
                <w:szCs w:val="20"/>
              </w:rPr>
            </w:pPr>
            <w:r>
              <w:rPr>
                <w:rFonts w:eastAsia="Times New Roman" w:cstheme="minorHAnsi"/>
                <w:sz w:val="20"/>
                <w:szCs w:val="20"/>
                <w:lang w:eastAsia="pl-PL"/>
              </w:rPr>
              <w:t>KPRM</w:t>
            </w:r>
          </w:p>
        </w:tc>
        <w:tc>
          <w:tcPr>
            <w:tcW w:w="1418" w:type="dxa"/>
          </w:tcPr>
          <w:p w14:paraId="01511ECD" w14:textId="2E82E0E8" w:rsidR="00932D5D" w:rsidRPr="00F21196" w:rsidRDefault="00932D5D" w:rsidP="00932D5D">
            <w:pPr>
              <w:spacing w:line="240" w:lineRule="auto"/>
              <w:jc w:val="both"/>
              <w:rPr>
                <w:rFonts w:cstheme="minorHAnsi"/>
                <w:bCs/>
                <w:sz w:val="20"/>
                <w:szCs w:val="20"/>
              </w:rPr>
            </w:pPr>
            <w:r>
              <w:rPr>
                <w:rFonts w:cstheme="minorHAnsi"/>
                <w:bCs/>
                <w:sz w:val="20"/>
                <w:szCs w:val="20"/>
              </w:rPr>
              <w:t>2019-2024</w:t>
            </w:r>
          </w:p>
        </w:tc>
        <w:tc>
          <w:tcPr>
            <w:tcW w:w="3969" w:type="dxa"/>
            <w:shd w:val="clear" w:color="auto" w:fill="auto"/>
          </w:tcPr>
          <w:p w14:paraId="6DFAE804" w14:textId="657C9231" w:rsidR="00932D5D" w:rsidRPr="00FD02FF" w:rsidRDefault="00932D5D" w:rsidP="00932D5D">
            <w:pPr>
              <w:spacing w:after="0" w:line="240" w:lineRule="auto"/>
              <w:jc w:val="both"/>
              <w:rPr>
                <w:rFonts w:cstheme="minorHAnsi"/>
                <w:bCs/>
                <w:sz w:val="18"/>
                <w:szCs w:val="20"/>
              </w:rPr>
            </w:pPr>
            <w:r w:rsidRPr="00FD02FF">
              <w:rPr>
                <w:rFonts w:cstheme="minorHAnsi"/>
                <w:bCs/>
                <w:sz w:val="18"/>
                <w:szCs w:val="20"/>
              </w:rPr>
              <w:t>Opracowanie i realizacja Planu Działań na rzecz wdrożenia Strategii. Plan działań zawiera m.in. konkretne działania w zakresie cyberbezpieczeństwa, harmonogram, podmioty odpowiedzialne za ich realizację, podmioty wspierające oraz oczekiwane efekty, wynikające z realizacji poszczególnych działań (mierniki -</w:t>
            </w:r>
            <w:r>
              <w:rPr>
                <w:rFonts w:cstheme="minorHAnsi"/>
                <w:bCs/>
                <w:sz w:val="18"/>
                <w:szCs w:val="20"/>
              </w:rPr>
              <w:t>KPI</w:t>
            </w:r>
            <w:r w:rsidRPr="00FD02FF">
              <w:rPr>
                <w:rFonts w:cstheme="minorHAnsi"/>
                <w:bCs/>
                <w:sz w:val="18"/>
                <w:szCs w:val="20"/>
              </w:rPr>
              <w:t>) a także szacunkowy koszt realizacji i źródła finansowania. Plan Działań e obejm</w:t>
            </w:r>
            <w:r>
              <w:rPr>
                <w:rFonts w:cstheme="minorHAnsi"/>
                <w:bCs/>
                <w:sz w:val="18"/>
                <w:szCs w:val="20"/>
              </w:rPr>
              <w:t>uje</w:t>
            </w:r>
            <w:r w:rsidRPr="00FD02FF">
              <w:rPr>
                <w:rFonts w:cstheme="minorHAnsi"/>
                <w:bCs/>
                <w:sz w:val="18"/>
                <w:szCs w:val="20"/>
              </w:rPr>
              <w:t xml:space="preserve"> realizację 5 celów szczegółowych Strategii:</w:t>
            </w:r>
          </w:p>
          <w:p w14:paraId="4DA3C316" w14:textId="77777777" w:rsidR="00932D5D" w:rsidRPr="00FD02FF" w:rsidRDefault="00932D5D" w:rsidP="00932D5D">
            <w:pPr>
              <w:spacing w:after="0" w:line="240" w:lineRule="auto"/>
              <w:ind w:left="213" w:hanging="213"/>
              <w:jc w:val="both"/>
              <w:rPr>
                <w:rFonts w:cstheme="minorHAnsi"/>
                <w:bCs/>
                <w:sz w:val="18"/>
                <w:szCs w:val="20"/>
              </w:rPr>
            </w:pPr>
            <w:r w:rsidRPr="00FD02FF">
              <w:rPr>
                <w:rFonts w:cstheme="minorHAnsi"/>
                <w:bCs/>
                <w:sz w:val="18"/>
                <w:szCs w:val="20"/>
              </w:rPr>
              <w:t>1)</w:t>
            </w:r>
            <w:r w:rsidRPr="00FD02FF">
              <w:rPr>
                <w:rFonts w:cstheme="minorHAnsi"/>
                <w:bCs/>
                <w:sz w:val="18"/>
                <w:szCs w:val="20"/>
              </w:rPr>
              <w:tab/>
              <w:t xml:space="preserve">rozwój krajowego systemu cyberbezpieczeństwa: </w:t>
            </w:r>
          </w:p>
          <w:p w14:paraId="1E7FF08C" w14:textId="77777777" w:rsidR="00932D5D" w:rsidRPr="00FD02FF" w:rsidRDefault="00932D5D" w:rsidP="00932D5D">
            <w:pPr>
              <w:spacing w:after="0" w:line="240" w:lineRule="auto"/>
              <w:ind w:left="213" w:hanging="213"/>
              <w:jc w:val="both"/>
              <w:rPr>
                <w:rFonts w:cstheme="minorHAnsi"/>
                <w:bCs/>
                <w:sz w:val="18"/>
                <w:szCs w:val="20"/>
              </w:rPr>
            </w:pPr>
            <w:r w:rsidRPr="00FD02FF">
              <w:rPr>
                <w:rFonts w:cstheme="minorHAnsi"/>
                <w:bCs/>
                <w:sz w:val="18"/>
                <w:szCs w:val="20"/>
              </w:rPr>
              <w:t>•</w:t>
            </w:r>
            <w:r w:rsidRPr="00FD02FF">
              <w:rPr>
                <w:rFonts w:cstheme="minorHAnsi"/>
                <w:bCs/>
                <w:sz w:val="18"/>
                <w:szCs w:val="20"/>
              </w:rPr>
              <w:tab/>
              <w:t xml:space="preserve">ewaluacja </w:t>
            </w:r>
            <w:r>
              <w:rPr>
                <w:rFonts w:cstheme="minorHAnsi"/>
                <w:bCs/>
                <w:sz w:val="18"/>
                <w:szCs w:val="20"/>
              </w:rPr>
              <w:t>ustawy o ksc wraz z aktami wykonawczymi</w:t>
            </w:r>
          </w:p>
          <w:p w14:paraId="2D3BDE43" w14:textId="77777777" w:rsidR="00932D5D" w:rsidRPr="00FD02FF" w:rsidRDefault="00932D5D" w:rsidP="00932D5D">
            <w:pPr>
              <w:spacing w:after="0" w:line="240" w:lineRule="auto"/>
              <w:ind w:left="213" w:hanging="213"/>
              <w:jc w:val="both"/>
              <w:rPr>
                <w:rFonts w:cstheme="minorHAnsi"/>
                <w:bCs/>
                <w:sz w:val="18"/>
                <w:szCs w:val="20"/>
              </w:rPr>
            </w:pPr>
            <w:r w:rsidRPr="00FD02FF">
              <w:rPr>
                <w:rFonts w:cstheme="minorHAnsi"/>
                <w:bCs/>
                <w:sz w:val="18"/>
                <w:szCs w:val="20"/>
              </w:rPr>
              <w:t>•</w:t>
            </w:r>
            <w:r w:rsidRPr="00FD02FF">
              <w:rPr>
                <w:rFonts w:cstheme="minorHAnsi"/>
                <w:bCs/>
                <w:sz w:val="18"/>
                <w:szCs w:val="20"/>
              </w:rPr>
              <w:tab/>
              <w:t>rozwój systemu wymiany informacji o zagrożeniach</w:t>
            </w:r>
          </w:p>
          <w:p w14:paraId="6CCA7B0A" w14:textId="77777777" w:rsidR="00932D5D" w:rsidRPr="00FD02FF" w:rsidRDefault="00932D5D" w:rsidP="00932D5D">
            <w:pPr>
              <w:spacing w:after="0" w:line="240" w:lineRule="auto"/>
              <w:ind w:left="213" w:hanging="213"/>
              <w:jc w:val="both"/>
              <w:rPr>
                <w:rFonts w:cstheme="minorHAnsi"/>
                <w:bCs/>
                <w:sz w:val="18"/>
                <w:szCs w:val="20"/>
              </w:rPr>
            </w:pPr>
            <w:r w:rsidRPr="00FD02FF">
              <w:rPr>
                <w:rFonts w:cstheme="minorHAnsi"/>
                <w:bCs/>
                <w:sz w:val="18"/>
                <w:szCs w:val="20"/>
              </w:rPr>
              <w:t>•</w:t>
            </w:r>
            <w:r w:rsidRPr="00FD02FF">
              <w:rPr>
                <w:rFonts w:cstheme="minorHAnsi"/>
                <w:bCs/>
                <w:sz w:val="18"/>
                <w:szCs w:val="20"/>
              </w:rPr>
              <w:tab/>
            </w:r>
            <w:r w:rsidRPr="00805866">
              <w:rPr>
                <w:rFonts w:cstheme="minorHAnsi"/>
                <w:bCs/>
                <w:sz w:val="18"/>
                <w:szCs w:val="20"/>
              </w:rPr>
              <w:t>Wdrożenie metodyki statycznego i dynamicznego szacowania ryzyka</w:t>
            </w:r>
            <w:r w:rsidRPr="00FD02FF">
              <w:rPr>
                <w:rFonts w:cstheme="minorHAnsi"/>
                <w:bCs/>
                <w:sz w:val="18"/>
                <w:szCs w:val="20"/>
              </w:rPr>
              <w:t xml:space="preserve"> na poziomie krajowym</w:t>
            </w:r>
          </w:p>
          <w:p w14:paraId="2EDF3282" w14:textId="77777777" w:rsidR="00932D5D" w:rsidRPr="00FD02FF" w:rsidRDefault="00932D5D" w:rsidP="00932D5D">
            <w:pPr>
              <w:spacing w:after="0" w:line="240" w:lineRule="auto"/>
              <w:ind w:left="213" w:hanging="213"/>
              <w:jc w:val="both"/>
              <w:rPr>
                <w:rFonts w:cstheme="minorHAnsi"/>
                <w:bCs/>
                <w:sz w:val="18"/>
                <w:szCs w:val="20"/>
              </w:rPr>
            </w:pPr>
            <w:r w:rsidRPr="00FD02FF">
              <w:rPr>
                <w:rFonts w:cstheme="minorHAnsi"/>
                <w:bCs/>
                <w:sz w:val="18"/>
                <w:szCs w:val="20"/>
              </w:rPr>
              <w:t>•</w:t>
            </w:r>
            <w:r w:rsidRPr="00FD02FF">
              <w:rPr>
                <w:rFonts w:cstheme="minorHAnsi"/>
                <w:bCs/>
                <w:sz w:val="18"/>
                <w:szCs w:val="20"/>
              </w:rPr>
              <w:tab/>
              <w:t>organizowanie ćwiczeń sektorowych i krajowych – weryfikacja działania krajowego systemu cyberbezpieczeństwa</w:t>
            </w:r>
          </w:p>
          <w:p w14:paraId="43A17314" w14:textId="77777777" w:rsidR="00932D5D" w:rsidRPr="00FD02FF" w:rsidRDefault="00932D5D" w:rsidP="00932D5D">
            <w:pPr>
              <w:spacing w:after="0" w:line="240" w:lineRule="auto"/>
              <w:ind w:left="213" w:hanging="213"/>
              <w:jc w:val="both"/>
              <w:rPr>
                <w:rFonts w:cstheme="minorHAnsi"/>
                <w:bCs/>
                <w:sz w:val="18"/>
                <w:szCs w:val="20"/>
              </w:rPr>
            </w:pPr>
            <w:r w:rsidRPr="00FD02FF">
              <w:rPr>
                <w:rFonts w:cstheme="minorHAnsi"/>
                <w:bCs/>
                <w:sz w:val="18"/>
                <w:szCs w:val="20"/>
              </w:rPr>
              <w:t>2)</w:t>
            </w:r>
            <w:r w:rsidRPr="00FD02FF">
              <w:rPr>
                <w:rFonts w:cstheme="minorHAnsi"/>
                <w:bCs/>
                <w:sz w:val="18"/>
                <w:szCs w:val="20"/>
              </w:rPr>
              <w:tab/>
            </w:r>
            <w:r w:rsidRPr="00740193">
              <w:rPr>
                <w:rFonts w:cstheme="minorHAnsi"/>
                <w:bCs/>
                <w:sz w:val="18"/>
                <w:szCs w:val="20"/>
              </w:rPr>
              <w:t>Podniesienie poziomu odporności systemów informacyjnych administracji publicznej i sektora prywatnego oraz osiągnięcie zdolności do skutecznego zapobiegania i reagowania na incydent</w:t>
            </w:r>
            <w:r>
              <w:rPr>
                <w:rFonts w:cstheme="minorHAnsi"/>
                <w:bCs/>
                <w:sz w:val="18"/>
                <w:szCs w:val="20"/>
              </w:rPr>
              <w:t>:</w:t>
            </w:r>
            <w:r w:rsidRPr="00FD02FF">
              <w:rPr>
                <w:rFonts w:cstheme="minorHAnsi"/>
                <w:bCs/>
                <w:sz w:val="18"/>
                <w:szCs w:val="20"/>
              </w:rPr>
              <w:t>•</w:t>
            </w:r>
            <w:r w:rsidRPr="00FD02FF">
              <w:rPr>
                <w:rFonts w:cstheme="minorHAnsi"/>
                <w:bCs/>
                <w:sz w:val="18"/>
                <w:szCs w:val="20"/>
              </w:rPr>
              <w:tab/>
            </w:r>
            <w:r w:rsidRPr="00805866">
              <w:rPr>
                <w:rFonts w:cstheme="minorHAnsi"/>
                <w:bCs/>
                <w:sz w:val="18"/>
                <w:szCs w:val="20"/>
              </w:rPr>
              <w:t>Opracowanie, wdrożenie oraz rozwój Narodowej Platformy Cyberbezpieczeństwa wraz z bezpiecznym kanałem wymiany informacji NPCNet</w:t>
            </w:r>
            <w:r w:rsidRPr="00FD02FF">
              <w:rPr>
                <w:rFonts w:cstheme="minorHAnsi"/>
                <w:bCs/>
                <w:sz w:val="18"/>
                <w:szCs w:val="20"/>
              </w:rPr>
              <w:t xml:space="preserve"> </w:t>
            </w:r>
          </w:p>
          <w:p w14:paraId="23C8958B" w14:textId="77777777" w:rsidR="00932D5D" w:rsidRPr="00FD02FF" w:rsidRDefault="00932D5D" w:rsidP="00932D5D">
            <w:pPr>
              <w:spacing w:after="0" w:line="240" w:lineRule="auto"/>
              <w:ind w:left="213" w:hanging="213"/>
              <w:jc w:val="both"/>
              <w:rPr>
                <w:rFonts w:cstheme="minorHAnsi"/>
                <w:bCs/>
                <w:sz w:val="18"/>
                <w:szCs w:val="20"/>
              </w:rPr>
            </w:pPr>
            <w:r w:rsidRPr="00FD02FF">
              <w:rPr>
                <w:rFonts w:cstheme="minorHAnsi"/>
                <w:bCs/>
                <w:sz w:val="18"/>
                <w:szCs w:val="20"/>
              </w:rPr>
              <w:t>•</w:t>
            </w:r>
            <w:r w:rsidRPr="00FD02FF">
              <w:rPr>
                <w:rFonts w:cstheme="minorHAnsi"/>
                <w:bCs/>
                <w:sz w:val="18"/>
                <w:szCs w:val="20"/>
              </w:rPr>
              <w:tab/>
              <w:t>rozwój krajowego systemu oceny i certyfikacji cyberbezpieczeństwa (dostosowanie prawa polskiego do przepisów Cybersecurity Act)</w:t>
            </w:r>
          </w:p>
          <w:p w14:paraId="611DAFB7" w14:textId="77777777" w:rsidR="00932D5D" w:rsidRPr="00FD02FF" w:rsidRDefault="00932D5D" w:rsidP="00932D5D">
            <w:pPr>
              <w:spacing w:after="0" w:line="240" w:lineRule="auto"/>
              <w:ind w:left="213" w:hanging="213"/>
              <w:jc w:val="both"/>
              <w:rPr>
                <w:rFonts w:cstheme="minorHAnsi"/>
                <w:bCs/>
                <w:sz w:val="18"/>
                <w:szCs w:val="20"/>
              </w:rPr>
            </w:pPr>
            <w:r w:rsidRPr="00FD02FF">
              <w:rPr>
                <w:rFonts w:cstheme="minorHAnsi"/>
                <w:bCs/>
                <w:sz w:val="18"/>
                <w:szCs w:val="20"/>
              </w:rPr>
              <w:t>•</w:t>
            </w:r>
            <w:r w:rsidRPr="00FD02FF">
              <w:rPr>
                <w:rFonts w:cstheme="minorHAnsi"/>
                <w:bCs/>
                <w:sz w:val="18"/>
                <w:szCs w:val="20"/>
              </w:rPr>
              <w:tab/>
            </w:r>
            <w:r w:rsidRPr="00805866">
              <w:rPr>
                <w:rFonts w:cstheme="minorHAnsi"/>
                <w:bCs/>
                <w:sz w:val="18"/>
                <w:szCs w:val="20"/>
              </w:rPr>
              <w:t>Opracowanie i wdrożenie szablonu sprawozdania z audytu bezpieczeństwa systemu informacyjnego wykorzystywanego przez operatorów usług kluczowych</w:t>
            </w:r>
            <w:r w:rsidRPr="00FD02FF" w:rsidDel="00343F23">
              <w:rPr>
                <w:rFonts w:cstheme="minorHAnsi"/>
                <w:bCs/>
                <w:sz w:val="18"/>
                <w:szCs w:val="20"/>
              </w:rPr>
              <w:t xml:space="preserve"> </w:t>
            </w:r>
            <w:r w:rsidRPr="00FD02FF">
              <w:rPr>
                <w:rFonts w:cstheme="minorHAnsi"/>
                <w:bCs/>
                <w:sz w:val="18"/>
                <w:szCs w:val="20"/>
              </w:rPr>
              <w:t>3)</w:t>
            </w:r>
            <w:r w:rsidRPr="00FD02FF">
              <w:rPr>
                <w:rFonts w:cstheme="minorHAnsi"/>
                <w:bCs/>
                <w:sz w:val="18"/>
                <w:szCs w:val="20"/>
              </w:rPr>
              <w:tab/>
              <w:t>Zwiększenie potencjału narodowego w zakresie technologii cyberbezpieczeństwa</w:t>
            </w:r>
          </w:p>
          <w:p w14:paraId="4AEADE7D" w14:textId="77777777" w:rsidR="00932D5D" w:rsidRPr="00FD02FF" w:rsidRDefault="00932D5D" w:rsidP="00932D5D">
            <w:pPr>
              <w:spacing w:after="0" w:line="240" w:lineRule="auto"/>
              <w:ind w:left="213" w:hanging="142"/>
              <w:jc w:val="both"/>
              <w:rPr>
                <w:rFonts w:cstheme="minorHAnsi"/>
                <w:bCs/>
                <w:sz w:val="18"/>
                <w:szCs w:val="20"/>
              </w:rPr>
            </w:pPr>
            <w:r w:rsidRPr="00FD02FF">
              <w:rPr>
                <w:rFonts w:cstheme="minorHAnsi"/>
                <w:bCs/>
                <w:sz w:val="18"/>
                <w:szCs w:val="20"/>
              </w:rPr>
              <w:t>•</w:t>
            </w:r>
            <w:r w:rsidRPr="00FD02FF">
              <w:rPr>
                <w:rFonts w:cstheme="minorHAnsi"/>
                <w:bCs/>
                <w:sz w:val="18"/>
                <w:szCs w:val="20"/>
              </w:rPr>
              <w:tab/>
              <w:t xml:space="preserve">Realizacja projektów w ramach Programu CyberSecIdent - Cyberbezpieczeństwo i Tożsamość (NCBiR) </w:t>
            </w:r>
          </w:p>
          <w:p w14:paraId="2F66478A" w14:textId="77777777" w:rsidR="00932D5D" w:rsidRPr="00FD02FF" w:rsidRDefault="00932D5D" w:rsidP="00932D5D">
            <w:pPr>
              <w:spacing w:after="0" w:line="240" w:lineRule="auto"/>
              <w:ind w:left="213" w:hanging="142"/>
              <w:jc w:val="both"/>
              <w:rPr>
                <w:rFonts w:cstheme="minorHAnsi"/>
                <w:bCs/>
                <w:sz w:val="18"/>
                <w:szCs w:val="20"/>
              </w:rPr>
            </w:pPr>
            <w:r w:rsidRPr="00FD02FF">
              <w:rPr>
                <w:rFonts w:cstheme="minorHAnsi"/>
                <w:bCs/>
                <w:sz w:val="18"/>
                <w:szCs w:val="20"/>
              </w:rPr>
              <w:t>•</w:t>
            </w:r>
            <w:r w:rsidRPr="00FD02FF">
              <w:rPr>
                <w:rFonts w:cstheme="minorHAnsi"/>
                <w:bCs/>
                <w:sz w:val="18"/>
                <w:szCs w:val="20"/>
              </w:rPr>
              <w:tab/>
            </w:r>
            <w:r>
              <w:rPr>
                <w:rFonts w:cstheme="minorHAnsi"/>
                <w:bCs/>
                <w:sz w:val="18"/>
                <w:szCs w:val="20"/>
              </w:rPr>
              <w:t>Kontynuacja programu</w:t>
            </w:r>
            <w:r w:rsidRPr="00FD02FF">
              <w:rPr>
                <w:rFonts w:cstheme="minorHAnsi"/>
                <w:bCs/>
                <w:sz w:val="18"/>
                <w:szCs w:val="20"/>
              </w:rPr>
              <w:t xml:space="preserve"> partnerstwa publiczno – prywatnego, m.in. w ramach Programu Współpracy w Cyberbezpieczeństwie (PWCyber)</w:t>
            </w:r>
          </w:p>
          <w:p w14:paraId="01D342B7" w14:textId="77777777" w:rsidR="00932D5D" w:rsidRPr="00FD02FF" w:rsidRDefault="00932D5D" w:rsidP="00932D5D">
            <w:pPr>
              <w:spacing w:after="0" w:line="240" w:lineRule="auto"/>
              <w:ind w:left="213" w:hanging="213"/>
              <w:jc w:val="both"/>
              <w:rPr>
                <w:rFonts w:cstheme="minorHAnsi"/>
                <w:bCs/>
                <w:sz w:val="18"/>
                <w:szCs w:val="20"/>
              </w:rPr>
            </w:pPr>
            <w:r w:rsidRPr="00FD02FF">
              <w:rPr>
                <w:rFonts w:cstheme="minorHAnsi"/>
                <w:bCs/>
                <w:sz w:val="18"/>
                <w:szCs w:val="20"/>
              </w:rPr>
              <w:t>4)</w:t>
            </w:r>
            <w:r w:rsidRPr="00FD02FF">
              <w:rPr>
                <w:rFonts w:cstheme="minorHAnsi"/>
                <w:bCs/>
                <w:sz w:val="18"/>
                <w:szCs w:val="20"/>
              </w:rPr>
              <w:tab/>
              <w:t>Budowanie świadomości i kompetencji społecznych w zakresie cyberbezpieczeństwa:</w:t>
            </w:r>
          </w:p>
          <w:p w14:paraId="20B32832" w14:textId="77777777" w:rsidR="00932D5D" w:rsidRPr="00FD02FF" w:rsidRDefault="00932D5D" w:rsidP="00932D5D">
            <w:pPr>
              <w:spacing w:after="0" w:line="240" w:lineRule="auto"/>
              <w:ind w:left="213"/>
              <w:jc w:val="both"/>
              <w:rPr>
                <w:rFonts w:cstheme="minorHAnsi"/>
                <w:bCs/>
                <w:sz w:val="18"/>
                <w:szCs w:val="20"/>
              </w:rPr>
            </w:pPr>
            <w:r w:rsidRPr="00FD02FF">
              <w:rPr>
                <w:rFonts w:cstheme="minorHAnsi"/>
                <w:bCs/>
                <w:sz w:val="18"/>
                <w:szCs w:val="20"/>
              </w:rPr>
              <w:t>•</w:t>
            </w:r>
            <w:r w:rsidRPr="00FD02FF">
              <w:rPr>
                <w:rFonts w:cstheme="minorHAnsi"/>
                <w:bCs/>
                <w:sz w:val="18"/>
                <w:szCs w:val="20"/>
              </w:rPr>
              <w:tab/>
              <w:t>wdrożenie systemowych rozwiązań podniesienia kompetencji pracowników zarówno administracji rządowej, jak i jednostek samorządu terytorialnego</w:t>
            </w:r>
          </w:p>
          <w:p w14:paraId="1419C51C" w14:textId="77777777" w:rsidR="00932D5D" w:rsidRPr="00FD02FF" w:rsidRDefault="00932D5D" w:rsidP="00932D5D">
            <w:pPr>
              <w:spacing w:after="0" w:line="240" w:lineRule="auto"/>
              <w:ind w:left="213"/>
              <w:jc w:val="both"/>
              <w:rPr>
                <w:rFonts w:cstheme="minorHAnsi"/>
                <w:bCs/>
                <w:sz w:val="18"/>
                <w:szCs w:val="20"/>
              </w:rPr>
            </w:pPr>
            <w:r w:rsidRPr="00FD02FF">
              <w:rPr>
                <w:rFonts w:cstheme="minorHAnsi"/>
                <w:bCs/>
                <w:sz w:val="18"/>
                <w:szCs w:val="20"/>
              </w:rPr>
              <w:t>•</w:t>
            </w:r>
            <w:r w:rsidRPr="00FD02FF">
              <w:rPr>
                <w:rFonts w:cstheme="minorHAnsi"/>
                <w:bCs/>
                <w:sz w:val="18"/>
                <w:szCs w:val="20"/>
              </w:rPr>
              <w:tab/>
              <w:t>podnoszenie świadomości społecznej poprzez m.in. dedykowane programy edukacyjne oraz kampanie świadomościowe</w:t>
            </w:r>
          </w:p>
          <w:p w14:paraId="777E3CCF" w14:textId="3BAB7D77" w:rsidR="00932D5D" w:rsidRPr="00F21196" w:rsidRDefault="00932D5D" w:rsidP="00932D5D">
            <w:pPr>
              <w:spacing w:after="0" w:line="240" w:lineRule="auto"/>
              <w:contextualSpacing/>
              <w:jc w:val="both"/>
              <w:rPr>
                <w:sz w:val="18"/>
                <w:szCs w:val="20"/>
              </w:rPr>
            </w:pPr>
            <w:r>
              <w:rPr>
                <w:rFonts w:cstheme="minorHAnsi"/>
                <w:bCs/>
                <w:sz w:val="18"/>
                <w:szCs w:val="20"/>
              </w:rPr>
              <w:t>Budowa</w:t>
            </w:r>
            <w:r w:rsidRPr="00FD02FF">
              <w:rPr>
                <w:rFonts w:cstheme="minorHAnsi"/>
                <w:bCs/>
                <w:sz w:val="18"/>
                <w:szCs w:val="20"/>
              </w:rPr>
              <w:t xml:space="preserve"> silnej pozycji międzynarodowej Rzeczypospolitej Polskiej w obszarze cyberbezpieczeństwa - rozwój współpracy </w:t>
            </w:r>
            <w:r>
              <w:rPr>
                <w:rFonts w:cstheme="minorHAnsi"/>
                <w:bCs/>
                <w:sz w:val="18"/>
                <w:szCs w:val="20"/>
              </w:rPr>
              <w:t>w ramach</w:t>
            </w:r>
            <w:r w:rsidRPr="00FD02FF">
              <w:rPr>
                <w:rFonts w:cstheme="minorHAnsi"/>
                <w:bCs/>
                <w:sz w:val="18"/>
                <w:szCs w:val="20"/>
              </w:rPr>
              <w:t xml:space="preserve"> UE, NATO, ONZ oraz </w:t>
            </w:r>
            <w:r>
              <w:rPr>
                <w:rFonts w:cstheme="minorHAnsi"/>
                <w:bCs/>
                <w:sz w:val="18"/>
                <w:szCs w:val="20"/>
              </w:rPr>
              <w:t xml:space="preserve">m.in. </w:t>
            </w:r>
            <w:r w:rsidRPr="00FD02FF">
              <w:rPr>
                <w:rFonts w:cstheme="minorHAnsi"/>
                <w:bCs/>
                <w:sz w:val="18"/>
                <w:szCs w:val="20"/>
              </w:rPr>
              <w:t xml:space="preserve">w ramach Grupy Wyszehradzkiej </w:t>
            </w:r>
            <w:r>
              <w:rPr>
                <w:rFonts w:cstheme="minorHAnsi"/>
                <w:bCs/>
                <w:sz w:val="18"/>
                <w:szCs w:val="20"/>
              </w:rPr>
              <w:t>i Inicjatywy Trójmorza.</w:t>
            </w:r>
          </w:p>
        </w:tc>
        <w:tc>
          <w:tcPr>
            <w:tcW w:w="1559" w:type="dxa"/>
          </w:tcPr>
          <w:p w14:paraId="1487E808" w14:textId="3CEEE743" w:rsidR="00932D5D" w:rsidRPr="00626BCA" w:rsidRDefault="00932D5D" w:rsidP="00932D5D">
            <w:pPr>
              <w:spacing w:after="0" w:line="240" w:lineRule="auto"/>
              <w:rPr>
                <w:rFonts w:cstheme="minorHAnsi"/>
                <w:bCs/>
                <w:sz w:val="18"/>
                <w:szCs w:val="20"/>
              </w:rPr>
            </w:pPr>
            <w:r w:rsidRPr="00626BCA">
              <w:rPr>
                <w:rFonts w:cstheme="minorHAnsi"/>
                <w:bCs/>
                <w:sz w:val="18"/>
                <w:szCs w:val="20"/>
              </w:rPr>
              <w:t xml:space="preserve">1. Tworzenie warunków dla efektywnej, dostępnej cyfrowo i bezpiecznej </w:t>
            </w:r>
            <w:r w:rsidRPr="00626BCA">
              <w:rPr>
                <w:rFonts w:cstheme="minorHAnsi"/>
                <w:bCs/>
                <w:sz w:val="18"/>
                <w:szCs w:val="20"/>
              </w:rPr>
              <w:br/>
              <w:t>e-administracji</w:t>
            </w:r>
          </w:p>
        </w:tc>
      </w:tr>
      <w:tr w:rsidR="00932D5D" w:rsidRPr="00F21196" w14:paraId="13F0BF06" w14:textId="3CDD4456" w:rsidTr="00AD050F">
        <w:trPr>
          <w:trHeight w:val="70"/>
        </w:trPr>
        <w:tc>
          <w:tcPr>
            <w:tcW w:w="1843" w:type="dxa"/>
            <w:shd w:val="clear" w:color="auto" w:fill="auto"/>
          </w:tcPr>
          <w:p w14:paraId="477599E0" w14:textId="12047570" w:rsidR="00932D5D" w:rsidRPr="00DB076D" w:rsidRDefault="00932D5D" w:rsidP="00932D5D">
            <w:pPr>
              <w:spacing w:line="240" w:lineRule="auto"/>
              <w:ind w:right="99"/>
              <w:rPr>
                <w:rFonts w:cstheme="minorHAnsi"/>
                <w:b/>
                <w:bCs/>
                <w:sz w:val="18"/>
                <w:szCs w:val="18"/>
              </w:rPr>
            </w:pPr>
            <w:r>
              <w:rPr>
                <w:rFonts w:cs="Calibri"/>
                <w:b/>
                <w:sz w:val="18"/>
                <w:szCs w:val="20"/>
              </w:rPr>
              <w:t>Opracowanie i wdrożenie   P</w:t>
            </w:r>
            <w:r w:rsidRPr="00CE6F7D">
              <w:rPr>
                <w:rFonts w:cs="Calibri"/>
                <w:b/>
                <w:sz w:val="18"/>
                <w:szCs w:val="20"/>
              </w:rPr>
              <w:t>rogramu rozwoju kompetencji cyfrowych</w:t>
            </w:r>
            <w:r>
              <w:rPr>
                <w:rFonts w:cs="Calibri"/>
                <w:b/>
                <w:sz w:val="18"/>
                <w:szCs w:val="20"/>
              </w:rPr>
              <w:t xml:space="preserve"> z perspektywą do 2030 roku</w:t>
            </w:r>
          </w:p>
        </w:tc>
        <w:tc>
          <w:tcPr>
            <w:tcW w:w="1134" w:type="dxa"/>
            <w:shd w:val="clear" w:color="auto" w:fill="auto"/>
          </w:tcPr>
          <w:p w14:paraId="059D1293" w14:textId="4132BAE2" w:rsidR="00932D5D" w:rsidRPr="00F21196" w:rsidRDefault="00E9243F" w:rsidP="00932D5D">
            <w:pPr>
              <w:spacing w:line="240" w:lineRule="auto"/>
              <w:ind w:left="-69"/>
              <w:jc w:val="center"/>
              <w:rPr>
                <w:rFonts w:eastAsia="Times New Roman" w:cstheme="minorHAnsi"/>
                <w:sz w:val="20"/>
                <w:szCs w:val="20"/>
                <w:lang w:eastAsia="pl-PL"/>
              </w:rPr>
            </w:pPr>
            <w:r>
              <w:rPr>
                <w:rFonts w:cs="Calibri"/>
                <w:sz w:val="20"/>
                <w:szCs w:val="20"/>
                <w:lang w:eastAsia="pl-PL"/>
              </w:rPr>
              <w:t>KPRM</w:t>
            </w:r>
          </w:p>
        </w:tc>
        <w:tc>
          <w:tcPr>
            <w:tcW w:w="1418" w:type="dxa"/>
          </w:tcPr>
          <w:p w14:paraId="75DE4FF7" w14:textId="77777777" w:rsidR="00932D5D" w:rsidRPr="00F21196" w:rsidRDefault="00932D5D" w:rsidP="00932D5D">
            <w:pPr>
              <w:spacing w:line="240" w:lineRule="auto"/>
              <w:jc w:val="both"/>
              <w:rPr>
                <w:rFonts w:cstheme="minorHAnsi"/>
                <w:bCs/>
                <w:sz w:val="20"/>
                <w:szCs w:val="20"/>
              </w:rPr>
            </w:pPr>
            <w:r>
              <w:rPr>
                <w:rFonts w:cstheme="minorHAnsi"/>
                <w:sz w:val="20"/>
                <w:szCs w:val="20"/>
              </w:rPr>
              <w:t>2019-2030</w:t>
            </w:r>
          </w:p>
        </w:tc>
        <w:tc>
          <w:tcPr>
            <w:tcW w:w="3969" w:type="dxa"/>
            <w:shd w:val="clear" w:color="auto" w:fill="auto"/>
          </w:tcPr>
          <w:p w14:paraId="6CAEAA44" w14:textId="671FBDBA" w:rsidR="00932D5D" w:rsidRPr="00FB0FB9" w:rsidRDefault="00932D5D" w:rsidP="00932D5D">
            <w:pPr>
              <w:spacing w:after="0"/>
              <w:jc w:val="both"/>
            </w:pPr>
            <w:r w:rsidRPr="00FB0FB9">
              <w:rPr>
                <w:rFonts w:cs="Calibri"/>
                <w:sz w:val="18"/>
                <w:szCs w:val="18"/>
              </w:rPr>
              <w:t>Celem programu będzie zapewnienie każdemu możliwości rozwoju kompetencji cyfrowych stosownie do potrzeb przez realizację następujących priorytetów</w:t>
            </w:r>
            <w:r>
              <w:t>:</w:t>
            </w:r>
          </w:p>
          <w:p w14:paraId="03C6F682" w14:textId="6A095CA9" w:rsidR="00932D5D" w:rsidRPr="00FB0FB9" w:rsidRDefault="00932D5D" w:rsidP="00932D5D">
            <w:pPr>
              <w:pStyle w:val="Akapitzlist"/>
              <w:numPr>
                <w:ilvl w:val="0"/>
                <w:numId w:val="6"/>
              </w:numPr>
              <w:ind w:left="213" w:hanging="213"/>
              <w:jc w:val="both"/>
              <w:rPr>
                <w:rFonts w:asciiTheme="minorHAnsi" w:hAnsiTheme="minorHAnsi" w:cstheme="minorHAnsi"/>
                <w:bCs/>
                <w:sz w:val="18"/>
                <w:szCs w:val="20"/>
              </w:rPr>
            </w:pPr>
            <w:r w:rsidRPr="00FB0FB9">
              <w:rPr>
                <w:rFonts w:asciiTheme="minorHAnsi" w:hAnsiTheme="minorHAnsi" w:cstheme="minorHAnsi"/>
                <w:bCs/>
                <w:sz w:val="18"/>
                <w:szCs w:val="20"/>
              </w:rPr>
              <w:t>Wzmocnienie zarządzania rozwojem kompetencji cyfrowych</w:t>
            </w:r>
            <w:r>
              <w:rPr>
                <w:rFonts w:asciiTheme="minorHAnsi" w:hAnsiTheme="minorHAnsi" w:cstheme="minorHAnsi"/>
                <w:bCs/>
                <w:sz w:val="18"/>
                <w:szCs w:val="20"/>
              </w:rPr>
              <w:t>,</w:t>
            </w:r>
          </w:p>
          <w:p w14:paraId="02EB79D3" w14:textId="0434B556" w:rsidR="00932D5D" w:rsidRPr="00FB0FB9" w:rsidRDefault="00932D5D" w:rsidP="00932D5D">
            <w:pPr>
              <w:pStyle w:val="Akapitzlist"/>
              <w:numPr>
                <w:ilvl w:val="0"/>
                <w:numId w:val="6"/>
              </w:numPr>
              <w:ind w:left="213" w:hanging="213"/>
              <w:jc w:val="both"/>
              <w:rPr>
                <w:rFonts w:asciiTheme="minorHAnsi" w:hAnsiTheme="minorHAnsi" w:cstheme="minorHAnsi"/>
                <w:bCs/>
                <w:sz w:val="18"/>
                <w:szCs w:val="20"/>
              </w:rPr>
            </w:pPr>
            <w:r w:rsidRPr="00FB0FB9">
              <w:rPr>
                <w:rFonts w:asciiTheme="minorHAnsi" w:hAnsiTheme="minorHAnsi" w:cstheme="minorHAnsi"/>
                <w:bCs/>
                <w:sz w:val="18"/>
                <w:szCs w:val="20"/>
              </w:rPr>
              <w:t>Rozwój edukacji cyfrowej</w:t>
            </w:r>
            <w:r>
              <w:rPr>
                <w:rFonts w:asciiTheme="minorHAnsi" w:hAnsiTheme="minorHAnsi" w:cstheme="minorHAnsi"/>
                <w:bCs/>
                <w:sz w:val="18"/>
                <w:szCs w:val="20"/>
              </w:rPr>
              <w:t>,</w:t>
            </w:r>
          </w:p>
          <w:p w14:paraId="1EAD47A8" w14:textId="751D53F8" w:rsidR="00932D5D" w:rsidRPr="00FB0FB9" w:rsidRDefault="00932D5D" w:rsidP="00932D5D">
            <w:pPr>
              <w:pStyle w:val="Akapitzlist"/>
              <w:numPr>
                <w:ilvl w:val="0"/>
                <w:numId w:val="6"/>
              </w:numPr>
              <w:ind w:left="213" w:hanging="213"/>
              <w:jc w:val="both"/>
              <w:rPr>
                <w:rFonts w:asciiTheme="minorHAnsi" w:hAnsiTheme="minorHAnsi" w:cstheme="minorHAnsi"/>
                <w:bCs/>
                <w:sz w:val="18"/>
                <w:szCs w:val="20"/>
              </w:rPr>
            </w:pPr>
            <w:r w:rsidRPr="00FB0FB9">
              <w:rPr>
                <w:rFonts w:asciiTheme="minorHAnsi" w:hAnsiTheme="minorHAnsi" w:cstheme="minorHAnsi"/>
                <w:bCs/>
                <w:sz w:val="18"/>
                <w:szCs w:val="20"/>
              </w:rPr>
              <w:t>Zapewnienie każdemu możliwości rozwoju kompetencji cyfrowych</w:t>
            </w:r>
            <w:r>
              <w:rPr>
                <w:rFonts w:asciiTheme="minorHAnsi" w:hAnsiTheme="minorHAnsi" w:cstheme="minorHAnsi"/>
                <w:bCs/>
                <w:sz w:val="18"/>
                <w:szCs w:val="20"/>
              </w:rPr>
              <w:t>,</w:t>
            </w:r>
          </w:p>
          <w:p w14:paraId="78A2ADC1" w14:textId="012B45FC" w:rsidR="00932D5D" w:rsidRPr="00FB0FB9" w:rsidRDefault="00932D5D" w:rsidP="00932D5D">
            <w:pPr>
              <w:pStyle w:val="Akapitzlist"/>
              <w:numPr>
                <w:ilvl w:val="0"/>
                <w:numId w:val="6"/>
              </w:numPr>
              <w:ind w:left="213" w:hanging="213"/>
              <w:jc w:val="both"/>
              <w:rPr>
                <w:rFonts w:asciiTheme="minorHAnsi" w:hAnsiTheme="minorHAnsi" w:cstheme="minorHAnsi"/>
                <w:bCs/>
                <w:sz w:val="18"/>
                <w:szCs w:val="20"/>
              </w:rPr>
            </w:pPr>
            <w:r w:rsidRPr="00FB0FB9">
              <w:rPr>
                <w:rFonts w:asciiTheme="minorHAnsi" w:hAnsiTheme="minorHAnsi" w:cstheme="minorHAnsi"/>
                <w:bCs/>
                <w:sz w:val="18"/>
                <w:szCs w:val="20"/>
              </w:rPr>
              <w:t>Wsparcie kompetencji cyfrowych na rynku pracy</w:t>
            </w:r>
            <w:r>
              <w:rPr>
                <w:rFonts w:asciiTheme="minorHAnsi" w:hAnsiTheme="minorHAnsi" w:cstheme="minorHAnsi"/>
                <w:bCs/>
                <w:sz w:val="18"/>
                <w:szCs w:val="20"/>
              </w:rPr>
              <w:t>.</w:t>
            </w:r>
          </w:p>
        </w:tc>
        <w:tc>
          <w:tcPr>
            <w:tcW w:w="1559" w:type="dxa"/>
          </w:tcPr>
          <w:p w14:paraId="0F937162" w14:textId="13E4FCF3" w:rsidR="00932D5D" w:rsidRPr="00626BCA" w:rsidRDefault="00932D5D" w:rsidP="00932D5D">
            <w:pPr>
              <w:ind w:right="-70"/>
              <w:rPr>
                <w:rFonts w:cs="Calibri"/>
                <w:sz w:val="18"/>
                <w:szCs w:val="18"/>
              </w:rPr>
            </w:pPr>
            <w:r w:rsidRPr="00626BCA">
              <w:rPr>
                <w:rFonts w:cstheme="minorHAnsi"/>
                <w:sz w:val="18"/>
                <w:szCs w:val="20"/>
              </w:rPr>
              <w:t>3. Otwarty rząd i wspieranie rozwoju społeczeństwa informacyjnego</w:t>
            </w:r>
          </w:p>
        </w:tc>
      </w:tr>
      <w:tr w:rsidR="00932D5D" w:rsidRPr="00F21196" w14:paraId="33545317" w14:textId="267183C9" w:rsidTr="00AD050F">
        <w:trPr>
          <w:trHeight w:val="70"/>
        </w:trPr>
        <w:tc>
          <w:tcPr>
            <w:tcW w:w="1843" w:type="dxa"/>
            <w:shd w:val="clear" w:color="auto" w:fill="auto"/>
          </w:tcPr>
          <w:p w14:paraId="15DD110A" w14:textId="1059EFFD" w:rsidR="00932D5D" w:rsidRDefault="00932D5D" w:rsidP="00932D5D">
            <w:pPr>
              <w:spacing w:line="240" w:lineRule="auto"/>
              <w:ind w:right="99"/>
              <w:rPr>
                <w:rFonts w:cs="Calibri"/>
                <w:b/>
                <w:sz w:val="18"/>
                <w:szCs w:val="20"/>
              </w:rPr>
            </w:pPr>
            <w:r>
              <w:rPr>
                <w:rFonts w:cs="Calibri"/>
                <w:b/>
                <w:sz w:val="18"/>
                <w:szCs w:val="20"/>
              </w:rPr>
              <w:t>Polityka</w:t>
            </w:r>
            <w:r w:rsidRPr="00430000">
              <w:rPr>
                <w:rFonts w:cs="Calibri"/>
                <w:b/>
                <w:sz w:val="18"/>
                <w:szCs w:val="20"/>
              </w:rPr>
              <w:t xml:space="preserve"> rozwoju sztucznej inteligencji w</w:t>
            </w:r>
            <w:r>
              <w:rPr>
                <w:rFonts w:cs="Calibri"/>
                <w:b/>
                <w:sz w:val="18"/>
                <w:szCs w:val="20"/>
              </w:rPr>
              <w:t> </w:t>
            </w:r>
            <w:r w:rsidRPr="00430000">
              <w:rPr>
                <w:rFonts w:cs="Calibri"/>
                <w:b/>
                <w:sz w:val="18"/>
                <w:szCs w:val="20"/>
              </w:rPr>
              <w:t>Polsce</w:t>
            </w:r>
            <w:r>
              <w:rPr>
                <w:rFonts w:cs="Calibri"/>
                <w:b/>
                <w:sz w:val="18"/>
                <w:szCs w:val="20"/>
              </w:rPr>
              <w:t xml:space="preserve"> od roku 2020</w:t>
            </w:r>
          </w:p>
        </w:tc>
        <w:tc>
          <w:tcPr>
            <w:tcW w:w="1134" w:type="dxa"/>
            <w:shd w:val="clear" w:color="auto" w:fill="auto"/>
          </w:tcPr>
          <w:p w14:paraId="5CE36786" w14:textId="5EA1826A" w:rsidR="00932D5D" w:rsidRDefault="00E9243F" w:rsidP="00932D5D">
            <w:pPr>
              <w:spacing w:line="240" w:lineRule="auto"/>
              <w:ind w:left="-69"/>
              <w:jc w:val="center"/>
              <w:rPr>
                <w:rFonts w:cs="Calibri"/>
                <w:sz w:val="20"/>
                <w:szCs w:val="20"/>
                <w:lang w:eastAsia="pl-PL"/>
              </w:rPr>
            </w:pPr>
            <w:r>
              <w:rPr>
                <w:rFonts w:cs="Calibri"/>
                <w:sz w:val="20"/>
                <w:szCs w:val="20"/>
                <w:lang w:eastAsia="pl-PL"/>
              </w:rPr>
              <w:t>KPRM</w:t>
            </w:r>
          </w:p>
        </w:tc>
        <w:tc>
          <w:tcPr>
            <w:tcW w:w="1418" w:type="dxa"/>
          </w:tcPr>
          <w:p w14:paraId="1B07770B" w14:textId="62E7901D" w:rsidR="00932D5D" w:rsidRDefault="00932D5D" w:rsidP="00932D5D">
            <w:pPr>
              <w:spacing w:line="240" w:lineRule="auto"/>
              <w:jc w:val="both"/>
              <w:rPr>
                <w:rFonts w:cstheme="minorHAnsi"/>
                <w:sz w:val="20"/>
                <w:szCs w:val="20"/>
              </w:rPr>
            </w:pPr>
            <w:r>
              <w:rPr>
                <w:rFonts w:cstheme="minorHAnsi"/>
                <w:sz w:val="20"/>
                <w:szCs w:val="20"/>
              </w:rPr>
              <w:t>20</w:t>
            </w:r>
            <w:r w:rsidRPr="0099509D">
              <w:rPr>
                <w:rFonts w:cstheme="minorHAnsi"/>
                <w:sz w:val="20"/>
                <w:szCs w:val="20"/>
              </w:rPr>
              <w:t>2</w:t>
            </w:r>
            <w:r>
              <w:rPr>
                <w:rFonts w:cstheme="minorHAnsi"/>
                <w:sz w:val="20"/>
                <w:szCs w:val="20"/>
              </w:rPr>
              <w:t>0</w:t>
            </w:r>
            <w:r w:rsidRPr="0099509D">
              <w:rPr>
                <w:rFonts w:cstheme="minorHAnsi"/>
                <w:sz w:val="20"/>
                <w:szCs w:val="20"/>
              </w:rPr>
              <w:t>-20</w:t>
            </w:r>
            <w:r>
              <w:rPr>
                <w:rFonts w:cstheme="minorHAnsi"/>
                <w:sz w:val="20"/>
                <w:szCs w:val="20"/>
              </w:rPr>
              <w:t>30</w:t>
            </w:r>
          </w:p>
        </w:tc>
        <w:tc>
          <w:tcPr>
            <w:tcW w:w="3969" w:type="dxa"/>
            <w:shd w:val="clear" w:color="auto" w:fill="auto"/>
          </w:tcPr>
          <w:p w14:paraId="0CF756C1" w14:textId="77777777" w:rsidR="00932D5D" w:rsidRPr="00F34BE9" w:rsidRDefault="00932D5D" w:rsidP="00851181">
            <w:pPr>
              <w:spacing w:after="0"/>
              <w:jc w:val="both"/>
              <w:rPr>
                <w:rFonts w:cs="Calibri"/>
                <w:sz w:val="18"/>
                <w:szCs w:val="18"/>
              </w:rPr>
            </w:pPr>
            <w:r w:rsidRPr="00F34BE9">
              <w:rPr>
                <w:rFonts w:cs="Calibri"/>
                <w:sz w:val="18"/>
                <w:szCs w:val="18"/>
              </w:rPr>
              <w:t xml:space="preserve">Dokument „Polityki dla rozwoju Sztucznej Inteligencji w Polsce do roku 2020” zidentyfikował pięć obszarów, w których należy podjąć natychmiastowe działania na rzecz rozwoju sztucznej inteligencji (AI) w Polsce w ramach Polityki. </w:t>
            </w:r>
          </w:p>
          <w:p w14:paraId="1AD46CC9" w14:textId="77777777" w:rsidR="00932D5D" w:rsidRPr="00F34BE9" w:rsidRDefault="00932D5D" w:rsidP="00851181">
            <w:pPr>
              <w:spacing w:after="0"/>
              <w:jc w:val="both"/>
              <w:rPr>
                <w:rFonts w:cs="Calibri"/>
                <w:sz w:val="18"/>
                <w:szCs w:val="18"/>
              </w:rPr>
            </w:pPr>
            <w:r w:rsidRPr="00F34BE9">
              <w:rPr>
                <w:rFonts w:cs="Calibri"/>
                <w:sz w:val="18"/>
                <w:szCs w:val="18"/>
              </w:rPr>
              <w:t>1.</w:t>
            </w:r>
            <w:r w:rsidRPr="00F34BE9">
              <w:rPr>
                <w:rFonts w:cs="Calibri"/>
                <w:sz w:val="18"/>
                <w:szCs w:val="18"/>
              </w:rPr>
              <w:tab/>
              <w:t>AI a społeczeństwo:</w:t>
            </w:r>
          </w:p>
          <w:p w14:paraId="625E2AF7" w14:textId="77777777" w:rsidR="00932D5D" w:rsidRPr="00F34BE9" w:rsidRDefault="00932D5D" w:rsidP="00851181">
            <w:pPr>
              <w:spacing w:after="0"/>
              <w:ind w:left="213" w:hanging="142"/>
              <w:jc w:val="both"/>
              <w:rPr>
                <w:rFonts w:cs="Calibri"/>
                <w:sz w:val="18"/>
                <w:szCs w:val="18"/>
              </w:rPr>
            </w:pPr>
            <w:r w:rsidRPr="00F34BE9">
              <w:rPr>
                <w:rFonts w:cs="Calibri"/>
                <w:sz w:val="18"/>
                <w:szCs w:val="18"/>
              </w:rPr>
              <w:t>a.</w:t>
            </w:r>
            <w:r w:rsidRPr="00F34BE9">
              <w:rPr>
                <w:rFonts w:cs="Calibri"/>
                <w:sz w:val="18"/>
                <w:szCs w:val="18"/>
              </w:rPr>
              <w:tab/>
              <w:t xml:space="preserve">Aby włączyć w tworzenie nowych zawodów gospodarki opartej na danych całe społeczeństwo, zadaniem Państwa jest stworzenie osobom zagrożonym utratą pracy w związku z wdrażaniem AI warunków do podnoszenia kompetencji w dziedzinach kompatybilnych z trendami rynkowymi. </w:t>
            </w:r>
          </w:p>
          <w:p w14:paraId="51A33EAA" w14:textId="77777777" w:rsidR="00932D5D" w:rsidRPr="00F34BE9" w:rsidRDefault="00932D5D" w:rsidP="00851181">
            <w:pPr>
              <w:spacing w:after="0"/>
              <w:ind w:left="213" w:hanging="142"/>
              <w:jc w:val="both"/>
              <w:rPr>
                <w:rFonts w:cs="Calibri"/>
                <w:sz w:val="18"/>
                <w:szCs w:val="18"/>
              </w:rPr>
            </w:pPr>
            <w:r w:rsidRPr="00F34BE9">
              <w:rPr>
                <w:rFonts w:cs="Calibri"/>
                <w:sz w:val="18"/>
                <w:szCs w:val="18"/>
              </w:rPr>
              <w:t>b.</w:t>
            </w:r>
            <w:r w:rsidRPr="00F34BE9">
              <w:rPr>
                <w:rFonts w:cs="Calibri"/>
                <w:sz w:val="18"/>
                <w:szCs w:val="18"/>
              </w:rPr>
              <w:tab/>
              <w:t>Aby rozwinąć i w pełni wykorzystać potencjał Sztucznej Inteligencji, należy przede wszystkim elastycznie i stale reagować na rozwój technologii poprzez ustanowienie przyjaznego prawodawstwa w zakresie badań i rozwoju, tworzenie nowych modeli ekonomicznych, usuwanie przeszkód i wzmacnianie gotowości prawnej do zmian rynkowych.</w:t>
            </w:r>
          </w:p>
          <w:p w14:paraId="7EA7E00A" w14:textId="77777777" w:rsidR="00932D5D" w:rsidRPr="00F34BE9" w:rsidRDefault="00932D5D" w:rsidP="00851181">
            <w:pPr>
              <w:spacing w:after="0"/>
              <w:jc w:val="both"/>
              <w:rPr>
                <w:rFonts w:cs="Calibri"/>
                <w:sz w:val="18"/>
                <w:szCs w:val="18"/>
              </w:rPr>
            </w:pPr>
            <w:r w:rsidRPr="00F34BE9">
              <w:rPr>
                <w:rFonts w:cs="Calibri"/>
                <w:sz w:val="18"/>
                <w:szCs w:val="18"/>
              </w:rPr>
              <w:t>2.</w:t>
            </w:r>
            <w:r w:rsidRPr="00F34BE9">
              <w:rPr>
                <w:rFonts w:cs="Calibri"/>
                <w:sz w:val="18"/>
                <w:szCs w:val="18"/>
              </w:rPr>
              <w:tab/>
              <w:t>AI a innowacyjne firmy:</w:t>
            </w:r>
          </w:p>
          <w:p w14:paraId="094AC923" w14:textId="77777777" w:rsidR="00932D5D" w:rsidRPr="00F34BE9" w:rsidRDefault="00932D5D" w:rsidP="00851181">
            <w:pPr>
              <w:spacing w:after="0"/>
              <w:ind w:left="213" w:hanging="142"/>
              <w:jc w:val="both"/>
              <w:rPr>
                <w:rFonts w:cs="Calibri"/>
                <w:sz w:val="18"/>
                <w:szCs w:val="18"/>
              </w:rPr>
            </w:pPr>
            <w:r w:rsidRPr="00F34BE9">
              <w:rPr>
                <w:rFonts w:cs="Calibri"/>
                <w:sz w:val="18"/>
                <w:szCs w:val="18"/>
              </w:rPr>
              <w:t>a.</w:t>
            </w:r>
            <w:r w:rsidRPr="00F34BE9">
              <w:rPr>
                <w:rFonts w:cs="Calibri"/>
                <w:sz w:val="18"/>
                <w:szCs w:val="18"/>
              </w:rPr>
              <w:tab/>
              <w:t>należy wesprzeć proces tworzenia polskich firm AI, wykorzystywać rozwiązania AI w życiu codziennym Polek i Polaków oraz promować współdziałanie firm prywatnych i sektora publicznego w obszarze badań i wdrożeń pilotażowych.</w:t>
            </w:r>
          </w:p>
          <w:p w14:paraId="1512ED9A" w14:textId="77777777" w:rsidR="00932D5D" w:rsidRPr="00F34BE9" w:rsidRDefault="00932D5D" w:rsidP="00851181">
            <w:pPr>
              <w:spacing w:after="0"/>
              <w:ind w:left="213" w:hanging="142"/>
              <w:jc w:val="both"/>
              <w:rPr>
                <w:rFonts w:cs="Calibri"/>
                <w:sz w:val="18"/>
                <w:szCs w:val="18"/>
              </w:rPr>
            </w:pPr>
            <w:r w:rsidRPr="00F34BE9">
              <w:rPr>
                <w:rFonts w:cs="Calibri"/>
                <w:sz w:val="18"/>
                <w:szCs w:val="18"/>
              </w:rPr>
              <w:t>b.</w:t>
            </w:r>
            <w:r w:rsidRPr="00F34BE9">
              <w:rPr>
                <w:rFonts w:cs="Calibri"/>
                <w:sz w:val="18"/>
                <w:szCs w:val="18"/>
              </w:rPr>
              <w:tab/>
              <w:t>Już wdrożenie prostej robotyki w przedsiębiorstwach może prowadzić do zauważalnych oszczędności i efektywności produkcji. Sama gospodarka oparta na danych powoduje powstawanie nowych produktów, usług i w konsekwencji firm.</w:t>
            </w:r>
          </w:p>
          <w:p w14:paraId="1231F508" w14:textId="77777777" w:rsidR="00932D5D" w:rsidRPr="00F34BE9" w:rsidRDefault="00932D5D" w:rsidP="00851181">
            <w:pPr>
              <w:spacing w:after="0"/>
              <w:jc w:val="both"/>
              <w:rPr>
                <w:rFonts w:cs="Calibri"/>
                <w:sz w:val="18"/>
                <w:szCs w:val="18"/>
              </w:rPr>
            </w:pPr>
            <w:r w:rsidRPr="00F34BE9">
              <w:rPr>
                <w:rFonts w:cs="Calibri"/>
                <w:sz w:val="18"/>
                <w:szCs w:val="18"/>
              </w:rPr>
              <w:t>3.</w:t>
            </w:r>
            <w:r w:rsidRPr="00F34BE9">
              <w:rPr>
                <w:rFonts w:cs="Calibri"/>
                <w:sz w:val="18"/>
                <w:szCs w:val="18"/>
              </w:rPr>
              <w:tab/>
              <w:t>AI a edukacja:</w:t>
            </w:r>
          </w:p>
          <w:p w14:paraId="2191DD58" w14:textId="77777777" w:rsidR="00932D5D" w:rsidRPr="00F34BE9" w:rsidRDefault="00932D5D" w:rsidP="00851181">
            <w:pPr>
              <w:spacing w:after="0"/>
              <w:ind w:left="213" w:hanging="142"/>
              <w:jc w:val="both"/>
              <w:rPr>
                <w:rFonts w:cs="Calibri"/>
                <w:sz w:val="18"/>
                <w:szCs w:val="18"/>
              </w:rPr>
            </w:pPr>
            <w:r w:rsidRPr="00F34BE9">
              <w:rPr>
                <w:rFonts w:cs="Calibri"/>
                <w:sz w:val="18"/>
                <w:szCs w:val="18"/>
              </w:rPr>
              <w:t>a.</w:t>
            </w:r>
            <w:r w:rsidRPr="00F34BE9">
              <w:rPr>
                <w:rFonts w:cs="Calibri"/>
                <w:sz w:val="18"/>
                <w:szCs w:val="18"/>
              </w:rPr>
              <w:tab/>
              <w:t>Wzmocnienie wysokiej pozycji Polski na poziomie osiągnięć uczniów szkół średnich.</w:t>
            </w:r>
          </w:p>
          <w:p w14:paraId="73E53D9A" w14:textId="77777777" w:rsidR="00932D5D" w:rsidRPr="00F34BE9" w:rsidRDefault="00932D5D" w:rsidP="00851181">
            <w:pPr>
              <w:spacing w:after="0"/>
              <w:ind w:left="213" w:hanging="142"/>
              <w:jc w:val="both"/>
              <w:rPr>
                <w:rFonts w:cs="Calibri"/>
                <w:sz w:val="18"/>
                <w:szCs w:val="18"/>
              </w:rPr>
            </w:pPr>
            <w:r w:rsidRPr="00F34BE9">
              <w:rPr>
                <w:rFonts w:cs="Calibri"/>
                <w:sz w:val="18"/>
                <w:szCs w:val="18"/>
              </w:rPr>
              <w:t>b.</w:t>
            </w:r>
            <w:r w:rsidRPr="00F34BE9">
              <w:rPr>
                <w:rFonts w:cs="Calibri"/>
                <w:sz w:val="18"/>
                <w:szCs w:val="18"/>
              </w:rPr>
              <w:tab/>
              <w:t>Ukierunkowanie programów nauczania wszystkich etapów edukacji oraz dodatkowych możliwości na AI i inne nowe technologie.</w:t>
            </w:r>
          </w:p>
          <w:p w14:paraId="3C792579" w14:textId="77777777" w:rsidR="00932D5D" w:rsidRPr="00F34BE9" w:rsidRDefault="00932D5D" w:rsidP="00851181">
            <w:pPr>
              <w:spacing w:after="0"/>
              <w:ind w:left="213" w:hanging="142"/>
              <w:jc w:val="both"/>
              <w:rPr>
                <w:rFonts w:cs="Calibri"/>
                <w:sz w:val="18"/>
                <w:szCs w:val="18"/>
              </w:rPr>
            </w:pPr>
            <w:r w:rsidRPr="00F34BE9">
              <w:rPr>
                <w:rFonts w:cs="Calibri"/>
                <w:sz w:val="18"/>
                <w:szCs w:val="18"/>
              </w:rPr>
              <w:t>c.</w:t>
            </w:r>
            <w:r w:rsidRPr="00F34BE9">
              <w:rPr>
                <w:rFonts w:cs="Calibri"/>
                <w:sz w:val="18"/>
                <w:szCs w:val="18"/>
              </w:rPr>
              <w:tab/>
              <w:t>Znaczące wzmocnienie poziomu nauczania na uczelniach.</w:t>
            </w:r>
          </w:p>
          <w:p w14:paraId="0E9F556C" w14:textId="77777777" w:rsidR="00932D5D" w:rsidRPr="00F34BE9" w:rsidRDefault="00932D5D" w:rsidP="00851181">
            <w:pPr>
              <w:spacing w:after="0"/>
              <w:ind w:left="213" w:hanging="142"/>
              <w:jc w:val="both"/>
              <w:rPr>
                <w:rFonts w:cs="Calibri"/>
                <w:sz w:val="18"/>
                <w:szCs w:val="18"/>
              </w:rPr>
            </w:pPr>
            <w:r w:rsidRPr="00F34BE9">
              <w:rPr>
                <w:rFonts w:cs="Calibri"/>
                <w:sz w:val="18"/>
                <w:szCs w:val="18"/>
              </w:rPr>
              <w:t>d.</w:t>
            </w:r>
            <w:r w:rsidRPr="00F34BE9">
              <w:rPr>
                <w:rFonts w:cs="Calibri"/>
                <w:sz w:val="18"/>
                <w:szCs w:val="18"/>
              </w:rPr>
              <w:tab/>
              <w:t>Dysponowanie przez instytucje wszystkich szczebli cyklu edukacyjnego nowoczesnymi programami nauczania w zakresie Sztucznej Inteligencji.</w:t>
            </w:r>
          </w:p>
          <w:p w14:paraId="119CC822" w14:textId="77777777" w:rsidR="00932D5D" w:rsidRPr="00F34BE9" w:rsidRDefault="00932D5D" w:rsidP="00851181">
            <w:pPr>
              <w:spacing w:after="0"/>
              <w:ind w:left="213" w:hanging="142"/>
              <w:jc w:val="both"/>
              <w:rPr>
                <w:rFonts w:cs="Calibri"/>
                <w:sz w:val="18"/>
                <w:szCs w:val="18"/>
              </w:rPr>
            </w:pPr>
            <w:r w:rsidRPr="00F34BE9">
              <w:rPr>
                <w:rFonts w:cs="Calibri"/>
                <w:sz w:val="18"/>
                <w:szCs w:val="18"/>
              </w:rPr>
              <w:t>e.</w:t>
            </w:r>
            <w:r w:rsidRPr="00F34BE9">
              <w:rPr>
                <w:rFonts w:cs="Calibri"/>
                <w:sz w:val="18"/>
                <w:szCs w:val="18"/>
              </w:rPr>
              <w:tab/>
              <w:t>Wysoka dostępność w Polsce narzędzi edukacyjnych, w tym online, pozwalających wszystkim chcącym kształcić się w obszarze AI zdobywać wiedzę zarówno teoretyczną, jak i praktyczną.</w:t>
            </w:r>
          </w:p>
          <w:p w14:paraId="46B68729" w14:textId="77777777" w:rsidR="00932D5D" w:rsidRPr="00F34BE9" w:rsidRDefault="00932D5D" w:rsidP="00851181">
            <w:pPr>
              <w:spacing w:after="0"/>
              <w:jc w:val="both"/>
              <w:rPr>
                <w:rFonts w:cs="Calibri"/>
                <w:sz w:val="18"/>
                <w:szCs w:val="18"/>
              </w:rPr>
            </w:pPr>
            <w:r w:rsidRPr="00F34BE9">
              <w:rPr>
                <w:rFonts w:cs="Calibri"/>
                <w:sz w:val="18"/>
                <w:szCs w:val="18"/>
              </w:rPr>
              <w:t>4.</w:t>
            </w:r>
            <w:r w:rsidRPr="00F34BE9">
              <w:rPr>
                <w:rFonts w:cs="Calibri"/>
                <w:sz w:val="18"/>
                <w:szCs w:val="18"/>
              </w:rPr>
              <w:tab/>
              <w:t>AI a sektor publiczny:</w:t>
            </w:r>
          </w:p>
          <w:p w14:paraId="636BFC52" w14:textId="77777777" w:rsidR="00932D5D" w:rsidRPr="00F34BE9" w:rsidRDefault="00932D5D" w:rsidP="00851181">
            <w:pPr>
              <w:spacing w:after="0"/>
              <w:ind w:left="213" w:hanging="213"/>
              <w:jc w:val="both"/>
              <w:rPr>
                <w:rFonts w:cs="Calibri"/>
                <w:sz w:val="18"/>
                <w:szCs w:val="18"/>
              </w:rPr>
            </w:pPr>
            <w:r w:rsidRPr="00F34BE9">
              <w:rPr>
                <w:rFonts w:cs="Calibri"/>
                <w:sz w:val="18"/>
                <w:szCs w:val="18"/>
              </w:rPr>
              <w:t>a.</w:t>
            </w:r>
            <w:r w:rsidRPr="00F34BE9">
              <w:rPr>
                <w:rFonts w:cs="Calibri"/>
                <w:sz w:val="18"/>
                <w:szCs w:val="18"/>
              </w:rPr>
              <w:tab/>
              <w:t>Prowadzenie właściwej polityki rozwojowej i naukowej ma decydujące znaczenie dla powstawania innowacyjnych rozwiązań i firm.</w:t>
            </w:r>
          </w:p>
          <w:p w14:paraId="40BBBA1E" w14:textId="77777777" w:rsidR="00932D5D" w:rsidRPr="00F34BE9" w:rsidRDefault="00932D5D" w:rsidP="00851181">
            <w:pPr>
              <w:spacing w:after="0"/>
              <w:ind w:left="213" w:hanging="213"/>
              <w:jc w:val="both"/>
              <w:rPr>
                <w:rFonts w:cs="Calibri"/>
                <w:sz w:val="18"/>
                <w:szCs w:val="18"/>
              </w:rPr>
            </w:pPr>
            <w:r w:rsidRPr="00F34BE9">
              <w:rPr>
                <w:rFonts w:cs="Calibri"/>
                <w:sz w:val="18"/>
                <w:szCs w:val="18"/>
              </w:rPr>
              <w:t>b.</w:t>
            </w:r>
            <w:r w:rsidRPr="00F34BE9">
              <w:rPr>
                <w:rFonts w:cs="Calibri"/>
                <w:sz w:val="18"/>
                <w:szCs w:val="18"/>
              </w:rPr>
              <w:tab/>
              <w:t>zapewnienie, aby dostęp do danych publicznych był jak największy, dane były jak najlepszej jakości i dostęp do nich był jak najprostszy. To pozwoli polskim firmom na budowanie nowych rozwiązań, projektowanie lepszych algorytmów samouczących się, znajdowanie ich nowych zastosowań i świadczenie nowych usług.</w:t>
            </w:r>
          </w:p>
          <w:p w14:paraId="7CDFF30D" w14:textId="77777777" w:rsidR="00932D5D" w:rsidRPr="00F34BE9" w:rsidRDefault="00932D5D" w:rsidP="00851181">
            <w:pPr>
              <w:spacing w:after="0"/>
              <w:ind w:left="213" w:hanging="213"/>
              <w:jc w:val="both"/>
              <w:rPr>
                <w:rFonts w:cs="Calibri"/>
                <w:sz w:val="18"/>
                <w:szCs w:val="18"/>
              </w:rPr>
            </w:pPr>
            <w:r w:rsidRPr="00F34BE9">
              <w:rPr>
                <w:rFonts w:cs="Calibri"/>
                <w:sz w:val="18"/>
                <w:szCs w:val="18"/>
              </w:rPr>
              <w:t>c.</w:t>
            </w:r>
            <w:r w:rsidRPr="00F34BE9">
              <w:rPr>
                <w:rFonts w:cs="Calibri"/>
                <w:sz w:val="18"/>
                <w:szCs w:val="18"/>
              </w:rPr>
              <w:tab/>
              <w:t xml:space="preserve">usprawnienie efektywności działania samej administracji rządowej i samorządowej. </w:t>
            </w:r>
          </w:p>
          <w:p w14:paraId="367C37FA" w14:textId="77777777" w:rsidR="00932D5D" w:rsidRPr="00F34BE9" w:rsidRDefault="00932D5D" w:rsidP="00851181">
            <w:pPr>
              <w:spacing w:after="0"/>
              <w:ind w:left="213" w:hanging="213"/>
              <w:jc w:val="both"/>
              <w:rPr>
                <w:rFonts w:cs="Calibri"/>
                <w:sz w:val="18"/>
                <w:szCs w:val="18"/>
              </w:rPr>
            </w:pPr>
            <w:r w:rsidRPr="00F34BE9">
              <w:rPr>
                <w:rFonts w:cs="Calibri"/>
                <w:sz w:val="18"/>
                <w:szCs w:val="18"/>
              </w:rPr>
              <w:t>d.</w:t>
            </w:r>
            <w:r w:rsidRPr="00F34BE9">
              <w:rPr>
                <w:rFonts w:cs="Calibri"/>
                <w:sz w:val="18"/>
                <w:szCs w:val="18"/>
              </w:rPr>
              <w:tab/>
              <w:t xml:space="preserve">dalszy rozwój programów wspierających administrację i sektor publiczny we wdrażaniu AI, takich jak GovTech Polska, czy projekty tworzenia zaufanych repozytoriów danych publicznych, takich jak program dane.gov.pl. </w:t>
            </w:r>
          </w:p>
          <w:p w14:paraId="567C4E35" w14:textId="77777777" w:rsidR="00932D5D" w:rsidRPr="00F34BE9" w:rsidRDefault="00932D5D" w:rsidP="00851181">
            <w:pPr>
              <w:spacing w:after="0"/>
              <w:jc w:val="both"/>
              <w:rPr>
                <w:rFonts w:cs="Calibri"/>
                <w:sz w:val="18"/>
                <w:szCs w:val="18"/>
              </w:rPr>
            </w:pPr>
            <w:r w:rsidRPr="00F34BE9">
              <w:rPr>
                <w:rFonts w:cs="Calibri"/>
                <w:sz w:val="18"/>
                <w:szCs w:val="18"/>
              </w:rPr>
              <w:t>5.</w:t>
            </w:r>
            <w:r w:rsidRPr="00F34BE9">
              <w:rPr>
                <w:rFonts w:cs="Calibri"/>
                <w:sz w:val="18"/>
                <w:szCs w:val="18"/>
              </w:rPr>
              <w:tab/>
              <w:t>AI a współpraca międzynarodowa</w:t>
            </w:r>
          </w:p>
          <w:p w14:paraId="79D11FAB" w14:textId="77777777" w:rsidR="00932D5D" w:rsidRPr="00F34BE9" w:rsidRDefault="00932D5D" w:rsidP="00851181">
            <w:pPr>
              <w:spacing w:after="0"/>
              <w:ind w:left="213" w:hanging="213"/>
              <w:jc w:val="both"/>
              <w:rPr>
                <w:rFonts w:cs="Calibri"/>
                <w:sz w:val="18"/>
                <w:szCs w:val="18"/>
              </w:rPr>
            </w:pPr>
            <w:r w:rsidRPr="00F34BE9">
              <w:rPr>
                <w:rFonts w:cs="Calibri"/>
                <w:sz w:val="18"/>
                <w:szCs w:val="18"/>
              </w:rPr>
              <w:t>a.</w:t>
            </w:r>
            <w:r w:rsidRPr="00F34BE9">
              <w:rPr>
                <w:rFonts w:cs="Calibri"/>
                <w:sz w:val="18"/>
                <w:szCs w:val="18"/>
              </w:rPr>
              <w:tab/>
              <w:t xml:space="preserve">umocnienie Polski na arenie globalnej i europejskiej, </w:t>
            </w:r>
          </w:p>
          <w:p w14:paraId="66B8C9D9" w14:textId="77777777" w:rsidR="00932D5D" w:rsidRPr="00F34BE9" w:rsidRDefault="00932D5D" w:rsidP="00851181">
            <w:pPr>
              <w:spacing w:after="0"/>
              <w:ind w:left="213" w:hanging="213"/>
              <w:jc w:val="both"/>
              <w:rPr>
                <w:rFonts w:cs="Calibri"/>
                <w:sz w:val="18"/>
                <w:szCs w:val="18"/>
              </w:rPr>
            </w:pPr>
            <w:r w:rsidRPr="00F34BE9">
              <w:rPr>
                <w:rFonts w:cs="Calibri"/>
                <w:sz w:val="18"/>
                <w:szCs w:val="18"/>
              </w:rPr>
              <w:t>b.</w:t>
            </w:r>
            <w:r w:rsidRPr="00F34BE9">
              <w:rPr>
                <w:rFonts w:cs="Calibri"/>
                <w:sz w:val="18"/>
                <w:szCs w:val="18"/>
              </w:rPr>
              <w:tab/>
              <w:t>wzrost produktywności polskich przedsiębiorstw,</w:t>
            </w:r>
          </w:p>
          <w:p w14:paraId="5A2464DE" w14:textId="77777777" w:rsidR="00932D5D" w:rsidRPr="00F34BE9" w:rsidRDefault="00932D5D" w:rsidP="00932D5D">
            <w:pPr>
              <w:spacing w:after="0"/>
              <w:ind w:left="213" w:hanging="213"/>
              <w:jc w:val="both"/>
              <w:rPr>
                <w:rFonts w:cs="Calibri"/>
                <w:sz w:val="18"/>
                <w:szCs w:val="18"/>
              </w:rPr>
            </w:pPr>
            <w:r w:rsidRPr="00F34BE9">
              <w:rPr>
                <w:rFonts w:cs="Calibri"/>
                <w:sz w:val="18"/>
                <w:szCs w:val="18"/>
              </w:rPr>
              <w:t>c.</w:t>
            </w:r>
            <w:r w:rsidRPr="00F34BE9">
              <w:rPr>
                <w:rFonts w:cs="Calibri"/>
                <w:sz w:val="18"/>
                <w:szCs w:val="18"/>
              </w:rPr>
              <w:tab/>
              <w:t>przyciągnięcie międzynarodowych talentów i innowacyjnych firm,</w:t>
            </w:r>
          </w:p>
          <w:p w14:paraId="413E8D16" w14:textId="77777777" w:rsidR="00932D5D" w:rsidRPr="00F34BE9" w:rsidRDefault="00932D5D" w:rsidP="00932D5D">
            <w:pPr>
              <w:spacing w:after="0"/>
              <w:ind w:left="213" w:hanging="213"/>
              <w:jc w:val="both"/>
              <w:rPr>
                <w:rFonts w:cs="Calibri"/>
                <w:sz w:val="18"/>
                <w:szCs w:val="18"/>
              </w:rPr>
            </w:pPr>
            <w:r w:rsidRPr="00F34BE9">
              <w:rPr>
                <w:rFonts w:cs="Calibri"/>
                <w:sz w:val="18"/>
                <w:szCs w:val="18"/>
              </w:rPr>
              <w:t>d.</w:t>
            </w:r>
            <w:r w:rsidRPr="00F34BE9">
              <w:rPr>
                <w:rFonts w:cs="Calibri"/>
                <w:sz w:val="18"/>
                <w:szCs w:val="18"/>
              </w:rPr>
              <w:tab/>
              <w:t>lepszy przepływ wiedzy i innowacji.</w:t>
            </w:r>
          </w:p>
          <w:p w14:paraId="174B0039" w14:textId="724A9133" w:rsidR="00932D5D" w:rsidRPr="00FB0FB9" w:rsidRDefault="00932D5D" w:rsidP="00932D5D">
            <w:pPr>
              <w:spacing w:after="0"/>
              <w:jc w:val="both"/>
              <w:rPr>
                <w:rFonts w:cs="Calibri"/>
                <w:sz w:val="18"/>
                <w:szCs w:val="18"/>
              </w:rPr>
            </w:pPr>
            <w:r w:rsidRPr="00F34BE9">
              <w:rPr>
                <w:rFonts w:cs="Calibri"/>
                <w:sz w:val="18"/>
                <w:szCs w:val="18"/>
              </w:rPr>
              <w:t>Każdy z ww. punktów jest określony w planach w 3 zakresach czasowych: krótko-, średnio- i dalekookresowym (wizyjnym).</w:t>
            </w:r>
          </w:p>
        </w:tc>
        <w:tc>
          <w:tcPr>
            <w:tcW w:w="1559" w:type="dxa"/>
          </w:tcPr>
          <w:p w14:paraId="6BD97EEC" w14:textId="7B8AB9D0" w:rsidR="00932D5D" w:rsidRPr="00626BCA" w:rsidRDefault="00932D5D" w:rsidP="00932D5D">
            <w:pPr>
              <w:ind w:right="-70"/>
              <w:rPr>
                <w:rFonts w:cs="Calibri"/>
                <w:sz w:val="18"/>
                <w:szCs w:val="18"/>
              </w:rPr>
            </w:pPr>
            <w:r w:rsidRPr="00626BCA">
              <w:rPr>
                <w:rFonts w:cstheme="minorHAnsi"/>
                <w:sz w:val="18"/>
                <w:szCs w:val="20"/>
              </w:rPr>
              <w:t xml:space="preserve">1. Tworzenie warunków dla efektywnej, dostępnej cyfrowo i bezpiecznej </w:t>
            </w:r>
            <w:r>
              <w:rPr>
                <w:rFonts w:cstheme="minorHAnsi"/>
                <w:sz w:val="18"/>
                <w:szCs w:val="20"/>
              </w:rPr>
              <w:br/>
            </w:r>
            <w:r w:rsidRPr="00626BCA">
              <w:rPr>
                <w:rFonts w:cstheme="minorHAnsi"/>
                <w:sz w:val="18"/>
                <w:szCs w:val="20"/>
              </w:rPr>
              <w:t>e-administracji.</w:t>
            </w:r>
          </w:p>
        </w:tc>
      </w:tr>
      <w:tr w:rsidR="00932D5D" w:rsidRPr="00F21196" w14:paraId="7047D790" w14:textId="77777777" w:rsidTr="00AD050F">
        <w:trPr>
          <w:trHeight w:val="70"/>
        </w:trPr>
        <w:tc>
          <w:tcPr>
            <w:tcW w:w="1843" w:type="dxa"/>
            <w:shd w:val="clear" w:color="auto" w:fill="auto"/>
          </w:tcPr>
          <w:p w14:paraId="5B0A6F3C" w14:textId="5F0E3776" w:rsidR="00932D5D" w:rsidRDefault="00932D5D" w:rsidP="00932D5D">
            <w:pPr>
              <w:spacing w:line="240" w:lineRule="auto"/>
              <w:ind w:right="99"/>
              <w:rPr>
                <w:rFonts w:cs="Calibri"/>
                <w:b/>
                <w:sz w:val="18"/>
                <w:szCs w:val="20"/>
              </w:rPr>
            </w:pPr>
            <w:r>
              <w:rPr>
                <w:rFonts w:cs="Calibri"/>
                <w:b/>
                <w:sz w:val="18"/>
                <w:szCs w:val="20"/>
              </w:rPr>
              <w:t>Program Dostępność Plus</w:t>
            </w:r>
          </w:p>
        </w:tc>
        <w:tc>
          <w:tcPr>
            <w:tcW w:w="1134" w:type="dxa"/>
            <w:shd w:val="clear" w:color="auto" w:fill="auto"/>
          </w:tcPr>
          <w:p w14:paraId="3A5A2BFC" w14:textId="3429A3BE" w:rsidR="00932D5D" w:rsidRDefault="00932D5D" w:rsidP="00932D5D">
            <w:pPr>
              <w:spacing w:line="240" w:lineRule="auto"/>
              <w:ind w:left="-69"/>
              <w:jc w:val="center"/>
              <w:rPr>
                <w:rFonts w:cs="Calibri"/>
                <w:sz w:val="20"/>
                <w:szCs w:val="20"/>
                <w:lang w:eastAsia="pl-PL"/>
              </w:rPr>
            </w:pPr>
            <w:r>
              <w:rPr>
                <w:rFonts w:cs="Calibri"/>
                <w:sz w:val="20"/>
                <w:szCs w:val="20"/>
                <w:lang w:eastAsia="pl-PL"/>
              </w:rPr>
              <w:t>M</w:t>
            </w:r>
            <w:r w:rsidR="00ED7169">
              <w:rPr>
                <w:rFonts w:cs="Calibri"/>
                <w:sz w:val="20"/>
                <w:szCs w:val="20"/>
                <w:lang w:eastAsia="pl-PL"/>
              </w:rPr>
              <w:t>F</w:t>
            </w:r>
          </w:p>
        </w:tc>
        <w:tc>
          <w:tcPr>
            <w:tcW w:w="1418" w:type="dxa"/>
          </w:tcPr>
          <w:p w14:paraId="30563E8F" w14:textId="46ED771F" w:rsidR="00932D5D" w:rsidRDefault="00932D5D" w:rsidP="00932D5D">
            <w:pPr>
              <w:spacing w:line="240" w:lineRule="auto"/>
              <w:jc w:val="both"/>
              <w:rPr>
                <w:rFonts w:cstheme="minorHAnsi"/>
                <w:sz w:val="20"/>
                <w:szCs w:val="20"/>
              </w:rPr>
            </w:pPr>
            <w:r w:rsidRPr="00A960B0">
              <w:rPr>
                <w:rFonts w:cstheme="minorHAnsi"/>
                <w:sz w:val="20"/>
                <w:szCs w:val="20"/>
              </w:rPr>
              <w:t>2018-2025</w:t>
            </w:r>
          </w:p>
        </w:tc>
        <w:tc>
          <w:tcPr>
            <w:tcW w:w="3969" w:type="dxa"/>
            <w:shd w:val="clear" w:color="auto" w:fill="auto"/>
          </w:tcPr>
          <w:p w14:paraId="77AACFE2" w14:textId="55CC6F82" w:rsidR="00932D5D" w:rsidRPr="00FB0FB9" w:rsidRDefault="00932D5D" w:rsidP="00932D5D">
            <w:pPr>
              <w:jc w:val="both"/>
              <w:rPr>
                <w:rFonts w:cs="Calibri"/>
                <w:sz w:val="18"/>
                <w:szCs w:val="18"/>
              </w:rPr>
            </w:pPr>
            <w:r w:rsidRPr="00A960B0">
              <w:rPr>
                <w:rFonts w:cs="Calibri"/>
                <w:sz w:val="18"/>
                <w:szCs w:val="18"/>
              </w:rPr>
              <w:t>Kompleksowy program, zapewniający wieloaspektowe, systemowe i skoordynowane działania. Ich celem jest podniesienie jakości i zapewnienie niezależności życia dla osób o szczególnych potrzebach, w tym osób starszych i osób z trwałymi lub czasowymi trudnościami w zakresie mobilności lub percepcji.</w:t>
            </w:r>
          </w:p>
        </w:tc>
        <w:tc>
          <w:tcPr>
            <w:tcW w:w="1559" w:type="dxa"/>
          </w:tcPr>
          <w:p w14:paraId="6EF60C6E" w14:textId="00AB77C8" w:rsidR="00932D5D" w:rsidRPr="00626BCA" w:rsidRDefault="00932D5D" w:rsidP="00932D5D">
            <w:pPr>
              <w:ind w:right="-70"/>
              <w:rPr>
                <w:rFonts w:cstheme="minorHAnsi"/>
                <w:sz w:val="18"/>
                <w:szCs w:val="20"/>
              </w:rPr>
            </w:pPr>
            <w:r w:rsidRPr="00626BCA">
              <w:rPr>
                <w:rFonts w:cstheme="minorHAnsi"/>
                <w:sz w:val="18"/>
                <w:szCs w:val="20"/>
              </w:rPr>
              <w:t xml:space="preserve">1. Tworzenie warunków dla efektywnej, dostępnej cyfrowo i bezpiecznej </w:t>
            </w:r>
            <w:r>
              <w:rPr>
                <w:rFonts w:cstheme="minorHAnsi"/>
                <w:sz w:val="18"/>
                <w:szCs w:val="20"/>
              </w:rPr>
              <w:br/>
            </w:r>
            <w:r w:rsidRPr="00626BCA">
              <w:rPr>
                <w:rFonts w:cstheme="minorHAnsi"/>
                <w:sz w:val="18"/>
                <w:szCs w:val="20"/>
              </w:rPr>
              <w:t>e-administracji.</w:t>
            </w:r>
          </w:p>
        </w:tc>
      </w:tr>
      <w:tr w:rsidR="00932D5D" w:rsidRPr="00F21196" w14:paraId="61E9D583" w14:textId="77777777" w:rsidTr="00AD050F">
        <w:trPr>
          <w:trHeight w:val="70"/>
        </w:trPr>
        <w:tc>
          <w:tcPr>
            <w:tcW w:w="1843" w:type="dxa"/>
            <w:shd w:val="clear" w:color="auto" w:fill="auto"/>
          </w:tcPr>
          <w:p w14:paraId="3EAC5D63" w14:textId="2AC2BF6E" w:rsidR="00932D5D" w:rsidRDefault="00932D5D" w:rsidP="00932D5D">
            <w:pPr>
              <w:spacing w:line="240" w:lineRule="auto"/>
              <w:ind w:right="99"/>
              <w:rPr>
                <w:rFonts w:cs="Calibri"/>
                <w:b/>
                <w:sz w:val="18"/>
                <w:szCs w:val="20"/>
              </w:rPr>
            </w:pPr>
            <w:r w:rsidRPr="007D19D6">
              <w:rPr>
                <w:rFonts w:ascii="Calibri" w:eastAsia="Calibri" w:hAnsi="Calibri" w:cs="Calibri"/>
                <w:b/>
                <w:bCs/>
                <w:sz w:val="18"/>
                <w:szCs w:val="18"/>
              </w:rPr>
              <w:t>Wspólna Infrastruktura Informatyczna Państwa</w:t>
            </w:r>
          </w:p>
        </w:tc>
        <w:tc>
          <w:tcPr>
            <w:tcW w:w="1134" w:type="dxa"/>
            <w:shd w:val="clear" w:color="auto" w:fill="auto"/>
          </w:tcPr>
          <w:p w14:paraId="75877A99" w14:textId="511505FF" w:rsidR="00932D5D" w:rsidRDefault="00E9243F" w:rsidP="00E9243F">
            <w:pPr>
              <w:spacing w:line="240" w:lineRule="auto"/>
              <w:ind w:left="-69"/>
              <w:jc w:val="center"/>
              <w:rPr>
                <w:rFonts w:cs="Calibri"/>
                <w:sz w:val="20"/>
                <w:szCs w:val="20"/>
                <w:lang w:eastAsia="pl-PL"/>
              </w:rPr>
            </w:pPr>
            <w:r>
              <w:rPr>
                <w:rFonts w:cs="Calibri"/>
                <w:sz w:val="20"/>
                <w:szCs w:val="20"/>
                <w:lang w:eastAsia="pl-PL"/>
              </w:rPr>
              <w:t>KPRM</w:t>
            </w:r>
          </w:p>
        </w:tc>
        <w:tc>
          <w:tcPr>
            <w:tcW w:w="1418" w:type="dxa"/>
          </w:tcPr>
          <w:p w14:paraId="69774567" w14:textId="1EDEC3A4" w:rsidR="00932D5D" w:rsidRDefault="00932D5D" w:rsidP="00932D5D">
            <w:pPr>
              <w:spacing w:line="240" w:lineRule="auto"/>
              <w:jc w:val="both"/>
              <w:rPr>
                <w:rFonts w:cstheme="minorHAnsi"/>
                <w:sz w:val="20"/>
                <w:szCs w:val="20"/>
              </w:rPr>
            </w:pPr>
            <w:r w:rsidRPr="007D19D6">
              <w:rPr>
                <w:sz w:val="20"/>
                <w:szCs w:val="20"/>
              </w:rPr>
              <w:t>2</w:t>
            </w:r>
            <w:r>
              <w:rPr>
                <w:sz w:val="20"/>
                <w:szCs w:val="20"/>
              </w:rPr>
              <w:t>019-2022</w:t>
            </w:r>
          </w:p>
        </w:tc>
        <w:tc>
          <w:tcPr>
            <w:tcW w:w="3969" w:type="dxa"/>
            <w:shd w:val="clear" w:color="auto" w:fill="auto"/>
          </w:tcPr>
          <w:p w14:paraId="36243C12" w14:textId="77777777" w:rsidR="00932D5D" w:rsidRDefault="00932D5D" w:rsidP="00932D5D">
            <w:pPr>
              <w:spacing w:after="0" w:line="257" w:lineRule="auto"/>
              <w:jc w:val="both"/>
              <w:rPr>
                <w:rFonts w:ascii="Calibri" w:eastAsia="Calibri" w:hAnsi="Calibri" w:cs="Calibri"/>
                <w:sz w:val="18"/>
                <w:szCs w:val="18"/>
              </w:rPr>
            </w:pPr>
            <w:r w:rsidRPr="007D19D6">
              <w:rPr>
                <w:rFonts w:ascii="Calibri" w:eastAsia="Calibri" w:hAnsi="Calibri" w:cs="Calibri"/>
                <w:sz w:val="18"/>
                <w:szCs w:val="18"/>
              </w:rPr>
              <w:t>Celem inicjatywy jest</w:t>
            </w:r>
            <w:r>
              <w:rPr>
                <w:rFonts w:ascii="Calibri" w:eastAsia="Calibri" w:hAnsi="Calibri" w:cs="Calibri"/>
                <w:sz w:val="18"/>
                <w:szCs w:val="18"/>
              </w:rPr>
              <w:t>:</w:t>
            </w:r>
          </w:p>
          <w:p w14:paraId="2721620C" w14:textId="77777777" w:rsidR="00932D5D" w:rsidRPr="003F3589" w:rsidRDefault="00932D5D" w:rsidP="00932D5D">
            <w:pPr>
              <w:pStyle w:val="Akapitzlist"/>
              <w:numPr>
                <w:ilvl w:val="0"/>
                <w:numId w:val="6"/>
              </w:numPr>
              <w:ind w:left="213" w:hanging="213"/>
              <w:jc w:val="both"/>
              <w:rPr>
                <w:rFonts w:asciiTheme="minorHAnsi" w:hAnsiTheme="minorHAnsi" w:cstheme="minorHAnsi"/>
                <w:bCs/>
                <w:sz w:val="18"/>
                <w:szCs w:val="20"/>
              </w:rPr>
            </w:pPr>
            <w:r w:rsidRPr="00A6165D">
              <w:rPr>
                <w:rFonts w:ascii="Calibri" w:hAnsi="Calibri"/>
                <w:sz w:val="18"/>
              </w:rPr>
              <w:t>zapewnienie bezpieczeństwa danych przetwarzanych w systemach teleinformatycznych podmiotów administracji publicznej</w:t>
            </w:r>
            <w:r w:rsidRPr="003F3589">
              <w:rPr>
                <w:rFonts w:asciiTheme="minorHAnsi" w:hAnsiTheme="minorHAnsi" w:cstheme="minorHAnsi"/>
                <w:bCs/>
                <w:sz w:val="18"/>
                <w:szCs w:val="20"/>
              </w:rPr>
              <w:t>,</w:t>
            </w:r>
          </w:p>
          <w:p w14:paraId="46BB223A" w14:textId="77777777" w:rsidR="00932D5D" w:rsidRPr="003F3589" w:rsidRDefault="00932D5D" w:rsidP="00932D5D">
            <w:pPr>
              <w:pStyle w:val="Akapitzlist"/>
              <w:numPr>
                <w:ilvl w:val="0"/>
                <w:numId w:val="6"/>
              </w:numPr>
              <w:ind w:left="213" w:hanging="213"/>
              <w:jc w:val="both"/>
              <w:rPr>
                <w:rFonts w:asciiTheme="minorHAnsi" w:hAnsiTheme="minorHAnsi" w:cstheme="minorHAnsi"/>
                <w:bCs/>
                <w:sz w:val="18"/>
                <w:szCs w:val="20"/>
              </w:rPr>
            </w:pPr>
            <w:r w:rsidRPr="00A6165D">
              <w:rPr>
                <w:rFonts w:ascii="Calibri" w:hAnsi="Calibri"/>
                <w:sz w:val="18"/>
              </w:rPr>
              <w:t>optymalizacja kosztów utrzymania tych systemów</w:t>
            </w:r>
            <w:r w:rsidRPr="003F3589">
              <w:rPr>
                <w:rFonts w:asciiTheme="minorHAnsi" w:hAnsiTheme="minorHAnsi" w:cstheme="minorHAnsi"/>
                <w:bCs/>
                <w:sz w:val="18"/>
                <w:szCs w:val="20"/>
              </w:rPr>
              <w:t>,</w:t>
            </w:r>
          </w:p>
          <w:p w14:paraId="141CE9EF" w14:textId="77777777" w:rsidR="00932D5D" w:rsidRPr="003F3589" w:rsidRDefault="00932D5D" w:rsidP="00932D5D">
            <w:pPr>
              <w:pStyle w:val="Akapitzlist"/>
              <w:numPr>
                <w:ilvl w:val="0"/>
                <w:numId w:val="6"/>
              </w:numPr>
              <w:ind w:left="213" w:hanging="213"/>
              <w:jc w:val="both"/>
              <w:rPr>
                <w:rFonts w:asciiTheme="minorHAnsi" w:hAnsiTheme="minorHAnsi" w:cstheme="minorHAnsi"/>
                <w:bCs/>
                <w:sz w:val="18"/>
                <w:szCs w:val="20"/>
              </w:rPr>
            </w:pPr>
            <w:r w:rsidRPr="004E366E">
              <w:rPr>
                <w:rFonts w:ascii="Calibri" w:hAnsi="Calibri"/>
                <w:sz w:val="18"/>
              </w:rPr>
              <w:t xml:space="preserve">wprowadzenie jednolitych wysokich standardów ochrony systemów informatycznych i wspieranie podmiotów administracji publicznej w </w:t>
            </w:r>
            <w:r w:rsidRPr="003F3589">
              <w:rPr>
                <w:rFonts w:asciiTheme="minorHAnsi" w:hAnsiTheme="minorHAnsi" w:cstheme="minorHAnsi"/>
                <w:bCs/>
                <w:sz w:val="18"/>
                <w:szCs w:val="20"/>
              </w:rPr>
              <w:t xml:space="preserve">ich </w:t>
            </w:r>
            <w:r w:rsidRPr="004E366E">
              <w:rPr>
                <w:rFonts w:ascii="Calibri" w:hAnsi="Calibri"/>
                <w:sz w:val="18"/>
              </w:rPr>
              <w:t>utrzymaniu</w:t>
            </w:r>
            <w:r w:rsidRPr="003F3589">
              <w:rPr>
                <w:rFonts w:asciiTheme="minorHAnsi" w:hAnsiTheme="minorHAnsi" w:cstheme="minorHAnsi"/>
                <w:bCs/>
                <w:sz w:val="18"/>
                <w:szCs w:val="20"/>
              </w:rPr>
              <w:t>,</w:t>
            </w:r>
          </w:p>
          <w:p w14:paraId="344727A7" w14:textId="77777777" w:rsidR="00932D5D" w:rsidRPr="00C15024" w:rsidRDefault="00932D5D" w:rsidP="00932D5D">
            <w:pPr>
              <w:spacing w:line="257" w:lineRule="auto"/>
              <w:jc w:val="both"/>
              <w:rPr>
                <w:sz w:val="18"/>
              </w:rPr>
            </w:pPr>
            <w:r w:rsidRPr="00C15024">
              <w:rPr>
                <w:rFonts w:cstheme="minorHAnsi"/>
                <w:bCs/>
                <w:sz w:val="18"/>
                <w:szCs w:val="20"/>
                <w:lang w:eastAsia="pl-PL"/>
              </w:rPr>
              <w:t>zapewnienie dostępu do</w:t>
            </w:r>
            <w:r w:rsidRPr="004E366E">
              <w:rPr>
                <w:rFonts w:ascii="Calibri" w:hAnsi="Calibri"/>
                <w:sz w:val="18"/>
              </w:rPr>
              <w:t xml:space="preserve"> usług niezbędny</w:t>
            </w:r>
            <w:r w:rsidRPr="00A6165D">
              <w:rPr>
                <w:rFonts w:ascii="Calibri" w:hAnsi="Calibri"/>
                <w:sz w:val="18"/>
              </w:rPr>
              <w:t>ch do budowy, rozwoju i utrzymania</w:t>
            </w:r>
            <w:r w:rsidRPr="00C15024">
              <w:rPr>
                <w:rFonts w:cstheme="minorHAnsi"/>
                <w:bCs/>
                <w:sz w:val="18"/>
                <w:szCs w:val="20"/>
                <w:lang w:eastAsia="pl-PL"/>
              </w:rPr>
              <w:t xml:space="preserve"> systemów administracji publicznej</w:t>
            </w:r>
            <w:r w:rsidRPr="004E366E">
              <w:rPr>
                <w:rFonts w:ascii="Calibri" w:hAnsi="Calibri"/>
                <w:sz w:val="18"/>
              </w:rPr>
              <w:t xml:space="preserve">,  </w:t>
            </w:r>
            <w:r w:rsidRPr="00C15024">
              <w:rPr>
                <w:rFonts w:cstheme="minorHAnsi"/>
                <w:bCs/>
                <w:sz w:val="18"/>
                <w:szCs w:val="20"/>
                <w:lang w:eastAsia="pl-PL"/>
              </w:rPr>
              <w:t>przyczyniających</w:t>
            </w:r>
            <w:r w:rsidRPr="00C15024">
              <w:rPr>
                <w:rFonts w:cs="Times New Roman"/>
                <w:sz w:val="18"/>
                <w:szCs w:val="24"/>
                <w:lang w:eastAsia="pl-PL"/>
              </w:rPr>
              <w:t xml:space="preserve"> </w:t>
            </w:r>
            <w:r w:rsidRPr="004E366E">
              <w:rPr>
                <w:rFonts w:ascii="Calibri" w:hAnsi="Calibri"/>
                <w:sz w:val="18"/>
              </w:rPr>
              <w:t>się do zapewnienia wysokiego poziomu usług świadczonych społeczeństwu</w:t>
            </w:r>
            <w:r w:rsidRPr="007D19D6">
              <w:rPr>
                <w:rFonts w:ascii="Calibri" w:hAnsi="Calibri"/>
                <w:sz w:val="18"/>
              </w:rPr>
              <w:t>.</w:t>
            </w:r>
          </w:p>
          <w:p w14:paraId="1FAE6A25" w14:textId="28C9037E" w:rsidR="00932D5D" w:rsidRPr="00FB0FB9" w:rsidRDefault="00932D5D" w:rsidP="00932D5D">
            <w:pPr>
              <w:jc w:val="both"/>
              <w:rPr>
                <w:rFonts w:cs="Calibri"/>
                <w:sz w:val="18"/>
                <w:szCs w:val="18"/>
              </w:rPr>
            </w:pPr>
            <w:r w:rsidRPr="000C07C0">
              <w:rPr>
                <w:rFonts w:ascii="Calibri" w:eastAsia="Calibri" w:hAnsi="Calibri" w:cs="Calibri"/>
                <w:sz w:val="18"/>
                <w:szCs w:val="18"/>
              </w:rPr>
              <w:t>Zakres inicjatywny wynika z Uchwały nr 97 Rady Ministrów z dnia 11 września 2019 r. w sprawie Inicjatywy „Wspólna Infrastruktura Informatyczna Państwa” (MP 2019, poz. 862).</w:t>
            </w:r>
          </w:p>
        </w:tc>
        <w:tc>
          <w:tcPr>
            <w:tcW w:w="1559" w:type="dxa"/>
          </w:tcPr>
          <w:p w14:paraId="012ACC3C" w14:textId="4D1EF452" w:rsidR="00932D5D" w:rsidRPr="00626BCA" w:rsidRDefault="00932D5D" w:rsidP="00932D5D">
            <w:pPr>
              <w:ind w:right="-70"/>
              <w:rPr>
                <w:rFonts w:cstheme="minorHAnsi"/>
                <w:sz w:val="18"/>
                <w:szCs w:val="20"/>
              </w:rPr>
            </w:pPr>
            <w:r w:rsidRPr="00626BCA">
              <w:rPr>
                <w:rFonts w:cstheme="minorHAnsi"/>
                <w:sz w:val="18"/>
                <w:szCs w:val="20"/>
              </w:rPr>
              <w:t xml:space="preserve">1. Tworzenie warunków dla efektywnej, dostępnej cyfrowo i bezpiecznej </w:t>
            </w:r>
            <w:r>
              <w:rPr>
                <w:rFonts w:cstheme="minorHAnsi"/>
                <w:sz w:val="18"/>
                <w:szCs w:val="20"/>
              </w:rPr>
              <w:br/>
            </w:r>
            <w:r w:rsidRPr="00626BCA">
              <w:rPr>
                <w:rFonts w:cstheme="minorHAnsi"/>
                <w:sz w:val="18"/>
                <w:szCs w:val="20"/>
              </w:rPr>
              <w:t>e-administracji.</w:t>
            </w:r>
          </w:p>
        </w:tc>
      </w:tr>
    </w:tbl>
    <w:p w14:paraId="32BB30B9" w14:textId="77777777" w:rsidR="003E7E89" w:rsidRDefault="003E7E89" w:rsidP="0044681C">
      <w:pPr>
        <w:spacing w:after="0" w:line="240" w:lineRule="auto"/>
        <w:rPr>
          <w:rFonts w:eastAsia="Times New Roman" w:cs="Calibri"/>
          <w:b/>
          <w:color w:val="000000" w:themeColor="text1"/>
          <w:sz w:val="24"/>
          <w:lang w:eastAsia="pl-PL"/>
        </w:rPr>
      </w:pPr>
    </w:p>
    <w:p w14:paraId="3F44C1B5" w14:textId="77777777" w:rsidR="0044681C" w:rsidRDefault="0044681C" w:rsidP="0044681C">
      <w:pPr>
        <w:spacing w:after="0" w:line="240" w:lineRule="auto"/>
        <w:rPr>
          <w:rFonts w:eastAsia="Times New Roman" w:cs="Calibri"/>
          <w:b/>
          <w:color w:val="000000" w:themeColor="text1"/>
          <w:sz w:val="24"/>
          <w:lang w:eastAsia="pl-PL"/>
        </w:rPr>
      </w:pPr>
    </w:p>
    <w:p w14:paraId="55519D2E" w14:textId="7CCA7B88" w:rsidR="00851181" w:rsidRDefault="00851181">
      <w:pPr>
        <w:rPr>
          <w:rFonts w:eastAsia="Times New Roman" w:cs="Calibri"/>
          <w:b/>
          <w:color w:val="000000" w:themeColor="text1"/>
          <w:sz w:val="24"/>
          <w:lang w:eastAsia="pl-PL"/>
        </w:rPr>
      </w:pPr>
      <w:r>
        <w:rPr>
          <w:rFonts w:eastAsia="Times New Roman" w:cs="Calibri"/>
          <w:b/>
          <w:color w:val="000000" w:themeColor="text1"/>
          <w:sz w:val="24"/>
          <w:lang w:eastAsia="pl-PL"/>
        </w:rPr>
        <w:br w:type="page"/>
      </w:r>
    </w:p>
    <w:p w14:paraId="7EF21ADF" w14:textId="77777777" w:rsidR="003E7E89" w:rsidRDefault="003E7E89">
      <w:pPr>
        <w:rPr>
          <w:rFonts w:eastAsia="Times New Roman" w:cs="Calibri"/>
          <w:b/>
          <w:color w:val="000000" w:themeColor="text1"/>
          <w:sz w:val="24"/>
          <w:lang w:eastAsia="pl-PL"/>
        </w:rPr>
      </w:pPr>
    </w:p>
    <w:p w14:paraId="3A67C32A" w14:textId="77777777" w:rsidR="00A52B29" w:rsidRDefault="00A52B29" w:rsidP="00A52B29">
      <w:pPr>
        <w:shd w:val="clear" w:color="auto" w:fill="FBE4D5" w:themeFill="accent2" w:themeFillTint="33"/>
        <w:spacing w:after="0" w:line="240" w:lineRule="auto"/>
        <w:rPr>
          <w:rFonts w:eastAsia="Times New Roman" w:cs="Calibri"/>
          <w:b/>
          <w:color w:val="000000" w:themeColor="text1"/>
          <w:sz w:val="24"/>
          <w:lang w:eastAsia="pl-PL"/>
        </w:rPr>
      </w:pPr>
      <w:r w:rsidRPr="00F21196">
        <w:rPr>
          <w:rFonts w:eastAsia="Times New Roman" w:cs="Calibri"/>
          <w:b/>
          <w:color w:val="000000" w:themeColor="text1"/>
          <w:sz w:val="24"/>
          <w:lang w:eastAsia="pl-PL"/>
        </w:rPr>
        <w:t>Cel szczegółowy IV.</w:t>
      </w:r>
    </w:p>
    <w:p w14:paraId="39B6E698" w14:textId="77777777" w:rsidR="00A52B29" w:rsidRPr="00F21196" w:rsidRDefault="00A52B29" w:rsidP="00A52B29">
      <w:pPr>
        <w:shd w:val="clear" w:color="auto" w:fill="FBE4D5" w:themeFill="accent2" w:themeFillTint="33"/>
        <w:spacing w:after="0" w:line="240" w:lineRule="auto"/>
        <w:jc w:val="center"/>
        <w:rPr>
          <w:rFonts w:eastAsia="Times New Roman" w:cs="Calibri"/>
          <w:color w:val="000000" w:themeColor="text1"/>
          <w:sz w:val="28"/>
          <w:lang w:eastAsia="pl-PL"/>
        </w:rPr>
      </w:pPr>
      <w:r w:rsidRPr="00F21196">
        <w:rPr>
          <w:rFonts w:eastAsia="Times New Roman" w:cs="Calibri"/>
          <w:b/>
          <w:i/>
          <w:color w:val="000000" w:themeColor="text1"/>
          <w:sz w:val="28"/>
          <w:lang w:eastAsia="pl-PL"/>
        </w:rPr>
        <w:t>Efektywne planowanie i wykorzystanie środków finansowych</w:t>
      </w:r>
    </w:p>
    <w:p w14:paraId="38B921DF" w14:textId="77777777" w:rsidR="00A52B29" w:rsidRPr="000D6404" w:rsidRDefault="00A52B29" w:rsidP="00A52B29">
      <w:pPr>
        <w:pStyle w:val="Tekstkomentarza"/>
        <w:spacing w:before="120" w:after="120"/>
        <w:jc w:val="both"/>
        <w:rPr>
          <w:sz w:val="22"/>
        </w:rPr>
      </w:pPr>
      <w:r w:rsidRPr="000D6404">
        <w:rPr>
          <w:rFonts w:eastAsia="Times New Roman" w:cs="Calibri"/>
          <w:sz w:val="22"/>
          <w:lang w:eastAsia="pl-PL"/>
        </w:rPr>
        <w:t xml:space="preserve">Cel szczegółowy IV odnosi </w:t>
      </w:r>
      <w:r>
        <w:rPr>
          <w:rFonts w:eastAsia="Times New Roman" w:cs="Calibri"/>
          <w:sz w:val="22"/>
          <w:lang w:eastAsia="pl-PL"/>
        </w:rPr>
        <w:t xml:space="preserve">się </w:t>
      </w:r>
      <w:r w:rsidRPr="000D6404">
        <w:rPr>
          <w:rFonts w:eastAsia="Times New Roman" w:cs="Calibri"/>
          <w:sz w:val="22"/>
          <w:lang w:eastAsia="pl-PL"/>
        </w:rPr>
        <w:t xml:space="preserve">m.in. </w:t>
      </w:r>
      <w:r>
        <w:rPr>
          <w:rFonts w:eastAsia="Times New Roman" w:cs="Calibri"/>
          <w:sz w:val="22"/>
          <w:lang w:eastAsia="pl-PL"/>
        </w:rPr>
        <w:t xml:space="preserve">do </w:t>
      </w:r>
      <w:r w:rsidRPr="000D6404">
        <w:rPr>
          <w:rFonts w:eastAsia="Times New Roman" w:cs="Calibri"/>
          <w:sz w:val="22"/>
          <w:lang w:eastAsia="pl-PL"/>
        </w:rPr>
        <w:t>zagadnie</w:t>
      </w:r>
      <w:r>
        <w:rPr>
          <w:rFonts w:eastAsia="Times New Roman" w:cs="Calibri"/>
          <w:sz w:val="22"/>
          <w:lang w:eastAsia="pl-PL"/>
        </w:rPr>
        <w:t>ń związanych</w:t>
      </w:r>
      <w:r w:rsidRPr="000D6404">
        <w:rPr>
          <w:rFonts w:eastAsia="Times New Roman" w:cs="Calibri"/>
          <w:sz w:val="22"/>
          <w:lang w:eastAsia="pl-PL"/>
        </w:rPr>
        <w:t xml:space="preserve"> z zapewnieniem stabilnych i zrównoważonych finansów publicznych, prowadzeniem odpowiedzialnej polityki budżetowej czy wykorzystywaniem środków unijnych</w:t>
      </w:r>
      <w:r>
        <w:rPr>
          <w:rFonts w:eastAsia="Times New Roman" w:cs="Calibri"/>
          <w:sz w:val="22"/>
          <w:lang w:eastAsia="pl-PL"/>
        </w:rPr>
        <w:t>, a także</w:t>
      </w:r>
      <w:r w:rsidRPr="000D6404">
        <w:rPr>
          <w:sz w:val="22"/>
        </w:rPr>
        <w:t xml:space="preserve"> </w:t>
      </w:r>
      <w:r>
        <w:rPr>
          <w:sz w:val="22"/>
        </w:rPr>
        <w:t xml:space="preserve">przygotowaniem </w:t>
      </w:r>
      <w:r w:rsidRPr="000D6404">
        <w:rPr>
          <w:sz w:val="22"/>
        </w:rPr>
        <w:t xml:space="preserve">nowego systemu klasyfikacyjnego </w:t>
      </w:r>
      <w:r>
        <w:rPr>
          <w:sz w:val="22"/>
        </w:rPr>
        <w:t>mającego</w:t>
      </w:r>
      <w:r w:rsidRPr="000D6404">
        <w:rPr>
          <w:sz w:val="22"/>
        </w:rPr>
        <w:t xml:space="preserve"> zastosowanie zarówno do planowania jak </w:t>
      </w:r>
      <w:r>
        <w:rPr>
          <w:sz w:val="22"/>
        </w:rPr>
        <w:t xml:space="preserve">i wykonywania ustawy budżetowej, który </w:t>
      </w:r>
      <w:r w:rsidRPr="000D6404">
        <w:rPr>
          <w:sz w:val="22"/>
        </w:rPr>
        <w:t>zastąpi</w:t>
      </w:r>
      <w:r>
        <w:rPr>
          <w:sz w:val="22"/>
        </w:rPr>
        <w:t>łby</w:t>
      </w:r>
      <w:r w:rsidRPr="000D6404">
        <w:rPr>
          <w:sz w:val="22"/>
        </w:rPr>
        <w:t xml:space="preserve"> obecnie stosowane systemy klasyfikacyjne</w:t>
      </w:r>
      <w:r>
        <w:rPr>
          <w:sz w:val="22"/>
        </w:rPr>
        <w:t>, tj. </w:t>
      </w:r>
      <w:r w:rsidRPr="000D6404">
        <w:rPr>
          <w:sz w:val="22"/>
        </w:rPr>
        <w:t>klasyfikację budżetową i ukł</w:t>
      </w:r>
      <w:r>
        <w:rPr>
          <w:sz w:val="22"/>
        </w:rPr>
        <w:t xml:space="preserve">ad zadaniowy. </w:t>
      </w:r>
    </w:p>
    <w:p w14:paraId="31553AE2" w14:textId="77777777" w:rsidR="00A52B29" w:rsidRPr="00F21196" w:rsidRDefault="00A52B29" w:rsidP="00A52B29">
      <w:pPr>
        <w:spacing w:before="120" w:after="0"/>
        <w:jc w:val="both"/>
        <w:rPr>
          <w:rFonts w:eastAsia="Times New Roman" w:cs="Calibri"/>
          <w:lang w:eastAsia="pl-PL"/>
        </w:rPr>
      </w:pPr>
      <w:r w:rsidRPr="00F21196">
        <w:rPr>
          <w:rFonts w:eastAsia="Times New Roman" w:cs="Calibri"/>
          <w:lang w:eastAsia="pl-PL"/>
        </w:rPr>
        <w:t xml:space="preserve">Cel ten jest powiązany z celem szczegółowym III SOR: </w:t>
      </w:r>
      <w:r w:rsidRPr="00F21196">
        <w:rPr>
          <w:rFonts w:eastAsia="Times New Roman" w:cs="Calibri"/>
          <w:i/>
          <w:lang w:eastAsia="pl-PL"/>
        </w:rPr>
        <w:t>Skuteczne państwo i instytucje służące wzrostowi oraz włączeniu społecznemu i gospodarczemu</w:t>
      </w:r>
      <w:r w:rsidRPr="00F21196">
        <w:rPr>
          <w:rFonts w:eastAsia="Times New Roman" w:cs="Calibri"/>
          <w:lang w:eastAsia="pl-PL"/>
        </w:rPr>
        <w:t>. Natomiast kierunki interwencji korespondują z dwoma obszarami interwencji</w:t>
      </w:r>
      <w:r>
        <w:rPr>
          <w:rFonts w:eastAsia="Times New Roman" w:cs="Calibri"/>
          <w:lang w:eastAsia="pl-PL"/>
        </w:rPr>
        <w:t xml:space="preserve"> </w:t>
      </w:r>
      <w:r w:rsidRPr="00F21196">
        <w:rPr>
          <w:rFonts w:eastAsia="Times New Roman" w:cs="Calibri"/>
          <w:lang w:eastAsia="pl-PL"/>
        </w:rPr>
        <w:t xml:space="preserve">państwa (1) </w:t>
      </w:r>
      <w:r w:rsidRPr="00F21196">
        <w:rPr>
          <w:rFonts w:eastAsia="Times New Roman" w:cs="Calibri"/>
          <w:i/>
          <w:lang w:eastAsia="pl-PL"/>
        </w:rPr>
        <w:t>Finanse publiczne</w:t>
      </w:r>
      <w:r w:rsidRPr="00F21196">
        <w:rPr>
          <w:rFonts w:eastAsia="Times New Roman" w:cs="Calibri"/>
          <w:lang w:eastAsia="pl-PL"/>
        </w:rPr>
        <w:t xml:space="preserve"> oraz (2) </w:t>
      </w:r>
      <w:r w:rsidRPr="00F21196">
        <w:rPr>
          <w:rFonts w:eastAsia="Times New Roman" w:cs="Calibri"/>
          <w:i/>
          <w:lang w:eastAsia="pl-PL"/>
        </w:rPr>
        <w:t>Efektywność wykorzystania środków UE</w:t>
      </w:r>
      <w:r w:rsidRPr="00F21196">
        <w:rPr>
          <w:rFonts w:eastAsia="Times New Roman" w:cs="Calibri"/>
          <w:lang w:eastAsia="pl-PL"/>
        </w:rPr>
        <w:t>.</w:t>
      </w:r>
    </w:p>
    <w:p w14:paraId="2DC0C5E5" w14:textId="77777777" w:rsidR="00A52B29" w:rsidRDefault="00A52B29" w:rsidP="00A52B29">
      <w:pPr>
        <w:spacing w:after="0"/>
        <w:jc w:val="both"/>
      </w:pPr>
    </w:p>
    <w:p w14:paraId="5774BB35" w14:textId="77777777" w:rsidR="00A52B29" w:rsidRPr="00F21196" w:rsidRDefault="00A52B29" w:rsidP="00A52B29">
      <w:pPr>
        <w:pBdr>
          <w:bottom w:val="single" w:sz="24" w:space="1" w:color="F4B083" w:themeColor="accent2" w:themeTint="99"/>
        </w:pBdr>
        <w:shd w:val="clear" w:color="auto" w:fill="FBE4D5" w:themeFill="accent2" w:themeFillTint="33"/>
        <w:spacing w:after="0" w:line="276" w:lineRule="auto"/>
        <w:rPr>
          <w:lang w:eastAsia="pl-PL"/>
        </w:rPr>
      </w:pPr>
      <w:r w:rsidRPr="00F21196">
        <w:rPr>
          <w:rFonts w:eastAsia="Times New Roman" w:cs="Calibri"/>
          <w:b/>
          <w:lang w:eastAsia="pl-PL"/>
        </w:rPr>
        <w:t>IV.1. Diagnoza</w:t>
      </w:r>
    </w:p>
    <w:p w14:paraId="343EB200" w14:textId="77777777" w:rsidR="00A52B29" w:rsidRPr="00F21196" w:rsidRDefault="00A52B29" w:rsidP="00A52B29">
      <w:pPr>
        <w:autoSpaceDE w:val="0"/>
        <w:autoSpaceDN w:val="0"/>
        <w:adjustRightInd w:val="0"/>
        <w:spacing w:before="120" w:after="0" w:line="276" w:lineRule="auto"/>
        <w:jc w:val="both"/>
        <w:rPr>
          <w:rFonts w:eastAsia="Times New Roman" w:cs="Calibri"/>
          <w:b/>
          <w:i/>
          <w:color w:val="FF0000"/>
          <w:lang w:eastAsia="pl-PL"/>
        </w:rPr>
      </w:pPr>
      <w:r w:rsidRPr="00F21196">
        <w:rPr>
          <w:rFonts w:eastAsia="Times New Roman" w:cs="Calibri"/>
          <w:lang w:eastAsia="pl-PL"/>
        </w:rPr>
        <w:t>Diagnozie</w:t>
      </w:r>
      <w:r w:rsidRPr="00F21196">
        <w:rPr>
          <w:rStyle w:val="Odwoanieprzypisudolnego"/>
          <w:rFonts w:eastAsia="Times New Roman" w:cs="Calibri"/>
          <w:lang w:eastAsia="pl-PL"/>
        </w:rPr>
        <w:footnoteReference w:id="83"/>
      </w:r>
      <w:r w:rsidRPr="00F21196">
        <w:rPr>
          <w:rFonts w:eastAsia="Times New Roman" w:cs="Calibri"/>
          <w:lang w:eastAsia="pl-PL"/>
        </w:rPr>
        <w:t xml:space="preserve"> poddano zagadnienia dotyczące bezpieczeństwa finansów publicznych, systemu podatkowego,</w:t>
      </w:r>
      <w:r w:rsidRPr="00F21196">
        <w:rPr>
          <w:rFonts w:cs="Times New Roman"/>
        </w:rPr>
        <w:t xml:space="preserve"> systemu korekcyjno-wyrównawcz</w:t>
      </w:r>
      <w:r>
        <w:rPr>
          <w:rFonts w:cs="Times New Roman"/>
        </w:rPr>
        <w:t>ego</w:t>
      </w:r>
      <w:r w:rsidRPr="00F21196">
        <w:rPr>
          <w:rFonts w:cs="Times New Roman"/>
        </w:rPr>
        <w:t xml:space="preserve"> dochodów jednostek samorządu terytorialnego,</w:t>
      </w:r>
      <w:r w:rsidRPr="00F21196">
        <w:t xml:space="preserve"> planowania inwestycji rozwojowych, mechanizmu koordynacji Europejskich Funduszy Infrastrukturalnych i Inwestycyjnych.</w:t>
      </w:r>
    </w:p>
    <w:p w14:paraId="643F8A5B" w14:textId="77777777" w:rsidR="00A52B29" w:rsidRPr="00F21196" w:rsidRDefault="00A52B29" w:rsidP="00A52B29">
      <w:pPr>
        <w:autoSpaceDE w:val="0"/>
        <w:autoSpaceDN w:val="0"/>
        <w:adjustRightInd w:val="0"/>
        <w:spacing w:before="120" w:after="0" w:line="276" w:lineRule="auto"/>
        <w:jc w:val="both"/>
        <w:rPr>
          <w:rFonts w:eastAsia="Times New Roman" w:cs="Calibri"/>
        </w:rPr>
      </w:pPr>
      <w:r w:rsidRPr="00F21196">
        <w:rPr>
          <w:rFonts w:eastAsia="Times New Roman" w:cs="Calibri"/>
          <w:b/>
          <w:lang w:eastAsia="pl-PL"/>
        </w:rPr>
        <w:t>Zapewnienie przestrzegania zasad bezpieczeństwa finansów publicznych</w:t>
      </w:r>
      <w:r w:rsidRPr="00F21196">
        <w:rPr>
          <w:rFonts w:eastAsia="Times New Roman" w:cs="Calibri"/>
          <w:b/>
          <w:i/>
          <w:lang w:eastAsia="pl-PL"/>
        </w:rPr>
        <w:t xml:space="preserve">. </w:t>
      </w:r>
      <w:r w:rsidRPr="00F21196">
        <w:rPr>
          <w:rFonts w:eastAsia="Times New Roman" w:cs="Calibri"/>
        </w:rPr>
        <w:t>Relacja długu sektora instytucji rządowych i samorządowych do PKB, w horyzoncie do 2030 roku, powinna być utrzymana na poziomie poniżej 60%. Jest to również konsekwencja wymogu wynikającego z prawa Unii Europejskiej.</w:t>
      </w:r>
    </w:p>
    <w:p w14:paraId="74ABB586" w14:textId="77777777" w:rsidR="00A52B29" w:rsidRPr="00F21196" w:rsidRDefault="00A52B29" w:rsidP="00A52B29">
      <w:pPr>
        <w:autoSpaceDE w:val="0"/>
        <w:autoSpaceDN w:val="0"/>
        <w:adjustRightInd w:val="0"/>
        <w:spacing w:after="0" w:line="276" w:lineRule="auto"/>
        <w:jc w:val="both"/>
        <w:rPr>
          <w:rFonts w:eastAsia="Times New Roman" w:cs="Calibri"/>
        </w:rPr>
      </w:pPr>
      <w:r w:rsidRPr="00F21196">
        <w:rPr>
          <w:rFonts w:eastAsia="Times New Roman" w:cs="Calibri"/>
        </w:rPr>
        <w:t xml:space="preserve">Regulacje wymuszające ograniczanie poziomu długu znajdują się również w prawie krajowym: </w:t>
      </w:r>
    </w:p>
    <w:p w14:paraId="7A5FC82B" w14:textId="77777777" w:rsidR="00A52B29" w:rsidRPr="00F21196" w:rsidRDefault="00A52B29" w:rsidP="00723B3F">
      <w:pPr>
        <w:numPr>
          <w:ilvl w:val="0"/>
          <w:numId w:val="65"/>
        </w:numPr>
        <w:autoSpaceDE w:val="0"/>
        <w:autoSpaceDN w:val="0"/>
        <w:adjustRightInd w:val="0"/>
        <w:spacing w:after="0" w:line="276" w:lineRule="auto"/>
        <w:contextualSpacing/>
        <w:jc w:val="both"/>
        <w:rPr>
          <w:rFonts w:eastAsia="Times New Roman" w:cs="Calibri"/>
        </w:rPr>
      </w:pPr>
      <w:r w:rsidRPr="00645CBF">
        <w:rPr>
          <w:rFonts w:eastAsia="Times New Roman" w:cs="Calibri"/>
        </w:rPr>
        <w:t>Konstytucja Rzeczypospolitej Polskiej</w:t>
      </w:r>
      <w:r w:rsidRPr="00F21196">
        <w:rPr>
          <w:rFonts w:eastAsia="Times New Roman" w:cs="Calibri"/>
        </w:rPr>
        <w:t xml:space="preserve"> wprowadza ograniczenie wielkości państwowego długu publicznego do poziomu nieprzekraczającego 3/5 wartości rocznego PKB;</w:t>
      </w:r>
    </w:p>
    <w:p w14:paraId="478F0871" w14:textId="77777777" w:rsidR="00A52B29" w:rsidRPr="00F21196" w:rsidRDefault="00A52B29" w:rsidP="00723B3F">
      <w:pPr>
        <w:numPr>
          <w:ilvl w:val="0"/>
          <w:numId w:val="65"/>
        </w:numPr>
        <w:autoSpaceDE w:val="0"/>
        <w:autoSpaceDN w:val="0"/>
        <w:adjustRightInd w:val="0"/>
        <w:spacing w:line="276" w:lineRule="auto"/>
        <w:contextualSpacing/>
        <w:jc w:val="both"/>
        <w:rPr>
          <w:rFonts w:eastAsia="Times New Roman" w:cs="Calibri"/>
        </w:rPr>
      </w:pPr>
      <w:r w:rsidRPr="00645CBF">
        <w:rPr>
          <w:rFonts w:eastAsia="Times New Roman" w:cs="Calibri"/>
        </w:rPr>
        <w:t xml:space="preserve">ustawa </w:t>
      </w:r>
      <w:r w:rsidRPr="00F21196">
        <w:rPr>
          <w:rFonts w:eastAsia="Times New Roman" w:cs="Calibri"/>
          <w:i/>
        </w:rPr>
        <w:t>o finansach publicznych</w:t>
      </w:r>
      <w:r w:rsidRPr="00F21196">
        <w:rPr>
          <w:rFonts w:eastAsia="Times New Roman" w:cs="Calibri"/>
        </w:rPr>
        <w:t xml:space="preserve"> zawiera procedury ostrożnościowe i sanacyjne uruchamiane w przypadku przekroczenia progu 55% i 60% PKB oraz stabilizującą regułę wydatkową, ograniczającą wzrost ponad 90% wydatków sektora instytucji rządowych i samorządowych.</w:t>
      </w:r>
    </w:p>
    <w:p w14:paraId="5543A367" w14:textId="77777777" w:rsidR="00A52B29" w:rsidRPr="00F21196" w:rsidRDefault="00A52B29" w:rsidP="00A52B29">
      <w:pPr>
        <w:autoSpaceDE w:val="0"/>
        <w:autoSpaceDN w:val="0"/>
        <w:adjustRightInd w:val="0"/>
        <w:spacing w:after="0" w:line="276" w:lineRule="auto"/>
        <w:jc w:val="both"/>
        <w:rPr>
          <w:rFonts w:eastAsia="Times New Roman" w:cs="Calibri"/>
        </w:rPr>
      </w:pPr>
      <w:r w:rsidRPr="00F21196">
        <w:rPr>
          <w:rFonts w:eastAsia="Times New Roman" w:cs="Calibri"/>
        </w:rPr>
        <w:t xml:space="preserve">Z uwagi na udział długu Skarbu Państwa w długu publicznym na poziomie ponad 90%, ograniczanie przyrostu długu publicznego powinno być dokonywane głównie poprzez ograniczenie potrzeb pożyczkowych budżetu państwa, w tym deficytu budżetu państwa, jako głównego składnika tych potrzeb. </w:t>
      </w:r>
      <w:r>
        <w:rPr>
          <w:rFonts w:eastAsia="Times New Roman" w:cs="Calibri"/>
        </w:rPr>
        <w:t>P</w:t>
      </w:r>
      <w:r w:rsidRPr="00F21196">
        <w:rPr>
          <w:rFonts w:eastAsia="Times New Roman" w:cs="Calibri"/>
        </w:rPr>
        <w:t>olityka budżetowa powinna służyć</w:t>
      </w:r>
      <w:r w:rsidRPr="00C87EC9">
        <w:rPr>
          <w:rFonts w:eastAsia="Times New Roman" w:cs="Calibri"/>
        </w:rPr>
        <w:t xml:space="preserve"> </w:t>
      </w:r>
      <w:r>
        <w:rPr>
          <w:rFonts w:eastAsia="Times New Roman" w:cs="Calibri"/>
        </w:rPr>
        <w:t>r</w:t>
      </w:r>
      <w:r w:rsidRPr="00F21196">
        <w:rPr>
          <w:rFonts w:eastAsia="Times New Roman" w:cs="Calibri"/>
        </w:rPr>
        <w:t>ealizacji powyższego, uwzględniająca ograniczenia zawarte w przepisach prawa krajowego i unijnego, obejmujące:</w:t>
      </w:r>
    </w:p>
    <w:p w14:paraId="1EE083C8" w14:textId="77777777" w:rsidR="00A52B29" w:rsidRPr="00F21196" w:rsidRDefault="00A52B29" w:rsidP="00723B3F">
      <w:pPr>
        <w:numPr>
          <w:ilvl w:val="0"/>
          <w:numId w:val="66"/>
        </w:numPr>
        <w:autoSpaceDE w:val="0"/>
        <w:autoSpaceDN w:val="0"/>
        <w:adjustRightInd w:val="0"/>
        <w:spacing w:after="0" w:line="276" w:lineRule="auto"/>
        <w:ind w:left="426"/>
        <w:contextualSpacing/>
        <w:jc w:val="both"/>
        <w:rPr>
          <w:rFonts w:eastAsia="Times New Roman" w:cs="Calibri"/>
        </w:rPr>
      </w:pPr>
      <w:r w:rsidRPr="00F21196">
        <w:rPr>
          <w:rFonts w:eastAsia="Times New Roman" w:cs="Calibri"/>
        </w:rPr>
        <w:t>górny limit wydatków budżetu państwa – który jest ustalany na podstawie stabilizującej reguły wydatkowej zapisanej w ustawie o finansach publicznych,</w:t>
      </w:r>
    </w:p>
    <w:p w14:paraId="262C4F92" w14:textId="77777777" w:rsidR="00A52B29" w:rsidRPr="00F21196" w:rsidRDefault="00A52B29" w:rsidP="00723B3F">
      <w:pPr>
        <w:numPr>
          <w:ilvl w:val="0"/>
          <w:numId w:val="66"/>
        </w:numPr>
        <w:autoSpaceDE w:val="0"/>
        <w:autoSpaceDN w:val="0"/>
        <w:adjustRightInd w:val="0"/>
        <w:spacing w:before="120" w:after="120" w:line="276" w:lineRule="auto"/>
        <w:ind w:left="426"/>
        <w:contextualSpacing/>
        <w:jc w:val="both"/>
        <w:rPr>
          <w:rFonts w:eastAsia="Times New Roman" w:cs="Calibri"/>
          <w:b/>
        </w:rPr>
      </w:pPr>
      <w:r w:rsidRPr="00F21196">
        <w:rPr>
          <w:rFonts w:eastAsia="Times New Roman" w:cs="Calibri"/>
        </w:rPr>
        <w:t xml:space="preserve">respektowanie, wynikającej z Paktu Stabilności i Wzrostu, wartości referencyjnej dla deficytu nominalnego sektora instytucji rządowych i samorządowych (w wys. 3% PKB). </w:t>
      </w:r>
    </w:p>
    <w:p w14:paraId="0CF56B8F" w14:textId="77777777" w:rsidR="00A52B29" w:rsidRPr="00F21196" w:rsidRDefault="00A52B29" w:rsidP="00A52B29">
      <w:pPr>
        <w:autoSpaceDE w:val="0"/>
        <w:autoSpaceDN w:val="0"/>
        <w:adjustRightInd w:val="0"/>
        <w:spacing w:before="120" w:after="120" w:line="276" w:lineRule="auto"/>
        <w:ind w:left="66"/>
        <w:contextualSpacing/>
        <w:jc w:val="both"/>
        <w:rPr>
          <w:rFonts w:eastAsia="Times New Roman" w:cs="Calibri"/>
        </w:rPr>
      </w:pPr>
      <w:r w:rsidRPr="00F21196">
        <w:rPr>
          <w:rFonts w:eastAsia="Times New Roman" w:cs="Calibri"/>
        </w:rPr>
        <w:t>Budżet państwa ma także największy wpływ na poziom deficytu sektora instytucji rządowych i samorządowych.</w:t>
      </w:r>
    </w:p>
    <w:p w14:paraId="3E2C066B" w14:textId="77777777" w:rsidR="00A52B29" w:rsidRPr="00F21196" w:rsidRDefault="00A52B29" w:rsidP="00A52B29">
      <w:pPr>
        <w:widowControl w:val="0"/>
        <w:autoSpaceDE w:val="0"/>
        <w:autoSpaceDN w:val="0"/>
        <w:adjustRightInd w:val="0"/>
        <w:spacing w:after="120" w:line="240" w:lineRule="auto"/>
        <w:contextualSpacing/>
        <w:jc w:val="both"/>
        <w:rPr>
          <w:rFonts w:eastAsia="Times New Roman" w:cs="Calibri"/>
          <w:b/>
        </w:rPr>
      </w:pPr>
    </w:p>
    <w:p w14:paraId="39FF1CED" w14:textId="77777777" w:rsidR="00A52B29" w:rsidRPr="00F21196" w:rsidRDefault="00A52B29" w:rsidP="00A52B29">
      <w:pPr>
        <w:widowControl w:val="0"/>
        <w:autoSpaceDE w:val="0"/>
        <w:autoSpaceDN w:val="0"/>
        <w:adjustRightInd w:val="0"/>
        <w:spacing w:after="120" w:line="240" w:lineRule="auto"/>
        <w:contextualSpacing/>
        <w:jc w:val="both"/>
        <w:rPr>
          <w:rFonts w:eastAsia="Times New Roman" w:cs="Calibri"/>
          <w:b/>
        </w:rPr>
      </w:pPr>
      <w:r w:rsidRPr="00F21196">
        <w:rPr>
          <w:rFonts w:eastAsia="Times New Roman" w:cs="Calibri"/>
          <w:b/>
        </w:rPr>
        <w:t xml:space="preserve">System podatkowy. </w:t>
      </w:r>
      <w:r w:rsidRPr="00F21196">
        <w:rPr>
          <w:rFonts w:eastAsia="Times New Roman" w:cs="Calibri"/>
        </w:rPr>
        <w:t xml:space="preserve">Luki w systemie podatkowym powodują brak gwarancji bezpieczeństwa ekonomicznego państwa i dochodów budżetowych. Konieczne jest podjęcie działań uszczelniających system podatkowy, co poprawi skuteczność w zwalczaniu przestępstw i nadużyć podatkowych, stosowania agresywnej optymalizacji podatkowej i unikania opodatkowania. </w:t>
      </w:r>
    </w:p>
    <w:p w14:paraId="0B0572B6" w14:textId="77777777" w:rsidR="00A52B29" w:rsidRPr="00F21196" w:rsidRDefault="00A52B29" w:rsidP="00A52B29">
      <w:pPr>
        <w:autoSpaceDE w:val="0"/>
        <w:autoSpaceDN w:val="0"/>
        <w:adjustRightInd w:val="0"/>
        <w:spacing w:before="120" w:after="120" w:line="276" w:lineRule="auto"/>
        <w:ind w:right="-2"/>
        <w:jc w:val="both"/>
        <w:rPr>
          <w:rFonts w:eastAsia="Times New Roman" w:cs="Calibri"/>
        </w:rPr>
      </w:pPr>
      <w:r w:rsidRPr="00F21196">
        <w:rPr>
          <w:rFonts w:eastAsia="Times New Roman" w:cs="Calibri"/>
        </w:rPr>
        <w:t>Zgodnie z raportem opracowanym dla Komisji Europejskiej pt</w:t>
      </w:r>
      <w:r w:rsidRPr="00F21196">
        <w:rPr>
          <w:rFonts w:eastAsia="Times New Roman" w:cs="Calibri"/>
          <w:i/>
        </w:rPr>
        <w:t>.: Study And Reports On The Vat Gap In The Eu-28 Member States: 2016 Final Report</w:t>
      </w:r>
      <w:r w:rsidRPr="00F21196">
        <w:rPr>
          <w:rFonts w:eastAsia="Times New Roman" w:cs="Calibri"/>
        </w:rPr>
        <w:t xml:space="preserve">, Polska w 2014 r. była na 21. miejscu spośród 27 krajów Unii Europejskiej, z luką VAT na poziomie 24,08% (wobec 25,38% w 2013 r.). Średnio w Unii Europejskiej luka VAT wyniosła 14,06% (wobec 14,78% w 2013 r.). Z danych przedstawionych w raporcie wynika, że pozycja Polski w rankingu krajów europejskich corocznie się obniżała. </w:t>
      </w:r>
    </w:p>
    <w:p w14:paraId="6B0E75F3" w14:textId="77777777" w:rsidR="00A52B29" w:rsidRPr="00F21196" w:rsidRDefault="00A52B29" w:rsidP="00A52B29">
      <w:pPr>
        <w:autoSpaceDE w:val="0"/>
        <w:autoSpaceDN w:val="0"/>
        <w:adjustRightInd w:val="0"/>
        <w:spacing w:before="120" w:after="120" w:line="276" w:lineRule="auto"/>
        <w:ind w:right="-2"/>
        <w:jc w:val="both"/>
        <w:rPr>
          <w:rFonts w:eastAsia="Times New Roman" w:cs="Calibri"/>
        </w:rPr>
      </w:pPr>
      <w:r w:rsidRPr="00F21196">
        <w:rPr>
          <w:rFonts w:eastAsia="Times New Roman" w:cs="Calibri"/>
        </w:rPr>
        <w:t xml:space="preserve">Według szacunków przedstawionych w </w:t>
      </w:r>
      <w:r w:rsidRPr="00F21196">
        <w:rPr>
          <w:rFonts w:eastAsia="Times New Roman" w:cs="Calibri"/>
          <w:i/>
        </w:rPr>
        <w:t>Wieloletnim Planie Finansowym Państwa na lata 2017-2020</w:t>
      </w:r>
      <w:r w:rsidRPr="00F21196">
        <w:rPr>
          <w:rFonts w:eastAsia="Times New Roman" w:cs="Calibri"/>
        </w:rPr>
        <w:t>, w 2016</w:t>
      </w:r>
      <w:r>
        <w:rPr>
          <w:rFonts w:eastAsia="Times New Roman" w:cs="Calibri"/>
        </w:rPr>
        <w:t xml:space="preserve"> </w:t>
      </w:r>
      <w:r w:rsidRPr="00F21196">
        <w:rPr>
          <w:rFonts w:eastAsia="Times New Roman" w:cs="Calibri"/>
        </w:rPr>
        <w:t>r. po raz pierwszy odnotowano istotny wzrost ściągalności podatków, zwłaszcza podatku VAT. Według planów, nasz kraj powinien do 2020 r. zmniejszyć</w:t>
      </w:r>
      <w:r w:rsidRPr="00F21196">
        <w:rPr>
          <w:rFonts w:cs="Arial"/>
        </w:rPr>
        <w:t xml:space="preserve"> l</w:t>
      </w:r>
      <w:r w:rsidRPr="00F21196">
        <w:rPr>
          <w:rFonts w:eastAsia="Times New Roman" w:cs="Calibri"/>
        </w:rPr>
        <w:t>ukę w VAT do poziomu mediany osiągniętej przez kraje Unii Europejskiej w 2014 r., tj. 10,4%. Do tego czasu zakłada się coroczny awans pozycji Polski w rankingu.</w:t>
      </w:r>
    </w:p>
    <w:p w14:paraId="24CFD035" w14:textId="77777777" w:rsidR="00A52B29" w:rsidRPr="00F21196" w:rsidRDefault="00A52B29" w:rsidP="00A52B29">
      <w:pPr>
        <w:autoSpaceDE w:val="0"/>
        <w:autoSpaceDN w:val="0"/>
        <w:adjustRightInd w:val="0"/>
        <w:spacing w:before="120" w:after="120" w:line="276" w:lineRule="auto"/>
        <w:ind w:right="-2"/>
        <w:jc w:val="both"/>
        <w:rPr>
          <w:rFonts w:eastAsia="Times New Roman" w:cs="Calibri"/>
        </w:rPr>
      </w:pPr>
      <w:r w:rsidRPr="00F21196">
        <w:rPr>
          <w:rFonts w:eastAsia="Times New Roman" w:cs="Calibri"/>
        </w:rPr>
        <w:t xml:space="preserve">Istniejąca sytuacja wymaga zdecydowanych działań i poszukiwania nowych rozwiązań. Podatki są najważniejszym źródłem dochodów budżetu państwa, dlatego zagwarantowanie wielkości i stabilności wpływów z tego tytułu jest niezwykle istotne z punktu widzenia bezpieczeństwa, a także realizacji polityki społecznej i gospodarczej państwa. </w:t>
      </w:r>
    </w:p>
    <w:p w14:paraId="53734E81" w14:textId="77777777" w:rsidR="00A52B29" w:rsidRPr="00F21196" w:rsidRDefault="00A52B29" w:rsidP="00A52B29">
      <w:pPr>
        <w:autoSpaceDE w:val="0"/>
        <w:autoSpaceDN w:val="0"/>
        <w:adjustRightInd w:val="0"/>
        <w:spacing w:before="120" w:line="276" w:lineRule="auto"/>
        <w:ind w:right="-2"/>
        <w:jc w:val="both"/>
        <w:rPr>
          <w:rFonts w:eastAsia="Times New Roman" w:cs="Calibri"/>
        </w:rPr>
      </w:pPr>
      <w:r w:rsidRPr="00F21196">
        <w:rPr>
          <w:rFonts w:eastAsia="Times New Roman" w:cs="Calibri"/>
          <w:b/>
        </w:rPr>
        <w:t xml:space="preserve">System budżetowy a osiąganie celów strategicznych i priorytetów rozwojowych w perspektywie wieloletniej. </w:t>
      </w:r>
      <w:r w:rsidRPr="00F21196">
        <w:rPr>
          <w:rFonts w:eastAsia="Times New Roman" w:cs="Calibri"/>
        </w:rPr>
        <w:t>W 2016 r., kontynuując prace analityczne związane z określeniem konsekwencji dla systemu zarządzania finansami publicznymi, wynikających z wprowadzenia Stabilizującej Reguły Wydatkowej (SRW), przeprowadzono kompleksową diagnozę systemu budżetowego (tzw. krajowych ram budżetowych). Celem diagnozy była ocena spójności wewnętrznej i efektywności alokacyjnej poszczególnych elementów konstrukcyjnych systemu budżetowego w warunkach odgórnych ograniczeń wynikających ze stosowania SRW, a także sformułowanie propozycji ewentualnych zmian kierunkowych. Diagnoza obejmowała także analizę systemu budżetowego w świetle wymogów wynikających z dyrektywy Rady 2011/85/UE w sprawie wymogów dla ram budżetowych państw członkowskich. Uwzględniono również wyniki wcześniejszych analiz dotyczących polskiego systemu budżetowego, które zostały opracowane przez Międzynarodowy Fundusz Walutowy (IMF) oraz Organizację Współpracy Gospodarczej i Rozwoju (OECD) na zlecenie lub we współpracy z Ministerstwem Finansów</w:t>
      </w:r>
      <w:r w:rsidRPr="00F21196">
        <w:rPr>
          <w:rStyle w:val="Odwoanieprzypisudolnego"/>
          <w:rFonts w:cs="Calibri"/>
        </w:rPr>
        <w:footnoteReference w:id="84"/>
      </w:r>
      <w:r w:rsidRPr="00F21196">
        <w:rPr>
          <w:rFonts w:eastAsia="Times New Roman" w:cs="Calibri"/>
        </w:rPr>
        <w:t>. Istotny punkt odniesienia stanowiły analizy doświadczeń i rozwiązań stosowanych w innych państwach, a także międzynarodowe standardy i dobre praktyki dotyczące jawności i przejrzystości finansów publicznych oraz zarządzania budżetowego, opracowane przez instytucje międzynarodowe (Kodeks przejrzystości budżetowej IMF oraz Zalecenia OECD dotyczące zarządzania budżetowego).</w:t>
      </w:r>
    </w:p>
    <w:p w14:paraId="09978F1F" w14:textId="77777777" w:rsidR="00A52B29" w:rsidRPr="00F21196" w:rsidRDefault="00A52B29" w:rsidP="00A52B29">
      <w:pPr>
        <w:autoSpaceDE w:val="0"/>
        <w:autoSpaceDN w:val="0"/>
        <w:adjustRightInd w:val="0"/>
        <w:spacing w:before="120" w:line="276" w:lineRule="auto"/>
        <w:ind w:right="-2"/>
        <w:jc w:val="both"/>
        <w:rPr>
          <w:rFonts w:eastAsia="Times New Roman" w:cs="Calibri"/>
        </w:rPr>
      </w:pPr>
      <w:r w:rsidRPr="00F21196">
        <w:rPr>
          <w:rFonts w:eastAsia="Times New Roman" w:cs="Calibri"/>
        </w:rPr>
        <w:t>Z przeprowadzonej diagnozy wynika, że krajowe ramy budżetowe formalnie spełniają standardy międzynarodowe oraz wymogi określone w ww. dyrektywie. Wzajemne relacje pomiędzy poszczególnymi elementami, które były wprowadzane w różnym czasie i w sposób punktowy, nie pozwoliły jednak uznać, że architektura systemu budżetowego jest spójna, odpowiada wymaganiom przejrzystego i przemyślanego procesu budżetowego, a także sprzyja prowadzeniu racjonalnej, skutecznej i efektywnej polityki budżetowej, szczególnie w warunkach ograniczeń wynikających z SRW. W szczególności wyniki powyższych analiz wskazały, że procesy planowania wieloletniego i rocznego wymagają większego powiązania w ramach jednego, spójnego procesu planowania budżetowego, systemy klasyfikacyjne (klasyfikacja budżetowa i układ zadaniowy) przebudowy i</w:t>
      </w:r>
      <w:r>
        <w:rPr>
          <w:rFonts w:eastAsia="Times New Roman" w:cs="Calibri"/>
        </w:rPr>
        <w:t> </w:t>
      </w:r>
      <w:r w:rsidRPr="00F21196">
        <w:rPr>
          <w:rFonts w:eastAsia="Times New Roman" w:cs="Calibri"/>
        </w:rPr>
        <w:t xml:space="preserve">integracji, a instrumenty oceny efektywności wydatków (np. przeglądy wydatków) wzmocnienia i powiązania z procesem budżetowym. </w:t>
      </w:r>
    </w:p>
    <w:p w14:paraId="165A4D17" w14:textId="77777777" w:rsidR="00A52B29" w:rsidRPr="00F21196" w:rsidRDefault="00A52B29" w:rsidP="00A52B29">
      <w:pPr>
        <w:autoSpaceDE w:val="0"/>
        <w:autoSpaceDN w:val="0"/>
        <w:adjustRightInd w:val="0"/>
        <w:spacing w:before="120" w:line="276" w:lineRule="auto"/>
        <w:ind w:right="-2"/>
        <w:jc w:val="both"/>
        <w:rPr>
          <w:rFonts w:eastAsia="Times New Roman" w:cs="Calibri"/>
        </w:rPr>
      </w:pPr>
      <w:r w:rsidRPr="00F21196">
        <w:rPr>
          <w:rFonts w:eastAsia="Times New Roman" w:cs="Calibri"/>
        </w:rPr>
        <w:t xml:space="preserve">Wnioski z diagnozy oraz rekomendowane zmiany znalazły odzwierciedlenie w </w:t>
      </w:r>
      <w:r w:rsidRPr="00F21196">
        <w:rPr>
          <w:rFonts w:eastAsia="Times New Roman" w:cs="Calibri"/>
          <w:i/>
        </w:rPr>
        <w:t>Założeniach reformy systemu budżetowego</w:t>
      </w:r>
      <w:r w:rsidRPr="00F21196">
        <w:rPr>
          <w:rFonts w:eastAsia="Times New Roman" w:cs="Calibri"/>
        </w:rPr>
        <w:t xml:space="preserve">, przyjętych przez Radę Ministrów 26 lipca 2016 r., oraz w </w:t>
      </w:r>
      <w:r>
        <w:rPr>
          <w:rFonts w:eastAsia="Times New Roman" w:cs="Calibri"/>
        </w:rPr>
        <w:t>SOR</w:t>
      </w:r>
      <w:r w:rsidRPr="00F21196">
        <w:rPr>
          <w:rFonts w:eastAsia="Times New Roman" w:cs="Calibri"/>
        </w:rPr>
        <w:t xml:space="preserve">. </w:t>
      </w:r>
    </w:p>
    <w:p w14:paraId="214C2102" w14:textId="77777777" w:rsidR="00A52B29" w:rsidRPr="00F21196" w:rsidRDefault="00A52B29" w:rsidP="00A52B29">
      <w:pPr>
        <w:autoSpaceDE w:val="0"/>
        <w:autoSpaceDN w:val="0"/>
        <w:adjustRightInd w:val="0"/>
        <w:spacing w:before="120" w:line="276" w:lineRule="auto"/>
        <w:ind w:right="-2"/>
        <w:jc w:val="both"/>
        <w:rPr>
          <w:rFonts w:eastAsia="Times New Roman" w:cs="Calibri"/>
          <w:highlight w:val="yellow"/>
        </w:rPr>
      </w:pPr>
      <w:r w:rsidRPr="00F21196">
        <w:rPr>
          <w:rFonts w:eastAsia="Times New Roman" w:cs="Calibri"/>
        </w:rPr>
        <w:t>W konsekwencji przyjęcia tych dokumentów rozpoczęto współpracę techniczną z IMF, której celem była ocena warunków wstępnych wprowadzenia średniookresowych ram budżetowych, możliwego kształtu tych ram i narzędzi wspierających ich funkcjonowanie, a także opracowanie propozycji podejścia do integracji klasyfikacji budżetowej i planu kont sektora finansów publicznych. IMF ocenił, iż Polska spełnia podstawowe warunki wstępne, niezbędne dla wprowadzenia średniookresowych ram budżetowych: budżet roczny jest wiarygodny, opiera się na trafnych prognozach makroekonomicznych i pozwala na osiąganie celów wynikających z obowiązujących reguł fiskalnych dotyczących długu i deficytu</w:t>
      </w:r>
      <w:r w:rsidRPr="00F21196">
        <w:rPr>
          <w:rStyle w:val="Odwoanieprzypisudolnego"/>
          <w:rFonts w:cs="Calibri"/>
        </w:rPr>
        <w:footnoteReference w:id="85"/>
      </w:r>
      <w:r w:rsidRPr="00F21196">
        <w:rPr>
          <w:rFonts w:eastAsia="Times New Roman" w:cs="Calibri"/>
        </w:rPr>
        <w:t xml:space="preserve">. Jednocześnie, uwzględniając szeroki zakres zmian wynikających z </w:t>
      </w:r>
      <w:r w:rsidRPr="00F21196">
        <w:rPr>
          <w:rFonts w:eastAsia="Times New Roman" w:cs="Calibri"/>
          <w:i/>
        </w:rPr>
        <w:t>Założeń</w:t>
      </w:r>
      <w:r w:rsidRPr="00F21196">
        <w:rPr>
          <w:rFonts w:eastAsia="Times New Roman" w:cs="Calibri"/>
        </w:rPr>
        <w:t xml:space="preserve"> i SOR, IMF zalecił zastosowanie podejścia etapowego oraz priorytetyzację zmian, wskazując, że powinny one w pierwszej kolejności obejmować ww. elementy systemu budżetowego.</w:t>
      </w:r>
    </w:p>
    <w:p w14:paraId="009AFF4E" w14:textId="77777777" w:rsidR="00A52B29" w:rsidRPr="00F21196" w:rsidRDefault="00A52B29" w:rsidP="00A52B29">
      <w:pPr>
        <w:autoSpaceDE w:val="0"/>
        <w:autoSpaceDN w:val="0"/>
        <w:adjustRightInd w:val="0"/>
        <w:spacing w:before="120" w:line="276" w:lineRule="auto"/>
        <w:ind w:right="-2"/>
        <w:jc w:val="both"/>
        <w:rPr>
          <w:rFonts w:cs="Times New Roman"/>
        </w:rPr>
      </w:pPr>
      <w:r w:rsidRPr="00F21196">
        <w:rPr>
          <w:rFonts w:eastAsia="Times New Roman" w:cs="Calibri"/>
          <w:b/>
        </w:rPr>
        <w:t xml:space="preserve">System finansów jednostek samorządu terytorialnego. </w:t>
      </w:r>
      <w:r w:rsidRPr="00F21196">
        <w:rPr>
          <w:rFonts w:cs="Times New Roman"/>
        </w:rPr>
        <w:t>Obecny system korekcyjno-wyrównawczy dochodów jednostek samorządu terytorialnego</w:t>
      </w:r>
      <w:r>
        <w:rPr>
          <w:rStyle w:val="Odwoanieprzypisudolnego"/>
          <w:rFonts w:cs="Times New Roman"/>
        </w:rPr>
        <w:footnoteReference w:id="86"/>
      </w:r>
      <w:r w:rsidRPr="00F21196">
        <w:rPr>
          <w:rFonts w:cs="Times New Roman"/>
        </w:rPr>
        <w:t xml:space="preserve"> obowiązuje od 20</w:t>
      </w:r>
      <w:r>
        <w:rPr>
          <w:rFonts w:cs="Times New Roman"/>
        </w:rPr>
        <w:t>0</w:t>
      </w:r>
      <w:r w:rsidRPr="00F21196">
        <w:rPr>
          <w:rFonts w:cs="Times New Roman"/>
        </w:rPr>
        <w:t>4 r., z czego w pełni od 2006 r. (mając na względzie okres p</w:t>
      </w:r>
      <w:r>
        <w:rPr>
          <w:rFonts w:cs="Times New Roman"/>
        </w:rPr>
        <w:t xml:space="preserve">rzejściowy w latach 2004-2005). </w:t>
      </w:r>
      <w:r w:rsidRPr="00F21196">
        <w:rPr>
          <w:rFonts w:cs="Times New Roman"/>
        </w:rPr>
        <w:t xml:space="preserve">System finansowania samorządów jest oparty w dużym stopniu </w:t>
      </w:r>
      <w:r w:rsidRPr="00F21196">
        <w:rPr>
          <w:rFonts w:cs="Times New Roman"/>
        </w:rPr>
        <w:br/>
        <w:t xml:space="preserve">na dochodach własnych, którymi zastąpiono znaczną część dotacji, i na subwencji ogólnej. </w:t>
      </w:r>
    </w:p>
    <w:p w14:paraId="554101F1" w14:textId="77777777" w:rsidR="00A52B29" w:rsidRPr="00F21196" w:rsidRDefault="00A52B29" w:rsidP="00A52B29">
      <w:pPr>
        <w:pStyle w:val="Akapitzlist"/>
        <w:spacing w:before="120" w:line="276" w:lineRule="auto"/>
        <w:ind w:left="0"/>
        <w:contextualSpacing w:val="0"/>
        <w:jc w:val="both"/>
        <w:rPr>
          <w:rFonts w:asciiTheme="minorHAnsi" w:hAnsiTheme="minorHAnsi"/>
          <w:sz w:val="22"/>
          <w:szCs w:val="22"/>
          <w:lang w:eastAsia="en-US"/>
        </w:rPr>
      </w:pPr>
      <w:r w:rsidRPr="00F21196">
        <w:rPr>
          <w:rFonts w:asciiTheme="minorHAnsi" w:hAnsiTheme="minorHAnsi"/>
          <w:sz w:val="22"/>
          <w:szCs w:val="22"/>
          <w:lang w:eastAsia="en-US"/>
        </w:rPr>
        <w:t xml:space="preserve">W trakcie funkcjonowania tego systemu dostrzeżono kwestie wskazujące na dysfunkcje obowiązujących rozwiązań. Jednym z problemów obecnego systemu jest brak uwzględnienia potrzeb wydatkowych JST. </w:t>
      </w:r>
      <w:r w:rsidRPr="00F21196">
        <w:rPr>
          <w:rFonts w:asciiTheme="minorHAnsi" w:hAnsiTheme="minorHAnsi"/>
          <w:sz w:val="22"/>
          <w:szCs w:val="22"/>
          <w:lang w:eastAsia="en-US"/>
        </w:rPr>
        <w:br/>
        <w:t>Na wady mechanizmu ustalania wpłat do budżetu państwa i podziału tych środków wskazał również Trybunał Konstytucyjny:</w:t>
      </w:r>
    </w:p>
    <w:p w14:paraId="39F453A4" w14:textId="77777777" w:rsidR="00A52B29" w:rsidRPr="00F21196" w:rsidRDefault="00A52B29" w:rsidP="00723B3F">
      <w:pPr>
        <w:pStyle w:val="Akapitzlist"/>
        <w:numPr>
          <w:ilvl w:val="0"/>
          <w:numId w:val="23"/>
        </w:numPr>
        <w:spacing w:line="276" w:lineRule="auto"/>
        <w:contextualSpacing w:val="0"/>
        <w:jc w:val="both"/>
        <w:rPr>
          <w:rFonts w:asciiTheme="minorHAnsi" w:hAnsiTheme="minorHAnsi"/>
          <w:sz w:val="22"/>
          <w:szCs w:val="22"/>
          <w:lang w:eastAsia="en-US"/>
        </w:rPr>
      </w:pPr>
      <w:r w:rsidRPr="00F21196">
        <w:rPr>
          <w:rFonts w:asciiTheme="minorHAnsi" w:hAnsiTheme="minorHAnsi"/>
          <w:sz w:val="22"/>
          <w:szCs w:val="22"/>
          <w:lang w:eastAsia="en-US"/>
        </w:rPr>
        <w:t>brak gwarancji zachowania istotnej części dochodów własnych,</w:t>
      </w:r>
    </w:p>
    <w:p w14:paraId="6D399EC1" w14:textId="77777777" w:rsidR="00A52B29" w:rsidRPr="00F21196" w:rsidRDefault="00A52B29" w:rsidP="00723B3F">
      <w:pPr>
        <w:pStyle w:val="Akapitzlist"/>
        <w:numPr>
          <w:ilvl w:val="0"/>
          <w:numId w:val="23"/>
        </w:numPr>
        <w:spacing w:line="276" w:lineRule="auto"/>
        <w:contextualSpacing w:val="0"/>
        <w:jc w:val="both"/>
        <w:rPr>
          <w:rFonts w:asciiTheme="minorHAnsi" w:hAnsiTheme="minorHAnsi"/>
          <w:sz w:val="22"/>
          <w:szCs w:val="22"/>
          <w:lang w:eastAsia="en-US"/>
        </w:rPr>
      </w:pPr>
      <w:r w:rsidRPr="00F21196">
        <w:rPr>
          <w:rFonts w:asciiTheme="minorHAnsi" w:hAnsiTheme="minorHAnsi"/>
          <w:sz w:val="22"/>
          <w:szCs w:val="22"/>
          <w:lang w:eastAsia="en-US"/>
        </w:rPr>
        <w:t>brak zabezpieczeń przed nadmiernym ubytkiem dochodów własnych w okresie dekoniunktury,</w:t>
      </w:r>
    </w:p>
    <w:p w14:paraId="568C4CB2" w14:textId="77777777" w:rsidR="00A52B29" w:rsidRPr="00F21196" w:rsidRDefault="00A52B29" w:rsidP="00723B3F">
      <w:pPr>
        <w:pStyle w:val="Akapitzlist"/>
        <w:numPr>
          <w:ilvl w:val="0"/>
          <w:numId w:val="23"/>
        </w:numPr>
        <w:spacing w:line="276" w:lineRule="auto"/>
        <w:contextualSpacing w:val="0"/>
        <w:jc w:val="both"/>
        <w:rPr>
          <w:rFonts w:asciiTheme="minorHAnsi" w:hAnsiTheme="minorHAnsi"/>
          <w:sz w:val="22"/>
          <w:szCs w:val="22"/>
          <w:lang w:eastAsia="en-US"/>
        </w:rPr>
      </w:pPr>
      <w:r w:rsidRPr="00F21196">
        <w:rPr>
          <w:rFonts w:asciiTheme="minorHAnsi" w:hAnsiTheme="minorHAnsi"/>
          <w:sz w:val="22"/>
          <w:szCs w:val="22"/>
          <w:lang w:eastAsia="en-US"/>
        </w:rPr>
        <w:t>wpłaty nie powinny prowadzić do spadku dochodów poniżej przeciętnych,</w:t>
      </w:r>
    </w:p>
    <w:p w14:paraId="5F6728CC" w14:textId="77777777" w:rsidR="00A52B29" w:rsidRPr="00F21196" w:rsidRDefault="00A52B29" w:rsidP="00723B3F">
      <w:pPr>
        <w:pStyle w:val="Akapitzlist"/>
        <w:numPr>
          <w:ilvl w:val="0"/>
          <w:numId w:val="23"/>
        </w:numPr>
        <w:spacing w:line="276" w:lineRule="auto"/>
        <w:contextualSpacing w:val="0"/>
        <w:jc w:val="both"/>
        <w:rPr>
          <w:rFonts w:asciiTheme="minorHAnsi" w:hAnsiTheme="minorHAnsi"/>
          <w:sz w:val="22"/>
          <w:szCs w:val="22"/>
          <w:lang w:eastAsia="en-US"/>
        </w:rPr>
      </w:pPr>
      <w:r w:rsidRPr="00F21196">
        <w:rPr>
          <w:rFonts w:asciiTheme="minorHAnsi" w:hAnsiTheme="minorHAnsi"/>
          <w:sz w:val="22"/>
          <w:szCs w:val="22"/>
          <w:lang w:eastAsia="en-US"/>
        </w:rPr>
        <w:t>środki z wpłat przekazywane są samorządom niekoniecznie uboższym,</w:t>
      </w:r>
    </w:p>
    <w:p w14:paraId="1394F5AD" w14:textId="77777777" w:rsidR="00A52B29" w:rsidRPr="00F21196" w:rsidRDefault="00A52B29" w:rsidP="00723B3F">
      <w:pPr>
        <w:pStyle w:val="Akapitzlist"/>
        <w:numPr>
          <w:ilvl w:val="0"/>
          <w:numId w:val="23"/>
        </w:numPr>
        <w:spacing w:line="276" w:lineRule="auto"/>
        <w:contextualSpacing w:val="0"/>
        <w:jc w:val="both"/>
        <w:rPr>
          <w:rFonts w:asciiTheme="minorHAnsi" w:hAnsiTheme="minorHAnsi"/>
          <w:sz w:val="22"/>
          <w:szCs w:val="22"/>
          <w:lang w:eastAsia="en-US"/>
        </w:rPr>
      </w:pPr>
      <w:r w:rsidRPr="00F21196">
        <w:rPr>
          <w:rFonts w:asciiTheme="minorHAnsi" w:hAnsiTheme="minorHAnsi"/>
          <w:sz w:val="22"/>
          <w:szCs w:val="22"/>
          <w:lang w:eastAsia="en-US"/>
        </w:rPr>
        <w:t>nie uwzględnienie specyfiki dużych miast oraz struktury demograficznej czy sezonowego przypływu ludności,</w:t>
      </w:r>
    </w:p>
    <w:p w14:paraId="54A19FF9" w14:textId="77777777" w:rsidR="00A52B29" w:rsidRPr="00F21196" w:rsidRDefault="00A52B29" w:rsidP="00723B3F">
      <w:pPr>
        <w:pStyle w:val="Akapitzlist"/>
        <w:numPr>
          <w:ilvl w:val="0"/>
          <w:numId w:val="23"/>
        </w:numPr>
        <w:spacing w:line="276" w:lineRule="auto"/>
        <w:contextualSpacing w:val="0"/>
        <w:jc w:val="both"/>
        <w:rPr>
          <w:rFonts w:asciiTheme="minorHAnsi" w:hAnsiTheme="minorHAnsi"/>
          <w:sz w:val="22"/>
          <w:szCs w:val="22"/>
          <w:lang w:eastAsia="en-US"/>
        </w:rPr>
      </w:pPr>
      <w:r w:rsidRPr="00F21196">
        <w:rPr>
          <w:rFonts w:asciiTheme="minorHAnsi" w:hAnsiTheme="minorHAnsi"/>
          <w:sz w:val="22"/>
          <w:szCs w:val="22"/>
          <w:lang w:eastAsia="en-US"/>
        </w:rPr>
        <w:t>ograniczenie kryteriów ustalania beneficjentów części równoważącej do wybranych wydatków i wybranych dochodów,</w:t>
      </w:r>
    </w:p>
    <w:p w14:paraId="57830127" w14:textId="77777777" w:rsidR="00A52B29" w:rsidRPr="00F21196" w:rsidRDefault="00A52B29" w:rsidP="00A52B29">
      <w:pPr>
        <w:pStyle w:val="Akapitzlist"/>
        <w:spacing w:before="120" w:line="276" w:lineRule="auto"/>
        <w:ind w:left="0"/>
        <w:contextualSpacing w:val="0"/>
        <w:jc w:val="both"/>
        <w:rPr>
          <w:rFonts w:asciiTheme="minorHAnsi" w:hAnsiTheme="minorHAnsi"/>
          <w:sz w:val="22"/>
          <w:szCs w:val="22"/>
          <w:lang w:eastAsia="en-US"/>
        </w:rPr>
      </w:pPr>
      <w:r w:rsidRPr="00F21196">
        <w:rPr>
          <w:rFonts w:asciiTheme="minorHAnsi" w:hAnsiTheme="minorHAnsi"/>
          <w:sz w:val="22"/>
          <w:szCs w:val="22"/>
          <w:lang w:eastAsia="en-US"/>
        </w:rPr>
        <w:t xml:space="preserve">Problem dotyczy gmin, powiatów i województw – łącznie około 3 tys. jednostek samorządu terytorialnego. Zmiana systemu finansowania JST jest niezwykle istotna nie tylko z punktu widzenia samorządów, ale również dla całego systemu finansów publicznych w Polsce. O wadze zagadnienia świadczy fakt, że dochody i wydatki zrealizowane przez jednostki samorządu terytorialnego w </w:t>
      </w:r>
      <w:r>
        <w:rPr>
          <w:rFonts w:asciiTheme="minorHAnsi" w:hAnsiTheme="minorHAnsi"/>
          <w:sz w:val="22"/>
          <w:szCs w:val="22"/>
          <w:lang w:eastAsia="en-US"/>
        </w:rPr>
        <w:t>2018</w:t>
      </w:r>
      <w:r w:rsidRPr="00F21196">
        <w:rPr>
          <w:rFonts w:asciiTheme="minorHAnsi" w:hAnsiTheme="minorHAnsi"/>
          <w:sz w:val="22"/>
          <w:szCs w:val="22"/>
          <w:lang w:eastAsia="en-US"/>
        </w:rPr>
        <w:t xml:space="preserve"> r. wynosiły odpowiednio </w:t>
      </w:r>
      <w:r>
        <w:rPr>
          <w:rFonts w:asciiTheme="minorHAnsi" w:hAnsiTheme="minorHAnsi"/>
          <w:sz w:val="22"/>
          <w:szCs w:val="22"/>
          <w:lang w:eastAsia="en-US"/>
        </w:rPr>
        <w:t>251,6</w:t>
      </w:r>
      <w:r w:rsidRPr="00F21196">
        <w:rPr>
          <w:rFonts w:asciiTheme="minorHAnsi" w:hAnsiTheme="minorHAnsi"/>
          <w:sz w:val="22"/>
          <w:szCs w:val="22"/>
          <w:lang w:eastAsia="en-US"/>
        </w:rPr>
        <w:t xml:space="preserve"> mld </w:t>
      </w:r>
      <w:r>
        <w:rPr>
          <w:rFonts w:asciiTheme="minorHAnsi" w:hAnsiTheme="minorHAnsi"/>
          <w:sz w:val="22"/>
          <w:szCs w:val="22"/>
          <w:lang w:eastAsia="en-US"/>
        </w:rPr>
        <w:t>oraz</w:t>
      </w:r>
      <w:r w:rsidRPr="00F21196">
        <w:rPr>
          <w:rFonts w:asciiTheme="minorHAnsi" w:hAnsiTheme="minorHAnsi"/>
          <w:sz w:val="22"/>
          <w:szCs w:val="22"/>
          <w:lang w:eastAsia="en-US"/>
        </w:rPr>
        <w:t xml:space="preserve"> </w:t>
      </w:r>
      <w:r>
        <w:rPr>
          <w:rFonts w:asciiTheme="minorHAnsi" w:hAnsiTheme="minorHAnsi"/>
          <w:sz w:val="22"/>
          <w:szCs w:val="22"/>
          <w:lang w:eastAsia="en-US"/>
        </w:rPr>
        <w:t>259,4 </w:t>
      </w:r>
      <w:r w:rsidRPr="00F21196">
        <w:rPr>
          <w:rFonts w:asciiTheme="minorHAnsi" w:hAnsiTheme="minorHAnsi"/>
          <w:sz w:val="22"/>
          <w:szCs w:val="22"/>
          <w:lang w:eastAsia="en-US"/>
        </w:rPr>
        <w:t xml:space="preserve">mld i w porównaniu do budżetu państwa, stanowiły odpowiednio </w:t>
      </w:r>
      <w:r>
        <w:rPr>
          <w:rFonts w:asciiTheme="minorHAnsi" w:hAnsiTheme="minorHAnsi"/>
          <w:sz w:val="22"/>
          <w:szCs w:val="22"/>
          <w:lang w:eastAsia="en-US"/>
        </w:rPr>
        <w:t>66,2</w:t>
      </w:r>
      <w:r w:rsidRPr="00F21196">
        <w:rPr>
          <w:rFonts w:asciiTheme="minorHAnsi" w:hAnsiTheme="minorHAnsi"/>
          <w:sz w:val="22"/>
          <w:szCs w:val="22"/>
          <w:lang w:eastAsia="en-US"/>
        </w:rPr>
        <w:t xml:space="preserve">% dochodów oraz </w:t>
      </w:r>
      <w:r>
        <w:rPr>
          <w:rFonts w:asciiTheme="minorHAnsi" w:hAnsiTheme="minorHAnsi"/>
          <w:sz w:val="22"/>
          <w:szCs w:val="22"/>
          <w:lang w:eastAsia="en-US"/>
        </w:rPr>
        <w:t>66,4</w:t>
      </w:r>
      <w:r w:rsidRPr="00F21196">
        <w:rPr>
          <w:rFonts w:asciiTheme="minorHAnsi" w:hAnsiTheme="minorHAnsi"/>
          <w:sz w:val="22"/>
          <w:szCs w:val="22"/>
          <w:lang w:eastAsia="en-US"/>
        </w:rPr>
        <w:t>% wydatków. Subwencja ogólna dla jednostek samorządu terytorialnego, w warunkach 2018 r., wyn</w:t>
      </w:r>
      <w:r>
        <w:rPr>
          <w:rFonts w:asciiTheme="minorHAnsi" w:hAnsiTheme="minorHAnsi"/>
          <w:sz w:val="22"/>
          <w:szCs w:val="22"/>
          <w:lang w:eastAsia="en-US"/>
        </w:rPr>
        <w:t>iosła</w:t>
      </w:r>
      <w:r w:rsidRPr="00F21196">
        <w:rPr>
          <w:rFonts w:asciiTheme="minorHAnsi" w:hAnsiTheme="minorHAnsi"/>
          <w:sz w:val="22"/>
          <w:szCs w:val="22"/>
          <w:lang w:eastAsia="en-US"/>
        </w:rPr>
        <w:t xml:space="preserve"> ponad 56 mld zł, co stanowi 14,2% łącznych wydatków budżetu państwa.</w:t>
      </w:r>
      <w:r>
        <w:rPr>
          <w:rFonts w:asciiTheme="minorHAnsi" w:hAnsiTheme="minorHAnsi"/>
          <w:sz w:val="22"/>
          <w:szCs w:val="22"/>
          <w:lang w:eastAsia="en-US"/>
        </w:rPr>
        <w:t xml:space="preserve"> </w:t>
      </w:r>
      <w:r w:rsidRPr="00F21196">
        <w:rPr>
          <w:rFonts w:asciiTheme="minorHAnsi" w:hAnsiTheme="minorHAnsi"/>
          <w:sz w:val="22"/>
          <w:szCs w:val="22"/>
          <w:lang w:eastAsia="en-US"/>
        </w:rPr>
        <w:t xml:space="preserve">Próby rozwiązania problemu były podejmowane, jednak z uwagi na złożoność problematyki uznano, że kwestia ta wymaga pogłębionej analizy. </w:t>
      </w:r>
    </w:p>
    <w:p w14:paraId="57D00C02" w14:textId="77777777" w:rsidR="00A52B29" w:rsidRPr="00F21196" w:rsidRDefault="00A52B29" w:rsidP="00A52B29">
      <w:pPr>
        <w:pStyle w:val="Akapitzlist"/>
        <w:spacing w:before="120" w:line="276" w:lineRule="auto"/>
        <w:ind w:left="0"/>
        <w:contextualSpacing w:val="0"/>
        <w:jc w:val="both"/>
        <w:rPr>
          <w:rFonts w:asciiTheme="minorHAnsi" w:hAnsiTheme="minorHAnsi"/>
          <w:sz w:val="22"/>
          <w:szCs w:val="22"/>
          <w:lang w:eastAsia="en-US"/>
        </w:rPr>
      </w:pPr>
      <w:r w:rsidRPr="00F21196">
        <w:rPr>
          <w:rFonts w:asciiTheme="minorHAnsi" w:hAnsiTheme="minorHAnsi"/>
          <w:sz w:val="22"/>
          <w:szCs w:val="22"/>
          <w:lang w:eastAsia="en-US"/>
        </w:rPr>
        <w:t xml:space="preserve">Dotychczas wyeliminowano dysfunkcje w zakresie subwencji ogólnej dla województw i wpłat do budżetu państwa dokonywanych przez województwa najbogatsze. Nowe rozwiązania dla województw obowiązują do końca </w:t>
      </w:r>
      <w:r>
        <w:rPr>
          <w:rFonts w:asciiTheme="minorHAnsi" w:hAnsiTheme="minorHAnsi"/>
          <w:sz w:val="22"/>
          <w:szCs w:val="22"/>
          <w:lang w:eastAsia="en-US"/>
        </w:rPr>
        <w:t>2021</w:t>
      </w:r>
      <w:r w:rsidRPr="00F21196">
        <w:rPr>
          <w:rFonts w:asciiTheme="minorHAnsi" w:hAnsiTheme="minorHAnsi"/>
          <w:sz w:val="22"/>
          <w:szCs w:val="22"/>
          <w:lang w:eastAsia="en-US"/>
        </w:rPr>
        <w:t xml:space="preserve"> r. </w:t>
      </w:r>
    </w:p>
    <w:p w14:paraId="63699692" w14:textId="77777777" w:rsidR="00A52B29" w:rsidRDefault="00A52B29" w:rsidP="00A52B29">
      <w:pPr>
        <w:pStyle w:val="Akapitzlist"/>
        <w:spacing w:before="120" w:line="276" w:lineRule="auto"/>
        <w:ind w:left="0"/>
        <w:contextualSpacing w:val="0"/>
        <w:jc w:val="both"/>
        <w:rPr>
          <w:rFonts w:asciiTheme="minorHAnsi" w:hAnsiTheme="minorHAnsi"/>
          <w:sz w:val="22"/>
          <w:szCs w:val="22"/>
          <w:lang w:eastAsia="en-US"/>
        </w:rPr>
      </w:pPr>
      <w:r>
        <w:rPr>
          <w:rFonts w:asciiTheme="minorHAnsi" w:hAnsiTheme="minorHAnsi"/>
          <w:sz w:val="22"/>
          <w:szCs w:val="22"/>
          <w:lang w:eastAsia="en-US"/>
        </w:rPr>
        <w:t xml:space="preserve">Dążyć się będzie do </w:t>
      </w:r>
      <w:r w:rsidRPr="00F21196">
        <w:rPr>
          <w:rFonts w:asciiTheme="minorHAnsi" w:hAnsiTheme="minorHAnsi"/>
          <w:sz w:val="22"/>
          <w:szCs w:val="22"/>
          <w:lang w:eastAsia="en-US"/>
        </w:rPr>
        <w:t>opracowani</w:t>
      </w:r>
      <w:r>
        <w:rPr>
          <w:rFonts w:asciiTheme="minorHAnsi" w:hAnsiTheme="minorHAnsi"/>
          <w:sz w:val="22"/>
          <w:szCs w:val="22"/>
          <w:lang w:eastAsia="en-US"/>
        </w:rPr>
        <w:t>a</w:t>
      </w:r>
      <w:r w:rsidRPr="00F21196">
        <w:rPr>
          <w:rFonts w:asciiTheme="minorHAnsi" w:hAnsiTheme="minorHAnsi"/>
          <w:sz w:val="22"/>
          <w:szCs w:val="22"/>
          <w:lang w:eastAsia="en-US"/>
        </w:rPr>
        <w:t xml:space="preserve"> racjonalnego systemu korekcyjno-wyrównawczego dla wszystkich JST, który będzie stanowił podstawę do wyliczenia, według nowych z</w:t>
      </w:r>
      <w:r>
        <w:rPr>
          <w:rFonts w:asciiTheme="minorHAnsi" w:hAnsiTheme="minorHAnsi"/>
          <w:sz w:val="22"/>
          <w:szCs w:val="22"/>
          <w:lang w:eastAsia="en-US"/>
        </w:rPr>
        <w:t>asad, subwencji ogólnej i wpłat.</w:t>
      </w:r>
    </w:p>
    <w:p w14:paraId="64C243D1" w14:textId="77777777" w:rsidR="00A52B29" w:rsidRDefault="00A52B29" w:rsidP="00A52B29">
      <w:pPr>
        <w:spacing w:after="120" w:line="276" w:lineRule="auto"/>
        <w:jc w:val="both"/>
        <w:rPr>
          <w:rFonts w:cs="TimesNewRomanPSMT"/>
          <w:color w:val="000000"/>
        </w:rPr>
      </w:pPr>
      <w:r w:rsidRPr="00164C02">
        <w:rPr>
          <w:rFonts w:cs="TimesNewRomanPSMT"/>
          <w:color w:val="000000"/>
        </w:rPr>
        <w:t>W celu wyeliminowania dysfunkcji w systemie korekcyjno-wyrównawczym</w:t>
      </w:r>
      <w:r>
        <w:rPr>
          <w:rFonts w:cs="TimesNewRomanPSMT"/>
          <w:color w:val="000000"/>
        </w:rPr>
        <w:t xml:space="preserve"> </w:t>
      </w:r>
      <w:r w:rsidRPr="00164C02">
        <w:rPr>
          <w:rFonts w:cs="TimesNewRomanPSMT"/>
          <w:color w:val="000000"/>
        </w:rPr>
        <w:t>niezbędne jest prowadzenie pogłębionych analiz i rachunków symulacyjnych.</w:t>
      </w:r>
      <w:r>
        <w:rPr>
          <w:rFonts w:cs="TimesNewRomanPSMT"/>
          <w:color w:val="000000"/>
        </w:rPr>
        <w:t xml:space="preserve"> Wymaga rozważenia</w:t>
      </w:r>
      <w:r w:rsidRPr="00164C02">
        <w:rPr>
          <w:rFonts w:cs="TimesNewRomanPSMT"/>
          <w:color w:val="000000"/>
        </w:rPr>
        <w:t>, czy zmiany powinny ograniczać się jedynie do systemu</w:t>
      </w:r>
      <w:r>
        <w:rPr>
          <w:rFonts w:cs="TimesNewRomanPSMT"/>
          <w:color w:val="000000"/>
        </w:rPr>
        <w:t xml:space="preserve"> </w:t>
      </w:r>
      <w:r w:rsidRPr="00164C02">
        <w:rPr>
          <w:rFonts w:cs="TimesNewRomanPSMT"/>
          <w:color w:val="000000"/>
        </w:rPr>
        <w:t>korekcyjno-wyrównawczego, czy też konieczne są znacznie szersze reformy dotyczące</w:t>
      </w:r>
      <w:r>
        <w:rPr>
          <w:rFonts w:cs="TimesNewRomanPSMT"/>
          <w:color w:val="000000"/>
        </w:rPr>
        <w:t xml:space="preserve"> </w:t>
      </w:r>
      <w:r w:rsidRPr="00164C02">
        <w:rPr>
          <w:rFonts w:cs="TimesNewRomanPSMT"/>
          <w:color w:val="000000"/>
        </w:rPr>
        <w:t>finansów JST. Ostateczny zakres zmian musi być wkomponowany w system finansów</w:t>
      </w:r>
      <w:r>
        <w:rPr>
          <w:rFonts w:cs="TimesNewRomanPSMT"/>
          <w:color w:val="000000"/>
        </w:rPr>
        <w:t xml:space="preserve"> </w:t>
      </w:r>
      <w:r w:rsidRPr="00164C02">
        <w:rPr>
          <w:rFonts w:cs="TimesNewRomanPSMT"/>
          <w:color w:val="000000"/>
        </w:rPr>
        <w:t>publicznych i rozpatrywany w kontekście wszystkich wprowadzanych zmian i reform</w:t>
      </w:r>
      <w:r>
        <w:rPr>
          <w:rFonts w:cs="TimesNewRomanPSMT"/>
          <w:color w:val="000000"/>
        </w:rPr>
        <w:t>.</w:t>
      </w:r>
    </w:p>
    <w:p w14:paraId="0BB08E88" w14:textId="77777777" w:rsidR="00A52B29" w:rsidRPr="00F21196" w:rsidRDefault="00A52B29" w:rsidP="00A52B29">
      <w:pPr>
        <w:spacing w:after="120" w:line="276" w:lineRule="auto"/>
        <w:jc w:val="both"/>
        <w:rPr>
          <w:rFonts w:eastAsia="Times New Roman" w:cs="Calibri"/>
          <w:b/>
          <w:lang w:eastAsia="pl-PL"/>
        </w:rPr>
      </w:pPr>
      <w:r w:rsidRPr="00F21196">
        <w:rPr>
          <w:rFonts w:eastAsia="Times New Roman" w:cs="Calibri"/>
          <w:b/>
          <w:lang w:eastAsia="pl-PL"/>
        </w:rPr>
        <w:t>Planowanie inwestycji rozwojowych.</w:t>
      </w:r>
      <w:r w:rsidRPr="00F21196">
        <w:rPr>
          <w:rFonts w:eastAsia="Times New Roman" w:cs="Calibri"/>
          <w:lang w:eastAsia="pl-PL"/>
        </w:rPr>
        <w:t xml:space="preserve"> Niska zdolność instytucji do tworzenia wieloletnich planów inwestycji rozwojowych stanowi istotną barierę w procesie </w:t>
      </w:r>
      <w:r w:rsidRPr="00F21196">
        <w:t>do wieloletniego planow</w:t>
      </w:r>
      <w:r>
        <w:t>ania inwestycji finansowanych z </w:t>
      </w:r>
      <w:r w:rsidRPr="00F21196">
        <w:t xml:space="preserve">różnych instrumentów zewnętrznych i krajowych. Obecnie źródła finansowania są rozproszone i brakuje systemu koordynacji, który pozwoliłby na efektywne kierowanie dostępnych środków na branże/inwestycje w największym stopniu przyczyniające się do realizacji celów rozwojowych kraju.  </w:t>
      </w:r>
    </w:p>
    <w:p w14:paraId="0F58B693" w14:textId="77777777" w:rsidR="00A52B29" w:rsidRPr="00F21196" w:rsidRDefault="00A52B29" w:rsidP="00A52B29">
      <w:pPr>
        <w:spacing w:after="120" w:line="276" w:lineRule="auto"/>
        <w:jc w:val="both"/>
      </w:pPr>
      <w:r w:rsidRPr="00F21196">
        <w:rPr>
          <w:rFonts w:eastAsia="Times New Roman" w:cs="Calibri"/>
          <w:b/>
          <w:lang w:eastAsia="pl-PL"/>
        </w:rPr>
        <w:t>Mechanizm koordynacji środków EFSI</w:t>
      </w:r>
      <w:r w:rsidRPr="00F21196">
        <w:rPr>
          <w:rStyle w:val="Odwoanieprzypisudolnego"/>
          <w:rFonts w:eastAsia="Times New Roman" w:cs="Calibri"/>
          <w:b/>
          <w:lang w:eastAsia="pl-PL"/>
        </w:rPr>
        <w:footnoteReference w:id="87"/>
      </w:r>
      <w:r w:rsidRPr="00F21196">
        <w:rPr>
          <w:rFonts w:eastAsia="Times New Roman" w:cs="Calibri"/>
          <w:b/>
          <w:lang w:eastAsia="pl-PL"/>
        </w:rPr>
        <w:t xml:space="preserve"> z innymi środkami UE.</w:t>
      </w:r>
      <w:r w:rsidRPr="00F21196">
        <w:t xml:space="preserve"> </w:t>
      </w:r>
      <w:r w:rsidRPr="00615D12">
        <w:rPr>
          <w:rFonts w:cs="Arial"/>
          <w:iCs/>
          <w:szCs w:val="18"/>
        </w:rPr>
        <w:t>Obecny udział polskich podmiotów w programach zarządzanych centralnie przez KE (np. Horyzont 2020, COSME, LIFE, Erasmus+) jest niezadowalający</w:t>
      </w:r>
      <w:r>
        <w:rPr>
          <w:rStyle w:val="Odwoanieprzypisudolnego"/>
          <w:rFonts w:cs="Arial"/>
          <w:iCs/>
          <w:szCs w:val="18"/>
        </w:rPr>
        <w:footnoteReference w:id="88"/>
      </w:r>
      <w:r w:rsidRPr="00615D12">
        <w:rPr>
          <w:rFonts w:cs="Arial"/>
          <w:iCs/>
          <w:szCs w:val="18"/>
        </w:rPr>
        <w:t>.</w:t>
      </w:r>
      <w:r w:rsidRPr="00615D12">
        <w:rPr>
          <w:sz w:val="28"/>
        </w:rPr>
        <w:t xml:space="preserve"> </w:t>
      </w:r>
      <w:r w:rsidRPr="00F21196">
        <w:t>Wśród przyczyn niewystarczającego udziału Polski w programach horyzontalnych należy wskazać: większe zainteresowanie wsparciem z EFSI, niską zdolność polskich podmiotów do generowania projektów mogących skutecznie ubiegać się o środki w warunkach konkurencji europejskiej, niewystarczające wsparcie systemowe dla wnioskodawców, brak zdefiniowanego centrum koordynującego realizację przez stronę polską przedsięwzięć w ramach wszystkich ww. instrumentów, niewystarczający udział polskich ewaluatorów w komisjach oceniających projekty, niewielką widoczność ww. programów, mniej popularyzowanych niż programy współfinansowane z EFSI.</w:t>
      </w:r>
    </w:p>
    <w:p w14:paraId="5960DD99" w14:textId="77777777" w:rsidR="00A52B29" w:rsidRDefault="00A52B29" w:rsidP="00A52B29">
      <w:pPr>
        <w:autoSpaceDE w:val="0"/>
        <w:autoSpaceDN w:val="0"/>
        <w:adjustRightInd w:val="0"/>
        <w:spacing w:before="120" w:after="240" w:line="276" w:lineRule="auto"/>
        <w:jc w:val="both"/>
      </w:pPr>
      <w:r w:rsidRPr="00F21196">
        <w:t>Podjęcie działań w celu zwiększenia efektywności wykorzystania środków dostępnych poza polityką spójności i wspólną polityką rolną jest istotnym elementem podnoszenia efektywności w zakresie planowania i wykorzystania środków finansowych. Zasadniczą kwestią w tym kontekście jest zwiększenie koordynacji funduszy UE oraz zdolności instytucjonalnej do efektywnego wykorzystania przez Polskę środków europejskich z programów i instrumentów horyzontalnych KE.</w:t>
      </w:r>
    </w:p>
    <w:p w14:paraId="74221942" w14:textId="77777777" w:rsidR="00A52B29" w:rsidRPr="00F21196" w:rsidRDefault="00A52B29" w:rsidP="00A52B29">
      <w:pPr>
        <w:pBdr>
          <w:bottom w:val="single" w:sz="24" w:space="1" w:color="F4B083" w:themeColor="accent2" w:themeTint="99"/>
        </w:pBdr>
        <w:shd w:val="clear" w:color="auto" w:fill="FBE4D5" w:themeFill="accent2" w:themeFillTint="33"/>
        <w:spacing w:line="276" w:lineRule="auto"/>
        <w:rPr>
          <w:rFonts w:eastAsia="Times New Roman" w:cs="Calibri"/>
          <w:b/>
          <w:lang w:eastAsia="pl-PL"/>
        </w:rPr>
      </w:pPr>
      <w:r w:rsidRPr="00F21196">
        <w:rPr>
          <w:rFonts w:eastAsia="Times New Roman" w:cs="Calibri"/>
          <w:b/>
          <w:lang w:eastAsia="pl-PL"/>
        </w:rPr>
        <w:t xml:space="preserve">IV.2. Trendy rozwojowe i oczekiwane efekty </w:t>
      </w:r>
    </w:p>
    <w:p w14:paraId="5B3001A5" w14:textId="77777777" w:rsidR="00A52B29" w:rsidRPr="00F21196" w:rsidRDefault="00A52B29" w:rsidP="00A52B29">
      <w:pPr>
        <w:autoSpaceDE w:val="0"/>
        <w:autoSpaceDN w:val="0"/>
        <w:adjustRightInd w:val="0"/>
        <w:spacing w:after="0" w:line="276" w:lineRule="auto"/>
        <w:jc w:val="both"/>
        <w:rPr>
          <w:rFonts w:cs="DINPro"/>
        </w:rPr>
      </w:pPr>
      <w:r w:rsidRPr="00F21196">
        <w:rPr>
          <w:rFonts w:cs="DINPro"/>
        </w:rPr>
        <w:t>Priorytetem polskiej polityki gospodarczej jest utrzymanie stabilności finansów publicznych przy jednoczesnym wspieraniu inkluzywnego wzrostu gospodarczego.</w:t>
      </w:r>
      <w:r w:rsidRPr="00F21196" w:rsidDel="004F6074">
        <w:rPr>
          <w:rFonts w:cs="DINPro"/>
        </w:rPr>
        <w:t xml:space="preserve"> </w:t>
      </w:r>
      <w:r w:rsidRPr="00F21196">
        <w:rPr>
          <w:rFonts w:cs="DINPro"/>
        </w:rPr>
        <w:t>Oczekiwana jest poprawa ściągalności podatków oraz ograniczenie „szarej strefy” gospodarki, której funkcjonowanie w dotychczasowych rozmiarach prowadzi do uszczuplania dochodów podatkowych.</w:t>
      </w:r>
    </w:p>
    <w:p w14:paraId="5BBBFCC5" w14:textId="77777777" w:rsidR="00A52B29" w:rsidRPr="00F21196" w:rsidRDefault="00A52B29" w:rsidP="00A52B29">
      <w:pPr>
        <w:autoSpaceDE w:val="0"/>
        <w:autoSpaceDN w:val="0"/>
        <w:adjustRightInd w:val="0"/>
        <w:spacing w:after="0" w:line="276" w:lineRule="auto"/>
        <w:jc w:val="both"/>
        <w:rPr>
          <w:rFonts w:eastAsia="Times New Roman" w:cs="Calibri"/>
          <w:lang w:eastAsia="pl-PL"/>
        </w:rPr>
      </w:pPr>
      <w:r w:rsidRPr="00F21196">
        <w:rPr>
          <w:rFonts w:eastAsia="Times New Roman" w:cs="Calibri"/>
          <w:lang w:eastAsia="pl-PL"/>
        </w:rPr>
        <w:t xml:space="preserve">Istotne będzie również </w:t>
      </w:r>
      <w:r w:rsidRPr="00F21196">
        <w:rPr>
          <w:rFonts w:cs="DINPro"/>
          <w:color w:val="000000"/>
        </w:rPr>
        <w:t>z</w:t>
      </w:r>
      <w:r w:rsidRPr="00F21196">
        <w:rPr>
          <w:rFonts w:eastAsia="Wingdings2" w:cs="DINPro-Bold"/>
          <w:bCs/>
          <w:color w:val="000000"/>
        </w:rPr>
        <w:t xml:space="preserve">reformowanie systemu budżetowego prowadzące do urzeczywistnienia planowania finansowego </w:t>
      </w:r>
      <w:r w:rsidRPr="00F21196">
        <w:rPr>
          <w:rFonts w:eastAsia="Times New Roman" w:cs="Calibri"/>
          <w:lang w:eastAsia="pl-PL"/>
        </w:rPr>
        <w:t xml:space="preserve">w perspektywie wieloletniej. </w:t>
      </w:r>
    </w:p>
    <w:p w14:paraId="55DCE5A3" w14:textId="77777777" w:rsidR="00A52B29" w:rsidRPr="00F21196" w:rsidRDefault="00A52B29" w:rsidP="00A52B29">
      <w:pPr>
        <w:autoSpaceDE w:val="0"/>
        <w:autoSpaceDN w:val="0"/>
        <w:adjustRightInd w:val="0"/>
        <w:spacing w:after="0" w:line="276" w:lineRule="auto"/>
        <w:jc w:val="both"/>
        <w:rPr>
          <w:rFonts w:cs="DINPro"/>
        </w:rPr>
      </w:pPr>
      <w:r w:rsidRPr="00F21196">
        <w:rPr>
          <w:rFonts w:cs="DINPro-Bold"/>
          <w:bCs/>
        </w:rPr>
        <w:t>Zmiany systemowe w obszarze finansów publicznych</w:t>
      </w:r>
      <w:r w:rsidRPr="00F21196">
        <w:rPr>
          <w:rFonts w:cs="DINPro-Bold"/>
          <w:b/>
          <w:bCs/>
        </w:rPr>
        <w:t xml:space="preserve"> </w:t>
      </w:r>
      <w:r w:rsidRPr="00F21196">
        <w:rPr>
          <w:rFonts w:cs="DINPro"/>
        </w:rPr>
        <w:t>zapewnią powiązanie finansowania z osiąganiem celów strategicznych państwa i priorytetów rozwojowych, przy jednoczesnym zachowaniu stabilności i równowagi finansów publicznych.</w:t>
      </w:r>
    </w:p>
    <w:p w14:paraId="1662706A" w14:textId="77777777" w:rsidR="00A52B29" w:rsidRPr="00F21196" w:rsidRDefault="00A52B29" w:rsidP="00A52B29">
      <w:pPr>
        <w:autoSpaceDE w:val="0"/>
        <w:autoSpaceDN w:val="0"/>
        <w:adjustRightInd w:val="0"/>
        <w:spacing w:after="0" w:line="276" w:lineRule="auto"/>
        <w:jc w:val="both"/>
        <w:rPr>
          <w:rFonts w:eastAsia="Times New Roman" w:cs="Calibri"/>
          <w:b/>
        </w:rPr>
      </w:pPr>
      <w:r w:rsidRPr="00F21196">
        <w:rPr>
          <w:rFonts w:eastAsia="Times New Roman" w:cs="Calibri"/>
        </w:rPr>
        <w:t>Oczekuje się, że podejmowane w ramach celu szczegółowego IV przedsięwzięcia przyczyni</w:t>
      </w:r>
      <w:r>
        <w:rPr>
          <w:rFonts w:eastAsia="Times New Roman" w:cs="Calibri"/>
        </w:rPr>
        <w:t>ą</w:t>
      </w:r>
      <w:r w:rsidRPr="00F21196">
        <w:rPr>
          <w:rFonts w:eastAsia="Times New Roman" w:cs="Calibri"/>
        </w:rPr>
        <w:t xml:space="preserve"> się do:</w:t>
      </w:r>
    </w:p>
    <w:p w14:paraId="597F4FF3" w14:textId="77777777" w:rsidR="00A52B29" w:rsidRPr="00F21196" w:rsidRDefault="00A52B29" w:rsidP="00723B3F">
      <w:pPr>
        <w:pStyle w:val="Akapitzlist"/>
        <w:numPr>
          <w:ilvl w:val="0"/>
          <w:numId w:val="11"/>
        </w:numPr>
        <w:spacing w:line="276" w:lineRule="auto"/>
        <w:ind w:left="284" w:right="272" w:hanging="284"/>
        <w:contextualSpacing w:val="0"/>
        <w:jc w:val="both"/>
        <w:rPr>
          <w:rFonts w:asciiTheme="minorHAnsi" w:eastAsia="Times New Roman" w:hAnsiTheme="minorHAnsi" w:cs="Calibri"/>
          <w:sz w:val="22"/>
          <w:szCs w:val="22"/>
        </w:rPr>
      </w:pPr>
      <w:r w:rsidRPr="00F21196">
        <w:rPr>
          <w:rFonts w:asciiTheme="minorHAnsi" w:eastAsia="Times New Roman" w:hAnsiTheme="minorHAnsi" w:cs="Calibri"/>
          <w:sz w:val="22"/>
          <w:szCs w:val="22"/>
        </w:rPr>
        <w:t>zapewnieni</w:t>
      </w:r>
      <w:r>
        <w:rPr>
          <w:rFonts w:asciiTheme="minorHAnsi" w:eastAsia="Times New Roman" w:hAnsiTheme="minorHAnsi" w:cs="Calibri"/>
          <w:sz w:val="22"/>
          <w:szCs w:val="22"/>
        </w:rPr>
        <w:t>a</w:t>
      </w:r>
      <w:r w:rsidRPr="00F21196">
        <w:rPr>
          <w:rFonts w:asciiTheme="minorHAnsi" w:eastAsia="Times New Roman" w:hAnsiTheme="minorHAnsi" w:cs="Calibri"/>
          <w:sz w:val="22"/>
          <w:szCs w:val="22"/>
        </w:rPr>
        <w:t xml:space="preserve"> finansowania celów strategicznych państwa przy jednoczesnym przestrzeganiu zasad stabilności i równowagi finansów publicznych,</w:t>
      </w:r>
    </w:p>
    <w:p w14:paraId="042AF506" w14:textId="77777777" w:rsidR="00A52B29" w:rsidRPr="00F21196" w:rsidRDefault="00A52B29" w:rsidP="00723B3F">
      <w:pPr>
        <w:pStyle w:val="Akapitzlist"/>
        <w:numPr>
          <w:ilvl w:val="0"/>
          <w:numId w:val="11"/>
        </w:numPr>
        <w:spacing w:line="276" w:lineRule="auto"/>
        <w:ind w:left="284" w:right="274" w:hanging="284"/>
        <w:contextualSpacing w:val="0"/>
        <w:jc w:val="both"/>
        <w:rPr>
          <w:rFonts w:asciiTheme="minorHAnsi" w:eastAsia="Times New Roman" w:hAnsiTheme="minorHAnsi" w:cs="Calibri"/>
          <w:sz w:val="22"/>
          <w:szCs w:val="22"/>
        </w:rPr>
      </w:pPr>
      <w:r w:rsidRPr="00F21196">
        <w:rPr>
          <w:rFonts w:asciiTheme="minorHAnsi" w:eastAsia="Times New Roman" w:hAnsiTheme="minorHAnsi" w:cs="Calibri"/>
          <w:sz w:val="22"/>
          <w:szCs w:val="22"/>
        </w:rPr>
        <w:t>zwiększeni</w:t>
      </w:r>
      <w:r>
        <w:rPr>
          <w:rFonts w:asciiTheme="minorHAnsi" w:eastAsia="Times New Roman" w:hAnsiTheme="minorHAnsi" w:cs="Calibri"/>
          <w:sz w:val="22"/>
          <w:szCs w:val="22"/>
        </w:rPr>
        <w:t>a</w:t>
      </w:r>
      <w:r w:rsidRPr="00F21196">
        <w:rPr>
          <w:rFonts w:asciiTheme="minorHAnsi" w:eastAsia="Times New Roman" w:hAnsiTheme="minorHAnsi" w:cs="Calibri"/>
          <w:sz w:val="22"/>
          <w:szCs w:val="22"/>
        </w:rPr>
        <w:t xml:space="preserve"> dochodów zapewniających finansowanie celów strategicznych Państwa poprzez zmiany regulacyjno-instytucjonalne, a zwłaszcza kompleks działań mających na celu uszczelnienie systemu podatkowego i zapobieganie uszczuplaniu dochodów państwa,</w:t>
      </w:r>
    </w:p>
    <w:p w14:paraId="7F068F30" w14:textId="77777777" w:rsidR="00A52B29" w:rsidRPr="00F21196" w:rsidRDefault="00A52B29" w:rsidP="00723B3F">
      <w:pPr>
        <w:pStyle w:val="Akapitzlist"/>
        <w:numPr>
          <w:ilvl w:val="0"/>
          <w:numId w:val="11"/>
        </w:numPr>
        <w:spacing w:line="276" w:lineRule="auto"/>
        <w:ind w:left="284" w:right="274" w:hanging="284"/>
        <w:contextualSpacing w:val="0"/>
        <w:jc w:val="both"/>
        <w:rPr>
          <w:rFonts w:asciiTheme="minorHAnsi" w:eastAsia="Times New Roman" w:hAnsiTheme="minorHAnsi" w:cs="Calibri"/>
          <w:sz w:val="22"/>
          <w:szCs w:val="22"/>
        </w:rPr>
      </w:pPr>
      <w:r w:rsidRPr="00F21196">
        <w:rPr>
          <w:rFonts w:asciiTheme="minorHAnsi" w:eastAsia="Times New Roman" w:hAnsiTheme="minorHAnsi" w:cs="Calibri"/>
          <w:sz w:val="22"/>
          <w:szCs w:val="22"/>
        </w:rPr>
        <w:t>wprowadzeni</w:t>
      </w:r>
      <w:r>
        <w:rPr>
          <w:rFonts w:asciiTheme="minorHAnsi" w:eastAsia="Times New Roman" w:hAnsiTheme="minorHAnsi" w:cs="Calibri"/>
          <w:sz w:val="22"/>
          <w:szCs w:val="22"/>
        </w:rPr>
        <w:t>a</w:t>
      </w:r>
      <w:r w:rsidRPr="00F21196">
        <w:rPr>
          <w:rFonts w:asciiTheme="minorHAnsi" w:eastAsia="Times New Roman" w:hAnsiTheme="minorHAnsi" w:cs="Calibri"/>
          <w:sz w:val="22"/>
          <w:szCs w:val="22"/>
        </w:rPr>
        <w:t xml:space="preserve"> skutecznych narzędzi, umożliwiających prowadzenie spójnej polityki budżetowej, wykraczającej poza horyzont jednego roku budżetowego, a także mechanizmów zapewniających efektywną alokację środków publicznych w kolejnych budżetach, wspierających realizację celów strategicznych i priorytetów rozwojowych państwa,</w:t>
      </w:r>
    </w:p>
    <w:p w14:paraId="39B0247E" w14:textId="3B8C6C5B" w:rsidR="00A52B29" w:rsidRPr="00F21196" w:rsidRDefault="00A52B29" w:rsidP="00723B3F">
      <w:pPr>
        <w:pStyle w:val="Akapitzlist"/>
        <w:numPr>
          <w:ilvl w:val="0"/>
          <w:numId w:val="11"/>
        </w:numPr>
        <w:autoSpaceDE w:val="0"/>
        <w:autoSpaceDN w:val="0"/>
        <w:adjustRightInd w:val="0"/>
        <w:spacing w:line="276" w:lineRule="auto"/>
        <w:ind w:left="284" w:hanging="284"/>
        <w:jc w:val="both"/>
        <w:rPr>
          <w:rFonts w:asciiTheme="minorHAnsi" w:hAnsiTheme="minorHAnsi" w:cs="Calibri,BoldItalic"/>
          <w:b/>
          <w:bCs/>
          <w:i/>
          <w:iCs/>
          <w:color w:val="1F497D"/>
          <w:sz w:val="22"/>
          <w:szCs w:val="22"/>
        </w:rPr>
      </w:pPr>
      <w:r w:rsidRPr="00F21196">
        <w:rPr>
          <w:rFonts w:asciiTheme="minorHAnsi" w:hAnsiTheme="minorHAnsi"/>
          <w:sz w:val="22"/>
          <w:szCs w:val="22"/>
        </w:rPr>
        <w:t>popraw</w:t>
      </w:r>
      <w:r>
        <w:rPr>
          <w:rFonts w:asciiTheme="minorHAnsi" w:hAnsiTheme="minorHAnsi"/>
          <w:sz w:val="22"/>
          <w:szCs w:val="22"/>
        </w:rPr>
        <w:t>y</w:t>
      </w:r>
      <w:r w:rsidRPr="00F21196">
        <w:rPr>
          <w:rFonts w:asciiTheme="minorHAnsi" w:hAnsiTheme="minorHAnsi"/>
          <w:sz w:val="22"/>
          <w:szCs w:val="22"/>
        </w:rPr>
        <w:t xml:space="preserve"> uwarunkowań finansowych JST, poprzez wypracowanie nowego systemu </w:t>
      </w:r>
      <w:r>
        <w:rPr>
          <w:rFonts w:asciiTheme="minorHAnsi" w:hAnsiTheme="minorHAnsi"/>
          <w:sz w:val="22"/>
          <w:szCs w:val="22"/>
        </w:rPr>
        <w:t xml:space="preserve">korekcyjno- </w:t>
      </w:r>
      <w:r w:rsidRPr="00F21196">
        <w:rPr>
          <w:rFonts w:asciiTheme="minorHAnsi" w:hAnsiTheme="minorHAnsi"/>
          <w:sz w:val="22"/>
          <w:szCs w:val="22"/>
        </w:rPr>
        <w:t>wyrównawczego do systemu finansowania JST, który pozwoli na realizowanie ich funkcji oraz zbliżenie poziomu dostarczanych usług publicznych</w:t>
      </w:r>
      <w:r w:rsidRPr="00F21196">
        <w:rPr>
          <w:rFonts w:asciiTheme="minorHAnsi" w:eastAsia="Times New Roman" w:hAnsiTheme="minorHAnsi" w:cs="Calibri"/>
          <w:sz w:val="22"/>
          <w:szCs w:val="22"/>
        </w:rPr>
        <w:t>,</w:t>
      </w:r>
    </w:p>
    <w:p w14:paraId="3574B996" w14:textId="77777777" w:rsidR="00A52B29" w:rsidRPr="00F460E6" w:rsidRDefault="00A52B29" w:rsidP="00723B3F">
      <w:pPr>
        <w:pStyle w:val="Akapitzlist"/>
        <w:numPr>
          <w:ilvl w:val="0"/>
          <w:numId w:val="11"/>
        </w:numPr>
        <w:autoSpaceDE w:val="0"/>
        <w:autoSpaceDN w:val="0"/>
        <w:adjustRightInd w:val="0"/>
        <w:spacing w:line="276" w:lineRule="auto"/>
        <w:ind w:left="284" w:hanging="284"/>
        <w:contextualSpacing w:val="0"/>
        <w:jc w:val="both"/>
        <w:rPr>
          <w:rFonts w:asciiTheme="minorHAnsi" w:hAnsiTheme="minorHAnsi" w:cs="Calibri,BoldItalic"/>
          <w:b/>
          <w:bCs/>
          <w:i/>
          <w:iCs/>
          <w:color w:val="1F497D"/>
          <w:sz w:val="22"/>
          <w:szCs w:val="22"/>
        </w:rPr>
      </w:pPr>
      <w:r w:rsidRPr="00F21196">
        <w:rPr>
          <w:rFonts w:asciiTheme="minorHAnsi" w:eastAsia="Times New Roman" w:hAnsiTheme="minorHAnsi" w:cs="Calibri"/>
          <w:sz w:val="22"/>
          <w:szCs w:val="22"/>
        </w:rPr>
        <w:t>opracowani</w:t>
      </w:r>
      <w:r>
        <w:rPr>
          <w:rFonts w:asciiTheme="minorHAnsi" w:eastAsia="Times New Roman" w:hAnsiTheme="minorHAnsi" w:cs="Calibri"/>
          <w:sz w:val="22"/>
          <w:szCs w:val="22"/>
        </w:rPr>
        <w:t>a</w:t>
      </w:r>
      <w:r w:rsidRPr="00F21196">
        <w:rPr>
          <w:rFonts w:asciiTheme="minorHAnsi" w:eastAsia="Times New Roman" w:hAnsiTheme="minorHAnsi" w:cs="Calibri"/>
          <w:sz w:val="22"/>
          <w:szCs w:val="22"/>
        </w:rPr>
        <w:t xml:space="preserve"> podejścia strategicznego do korzystania przez Polskę ze środków dostępnych w ramach różnych instrumentów finansowych (pochodzących ze źródeł zagranicznych).</w:t>
      </w:r>
    </w:p>
    <w:p w14:paraId="5A0071BA" w14:textId="77777777" w:rsidR="00A52B29" w:rsidRPr="00131FCC" w:rsidRDefault="00A52B29" w:rsidP="00A52B29">
      <w:pPr>
        <w:autoSpaceDE w:val="0"/>
        <w:autoSpaceDN w:val="0"/>
        <w:adjustRightInd w:val="0"/>
        <w:spacing w:line="276" w:lineRule="auto"/>
        <w:jc w:val="both"/>
        <w:rPr>
          <w:rFonts w:cs="Calibri,BoldItalic"/>
          <w:b/>
          <w:bCs/>
          <w:i/>
          <w:iCs/>
          <w:color w:val="1F497D"/>
        </w:rPr>
      </w:pPr>
    </w:p>
    <w:p w14:paraId="5E17DC49" w14:textId="77777777" w:rsidR="00A52B29" w:rsidRPr="00F21196" w:rsidRDefault="00A52B29" w:rsidP="00A52B29">
      <w:pPr>
        <w:pBdr>
          <w:bottom w:val="single" w:sz="24" w:space="1" w:color="F4B083" w:themeColor="accent2" w:themeTint="99"/>
        </w:pBdr>
        <w:shd w:val="clear" w:color="auto" w:fill="FBE4D5" w:themeFill="accent2" w:themeFillTint="33"/>
        <w:ind w:left="-76"/>
        <w:rPr>
          <w:rFonts w:eastAsia="Times New Roman" w:cs="Calibri"/>
          <w:b/>
        </w:rPr>
      </w:pPr>
      <w:r w:rsidRPr="00F21196">
        <w:rPr>
          <w:rFonts w:eastAsia="Times New Roman" w:cs="Calibri"/>
          <w:b/>
        </w:rPr>
        <w:t>IV.3. Wskaźniki monitorowania</w:t>
      </w:r>
    </w:p>
    <w:tbl>
      <w:tblPr>
        <w:tblStyle w:val="Tabela-Siatka"/>
        <w:tblW w:w="0" w:type="auto"/>
        <w:tblInd w:w="66" w:type="dxa"/>
        <w:tblBorders>
          <w:top w:val="single" w:sz="8" w:space="0" w:color="F4B083" w:themeColor="accent2" w:themeTint="99"/>
          <w:left w:val="single" w:sz="8" w:space="0" w:color="F4B083" w:themeColor="accent2" w:themeTint="99"/>
          <w:bottom w:val="single" w:sz="8" w:space="0" w:color="F4B083" w:themeColor="accent2" w:themeTint="99"/>
          <w:right w:val="single" w:sz="8" w:space="0" w:color="F4B083" w:themeColor="accent2" w:themeTint="99"/>
          <w:insideH w:val="single" w:sz="8" w:space="0" w:color="F4B083" w:themeColor="accent2" w:themeTint="99"/>
          <w:insideV w:val="single" w:sz="8" w:space="0" w:color="F4B083" w:themeColor="accent2" w:themeTint="99"/>
        </w:tblBorders>
        <w:tblLook w:val="04A0" w:firstRow="1" w:lastRow="0" w:firstColumn="1" w:lastColumn="0" w:noHBand="0" w:noVBand="1"/>
      </w:tblPr>
      <w:tblGrid>
        <w:gridCol w:w="1190"/>
        <w:gridCol w:w="8363"/>
      </w:tblGrid>
      <w:tr w:rsidR="00A52B29" w:rsidRPr="00F21196" w14:paraId="773C9EDB" w14:textId="77777777" w:rsidTr="00B53DEC">
        <w:tc>
          <w:tcPr>
            <w:tcW w:w="1190" w:type="dxa"/>
            <w:shd w:val="clear" w:color="auto" w:fill="FBE4D5" w:themeFill="accent2" w:themeFillTint="33"/>
          </w:tcPr>
          <w:p w14:paraId="546AD60D" w14:textId="77777777" w:rsidR="00A52B29" w:rsidRPr="00F21196" w:rsidRDefault="00A52B29" w:rsidP="00B53DEC">
            <w:pPr>
              <w:spacing w:line="276" w:lineRule="auto"/>
              <w:rPr>
                <w:rFonts w:eastAsia="Times New Roman" w:cs="Calibri"/>
                <w:b/>
                <w:kern w:val="24"/>
              </w:rPr>
            </w:pPr>
            <w:r w:rsidRPr="00F21196">
              <w:rPr>
                <w:rFonts w:eastAsia="Times New Roman" w:cs="Calibri"/>
                <w:b/>
                <w:kern w:val="24"/>
              </w:rPr>
              <w:t>L.p.</w:t>
            </w:r>
          </w:p>
        </w:tc>
        <w:tc>
          <w:tcPr>
            <w:tcW w:w="8363" w:type="dxa"/>
            <w:shd w:val="clear" w:color="auto" w:fill="FBE4D5" w:themeFill="accent2" w:themeFillTint="33"/>
          </w:tcPr>
          <w:p w14:paraId="21A2A264" w14:textId="77777777" w:rsidR="00A52B29" w:rsidRPr="00F21196" w:rsidRDefault="00A52B29" w:rsidP="00B53DEC">
            <w:pPr>
              <w:spacing w:line="276" w:lineRule="auto"/>
              <w:rPr>
                <w:rFonts w:eastAsia="Times New Roman" w:cs="Calibri"/>
                <w:b/>
                <w:kern w:val="24"/>
              </w:rPr>
            </w:pPr>
            <w:r w:rsidRPr="00F21196">
              <w:rPr>
                <w:rFonts w:eastAsia="Times New Roman" w:cs="Calibri"/>
                <w:b/>
                <w:kern w:val="24"/>
              </w:rPr>
              <w:t>Wskaźnik monitorowania</w:t>
            </w:r>
          </w:p>
        </w:tc>
      </w:tr>
      <w:tr w:rsidR="00A52B29" w:rsidRPr="00F21196" w14:paraId="5195C58C" w14:textId="77777777" w:rsidTr="00B53DEC">
        <w:tc>
          <w:tcPr>
            <w:tcW w:w="1190" w:type="dxa"/>
            <w:shd w:val="clear" w:color="auto" w:fill="FBE4D5" w:themeFill="accent2" w:themeFillTint="33"/>
          </w:tcPr>
          <w:p w14:paraId="6BA7312A" w14:textId="77777777" w:rsidR="00A52B29" w:rsidRPr="00F21196" w:rsidRDefault="00A52B29" w:rsidP="00B53DEC">
            <w:pPr>
              <w:spacing w:line="276" w:lineRule="auto"/>
              <w:jc w:val="center"/>
              <w:rPr>
                <w:rFonts w:eastAsia="Times New Roman" w:cs="Calibri"/>
                <w:b/>
                <w:kern w:val="24"/>
              </w:rPr>
            </w:pPr>
            <w:r w:rsidRPr="00F21196">
              <w:rPr>
                <w:rFonts w:eastAsia="Times New Roman" w:cs="Calibri"/>
                <w:b/>
                <w:kern w:val="24"/>
              </w:rPr>
              <w:t>1</w:t>
            </w:r>
          </w:p>
        </w:tc>
        <w:tc>
          <w:tcPr>
            <w:tcW w:w="8363" w:type="dxa"/>
            <w:shd w:val="clear" w:color="auto" w:fill="F2F2F2" w:themeFill="background1" w:themeFillShade="F2"/>
          </w:tcPr>
          <w:p w14:paraId="081610F9" w14:textId="77777777" w:rsidR="00A52B29" w:rsidRPr="00F21196" w:rsidRDefault="00A52B29" w:rsidP="00B53DEC">
            <w:pPr>
              <w:spacing w:after="120" w:line="276" w:lineRule="auto"/>
              <w:ind w:left="68"/>
              <w:rPr>
                <w:rFonts w:eastAsia="Times New Roman" w:cs="Calibri"/>
                <w:kern w:val="24"/>
              </w:rPr>
            </w:pPr>
            <w:r w:rsidRPr="00F21196">
              <w:rPr>
                <w:rFonts w:eastAsia="Times New Roman" w:cs="Calibri"/>
                <w:kern w:val="24"/>
              </w:rPr>
              <w:t>Wynik sektora instytucji rządowych i samorządowych w relacji do PKB</w:t>
            </w:r>
          </w:p>
        </w:tc>
      </w:tr>
      <w:tr w:rsidR="00A52B29" w:rsidRPr="00F21196" w14:paraId="646DF069" w14:textId="77777777" w:rsidTr="00B53DEC">
        <w:tc>
          <w:tcPr>
            <w:tcW w:w="1190" w:type="dxa"/>
            <w:shd w:val="clear" w:color="auto" w:fill="FBE4D5" w:themeFill="accent2" w:themeFillTint="33"/>
          </w:tcPr>
          <w:p w14:paraId="79C86253" w14:textId="77777777" w:rsidR="00A52B29" w:rsidRPr="00F21196" w:rsidRDefault="00A52B29" w:rsidP="00B53DEC">
            <w:pPr>
              <w:spacing w:line="276" w:lineRule="auto"/>
              <w:jc w:val="center"/>
              <w:rPr>
                <w:rFonts w:eastAsia="Times New Roman" w:cs="Calibri"/>
                <w:b/>
                <w:kern w:val="24"/>
              </w:rPr>
            </w:pPr>
            <w:r w:rsidRPr="00F21196">
              <w:rPr>
                <w:rFonts w:eastAsia="Times New Roman" w:cs="Calibri"/>
                <w:b/>
                <w:kern w:val="24"/>
              </w:rPr>
              <w:t>2</w:t>
            </w:r>
          </w:p>
        </w:tc>
        <w:tc>
          <w:tcPr>
            <w:tcW w:w="8363" w:type="dxa"/>
            <w:shd w:val="clear" w:color="auto" w:fill="F2F2F2" w:themeFill="background1" w:themeFillShade="F2"/>
          </w:tcPr>
          <w:p w14:paraId="1770FB86" w14:textId="77777777" w:rsidR="00A52B29" w:rsidRPr="00F21196" w:rsidRDefault="00A52B29" w:rsidP="00B53DEC">
            <w:pPr>
              <w:spacing w:after="120" w:line="276" w:lineRule="auto"/>
              <w:ind w:left="68"/>
              <w:rPr>
                <w:rFonts w:eastAsia="Times New Roman" w:cs="Calibri"/>
                <w:kern w:val="24"/>
              </w:rPr>
            </w:pPr>
            <w:r w:rsidRPr="00F21196">
              <w:rPr>
                <w:rFonts w:eastAsia="Times New Roman" w:cs="Calibri"/>
                <w:kern w:val="24"/>
              </w:rPr>
              <w:t>Dług sektora instytucji rządowych i samorządowych w relacji do PKB</w:t>
            </w:r>
          </w:p>
        </w:tc>
      </w:tr>
      <w:tr w:rsidR="00A52B29" w:rsidRPr="00F21196" w14:paraId="228E1D22" w14:textId="77777777" w:rsidTr="00B53DEC">
        <w:tc>
          <w:tcPr>
            <w:tcW w:w="1190" w:type="dxa"/>
            <w:shd w:val="clear" w:color="auto" w:fill="FBE4D5" w:themeFill="accent2" w:themeFillTint="33"/>
          </w:tcPr>
          <w:p w14:paraId="68ACD6D7" w14:textId="77777777" w:rsidR="00A52B29" w:rsidRPr="00F21196" w:rsidRDefault="00A52B29" w:rsidP="00B53DEC">
            <w:pPr>
              <w:spacing w:line="276" w:lineRule="auto"/>
              <w:jc w:val="center"/>
              <w:rPr>
                <w:rFonts w:eastAsia="Times New Roman" w:cs="Calibri"/>
                <w:b/>
                <w:kern w:val="24"/>
              </w:rPr>
            </w:pPr>
            <w:r w:rsidRPr="00F21196">
              <w:rPr>
                <w:rFonts w:eastAsia="Times New Roman" w:cs="Calibri"/>
                <w:b/>
                <w:kern w:val="24"/>
              </w:rPr>
              <w:t>3</w:t>
            </w:r>
          </w:p>
        </w:tc>
        <w:tc>
          <w:tcPr>
            <w:tcW w:w="8363" w:type="dxa"/>
            <w:shd w:val="clear" w:color="auto" w:fill="F2F2F2" w:themeFill="background1" w:themeFillShade="F2"/>
          </w:tcPr>
          <w:p w14:paraId="49BAE91F" w14:textId="77777777" w:rsidR="00A52B29" w:rsidRPr="00F21196" w:rsidRDefault="00A52B29" w:rsidP="00B53DEC">
            <w:pPr>
              <w:spacing w:after="120" w:line="276" w:lineRule="auto"/>
              <w:ind w:left="68"/>
              <w:rPr>
                <w:rFonts w:eastAsia="Times New Roman" w:cs="Calibri"/>
                <w:kern w:val="24"/>
              </w:rPr>
            </w:pPr>
            <w:r w:rsidRPr="00F21196">
              <w:rPr>
                <w:rFonts w:eastAsia="Times New Roman" w:cs="Calibri"/>
                <w:kern w:val="24"/>
              </w:rPr>
              <w:t>Dochody podatkowe sektora instytucji rządowych i samorządowych w relacji do PKB</w:t>
            </w:r>
          </w:p>
        </w:tc>
      </w:tr>
      <w:tr w:rsidR="00A52B29" w:rsidRPr="00F21196" w14:paraId="55DD1D40" w14:textId="77777777" w:rsidTr="00B53DEC">
        <w:tc>
          <w:tcPr>
            <w:tcW w:w="1190" w:type="dxa"/>
            <w:shd w:val="clear" w:color="auto" w:fill="FBE4D5" w:themeFill="accent2" w:themeFillTint="33"/>
          </w:tcPr>
          <w:p w14:paraId="41007725" w14:textId="77777777" w:rsidR="00A52B29" w:rsidRPr="00F21196" w:rsidRDefault="00A52B29" w:rsidP="00B53DEC">
            <w:pPr>
              <w:spacing w:line="276" w:lineRule="auto"/>
              <w:jc w:val="center"/>
              <w:rPr>
                <w:rFonts w:eastAsia="Times New Roman" w:cs="Calibri"/>
                <w:b/>
                <w:kern w:val="24"/>
              </w:rPr>
            </w:pPr>
            <w:r w:rsidRPr="00F21196">
              <w:rPr>
                <w:rFonts w:eastAsia="Times New Roman" w:cs="Calibri"/>
                <w:b/>
                <w:kern w:val="24"/>
              </w:rPr>
              <w:t>4</w:t>
            </w:r>
          </w:p>
        </w:tc>
        <w:tc>
          <w:tcPr>
            <w:tcW w:w="8363" w:type="dxa"/>
            <w:shd w:val="clear" w:color="auto" w:fill="F2F2F2" w:themeFill="background1" w:themeFillShade="F2"/>
          </w:tcPr>
          <w:p w14:paraId="49E79F75" w14:textId="77777777" w:rsidR="00A52B29" w:rsidRPr="00F21196" w:rsidRDefault="00A52B29" w:rsidP="00B53DEC">
            <w:pPr>
              <w:spacing w:after="120" w:line="276" w:lineRule="auto"/>
              <w:ind w:left="68"/>
              <w:rPr>
                <w:rFonts w:eastAsia="Times New Roman" w:cs="Calibri"/>
                <w:kern w:val="24"/>
              </w:rPr>
            </w:pPr>
            <w:r w:rsidRPr="00F21196">
              <w:rPr>
                <w:rFonts w:eastAsia="Times New Roman" w:cs="Calibri"/>
                <w:kern w:val="24"/>
              </w:rPr>
              <w:t>Stopa inwestycji sektora instytucji rządowych i samorządowych</w:t>
            </w:r>
          </w:p>
        </w:tc>
      </w:tr>
      <w:tr w:rsidR="00A52B29" w:rsidRPr="00F21196" w14:paraId="4C01E06B" w14:textId="77777777" w:rsidTr="00B53DEC">
        <w:tc>
          <w:tcPr>
            <w:tcW w:w="1190" w:type="dxa"/>
            <w:shd w:val="clear" w:color="auto" w:fill="FBE4D5" w:themeFill="accent2" w:themeFillTint="33"/>
          </w:tcPr>
          <w:p w14:paraId="1EB8009C" w14:textId="77777777" w:rsidR="00A52B29" w:rsidRPr="00F21196" w:rsidRDefault="00A52B29" w:rsidP="00B53DEC">
            <w:pPr>
              <w:spacing w:line="276" w:lineRule="auto"/>
              <w:jc w:val="center"/>
              <w:rPr>
                <w:rFonts w:eastAsia="Times New Roman" w:cs="Calibri"/>
                <w:b/>
                <w:kern w:val="24"/>
              </w:rPr>
            </w:pPr>
            <w:r w:rsidRPr="00F21196">
              <w:rPr>
                <w:rFonts w:eastAsia="Times New Roman" w:cs="Calibri"/>
                <w:b/>
                <w:kern w:val="24"/>
              </w:rPr>
              <w:t>5</w:t>
            </w:r>
          </w:p>
        </w:tc>
        <w:tc>
          <w:tcPr>
            <w:tcW w:w="8363" w:type="dxa"/>
            <w:shd w:val="clear" w:color="auto" w:fill="F2F2F2" w:themeFill="background1" w:themeFillShade="F2"/>
          </w:tcPr>
          <w:p w14:paraId="13FC2AC7" w14:textId="77777777" w:rsidR="00A52B29" w:rsidRPr="00F21196" w:rsidRDefault="00A52B29" w:rsidP="00B53DEC">
            <w:pPr>
              <w:spacing w:after="120" w:line="276" w:lineRule="auto"/>
              <w:ind w:left="68"/>
              <w:rPr>
                <w:rFonts w:eastAsia="Times New Roman" w:cs="Calibri"/>
                <w:kern w:val="24"/>
              </w:rPr>
            </w:pPr>
            <w:r w:rsidRPr="00F21196">
              <w:rPr>
                <w:rFonts w:eastAsia="Times New Roman" w:cs="Calibri"/>
                <w:kern w:val="24"/>
              </w:rPr>
              <w:t>Udział polskich przedsięwzięć/projektów w wartości programów zarządzanych przez KE</w:t>
            </w:r>
          </w:p>
        </w:tc>
      </w:tr>
    </w:tbl>
    <w:p w14:paraId="7F0B57B0" w14:textId="77777777" w:rsidR="00A52B29" w:rsidRDefault="00A52B29" w:rsidP="00A52B29">
      <w:pPr>
        <w:rPr>
          <w:rFonts w:eastAsia="Times New Roman" w:cs="Calibri"/>
          <w:b/>
          <w:lang w:eastAsia="pl-PL"/>
        </w:rPr>
      </w:pPr>
    </w:p>
    <w:p w14:paraId="712FED93" w14:textId="77777777" w:rsidR="00A52B29" w:rsidRPr="00F21196" w:rsidRDefault="00A52B29" w:rsidP="00A52B29">
      <w:pPr>
        <w:pBdr>
          <w:bottom w:val="single" w:sz="24" w:space="1" w:color="F4B083" w:themeColor="accent2" w:themeTint="99"/>
        </w:pBdr>
        <w:shd w:val="clear" w:color="auto" w:fill="FBE4D5" w:themeFill="accent2" w:themeFillTint="33"/>
        <w:spacing w:after="0"/>
        <w:rPr>
          <w:rFonts w:eastAsia="Times New Roman" w:cs="Calibri"/>
          <w:b/>
          <w:lang w:eastAsia="pl-PL"/>
        </w:rPr>
      </w:pPr>
      <w:r w:rsidRPr="00F21196">
        <w:rPr>
          <w:rFonts w:eastAsia="Times New Roman" w:cs="Calibri"/>
          <w:b/>
          <w:lang w:eastAsia="pl-PL"/>
        </w:rPr>
        <w:t xml:space="preserve">IV.4. Kierunki interwencji </w:t>
      </w:r>
    </w:p>
    <w:p w14:paraId="56BA1D4F" w14:textId="7A9B86B9" w:rsidR="00A52B29" w:rsidRPr="000557DE" w:rsidRDefault="00A52B29" w:rsidP="00A52B29">
      <w:pPr>
        <w:spacing w:line="276" w:lineRule="auto"/>
        <w:jc w:val="both"/>
        <w:rPr>
          <w:i/>
        </w:rPr>
      </w:pPr>
      <w:r w:rsidRPr="000557DE">
        <w:rPr>
          <w:rFonts w:cs="Arial"/>
          <w:color w:val="000000" w:themeColor="text1"/>
        </w:rPr>
        <w:t>Z</w:t>
      </w:r>
      <w:r w:rsidRPr="000557DE">
        <w:rPr>
          <w:rFonts w:cs="Calibri,BoldItalic"/>
          <w:bCs/>
          <w:iCs/>
          <w:color w:val="000000" w:themeColor="text1"/>
          <w:szCs w:val="16"/>
        </w:rPr>
        <w:t xml:space="preserve">definiowano </w:t>
      </w:r>
      <w:r>
        <w:rPr>
          <w:rFonts w:cs="Calibri,BoldItalic"/>
          <w:bCs/>
          <w:iCs/>
          <w:color w:val="000000" w:themeColor="text1"/>
          <w:szCs w:val="16"/>
        </w:rPr>
        <w:t>sześć</w:t>
      </w:r>
      <w:r w:rsidRPr="000557DE">
        <w:rPr>
          <w:rFonts w:cs="Calibri,BoldItalic"/>
          <w:bCs/>
          <w:iCs/>
          <w:color w:val="000000" w:themeColor="text1"/>
          <w:szCs w:val="16"/>
        </w:rPr>
        <w:t xml:space="preserve"> kierunków interwencji, które stanowią główne wytyczne dla podejmowanych przedsięwzięć w obszarach interwencji państwa odnoszących się do finansów publicznych oraz wykorzystania środków Unii Europejskiej. Podejmowane przedsięwzięcia, w tym projekty strategiczne, będą zmierzały do zapewnienia dochodów budżetowych niezbędnych do finansowania wydatków państwa, stworzenia nowego systemu budżetowego wspierającego rozwój w perspektywie wieloletniej, przeprowadzenie zmian systemu rachunkowości publicznej</w:t>
      </w:r>
      <w:r>
        <w:rPr>
          <w:rFonts w:cs="Calibri,BoldItalic"/>
          <w:bCs/>
          <w:iCs/>
          <w:color w:val="000000" w:themeColor="text1"/>
          <w:szCs w:val="16"/>
        </w:rPr>
        <w:t>,</w:t>
      </w:r>
      <w:r w:rsidRPr="000557DE">
        <w:rPr>
          <w:rFonts w:cs="Calibri,BoldItalic"/>
          <w:bCs/>
          <w:iCs/>
          <w:color w:val="000000" w:themeColor="text1"/>
          <w:szCs w:val="16"/>
        </w:rPr>
        <w:t xml:space="preserve"> </w:t>
      </w:r>
      <w:r>
        <w:rPr>
          <w:rFonts w:cs="Calibri,BoldItalic"/>
          <w:bCs/>
          <w:iCs/>
          <w:color w:val="000000" w:themeColor="text1"/>
          <w:szCs w:val="16"/>
        </w:rPr>
        <w:t xml:space="preserve">rewizji </w:t>
      </w:r>
      <w:r w:rsidRPr="000557DE">
        <w:rPr>
          <w:rFonts w:cs="Calibri,BoldItalic"/>
          <w:bCs/>
          <w:iCs/>
          <w:color w:val="000000" w:themeColor="text1"/>
          <w:szCs w:val="16"/>
        </w:rPr>
        <w:t xml:space="preserve">systemu </w:t>
      </w:r>
      <w:r>
        <w:rPr>
          <w:rFonts w:cs="Calibri,BoldItalic"/>
          <w:bCs/>
          <w:iCs/>
          <w:color w:val="000000" w:themeColor="text1"/>
          <w:szCs w:val="16"/>
        </w:rPr>
        <w:t xml:space="preserve">rachunkowości </w:t>
      </w:r>
      <w:r w:rsidRPr="000557DE">
        <w:rPr>
          <w:rFonts w:cs="Calibri,BoldItalic"/>
          <w:bCs/>
          <w:iCs/>
          <w:color w:val="000000" w:themeColor="text1"/>
          <w:szCs w:val="16"/>
        </w:rPr>
        <w:t>finansowej, a także przeprowadzenie reformy systemy finansowania jednostek samorządu terytorialnego oraz z</w:t>
      </w:r>
      <w:r w:rsidRPr="000557DE">
        <w:rPr>
          <w:i/>
        </w:rPr>
        <w:t>większenie efektywności wykorzystania środków UE na rzecz innowacyjności, konkurencyjności i zrównoważonego rozwoju.</w:t>
      </w:r>
    </w:p>
    <w:p w14:paraId="3D0331BF" w14:textId="77777777" w:rsidR="00A52B29" w:rsidRDefault="00A52B29" w:rsidP="00A52B29">
      <w:pPr>
        <w:spacing w:after="0" w:line="240" w:lineRule="auto"/>
        <w:jc w:val="both"/>
        <w:rPr>
          <w:rFonts w:cs="Calibri,BoldItalic"/>
          <w:bCs/>
          <w:iCs/>
          <w:color w:val="000000" w:themeColor="text1"/>
          <w:szCs w:val="16"/>
        </w:rPr>
      </w:pPr>
    </w:p>
    <w:p w14:paraId="3E984241" w14:textId="77777777" w:rsidR="00A52B29" w:rsidRDefault="00A52B29" w:rsidP="00A52B29">
      <w:pPr>
        <w:rPr>
          <w:rFonts w:cs="Calibri,BoldItalic"/>
          <w:bCs/>
          <w:iCs/>
          <w:color w:val="000000" w:themeColor="text1"/>
          <w:szCs w:val="16"/>
        </w:rPr>
      </w:pPr>
      <w:r>
        <w:rPr>
          <w:rFonts w:cs="Calibri,BoldItalic"/>
          <w:bCs/>
          <w:iCs/>
          <w:color w:val="000000" w:themeColor="text1"/>
          <w:szCs w:val="16"/>
        </w:rPr>
        <w:br w:type="page"/>
      </w:r>
    </w:p>
    <w:p w14:paraId="72329798" w14:textId="77777777" w:rsidR="00A52B29" w:rsidRPr="00F21196" w:rsidRDefault="00A52B29" w:rsidP="00A52B29">
      <w:pPr>
        <w:spacing w:after="0" w:line="240" w:lineRule="auto"/>
        <w:jc w:val="both"/>
        <w:rPr>
          <w:rFonts w:cs="Calibri,BoldItalic"/>
          <w:bCs/>
          <w:iCs/>
          <w:color w:val="000000" w:themeColor="text1"/>
          <w:szCs w:val="16"/>
        </w:rPr>
      </w:pPr>
    </w:p>
    <w:p w14:paraId="19EE9636" w14:textId="06F94C8E" w:rsidR="00A52B29" w:rsidRPr="00F21196" w:rsidRDefault="00A52B29" w:rsidP="00A52B29">
      <w:pPr>
        <w:spacing w:after="0"/>
        <w:rPr>
          <w:rFonts w:eastAsia="Times New Roman" w:cs="Calibri"/>
          <w:b/>
          <w:color w:val="2F5496" w:themeColor="accent5" w:themeShade="BF"/>
          <w:lang w:eastAsia="pl-PL"/>
        </w:rPr>
      </w:pPr>
      <w:r w:rsidRPr="00F21196">
        <w:rPr>
          <w:rFonts w:eastAsia="Times New Roman" w:cs="Calibri"/>
          <w:b/>
          <w:noProof/>
          <w:color w:val="2F5496" w:themeColor="accent5" w:themeShade="BF"/>
          <w:lang w:eastAsia="pl-PL"/>
        </w:rPr>
        <mc:AlternateContent>
          <mc:Choice Requires="wps">
            <w:drawing>
              <wp:anchor distT="0" distB="0" distL="114300" distR="114300" simplePos="0" relativeHeight="252178432" behindDoc="0" locked="0" layoutInCell="1" allowOverlap="1" wp14:anchorId="445E402F" wp14:editId="44F93C68">
                <wp:simplePos x="0" y="0"/>
                <wp:positionH relativeFrom="margin">
                  <wp:posOffset>394922</wp:posOffset>
                </wp:positionH>
                <wp:positionV relativeFrom="paragraph">
                  <wp:posOffset>114025</wp:posOffset>
                </wp:positionV>
                <wp:extent cx="342900" cy="314325"/>
                <wp:effectExtent l="0" t="19050" r="38100" b="47625"/>
                <wp:wrapNone/>
                <wp:docPr id="107" name="Strzałka w prawo 107"/>
                <wp:cNvGraphicFramePr/>
                <a:graphic xmlns:a="http://schemas.openxmlformats.org/drawingml/2006/main">
                  <a:graphicData uri="http://schemas.microsoft.com/office/word/2010/wordprocessingShape">
                    <wps:wsp>
                      <wps:cNvSpPr/>
                      <wps:spPr>
                        <a:xfrm>
                          <a:off x="0" y="0"/>
                          <a:ext cx="342900" cy="314325"/>
                        </a:xfrm>
                        <a:prstGeom prst="rightArrow">
                          <a:avLst/>
                        </a:prstGeom>
                        <a:solidFill>
                          <a:schemeClr val="accent2">
                            <a:lumMod val="40000"/>
                            <a:lumOff val="60000"/>
                          </a:schemeClr>
                        </a:solidFill>
                        <a:ln w="12700" cap="flat" cmpd="sng" algn="ctr">
                          <a:solidFill>
                            <a:schemeClr val="accent2">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1144B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107" o:spid="_x0000_s1026" type="#_x0000_t13" style="position:absolute;margin-left:31.1pt;margin-top:9pt;width:27pt;height:24.75pt;z-index:25217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U6NpQIAAH4FAAAOAAAAZHJzL2Uyb0RvYy54bWysVEtPGzEQvlfqf7B8L5ss4bUiQRGIqhKF&#10;SKHiPHi9Wat+dexkA8f+t/6vjr1JCLTiUDWHjWfGnsc338z5xdpotpIYlLNjPjwYcCatcLWyizH/&#10;dn/96ZSzEMHWoJ2VY/4kA7+YfPxw3vlKlq51upbIyIkNVefHvI3RV0URRCsNhAPnpSVj49BAJBEX&#10;RY3QkXeji3IwOC46h7VHJ2QIpL3qjXyS/TeNFPGuaYKMTI855RbzF/P3MX2LyTlUCwTfKrFJA/4h&#10;CwPKUtCdqyuIwJao/nBllEAXXBMPhDOFaxolZK6BqhkO3lQzb8HLXAuBE/wOpvD/3Irb1QyZqql3&#10;gxPOLBhq0jziM/z6+R1Yxzwh6lgyElSdDxW9mPsZbqRAx1T3ukGT/qkits7wPu3glevIBCkPR+XZ&#10;gJogyHQ4HB2WR8ln8fLYY4ifpTMUNFCnUC3aOEV0XYYWVjch9g+2F1PE4LSqr5XWWUi8kZca2Qqo&#10;4yCEtLHMz/XSfHV1rx8N6Nf3ntTEkF59vFVTTpmByVPO8FUQbVlHeJUnuRgg1jYaItVlPOEY7IIz&#10;0AsaBxExh371euf4/RR3uUC1n+Iu8/dTTABdQWj7GDl+X65RkeZNKzPmp6najAL50jbBJ/PEbGBO&#10;ze7bm06Prn4ipqDrRyh4ca0oyA2EOAOkmaHG0h6Id/RptCOA3ObEWevw+W/6dJ+oTFbOOppBAu/H&#10;ElBypr9YIvnZcDRKQ5uF0dFJSQLuWx73LXZpLh01fUgbx4t8TPej3h4bdOaB1sU0RSUTWEGx+zZt&#10;hMvY7wZaOEJOp/kaDaqHeGPnXiTnCacE7/36AdBvqBqJ47duO69QveFqfze9tG66jK5RmcgvuBLJ&#10;kkBDnum2WUhpi+zL+dbL2pz8BgAA//8DAFBLAwQUAAYACAAAACEAGj/kyN0AAAAIAQAADwAAAGRy&#10;cy9kb3ducmV2LnhtbEyPwU7DMBBE70j8g7VIXBB1EpVQhTgVIIGoONH20psbL05EvI5iJ03/nu0J&#10;jjtvNDtTrmfXiQmH0HpSkC4SEEi1Ny1ZBfvd2/0KRIiajO48oYIzBlhX11elLow/0RdO22gFh1Ao&#10;tIImxr6QMtQNOh0Wvkdi9u0HpyOfg5Vm0CcOd53MkiSXTrfEHxrd42uD9c92dApGPJjz7uPdbjb2&#10;c1q2qX9J75ZK3d7Mz08gIs7xzwyX+lwdKu509COZIDoFeZaxk/UVT7rwNGfhyODxAWRVyv8Dql8A&#10;AAD//wMAUEsBAi0AFAAGAAgAAAAhALaDOJL+AAAA4QEAABMAAAAAAAAAAAAAAAAAAAAAAFtDb250&#10;ZW50X1R5cGVzXS54bWxQSwECLQAUAAYACAAAACEAOP0h/9YAAACUAQAACwAAAAAAAAAAAAAAAAAv&#10;AQAAX3JlbHMvLnJlbHNQSwECLQAUAAYACAAAACEAebFOjaUCAAB+BQAADgAAAAAAAAAAAAAAAAAu&#10;AgAAZHJzL2Uyb0RvYy54bWxQSwECLQAUAAYACAAAACEAGj/kyN0AAAAIAQAADwAAAAAAAAAAAAAA&#10;AAD/BAAAZHJzL2Rvd25yZXYueG1sUEsFBgAAAAAEAAQA8wAAAAkGAAAAAA==&#10;" adj="11700" fillcolor="#f7caac [1301]" strokecolor="#f4b083 [1941]" strokeweight="1pt">
                <w10:wrap anchorx="margin"/>
              </v:shape>
            </w:pict>
          </mc:Fallback>
        </mc:AlternateContent>
      </w:r>
      <w:r w:rsidRPr="00F21196">
        <w:rPr>
          <w:rFonts w:eastAsia="Times New Roman" w:cs="Calibri"/>
          <w:b/>
          <w:noProof/>
          <w:color w:val="2F5496" w:themeColor="accent5" w:themeShade="BF"/>
          <w:lang w:eastAsia="pl-PL"/>
        </w:rPr>
        <mc:AlternateContent>
          <mc:Choice Requires="wps">
            <w:drawing>
              <wp:anchor distT="0" distB="0" distL="114300" distR="114300" simplePos="0" relativeHeight="252171264" behindDoc="0" locked="0" layoutInCell="1" allowOverlap="1" wp14:anchorId="7CF5AE96" wp14:editId="7837B70F">
                <wp:simplePos x="0" y="0"/>
                <wp:positionH relativeFrom="margin">
                  <wp:posOffset>785495</wp:posOffset>
                </wp:positionH>
                <wp:positionV relativeFrom="paragraph">
                  <wp:posOffset>18415</wp:posOffset>
                </wp:positionV>
                <wp:extent cx="5314950" cy="501650"/>
                <wp:effectExtent l="0" t="0" r="19050" b="12700"/>
                <wp:wrapNone/>
                <wp:docPr id="100" name="Prostokąt zaokrąglony 100"/>
                <wp:cNvGraphicFramePr/>
                <a:graphic xmlns:a="http://schemas.openxmlformats.org/drawingml/2006/main">
                  <a:graphicData uri="http://schemas.microsoft.com/office/word/2010/wordprocessingShape">
                    <wps:wsp>
                      <wps:cNvSpPr/>
                      <wps:spPr>
                        <a:xfrm>
                          <a:off x="0" y="0"/>
                          <a:ext cx="5314950" cy="501650"/>
                        </a:xfrm>
                        <a:prstGeom prst="roundRect">
                          <a:avLst/>
                        </a:prstGeom>
                        <a:solidFill>
                          <a:schemeClr val="bg1">
                            <a:lumMod val="9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25DA52" w14:textId="77777777" w:rsidR="005D4C4C" w:rsidRPr="009E1594" w:rsidRDefault="005D4C4C" w:rsidP="00A52B29">
                            <w:pPr>
                              <w:shd w:val="clear" w:color="auto" w:fill="F2F2F2" w:themeFill="background1" w:themeFillShade="F2"/>
                              <w:spacing w:line="276" w:lineRule="auto"/>
                              <w:ind w:left="426" w:hanging="426"/>
                              <w:jc w:val="both"/>
                              <w:rPr>
                                <w:i/>
                              </w:rPr>
                            </w:pPr>
                            <w:r w:rsidRPr="009E1594">
                              <w:rPr>
                                <w:rFonts w:eastAsia="Times New Roman" w:cstheme="minorHAnsi"/>
                                <w:b/>
                                <w:i/>
                              </w:rPr>
                              <w:t>1.</w:t>
                            </w:r>
                            <w:r w:rsidRPr="009E1594">
                              <w:rPr>
                                <w:rFonts w:eastAsia="Times New Roman" w:cstheme="minorHAnsi"/>
                                <w:b/>
                                <w:i/>
                              </w:rPr>
                              <w:tab/>
                            </w:r>
                            <w:r w:rsidRPr="009E1594">
                              <w:rPr>
                                <w:rFonts w:cs="Helv"/>
                                <w:b/>
                                <w:bCs/>
                                <w:i/>
                                <w:color w:val="000000"/>
                                <w:lang w:eastAsia="en-GB"/>
                              </w:rPr>
                              <w:t>Zmiany regulacyjno-instytucjonalne zmierzające do zapewnienia dochodów budżetowych niezbędnych dla sfinansowania wydatków państwa.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F5AE96" id="Prostokąt zaokrąglony 100" o:spid="_x0000_s1060" style="position:absolute;margin-left:61.85pt;margin-top:1.45pt;width:418.5pt;height:39.5pt;z-index:25217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rHswwIAAB4GAAAOAAAAZHJzL2Uyb0RvYy54bWysVF9P2zAQf5+072D5fSQpLYOKFFUgpkkM&#10;KmDi2XWcJsLxebbbtLzzzfhgO9tJ+DM0TWgvydm++93d7/4cn2wbSTbC2BpUTrO9lBKhOBS1WuX0&#10;5+35l0NKrGOqYBKUyOlOWHoy+/zpuNVTMYIKZCEMQRBlp63OaeWcniaJ5ZVomN0DLRQ+lmAa5vBo&#10;VklhWIvojUxGaXqQtGAKbYALa/H2LD7SWcAvS8HdVVla4YjMKcbmwteE79J/k9kxm64M01XNuzDY&#10;B6JoWK3Q6QB1xhwja1P/AdXU3ICF0u1xaBIoy5qLkANmk6VvsrmpmBYhFyTH6oEm+/9g+eVmYUhd&#10;YO1S5EexBou0wBAd3D89OvLA4N48Pa6wejviVZCwVtsp2t3ohelOFkWf/bY0jf9jXmQbSN4NJIut&#10;IxwvJ/vZ+GiCvji+TdLsAGWESZ6ttbHum4CGeCGnBtaquMZKBoLZ5sK6qN/reY8WZF2c11KGg+8e&#10;cSoN2TCs+3KVBVO5bn5AEe8wgpgM+g3N5tVDFK+QpPoI+OG/gKNjj554NiN/QXI7KbxPqa5FiYVB&#10;xkYh+iHKmADjXCgXE7MVK0S89p57PgeLkFcA9MglsjRgdwCvCeuxI82dvjcVYaIG4/RvgUXjwSJ4&#10;BuUG46ZWYN4DkJhV5znq9yRFajxLbrvchqbdH/cNuYRih51sII641fy8xva5YNYtmMGZxo7DPeWu&#10;8FNKaHMKnURJBebhvXuvj6OGr5S0uCNyan+tmRGUyO8Kh/AoG4/9UgmH8eTrCA/m5cvy5YtaN6eA&#10;7ZjhRtQ8iF7fyV4sDTR3uM7m3is+McXRd065M/3h1MXdhQuRi/k8qOEi0cxdqBvNPbgn2k/G7faO&#10;Gd3NkMPpu4R+n7DpmymKut5SwXztoKzDiHmqI69dCXAJhV7qFqbfci/PQet5rc9+AwAA//8DAFBL&#10;AwQUAAYACAAAACEAl1E7q9wAAAAIAQAADwAAAGRycy9kb3ducmV2LnhtbEyPwU7DMBBE70j8g7VI&#10;XBC1m4qShDgVQqp6oYcWPsCNlyRqvI5itw5/z3KC42hGM2+qzewGccUp9J40LBcKBFLjbU+ths+P&#10;7WMOIkRD1gyeUMM3BtjUtzeVKa1PdMDrMbaCSyiURkMX41hKGZoOnQkLPyKx9+UnZyLLqZV2MonL&#10;3SAzpdbSmZ54oTMjvnXYnI8Xx7ttekoPCqec9rvd+T3t89W20Pr+bn59ARFxjn9h+MVndKiZ6eQv&#10;ZIMYWGerZ45qyAoQ7BdrxfqkIV8WIOtK/j9Q/wAAAP//AwBQSwECLQAUAAYACAAAACEAtoM4kv4A&#10;AADhAQAAEwAAAAAAAAAAAAAAAAAAAAAAW0NvbnRlbnRfVHlwZXNdLnhtbFBLAQItABQABgAIAAAA&#10;IQA4/SH/1gAAAJQBAAALAAAAAAAAAAAAAAAAAC8BAABfcmVscy8ucmVsc1BLAQItABQABgAIAAAA&#10;IQAjXrHswwIAAB4GAAAOAAAAAAAAAAAAAAAAAC4CAABkcnMvZTJvRG9jLnhtbFBLAQItABQABgAI&#10;AAAAIQCXUTur3AAAAAgBAAAPAAAAAAAAAAAAAAAAAB0FAABkcnMvZG93bnJldi54bWxQSwUGAAAA&#10;AAQABADzAAAAJgYAAAAA&#10;" fillcolor="#f2f2f2 [3052]" strokecolor="#d8d8d8 [2732]" strokeweight="1pt">
                <v:stroke joinstyle="miter"/>
                <v:textbox>
                  <w:txbxContent>
                    <w:p w14:paraId="6C25DA52" w14:textId="77777777" w:rsidR="005D4C4C" w:rsidRPr="009E1594" w:rsidRDefault="005D4C4C" w:rsidP="00A52B29">
                      <w:pPr>
                        <w:shd w:val="clear" w:color="auto" w:fill="F2F2F2" w:themeFill="background1" w:themeFillShade="F2"/>
                        <w:spacing w:line="276" w:lineRule="auto"/>
                        <w:ind w:left="426" w:hanging="426"/>
                        <w:jc w:val="both"/>
                        <w:rPr>
                          <w:i/>
                        </w:rPr>
                      </w:pPr>
                      <w:r w:rsidRPr="009E1594">
                        <w:rPr>
                          <w:rFonts w:eastAsia="Times New Roman" w:cstheme="minorHAnsi"/>
                          <w:b/>
                          <w:i/>
                        </w:rPr>
                        <w:t>1.</w:t>
                      </w:r>
                      <w:r w:rsidRPr="009E1594">
                        <w:rPr>
                          <w:rFonts w:eastAsia="Times New Roman" w:cstheme="minorHAnsi"/>
                          <w:b/>
                          <w:i/>
                        </w:rPr>
                        <w:tab/>
                      </w:r>
                      <w:r w:rsidRPr="009E1594">
                        <w:rPr>
                          <w:rFonts w:cs="Helv"/>
                          <w:b/>
                          <w:bCs/>
                          <w:i/>
                          <w:color w:val="000000"/>
                          <w:lang w:eastAsia="en-GB"/>
                        </w:rPr>
                        <w:t>Zmiany regulacyjno-instytucjonalne zmierzające do zapewnienia dochodów budżetowych niezbędnych dla sfinansowania wydatków państwa.</w:t>
                      </w:r>
                    </w:p>
                  </w:txbxContent>
                </v:textbox>
                <w10:wrap anchorx="margin"/>
              </v:roundrect>
            </w:pict>
          </mc:Fallback>
        </mc:AlternateContent>
      </w:r>
      <w:r w:rsidRPr="00F21196">
        <w:rPr>
          <w:rFonts w:eastAsia="Times New Roman" w:cs="Calibri"/>
          <w:b/>
          <w:noProof/>
          <w:color w:val="2F5496" w:themeColor="accent5" w:themeShade="BF"/>
          <w:lang w:eastAsia="pl-PL"/>
        </w:rPr>
        <mc:AlternateContent>
          <mc:Choice Requires="wps">
            <w:drawing>
              <wp:anchor distT="0" distB="0" distL="114300" distR="114300" simplePos="0" relativeHeight="252179456" behindDoc="0" locked="0" layoutInCell="1" allowOverlap="1" wp14:anchorId="0C76C359" wp14:editId="4330DB6A">
                <wp:simplePos x="0" y="0"/>
                <wp:positionH relativeFrom="margin">
                  <wp:align>left</wp:align>
                </wp:positionH>
                <wp:positionV relativeFrom="paragraph">
                  <wp:posOffset>10795</wp:posOffset>
                </wp:positionV>
                <wp:extent cx="400050" cy="3634740"/>
                <wp:effectExtent l="0" t="0" r="19050" b="22860"/>
                <wp:wrapNone/>
                <wp:docPr id="108" name="Prostokąt 108"/>
                <wp:cNvGraphicFramePr/>
                <a:graphic xmlns:a="http://schemas.openxmlformats.org/drawingml/2006/main">
                  <a:graphicData uri="http://schemas.microsoft.com/office/word/2010/wordprocessingShape">
                    <wps:wsp>
                      <wps:cNvSpPr/>
                      <wps:spPr>
                        <a:xfrm>
                          <a:off x="0" y="0"/>
                          <a:ext cx="400050" cy="3634740"/>
                        </a:xfrm>
                        <a:prstGeom prst="rect">
                          <a:avLst/>
                        </a:prstGeom>
                        <a:solidFill>
                          <a:schemeClr val="accent2">
                            <a:lumMod val="40000"/>
                            <a:lumOff val="6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3563B8" w14:textId="77777777" w:rsidR="005D4C4C" w:rsidRPr="00E3677F" w:rsidRDefault="005D4C4C" w:rsidP="00A52B29">
                            <w:pPr>
                              <w:jc w:val="center"/>
                              <w:rPr>
                                <w:b/>
                                <w:color w:val="000000" w:themeColor="text1"/>
                                <w:sz w:val="28"/>
                              </w:rPr>
                            </w:pPr>
                            <w:r w:rsidRPr="00E3677F">
                              <w:rPr>
                                <w:b/>
                                <w:color w:val="000000" w:themeColor="text1"/>
                                <w:sz w:val="28"/>
                              </w:rPr>
                              <w:t>Kierunki interwencji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6C359" id="Prostokąt 108" o:spid="_x0000_s1061" style="position:absolute;margin-left:0;margin-top:.85pt;width:31.5pt;height:286.2pt;z-index:252179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XicwQIAAEUGAAAOAAAAZHJzL2Uyb0RvYy54bWysVM1u2zAMvg/YOwi6r3bSpN2MOkXQosOA&#10;rg2WDj0rslQbk0VNUmJn973ZHmyU/NOs63oodrEliuRHfvw5O29rRXbCugp0TidHKSVCcygq/ZDT&#10;r3dX795T4jzTBVOgRU73wtHzxds3Z43JxBRKUIWwBJ1olzUmp6X3JksSx0tRM3cERmh8lGBr5vFq&#10;H5LCsga91yqZpulJ0oAtjAUunEPpZfdIF9G/lIL7Wymd8ETlFGPz8WvjdxO+yeKMZQ+WmbLifRjs&#10;FVHUrNIIOrq6ZJ6Rra3+clVX3IID6Y841AlIWXERc8BsJumTbNYlMyLmguQ4M9Lk/p9bfrNbWVIV&#10;WLsUS6VZjUVaYYgevv366UmQIkeNcRmqrs3K9jeHx5BwK20d/pgKaSOv+5FX0XrCUThL03SO7HN8&#10;Oj45np3OIvHJo7Wxzn8UUJNwyKnFukU62e7aeURE1UElgDlQVXFVKRUvoVfEhbJkx7DKjHOh/TSa&#10;q239GYpOHoLo641i7IpOfDKIESJ2XfAUAf8AUfq1uCMAyw5xx3BewsW3AJwE+jvC48nvlQjhKP1F&#10;SCweUtzlOyZwSMUkUuFKVohOPP9nytFh8CyR29F37+A5miehOTDKXj+Yijh1o3Haob9kPFpEZNB+&#10;NK4rDfY5B8qPyJ3+QFJHTWDJt5s2NvbxfOjgDRR77HYL3Rpwhl9V2G/XzPkVszj32KO4y/wtfqSC&#10;JqfQnygpwf54Th70cxq+01M0b3CV5NR93zIrKFGfNM7qh8kMG574eJnNT6d4sYcvm8MXva0vAPt4&#10;govT8HgM+l4NR2mhvsettwzA+MQ0x+Byyr0dLhe+W3G4N7lYLqMa7hvD/LVeGx6cB67DSN2198ya&#10;fu48TuwNDGuHZU/Gr9MNlhqWWw+yirMZ2O6o7auAuyp2Rb9XwzI8vEetx+2/+A0AAP//AwBQSwME&#10;FAAGAAgAAAAhAJ8rtr3bAAAABQEAAA8AAABkcnMvZG93bnJldi54bWxMj81OwzAQhO9IvIO1SFwQ&#10;dcJPi0KcChUQJw60iLMbL0lUex3ibRP69CwnOM7OauabcjkFrw44pC6SgXyWgUKqo+uoMfC+eb68&#10;A5XYkrM+Ehr4xgTL6vSktIWLI73hYc2NkhBKhTXQMveF1qluMdg0iz2SeJ9xCJZFDo12gx0lPHh9&#10;lWVzHWxH0tDaHlct1rv1Phg4fmUfFy+hXfnjrs/5yb0+bkY25vxsergHxTjx3zP84gs6VMK0jXty&#10;SXkDMoTlugAl5vxa5NbA7eImB12V+j999QMAAP//AwBQSwECLQAUAAYACAAAACEAtoM4kv4AAADh&#10;AQAAEwAAAAAAAAAAAAAAAAAAAAAAW0NvbnRlbnRfVHlwZXNdLnhtbFBLAQItABQABgAIAAAAIQA4&#10;/SH/1gAAAJQBAAALAAAAAAAAAAAAAAAAAC8BAABfcmVscy8ucmVsc1BLAQItABQABgAIAAAAIQA6&#10;wXicwQIAAEUGAAAOAAAAAAAAAAAAAAAAAC4CAABkcnMvZTJvRG9jLnhtbFBLAQItABQABgAIAAAA&#10;IQCfK7a92wAAAAUBAAAPAAAAAAAAAAAAAAAAABsFAABkcnMvZG93bnJldi54bWxQSwUGAAAAAAQA&#10;BADzAAAAIwYAAAAA&#10;" fillcolor="#f7caac [1301]" strokecolor="#f4b083 [1941]" strokeweight="1pt">
                <v:textbox style="layout-flow:vertical;mso-layout-flow-alt:bottom-to-top">
                  <w:txbxContent>
                    <w:p w14:paraId="033563B8" w14:textId="77777777" w:rsidR="005D4C4C" w:rsidRPr="00E3677F" w:rsidRDefault="005D4C4C" w:rsidP="00A52B29">
                      <w:pPr>
                        <w:jc w:val="center"/>
                        <w:rPr>
                          <w:b/>
                          <w:color w:val="000000" w:themeColor="text1"/>
                          <w:sz w:val="28"/>
                        </w:rPr>
                      </w:pPr>
                      <w:r w:rsidRPr="00E3677F">
                        <w:rPr>
                          <w:b/>
                          <w:color w:val="000000" w:themeColor="text1"/>
                          <w:sz w:val="28"/>
                        </w:rPr>
                        <w:t>Kierunki interwencji</w:t>
                      </w:r>
                    </w:p>
                  </w:txbxContent>
                </v:textbox>
                <w10:wrap anchorx="margin"/>
              </v:rect>
            </w:pict>
          </mc:Fallback>
        </mc:AlternateContent>
      </w:r>
    </w:p>
    <w:p w14:paraId="71054FFC" w14:textId="7040F4B9" w:rsidR="00A52B29" w:rsidRPr="00F21196" w:rsidRDefault="00A52B29" w:rsidP="00A52B29">
      <w:pPr>
        <w:spacing w:after="0"/>
        <w:rPr>
          <w:rFonts w:eastAsia="Times New Roman" w:cs="Calibri"/>
          <w:b/>
          <w:color w:val="2F5496" w:themeColor="accent5" w:themeShade="BF"/>
          <w:lang w:eastAsia="pl-PL"/>
        </w:rPr>
      </w:pPr>
    </w:p>
    <w:p w14:paraId="73DA637D" w14:textId="77777777" w:rsidR="00A52B29" w:rsidRPr="00F21196" w:rsidRDefault="00A52B29" w:rsidP="00A52B29">
      <w:pPr>
        <w:spacing w:after="0"/>
        <w:rPr>
          <w:rFonts w:eastAsia="Times New Roman" w:cs="Calibri"/>
          <w:b/>
          <w:color w:val="2F5496" w:themeColor="accent5" w:themeShade="BF"/>
          <w:lang w:eastAsia="pl-PL"/>
        </w:rPr>
      </w:pPr>
    </w:p>
    <w:p w14:paraId="1C27B6D0" w14:textId="77777777" w:rsidR="00A52B29" w:rsidRPr="00F21196" w:rsidRDefault="00A52B29" w:rsidP="00A52B29">
      <w:pPr>
        <w:spacing w:after="0"/>
        <w:rPr>
          <w:rFonts w:eastAsia="Times New Roman" w:cs="Calibri"/>
          <w:b/>
          <w:color w:val="2F5496" w:themeColor="accent5" w:themeShade="BF"/>
          <w:lang w:eastAsia="pl-PL"/>
        </w:rPr>
      </w:pPr>
      <w:r w:rsidRPr="00F21196">
        <w:rPr>
          <w:rFonts w:eastAsia="Times New Roman" w:cs="Calibri"/>
          <w:b/>
          <w:noProof/>
          <w:color w:val="2F5496" w:themeColor="accent5" w:themeShade="BF"/>
          <w:lang w:eastAsia="pl-PL"/>
        </w:rPr>
        <mc:AlternateContent>
          <mc:Choice Requires="wps">
            <w:drawing>
              <wp:anchor distT="0" distB="0" distL="114300" distR="114300" simplePos="0" relativeHeight="252174336" behindDoc="0" locked="0" layoutInCell="1" allowOverlap="1" wp14:anchorId="66E9C90B" wp14:editId="31D28E21">
                <wp:simplePos x="0" y="0"/>
                <wp:positionH relativeFrom="margin">
                  <wp:posOffset>767080</wp:posOffset>
                </wp:positionH>
                <wp:positionV relativeFrom="paragraph">
                  <wp:posOffset>64135</wp:posOffset>
                </wp:positionV>
                <wp:extent cx="5292319" cy="496957"/>
                <wp:effectExtent l="0" t="0" r="22860" b="17780"/>
                <wp:wrapNone/>
                <wp:docPr id="103" name="Prostokąt zaokrąglony 103"/>
                <wp:cNvGraphicFramePr/>
                <a:graphic xmlns:a="http://schemas.openxmlformats.org/drawingml/2006/main">
                  <a:graphicData uri="http://schemas.microsoft.com/office/word/2010/wordprocessingShape">
                    <wps:wsp>
                      <wps:cNvSpPr/>
                      <wps:spPr>
                        <a:xfrm>
                          <a:off x="0" y="0"/>
                          <a:ext cx="5292319" cy="496957"/>
                        </a:xfrm>
                        <a:prstGeom prst="roundRect">
                          <a:avLst/>
                        </a:prstGeom>
                        <a:solidFill>
                          <a:schemeClr val="bg1">
                            <a:lumMod val="95000"/>
                          </a:schemeClr>
                        </a:solidFill>
                        <a:ln w="12700" cap="flat" cmpd="sng" algn="ctr">
                          <a:solidFill>
                            <a:schemeClr val="bg1">
                              <a:lumMod val="85000"/>
                            </a:schemeClr>
                          </a:solidFill>
                          <a:prstDash val="solid"/>
                          <a:miter lim="800000"/>
                        </a:ln>
                        <a:effectLst/>
                      </wps:spPr>
                      <wps:txbx>
                        <w:txbxContent>
                          <w:p w14:paraId="323F3AEC" w14:textId="77777777" w:rsidR="005D4C4C" w:rsidRPr="00C916E9" w:rsidRDefault="005D4C4C" w:rsidP="00A52B29">
                            <w:pPr>
                              <w:ind w:left="284" w:hanging="284"/>
                            </w:pPr>
                            <w:r w:rsidRPr="0038379F">
                              <w:rPr>
                                <w:b/>
                                <w:i/>
                              </w:rPr>
                              <w:t>2</w:t>
                            </w:r>
                            <w:r w:rsidRPr="0038379F">
                              <w:rPr>
                                <w:b/>
                                <w:bCs/>
                                <w:i/>
                              </w:rPr>
                              <w:t>.</w:t>
                            </w:r>
                            <w:r w:rsidRPr="0038379F">
                              <w:rPr>
                                <w:b/>
                                <w:bCs/>
                                <w:i/>
                              </w:rPr>
                              <w:tab/>
                            </w:r>
                            <w:r w:rsidRPr="0038379F">
                              <w:rPr>
                                <w:b/>
                                <w:i/>
                              </w:rPr>
                              <w:t>Nowy system budżetowy wspierający osiąganie celów strategicznych i priorytetów rozwojowych w perspektywie wieloletniej</w:t>
                            </w:r>
                            <w:r w:rsidRPr="00CD34ED">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E9C90B" id="Prostokąt zaokrąglony 103" o:spid="_x0000_s1062" style="position:absolute;margin-left:60.4pt;margin-top:5.05pt;width:416.7pt;height:39.15pt;z-index:25217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crpQIAAGEFAAAOAAAAZHJzL2Uyb0RvYy54bWysVM1u2zAMvg/YOwi6r3bSpG2CJkXQosOA&#10;rg3WDj0rsmwLlURNUmKn975ZH2yU7KQ/24Bh2MUmRYo/Hz/q9KzVimyE8xLMjA4OckqE4VBIU83o&#10;97vLTyeU+MBMwRQYMaNb4enZ/OOH08ZOxRBqUIVwBIMYP23sjNYh2GmWeV4LzfwBWGHQWILTLKDq&#10;qqxwrMHoWmXDPD/KGnCFdcCF93h60RnpPMUvS8HDTVl6EYiaUawtpK9L31X8ZvNTNq0cs7XkfRns&#10;H6rQTBpMug91wQIjayd/CaUld+ChDAccdAZlKblIPWA3g/xdN7c1syL1guB4u4fJ/7+w/HqzdEQW&#10;OLv8kBLDNA5piSUGeHh+CuSRwYN7fqpwelsSXRCwxvop3ru1S9drHsXYfVs6Hf/YF2kTyNs9yKIN&#10;hOPheDgZHg4mlHC0jSZHk/FxDJq93LbOh88CNInCjDpYm+IbTjIBzDZXPnT+O7+Y0YOSxaVUKimR&#10;PeJcObJhOPdVNUhX1Vp/haI7m4zzPE0f8yayRfdUxZtIypAGoRkeozPhDAlaKhZQ1BYh86aihKkK&#10;mc+DSzne3N4H/nMdJ39XR2z1gvm6C5SSdNTVMuD+KKln9AQ72vekTARCpA3oAYtj6wYVpdCu2jT3&#10;w6PdTFdQbJEMDrot8ZZfSsx7xXxYModrgRjgqocb/JQKEBjoJUpqcI+/O4/+yFa0UtLgmiFoP9bM&#10;CUrUF4M8ngxGo7iXSRmNj4eouNeW1WuLWetzwIkO8FGxPInRP6idWDrQ9/giLGJWNDHDMXc3nl45&#10;D93645vCxWKR3HAXLQtX5tbyGDxCFxG/a++Zsz0NAxL4GnYryabviNj5xpsGFusApUwsjVB3uCK5&#10;ooJ7nGjWvznxoXitJ6+Xl3H+EwAA//8DAFBLAwQUAAYACAAAACEAHN1G0N4AAAAJAQAADwAAAGRy&#10;cy9kb3ducmV2LnhtbEyPwU7DMBBE70j8g7VIXFBrN7RVGuJUCKnqhR5a+AA3WZKo8Tqy3Tr8PcsJ&#10;bjva0cybcjvZQdzQh96RhsVcgUCqXdNTq+HzYzfLQYRoqDGDI9TwjQG21f1daYrGJTri7RRbwSEU&#10;CqOhi3EspAx1h9aEuRuR+PflvDWRpW9l403icDvITKm1tKYnbujMiG8d1pfT1XJvm1bpSaHP6bDf&#10;X97TIX/ebbR+fJheX0BEnOKfGX7xGR0qZjq7KzVBDKwzxeiRD7UAwYbNapmBOGvI8yXIqpT/F1Q/&#10;AAAA//8DAFBLAQItABQABgAIAAAAIQC2gziS/gAAAOEBAAATAAAAAAAAAAAAAAAAAAAAAABbQ29u&#10;dGVudF9UeXBlc10ueG1sUEsBAi0AFAAGAAgAAAAhADj9If/WAAAAlAEAAAsAAAAAAAAAAAAAAAAA&#10;LwEAAF9yZWxzLy5yZWxzUEsBAi0AFAAGAAgAAAAhANaCVyulAgAAYQUAAA4AAAAAAAAAAAAAAAAA&#10;LgIAAGRycy9lMm9Eb2MueG1sUEsBAi0AFAAGAAgAAAAhABzdRtDeAAAACQEAAA8AAAAAAAAAAAAA&#10;AAAA/wQAAGRycy9kb3ducmV2LnhtbFBLBQYAAAAABAAEAPMAAAAKBgAAAAA=&#10;" fillcolor="#f2f2f2 [3052]" strokecolor="#d8d8d8 [2732]" strokeweight="1pt">
                <v:stroke joinstyle="miter"/>
                <v:textbox>
                  <w:txbxContent>
                    <w:p w14:paraId="323F3AEC" w14:textId="77777777" w:rsidR="005D4C4C" w:rsidRPr="00C916E9" w:rsidRDefault="005D4C4C" w:rsidP="00A52B29">
                      <w:pPr>
                        <w:ind w:left="284" w:hanging="284"/>
                      </w:pPr>
                      <w:r w:rsidRPr="0038379F">
                        <w:rPr>
                          <w:b/>
                          <w:i/>
                        </w:rPr>
                        <w:t>2</w:t>
                      </w:r>
                      <w:r w:rsidRPr="0038379F">
                        <w:rPr>
                          <w:b/>
                          <w:bCs/>
                          <w:i/>
                        </w:rPr>
                        <w:t>.</w:t>
                      </w:r>
                      <w:r w:rsidRPr="0038379F">
                        <w:rPr>
                          <w:b/>
                          <w:bCs/>
                          <w:i/>
                        </w:rPr>
                        <w:tab/>
                      </w:r>
                      <w:r w:rsidRPr="0038379F">
                        <w:rPr>
                          <w:b/>
                          <w:i/>
                        </w:rPr>
                        <w:t>Nowy system budżetowy wspierający osiąganie celów strategicznych i priorytetów rozwojowych w perspektywie wieloletniej</w:t>
                      </w:r>
                      <w:r w:rsidRPr="00CD34ED">
                        <w:rPr>
                          <w:b/>
                        </w:rPr>
                        <w:t>.</w:t>
                      </w:r>
                    </w:p>
                  </w:txbxContent>
                </v:textbox>
                <w10:wrap anchorx="margin"/>
              </v:roundrect>
            </w:pict>
          </mc:Fallback>
        </mc:AlternateContent>
      </w:r>
    </w:p>
    <w:p w14:paraId="3A9CFB8A" w14:textId="77777777" w:rsidR="00A52B29" w:rsidRPr="00F21196" w:rsidRDefault="00A52B29" w:rsidP="00A52B29">
      <w:pPr>
        <w:spacing w:after="0"/>
        <w:rPr>
          <w:rFonts w:eastAsia="Times New Roman" w:cs="Calibri"/>
          <w:b/>
          <w:color w:val="2F5496" w:themeColor="accent5" w:themeShade="BF"/>
          <w:lang w:eastAsia="pl-PL"/>
        </w:rPr>
      </w:pPr>
      <w:r w:rsidRPr="00F21196">
        <w:rPr>
          <w:rFonts w:eastAsia="Times New Roman" w:cs="Calibri"/>
          <w:b/>
          <w:noProof/>
          <w:color w:val="2F5496" w:themeColor="accent5" w:themeShade="BF"/>
          <w:lang w:eastAsia="pl-PL"/>
        </w:rPr>
        <mc:AlternateContent>
          <mc:Choice Requires="wps">
            <w:drawing>
              <wp:anchor distT="0" distB="0" distL="114300" distR="114300" simplePos="0" relativeHeight="252175360" behindDoc="0" locked="0" layoutInCell="1" allowOverlap="1" wp14:anchorId="75A34760" wp14:editId="13F62158">
                <wp:simplePos x="0" y="0"/>
                <wp:positionH relativeFrom="margin">
                  <wp:posOffset>375234</wp:posOffset>
                </wp:positionH>
                <wp:positionV relativeFrom="paragraph">
                  <wp:posOffset>21742</wp:posOffset>
                </wp:positionV>
                <wp:extent cx="342900" cy="314325"/>
                <wp:effectExtent l="0" t="19050" r="38100" b="47625"/>
                <wp:wrapNone/>
                <wp:docPr id="104" name="Strzałka w prawo 104"/>
                <wp:cNvGraphicFramePr/>
                <a:graphic xmlns:a="http://schemas.openxmlformats.org/drawingml/2006/main">
                  <a:graphicData uri="http://schemas.microsoft.com/office/word/2010/wordprocessingShape">
                    <wps:wsp>
                      <wps:cNvSpPr/>
                      <wps:spPr>
                        <a:xfrm>
                          <a:off x="0" y="0"/>
                          <a:ext cx="342900" cy="314325"/>
                        </a:xfrm>
                        <a:prstGeom prst="rightArrow">
                          <a:avLst/>
                        </a:prstGeom>
                        <a:solidFill>
                          <a:schemeClr val="accent2">
                            <a:lumMod val="40000"/>
                            <a:lumOff val="6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9F93C" id="Strzałka w prawo 104" o:spid="_x0000_s1026" type="#_x0000_t13" style="position:absolute;margin-left:29.55pt;margin-top:1.7pt;width:27pt;height:24.75pt;z-index:25217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DPkuwIAADsGAAAOAAAAZHJzL2Uyb0RvYy54bWysVF9P2zAQf5+072D5fSQphY2IFFUgpkls&#10;oJWJZ+M4TTTH553dpuVx323fa2cnDR1jPKD1IfX9v/vdn9OzTavZWqFrwBQ8O0g5U0ZC2Zhlwb/d&#10;Xr77wJnzwpRCg1EF3yrHz2Zv35x2NlcTqEGXChk5MS7vbMFr722eJE7WqhXuAKwyJKwAW+GJxGVS&#10;oujIe6uTSZoeJx1gaRGkco64F72Qz6L/qlLSX1eVU57pglNuPn4xfu/DN5mdinyJwtaNHNIQr8ii&#10;FY2hoKOrC+EFW2Hzl6u2kQgOKn8goU2gqhqpYg1UTZY+qWZRC6tiLQSOsyNM7v+5lV/WN8iaknqX&#10;TjkzoqUmLTw+iF8/vwvWMUuIAgtCgqqzLieLhb3BgXL0DHVvKmzDP1XENhHe7Qiv2ngmiXk4nZyk&#10;1ARJosNsejg5Cj6TR2OLzn9U0FJQR53CZln7OSJ0EVqxvnK+N9gphogOdFNeNlpHIsyNOtfI1oI6&#10;LqRUxk+iuV61n6Hs+dOUfn3viU0T0rOPd2zKKU5g8BQz/COINq+NOwYQ+X7cMZ2X4pIsBE5CD3rU&#10;48tvtQrpaPNVVdRIwrmvdyxgH4osQuFqUaqeffTPkqPD4LkibEffg4PnYM6Gbg76wVTFDRyN0z76&#10;S8ajRYwMxo/GbWMAn3Og/Ri519+B1EMTULqHcktjjtDvv7PysqERuxLO3wikhaeppCPmr+lTaegK&#10;DsOLsxrw4Tl+0Kc9JClnHR2QgrsfK4GKM/3J0IaeZNNpuDiRmB69nxCB+5L7fYlZtedAE5vRubQy&#10;PoO+17tnhdDe0a2bh6gkEkZS7IJLjzvi3PeHja6lVPN5VKMrY4W/Mgsrg/OAalie282dQDvsmacF&#10;/QK7YyPyJ4vW6wZLA/OVh6qJW/iI64A3Xai4K8M1DSdwn45ajzd/9hsAAP//AwBQSwMEFAAGAAgA&#10;AAAhAD6V0MjcAAAABwEAAA8AAABkcnMvZG93bnJldi54bWxMjs1OwzAQhO9IvIO1SFxQ66QNiIY4&#10;FSCBqDjR9sLNjRcnIl5HsZOmb8/2VI7zo5mvWE+uFSP2ofGkIJ0nIJAqbxqyCva7t9kjiBA1Gd16&#10;QgUnDLAur68KnRt/pC8ct9EKHqGQawV1jF0uZahqdDrMfYfE2Y/vnY4seytNr4887lq5SJIH6XRD&#10;/FDrDl9rrH63g1Mw4Lc57T7e7WZjP8esSf1LepcpdXszPT+BiDjFSxnO+IwOJTMd/EAmiFbB/Srl&#10;poJlBuIcp0vWB/YXK5BlIf/zl38AAAD//wMAUEsBAi0AFAAGAAgAAAAhALaDOJL+AAAA4QEAABMA&#10;AAAAAAAAAAAAAAAAAAAAAFtDb250ZW50X1R5cGVzXS54bWxQSwECLQAUAAYACAAAACEAOP0h/9YA&#10;AACUAQAACwAAAAAAAAAAAAAAAAAvAQAAX3JlbHMvLnJlbHNQSwECLQAUAAYACAAAACEAtggz5LsC&#10;AAA7BgAADgAAAAAAAAAAAAAAAAAuAgAAZHJzL2Uyb0RvYy54bWxQSwECLQAUAAYACAAAACEAPpXQ&#10;yNwAAAAHAQAADwAAAAAAAAAAAAAAAAAVBQAAZHJzL2Rvd25yZXYueG1sUEsFBgAAAAAEAAQA8wAA&#10;AB4GAAAAAA==&#10;" adj="11700" fillcolor="#f7caac [1301]" strokecolor="#f4b083 [1941]" strokeweight="1pt">
                <w10:wrap anchorx="margin"/>
              </v:shape>
            </w:pict>
          </mc:Fallback>
        </mc:AlternateContent>
      </w:r>
    </w:p>
    <w:p w14:paraId="336ABCE4" w14:textId="77777777" w:rsidR="00A52B29" w:rsidRPr="00F21196" w:rsidRDefault="00A52B29" w:rsidP="00A52B29">
      <w:pPr>
        <w:spacing w:after="0"/>
        <w:rPr>
          <w:rFonts w:eastAsia="Times New Roman" w:cs="Calibri"/>
          <w:b/>
          <w:color w:val="2F5496" w:themeColor="accent5" w:themeShade="BF"/>
          <w:lang w:eastAsia="pl-PL"/>
        </w:rPr>
      </w:pPr>
    </w:p>
    <w:p w14:paraId="20DD55EA" w14:textId="0D87177C" w:rsidR="00A52B29" w:rsidRPr="00F21196" w:rsidRDefault="00A52B29" w:rsidP="00A52B29">
      <w:pPr>
        <w:spacing w:after="0"/>
        <w:rPr>
          <w:rFonts w:eastAsia="Times New Roman" w:cs="Calibri"/>
          <w:b/>
          <w:color w:val="2F5496" w:themeColor="accent5" w:themeShade="BF"/>
          <w:lang w:eastAsia="pl-PL"/>
        </w:rPr>
      </w:pPr>
      <w:r w:rsidRPr="00F21196">
        <w:rPr>
          <w:rFonts w:eastAsia="Times New Roman" w:cs="Calibri"/>
          <w:b/>
          <w:noProof/>
          <w:color w:val="2F5496" w:themeColor="accent5" w:themeShade="BF"/>
          <w:lang w:eastAsia="pl-PL"/>
        </w:rPr>
        <mc:AlternateContent>
          <mc:Choice Requires="wps">
            <w:drawing>
              <wp:anchor distT="0" distB="0" distL="114300" distR="114300" simplePos="0" relativeHeight="252176384" behindDoc="0" locked="0" layoutInCell="1" allowOverlap="1" wp14:anchorId="3610E969" wp14:editId="0A2530A4">
                <wp:simplePos x="0" y="0"/>
                <wp:positionH relativeFrom="margin">
                  <wp:posOffset>419196</wp:posOffset>
                </wp:positionH>
                <wp:positionV relativeFrom="paragraph">
                  <wp:posOffset>160020</wp:posOffset>
                </wp:positionV>
                <wp:extent cx="342900" cy="314325"/>
                <wp:effectExtent l="0" t="19050" r="38100" b="47625"/>
                <wp:wrapNone/>
                <wp:docPr id="105" name="Strzałka w prawo 105"/>
                <wp:cNvGraphicFramePr/>
                <a:graphic xmlns:a="http://schemas.openxmlformats.org/drawingml/2006/main">
                  <a:graphicData uri="http://schemas.microsoft.com/office/word/2010/wordprocessingShape">
                    <wps:wsp>
                      <wps:cNvSpPr/>
                      <wps:spPr>
                        <a:xfrm>
                          <a:off x="0" y="0"/>
                          <a:ext cx="342900" cy="314325"/>
                        </a:xfrm>
                        <a:prstGeom prst="rightArrow">
                          <a:avLst/>
                        </a:prstGeom>
                        <a:solidFill>
                          <a:schemeClr val="accent2">
                            <a:lumMod val="40000"/>
                            <a:lumOff val="60000"/>
                          </a:schemeClr>
                        </a:solidFill>
                        <a:ln w="12700" cap="flat" cmpd="sng" algn="ctr">
                          <a:solidFill>
                            <a:schemeClr val="accent2">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C943B" id="Strzałka w prawo 105" o:spid="_x0000_s1026" type="#_x0000_t13" style="position:absolute;margin-left:33pt;margin-top:12.6pt;width:27pt;height:24.75pt;z-index:25217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mPpQIAAH4FAAAOAAAAZHJzL2Uyb0RvYy54bWysVNtuGjEQfa/Uf7D2vVkg5IYCEUqUqlKa&#10;IJEqzxOvl7XqW23Dkjz23/pfPfYCIWmVh6o8LJ4Zey5nzsz5xVorthI+SGvGRf+gVzBhuK2kWYyL&#10;b/fXn04LFiKZipQ1Ylw8iVBcTD5+OG/dSAxsY1UlPIMTE0atGxdNjG5UloE3QlM4sE4YGGvrNUWI&#10;flFWnlp416oc9HrHZWt95bzlIgRorzpjMcn+61rweFfXQUSmxgVyi/nr8/cxfcvJOY0Wnlwj+SYN&#10;+ocsNEmDoDtXVxSJLb38w5WW3Ntg63jArS5tXUsucg2opt97U828ISdyLQAnuB1M4f+55bermWey&#10;Qu96RwUzpNGkefTP9Ovnd2Itc0DUsmQEVK0LI7yYu5nfSAHHVPe69jr9oyK2zvA+7eAV68g4lIfD&#10;wVkPTeAwHfaHh4Pss3x57HyIn4XVCBrQKS8XTZx6b9sMLa1uQkRYPNheTBGDVbK6lkplIfFGXCrP&#10;VoSOE+fCxEF+rpb6q606/bCHX9d7qMGQTn28VSNEZmDylAO+CqIMa4HX4CQXQ2BtrSiiLu2AYzCL&#10;gpFaYBx49Dn0q9c7x++nuMuFRvsp7jJ/P8UE0BWFpouR43flahkxb0rqcXGaqs0owJcyCT6RJ2YD&#10;c2p21950erTVE5jibTdCwfFriSA3FOKMPGYGjcUeiHf41MoCILs5Fayx/vlv+nQfVIa1YC1mEOD9&#10;WJIXBVNfDEh+1h8O09BmYXh0MoDg9y2P+xaz1JcWTe9j4ziej+l+VNtj7a1+wLqYpqgwkeGI3bVp&#10;I1zGbjdg4XAxneZrGFRH8cbMHU/OE04J3vv1A3m3oWoEx2/tdl5p9Iar3d300tjpMtpaZiK/4AqS&#10;JQFDnum2WUhpi+zL+dbL2pz8BgAA//8DAFBLAwQUAAYACAAAACEA+jxpyN0AAAAIAQAADwAAAGRy&#10;cy9kb3ducmV2LnhtbEyPwU7DMBBE70j8g7VIXBB1EoUUhWwqQAJRcaLlws2NFyciXkexk6Z/j3uC&#10;42hGM2+qzWJ7MdPoO8cI6SoBQdw43bFB+Ny/3N6D8EGxVr1jQjiRh019eVGpUrsjf9C8C0bEEval&#10;QmhDGEopfdOSVX7lBuLofbvRqhDlaKQe1TGW215mSVJIqzqOC60a6Lml5mc3WYSJvvRp//Zqtlvz&#10;Pudd6p7Smxzx+mp5fAARaAl/YTjjR3SoI9PBTay96BGKIl4JCNldBuLsxzkQB4R1vgZZV/L/gfoX&#10;AAD//wMAUEsBAi0AFAAGAAgAAAAhALaDOJL+AAAA4QEAABMAAAAAAAAAAAAAAAAAAAAAAFtDb250&#10;ZW50X1R5cGVzXS54bWxQSwECLQAUAAYACAAAACEAOP0h/9YAAACUAQAACwAAAAAAAAAAAAAAAAAv&#10;AQAAX3JlbHMvLnJlbHNQSwECLQAUAAYACAAAACEAYX1Jj6UCAAB+BQAADgAAAAAAAAAAAAAAAAAu&#10;AgAAZHJzL2Uyb0RvYy54bWxQSwECLQAUAAYACAAAACEA+jxpyN0AAAAIAQAADwAAAAAAAAAAAAAA&#10;AAD/BAAAZHJzL2Rvd25yZXYueG1sUEsFBgAAAAAEAAQA8wAAAAkGAAAAAA==&#10;" adj="11700" fillcolor="#f7caac [1301]" strokecolor="#f4b083 [1941]" strokeweight="1pt">
                <w10:wrap anchorx="margin"/>
              </v:shape>
            </w:pict>
          </mc:Fallback>
        </mc:AlternateContent>
      </w:r>
      <w:r w:rsidRPr="00F21196">
        <w:rPr>
          <w:rFonts w:eastAsia="Times New Roman" w:cs="Calibri"/>
          <w:b/>
          <w:noProof/>
          <w:color w:val="2F5496" w:themeColor="accent5" w:themeShade="BF"/>
          <w:lang w:eastAsia="pl-PL"/>
        </w:rPr>
        <mc:AlternateContent>
          <mc:Choice Requires="wps">
            <w:drawing>
              <wp:anchor distT="0" distB="0" distL="114300" distR="114300" simplePos="0" relativeHeight="252173312" behindDoc="0" locked="0" layoutInCell="1" allowOverlap="1" wp14:anchorId="6469DCFF" wp14:editId="4C500D09">
                <wp:simplePos x="0" y="0"/>
                <wp:positionH relativeFrom="margin">
                  <wp:posOffset>788670</wp:posOffset>
                </wp:positionH>
                <wp:positionV relativeFrom="paragraph">
                  <wp:posOffset>71755</wp:posOffset>
                </wp:positionV>
                <wp:extent cx="5274418" cy="509905"/>
                <wp:effectExtent l="0" t="0" r="21590" b="23495"/>
                <wp:wrapNone/>
                <wp:docPr id="102" name="Prostokąt zaokrąglony 102"/>
                <wp:cNvGraphicFramePr/>
                <a:graphic xmlns:a="http://schemas.openxmlformats.org/drawingml/2006/main">
                  <a:graphicData uri="http://schemas.microsoft.com/office/word/2010/wordprocessingShape">
                    <wps:wsp>
                      <wps:cNvSpPr/>
                      <wps:spPr>
                        <a:xfrm>
                          <a:off x="0" y="0"/>
                          <a:ext cx="5274418" cy="509905"/>
                        </a:xfrm>
                        <a:prstGeom prst="roundRect">
                          <a:avLst/>
                        </a:prstGeom>
                        <a:solidFill>
                          <a:schemeClr val="bg1">
                            <a:lumMod val="95000"/>
                          </a:schemeClr>
                        </a:solidFill>
                        <a:ln w="12700" cap="flat" cmpd="sng" algn="ctr">
                          <a:solidFill>
                            <a:schemeClr val="bg1">
                              <a:lumMod val="85000"/>
                            </a:schemeClr>
                          </a:solidFill>
                          <a:prstDash val="solid"/>
                          <a:miter lim="800000"/>
                        </a:ln>
                        <a:effectLst/>
                      </wps:spPr>
                      <wps:txbx>
                        <w:txbxContent>
                          <w:p w14:paraId="3EC4489A" w14:textId="77777777" w:rsidR="005D4C4C" w:rsidRPr="0038379F" w:rsidRDefault="005D4C4C" w:rsidP="00A52B29">
                            <w:pPr>
                              <w:ind w:left="284" w:hanging="284"/>
                              <w:jc w:val="both"/>
                              <w:rPr>
                                <w:i/>
                              </w:rPr>
                            </w:pPr>
                            <w:r w:rsidRPr="0038379F">
                              <w:rPr>
                                <w:rFonts w:ascii="Calibri" w:eastAsia="Times New Roman" w:hAnsi="Calibri" w:cs="Calibri"/>
                                <w:b/>
                                <w:i/>
                                <w:lang w:eastAsia="pl-PL"/>
                              </w:rPr>
                              <w:t>3.</w:t>
                            </w:r>
                            <w:r w:rsidRPr="0038379F">
                              <w:rPr>
                                <w:rFonts w:ascii="Calibri" w:eastAsia="Times New Roman" w:hAnsi="Calibri" w:cs="Calibri"/>
                                <w:b/>
                                <w:i/>
                                <w:lang w:eastAsia="pl-PL"/>
                              </w:rPr>
                              <w:tab/>
                              <w:t>Reforma systemu rachunkowości publicznej - przygotowanie skonsolidowanego sprawozdania finansowego kraju</w:t>
                            </w:r>
                            <w:r w:rsidRPr="0038379F">
                              <w:rPr>
                                <w:rFonts w:ascii="Calibri" w:eastAsia="Times New Roman" w:hAnsi="Calibri" w:cs="Calibri"/>
                                <w:b/>
                                <w:i/>
                                <w:iCs/>
                                <w:lang w:eastAsia="pl-P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69DCFF" id="Prostokąt zaokrąglony 102" o:spid="_x0000_s1063" style="position:absolute;margin-left:62.1pt;margin-top:5.65pt;width:415.3pt;height:40.15pt;z-index:25217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AiwpAIAAGEFAAAOAAAAZHJzL2Uyb0RvYy54bWysVM1u2zAMvg/YOwi6r3ayZGmCJkXQosOA&#10;rg3WDj0rsmwLlURNUmKn975ZH2yU7KQ/24Bh2MUmRYo/Hz/q5LTVimyF8xLMnA6OckqE4VBIU83p&#10;99uLD8eU+MBMwRQYMac74enp4v27k8bOxBBqUIVwBIMYP2vsnNYh2FmWeV4LzfwRWGHQWILTLKDq&#10;qqxwrMHoWmXDPP+UNeAK64AL7/H0vDPSRYpfloKH67L0IhA1p1hbSF+Xvuv4zRYnbFY5ZmvJ+zLY&#10;P1ShmTSY9BDqnAVGNk7+EkpL7sBDGY446AzKUnKResBuBvmbbm5qZkXqBcHx9gCT/39h+dV25Ygs&#10;cHb5kBLDNA5phSUGuH96DOSBwb17eqxwejsSXRCwxvoZ3ruxK9drHsXYfVs6Hf/YF2kTyLsDyKIN&#10;hOPheDgZjQZIC462cT6d5uMYNHu+bZ0PnwVoEoU5dbAxxTecZAKYbS996Pz3fjGjByWLC6lUUiJ7&#10;xJlyZMtw7utqkK6qjf4KRXc2Hed5mj7mTWSL7qmKV5GUIQ1CM5ygM+EMCVoqFlDUFiHzpqKEqQqZ&#10;z4NLOV7dPgT+cx3Hf1dHbPWc+boLlJJ01NUy4P4oqef0GDs69KRMBEKkDegBi2PrBhWl0K7bNPeP&#10;k/1M11DskAwOui3xll9IzHvJfFgxh2uBGOCqh2v8lAoQGOglSmpwD787j/7IVrRS0uCaIWg/NswJ&#10;StQXgzyeDkajuJdJGY0nQ1TcS8v6pcVs9BngRAf4qFiexOgf1F4sHeg7fBGWMSuamOGYuxtPr5yF&#10;bv3xTeFiuUxuuIuWhUtzY3kMHqGLiN+2d8zZnoYBCXwF+5VkszdE7HzjTQPLTYBSJpZGqDtckVxR&#10;wT1ONOvfnPhQvNST1/PLuPgJAAD//wMAUEsDBBQABgAIAAAAIQCd88WQ3AAAAAkBAAAPAAAAZHJz&#10;L2Rvd25yZXYueG1sTE/LasMwELwX+g9iA72URrbzwHEsh1IIuTSHpP0AxdraJtbKWErk/n23p/Y2&#10;wwzzKHeT7cUdR985UpDOExBItTMdNQo+P/YvOQgfNBndO0IF3+hhVz0+lLowLtIJ7+fQCA4hX2gF&#10;bQhDIaWvW7Taz92AxNqXG60OTMdGmlFHDre9zJJkLa3uiBtaPeBbi/X1fLPc28RVfE5wzOl4OFzf&#10;4zFf7DdKPc2m1y2IgFP4M8PvfJ4OFW+6uBsZL3rm2TJjK4N0AYINm9WSv1wYpGuQVSn/P6h+AAAA&#10;//8DAFBLAQItABQABgAIAAAAIQC2gziS/gAAAOEBAAATAAAAAAAAAAAAAAAAAAAAAABbQ29udGVu&#10;dF9UeXBlc10ueG1sUEsBAi0AFAAGAAgAAAAhADj9If/WAAAAlAEAAAsAAAAAAAAAAAAAAAAALwEA&#10;AF9yZWxzLy5yZWxzUEsBAi0AFAAGAAgAAAAhACJ4CLCkAgAAYQUAAA4AAAAAAAAAAAAAAAAALgIA&#10;AGRycy9lMm9Eb2MueG1sUEsBAi0AFAAGAAgAAAAhAJ3zxZDcAAAACQEAAA8AAAAAAAAAAAAAAAAA&#10;/gQAAGRycy9kb3ducmV2LnhtbFBLBQYAAAAABAAEAPMAAAAHBgAAAAA=&#10;" fillcolor="#f2f2f2 [3052]" strokecolor="#d8d8d8 [2732]" strokeweight="1pt">
                <v:stroke joinstyle="miter"/>
                <v:textbox>
                  <w:txbxContent>
                    <w:p w14:paraId="3EC4489A" w14:textId="77777777" w:rsidR="005D4C4C" w:rsidRPr="0038379F" w:rsidRDefault="005D4C4C" w:rsidP="00A52B29">
                      <w:pPr>
                        <w:ind w:left="284" w:hanging="284"/>
                        <w:jc w:val="both"/>
                        <w:rPr>
                          <w:i/>
                        </w:rPr>
                      </w:pPr>
                      <w:r w:rsidRPr="0038379F">
                        <w:rPr>
                          <w:rFonts w:ascii="Calibri" w:eastAsia="Times New Roman" w:hAnsi="Calibri" w:cs="Calibri"/>
                          <w:b/>
                          <w:i/>
                          <w:lang w:eastAsia="pl-PL"/>
                        </w:rPr>
                        <w:t>3.</w:t>
                      </w:r>
                      <w:r w:rsidRPr="0038379F">
                        <w:rPr>
                          <w:rFonts w:ascii="Calibri" w:eastAsia="Times New Roman" w:hAnsi="Calibri" w:cs="Calibri"/>
                          <w:b/>
                          <w:i/>
                          <w:lang w:eastAsia="pl-PL"/>
                        </w:rPr>
                        <w:tab/>
                        <w:t>Reforma systemu rachunkowości publicznej - przygotowanie skonsolidowanego sprawozdania finansowego kraju</w:t>
                      </w:r>
                      <w:r w:rsidRPr="0038379F">
                        <w:rPr>
                          <w:rFonts w:ascii="Calibri" w:eastAsia="Times New Roman" w:hAnsi="Calibri" w:cs="Calibri"/>
                          <w:b/>
                          <w:i/>
                          <w:iCs/>
                          <w:lang w:eastAsia="pl-PL"/>
                        </w:rPr>
                        <w:t>.</w:t>
                      </w:r>
                    </w:p>
                  </w:txbxContent>
                </v:textbox>
                <w10:wrap anchorx="margin"/>
              </v:roundrect>
            </w:pict>
          </mc:Fallback>
        </mc:AlternateContent>
      </w:r>
    </w:p>
    <w:p w14:paraId="6635B8BD" w14:textId="39A51799" w:rsidR="00A52B29" w:rsidRPr="00F21196" w:rsidRDefault="00A52B29" w:rsidP="00A52B29">
      <w:pPr>
        <w:spacing w:after="0"/>
        <w:rPr>
          <w:rFonts w:eastAsia="Times New Roman" w:cs="Calibri"/>
          <w:b/>
          <w:color w:val="2F5496" w:themeColor="accent5" w:themeShade="BF"/>
          <w:lang w:eastAsia="pl-PL"/>
        </w:rPr>
      </w:pPr>
    </w:p>
    <w:p w14:paraId="35FD167C" w14:textId="77777777" w:rsidR="00A52B29" w:rsidRPr="00F21196" w:rsidRDefault="00A52B29" w:rsidP="00A52B29">
      <w:pPr>
        <w:spacing w:after="0"/>
        <w:rPr>
          <w:rFonts w:eastAsia="Times New Roman" w:cs="Calibri"/>
          <w:b/>
          <w:color w:val="2F5496" w:themeColor="accent5" w:themeShade="BF"/>
          <w:lang w:eastAsia="pl-PL"/>
        </w:rPr>
      </w:pPr>
    </w:p>
    <w:p w14:paraId="49545522" w14:textId="6C6498E1" w:rsidR="00A52B29" w:rsidRPr="00F21196" w:rsidRDefault="00A52B29" w:rsidP="00A52B29">
      <w:pPr>
        <w:spacing w:after="0"/>
        <w:rPr>
          <w:rFonts w:eastAsia="Times New Roman" w:cs="Calibri"/>
          <w:b/>
          <w:color w:val="2F5496" w:themeColor="accent5" w:themeShade="BF"/>
          <w:lang w:eastAsia="pl-PL"/>
        </w:rPr>
      </w:pPr>
      <w:r w:rsidRPr="00F21196">
        <w:rPr>
          <w:rFonts w:eastAsia="Times New Roman" w:cs="Calibri"/>
          <w:b/>
          <w:noProof/>
          <w:color w:val="2F5496" w:themeColor="accent5" w:themeShade="BF"/>
          <w:lang w:eastAsia="pl-PL"/>
        </w:rPr>
        <mc:AlternateContent>
          <mc:Choice Requires="wps">
            <w:drawing>
              <wp:anchor distT="0" distB="0" distL="114300" distR="114300" simplePos="0" relativeHeight="252183552" behindDoc="0" locked="0" layoutInCell="1" allowOverlap="1" wp14:anchorId="7A6BB6CB" wp14:editId="2D3CB3B4">
                <wp:simplePos x="0" y="0"/>
                <wp:positionH relativeFrom="margin">
                  <wp:posOffset>759460</wp:posOffset>
                </wp:positionH>
                <wp:positionV relativeFrom="paragraph">
                  <wp:posOffset>116840</wp:posOffset>
                </wp:positionV>
                <wp:extent cx="5302682" cy="509905"/>
                <wp:effectExtent l="0" t="0" r="12700" b="23495"/>
                <wp:wrapNone/>
                <wp:docPr id="60" name="Prostokąt zaokrąglony 60"/>
                <wp:cNvGraphicFramePr/>
                <a:graphic xmlns:a="http://schemas.openxmlformats.org/drawingml/2006/main">
                  <a:graphicData uri="http://schemas.microsoft.com/office/word/2010/wordprocessingShape">
                    <wps:wsp>
                      <wps:cNvSpPr/>
                      <wps:spPr>
                        <a:xfrm>
                          <a:off x="0" y="0"/>
                          <a:ext cx="5302682" cy="509905"/>
                        </a:xfrm>
                        <a:prstGeom prst="roundRect">
                          <a:avLst/>
                        </a:prstGeom>
                        <a:solidFill>
                          <a:sysClr val="window" lastClr="FFFFFF">
                            <a:lumMod val="95000"/>
                          </a:sysClr>
                        </a:solidFill>
                        <a:ln w="12700" cap="flat" cmpd="sng" algn="ctr">
                          <a:solidFill>
                            <a:sysClr val="window" lastClr="FFFFFF">
                              <a:lumMod val="85000"/>
                            </a:sysClr>
                          </a:solidFill>
                          <a:prstDash val="solid"/>
                          <a:miter lim="800000"/>
                        </a:ln>
                        <a:effectLst/>
                      </wps:spPr>
                      <wps:txbx>
                        <w:txbxContent>
                          <w:p w14:paraId="0B2216C3" w14:textId="77777777" w:rsidR="005D4C4C" w:rsidRPr="0038379F" w:rsidRDefault="005D4C4C" w:rsidP="00A52B29">
                            <w:pPr>
                              <w:ind w:left="284" w:hanging="284"/>
                              <w:jc w:val="both"/>
                              <w:rPr>
                                <w:i/>
                              </w:rPr>
                            </w:pPr>
                            <w:r>
                              <w:rPr>
                                <w:rFonts w:eastAsia="Times New Roman" w:cs="Calibri"/>
                                <w:b/>
                                <w:i/>
                                <w:lang w:eastAsia="pl-PL"/>
                              </w:rPr>
                              <w:t xml:space="preserve">4. </w:t>
                            </w:r>
                            <w:r w:rsidRPr="00A44F31">
                              <w:rPr>
                                <w:rFonts w:ascii="Calibri" w:eastAsia="Times New Roman" w:hAnsi="Calibri" w:cs="Calibri"/>
                                <w:b/>
                                <w:i/>
                                <w:lang w:eastAsia="pl-PL"/>
                              </w:rPr>
                              <w:t>Zmiany regulacyjne w przepisach o rachunkowości pod kątem</w:t>
                            </w:r>
                            <w:r>
                              <w:rPr>
                                <w:rFonts w:ascii="Calibri" w:eastAsia="Times New Roman" w:hAnsi="Calibri" w:cs="Calibri"/>
                                <w:b/>
                                <w:i/>
                                <w:lang w:eastAsia="pl-PL"/>
                              </w:rPr>
                              <w:t xml:space="preserve"> ich</w:t>
                            </w:r>
                            <w:r w:rsidRPr="00A44F31">
                              <w:rPr>
                                <w:rFonts w:ascii="Calibri" w:eastAsia="Times New Roman" w:hAnsi="Calibri" w:cs="Calibri"/>
                                <w:b/>
                                <w:i/>
                                <w:lang w:eastAsia="pl-PL"/>
                              </w:rPr>
                              <w:t xml:space="preserve"> adekwatności do sytuacji prawnej i gospodarczej jednostek</w:t>
                            </w:r>
                            <w:r>
                              <w:rPr>
                                <w:rFonts w:ascii="Calibri" w:eastAsia="Times New Roman" w:hAnsi="Calibri" w:cs="Calibri"/>
                                <w:b/>
                                <w:i/>
                                <w:lang w:eastAsia="pl-P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6BB6CB" id="Prostokąt zaokrąglony 60" o:spid="_x0000_s1064" style="position:absolute;margin-left:59.8pt;margin-top:9.2pt;width:417.55pt;height:40.15pt;z-index:25218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FNnrAIAAHsFAAAOAAAAZHJzL2Uyb0RvYy54bWysVM1uGjEQvlfqO1i+N7uQkADKEqFEVJXS&#10;BJVUORuvF6zYHtc27JJ73iwP1rF3IT/toa3Kwcysx/PzzTdzftFoRbbCeQmmoL2jnBJhOJTSrAr6&#10;/W72aUiJD8yUTIERBd0JTy8mHz+c13Ys+rAGVQpH0Inx49oWdB2CHWeZ52uhmT8CKwxeVuA0C6i6&#10;VVY6VqN3rbJ+np9mNbjSOuDCe/x61V7SSfJfVYKH26ryIhBVUMwtpNOlcxnPbHLOxivH7FryLg32&#10;D1loJg0GPbi6YoGRjZO/uNKSO/BQhSMOOoOqklykGrCaXv6umsWaWZFqQXC8PcDk/59bfrOdOyLL&#10;gp4iPIZp7NEcMwzw8PwUyCODB/f8tMLm7QhaIFy19WN8tbBz12kexVh7Uzkd/7Eq0iSIdweIRRMI&#10;x4+D47x/OuxTwvFukI9G+SA6zV5eW+fDZwGaRKGgDjam/IZ9TPCy7bUPrf3eLkb0oGQ5k0olZecv&#10;lSNbhi1HppRQU6KYD/ixoLP0S77URn+FsrUbDfI8VYeJ+PQ+5fTGrzKkRor3z9CScIZkrRQLKGqL&#10;8HmzooSpFU4BDy4FePO69fp3WQ3/IKsIwxXz69ZzCtmSWsuAk6WkLugQizuUp0wESaTZ6MCMLW2b&#10;GKXQLJvEiOPhvt9LKHdIEwft/HjLZxLjXiOqc+ZwYBARXALhFo9KAcIEnUTJGtzj775He+Qx3lJS&#10;4wAihD82zAls1heDDB/1Tk7ixCblZHDWR8W9vlm+vjEbfQnY8B6uG8uTGO2D2ouVA32Pu2Iao+IV&#10;Mxxjt83qlMvQLgbcNlxMp8kMp9SycG0WlkfnEbqI+F1zz5ztKBqQ3DewH1Y2fkfS1ja+NDDdBKhk&#10;YnCEusUVqRYVnPBEum4bxRXyWk9WLztz8hMAAP//AwBQSwMEFAAGAAgAAAAhAMSYfh7dAAAACQEA&#10;AA8AAABkcnMvZG93bnJldi54bWxMj81OwzAQhO9IvIO1SNyoU9SfJMSpKiQEgktT8gDbeEki4nUV&#10;u2369iwnuM1oP83OFJvJDepMY+g9G5jPElDEjbc9twbqz5eHFFSIyBYHz2TgSgE25e1Ngbn1F67o&#10;vI+tkhAOORroYjzmWoemI4dh5o/Ecvvyo8Modmy1HfEi4W7Qj0my0g57lg8dHum5o+Z7f3IGlh/a&#10;7aqspsle3+vXt6rFbLc15v5u2j6BijTFPxh+60t1KKXTwZ/YBjWIn2crQUWkC1ACZMvFGtRBRLoG&#10;XRb6/4LyBwAA//8DAFBLAQItABQABgAIAAAAIQC2gziS/gAAAOEBAAATAAAAAAAAAAAAAAAAAAAA&#10;AABbQ29udGVudF9UeXBlc10ueG1sUEsBAi0AFAAGAAgAAAAhADj9If/WAAAAlAEAAAsAAAAAAAAA&#10;AAAAAAAALwEAAF9yZWxzLy5yZWxzUEsBAi0AFAAGAAgAAAAhAGTsU2esAgAAewUAAA4AAAAAAAAA&#10;AAAAAAAALgIAAGRycy9lMm9Eb2MueG1sUEsBAi0AFAAGAAgAAAAhAMSYfh7dAAAACQEAAA8AAAAA&#10;AAAAAAAAAAAABgUAAGRycy9kb3ducmV2LnhtbFBLBQYAAAAABAAEAPMAAAAQBgAAAAA=&#10;" fillcolor="#f2f2f2" strokecolor="#d9d9d9" strokeweight="1pt">
                <v:stroke joinstyle="miter"/>
                <v:textbox>
                  <w:txbxContent>
                    <w:p w14:paraId="0B2216C3" w14:textId="77777777" w:rsidR="005D4C4C" w:rsidRPr="0038379F" w:rsidRDefault="005D4C4C" w:rsidP="00A52B29">
                      <w:pPr>
                        <w:ind w:left="284" w:hanging="284"/>
                        <w:jc w:val="both"/>
                        <w:rPr>
                          <w:i/>
                        </w:rPr>
                      </w:pPr>
                      <w:r>
                        <w:rPr>
                          <w:rFonts w:eastAsia="Times New Roman" w:cs="Calibri"/>
                          <w:b/>
                          <w:i/>
                          <w:lang w:eastAsia="pl-PL"/>
                        </w:rPr>
                        <w:t xml:space="preserve">4. </w:t>
                      </w:r>
                      <w:r w:rsidRPr="00A44F31">
                        <w:rPr>
                          <w:rFonts w:ascii="Calibri" w:eastAsia="Times New Roman" w:hAnsi="Calibri" w:cs="Calibri"/>
                          <w:b/>
                          <w:i/>
                          <w:lang w:eastAsia="pl-PL"/>
                        </w:rPr>
                        <w:t>Zmiany regulacyjne w przepisach o rachunkowości pod kątem</w:t>
                      </w:r>
                      <w:r>
                        <w:rPr>
                          <w:rFonts w:ascii="Calibri" w:eastAsia="Times New Roman" w:hAnsi="Calibri" w:cs="Calibri"/>
                          <w:b/>
                          <w:i/>
                          <w:lang w:eastAsia="pl-PL"/>
                        </w:rPr>
                        <w:t xml:space="preserve"> ich</w:t>
                      </w:r>
                      <w:r w:rsidRPr="00A44F31">
                        <w:rPr>
                          <w:rFonts w:ascii="Calibri" w:eastAsia="Times New Roman" w:hAnsi="Calibri" w:cs="Calibri"/>
                          <w:b/>
                          <w:i/>
                          <w:lang w:eastAsia="pl-PL"/>
                        </w:rPr>
                        <w:t xml:space="preserve"> adekwatności do sytuacji prawnej i gospodarczej jednostek</w:t>
                      </w:r>
                      <w:r>
                        <w:rPr>
                          <w:rFonts w:ascii="Calibri" w:eastAsia="Times New Roman" w:hAnsi="Calibri" w:cs="Calibri"/>
                          <w:b/>
                          <w:i/>
                          <w:lang w:eastAsia="pl-PL"/>
                        </w:rPr>
                        <w:t>.</w:t>
                      </w:r>
                    </w:p>
                  </w:txbxContent>
                </v:textbox>
                <w10:wrap anchorx="margin"/>
              </v:roundrect>
            </w:pict>
          </mc:Fallback>
        </mc:AlternateContent>
      </w:r>
    </w:p>
    <w:p w14:paraId="4352DB22" w14:textId="6A49D351" w:rsidR="00A52B29" w:rsidRPr="00F21196" w:rsidRDefault="00A52B29" w:rsidP="00A52B29">
      <w:pPr>
        <w:spacing w:after="0"/>
        <w:rPr>
          <w:rFonts w:eastAsia="Times New Roman" w:cs="Calibri"/>
          <w:b/>
          <w:color w:val="2F5496" w:themeColor="accent5" w:themeShade="BF"/>
          <w:lang w:eastAsia="pl-PL"/>
        </w:rPr>
      </w:pPr>
      <w:r w:rsidRPr="00F21196">
        <w:rPr>
          <w:rFonts w:eastAsia="Times New Roman" w:cs="Calibri"/>
          <w:b/>
          <w:noProof/>
          <w:color w:val="2F5496" w:themeColor="accent5" w:themeShade="BF"/>
          <w:lang w:eastAsia="pl-PL"/>
        </w:rPr>
        <mc:AlternateContent>
          <mc:Choice Requires="wps">
            <w:drawing>
              <wp:anchor distT="0" distB="0" distL="114300" distR="114300" simplePos="0" relativeHeight="252177408" behindDoc="0" locked="0" layoutInCell="1" allowOverlap="1" wp14:anchorId="56060C46" wp14:editId="7E2F3D7C">
                <wp:simplePos x="0" y="0"/>
                <wp:positionH relativeFrom="margin">
                  <wp:posOffset>399151</wp:posOffset>
                </wp:positionH>
                <wp:positionV relativeFrom="paragraph">
                  <wp:posOffset>61655</wp:posOffset>
                </wp:positionV>
                <wp:extent cx="342900" cy="314325"/>
                <wp:effectExtent l="0" t="19050" r="38100" b="47625"/>
                <wp:wrapNone/>
                <wp:docPr id="106" name="Strzałka w prawo 106"/>
                <wp:cNvGraphicFramePr/>
                <a:graphic xmlns:a="http://schemas.openxmlformats.org/drawingml/2006/main">
                  <a:graphicData uri="http://schemas.microsoft.com/office/word/2010/wordprocessingShape">
                    <wps:wsp>
                      <wps:cNvSpPr/>
                      <wps:spPr>
                        <a:xfrm>
                          <a:off x="0" y="0"/>
                          <a:ext cx="342900" cy="314325"/>
                        </a:xfrm>
                        <a:prstGeom prst="rightArrow">
                          <a:avLst/>
                        </a:prstGeom>
                        <a:solidFill>
                          <a:schemeClr val="accent2">
                            <a:lumMod val="40000"/>
                            <a:lumOff val="60000"/>
                          </a:schemeClr>
                        </a:solidFill>
                        <a:ln w="12700" cap="flat" cmpd="sng" algn="ctr">
                          <a:solidFill>
                            <a:schemeClr val="accent2">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05855" id="Strzałka w prawo 106" o:spid="_x0000_s1026" type="#_x0000_t13" style="position:absolute;margin-left:31.45pt;margin-top:4.85pt;width:27pt;height:24.75pt;z-index:25217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02MpQIAAH4FAAAOAAAAZHJzL2Uyb0RvYy54bWysVEtPGzEQvlfqf7B8L5ss4bUiQRGIqhKF&#10;SKHiPHi9Wat+dexkA8f+t/6vjr1JCLTiUDWHjWfGnsc338z5xdpotpIYlLNjPjwYcCatcLWyizH/&#10;dn/96ZSzEMHWoJ2VY/4kA7+YfPxw3vlKlq51upbIyIkNVefHvI3RV0URRCsNhAPnpSVj49BAJBEX&#10;RY3QkXeji3IwOC46h7VHJ2QIpL3qjXyS/TeNFPGuaYKMTI855RbzF/P3MX2LyTlUCwTfKrFJA/4h&#10;CwPKUtCdqyuIwJao/nBllEAXXBMPhDOFaxolZK6BqhkO3lQzb8HLXAuBE/wOpvD/3Irb1QyZqql3&#10;g2POLBhq0jziM/z6+R1Yxzwh6lgyElSdDxW9mPsZbqRAx1T3ukGT/qkits7wPu3glevIBCkPR+XZ&#10;gJogyHQ4HB2WR8ln8fLYY4ifpTMUNFCnUC3aOEV0XYYWVjch9g+2F1PE4LSqr5XWWUi8kZca2Qqo&#10;4yCEtLHMz/XSfHV1rx8N6Nf3ntTEkF59vFVTTpmByVPO8FUQbVlHeJUnuRgg1jYaItVlPOEY7IIz&#10;0AsaBxExh371euf4/RR3uUC1n+Iu8/dTTABdQWj7GDl+X65RkeZNKzPmp6najAL50jbBJ/PEbGBO&#10;ze7bm06Prn4ipqDrRyh4ca0oyA2EOAOkmaHG0h6Id/RptCOA3ObEWevw+W/6dJ+oTFbOOppBAu/H&#10;ElBypr9YIvnZcDRKQ5uF0dFJSQLuWx73LXZpLh01fUgbx4t8TPej3h4bdOaB1sU0RSUTWEGx+zZt&#10;hMvY7wZaOEJOp/kaDaqHeGPnXiTnCacE7/36AdBvqBqJ47duO69QveFqfze9tG66jK5RmcgvuBLJ&#10;kkBDnum2WUhpi+zL+dbL2pz8BgAA//8DAFBLAwQUAAYACAAAACEAD/rtadwAAAAHAQAADwAAAGRy&#10;cy9kb3ducmV2LnhtbEyOwU6DQBRF9yb+w+SZuDHtAKkoyKNRE42NK9tu3E2ZJxCZN4QZKP17p6u6&#10;vLk3555iPZtOTDS41jJCvIxAEFdWt1wj7Hdvi0cQzivWqrNMCCdysC6vrwqVa3vkL5q2vhYBwi5X&#10;CI33fS6lqxoyyi1tTxy6HzsY5UMcaqkHdQxw08kkilJpVMvhoVE9vTZU/W5HgzDStz7tPt7rzab+&#10;nFZtbF/iuxXi7c38/ATC0+wvYzjrB3Uog9PBjqyd6BDSJAtLhOwBxLmO05APCPdZArIs5H//8g8A&#10;AP//AwBQSwECLQAUAAYACAAAACEAtoM4kv4AAADhAQAAEwAAAAAAAAAAAAAAAAAAAAAAW0NvbnRl&#10;bnRfVHlwZXNdLnhtbFBLAQItABQABgAIAAAAIQA4/SH/1gAAAJQBAAALAAAAAAAAAAAAAAAAAC8B&#10;AABfcmVscy8ucmVsc1BLAQItABQABgAIAAAAIQB1V02MpQIAAH4FAAAOAAAAAAAAAAAAAAAAAC4C&#10;AABkcnMvZTJvRG9jLnhtbFBLAQItABQABgAIAAAAIQAP+u1p3AAAAAcBAAAPAAAAAAAAAAAAAAAA&#10;AP8EAABkcnMvZG93bnJldi54bWxQSwUGAAAAAAQABADzAAAACAYAAAAA&#10;" adj="11700" fillcolor="#f7caac [1301]" strokecolor="#f4b083 [1941]" strokeweight="1pt">
                <w10:wrap anchorx="margin"/>
              </v:shape>
            </w:pict>
          </mc:Fallback>
        </mc:AlternateContent>
      </w:r>
    </w:p>
    <w:p w14:paraId="5CAD82C3" w14:textId="77777777" w:rsidR="00A52B29" w:rsidRPr="00F21196" w:rsidRDefault="00A52B29" w:rsidP="00A52B29">
      <w:pPr>
        <w:spacing w:after="0"/>
        <w:rPr>
          <w:rFonts w:eastAsia="Times New Roman" w:cs="Calibri"/>
          <w:b/>
          <w:color w:val="2F5496" w:themeColor="accent5" w:themeShade="BF"/>
          <w:lang w:eastAsia="pl-PL"/>
        </w:rPr>
      </w:pPr>
    </w:p>
    <w:p w14:paraId="077E63C3" w14:textId="77777777" w:rsidR="00A52B29" w:rsidRDefault="00A52B29" w:rsidP="00A52B29">
      <w:pPr>
        <w:spacing w:after="0"/>
        <w:rPr>
          <w:rFonts w:eastAsia="Times New Roman" w:cs="Calibri"/>
          <w:b/>
          <w:color w:val="2F5496" w:themeColor="accent5" w:themeShade="BF"/>
          <w:lang w:eastAsia="pl-PL"/>
        </w:rPr>
      </w:pPr>
      <w:r w:rsidRPr="00F21196">
        <w:rPr>
          <w:rFonts w:eastAsia="Times New Roman" w:cs="Calibri"/>
          <w:b/>
          <w:noProof/>
          <w:color w:val="2F5496" w:themeColor="accent5" w:themeShade="BF"/>
          <w:lang w:eastAsia="pl-PL"/>
        </w:rPr>
        <mc:AlternateContent>
          <mc:Choice Requires="wps">
            <w:drawing>
              <wp:anchor distT="0" distB="0" distL="114300" distR="114300" simplePos="0" relativeHeight="252172288" behindDoc="0" locked="0" layoutInCell="1" allowOverlap="1" wp14:anchorId="5EF1D16B" wp14:editId="33B83809">
                <wp:simplePos x="0" y="0"/>
                <wp:positionH relativeFrom="margin">
                  <wp:posOffset>787292</wp:posOffset>
                </wp:positionH>
                <wp:positionV relativeFrom="paragraph">
                  <wp:posOffset>144672</wp:posOffset>
                </wp:positionV>
                <wp:extent cx="5302885" cy="497205"/>
                <wp:effectExtent l="0" t="0" r="12065" b="17145"/>
                <wp:wrapNone/>
                <wp:docPr id="101" name="Prostokąt zaokrąglony 101"/>
                <wp:cNvGraphicFramePr/>
                <a:graphic xmlns:a="http://schemas.openxmlformats.org/drawingml/2006/main">
                  <a:graphicData uri="http://schemas.microsoft.com/office/word/2010/wordprocessingShape">
                    <wps:wsp>
                      <wps:cNvSpPr/>
                      <wps:spPr>
                        <a:xfrm>
                          <a:off x="0" y="0"/>
                          <a:ext cx="5302885" cy="497205"/>
                        </a:xfrm>
                        <a:prstGeom prst="roundRect">
                          <a:avLst/>
                        </a:prstGeom>
                        <a:solidFill>
                          <a:schemeClr val="bg1">
                            <a:lumMod val="95000"/>
                          </a:schemeClr>
                        </a:solidFill>
                        <a:ln w="12700" cap="flat" cmpd="sng" algn="ctr">
                          <a:solidFill>
                            <a:schemeClr val="bg1">
                              <a:lumMod val="85000"/>
                            </a:schemeClr>
                          </a:solidFill>
                          <a:prstDash val="solid"/>
                          <a:miter lim="800000"/>
                        </a:ln>
                        <a:effectLst/>
                      </wps:spPr>
                      <wps:txbx>
                        <w:txbxContent>
                          <w:p w14:paraId="35CFF003" w14:textId="77777777" w:rsidR="005D4C4C" w:rsidRPr="00F77EC7" w:rsidRDefault="005D4C4C" w:rsidP="00A52B29">
                            <w:pPr>
                              <w:ind w:left="284" w:hanging="284"/>
                              <w:rPr>
                                <w:i/>
                              </w:rPr>
                            </w:pPr>
                            <w:r>
                              <w:rPr>
                                <w:rFonts w:eastAsia="Times New Roman" w:cstheme="minorHAnsi"/>
                                <w:b/>
                                <w:i/>
                              </w:rPr>
                              <w:t>5</w:t>
                            </w:r>
                            <w:r w:rsidRPr="00F77EC7">
                              <w:rPr>
                                <w:rFonts w:eastAsia="Times New Roman" w:cstheme="minorHAnsi"/>
                                <w:b/>
                                <w:i/>
                              </w:rPr>
                              <w:t>.</w:t>
                            </w:r>
                            <w:r w:rsidRPr="00F77EC7">
                              <w:rPr>
                                <w:rFonts w:eastAsia="Times New Roman" w:cstheme="minorHAnsi"/>
                                <w:b/>
                                <w:i/>
                              </w:rPr>
                              <w:tab/>
                              <w:t xml:space="preserve">Reforma systemu finansowania jednostek samorządu terytorialnego w celu powiązania go z ich potrzebami </w:t>
                            </w:r>
                            <w:r>
                              <w:rPr>
                                <w:rFonts w:eastAsia="Times New Roman" w:cstheme="minorHAnsi"/>
                                <w:b/>
                                <w:i/>
                              </w:rPr>
                              <w:t>wydatkowymi</w:t>
                            </w:r>
                            <w:r w:rsidRPr="00F77EC7">
                              <w:rPr>
                                <w:rFonts w:eastAsia="Times New Roman" w:cstheme="minorHAnsi"/>
                                <w:b/>
                                <w: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F1D16B" id="Prostokąt zaokrąglony 101" o:spid="_x0000_s1065" style="position:absolute;margin-left:62pt;margin-top:11.4pt;width:417.55pt;height:39.15pt;z-index:25217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wNqpAIAAGEFAAAOAAAAZHJzL2Uyb0RvYy54bWysVM1u2zAMvg/YOwi6r3bSZE2CJkXQosOA&#10;bg3WDj0rsmwLlURNUmKn975ZH2yU7KQ/24Bh2MUmRYo/Hz/q9KzVimyF8xLMnA6OckqE4VBIU83p&#10;99vLDxNKfGCmYAqMmNOd8PRs8f7daWNnYgg1qEI4gkGMnzV2TusQ7CzLPK+FZv4IrDBoLMFpFlB1&#10;VVY41mB0rbJhnn/MGnCFdcCF93h60RnpIsUvS8HDdVl6EYiaU6wtpK9L33X8ZotTNqscs7XkfRns&#10;H6rQTBpMegh1wQIjGyd/CaUld+ChDEccdAZlKblIPWA3g/xNNzc1syL1guB4e4DJ/7+w/Ot25Ygs&#10;cHb5gBLDNA5phSUGuH96DOSBwb17eqxwejsSXRCwxvoZ3ruxK9drHsXYfVs6Hf/YF2kTyLsDyKIN&#10;hOPh+DgfTiZjSjjaRtOTYT6OQbPn29b58EmAJlGYUwcbU3zDSSaA2fbKh85/7xczelCyuJRKJSWy&#10;R5wrR7YM576uBumq2ugvUHRn03Gep+lj3kS26J6qeBVJGdIgNMMTdCacIUFLxQKK2iJk3lSUMFUh&#10;83lwKcer24fAf65j8nd1xFYvmK+7QClJR10tA+6PknpOJ9jRoSdlIhAibUAPWBxbN6gohXbdprkf&#10;T/czXUOxQzI46LbEW34pMe8V82HFHK4FYoCrHq7xUypAYKCXKKnBPfzuPPojW9FKSYNrhqD92DAn&#10;KFGfDfJ4OhiN4l4mZTRGNlDiXlrWLy1mo88BJ4pMxeqSGP2D2oulA32HL8IyZkUTMxxzd+PplfPQ&#10;rT++KVwsl8kNd9GycGVuLI/BI3QR8dv2jjnb0zAggb/CfiXZ7A0RO99408ByE6CUiaUR6g5XJFdU&#10;cI8Tzfo3Jz4UL/Xk9fwyLn4CAAD//wMAUEsDBBQABgAIAAAAIQAk6AiU3QAAAAoBAAAPAAAAZHJz&#10;L2Rvd25yZXYueG1sTI/BTsMwEETvSPyDtUhcELUTKEpCnAohVb3QA4UPcOMliRqvo9itw9+znOA4&#10;mtHMm3qzuFFccA6DJw3ZSoFAar0dqNPw+bG9L0CEaMia0RNq+MYAm+b6qjaV9Yne8XKIneASCpXR&#10;0Mc4VVKGtkdnwspPSOx9+dmZyHLupJ1N4nI3ylypJ+nMQLzQmwlfe2xPh7Pj3S6t053CuaD9bnd6&#10;S/viYVtqfXuzvDyDiLjEvzD84jM6NMx09GeyQYys80f+EjXkOV/gQLkuMxBHdlSWgWxq+f9C8wMA&#10;AP//AwBQSwECLQAUAAYACAAAACEAtoM4kv4AAADhAQAAEwAAAAAAAAAAAAAAAAAAAAAAW0NvbnRl&#10;bnRfVHlwZXNdLnhtbFBLAQItABQABgAIAAAAIQA4/SH/1gAAAJQBAAALAAAAAAAAAAAAAAAAAC8B&#10;AABfcmVscy8ucmVsc1BLAQItABQABgAIAAAAIQDIPwNqpAIAAGEFAAAOAAAAAAAAAAAAAAAAAC4C&#10;AABkcnMvZTJvRG9jLnhtbFBLAQItABQABgAIAAAAIQAk6AiU3QAAAAoBAAAPAAAAAAAAAAAAAAAA&#10;AP4EAABkcnMvZG93bnJldi54bWxQSwUGAAAAAAQABADzAAAACAYAAAAA&#10;" fillcolor="#f2f2f2 [3052]" strokecolor="#d8d8d8 [2732]" strokeweight="1pt">
                <v:stroke joinstyle="miter"/>
                <v:textbox>
                  <w:txbxContent>
                    <w:p w14:paraId="35CFF003" w14:textId="77777777" w:rsidR="005D4C4C" w:rsidRPr="00F77EC7" w:rsidRDefault="005D4C4C" w:rsidP="00A52B29">
                      <w:pPr>
                        <w:ind w:left="284" w:hanging="284"/>
                        <w:rPr>
                          <w:i/>
                        </w:rPr>
                      </w:pPr>
                      <w:r>
                        <w:rPr>
                          <w:rFonts w:eastAsia="Times New Roman" w:cstheme="minorHAnsi"/>
                          <w:b/>
                          <w:i/>
                        </w:rPr>
                        <w:t>5</w:t>
                      </w:r>
                      <w:r w:rsidRPr="00F77EC7">
                        <w:rPr>
                          <w:rFonts w:eastAsia="Times New Roman" w:cstheme="minorHAnsi"/>
                          <w:b/>
                          <w:i/>
                        </w:rPr>
                        <w:t>.</w:t>
                      </w:r>
                      <w:r w:rsidRPr="00F77EC7">
                        <w:rPr>
                          <w:rFonts w:eastAsia="Times New Roman" w:cstheme="minorHAnsi"/>
                          <w:b/>
                          <w:i/>
                        </w:rPr>
                        <w:tab/>
                        <w:t xml:space="preserve">Reforma systemu finansowania jednostek samorządu terytorialnego w celu powiązania go z ich potrzebami </w:t>
                      </w:r>
                      <w:r>
                        <w:rPr>
                          <w:rFonts w:eastAsia="Times New Roman" w:cstheme="minorHAnsi"/>
                          <w:b/>
                          <w:i/>
                        </w:rPr>
                        <w:t>wydatkowymi</w:t>
                      </w:r>
                      <w:r w:rsidRPr="00F77EC7">
                        <w:rPr>
                          <w:rFonts w:eastAsia="Times New Roman" w:cstheme="minorHAnsi"/>
                          <w:b/>
                          <w:i/>
                        </w:rPr>
                        <w:t>.</w:t>
                      </w:r>
                    </w:p>
                  </w:txbxContent>
                </v:textbox>
                <w10:wrap anchorx="margin"/>
              </v:roundrect>
            </w:pict>
          </mc:Fallback>
        </mc:AlternateContent>
      </w:r>
    </w:p>
    <w:p w14:paraId="16C5D90E" w14:textId="77777777" w:rsidR="00A52B29" w:rsidRDefault="00A52B29" w:rsidP="00A52B29">
      <w:pPr>
        <w:spacing w:after="0"/>
        <w:rPr>
          <w:rFonts w:eastAsia="Times New Roman" w:cs="Calibri"/>
          <w:b/>
          <w:color w:val="2F5496" w:themeColor="accent5" w:themeShade="BF"/>
          <w:lang w:eastAsia="pl-PL"/>
        </w:rPr>
      </w:pPr>
      <w:r w:rsidRPr="00F21196">
        <w:rPr>
          <w:rFonts w:eastAsia="Times New Roman" w:cs="Calibri"/>
          <w:b/>
          <w:noProof/>
          <w:color w:val="2F5496" w:themeColor="accent5" w:themeShade="BF"/>
          <w:lang w:eastAsia="pl-PL"/>
        </w:rPr>
        <mc:AlternateContent>
          <mc:Choice Requires="wps">
            <w:drawing>
              <wp:anchor distT="0" distB="0" distL="114300" distR="114300" simplePos="0" relativeHeight="252180480" behindDoc="0" locked="0" layoutInCell="1" allowOverlap="1" wp14:anchorId="42929150" wp14:editId="0BDD7D50">
                <wp:simplePos x="0" y="0"/>
                <wp:positionH relativeFrom="margin">
                  <wp:posOffset>400637</wp:posOffset>
                </wp:positionH>
                <wp:positionV relativeFrom="paragraph">
                  <wp:posOffset>23938</wp:posOffset>
                </wp:positionV>
                <wp:extent cx="342900" cy="314325"/>
                <wp:effectExtent l="0" t="19050" r="38100" b="47625"/>
                <wp:wrapNone/>
                <wp:docPr id="43" name="Strzałka w prawo 43"/>
                <wp:cNvGraphicFramePr/>
                <a:graphic xmlns:a="http://schemas.openxmlformats.org/drawingml/2006/main">
                  <a:graphicData uri="http://schemas.microsoft.com/office/word/2010/wordprocessingShape">
                    <wps:wsp>
                      <wps:cNvSpPr/>
                      <wps:spPr>
                        <a:xfrm>
                          <a:off x="0" y="0"/>
                          <a:ext cx="342900" cy="314325"/>
                        </a:xfrm>
                        <a:prstGeom prst="rightArrow">
                          <a:avLst/>
                        </a:prstGeom>
                        <a:solidFill>
                          <a:srgbClr val="ED7D31">
                            <a:lumMod val="40000"/>
                            <a:lumOff val="60000"/>
                          </a:srgbClr>
                        </a:solidFill>
                        <a:ln w="12700" cap="flat" cmpd="sng" algn="ctr">
                          <a:solidFill>
                            <a:srgbClr val="ED7D31">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4F84E" id="Strzałka w prawo 43" o:spid="_x0000_s1026" type="#_x0000_t13" style="position:absolute;margin-left:31.55pt;margin-top:1.9pt;width:27pt;height:24.75pt;z-index:25218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z0ogIAAHIFAAAOAAAAZHJzL2Uyb0RvYy54bWysVMlu2zAQvRfoPxC8N/KWzYgdGHFTFEiT&#10;AE6R85iiLKLcOqQtp8f+W/+rQ0p2nLTIoagOFGfhLG+Wi8ut0WwjMShnJ7x/1ONMWuFKZVcT/vXh&#10;+sMZZyGCLUE7Kyf8SQZ+OX3/7qLxYzlwtdOlREZGbBg3fsLrGP24KIKopYFw5Ly0JKwcGohE4qoo&#10;ERqybnQx6PVOisZh6dEJGQJx562QT7P9qpIi3lVVkJHpCafYYj4xn8t0FtMLGK8QfK1EFwb8QxQG&#10;lCWne1NziMDWqP4wZZRAF1wVj4QzhasqJWTOgbLp915ls6jBy5wLgRP8Hqbw/8yK2809MlVO+GjI&#10;mQVDNVpE/AG/fn4D1jBPgDpGMgKq8WFM+gt/jx0V6Jqy3lZo0p/yYdsM7tMeXLmNTBBzOBqc96gE&#10;gkTD/mg4OE42i+fHHkP8JJ0hn4HqhGpVxxmiazKwsLkJsX2wU0weg9OqvFZaZwJXyyuNbANU7Y/z&#10;0/mwn9/qtfniypY96tHXlp3Y1Bwt+2THpoBCayYH98K+tqyhJh+c5jyA2rXSECkl4wnAYFecgV7R&#10;HIiI2fGL153ZN6PbhwHjw+j2Qb8VXYJlDqFuHWTXbZ5GRZoxrcyEn6U0c/pkSdsEmsxT0oGbStwW&#10;Nd2Wrnyi7kDXjk3w4lqRkxsI8R6Q5oTKSbMf7+iotCNsXHfjrHb442/8pE/tS1LOGpo7wu37GlBy&#10;pj9bauzz/miUBjUTo+PTARF4KFkeSuzaXDkqdp+2jBf5mvSj3l0rdOaRVsQseSURWEG+2wp1xFVs&#10;9wEtGSFns6xGw+kh3tiFF8l4winB+7B9BPRdg0bq7Fu3m1EYv+rQVje9tG62jq5SuX2fcaX+SgQN&#10;du60bgmlzXFIZ63nVTn9DQAA//8DAFBLAwQUAAYACAAAACEA3tsXbNsAAAAHAQAADwAAAGRycy9k&#10;b3ducmV2LnhtbEyPQUvDQBSE74L/YXmCN7uJwVTTbMoiFA+CYLX3bfY1CWbfhuw2Sf+9ryc9DjPM&#10;fFNuF9eLCcfQeVKQrhIQSLW3HTUKvr92D88gQjRkTe8JFVwwwLa6vSlNYf1MnzjtYyO4hEJhFLQx&#10;DoWUoW7RmbDyAxJ7Jz86E1mOjbSjmbnc9fIxSXLpTEe80JoBX1usf/Znp0Bj97Y+zO8f0wsmu0uu&#10;NR1mrdT93aI3ICIu8S8MV3xGh4qZjv5MNoheQZ6lnFSQ8YGrna5ZHxU8ZRnIqpT/+atfAAAA//8D&#10;AFBLAQItABQABgAIAAAAIQC2gziS/gAAAOEBAAATAAAAAAAAAAAAAAAAAAAAAABbQ29udGVudF9U&#10;eXBlc10ueG1sUEsBAi0AFAAGAAgAAAAhADj9If/WAAAAlAEAAAsAAAAAAAAAAAAAAAAALwEAAF9y&#10;ZWxzLy5yZWxzUEsBAi0AFAAGAAgAAAAhAP9tvPSiAgAAcgUAAA4AAAAAAAAAAAAAAAAALgIAAGRy&#10;cy9lMm9Eb2MueG1sUEsBAi0AFAAGAAgAAAAhAN7bF2zbAAAABwEAAA8AAAAAAAAAAAAAAAAA/AQA&#10;AGRycy9kb3ducmV2LnhtbFBLBQYAAAAABAAEAPMAAAAEBgAAAAA=&#10;" adj="11700" fillcolor="#f8cbad" strokecolor="#f4b183" strokeweight="1pt">
                <w10:wrap anchorx="margin"/>
              </v:shape>
            </w:pict>
          </mc:Fallback>
        </mc:AlternateContent>
      </w:r>
    </w:p>
    <w:p w14:paraId="3F249DD1" w14:textId="77777777" w:rsidR="00A52B29" w:rsidRDefault="00A52B29" w:rsidP="00A52B29">
      <w:pPr>
        <w:spacing w:after="0"/>
        <w:rPr>
          <w:rFonts w:eastAsia="Times New Roman" w:cs="Calibri"/>
          <w:b/>
          <w:color w:val="2F5496" w:themeColor="accent5" w:themeShade="BF"/>
          <w:lang w:eastAsia="pl-PL"/>
        </w:rPr>
      </w:pPr>
    </w:p>
    <w:p w14:paraId="7AC72973" w14:textId="77777777" w:rsidR="00A52B29" w:rsidRDefault="00A52B29" w:rsidP="00A52B29">
      <w:pPr>
        <w:spacing w:after="0"/>
        <w:rPr>
          <w:rFonts w:eastAsia="Times New Roman" w:cs="Calibri"/>
          <w:b/>
          <w:color w:val="2F5496" w:themeColor="accent5" w:themeShade="BF"/>
          <w:lang w:eastAsia="pl-PL"/>
        </w:rPr>
      </w:pPr>
    </w:p>
    <w:p w14:paraId="458E0867" w14:textId="77777777" w:rsidR="00A52B29" w:rsidRDefault="00A52B29" w:rsidP="00A52B29">
      <w:pPr>
        <w:spacing w:after="0"/>
        <w:rPr>
          <w:rFonts w:eastAsia="Times New Roman" w:cs="Calibri"/>
          <w:b/>
          <w:color w:val="2F5496" w:themeColor="accent5" w:themeShade="BF"/>
          <w:lang w:eastAsia="pl-PL"/>
        </w:rPr>
      </w:pPr>
      <w:r w:rsidRPr="00F21196">
        <w:rPr>
          <w:rFonts w:eastAsia="Times New Roman" w:cs="Calibri"/>
          <w:b/>
          <w:noProof/>
          <w:color w:val="2F5496" w:themeColor="accent5" w:themeShade="BF"/>
          <w:lang w:eastAsia="pl-PL"/>
        </w:rPr>
        <mc:AlternateContent>
          <mc:Choice Requires="wps">
            <w:drawing>
              <wp:anchor distT="0" distB="0" distL="114300" distR="114300" simplePos="0" relativeHeight="252181504" behindDoc="0" locked="0" layoutInCell="1" allowOverlap="1" wp14:anchorId="4B1D11F8" wp14:editId="34FA1F9C">
                <wp:simplePos x="0" y="0"/>
                <wp:positionH relativeFrom="margin">
                  <wp:posOffset>770039</wp:posOffset>
                </wp:positionH>
                <wp:positionV relativeFrom="paragraph">
                  <wp:posOffset>9873</wp:posOffset>
                </wp:positionV>
                <wp:extent cx="5257165" cy="691763"/>
                <wp:effectExtent l="0" t="0" r="19685" b="13335"/>
                <wp:wrapNone/>
                <wp:docPr id="46" name="Prostokąt zaokrąglony 46"/>
                <wp:cNvGraphicFramePr/>
                <a:graphic xmlns:a="http://schemas.openxmlformats.org/drawingml/2006/main">
                  <a:graphicData uri="http://schemas.microsoft.com/office/word/2010/wordprocessingShape">
                    <wps:wsp>
                      <wps:cNvSpPr/>
                      <wps:spPr>
                        <a:xfrm>
                          <a:off x="0" y="0"/>
                          <a:ext cx="5257165" cy="691763"/>
                        </a:xfrm>
                        <a:prstGeom prst="roundRect">
                          <a:avLst/>
                        </a:prstGeom>
                        <a:solidFill>
                          <a:schemeClr val="bg1">
                            <a:lumMod val="95000"/>
                          </a:schemeClr>
                        </a:solidFill>
                        <a:ln w="12700" cap="flat" cmpd="sng" algn="ctr">
                          <a:solidFill>
                            <a:schemeClr val="bg1">
                              <a:lumMod val="85000"/>
                            </a:schemeClr>
                          </a:solidFill>
                          <a:prstDash val="solid"/>
                          <a:miter lim="800000"/>
                        </a:ln>
                        <a:effectLst/>
                      </wps:spPr>
                      <wps:txbx>
                        <w:txbxContent>
                          <w:p w14:paraId="05376D46" w14:textId="77777777" w:rsidR="005D4C4C" w:rsidRPr="00F77EC7" w:rsidRDefault="005D4C4C" w:rsidP="00A52B29">
                            <w:pPr>
                              <w:ind w:left="142" w:hanging="142"/>
                              <w:rPr>
                                <w:i/>
                              </w:rPr>
                            </w:pPr>
                            <w:r>
                              <w:rPr>
                                <w:b/>
                                <w:i/>
                              </w:rPr>
                              <w:t>6</w:t>
                            </w:r>
                            <w:r w:rsidRPr="00907445">
                              <w:rPr>
                                <w:b/>
                                <w:i/>
                              </w:rPr>
                              <w:t xml:space="preserve">. </w:t>
                            </w:r>
                            <w:r w:rsidRPr="00611C2D">
                              <w:rPr>
                                <w:b/>
                                <w:i/>
                              </w:rPr>
                              <w:t>Zwiększenie efektywności wykorzystania środków UE</w:t>
                            </w:r>
                            <w:r>
                              <w:rPr>
                                <w:b/>
                                <w:i/>
                              </w:rPr>
                              <w:t xml:space="preserve"> oraz międzynarodowych instytucji finansowych </w:t>
                            </w:r>
                            <w:r w:rsidRPr="00611C2D">
                              <w:rPr>
                                <w:b/>
                                <w:i/>
                              </w:rPr>
                              <w:t>dostępnych w ramach różnych ź</w:t>
                            </w:r>
                            <w:r>
                              <w:rPr>
                                <w:b/>
                                <w:i/>
                              </w:rPr>
                              <w:t xml:space="preserve">ródeł krajowych i zewnętrznych </w:t>
                            </w:r>
                            <w:r w:rsidRPr="00611C2D">
                              <w:rPr>
                                <w:b/>
                                <w:i/>
                              </w:rPr>
                              <w:t>na rzecz innowacyjności, konkurencyjności i zrównoważonego rozwoju</w:t>
                            </w:r>
                            <w:r>
                              <w:rPr>
                                <w:b/>
                                <w: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1D11F8" id="Prostokąt zaokrąglony 46" o:spid="_x0000_s1066" style="position:absolute;margin-left:60.65pt;margin-top:.8pt;width:413.95pt;height:54.45pt;z-index:25218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ZjcogIAAF8FAAAOAAAAZHJzL2Uyb0RvYy54bWysVNtu2zAMfR+wfxD0vjrJcmmDOkXQosOA&#10;rg3WDn1WZNkWKomapMRO3/tn/bBSsptetgHDsBebFCleDg91fNJqRbbCeQkmp8ODASXCcCikqXL6&#10;4+b80yElPjBTMAVG5HQnPD1ZfPxw3Ni5GEENqhCOYBDj543NaR2CnWeZ57XQzB+AFQaNJTjNAqqu&#10;ygrHGoyuVTYaDKZZA66wDrjwHk/POiNdpPhlKXi4KksvAlE5xdpC+rr0Xcdvtjhm88oxW0vel8H+&#10;oQrNpMGk+1BnLDCycfKXUFpyBx7KcMBBZ1CWkovUA3YzHLzr5rpmVqReEBxv9zD5/xeWX25Xjsgi&#10;p+MpJYZpnNEKKwxw9/gQyD2DO/f4UOHwdgQ9EK7G+jneurYr12sexdh7Wzod/9gVaRPEuz3Eog2E&#10;4+FkNJkNpxNKONqmR8PZ9HMMmr3cts6HLwI0iUJOHWxM8R3nmOBl2wsfOv9nv5jRg5LFuVQqKZE7&#10;4lQ5smU49XU1TFfVRn+Dojs7mgwGafaYN1Etuqcq3kRShjRI6tEMnQlnSM9SsYCitgiYNxUlTFXI&#10;ex5cyvHm9j7wn+s4/Ls6YqtnzNddoJSkI66WAbdHSZ3TQ+xo35MyEQiR+N8DFsfWDSpKoV233dQT&#10;DPFoDcUOqeCg2xFv+bnEvBfMhxVzuBSIAS56uMJPqQCBgV6ipAZ3/7vz6I9cRSslDS4ZgvZzw5yg&#10;RH01yOKj4XgctzIp48lshIp7bVm/tpiNPgWc6BCfFMuTGP2DehZLB/oW34NlzIomZjjm7sbTK6eh&#10;W358UbhYLpMbbqJl4cJcWx6DR+gi4jftLXO2p2FAAl/C80Ky+Tsidr7xpoHlJkApE0tfcEVyRQW3&#10;ONGsf3HiM/FaT14v7+LiCQAA//8DAFBLAwQUAAYACAAAACEA0k07Pd0AAAAJAQAADwAAAGRycy9k&#10;b3ducmV2LnhtbEyPwU7DMBBE70j8g7VIXBB1ktIqSeNUCKnqhR4ofICbbJOo8Tqy3Tr8PcsJbjua&#10;0czbajubUdzQ+cGSgnSRgEBqbDtQp+Drc/ecg/BBU6tHS6jgGz1s6/u7SpetjfSBt2PoBJeQL7WC&#10;PoSplNI3PRrtF3ZCYu9sndGBpetk63TkcjPKLEnW0uiBeKHXE7712FyOV8O7XVzFpwRdTof9/vIe&#10;D/lyVyj1+DC/bkAEnMNfGH7xGR1qZjrZK7VejKyzdMlRPtYg2C9eigzEiXWarEDWlfz/Qf0DAAD/&#10;/wMAUEsBAi0AFAAGAAgAAAAhALaDOJL+AAAA4QEAABMAAAAAAAAAAAAAAAAAAAAAAFtDb250ZW50&#10;X1R5cGVzXS54bWxQSwECLQAUAAYACAAAACEAOP0h/9YAAACUAQAACwAAAAAAAAAAAAAAAAAvAQAA&#10;X3JlbHMvLnJlbHNQSwECLQAUAAYACAAAACEAM6mY3KICAABfBQAADgAAAAAAAAAAAAAAAAAuAgAA&#10;ZHJzL2Uyb0RvYy54bWxQSwECLQAUAAYACAAAACEA0k07Pd0AAAAJAQAADwAAAAAAAAAAAAAAAAD8&#10;BAAAZHJzL2Rvd25yZXYueG1sUEsFBgAAAAAEAAQA8wAAAAYGAAAAAA==&#10;" fillcolor="#f2f2f2 [3052]" strokecolor="#d8d8d8 [2732]" strokeweight="1pt">
                <v:stroke joinstyle="miter"/>
                <v:textbox>
                  <w:txbxContent>
                    <w:p w14:paraId="05376D46" w14:textId="77777777" w:rsidR="005D4C4C" w:rsidRPr="00F77EC7" w:rsidRDefault="005D4C4C" w:rsidP="00A52B29">
                      <w:pPr>
                        <w:ind w:left="142" w:hanging="142"/>
                        <w:rPr>
                          <w:i/>
                        </w:rPr>
                      </w:pPr>
                      <w:r>
                        <w:rPr>
                          <w:b/>
                          <w:i/>
                        </w:rPr>
                        <w:t>6</w:t>
                      </w:r>
                      <w:r w:rsidRPr="00907445">
                        <w:rPr>
                          <w:b/>
                          <w:i/>
                        </w:rPr>
                        <w:t xml:space="preserve">. </w:t>
                      </w:r>
                      <w:r w:rsidRPr="00611C2D">
                        <w:rPr>
                          <w:b/>
                          <w:i/>
                        </w:rPr>
                        <w:t>Zwiększenie efektywności wykorzystania środków UE</w:t>
                      </w:r>
                      <w:r>
                        <w:rPr>
                          <w:b/>
                          <w:i/>
                        </w:rPr>
                        <w:t xml:space="preserve"> oraz międzynarodowych instytucji finansowych </w:t>
                      </w:r>
                      <w:r w:rsidRPr="00611C2D">
                        <w:rPr>
                          <w:b/>
                          <w:i/>
                        </w:rPr>
                        <w:t>dostępnych w ramach różnych ź</w:t>
                      </w:r>
                      <w:r>
                        <w:rPr>
                          <w:b/>
                          <w:i/>
                        </w:rPr>
                        <w:t xml:space="preserve">ródeł krajowych i zewnętrznych </w:t>
                      </w:r>
                      <w:r w:rsidRPr="00611C2D">
                        <w:rPr>
                          <w:b/>
                          <w:i/>
                        </w:rPr>
                        <w:t>na rzecz innowacyjności, konkurencyjności i zrównoważonego rozwoju</w:t>
                      </w:r>
                      <w:r>
                        <w:rPr>
                          <w:b/>
                          <w:i/>
                        </w:rPr>
                        <w:t>.</w:t>
                      </w:r>
                    </w:p>
                  </w:txbxContent>
                </v:textbox>
                <w10:wrap anchorx="margin"/>
              </v:roundrect>
            </w:pict>
          </mc:Fallback>
        </mc:AlternateContent>
      </w:r>
    </w:p>
    <w:p w14:paraId="74E53959" w14:textId="77777777" w:rsidR="00A52B29" w:rsidRDefault="00A52B29" w:rsidP="00A52B29">
      <w:pPr>
        <w:spacing w:after="0"/>
        <w:rPr>
          <w:rFonts w:eastAsia="Times New Roman" w:cs="Calibri"/>
          <w:b/>
          <w:color w:val="2F5496" w:themeColor="accent5" w:themeShade="BF"/>
          <w:lang w:eastAsia="pl-PL"/>
        </w:rPr>
      </w:pPr>
      <w:r w:rsidRPr="00F21196">
        <w:rPr>
          <w:rFonts w:eastAsia="Times New Roman" w:cs="Calibri"/>
          <w:b/>
          <w:noProof/>
          <w:color w:val="2F5496" w:themeColor="accent5" w:themeShade="BF"/>
          <w:lang w:eastAsia="pl-PL"/>
        </w:rPr>
        <mc:AlternateContent>
          <mc:Choice Requires="wps">
            <w:drawing>
              <wp:anchor distT="0" distB="0" distL="114300" distR="114300" simplePos="0" relativeHeight="252182528" behindDoc="0" locked="0" layoutInCell="1" allowOverlap="1" wp14:anchorId="09B6B546" wp14:editId="6999ED33">
                <wp:simplePos x="0" y="0"/>
                <wp:positionH relativeFrom="margin">
                  <wp:posOffset>393220</wp:posOffset>
                </wp:positionH>
                <wp:positionV relativeFrom="paragraph">
                  <wp:posOffset>3175</wp:posOffset>
                </wp:positionV>
                <wp:extent cx="342900" cy="314325"/>
                <wp:effectExtent l="0" t="19050" r="38100" b="47625"/>
                <wp:wrapNone/>
                <wp:docPr id="58" name="Strzałka w prawo 58"/>
                <wp:cNvGraphicFramePr/>
                <a:graphic xmlns:a="http://schemas.openxmlformats.org/drawingml/2006/main">
                  <a:graphicData uri="http://schemas.microsoft.com/office/word/2010/wordprocessingShape">
                    <wps:wsp>
                      <wps:cNvSpPr/>
                      <wps:spPr>
                        <a:xfrm>
                          <a:off x="0" y="0"/>
                          <a:ext cx="342900" cy="314325"/>
                        </a:xfrm>
                        <a:prstGeom prst="rightArrow">
                          <a:avLst/>
                        </a:prstGeom>
                        <a:solidFill>
                          <a:srgbClr val="ED7D31">
                            <a:lumMod val="40000"/>
                            <a:lumOff val="60000"/>
                          </a:srgbClr>
                        </a:solidFill>
                        <a:ln w="12700" cap="flat" cmpd="sng" algn="ctr">
                          <a:solidFill>
                            <a:srgbClr val="ED7D31">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6E5CD" id="Strzałka w prawo 58" o:spid="_x0000_s1026" type="#_x0000_t13" style="position:absolute;margin-left:30.95pt;margin-top:.25pt;width:27pt;height:24.75pt;z-index:25218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HbnogIAAHIFAAAOAAAAZHJzL2Uyb0RvYy54bWysVMlu2zAQvRfoPxC8N/KWzYgdGHFTFEiT&#10;AE6R85iiLKLcOqQtp8f+W/+rQ0p2nLTIoagOFGfhLG+Wi8ut0WwjMShnJ7x/1ONMWuFKZVcT/vXh&#10;+sMZZyGCLUE7Kyf8SQZ+OX3/7qLxYzlwtdOlREZGbBg3fsLrGP24KIKopYFw5Ly0JKwcGohE4qoo&#10;ERqybnQx6PVOisZh6dEJGQJx562QT7P9qpIi3lVVkJHpCafYYj4xn8t0FtMLGK8QfK1EFwb8QxQG&#10;lCWne1NziMDWqP4wZZRAF1wVj4QzhasqJWTOgbLp915ls6jBy5wLgRP8Hqbw/8yK2809MlVO+DFV&#10;yoKhGi0i/oBfP78Ba5gnQB0jGQHV+DAm/YW/x44KdE1Zbys06U/5sG0G92kPrtxGJog5HA3Oe1QC&#10;QaJhfzQcHCebxfNjjyF+ks6Qz0B1QrWq4wzRNRlY2NyE2D7YKSaPwWlVXiutM4Gr5ZVGtgGq9sf5&#10;6XzYz2/12nxxZcse9ehry05sao6WfbJjU0ChNZODe2FfW9ZQkw9Ocx5A7VppiJSS8QRgsCvOQK9o&#10;DkTE7PjF687sm9Htw4DxYXT7oN+KLsEyh1C3DrLrNk+jIs2YVmbCz1KaOX2ypG0CTeYp6cBNJW6L&#10;mm5LVz5Rd6BrxyZ4ca3IyQ2EeA9Ic0LlpNmPd3RU2hE2rrtxVjv88Td+0qf2JSlnDc0d4fZ9DSg5&#10;058tNfZ5fzRKg5qJ0fHpgAg8lCwPJXZtrhwVu09bxot8TfpR764VOvNIK2KWvJIIrCDfbYU64iq2&#10;+4CWjJCzWVaj4fQQb+zCi2Q84ZTgfdg+AvquQSN19q3bzSiMX3Voq5teWjdbR1ep3L7PuFJ/JYIG&#10;O3dat4TS5jiks9bzqpz+BgAA//8DAFBLAwQUAAYACAAAACEAyKPK+dgAAAAGAQAADwAAAGRycy9k&#10;b3ducmV2LnhtbEyOUUvDMBSF3wX/Q7iCby6psOpq0xGE4YMguLn3rLm2xeamNFnb/XvvnvTx4xzO&#10;+crt4nsx4Ri7QBqylQKBVAfXUaPh67B7eAYRkyVn+0Co4YIRttXtTWkLF2b6xGmfGsEjFAuroU1p&#10;KKSMdYvexlUYkDj7DqO3iXFspBvtzOO+l49K5dLbjvihtQO+tlj/7M9eg8Hu7ek4v39MG1S7S24M&#10;HWej9f3dYl5AJFzSXxmu+qwOFTudwplcFL2GPNtwU8MaxDXN1ownRqVAVqX8r1/9AgAA//8DAFBL&#10;AQItABQABgAIAAAAIQC2gziS/gAAAOEBAAATAAAAAAAAAAAAAAAAAAAAAABbQ29udGVudF9UeXBl&#10;c10ueG1sUEsBAi0AFAAGAAgAAAAhADj9If/WAAAAlAEAAAsAAAAAAAAAAAAAAAAALwEAAF9yZWxz&#10;Ly5yZWxzUEsBAi0AFAAGAAgAAAAhALxsdueiAgAAcgUAAA4AAAAAAAAAAAAAAAAALgIAAGRycy9l&#10;Mm9Eb2MueG1sUEsBAi0AFAAGAAgAAAAhAMijyvnYAAAABgEAAA8AAAAAAAAAAAAAAAAA/AQAAGRy&#10;cy9kb3ducmV2LnhtbFBLBQYAAAAABAAEAPMAAAABBgAAAAA=&#10;" adj="11700" fillcolor="#f8cbad" strokecolor="#f4b183" strokeweight="1pt">
                <w10:wrap anchorx="margin"/>
              </v:shape>
            </w:pict>
          </mc:Fallback>
        </mc:AlternateContent>
      </w:r>
    </w:p>
    <w:p w14:paraId="18D5F4AF" w14:textId="77777777" w:rsidR="00A52B29" w:rsidRDefault="00A52B29" w:rsidP="00A52B29">
      <w:pPr>
        <w:spacing w:after="0"/>
        <w:rPr>
          <w:rFonts w:eastAsia="Times New Roman" w:cs="Calibri"/>
          <w:b/>
          <w:color w:val="2F5496" w:themeColor="accent5" w:themeShade="BF"/>
          <w:lang w:eastAsia="pl-PL"/>
        </w:rPr>
      </w:pPr>
    </w:p>
    <w:p w14:paraId="6318A009" w14:textId="77777777" w:rsidR="00A52B29" w:rsidRDefault="00A52B29" w:rsidP="00A52B29">
      <w:pPr>
        <w:spacing w:after="0"/>
        <w:rPr>
          <w:rFonts w:eastAsia="Times New Roman" w:cs="Calibri"/>
          <w:b/>
          <w:color w:val="2F5496" w:themeColor="accent5" w:themeShade="BF"/>
          <w:lang w:eastAsia="pl-PL"/>
        </w:rPr>
      </w:pPr>
    </w:p>
    <w:p w14:paraId="42C05788" w14:textId="77777777" w:rsidR="00A52B29" w:rsidRDefault="00A52B29" w:rsidP="00A52B29">
      <w:pPr>
        <w:spacing w:after="0"/>
        <w:rPr>
          <w:rFonts w:eastAsia="Times New Roman" w:cs="Calibri"/>
          <w:b/>
          <w:color w:val="2F5496" w:themeColor="accent5" w:themeShade="BF"/>
          <w:lang w:eastAsia="pl-PL"/>
        </w:rPr>
      </w:pPr>
    </w:p>
    <w:p w14:paraId="67EAC336" w14:textId="77777777" w:rsidR="00A52B29" w:rsidRPr="00F21196" w:rsidRDefault="00A52B29" w:rsidP="00A52B29">
      <w:pPr>
        <w:spacing w:after="0"/>
        <w:rPr>
          <w:rFonts w:eastAsia="Times New Roman" w:cs="Calibri"/>
          <w:b/>
          <w:color w:val="2F5496" w:themeColor="accent5" w:themeShade="BF"/>
          <w:lang w:eastAsia="pl-PL"/>
        </w:rPr>
      </w:pPr>
    </w:p>
    <w:p w14:paraId="344FE169" w14:textId="77777777" w:rsidR="00A52B29" w:rsidRDefault="00A52B29" w:rsidP="00A52B29">
      <w:pPr>
        <w:pBdr>
          <w:bottom w:val="single" w:sz="24" w:space="3" w:color="F4B083" w:themeColor="accent2" w:themeTint="99"/>
        </w:pBdr>
        <w:shd w:val="clear" w:color="auto" w:fill="F2F2F2" w:themeFill="background1" w:themeFillShade="F2"/>
        <w:spacing w:after="0"/>
        <w:jc w:val="both"/>
        <w:rPr>
          <w:rFonts w:eastAsia="Times New Roman" w:cs="Calibri"/>
          <w:b/>
        </w:rPr>
      </w:pPr>
      <w:r w:rsidRPr="00C75A8A">
        <w:rPr>
          <w:rFonts w:eastAsia="Times New Roman" w:cs="Calibri"/>
          <w:b/>
        </w:rPr>
        <w:t xml:space="preserve">Kierunek interwencji 1. </w:t>
      </w:r>
    </w:p>
    <w:p w14:paraId="7787371B" w14:textId="77777777" w:rsidR="00A52B29" w:rsidRPr="00C75A8A" w:rsidRDefault="00A52B29" w:rsidP="00A52B29">
      <w:pPr>
        <w:pBdr>
          <w:bottom w:val="single" w:sz="24" w:space="3" w:color="F4B083" w:themeColor="accent2" w:themeTint="99"/>
        </w:pBdr>
        <w:shd w:val="clear" w:color="auto" w:fill="F2F2F2" w:themeFill="background1" w:themeFillShade="F2"/>
        <w:spacing w:after="0"/>
        <w:jc w:val="center"/>
        <w:rPr>
          <w:rFonts w:eastAsia="Times New Roman" w:cs="Calibri"/>
          <w:b/>
          <w:i/>
        </w:rPr>
      </w:pPr>
      <w:r w:rsidRPr="00C75A8A">
        <w:rPr>
          <w:rFonts w:eastAsia="Times New Roman" w:cs="Calibri"/>
          <w:b/>
          <w:i/>
        </w:rPr>
        <w:t xml:space="preserve">Zmiany regulacyjno-instytucjonalne zmierzające do zapewnienia dochodów budżetowych niezbędnych dla sfinansowania wydatków </w:t>
      </w:r>
      <w:r>
        <w:rPr>
          <w:rFonts w:eastAsia="Times New Roman" w:cs="Calibri"/>
          <w:b/>
          <w:i/>
        </w:rPr>
        <w:t>p</w:t>
      </w:r>
      <w:r w:rsidRPr="00C75A8A">
        <w:rPr>
          <w:rFonts w:eastAsia="Times New Roman" w:cs="Calibri"/>
          <w:b/>
          <w:i/>
        </w:rPr>
        <w:t>aństwa.</w:t>
      </w:r>
    </w:p>
    <w:p w14:paraId="195A0F55" w14:textId="77777777" w:rsidR="00A52B29" w:rsidRPr="00F21196" w:rsidRDefault="00A52B29" w:rsidP="00A52B29">
      <w:pPr>
        <w:pStyle w:val="Akapitzlist"/>
        <w:autoSpaceDE w:val="0"/>
        <w:autoSpaceDN w:val="0"/>
        <w:adjustRightInd w:val="0"/>
        <w:spacing w:before="120" w:after="120" w:line="276" w:lineRule="auto"/>
        <w:ind w:left="0" w:right="132"/>
        <w:jc w:val="both"/>
        <w:rPr>
          <w:rFonts w:asciiTheme="minorHAnsi" w:eastAsia="Times New Roman" w:hAnsiTheme="minorHAnsi" w:cs="Calibri"/>
          <w:sz w:val="22"/>
        </w:rPr>
      </w:pPr>
      <w:r w:rsidRPr="00F21196">
        <w:rPr>
          <w:rFonts w:asciiTheme="minorHAnsi" w:eastAsia="Times New Roman" w:hAnsiTheme="minorHAnsi" w:cs="Calibri"/>
          <w:sz w:val="22"/>
        </w:rPr>
        <w:t>Działania w tym zakresie będą skupiały się na opracowywaniu rozwiązań analitycznych pozwalających na szacowanie skali niewywiązywania się z zobowiązań podatkowych, w szczególności w zakresie podatku VAT, oraz legislacyjnych umożliwiających skuteczne egzekwowanie należności oraz zwalczanie przestępczości podatkowej</w:t>
      </w:r>
      <w:r>
        <w:rPr>
          <w:rFonts w:asciiTheme="minorHAnsi" w:eastAsia="Times New Roman" w:hAnsiTheme="minorHAnsi" w:cs="Calibri"/>
          <w:sz w:val="22"/>
        </w:rPr>
        <w:t xml:space="preserve"> i celnej</w:t>
      </w:r>
      <w:r w:rsidRPr="00F21196">
        <w:rPr>
          <w:rFonts w:asciiTheme="minorHAnsi" w:eastAsia="Times New Roman" w:hAnsiTheme="minorHAnsi" w:cs="Calibri"/>
          <w:sz w:val="22"/>
        </w:rPr>
        <w:t xml:space="preserve">, tak aby wskazywać cele oraz </w:t>
      </w:r>
      <w:r>
        <w:rPr>
          <w:rFonts w:asciiTheme="minorHAnsi" w:eastAsia="Times New Roman" w:hAnsiTheme="minorHAnsi" w:cs="Calibri"/>
          <w:sz w:val="22"/>
        </w:rPr>
        <w:t xml:space="preserve">podnosić sprawność </w:t>
      </w:r>
      <w:r w:rsidRPr="00F21196">
        <w:rPr>
          <w:rFonts w:asciiTheme="minorHAnsi" w:eastAsia="Times New Roman" w:hAnsiTheme="minorHAnsi" w:cs="Calibri"/>
          <w:sz w:val="22"/>
        </w:rPr>
        <w:t>narzędzi</w:t>
      </w:r>
      <w:r>
        <w:rPr>
          <w:rFonts w:asciiTheme="minorHAnsi" w:eastAsia="Times New Roman" w:hAnsiTheme="minorHAnsi" w:cs="Calibri"/>
          <w:sz w:val="22"/>
        </w:rPr>
        <w:t>, którymi dysponują</w:t>
      </w:r>
      <w:r w:rsidRPr="00F21196">
        <w:rPr>
          <w:rFonts w:asciiTheme="minorHAnsi" w:eastAsia="Times New Roman" w:hAnsiTheme="minorHAnsi" w:cs="Calibri"/>
          <w:sz w:val="22"/>
        </w:rPr>
        <w:t xml:space="preserve"> organ</w:t>
      </w:r>
      <w:r>
        <w:rPr>
          <w:rFonts w:asciiTheme="minorHAnsi" w:eastAsia="Times New Roman" w:hAnsiTheme="minorHAnsi" w:cs="Calibri"/>
          <w:sz w:val="22"/>
        </w:rPr>
        <w:t>y</w:t>
      </w:r>
      <w:r w:rsidRPr="00F21196">
        <w:rPr>
          <w:rFonts w:asciiTheme="minorHAnsi" w:eastAsia="Times New Roman" w:hAnsiTheme="minorHAnsi" w:cs="Calibri"/>
          <w:sz w:val="22"/>
        </w:rPr>
        <w:t xml:space="preserve"> Krajowej Administracji Skarbowej</w:t>
      </w:r>
      <w:r>
        <w:rPr>
          <w:rFonts w:asciiTheme="minorHAnsi" w:eastAsia="Times New Roman" w:hAnsiTheme="minorHAnsi" w:cs="Calibri"/>
          <w:sz w:val="22"/>
        </w:rPr>
        <w:t>,</w:t>
      </w:r>
      <w:r w:rsidRPr="00F21196">
        <w:rPr>
          <w:rFonts w:asciiTheme="minorHAnsi" w:eastAsia="Times New Roman" w:hAnsiTheme="minorHAnsi" w:cs="Calibri"/>
          <w:sz w:val="22"/>
        </w:rPr>
        <w:t xml:space="preserve"> do ograniczania luki podatkowej, szarej strefy, wyłudzeń VAT i tzw. karuzel podatkowych, zwalczania przestępczości gospodarczej i finansowej oraz identyfikowania nieprawidłowych działań podatników i przedsiębiorców. </w:t>
      </w:r>
    </w:p>
    <w:p w14:paraId="2F0AE18F" w14:textId="77777777" w:rsidR="00A52B29" w:rsidRPr="00F21196" w:rsidRDefault="00A52B29" w:rsidP="00A52B29">
      <w:pPr>
        <w:pStyle w:val="Akapitzlist"/>
        <w:autoSpaceDE w:val="0"/>
        <w:autoSpaceDN w:val="0"/>
        <w:adjustRightInd w:val="0"/>
        <w:spacing w:before="120" w:after="120" w:line="276" w:lineRule="auto"/>
        <w:ind w:left="0" w:right="132"/>
        <w:jc w:val="both"/>
        <w:rPr>
          <w:rFonts w:asciiTheme="minorHAnsi" w:eastAsia="Times New Roman" w:hAnsiTheme="minorHAnsi" w:cs="Calibri"/>
          <w:sz w:val="22"/>
        </w:rPr>
      </w:pPr>
      <w:r w:rsidRPr="00F21196">
        <w:rPr>
          <w:rFonts w:asciiTheme="minorHAnsi" w:eastAsia="Times New Roman" w:hAnsiTheme="minorHAnsi" w:cs="Calibri"/>
          <w:sz w:val="22"/>
        </w:rPr>
        <w:t xml:space="preserve">Kluczowe dla skutecznego uszczelnienia systemu stają się działania wprowadzające nowe regulacje lub modyfikujące już funkcjonujące rozwiązania prawne w celu zapobiegania lub eliminowania zidentyfikowanych nieprawidłowości, jak i wdrażanie do polskiego systemu prawnego wypracowanych na szczeblu międzynarodowym strategii walki z unikaniem opodatkowania i agresywnym planowaniem podatkowym. </w:t>
      </w:r>
    </w:p>
    <w:p w14:paraId="4F7BEED5" w14:textId="77777777" w:rsidR="00A52B29" w:rsidRPr="00F21196" w:rsidRDefault="00A52B29" w:rsidP="00A52B29">
      <w:pPr>
        <w:pStyle w:val="Akapitzlist"/>
        <w:autoSpaceDE w:val="0"/>
        <w:autoSpaceDN w:val="0"/>
        <w:adjustRightInd w:val="0"/>
        <w:spacing w:before="120" w:after="120" w:line="276" w:lineRule="auto"/>
        <w:ind w:left="0" w:right="132"/>
        <w:jc w:val="both"/>
        <w:rPr>
          <w:rFonts w:asciiTheme="minorHAnsi" w:eastAsia="Times New Roman" w:hAnsiTheme="minorHAnsi" w:cs="Calibri"/>
          <w:i/>
          <w:sz w:val="22"/>
        </w:rPr>
      </w:pPr>
      <w:r w:rsidRPr="00F21196">
        <w:rPr>
          <w:rFonts w:asciiTheme="minorHAnsi" w:eastAsia="Times New Roman" w:hAnsiTheme="minorHAnsi" w:cs="Calibri"/>
          <w:sz w:val="22"/>
        </w:rPr>
        <w:t>Wychodząc naprzeciw społecznym oczekiwaniom wobec państwa, działania zorientowane będą na wyrównanie pozycji konkurencyjnej rzetelnie rozliczających się podatników i przedsiębiorców. Działania te będą wzmacniać poczucie sprawiedliwości społecznej. Mają one również istotne znacznie dla utrwalenia wśród podatników właściwej postawy przestrzegania przepisów prawa podatkowego i celnego, co przełoży się na wzrost kwot dochodów budżetowych, zmniejszenie poziomu luki podatkowej i ograniczenie rozmiaru szarej strefy.</w:t>
      </w:r>
      <w:r>
        <w:rPr>
          <w:rFonts w:asciiTheme="minorHAnsi" w:eastAsia="Times New Roman" w:hAnsiTheme="minorHAnsi" w:cs="Calibri"/>
          <w:sz w:val="22"/>
        </w:rPr>
        <w:t xml:space="preserve"> </w:t>
      </w:r>
      <w:r w:rsidRPr="00F21196">
        <w:rPr>
          <w:rFonts w:asciiTheme="minorHAnsi" w:eastAsia="Times New Roman" w:hAnsiTheme="minorHAnsi" w:cs="Calibri"/>
          <w:sz w:val="22"/>
        </w:rPr>
        <w:t>Działania te będą realizowane w ramach projektu strategicznego SOR „</w:t>
      </w:r>
      <w:r w:rsidRPr="00F21196">
        <w:rPr>
          <w:rFonts w:asciiTheme="minorHAnsi" w:eastAsia="Times New Roman" w:hAnsiTheme="minorHAnsi" w:cs="Calibri"/>
          <w:i/>
          <w:sz w:val="22"/>
        </w:rPr>
        <w:t xml:space="preserve">Uszczelnienie systemu poboru podatków”. </w:t>
      </w:r>
    </w:p>
    <w:p w14:paraId="608650F2" w14:textId="77777777" w:rsidR="00A52B29" w:rsidRPr="00F21196" w:rsidRDefault="00A52B29" w:rsidP="00A52B29">
      <w:pPr>
        <w:pStyle w:val="Akapitzlist"/>
        <w:autoSpaceDE w:val="0"/>
        <w:autoSpaceDN w:val="0"/>
        <w:adjustRightInd w:val="0"/>
        <w:spacing w:before="120"/>
        <w:ind w:left="0" w:right="132"/>
        <w:jc w:val="both"/>
        <w:rPr>
          <w:rFonts w:asciiTheme="minorHAnsi" w:eastAsia="Times New Roman" w:hAnsiTheme="minorHAnsi" w:cs="Calibri"/>
        </w:rPr>
      </w:pPr>
    </w:p>
    <w:p w14:paraId="1BDC3F83" w14:textId="77777777" w:rsidR="00A52B29" w:rsidRPr="00F21196" w:rsidRDefault="00A52B29" w:rsidP="00A52B29">
      <w:pPr>
        <w:pBdr>
          <w:bottom w:val="single" w:sz="24" w:space="1" w:color="F4B083" w:themeColor="accent2" w:themeTint="99"/>
        </w:pBdr>
        <w:shd w:val="clear" w:color="auto" w:fill="D9D9D9" w:themeFill="background1" w:themeFillShade="D9"/>
        <w:spacing w:after="0"/>
        <w:jc w:val="both"/>
        <w:rPr>
          <w:rFonts w:eastAsia="Times New Roman" w:cs="Calibri"/>
          <w:b/>
        </w:rPr>
      </w:pPr>
      <w:r w:rsidRPr="00F21196">
        <w:rPr>
          <w:rFonts w:eastAsia="Times New Roman" w:cs="Calibri"/>
          <w:b/>
        </w:rPr>
        <w:t xml:space="preserve">Kierunek interwencji 2. </w:t>
      </w:r>
    </w:p>
    <w:p w14:paraId="6B7D5822" w14:textId="77777777" w:rsidR="00A52B29" w:rsidRPr="006E7DF3" w:rsidRDefault="00A52B29" w:rsidP="00A52B29">
      <w:pPr>
        <w:pBdr>
          <w:bottom w:val="single" w:sz="24" w:space="1" w:color="F4B083" w:themeColor="accent2" w:themeTint="99"/>
        </w:pBdr>
        <w:shd w:val="clear" w:color="auto" w:fill="D9D9D9" w:themeFill="background1" w:themeFillShade="D9"/>
        <w:spacing w:after="0"/>
        <w:jc w:val="center"/>
        <w:rPr>
          <w:rFonts w:eastAsia="Times New Roman" w:cs="Calibri"/>
          <w:b/>
          <w:i/>
        </w:rPr>
      </w:pPr>
      <w:r w:rsidRPr="006E7DF3">
        <w:rPr>
          <w:rFonts w:eastAsia="Times New Roman" w:cs="Calibri"/>
          <w:b/>
          <w:i/>
        </w:rPr>
        <w:t xml:space="preserve">Nowy system budżetowy wspierający osiąganie celów strategicznych i priorytetów rozwojowych </w:t>
      </w:r>
      <w:r w:rsidRPr="006E7DF3">
        <w:rPr>
          <w:rFonts w:eastAsia="Times New Roman" w:cs="Calibri"/>
          <w:b/>
          <w:i/>
        </w:rPr>
        <w:br/>
        <w:t>w perspektywie wieloletniej.</w:t>
      </w:r>
    </w:p>
    <w:p w14:paraId="42AAFE7F" w14:textId="77777777" w:rsidR="00A52B29" w:rsidRPr="00F21196" w:rsidRDefault="00A52B29" w:rsidP="00A52B29">
      <w:pPr>
        <w:spacing w:before="120" w:after="120" w:line="276" w:lineRule="auto"/>
        <w:ind w:right="132"/>
        <w:jc w:val="both"/>
        <w:rPr>
          <w:rFonts w:eastAsia="Times New Roman" w:cs="Calibri"/>
        </w:rPr>
      </w:pPr>
      <w:r w:rsidRPr="00F21196">
        <w:rPr>
          <w:rFonts w:eastAsia="Times New Roman" w:cs="Calibri"/>
        </w:rPr>
        <w:t xml:space="preserve">Polska potrzebuje skuteczniejszych narzędzi prowadzenia polityki budżetowej. Planowanie budżetowe powinno wykraczać poza horyzont jednego roku, co powinno przyczynić się do efektywnej alokacji środków publicznych w kolejnych latach budżetowych (nieobjętych ustawą budżetową). Konieczna jest również przebudowa procesów planowania i wykonywania budżetu realizowanego w dwóch układach (tzw. układzie tradycyjnym i zadaniowym). Powinno to przyczynić się do zwiększenia efektywności wydatków oraz tworzenia przestrzeni niezbędnej na finansowanie nowych zadań publicznych. Dzięki proponowanym zmianom do systemu budżetowego zostaną włączone niektóre elementy ram budżetowych wynikające z dyrektywy Rady 2011/85/UE </w:t>
      </w:r>
      <w:r w:rsidRPr="00F21196">
        <w:rPr>
          <w:rFonts w:eastAsia="Times New Roman" w:cs="Calibri"/>
          <w:i/>
        </w:rPr>
        <w:t>w sprawie wymogów dla ram budżetowych państw członkowskich</w:t>
      </w:r>
      <w:r w:rsidRPr="00F21196">
        <w:rPr>
          <w:rFonts w:eastAsia="Times New Roman" w:cs="Calibri"/>
        </w:rPr>
        <w:t>.</w:t>
      </w:r>
    </w:p>
    <w:p w14:paraId="34F22893" w14:textId="77777777" w:rsidR="00A52B29" w:rsidRPr="00F21196" w:rsidRDefault="00A52B29" w:rsidP="00A52B29">
      <w:pPr>
        <w:spacing w:before="120" w:after="120" w:line="276" w:lineRule="auto"/>
        <w:ind w:right="132"/>
        <w:jc w:val="both"/>
        <w:rPr>
          <w:rFonts w:eastAsia="Times New Roman" w:cs="Calibri"/>
        </w:rPr>
      </w:pPr>
      <w:r w:rsidRPr="00030EEE">
        <w:rPr>
          <w:rFonts w:eastAsia="Times New Roman" w:cs="Calibri"/>
          <w:i/>
        </w:rPr>
        <w:t>„Założenia reformy systemu budżetowego przyjęte przez Radę Ministrów przewidują wprowadzenie skutecznych narzędzi, umożliwiających prowadzenie spójnej polityki budżetowej, wykraczającej poza horyzont jednego roku budżetowego oraz mechanizmów, zapewniających efektywną</w:t>
      </w:r>
      <w:r>
        <w:rPr>
          <w:rFonts w:eastAsia="Times New Roman" w:cs="Calibri"/>
          <w:i/>
        </w:rPr>
        <w:t xml:space="preserve"> alokację środków publicznych w </w:t>
      </w:r>
      <w:r w:rsidRPr="00030EEE">
        <w:rPr>
          <w:rFonts w:eastAsia="Times New Roman" w:cs="Calibri"/>
          <w:i/>
        </w:rPr>
        <w:t>kolejnych budżetach, w tym przeglądów wydatków, wspierających re</w:t>
      </w:r>
      <w:r>
        <w:rPr>
          <w:rFonts w:eastAsia="Times New Roman" w:cs="Calibri"/>
          <w:i/>
        </w:rPr>
        <w:t>alizację celów strategicznych i </w:t>
      </w:r>
      <w:r w:rsidRPr="00030EEE">
        <w:rPr>
          <w:rFonts w:eastAsia="Times New Roman" w:cs="Calibri"/>
          <w:i/>
        </w:rPr>
        <w:t>priorytetów rozwojowych państwa”</w:t>
      </w:r>
      <w:r>
        <w:rPr>
          <w:rFonts w:eastAsia="Times New Roman" w:cs="Calibri"/>
          <w:i/>
        </w:rPr>
        <w:t xml:space="preserve">. </w:t>
      </w:r>
      <w:r w:rsidRPr="00F21196">
        <w:rPr>
          <w:rFonts w:eastAsia="Times New Roman" w:cs="Calibri"/>
        </w:rPr>
        <w:t>Przejrzystość procesu opracowywania projektu ustawy budżetowej, otwarcie dostępu do danych publicznych w przyjaznym formacie, rozliczalność podmiotów odpowiedzialnych za wydatkowanie środków publicznych oraz strategiczne podejście do planowania i osiągania celów państwa w warunkach ograniczeń fiskalnych, to najważniejsze cechy nowego systemu budżetowego, który ma w przyszłości zastąpić obecnie obowiązujące rozwiązania.</w:t>
      </w:r>
    </w:p>
    <w:p w14:paraId="490B7275" w14:textId="77777777" w:rsidR="00A52B29" w:rsidRPr="00F21196" w:rsidRDefault="00A52B29" w:rsidP="00A52B29">
      <w:pPr>
        <w:spacing w:before="120" w:after="120"/>
        <w:ind w:right="132"/>
        <w:jc w:val="both"/>
        <w:rPr>
          <w:rFonts w:eastAsia="Times New Roman" w:cs="Calibri"/>
        </w:rPr>
      </w:pPr>
    </w:p>
    <w:p w14:paraId="5732D149" w14:textId="77777777" w:rsidR="00A52B29" w:rsidRPr="00F21196" w:rsidRDefault="00A52B29" w:rsidP="00A52B29">
      <w:pPr>
        <w:pBdr>
          <w:bottom w:val="single" w:sz="24" w:space="1" w:color="F4B083" w:themeColor="accent2" w:themeTint="99"/>
        </w:pBdr>
        <w:shd w:val="clear" w:color="auto" w:fill="D9D9D9" w:themeFill="background1" w:themeFillShade="D9"/>
        <w:spacing w:after="0"/>
        <w:jc w:val="both"/>
        <w:rPr>
          <w:rFonts w:eastAsia="Times New Roman" w:cs="Calibri"/>
          <w:b/>
        </w:rPr>
      </w:pPr>
      <w:r w:rsidRPr="00F21196">
        <w:rPr>
          <w:rFonts w:eastAsia="Times New Roman" w:cs="Calibri"/>
          <w:b/>
        </w:rPr>
        <w:t xml:space="preserve">Kierunek interwencji 3. </w:t>
      </w:r>
    </w:p>
    <w:p w14:paraId="5393D51B" w14:textId="77777777" w:rsidR="00A52B29" w:rsidRPr="006E7DF3" w:rsidRDefault="00A52B29" w:rsidP="00A52B29">
      <w:pPr>
        <w:pBdr>
          <w:bottom w:val="single" w:sz="24" w:space="1" w:color="F4B083" w:themeColor="accent2" w:themeTint="99"/>
        </w:pBdr>
        <w:shd w:val="clear" w:color="auto" w:fill="D9D9D9" w:themeFill="background1" w:themeFillShade="D9"/>
        <w:spacing w:after="0"/>
        <w:jc w:val="center"/>
        <w:rPr>
          <w:rFonts w:eastAsia="Times New Roman" w:cs="Calibri"/>
          <w:b/>
          <w:i/>
        </w:rPr>
      </w:pPr>
      <w:r w:rsidRPr="006E7DF3">
        <w:rPr>
          <w:rFonts w:eastAsia="Times New Roman" w:cs="Calibri"/>
          <w:b/>
          <w:i/>
        </w:rPr>
        <w:t>Reforma systemu rachunkowości publicznej - przygotowanie skonsolidowanego sprawozdania finansowego kraju.</w:t>
      </w:r>
    </w:p>
    <w:p w14:paraId="696342C0" w14:textId="77777777" w:rsidR="00A52B29" w:rsidRPr="00F21196" w:rsidRDefault="00A52B29" w:rsidP="00A52B29">
      <w:pPr>
        <w:spacing w:after="120" w:line="276" w:lineRule="auto"/>
        <w:ind w:right="132"/>
        <w:jc w:val="both"/>
        <w:rPr>
          <w:rFonts w:eastAsia="Times New Roman" w:cs="Calibri"/>
        </w:rPr>
      </w:pPr>
      <w:r w:rsidRPr="00F21196">
        <w:rPr>
          <w:rFonts w:eastAsia="Times New Roman" w:cs="Calibri"/>
        </w:rPr>
        <w:t>Jednostki sektora finansów publicznych stosują wymogi ustawy o rachunkowości i sporządzają sprawozdania finansowe. Informacje z nich płynące nie są jednak optymalnie wykorzystywane, brakuje bowiem finalnego etapu pracy, tj. przygotowania skonsolidowanego sprawozdania finansowego. W związku z tym decydenci otrzymują fragmentaryczny obraz sytuacji majątkowej sektora, na podstawie którego podejmowanie decyzji zarządczych w odniesieniu do całości publicznych aktywów i zobowiązań jest utrudnione.</w:t>
      </w:r>
    </w:p>
    <w:p w14:paraId="2004A6B4" w14:textId="77777777" w:rsidR="00A52B29" w:rsidRPr="00F21196" w:rsidRDefault="00A52B29" w:rsidP="00A52B29">
      <w:pPr>
        <w:spacing w:line="276" w:lineRule="auto"/>
        <w:ind w:right="132"/>
        <w:jc w:val="both"/>
        <w:rPr>
          <w:rFonts w:eastAsia="Times New Roman" w:cs="Calibri"/>
        </w:rPr>
      </w:pPr>
      <w:r w:rsidRPr="00F21196">
        <w:rPr>
          <w:rFonts w:eastAsia="Times New Roman" w:cs="Calibri"/>
        </w:rPr>
        <w:t>Skonsolidowane sprawozdanie finansowe kraju to również odpowiedź na plany reformy opracowywanej na poziomie europejskim (EPSAS</w:t>
      </w:r>
      <w:r w:rsidRPr="00F21196">
        <w:rPr>
          <w:rStyle w:val="Odwoanieprzypisudolnego"/>
          <w:rFonts w:eastAsia="Times New Roman" w:cs="Calibri"/>
        </w:rPr>
        <w:footnoteReference w:id="89"/>
      </w:r>
      <w:r w:rsidRPr="00F21196">
        <w:rPr>
          <w:rFonts w:eastAsia="Times New Roman" w:cs="Calibri"/>
        </w:rPr>
        <w:t>) i coraz powszechniejsze działania modernizacyjne w tym zakresie wdrażane obecnie w wielu krajach członkowskich Unii Europejskiej i Organizacji Współpracy Gospodarczej i Rozwoju (OECD</w:t>
      </w:r>
      <w:r w:rsidRPr="00F21196">
        <w:rPr>
          <w:rStyle w:val="Odwoanieprzypisudolnego"/>
          <w:rFonts w:eastAsia="Times New Roman" w:cs="Calibri"/>
        </w:rPr>
        <w:footnoteReference w:id="90"/>
      </w:r>
      <w:r w:rsidRPr="00F21196">
        <w:rPr>
          <w:rFonts w:eastAsia="Times New Roman" w:cs="Calibri"/>
        </w:rPr>
        <w:t>).</w:t>
      </w:r>
    </w:p>
    <w:p w14:paraId="6D7C10E5" w14:textId="77777777" w:rsidR="00A52B29" w:rsidRPr="00F21196" w:rsidRDefault="00A52B29" w:rsidP="00A52B29">
      <w:pPr>
        <w:ind w:right="132"/>
        <w:jc w:val="both"/>
        <w:rPr>
          <w:rFonts w:eastAsia="Times New Roman" w:cs="Calibri"/>
        </w:rPr>
      </w:pPr>
      <w:r w:rsidRPr="00F21196">
        <w:rPr>
          <w:rFonts w:eastAsia="Times New Roman" w:cs="Calibri"/>
        </w:rPr>
        <w:t>Według raportu nt. zbieżności krajowych systemów rachunkowości publicznej ze standardami międzynarodowymi (IPSAS</w:t>
      </w:r>
      <w:r w:rsidRPr="00F21196">
        <w:rPr>
          <w:rFonts w:eastAsia="Times New Roman" w:cs="Calibri"/>
        </w:rPr>
        <w:footnoteReference w:id="91"/>
      </w:r>
      <w:r w:rsidRPr="00F21196">
        <w:rPr>
          <w:rFonts w:eastAsia="Times New Roman" w:cs="Calibri"/>
        </w:rPr>
        <w:t xml:space="preserve">) przygotowanego dla Eurostat w roku 2014 polskie regulacje uznano za zbieżne w 66-68%, co uplasowało nas w grupie krajów o średnim zaawansowaniu systemów rachunkowości. </w:t>
      </w:r>
    </w:p>
    <w:p w14:paraId="4BA1024C" w14:textId="77777777" w:rsidR="00A52B29" w:rsidRDefault="00A52B29" w:rsidP="00A52B29">
      <w:pPr>
        <w:spacing w:before="120" w:after="120"/>
        <w:ind w:right="132"/>
        <w:jc w:val="both"/>
        <w:rPr>
          <w:rFonts w:eastAsia="Times New Roman" w:cs="Calibri"/>
        </w:rPr>
      </w:pPr>
      <w:r w:rsidRPr="00F21196">
        <w:rPr>
          <w:rFonts w:eastAsia="Times New Roman" w:cs="Calibri"/>
        </w:rPr>
        <w:t xml:space="preserve">Wyzwaniem stojącym w tym zakresie jest przygotowanie skonsolidowanego sprawozdania finansowego na poziomie kraju, które przedstawi obraz sytuacji finansowej całego sektora finansów publicznych w sposób spójny i rzetelny oraz udostępni dane niezbędne do oceny efektywności wykorzystania państwowych aktywów i sposoby zarządzania państwowymi zobowiązaniami. </w:t>
      </w:r>
    </w:p>
    <w:p w14:paraId="7AE20708" w14:textId="77777777" w:rsidR="00A52B29" w:rsidRPr="00F21196" w:rsidRDefault="00A52B29" w:rsidP="00A52B29">
      <w:pPr>
        <w:spacing w:before="120" w:after="120"/>
        <w:ind w:right="132"/>
        <w:jc w:val="both"/>
        <w:rPr>
          <w:rFonts w:eastAsia="Times New Roman" w:cs="Calibri"/>
        </w:rPr>
      </w:pPr>
    </w:p>
    <w:p w14:paraId="4C34AD8D" w14:textId="77777777" w:rsidR="00A52B29" w:rsidRDefault="00A52B29" w:rsidP="00A52B29">
      <w:pPr>
        <w:pBdr>
          <w:bottom w:val="single" w:sz="24" w:space="1" w:color="F4B083" w:themeColor="accent2" w:themeTint="99"/>
        </w:pBdr>
        <w:shd w:val="clear" w:color="auto" w:fill="D9D9D9" w:themeFill="background1" w:themeFillShade="D9"/>
        <w:spacing w:after="0"/>
        <w:jc w:val="center"/>
        <w:rPr>
          <w:rFonts w:eastAsia="Times New Roman" w:cs="Calibri"/>
          <w:b/>
          <w:i/>
        </w:rPr>
      </w:pPr>
      <w:r w:rsidRPr="0060045E">
        <w:rPr>
          <w:rFonts w:eastAsia="Times New Roman" w:cs="Calibri"/>
          <w:b/>
        </w:rPr>
        <w:t xml:space="preserve">Kierunek interwencji 4.  </w:t>
      </w:r>
      <w:r w:rsidRPr="00A44F31">
        <w:rPr>
          <w:rFonts w:eastAsia="Times New Roman" w:cs="Calibri"/>
          <w:b/>
          <w:i/>
          <w:lang w:eastAsia="pl-PL"/>
        </w:rPr>
        <w:t>Zmiany regulacyjne</w:t>
      </w:r>
      <w:r w:rsidRPr="006B63BB">
        <w:rPr>
          <w:rFonts w:eastAsia="Times New Roman" w:cs="Calibri"/>
          <w:b/>
          <w:i/>
          <w:lang w:eastAsia="pl-PL"/>
        </w:rPr>
        <w:t xml:space="preserve"> </w:t>
      </w:r>
      <w:r w:rsidRPr="00A44F31">
        <w:rPr>
          <w:rFonts w:eastAsia="Times New Roman" w:cs="Calibri"/>
          <w:b/>
          <w:i/>
          <w:lang w:eastAsia="pl-PL"/>
        </w:rPr>
        <w:t xml:space="preserve">w przepisach  o rachunkowości pod kątem </w:t>
      </w:r>
      <w:r>
        <w:rPr>
          <w:rFonts w:eastAsia="Times New Roman" w:cs="Calibri"/>
          <w:b/>
          <w:i/>
          <w:lang w:eastAsia="pl-PL"/>
        </w:rPr>
        <w:t xml:space="preserve">ich </w:t>
      </w:r>
      <w:r w:rsidRPr="00A44F31">
        <w:rPr>
          <w:rFonts w:eastAsia="Times New Roman" w:cs="Calibri"/>
          <w:b/>
          <w:i/>
          <w:lang w:eastAsia="pl-PL"/>
        </w:rPr>
        <w:t>adekwatności</w:t>
      </w:r>
      <w:r w:rsidRPr="006B63BB">
        <w:rPr>
          <w:rFonts w:eastAsia="Times New Roman" w:cs="Calibri"/>
          <w:b/>
          <w:i/>
          <w:lang w:eastAsia="pl-PL"/>
        </w:rPr>
        <w:t xml:space="preserve"> </w:t>
      </w:r>
      <w:r w:rsidRPr="00A44F31">
        <w:rPr>
          <w:rFonts w:eastAsia="Times New Roman" w:cs="Calibri"/>
          <w:b/>
          <w:i/>
          <w:lang w:eastAsia="pl-PL"/>
        </w:rPr>
        <w:t>do sytuacji prawnej</w:t>
      </w:r>
      <w:r>
        <w:rPr>
          <w:rFonts w:eastAsia="Times New Roman" w:cs="Calibri"/>
          <w:b/>
          <w:i/>
          <w:lang w:eastAsia="pl-PL"/>
        </w:rPr>
        <w:t xml:space="preserve"> i gospodarczej jednostek</w:t>
      </w:r>
    </w:p>
    <w:p w14:paraId="1BF2C694" w14:textId="77777777" w:rsidR="00A52B29" w:rsidRPr="008B1015" w:rsidRDefault="00A52B29" w:rsidP="00A52B29">
      <w:pPr>
        <w:spacing w:after="0" w:line="276" w:lineRule="auto"/>
        <w:jc w:val="both"/>
        <w:rPr>
          <w:rFonts w:ascii="Calibri" w:eastAsia="Times New Roman" w:hAnsi="Calibri" w:cs="Calibri"/>
          <w:lang w:eastAsia="pl-PL"/>
        </w:rPr>
      </w:pPr>
      <w:r>
        <w:rPr>
          <w:rFonts w:ascii="Calibri" w:eastAsia="Times New Roman" w:hAnsi="Calibri" w:cs="Calibri"/>
          <w:lang w:eastAsia="pl-PL"/>
        </w:rPr>
        <w:t>Podejmowane działania będą zmierzać w kierunku rewizji</w:t>
      </w:r>
      <w:r w:rsidRPr="008B1015">
        <w:rPr>
          <w:rFonts w:ascii="Calibri" w:eastAsia="Times New Roman" w:hAnsi="Calibri" w:cs="Calibri"/>
          <w:lang w:eastAsia="pl-PL"/>
        </w:rPr>
        <w:t xml:space="preserve"> obecnie obowiązujących pr</w:t>
      </w:r>
      <w:r>
        <w:rPr>
          <w:rFonts w:ascii="Calibri" w:eastAsia="Times New Roman" w:hAnsi="Calibri" w:cs="Calibri"/>
          <w:lang w:eastAsia="pl-PL"/>
        </w:rPr>
        <w:t>zepisów ustawy o rachunkowości pod kątem ich dostosowania do aktualnych warunków prowadzenia działalności gospodarczej (m.in. w zakresie postępującej cyfryzacji procesów gospodarczych).</w:t>
      </w:r>
    </w:p>
    <w:p w14:paraId="4BB8D2C3" w14:textId="77777777" w:rsidR="00A52B29" w:rsidRDefault="00A52B29" w:rsidP="00A52B29"/>
    <w:p w14:paraId="0C7A691F" w14:textId="77777777" w:rsidR="00A52B29" w:rsidRDefault="00A52B29" w:rsidP="00A52B29">
      <w:pPr>
        <w:pBdr>
          <w:bottom w:val="single" w:sz="24" w:space="1" w:color="F4B083" w:themeColor="accent2" w:themeTint="99"/>
        </w:pBdr>
        <w:shd w:val="clear" w:color="auto" w:fill="D9D9D9" w:themeFill="background1" w:themeFillShade="D9"/>
        <w:spacing w:after="0"/>
        <w:jc w:val="both"/>
        <w:rPr>
          <w:rFonts w:eastAsia="Times New Roman" w:cs="Calibri"/>
          <w:b/>
        </w:rPr>
      </w:pPr>
      <w:r>
        <w:rPr>
          <w:rFonts w:eastAsia="Times New Roman" w:cs="Calibri"/>
          <w:b/>
        </w:rPr>
        <w:t>Kierunek interwencji 5</w:t>
      </w:r>
      <w:r w:rsidRPr="0060045E">
        <w:rPr>
          <w:rFonts w:eastAsia="Times New Roman" w:cs="Calibri"/>
          <w:b/>
        </w:rPr>
        <w:t xml:space="preserve">.  </w:t>
      </w:r>
    </w:p>
    <w:p w14:paraId="4F1F7B6A" w14:textId="77777777" w:rsidR="00A52B29" w:rsidRPr="0060045E" w:rsidRDefault="00A52B29" w:rsidP="00A52B29">
      <w:pPr>
        <w:pBdr>
          <w:bottom w:val="single" w:sz="24" w:space="1" w:color="F4B083" w:themeColor="accent2" w:themeTint="99"/>
        </w:pBdr>
        <w:shd w:val="clear" w:color="auto" w:fill="D9D9D9" w:themeFill="background1" w:themeFillShade="D9"/>
        <w:spacing w:after="0"/>
        <w:jc w:val="center"/>
        <w:rPr>
          <w:rFonts w:eastAsia="Times New Roman" w:cs="Calibri"/>
          <w:b/>
          <w:i/>
        </w:rPr>
      </w:pPr>
      <w:r w:rsidRPr="0060045E">
        <w:rPr>
          <w:rFonts w:eastAsia="Times New Roman" w:cs="Calibri"/>
          <w:b/>
          <w:i/>
        </w:rPr>
        <w:t xml:space="preserve">Reforma systemu finansowania jednostek samorządu terytorialnego w celu powiązania go </w:t>
      </w:r>
      <w:r w:rsidRPr="0060045E">
        <w:rPr>
          <w:rFonts w:eastAsia="Times New Roman" w:cs="Calibri"/>
          <w:b/>
          <w:i/>
        </w:rPr>
        <w:br/>
        <w:t xml:space="preserve">z ich potrzebami </w:t>
      </w:r>
      <w:r>
        <w:rPr>
          <w:rFonts w:eastAsia="Times New Roman" w:cs="Calibri"/>
          <w:b/>
          <w:i/>
        </w:rPr>
        <w:t>wydatkowymi</w:t>
      </w:r>
      <w:r w:rsidRPr="0060045E">
        <w:rPr>
          <w:rFonts w:eastAsia="Times New Roman" w:cs="Calibri"/>
          <w:b/>
          <w:i/>
        </w:rPr>
        <w:t>.</w:t>
      </w:r>
    </w:p>
    <w:p w14:paraId="05CE7158" w14:textId="77777777" w:rsidR="00A52B29" w:rsidRPr="00F21196" w:rsidRDefault="00A52B29" w:rsidP="00A52B29">
      <w:pPr>
        <w:suppressAutoHyphens/>
        <w:spacing w:before="120" w:after="120" w:line="261" w:lineRule="auto"/>
        <w:ind w:right="132"/>
        <w:jc w:val="both"/>
        <w:rPr>
          <w:rFonts w:eastAsia="Times New Roman" w:cs="Calibri"/>
        </w:rPr>
      </w:pPr>
      <w:r w:rsidRPr="00F21196">
        <w:rPr>
          <w:rFonts w:eastAsia="Times New Roman" w:cs="Calibri"/>
        </w:rPr>
        <w:t>Ocena funkcjonującego od 2004 r. systemu finansów jednostek samorządu terytorialnego (JST) wykazała jego dysfunkcje oraz wskazała na potrzebę wprowadzenia zmian racjonalizujących. Również Trybunał Konstytucyjny zwrócił uwagę na wady mechanizmu ustalania wpłat do budżetu państwa i podziału tych środków, a także na elementy, które ustawodawca powinien brać pod uwagę konstruując mechanizm wyrównywania poziomego.</w:t>
      </w:r>
    </w:p>
    <w:p w14:paraId="5BDEFCA8" w14:textId="77777777" w:rsidR="00A52B29" w:rsidRPr="00F21196" w:rsidRDefault="00A52B29" w:rsidP="00A52B29">
      <w:pPr>
        <w:suppressAutoHyphens/>
        <w:spacing w:before="120" w:after="120" w:line="261" w:lineRule="auto"/>
        <w:ind w:right="132"/>
        <w:jc w:val="both"/>
        <w:rPr>
          <w:rFonts w:eastAsia="Times New Roman" w:cs="Calibri"/>
        </w:rPr>
      </w:pPr>
      <w:r w:rsidRPr="00F21196">
        <w:rPr>
          <w:rFonts w:eastAsia="Times New Roman" w:cs="Calibri"/>
        </w:rPr>
        <w:t>Działania w tym zakresie będą koncentrować się na opracowaniu systemu wyrównywania dochodów JST w Polsce, tak aby pozwolić na lepsze finansowanie zadań publicznych w jednostkach o niskim potencjale dochodowym, a także na wzmocnienie motywacji JST do aktywnego pozyskiwania dodatkowych dochodów.</w:t>
      </w:r>
    </w:p>
    <w:p w14:paraId="148FA202" w14:textId="77777777" w:rsidR="00A52B29" w:rsidRPr="00F21196" w:rsidRDefault="00A52B29" w:rsidP="00A52B29">
      <w:pPr>
        <w:suppressAutoHyphens/>
        <w:spacing w:before="120" w:after="120" w:line="276" w:lineRule="auto"/>
        <w:ind w:right="132"/>
        <w:jc w:val="both"/>
        <w:rPr>
          <w:rFonts w:eastAsia="Times New Roman" w:cs="Calibri"/>
        </w:rPr>
      </w:pPr>
      <w:r w:rsidRPr="00F21196">
        <w:rPr>
          <w:rFonts w:eastAsia="Times New Roman" w:cs="Calibri"/>
        </w:rPr>
        <w:t xml:space="preserve">Działania będą nakierowane na identyfikację głównych obszarów zadań stanowiących znaczącą część wydatków bieżących ponoszonych przez JST w celu realizacji zadań własnych. </w:t>
      </w:r>
    </w:p>
    <w:p w14:paraId="6546EC8F" w14:textId="77777777" w:rsidR="00A52B29" w:rsidRPr="00F21196" w:rsidRDefault="00A52B29" w:rsidP="00A52B29">
      <w:pPr>
        <w:suppressAutoHyphens/>
        <w:spacing w:before="120" w:line="276" w:lineRule="auto"/>
        <w:ind w:right="132"/>
        <w:jc w:val="both"/>
        <w:rPr>
          <w:rFonts w:eastAsia="Times New Roman" w:cs="Calibri"/>
        </w:rPr>
      </w:pPr>
      <w:r w:rsidRPr="00F21196">
        <w:rPr>
          <w:rFonts w:eastAsia="Times New Roman" w:cs="Calibri"/>
        </w:rPr>
        <w:t>Działaniem istotnym z punktu widzenia utrzymania stabilności finansów publicznych jest usprawnienie procesu ustalania i dochodzenia należności budżetu państwa dotyczących nienależnie uzyskanych przez samorządy kwot subwencji ogólnej.</w:t>
      </w:r>
    </w:p>
    <w:p w14:paraId="6CEE0EE0" w14:textId="77777777" w:rsidR="00A52B29" w:rsidRPr="00F21196" w:rsidRDefault="00A52B29" w:rsidP="00A52B29">
      <w:pPr>
        <w:spacing w:after="120" w:line="276" w:lineRule="auto"/>
        <w:ind w:right="132"/>
        <w:jc w:val="both"/>
        <w:rPr>
          <w:rFonts w:eastAsia="Times New Roman" w:cs="Calibri"/>
        </w:rPr>
      </w:pPr>
      <w:r w:rsidRPr="00F21196">
        <w:rPr>
          <w:rFonts w:eastAsia="Times New Roman" w:cs="Calibri"/>
        </w:rPr>
        <w:t xml:space="preserve">JST wykonująca zadania zlecone z zakresu administracji rządowej oraz inne zadania zlecone ustawami otrzymuje z budżetu państwa dotacje celowe w wysokości zapewniającej realizację tych zadań. JST zgłaszają na przestrzeni ostatnich lat niedobór przedmiotowych środków, nie przedstawiając </w:t>
      </w:r>
      <w:r>
        <w:t>danych, na podstawie których nie można w należyty sposób zweryfikować czy środki są wystarczające</w:t>
      </w:r>
      <w:r w:rsidRPr="00F21196">
        <w:rPr>
          <w:rFonts w:eastAsia="Times New Roman" w:cs="Calibri"/>
        </w:rPr>
        <w:t>. Obecny system finansowania zadań zleconych jest nieprzejrzysty i utrudnia gospodarne dysponowanie środkami publicznymi. W ostatnich latach wypracowane zostały mechanizmy umożliwiające przyjęcie jednolitych sposobów kalkulacji wysokości kosztów realizowanych przez JST niektórych zadań z zakresu administracji rządowej. Kontynuacja powyższych działań powinna umożliwić faktyczne uzależnienie wysokości przekazanych JST dotacji od kosztów związanych z realizacją przedmiotowych zadań i szczegółowe ich rozliczenie.</w:t>
      </w:r>
    </w:p>
    <w:p w14:paraId="03BD9AEB" w14:textId="77777777" w:rsidR="00A52B29" w:rsidRPr="00F21196" w:rsidRDefault="00A52B29" w:rsidP="00A52B29">
      <w:pPr>
        <w:spacing w:after="0" w:line="276" w:lineRule="auto"/>
        <w:jc w:val="both"/>
        <w:rPr>
          <w:rFonts w:eastAsia="Times New Roman" w:cs="Calibri"/>
        </w:rPr>
      </w:pPr>
      <w:r w:rsidRPr="00F21196">
        <w:rPr>
          <w:rFonts w:eastAsia="Times New Roman" w:cs="Calibri"/>
        </w:rPr>
        <w:t>Powyższe działania będą realizowane w ramach projektu strategicznego SOR „Racjonalny system finasowania JST”.</w:t>
      </w:r>
    </w:p>
    <w:p w14:paraId="1BECE072" w14:textId="77777777" w:rsidR="00A52B29" w:rsidRDefault="00A52B29" w:rsidP="00A52B29">
      <w:pPr>
        <w:rPr>
          <w:rFonts w:cs="Arial"/>
          <w:b/>
        </w:rPr>
      </w:pPr>
      <w:r>
        <w:rPr>
          <w:rFonts w:cs="Arial"/>
          <w:b/>
        </w:rPr>
        <w:br w:type="page"/>
      </w:r>
    </w:p>
    <w:p w14:paraId="696B3C4B" w14:textId="77777777" w:rsidR="00A52B29" w:rsidRDefault="00A52B29" w:rsidP="00A52B29">
      <w:pPr>
        <w:pBdr>
          <w:bottom w:val="single" w:sz="24" w:space="1" w:color="F4B083" w:themeColor="accent2" w:themeTint="99"/>
        </w:pBdr>
        <w:shd w:val="clear" w:color="auto" w:fill="D9D9D9" w:themeFill="background1" w:themeFillShade="D9"/>
        <w:spacing w:after="0" w:line="276" w:lineRule="auto"/>
        <w:jc w:val="both"/>
        <w:rPr>
          <w:rFonts w:cs="Arial"/>
          <w:b/>
        </w:rPr>
      </w:pPr>
      <w:r w:rsidRPr="0060045E">
        <w:rPr>
          <w:rFonts w:cs="Arial"/>
          <w:b/>
        </w:rPr>
        <w:t xml:space="preserve">Kierunek interwencji </w:t>
      </w:r>
      <w:r>
        <w:rPr>
          <w:rFonts w:cs="Arial"/>
          <w:b/>
        </w:rPr>
        <w:t>6</w:t>
      </w:r>
      <w:r w:rsidRPr="0060045E">
        <w:rPr>
          <w:rFonts w:cs="Arial"/>
          <w:b/>
        </w:rPr>
        <w:t xml:space="preserve">.  </w:t>
      </w:r>
    </w:p>
    <w:p w14:paraId="51F50301" w14:textId="77777777" w:rsidR="00A52B29" w:rsidRPr="0060045E" w:rsidRDefault="00A52B29" w:rsidP="00A52B29">
      <w:pPr>
        <w:pBdr>
          <w:bottom w:val="single" w:sz="24" w:space="1" w:color="F4B083" w:themeColor="accent2" w:themeTint="99"/>
        </w:pBdr>
        <w:shd w:val="clear" w:color="auto" w:fill="D9D9D9" w:themeFill="background1" w:themeFillShade="D9"/>
        <w:spacing w:after="0" w:line="276" w:lineRule="auto"/>
        <w:jc w:val="center"/>
        <w:rPr>
          <w:rFonts w:cs="Arial"/>
          <w:b/>
          <w:i/>
        </w:rPr>
      </w:pPr>
      <w:r w:rsidRPr="0060045E">
        <w:rPr>
          <w:rFonts w:cs="Arial"/>
          <w:b/>
          <w:i/>
        </w:rPr>
        <w:t xml:space="preserve">Zwiększenie efektywności wykorzystania środków </w:t>
      </w:r>
      <w:r>
        <w:rPr>
          <w:rFonts w:cs="Arial"/>
          <w:b/>
          <w:i/>
        </w:rPr>
        <w:t xml:space="preserve">UE </w:t>
      </w:r>
      <w:r>
        <w:rPr>
          <w:b/>
          <w:i/>
        </w:rPr>
        <w:t xml:space="preserve">oraz międzynarodowych instytucji finansowych </w:t>
      </w:r>
      <w:r w:rsidRPr="0060045E">
        <w:rPr>
          <w:rFonts w:cs="Arial"/>
          <w:b/>
          <w:i/>
        </w:rPr>
        <w:t xml:space="preserve">dostępnych w ramach różnych źródeł krajowych i zewnętrznych na rzecz innowacyjności, konkurencyjności </w:t>
      </w:r>
      <w:r>
        <w:rPr>
          <w:rFonts w:cs="Arial"/>
          <w:b/>
          <w:i/>
        </w:rPr>
        <w:br/>
      </w:r>
      <w:r w:rsidRPr="0060045E">
        <w:rPr>
          <w:rFonts w:cs="Arial"/>
          <w:b/>
          <w:i/>
        </w:rPr>
        <w:t>i zrównoważonego rozwoju.</w:t>
      </w:r>
    </w:p>
    <w:p w14:paraId="3F811D92" w14:textId="77777777" w:rsidR="00A52B29" w:rsidRPr="00F21196" w:rsidRDefault="00A52B29" w:rsidP="00A52B29">
      <w:pPr>
        <w:spacing w:after="120" w:line="276" w:lineRule="auto"/>
        <w:jc w:val="both"/>
        <w:rPr>
          <w:rFonts w:cs="Times New Roman"/>
          <w:lang w:eastAsia="pl-PL"/>
        </w:rPr>
      </w:pPr>
      <w:r w:rsidRPr="00F21196">
        <w:rPr>
          <w:rFonts w:cs="Times New Roman"/>
          <w:lang w:eastAsia="pl-PL"/>
        </w:rPr>
        <w:t xml:space="preserve">Z wstępnej oceny sytuacji w zakresie finansowania inwestycji rozwojowych w Polsce wynika, że brak jest umiejętności do tworzenia wieloletnich planów inwestycji rozwojowych finansowanych z różnych źródeł krajowych i zewnętrznych. </w:t>
      </w:r>
      <w:r>
        <w:rPr>
          <w:rFonts w:cs="Times New Roman"/>
          <w:lang w:eastAsia="pl-PL"/>
        </w:rPr>
        <w:t>K</w:t>
      </w:r>
      <w:r w:rsidRPr="00F21196">
        <w:rPr>
          <w:rFonts w:cs="Times New Roman"/>
          <w:lang w:eastAsia="pl-PL"/>
        </w:rPr>
        <w:t>onieczn</w:t>
      </w:r>
      <w:r>
        <w:rPr>
          <w:rFonts w:cs="Times New Roman"/>
          <w:lang w:eastAsia="pl-PL"/>
        </w:rPr>
        <w:t>ym</w:t>
      </w:r>
      <w:r w:rsidRPr="00F21196">
        <w:rPr>
          <w:rFonts w:cs="Times New Roman"/>
          <w:lang w:eastAsia="pl-PL"/>
        </w:rPr>
        <w:t xml:space="preserve"> jest przygotowanie oraz wdrożenie kompleksowych systemowych rozwiązań ułatwiających planowanie i realizację inwestycji rozwojowych w Polsce.  </w:t>
      </w:r>
    </w:p>
    <w:p w14:paraId="57584C92" w14:textId="77777777" w:rsidR="00A52B29" w:rsidRPr="00F21196" w:rsidRDefault="00A52B29" w:rsidP="00A52B29">
      <w:pPr>
        <w:spacing w:after="120" w:line="276" w:lineRule="auto"/>
        <w:jc w:val="both"/>
        <w:rPr>
          <w:rFonts w:cs="Times New Roman"/>
          <w:lang w:eastAsia="pl-PL"/>
        </w:rPr>
      </w:pPr>
      <w:r w:rsidRPr="00F21196">
        <w:rPr>
          <w:rFonts w:cs="Times New Roman"/>
          <w:lang w:eastAsia="pl-PL"/>
        </w:rPr>
        <w:t>Ponadto ocena efektywności wykorzystania środków UE wykazała różnego rodzaju deficyty, które wymagają podjęcia działań nakierowanych przede wszystkim na rzecz zwiększenia liczby polskich podmiotów aplikujących o środki UE zarządzane na poziomie europejskim, w tym wzmocnienia  zdolności  instytucji  i  beneficjentów  do  zarządzania  procesem  przygotowania  wniosków i realizacji projektów w ramach programów horyzontalnych.</w:t>
      </w:r>
    </w:p>
    <w:p w14:paraId="717E5168" w14:textId="77777777" w:rsidR="00A52B29" w:rsidRPr="00F21196" w:rsidRDefault="00A52B29" w:rsidP="00A52B29">
      <w:pPr>
        <w:spacing w:after="120" w:line="276" w:lineRule="auto"/>
        <w:jc w:val="both"/>
        <w:rPr>
          <w:rFonts w:cs="Times New Roman"/>
          <w:lang w:eastAsia="pl-PL"/>
        </w:rPr>
      </w:pPr>
      <w:r w:rsidRPr="00F21196">
        <w:rPr>
          <w:rFonts w:cs="Times New Roman"/>
          <w:lang w:eastAsia="pl-PL"/>
        </w:rPr>
        <w:t>W tym celu niezbędne jest w ramach dostępnych środków EFSI (Program Operacyjny Inteligentny Rozwój) podjęcie efektywnych działań na rzecz podnoszenia potencjału polskich podmiotów aplikujących o środki największego programu zarządzanego centralnie przez KE dotyczącego badań i rozwoju, tj. Horyzontu 2020.</w:t>
      </w:r>
    </w:p>
    <w:p w14:paraId="1605F0DB" w14:textId="77777777" w:rsidR="00A52B29" w:rsidRPr="00F21196" w:rsidRDefault="00A52B29" w:rsidP="00A52B29">
      <w:pPr>
        <w:spacing w:after="120" w:line="276" w:lineRule="auto"/>
        <w:jc w:val="both"/>
        <w:rPr>
          <w:rFonts w:cs="Times New Roman"/>
          <w:lang w:eastAsia="pl-PL"/>
        </w:rPr>
      </w:pPr>
      <w:r>
        <w:rPr>
          <w:rFonts w:cs="Times New Roman"/>
          <w:lang w:eastAsia="pl-PL"/>
        </w:rPr>
        <w:t>Z</w:t>
      </w:r>
      <w:r w:rsidRPr="00F21196">
        <w:rPr>
          <w:rFonts w:cs="Times New Roman"/>
          <w:lang w:eastAsia="pl-PL"/>
        </w:rPr>
        <w:t>asadniczą kwestią jest potrzeba opracowania strategicznego podejścia korzys</w:t>
      </w:r>
      <w:r>
        <w:rPr>
          <w:rFonts w:cs="Times New Roman"/>
          <w:lang w:eastAsia="pl-PL"/>
        </w:rPr>
        <w:t>tania przez Polskę ze środków w </w:t>
      </w:r>
      <w:r w:rsidRPr="00F21196">
        <w:rPr>
          <w:rFonts w:cs="Times New Roman"/>
          <w:lang w:eastAsia="pl-PL"/>
        </w:rPr>
        <w:t>ramach różnych dostępnych źródeł unijnych, a także zwiększenie zaangaż</w:t>
      </w:r>
      <w:r>
        <w:rPr>
          <w:rFonts w:cs="Times New Roman"/>
          <w:lang w:eastAsia="pl-PL"/>
        </w:rPr>
        <w:t>owania polskiej administracji i </w:t>
      </w:r>
      <w:r w:rsidRPr="00F21196">
        <w:rPr>
          <w:rFonts w:cs="Times New Roman"/>
          <w:lang w:eastAsia="pl-PL"/>
        </w:rPr>
        <w:t>kluczowych interesariuszy w proces kształtowania strategii i wizji programów</w:t>
      </w:r>
      <w:r>
        <w:rPr>
          <w:rFonts w:cs="Times New Roman"/>
          <w:lang w:eastAsia="pl-PL"/>
        </w:rPr>
        <w:t xml:space="preserve"> horyzontalnych UE na bazie ww. </w:t>
      </w:r>
      <w:r w:rsidRPr="00F21196">
        <w:rPr>
          <w:rFonts w:cs="Times New Roman"/>
          <w:lang w:eastAsia="pl-PL"/>
        </w:rPr>
        <w:t>wypracowanego spójnego podejścia. Działaniem istotnym z punktu widzenia zwiększenia efektywnego wykorzystania środków UE jest systemowa aktywizacja dużego przemysłu/spółek Skarbu Państwa i jednostek B+R w zakresie aplikowania do programów zarządzanych centralnie przez KE, w tym do Horyzontu 2020, zwłaszcza w kierunkach określonych w strategicznym podejściu.</w:t>
      </w:r>
    </w:p>
    <w:p w14:paraId="033F20F7" w14:textId="77777777" w:rsidR="00AB2DEF" w:rsidRPr="00F21196" w:rsidRDefault="00AB2DEF" w:rsidP="004D2B70">
      <w:pPr>
        <w:rPr>
          <w:rFonts w:cs="Times New Roman"/>
          <w:lang w:eastAsia="pl-PL"/>
        </w:rPr>
      </w:pPr>
    </w:p>
    <w:p w14:paraId="27E049A5" w14:textId="77777777" w:rsidR="00532E89" w:rsidRPr="00F21196" w:rsidRDefault="00260709" w:rsidP="00277F41">
      <w:pPr>
        <w:pBdr>
          <w:bottom w:val="single" w:sz="24" w:space="1" w:color="F4B083" w:themeColor="accent2" w:themeTint="99"/>
        </w:pBdr>
        <w:shd w:val="clear" w:color="auto" w:fill="FBE4D5" w:themeFill="accent2" w:themeFillTint="33"/>
        <w:spacing w:after="0"/>
        <w:rPr>
          <w:rFonts w:eastAsia="Times New Roman" w:cs="Calibri"/>
          <w:b/>
          <w:lang w:eastAsia="pl-PL"/>
        </w:rPr>
      </w:pPr>
      <w:r w:rsidRPr="00F21196">
        <w:rPr>
          <w:rFonts w:eastAsia="Times New Roman" w:cs="Calibri"/>
          <w:b/>
          <w:lang w:eastAsia="pl-PL"/>
        </w:rPr>
        <w:t>IV.</w:t>
      </w:r>
      <w:r w:rsidR="00532E89" w:rsidRPr="00F21196">
        <w:rPr>
          <w:rFonts w:eastAsia="Times New Roman" w:cs="Calibri"/>
          <w:b/>
          <w:lang w:eastAsia="pl-PL"/>
        </w:rPr>
        <w:t xml:space="preserve">5. </w:t>
      </w:r>
      <w:r w:rsidR="00F41029" w:rsidRPr="00F21196">
        <w:rPr>
          <w:rFonts w:eastAsia="Times New Roman" w:cs="Calibri"/>
          <w:b/>
          <w:sz w:val="24"/>
          <w:lang w:eastAsia="pl-PL"/>
        </w:rPr>
        <w:t xml:space="preserve">Wykaz projektów strategicznych </w:t>
      </w:r>
    </w:p>
    <w:p w14:paraId="62761556" w14:textId="77777777" w:rsidR="00512277" w:rsidRPr="005526C1" w:rsidRDefault="00512277" w:rsidP="000E63C1">
      <w:pPr>
        <w:pStyle w:val="Spistreci1"/>
      </w:pPr>
    </w:p>
    <w:tbl>
      <w:tblPr>
        <w:tblStyle w:val="Tabela-Siatka"/>
        <w:tblW w:w="9923" w:type="dxa"/>
        <w:tblInd w:w="-8" w:type="dxa"/>
        <w:tblBorders>
          <w:top w:val="single" w:sz="6" w:space="0" w:color="C45911" w:themeColor="accent2" w:themeShade="BF"/>
          <w:left w:val="single" w:sz="6" w:space="0" w:color="C45911" w:themeColor="accent2" w:themeShade="BF"/>
          <w:bottom w:val="single" w:sz="6" w:space="0" w:color="C45911" w:themeColor="accent2" w:themeShade="BF"/>
          <w:right w:val="single" w:sz="6" w:space="0" w:color="C45911" w:themeColor="accent2" w:themeShade="BF"/>
          <w:insideH w:val="single" w:sz="6" w:space="0" w:color="C45911" w:themeColor="accent2" w:themeShade="BF"/>
          <w:insideV w:val="single" w:sz="6" w:space="0" w:color="C45911" w:themeColor="accent2" w:themeShade="BF"/>
        </w:tblBorders>
        <w:tblLayout w:type="fixed"/>
        <w:tblLook w:val="04A0" w:firstRow="1" w:lastRow="0" w:firstColumn="1" w:lastColumn="0" w:noHBand="0" w:noVBand="1"/>
      </w:tblPr>
      <w:tblGrid>
        <w:gridCol w:w="2268"/>
        <w:gridCol w:w="1140"/>
        <w:gridCol w:w="1128"/>
        <w:gridCol w:w="3686"/>
        <w:gridCol w:w="1701"/>
      </w:tblGrid>
      <w:tr w:rsidR="00DC61CB" w:rsidRPr="00F21196" w14:paraId="4F58E6B1" w14:textId="5F81323D" w:rsidTr="00724576">
        <w:tc>
          <w:tcPr>
            <w:tcW w:w="2268" w:type="dxa"/>
            <w:shd w:val="clear" w:color="auto" w:fill="F7CAAC" w:themeFill="accent2" w:themeFillTint="66"/>
          </w:tcPr>
          <w:p w14:paraId="671D5F47" w14:textId="77777777" w:rsidR="00DC61CB" w:rsidRPr="00F21196" w:rsidRDefault="00DC61CB" w:rsidP="00FB223A">
            <w:pPr>
              <w:rPr>
                <w:rFonts w:eastAsia="Times New Roman" w:cs="Calibri"/>
                <w:b/>
                <w:sz w:val="18"/>
                <w:lang w:eastAsia="pl-PL"/>
              </w:rPr>
            </w:pPr>
            <w:r w:rsidRPr="00F21196">
              <w:rPr>
                <w:rFonts w:eastAsia="Times New Roman" w:cs="Calibri"/>
                <w:b/>
                <w:sz w:val="18"/>
                <w:lang w:eastAsia="pl-PL"/>
              </w:rPr>
              <w:t>Inicjatywa</w:t>
            </w:r>
          </w:p>
        </w:tc>
        <w:tc>
          <w:tcPr>
            <w:tcW w:w="1140" w:type="dxa"/>
            <w:shd w:val="clear" w:color="auto" w:fill="F7CAAC" w:themeFill="accent2" w:themeFillTint="66"/>
          </w:tcPr>
          <w:p w14:paraId="6CDD1B3B" w14:textId="77777777" w:rsidR="00DC61CB" w:rsidRPr="00F21196" w:rsidRDefault="00DC61CB" w:rsidP="00950145">
            <w:pPr>
              <w:ind w:left="-102" w:right="-108"/>
              <w:rPr>
                <w:rFonts w:eastAsia="Times New Roman" w:cs="Calibri"/>
                <w:b/>
                <w:sz w:val="18"/>
                <w:lang w:eastAsia="pl-PL"/>
              </w:rPr>
            </w:pPr>
            <w:r w:rsidRPr="00F21196">
              <w:rPr>
                <w:rFonts w:eastAsia="Times New Roman" w:cs="Calibri"/>
                <w:b/>
                <w:sz w:val="18"/>
                <w:lang w:eastAsia="pl-PL"/>
              </w:rPr>
              <w:t>Podmiot wiodący</w:t>
            </w:r>
          </w:p>
        </w:tc>
        <w:tc>
          <w:tcPr>
            <w:tcW w:w="1128" w:type="dxa"/>
            <w:shd w:val="clear" w:color="auto" w:fill="F7CAAC" w:themeFill="accent2" w:themeFillTint="66"/>
          </w:tcPr>
          <w:p w14:paraId="796A8A9C" w14:textId="77777777" w:rsidR="00DC61CB" w:rsidRPr="00F21196" w:rsidRDefault="00DC61CB" w:rsidP="00875453">
            <w:pPr>
              <w:rPr>
                <w:rFonts w:eastAsia="Times New Roman" w:cs="Calibri"/>
                <w:b/>
                <w:sz w:val="18"/>
                <w:lang w:eastAsia="pl-PL"/>
              </w:rPr>
            </w:pPr>
            <w:r w:rsidRPr="00F21196">
              <w:rPr>
                <w:rFonts w:eastAsia="Times New Roman" w:cs="Calibri"/>
                <w:b/>
                <w:sz w:val="18"/>
                <w:lang w:eastAsia="pl-PL"/>
              </w:rPr>
              <w:t>Planowany przedział czasowy na realizację</w:t>
            </w:r>
          </w:p>
        </w:tc>
        <w:tc>
          <w:tcPr>
            <w:tcW w:w="3686" w:type="dxa"/>
            <w:shd w:val="clear" w:color="auto" w:fill="F7CAAC" w:themeFill="accent2" w:themeFillTint="66"/>
          </w:tcPr>
          <w:p w14:paraId="07547D55" w14:textId="77777777" w:rsidR="00DC61CB" w:rsidRPr="00F21196" w:rsidRDefault="00DC61CB" w:rsidP="00875453">
            <w:pPr>
              <w:rPr>
                <w:rFonts w:eastAsia="Times New Roman" w:cs="Calibri"/>
                <w:b/>
                <w:sz w:val="18"/>
                <w:lang w:eastAsia="pl-PL"/>
              </w:rPr>
            </w:pPr>
            <w:r w:rsidRPr="00F21196">
              <w:rPr>
                <w:rFonts w:eastAsia="Times New Roman" w:cs="Calibri"/>
                <w:b/>
                <w:sz w:val="18"/>
                <w:lang w:eastAsia="pl-PL"/>
              </w:rPr>
              <w:t>Syntetyczny opis</w:t>
            </w:r>
          </w:p>
        </w:tc>
        <w:tc>
          <w:tcPr>
            <w:tcW w:w="1701" w:type="dxa"/>
            <w:shd w:val="clear" w:color="auto" w:fill="F7CAAC" w:themeFill="accent2" w:themeFillTint="66"/>
          </w:tcPr>
          <w:p w14:paraId="7A713855" w14:textId="5A4D4849" w:rsidR="00DC61CB" w:rsidRPr="00F21196" w:rsidRDefault="00DC61CB" w:rsidP="00875453">
            <w:pPr>
              <w:rPr>
                <w:rFonts w:eastAsia="Times New Roman" w:cs="Calibri"/>
                <w:b/>
                <w:sz w:val="18"/>
                <w:lang w:eastAsia="pl-PL"/>
              </w:rPr>
            </w:pPr>
            <w:r>
              <w:rPr>
                <w:rFonts w:eastAsia="Times New Roman" w:cs="Calibri"/>
                <w:b/>
                <w:sz w:val="18"/>
                <w:lang w:eastAsia="pl-PL"/>
              </w:rPr>
              <w:t>Kierunek interwencji</w:t>
            </w:r>
          </w:p>
        </w:tc>
      </w:tr>
      <w:tr w:rsidR="00DC61CB" w:rsidRPr="00F21196" w14:paraId="7D1199B3" w14:textId="689F4FCD" w:rsidTr="00724576">
        <w:tc>
          <w:tcPr>
            <w:tcW w:w="2268" w:type="dxa"/>
            <w:shd w:val="clear" w:color="auto" w:fill="auto"/>
          </w:tcPr>
          <w:p w14:paraId="21CBBA54" w14:textId="7E226103" w:rsidR="00DC61CB" w:rsidRPr="00BA39D4" w:rsidRDefault="00DC61CB" w:rsidP="00875453">
            <w:pPr>
              <w:rPr>
                <w:rFonts w:eastAsia="Times New Roman" w:cstheme="minorHAnsi"/>
                <w:b/>
                <w:bCs/>
                <w:sz w:val="18"/>
                <w:szCs w:val="18"/>
              </w:rPr>
            </w:pPr>
            <w:r w:rsidRPr="00BA39D4">
              <w:rPr>
                <w:rFonts w:eastAsia="Times New Roman" w:cstheme="minorHAnsi"/>
                <w:b/>
                <w:bCs/>
                <w:sz w:val="18"/>
                <w:szCs w:val="18"/>
              </w:rPr>
              <w:t>Reforma systemu budżetowego</w:t>
            </w:r>
          </w:p>
        </w:tc>
        <w:tc>
          <w:tcPr>
            <w:tcW w:w="1140" w:type="dxa"/>
            <w:shd w:val="clear" w:color="auto" w:fill="auto"/>
          </w:tcPr>
          <w:p w14:paraId="1FB7E895" w14:textId="3C7B6FA3" w:rsidR="00DC61CB" w:rsidRPr="00F21196" w:rsidRDefault="00DC61CB" w:rsidP="00977221">
            <w:pPr>
              <w:jc w:val="center"/>
              <w:rPr>
                <w:rFonts w:eastAsia="Times New Roman" w:cstheme="minorHAnsi"/>
                <w:sz w:val="20"/>
                <w:szCs w:val="20"/>
              </w:rPr>
            </w:pPr>
            <w:r w:rsidRPr="00F21196">
              <w:rPr>
                <w:rFonts w:eastAsia="Times New Roman" w:cstheme="minorHAnsi"/>
                <w:sz w:val="20"/>
                <w:szCs w:val="20"/>
              </w:rPr>
              <w:t>MF</w:t>
            </w:r>
          </w:p>
        </w:tc>
        <w:tc>
          <w:tcPr>
            <w:tcW w:w="1128" w:type="dxa"/>
          </w:tcPr>
          <w:p w14:paraId="6D625B37" w14:textId="77777777" w:rsidR="00DC61CB" w:rsidRPr="00F21196" w:rsidRDefault="00DC61CB" w:rsidP="00875453">
            <w:pPr>
              <w:rPr>
                <w:rFonts w:cstheme="minorHAnsi"/>
                <w:sz w:val="18"/>
                <w:szCs w:val="20"/>
              </w:rPr>
            </w:pPr>
            <w:r w:rsidRPr="00F21196">
              <w:rPr>
                <w:rFonts w:cstheme="minorHAnsi"/>
                <w:sz w:val="18"/>
                <w:szCs w:val="20"/>
              </w:rPr>
              <w:t>2016-2020</w:t>
            </w:r>
          </w:p>
        </w:tc>
        <w:tc>
          <w:tcPr>
            <w:tcW w:w="3686" w:type="dxa"/>
          </w:tcPr>
          <w:p w14:paraId="71524AEF" w14:textId="77777777" w:rsidR="00DC61CB" w:rsidRPr="00F21196" w:rsidRDefault="00DC61CB" w:rsidP="00842301">
            <w:pPr>
              <w:jc w:val="both"/>
              <w:rPr>
                <w:rFonts w:eastAsia="Calibri" w:cs="Calibri"/>
                <w:sz w:val="18"/>
                <w:szCs w:val="18"/>
              </w:rPr>
            </w:pPr>
            <w:r w:rsidRPr="00F21196">
              <w:rPr>
                <w:rFonts w:eastAsia="Calibri" w:cs="Calibri"/>
                <w:sz w:val="18"/>
                <w:szCs w:val="18"/>
              </w:rPr>
              <w:t>Projekt ma na celu</w:t>
            </w:r>
            <w:r w:rsidRPr="00F21196" w:rsidDel="00500F34">
              <w:rPr>
                <w:rFonts w:eastAsia="Calibri" w:cs="Calibri"/>
                <w:sz w:val="18"/>
                <w:szCs w:val="18"/>
              </w:rPr>
              <w:t xml:space="preserve"> </w:t>
            </w:r>
            <w:r w:rsidRPr="00F21196">
              <w:rPr>
                <w:rFonts w:eastAsia="Calibri" w:cs="Calibri"/>
                <w:sz w:val="18"/>
                <w:szCs w:val="18"/>
              </w:rPr>
              <w:t>zwiększenie efektywności zarządzania dochodami i wydatkami budżetu państwa. W ramach projektu zostanie przygotowana analiza stanu obecnego w niezbędnych obszarach oraz zostanie określony stan docelowy, a także koncepcja wdrożenia nowego systemu budżetowego. Zostaną również przygotowane niezbędne projekty ustaw i rozporządzeń. W efekcie realizacji projektu, nowy system budżetowy, który będzie wdrażany w drugim etapie projektu, będzie wspierał efektywną alokację środków publicznych.</w:t>
            </w:r>
          </w:p>
        </w:tc>
        <w:tc>
          <w:tcPr>
            <w:tcW w:w="1701" w:type="dxa"/>
          </w:tcPr>
          <w:p w14:paraId="135537D8" w14:textId="1B365AE2" w:rsidR="00AA5390" w:rsidRPr="00DA1E51" w:rsidRDefault="00AA5390" w:rsidP="00AA5390">
            <w:pPr>
              <w:ind w:left="34" w:hanging="34"/>
              <w:rPr>
                <w:sz w:val="18"/>
              </w:rPr>
            </w:pPr>
            <w:r w:rsidRPr="00DA1E51">
              <w:rPr>
                <w:sz w:val="18"/>
              </w:rPr>
              <w:t>2. Nowy system budżetowy wspierający osiąganie celów strategicznych i priorytetów rozwojowych w perspektywie wieloletniej.</w:t>
            </w:r>
          </w:p>
          <w:p w14:paraId="42C55D24" w14:textId="61263F3F" w:rsidR="00DC61CB" w:rsidRPr="00DC61CB" w:rsidRDefault="00DC61CB" w:rsidP="00DC61CB">
            <w:pPr>
              <w:rPr>
                <w:rFonts w:eastAsia="Calibri" w:cs="Calibri"/>
                <w:sz w:val="18"/>
                <w:szCs w:val="18"/>
              </w:rPr>
            </w:pPr>
          </w:p>
        </w:tc>
      </w:tr>
      <w:tr w:rsidR="00DC61CB" w:rsidRPr="00F21196" w14:paraId="5DEBB908" w14:textId="2892F69C" w:rsidTr="00851181">
        <w:trPr>
          <w:trHeight w:val="2821"/>
        </w:trPr>
        <w:tc>
          <w:tcPr>
            <w:tcW w:w="2268" w:type="dxa"/>
            <w:shd w:val="clear" w:color="auto" w:fill="auto"/>
          </w:tcPr>
          <w:p w14:paraId="27425101" w14:textId="77777777" w:rsidR="00DC61CB" w:rsidRPr="00BA39D4" w:rsidRDefault="00DC61CB" w:rsidP="00875453">
            <w:pPr>
              <w:rPr>
                <w:rFonts w:eastAsia="Times New Roman" w:cstheme="minorHAnsi"/>
                <w:b/>
                <w:bCs/>
                <w:sz w:val="18"/>
                <w:szCs w:val="18"/>
              </w:rPr>
            </w:pPr>
            <w:r w:rsidRPr="00BA39D4">
              <w:rPr>
                <w:rFonts w:eastAsia="Times New Roman" w:cs="Calibri"/>
                <w:b/>
                <w:bCs/>
                <w:sz w:val="18"/>
                <w:szCs w:val="18"/>
                <w:lang w:eastAsia="pl-PL"/>
              </w:rPr>
              <w:t>Racjonalny system fina</w:t>
            </w:r>
            <w:r>
              <w:rPr>
                <w:rFonts w:eastAsia="Times New Roman" w:cs="Calibri"/>
                <w:b/>
                <w:bCs/>
                <w:sz w:val="18"/>
                <w:szCs w:val="18"/>
                <w:lang w:eastAsia="pl-PL"/>
              </w:rPr>
              <w:t>n</w:t>
            </w:r>
            <w:r w:rsidRPr="00BA39D4">
              <w:rPr>
                <w:rFonts w:eastAsia="Times New Roman" w:cs="Calibri"/>
                <w:b/>
                <w:bCs/>
                <w:sz w:val="18"/>
                <w:szCs w:val="18"/>
                <w:lang w:eastAsia="pl-PL"/>
              </w:rPr>
              <w:t>sowania JST</w:t>
            </w:r>
          </w:p>
        </w:tc>
        <w:tc>
          <w:tcPr>
            <w:tcW w:w="1140" w:type="dxa"/>
            <w:shd w:val="clear" w:color="auto" w:fill="auto"/>
          </w:tcPr>
          <w:p w14:paraId="362A5946" w14:textId="6676A238" w:rsidR="00DC61CB" w:rsidRPr="00F21196" w:rsidRDefault="00DC61CB" w:rsidP="00977221">
            <w:pPr>
              <w:jc w:val="center"/>
              <w:rPr>
                <w:rFonts w:eastAsia="Times New Roman" w:cstheme="minorHAnsi"/>
                <w:sz w:val="20"/>
                <w:szCs w:val="20"/>
              </w:rPr>
            </w:pPr>
            <w:r w:rsidRPr="00F21196">
              <w:rPr>
                <w:rFonts w:eastAsia="Times New Roman" w:cstheme="minorHAnsi"/>
                <w:sz w:val="20"/>
                <w:szCs w:val="20"/>
              </w:rPr>
              <w:t>MF</w:t>
            </w:r>
          </w:p>
        </w:tc>
        <w:tc>
          <w:tcPr>
            <w:tcW w:w="1128" w:type="dxa"/>
          </w:tcPr>
          <w:p w14:paraId="11AF97F7" w14:textId="77777777" w:rsidR="00DC61CB" w:rsidRPr="00F21196" w:rsidRDefault="00DC61CB" w:rsidP="00573AEF">
            <w:pPr>
              <w:rPr>
                <w:rFonts w:cstheme="minorHAnsi"/>
                <w:sz w:val="18"/>
                <w:szCs w:val="20"/>
              </w:rPr>
            </w:pPr>
            <w:r>
              <w:rPr>
                <w:rFonts w:cstheme="minorHAnsi"/>
                <w:sz w:val="18"/>
                <w:szCs w:val="20"/>
              </w:rPr>
              <w:t>od 2017</w:t>
            </w:r>
          </w:p>
        </w:tc>
        <w:tc>
          <w:tcPr>
            <w:tcW w:w="3686" w:type="dxa"/>
          </w:tcPr>
          <w:p w14:paraId="1865A7CA" w14:textId="77777777" w:rsidR="00DC61CB" w:rsidRPr="00F21196" w:rsidRDefault="00DC61CB" w:rsidP="00C3345E">
            <w:pPr>
              <w:autoSpaceDE w:val="0"/>
              <w:autoSpaceDN w:val="0"/>
              <w:adjustRightInd w:val="0"/>
              <w:rPr>
                <w:rFonts w:cs="Calibri"/>
                <w:sz w:val="18"/>
                <w:szCs w:val="18"/>
              </w:rPr>
            </w:pPr>
            <w:r w:rsidRPr="00F21196">
              <w:rPr>
                <w:rFonts w:cs="Calibri"/>
                <w:sz w:val="18"/>
                <w:szCs w:val="18"/>
              </w:rPr>
              <w:t>Główne kierunki zmian</w:t>
            </w:r>
            <w:r>
              <w:rPr>
                <w:rFonts w:cs="Calibri"/>
                <w:sz w:val="18"/>
                <w:szCs w:val="18"/>
              </w:rPr>
              <w:t>y</w:t>
            </w:r>
            <w:r w:rsidRPr="00F21196">
              <w:rPr>
                <w:rFonts w:cs="Calibri"/>
                <w:sz w:val="18"/>
                <w:szCs w:val="18"/>
              </w:rPr>
              <w:t xml:space="preserve"> </w:t>
            </w:r>
            <w:r w:rsidRPr="00F21196">
              <w:rPr>
                <w:rFonts w:cs="Calibri,Italic"/>
                <w:i/>
                <w:iCs/>
                <w:sz w:val="18"/>
                <w:szCs w:val="18"/>
              </w:rPr>
              <w:t xml:space="preserve">ustaw o dochodach JST </w:t>
            </w:r>
            <w:r w:rsidRPr="00F21196">
              <w:rPr>
                <w:rFonts w:cs="Calibri"/>
                <w:sz w:val="18"/>
                <w:szCs w:val="18"/>
              </w:rPr>
              <w:t>i innych właściwych ustaw i aktów prawnych dotyczyć będą:</w:t>
            </w:r>
          </w:p>
          <w:p w14:paraId="0EE2A7AF" w14:textId="77777777" w:rsidR="00DC61CB" w:rsidRPr="00F21196" w:rsidRDefault="00DC61CB" w:rsidP="00C3345E">
            <w:pPr>
              <w:autoSpaceDE w:val="0"/>
              <w:autoSpaceDN w:val="0"/>
              <w:adjustRightInd w:val="0"/>
              <w:rPr>
                <w:rFonts w:cs="Calibri"/>
                <w:sz w:val="18"/>
                <w:szCs w:val="18"/>
              </w:rPr>
            </w:pPr>
            <w:r w:rsidRPr="00F21196">
              <w:rPr>
                <w:rFonts w:cs="Calibri"/>
                <w:sz w:val="18"/>
                <w:szCs w:val="18"/>
              </w:rPr>
              <w:t>– zwiększenia zróżnicowania źródeł dochodów własnych w finansowaniu działalności JST, tak aby zachęcić JST do bardziej racjonalnego gospodarowania środkami publicznymi;</w:t>
            </w:r>
          </w:p>
          <w:p w14:paraId="28479A00" w14:textId="77777777" w:rsidR="00DC61CB" w:rsidRPr="00F21196" w:rsidRDefault="00DC61CB" w:rsidP="00C3345E">
            <w:pPr>
              <w:autoSpaceDE w:val="0"/>
              <w:autoSpaceDN w:val="0"/>
              <w:adjustRightInd w:val="0"/>
              <w:rPr>
                <w:rFonts w:eastAsia="Calibri" w:cs="Calibri"/>
                <w:sz w:val="20"/>
                <w:szCs w:val="20"/>
              </w:rPr>
            </w:pPr>
            <w:r w:rsidRPr="00F21196">
              <w:rPr>
                <w:rFonts w:cs="Calibri"/>
                <w:sz w:val="18"/>
                <w:szCs w:val="18"/>
              </w:rPr>
              <w:t>– powiązania zmian w algorytmie mechanizmu korekcyjno-wyrównawczego z potrzebami wydatkowymi JST oraz ich potencjałem dochodowym; zmiany te będą sprzyjać realizacji celów polityki regionalnej.</w:t>
            </w:r>
          </w:p>
        </w:tc>
        <w:tc>
          <w:tcPr>
            <w:tcW w:w="1701" w:type="dxa"/>
            <w:shd w:val="clear" w:color="auto" w:fill="auto"/>
          </w:tcPr>
          <w:p w14:paraId="290B91EB" w14:textId="32FBF19B" w:rsidR="00DC61CB" w:rsidRPr="00DC61CB" w:rsidRDefault="00DC61CB" w:rsidP="00C3345E">
            <w:pPr>
              <w:jc w:val="both"/>
              <w:rPr>
                <w:rFonts w:cs="Calibri"/>
                <w:sz w:val="18"/>
                <w:szCs w:val="18"/>
              </w:rPr>
            </w:pPr>
            <w:r w:rsidRPr="00851181">
              <w:rPr>
                <w:rFonts w:eastAsia="Times New Roman" w:cs="Calibri"/>
                <w:sz w:val="18"/>
              </w:rPr>
              <w:t>5.</w:t>
            </w:r>
            <w:r w:rsidRPr="00DC61CB">
              <w:rPr>
                <w:rFonts w:eastAsia="Times New Roman" w:cs="Calibri"/>
                <w:sz w:val="18"/>
              </w:rPr>
              <w:t xml:space="preserve">  Reforma systemu finansowania jednostek samorządu terytorialnego w celu powiązania go </w:t>
            </w:r>
            <w:r w:rsidRPr="00DC61CB">
              <w:rPr>
                <w:rFonts w:eastAsia="Times New Roman" w:cs="Calibri"/>
                <w:sz w:val="18"/>
              </w:rPr>
              <w:br/>
              <w:t>z ich potrzebami wydatkowymi</w:t>
            </w:r>
          </w:p>
        </w:tc>
      </w:tr>
      <w:tr w:rsidR="00DC61CB" w:rsidRPr="00F21196" w14:paraId="2137F588" w14:textId="3BE9B6A5" w:rsidTr="00724576">
        <w:tc>
          <w:tcPr>
            <w:tcW w:w="2268" w:type="dxa"/>
            <w:shd w:val="clear" w:color="auto" w:fill="auto"/>
          </w:tcPr>
          <w:p w14:paraId="3726493D" w14:textId="77777777" w:rsidR="00DC61CB" w:rsidRPr="00BA39D4" w:rsidRDefault="00DC61CB" w:rsidP="00875453">
            <w:pPr>
              <w:rPr>
                <w:rFonts w:eastAsia="Times New Roman" w:cstheme="minorHAnsi"/>
                <w:b/>
                <w:bCs/>
                <w:sz w:val="18"/>
                <w:szCs w:val="18"/>
              </w:rPr>
            </w:pPr>
            <w:r w:rsidRPr="00BA39D4">
              <w:rPr>
                <w:rFonts w:eastAsia="Times New Roman" w:cs="Calibri"/>
                <w:b/>
                <w:bCs/>
                <w:sz w:val="18"/>
                <w:szCs w:val="18"/>
                <w:lang w:eastAsia="pl-PL"/>
              </w:rPr>
              <w:t>Efektywne fundusze</w:t>
            </w:r>
          </w:p>
        </w:tc>
        <w:tc>
          <w:tcPr>
            <w:tcW w:w="1140" w:type="dxa"/>
            <w:shd w:val="clear" w:color="auto" w:fill="auto"/>
          </w:tcPr>
          <w:p w14:paraId="52D48120" w14:textId="6A652917" w:rsidR="00DC61CB" w:rsidRPr="00F21196" w:rsidRDefault="00DC61CB" w:rsidP="00E9243F">
            <w:pPr>
              <w:jc w:val="center"/>
              <w:rPr>
                <w:rFonts w:eastAsia="Times New Roman" w:cstheme="minorHAnsi"/>
                <w:sz w:val="20"/>
                <w:szCs w:val="20"/>
              </w:rPr>
            </w:pPr>
            <w:r w:rsidRPr="00F21196">
              <w:rPr>
                <w:rFonts w:eastAsia="Times New Roman" w:cstheme="minorHAnsi"/>
                <w:sz w:val="20"/>
                <w:szCs w:val="20"/>
              </w:rPr>
              <w:t>M</w:t>
            </w:r>
            <w:r w:rsidR="00ED7169">
              <w:rPr>
                <w:rFonts w:eastAsia="Times New Roman" w:cstheme="minorHAnsi"/>
                <w:sz w:val="20"/>
                <w:szCs w:val="20"/>
              </w:rPr>
              <w:t>F</w:t>
            </w:r>
          </w:p>
        </w:tc>
        <w:tc>
          <w:tcPr>
            <w:tcW w:w="1128" w:type="dxa"/>
          </w:tcPr>
          <w:p w14:paraId="3D6A8BE8" w14:textId="77777777" w:rsidR="00DC61CB" w:rsidRPr="00F21196" w:rsidRDefault="00DC61CB" w:rsidP="00D53A5B">
            <w:pPr>
              <w:rPr>
                <w:rFonts w:cstheme="minorHAnsi"/>
                <w:sz w:val="18"/>
                <w:szCs w:val="20"/>
              </w:rPr>
            </w:pPr>
            <w:r w:rsidRPr="00F21196">
              <w:rPr>
                <w:rFonts w:cstheme="minorHAnsi"/>
                <w:sz w:val="18"/>
                <w:szCs w:val="20"/>
              </w:rPr>
              <w:t>od 2016</w:t>
            </w:r>
          </w:p>
        </w:tc>
        <w:tc>
          <w:tcPr>
            <w:tcW w:w="3686" w:type="dxa"/>
          </w:tcPr>
          <w:p w14:paraId="3B86109C" w14:textId="77777777" w:rsidR="00DC61CB" w:rsidRPr="00F21196" w:rsidRDefault="00DC61CB" w:rsidP="00842301">
            <w:pPr>
              <w:autoSpaceDE w:val="0"/>
              <w:autoSpaceDN w:val="0"/>
              <w:adjustRightInd w:val="0"/>
              <w:jc w:val="both"/>
              <w:rPr>
                <w:rFonts w:eastAsia="Calibri" w:cs="Calibri"/>
                <w:sz w:val="20"/>
                <w:szCs w:val="20"/>
              </w:rPr>
            </w:pPr>
            <w:r w:rsidRPr="00F21196">
              <w:rPr>
                <w:rFonts w:cs="Calibri"/>
                <w:sz w:val="18"/>
                <w:szCs w:val="21"/>
              </w:rPr>
              <w:t xml:space="preserve">Kompleksowy projekt obejmujący zmiany niezbędne dla zwiększenia efektywności, komplementarności oraz uproszczenia w zakresie wydatkowania środków z EFSI. </w:t>
            </w:r>
          </w:p>
        </w:tc>
        <w:tc>
          <w:tcPr>
            <w:tcW w:w="1701" w:type="dxa"/>
            <w:tcBorders>
              <w:bottom w:val="single" w:sz="6" w:space="0" w:color="C45911" w:themeColor="accent2" w:themeShade="BF"/>
            </w:tcBorders>
            <w:shd w:val="clear" w:color="auto" w:fill="auto"/>
          </w:tcPr>
          <w:p w14:paraId="10109C5B" w14:textId="1D4AD079" w:rsidR="00DC61CB" w:rsidRPr="00DC61CB" w:rsidRDefault="00DC61CB" w:rsidP="00851181">
            <w:pPr>
              <w:rPr>
                <w:rFonts w:cs="Calibri"/>
                <w:i/>
                <w:sz w:val="18"/>
                <w:szCs w:val="21"/>
              </w:rPr>
            </w:pPr>
            <w:r w:rsidRPr="00851181">
              <w:rPr>
                <w:rFonts w:cs="Arial"/>
                <w:sz w:val="18"/>
              </w:rPr>
              <w:t>6.</w:t>
            </w:r>
            <w:r w:rsidRPr="00C3345E">
              <w:rPr>
                <w:rFonts w:cs="Arial"/>
                <w:sz w:val="18"/>
              </w:rPr>
              <w:t xml:space="preserve">  Zwiększenie efektywności wykorzystania środków </w:t>
            </w:r>
            <w:r w:rsidRPr="00DA1E51">
              <w:rPr>
                <w:rFonts w:cs="Arial"/>
                <w:sz w:val="14"/>
              </w:rPr>
              <w:t>UE</w:t>
            </w:r>
            <w:r w:rsidR="00DA1E51" w:rsidRPr="00DA1E51">
              <w:rPr>
                <w:sz w:val="18"/>
              </w:rPr>
              <w:t xml:space="preserve"> oraz międzynarodowych instytucji finansowych</w:t>
            </w:r>
            <w:r w:rsidRPr="00DA1E51">
              <w:rPr>
                <w:rFonts w:cs="Arial"/>
                <w:sz w:val="14"/>
              </w:rPr>
              <w:t xml:space="preserve"> </w:t>
            </w:r>
            <w:r w:rsidRPr="00C3345E">
              <w:rPr>
                <w:rFonts w:cs="Arial"/>
                <w:sz w:val="18"/>
              </w:rPr>
              <w:t>dostępnych w ramach różnych źródeł krajowych i zewnętrznych na rzecz innowacyjności, konkurencyjności i zrównoważonego rozwoju</w:t>
            </w:r>
            <w:r w:rsidRPr="00DC61CB">
              <w:rPr>
                <w:rFonts w:cs="Arial"/>
                <w:sz w:val="18"/>
              </w:rPr>
              <w:t>.</w:t>
            </w:r>
          </w:p>
        </w:tc>
      </w:tr>
      <w:tr w:rsidR="00DC61CB" w:rsidRPr="00F21196" w14:paraId="317FA3FF" w14:textId="684AFC50" w:rsidTr="00724576">
        <w:tc>
          <w:tcPr>
            <w:tcW w:w="2268" w:type="dxa"/>
            <w:shd w:val="clear" w:color="auto" w:fill="auto"/>
          </w:tcPr>
          <w:p w14:paraId="7AD33978" w14:textId="77777777" w:rsidR="00DC61CB" w:rsidRPr="00BA39D4" w:rsidRDefault="00DC61CB" w:rsidP="00875453">
            <w:pPr>
              <w:rPr>
                <w:rFonts w:eastAsia="Times New Roman" w:cstheme="minorHAnsi"/>
                <w:b/>
                <w:bCs/>
                <w:sz w:val="18"/>
                <w:szCs w:val="18"/>
              </w:rPr>
            </w:pPr>
            <w:r w:rsidRPr="00BA39D4">
              <w:rPr>
                <w:rFonts w:eastAsia="Times New Roman" w:cs="Calibri"/>
                <w:b/>
                <w:bCs/>
                <w:sz w:val="18"/>
                <w:szCs w:val="18"/>
                <w:lang w:eastAsia="pl-PL"/>
              </w:rPr>
              <w:t>System wsparcia i koordynacji udziału polskich podmiotów w programach zarządzanych centralnie przez KE</w:t>
            </w:r>
          </w:p>
        </w:tc>
        <w:tc>
          <w:tcPr>
            <w:tcW w:w="1140" w:type="dxa"/>
            <w:shd w:val="clear" w:color="auto" w:fill="auto"/>
          </w:tcPr>
          <w:p w14:paraId="1450B359" w14:textId="6C81AEEF" w:rsidR="00DC61CB" w:rsidRPr="00F21196" w:rsidRDefault="00DC61CB" w:rsidP="00977221">
            <w:pPr>
              <w:jc w:val="center"/>
              <w:rPr>
                <w:rFonts w:eastAsia="Times New Roman" w:cstheme="minorHAnsi"/>
                <w:sz w:val="20"/>
                <w:szCs w:val="20"/>
              </w:rPr>
            </w:pPr>
            <w:r w:rsidRPr="00F21196">
              <w:rPr>
                <w:rFonts w:eastAsia="Times New Roman" w:cstheme="minorHAnsi"/>
                <w:sz w:val="20"/>
                <w:szCs w:val="20"/>
              </w:rPr>
              <w:t>M</w:t>
            </w:r>
            <w:r>
              <w:rPr>
                <w:rFonts w:eastAsia="Times New Roman" w:cstheme="minorHAnsi"/>
                <w:sz w:val="20"/>
                <w:szCs w:val="20"/>
              </w:rPr>
              <w:t>FiPR</w:t>
            </w:r>
          </w:p>
        </w:tc>
        <w:tc>
          <w:tcPr>
            <w:tcW w:w="1128" w:type="dxa"/>
          </w:tcPr>
          <w:p w14:paraId="76FD0F75" w14:textId="77777777" w:rsidR="00DC61CB" w:rsidRPr="00F21196" w:rsidRDefault="00DC61CB" w:rsidP="00D53A5B">
            <w:pPr>
              <w:rPr>
                <w:rFonts w:eastAsia="Times New Roman" w:cs="Calibri"/>
                <w:sz w:val="18"/>
                <w:szCs w:val="20"/>
                <w:lang w:eastAsia="pl-PL"/>
              </w:rPr>
            </w:pPr>
            <w:r w:rsidRPr="00F21196">
              <w:rPr>
                <w:rFonts w:eastAsia="Times New Roman" w:cs="Calibri"/>
                <w:sz w:val="18"/>
                <w:szCs w:val="20"/>
                <w:lang w:eastAsia="pl-PL"/>
              </w:rPr>
              <w:t>I faza: 2017-2023</w:t>
            </w:r>
          </w:p>
          <w:p w14:paraId="6546E932" w14:textId="77777777" w:rsidR="00DC61CB" w:rsidRPr="00F21196" w:rsidRDefault="00DC61CB" w:rsidP="00D53A5B">
            <w:pPr>
              <w:rPr>
                <w:rFonts w:cstheme="minorHAnsi"/>
                <w:sz w:val="18"/>
                <w:szCs w:val="20"/>
              </w:rPr>
            </w:pPr>
            <w:r w:rsidRPr="00F21196">
              <w:rPr>
                <w:rFonts w:eastAsia="Times New Roman" w:cs="Calibri"/>
                <w:sz w:val="18"/>
                <w:szCs w:val="20"/>
                <w:lang w:eastAsia="pl-PL"/>
              </w:rPr>
              <w:t>II faza: po 2020</w:t>
            </w:r>
          </w:p>
        </w:tc>
        <w:tc>
          <w:tcPr>
            <w:tcW w:w="3686" w:type="dxa"/>
          </w:tcPr>
          <w:p w14:paraId="6C6D205E" w14:textId="77777777" w:rsidR="00DC61CB" w:rsidRPr="00F21196" w:rsidRDefault="00DC61CB" w:rsidP="00842301">
            <w:pPr>
              <w:autoSpaceDE w:val="0"/>
              <w:autoSpaceDN w:val="0"/>
              <w:adjustRightInd w:val="0"/>
              <w:jc w:val="both"/>
              <w:rPr>
                <w:rFonts w:eastAsia="Calibri" w:cs="Calibri"/>
                <w:sz w:val="20"/>
                <w:szCs w:val="20"/>
              </w:rPr>
            </w:pPr>
            <w:r w:rsidRPr="00F21196">
              <w:rPr>
                <w:rFonts w:cs="Calibri"/>
                <w:sz w:val="18"/>
                <w:szCs w:val="21"/>
              </w:rPr>
              <w:t>Celem projektu jest zwiększenie udziału polskich przedsięwzięć w wartości ww. programów poprzez zaangażowanie polskich podmiotów w procesy związane z opracowywaniem ww. programów, stworzenie systemu koordynacji i wsparcia w zakresie korzystania przez stronę polską z ww. programów, wykorzystanie środków EFSI na rzecz podnoszenia potencjału polskich podmiotów aplikujących o środki z ww. programów, określenie kompleksowej wizji potrzeb i planu ubiegania się o ww. środki oraz wdrożenie systemu wsparcia dla wnioskodawców.</w:t>
            </w:r>
          </w:p>
        </w:tc>
        <w:tc>
          <w:tcPr>
            <w:tcW w:w="1701" w:type="dxa"/>
            <w:shd w:val="clear" w:color="auto" w:fill="auto"/>
          </w:tcPr>
          <w:p w14:paraId="1FBE7E2D" w14:textId="3F96F53C" w:rsidR="00DC61CB" w:rsidRPr="00DC61CB" w:rsidRDefault="00DA1E51" w:rsidP="00851181">
            <w:pPr>
              <w:rPr>
                <w:rFonts w:cs="Calibri"/>
                <w:i/>
                <w:sz w:val="18"/>
                <w:szCs w:val="21"/>
              </w:rPr>
            </w:pPr>
            <w:r w:rsidRPr="00851181">
              <w:rPr>
                <w:rFonts w:cs="Arial"/>
                <w:sz w:val="18"/>
              </w:rPr>
              <w:t>6.</w:t>
            </w:r>
            <w:r w:rsidRPr="00C3345E">
              <w:rPr>
                <w:rFonts w:cs="Arial"/>
                <w:sz w:val="18"/>
              </w:rPr>
              <w:t xml:space="preserve">  Zwiększenie efektywności wykorzystania środków </w:t>
            </w:r>
            <w:r w:rsidRPr="00DA1E51">
              <w:rPr>
                <w:rFonts w:cs="Arial"/>
                <w:sz w:val="14"/>
              </w:rPr>
              <w:t>UE</w:t>
            </w:r>
            <w:r w:rsidRPr="00DA1E51">
              <w:rPr>
                <w:sz w:val="18"/>
              </w:rPr>
              <w:t xml:space="preserve"> oraz międzynarodowych instytucji finansowych</w:t>
            </w:r>
            <w:r w:rsidRPr="00DA1E51">
              <w:rPr>
                <w:rFonts w:cs="Arial"/>
                <w:sz w:val="14"/>
              </w:rPr>
              <w:t xml:space="preserve"> </w:t>
            </w:r>
            <w:r w:rsidRPr="00C3345E">
              <w:rPr>
                <w:rFonts w:cs="Arial"/>
                <w:sz w:val="18"/>
              </w:rPr>
              <w:t>dostępnych w ramach różnych źródeł krajowych i zewnętrznych na rzecz innowacyjności, konkurencyjności i zrównoważonego rozwoju</w:t>
            </w:r>
            <w:r w:rsidRPr="00DC61CB">
              <w:rPr>
                <w:rFonts w:cs="Arial"/>
                <w:sz w:val="18"/>
              </w:rPr>
              <w:t>.</w:t>
            </w:r>
          </w:p>
        </w:tc>
      </w:tr>
      <w:tr w:rsidR="00DC61CB" w:rsidRPr="00F21196" w14:paraId="091184FD" w14:textId="69FB5A83" w:rsidTr="00724576">
        <w:tc>
          <w:tcPr>
            <w:tcW w:w="2268" w:type="dxa"/>
            <w:shd w:val="clear" w:color="auto" w:fill="auto"/>
          </w:tcPr>
          <w:p w14:paraId="08C32C35" w14:textId="77777777" w:rsidR="00DC61CB" w:rsidRPr="00BA39D4" w:rsidRDefault="00DC61CB" w:rsidP="00875453">
            <w:pPr>
              <w:rPr>
                <w:rFonts w:eastAsia="Times New Roman" w:cs="Calibri"/>
                <w:b/>
                <w:bCs/>
                <w:sz w:val="18"/>
                <w:szCs w:val="18"/>
                <w:lang w:eastAsia="pl-PL"/>
              </w:rPr>
            </w:pPr>
            <w:r w:rsidRPr="00BA39D4">
              <w:rPr>
                <w:rFonts w:eastAsia="Times New Roman" w:cs="Calibri"/>
                <w:b/>
                <w:bCs/>
                <w:sz w:val="18"/>
                <w:szCs w:val="18"/>
                <w:lang w:eastAsia="pl-PL"/>
              </w:rPr>
              <w:t>Zintegrowany system inwestycji rozwojowych po roku 2020</w:t>
            </w:r>
          </w:p>
        </w:tc>
        <w:tc>
          <w:tcPr>
            <w:tcW w:w="1140" w:type="dxa"/>
            <w:shd w:val="clear" w:color="auto" w:fill="auto"/>
          </w:tcPr>
          <w:p w14:paraId="42839411" w14:textId="4620F4F8" w:rsidR="00DC61CB" w:rsidRPr="00F21196" w:rsidRDefault="00DC61CB" w:rsidP="00977221">
            <w:pPr>
              <w:jc w:val="center"/>
              <w:rPr>
                <w:rFonts w:eastAsia="Times New Roman" w:cstheme="minorHAnsi"/>
                <w:sz w:val="18"/>
                <w:szCs w:val="20"/>
              </w:rPr>
            </w:pPr>
            <w:r w:rsidRPr="00F21196">
              <w:rPr>
                <w:rFonts w:eastAsia="Times New Roman" w:cstheme="minorHAnsi"/>
                <w:sz w:val="20"/>
                <w:szCs w:val="20"/>
              </w:rPr>
              <w:t>M</w:t>
            </w:r>
            <w:r>
              <w:rPr>
                <w:rFonts w:eastAsia="Times New Roman" w:cstheme="minorHAnsi"/>
                <w:sz w:val="20"/>
                <w:szCs w:val="20"/>
              </w:rPr>
              <w:t>FiPR</w:t>
            </w:r>
          </w:p>
        </w:tc>
        <w:tc>
          <w:tcPr>
            <w:tcW w:w="1128" w:type="dxa"/>
          </w:tcPr>
          <w:p w14:paraId="4CD42D76" w14:textId="77777777" w:rsidR="00DC61CB" w:rsidRPr="00F21196" w:rsidRDefault="00DC61CB" w:rsidP="00875453">
            <w:pPr>
              <w:rPr>
                <w:rFonts w:cstheme="minorHAnsi"/>
                <w:sz w:val="18"/>
                <w:szCs w:val="20"/>
              </w:rPr>
            </w:pPr>
            <w:r w:rsidRPr="00F21196">
              <w:rPr>
                <w:rFonts w:cstheme="minorHAnsi"/>
                <w:sz w:val="18"/>
                <w:szCs w:val="20"/>
              </w:rPr>
              <w:t>od 2018</w:t>
            </w:r>
          </w:p>
        </w:tc>
        <w:tc>
          <w:tcPr>
            <w:tcW w:w="3686" w:type="dxa"/>
          </w:tcPr>
          <w:p w14:paraId="02E0E72E" w14:textId="77777777" w:rsidR="00DC61CB" w:rsidRPr="00F21196" w:rsidRDefault="00DC61CB" w:rsidP="00842301">
            <w:pPr>
              <w:autoSpaceDE w:val="0"/>
              <w:autoSpaceDN w:val="0"/>
              <w:adjustRightInd w:val="0"/>
              <w:jc w:val="both"/>
              <w:rPr>
                <w:rFonts w:eastAsia="Calibri" w:cs="Calibri"/>
                <w:sz w:val="20"/>
                <w:szCs w:val="20"/>
              </w:rPr>
            </w:pPr>
            <w:r w:rsidRPr="00F21196">
              <w:rPr>
                <w:rFonts w:cs="Calibri"/>
                <w:sz w:val="18"/>
                <w:szCs w:val="21"/>
              </w:rPr>
              <w:t>Określający sposób koordynacji i wykorzystania przez Polskę środków w ramach różnych dostępnych instrumentów zewnętrznych i krajowych.</w:t>
            </w:r>
          </w:p>
        </w:tc>
        <w:tc>
          <w:tcPr>
            <w:tcW w:w="1701" w:type="dxa"/>
          </w:tcPr>
          <w:p w14:paraId="6ACC4F72" w14:textId="049768AA" w:rsidR="00DC61CB" w:rsidRPr="00C3345E" w:rsidRDefault="00DA1E51" w:rsidP="00851181">
            <w:pPr>
              <w:rPr>
                <w:rFonts w:cs="Calibri"/>
                <w:sz w:val="18"/>
                <w:szCs w:val="18"/>
              </w:rPr>
            </w:pPr>
            <w:r w:rsidRPr="00851181">
              <w:rPr>
                <w:rFonts w:cs="Arial"/>
                <w:sz w:val="18"/>
              </w:rPr>
              <w:t>6.</w:t>
            </w:r>
            <w:r w:rsidRPr="00C3345E">
              <w:rPr>
                <w:rFonts w:cs="Arial"/>
                <w:sz w:val="18"/>
              </w:rPr>
              <w:t xml:space="preserve">  Zwiększenie efektywności wykorzystania środków </w:t>
            </w:r>
            <w:r w:rsidRPr="00DA1E51">
              <w:rPr>
                <w:rFonts w:cs="Arial"/>
                <w:sz w:val="14"/>
              </w:rPr>
              <w:t>UE</w:t>
            </w:r>
            <w:r w:rsidRPr="00DA1E51">
              <w:rPr>
                <w:sz w:val="18"/>
              </w:rPr>
              <w:t xml:space="preserve"> oraz międzynarodowych instytucji finansowych</w:t>
            </w:r>
            <w:r w:rsidRPr="00DA1E51">
              <w:rPr>
                <w:rFonts w:cs="Arial"/>
                <w:sz w:val="14"/>
              </w:rPr>
              <w:t xml:space="preserve"> </w:t>
            </w:r>
            <w:r w:rsidRPr="00C3345E">
              <w:rPr>
                <w:rFonts w:cs="Arial"/>
                <w:sz w:val="18"/>
              </w:rPr>
              <w:t>dostępnych w ramach różnych źródeł krajowych i zewnętrznych na rzecz innowacyjności, konkurencyjności i zrównoważonego rozwoju</w:t>
            </w:r>
            <w:r w:rsidRPr="00DC61CB">
              <w:rPr>
                <w:rFonts w:cs="Arial"/>
                <w:sz w:val="18"/>
              </w:rPr>
              <w:t>.</w:t>
            </w:r>
          </w:p>
        </w:tc>
      </w:tr>
      <w:tr w:rsidR="00AA5390" w:rsidRPr="00F21196" w14:paraId="69621D9F" w14:textId="3B10ABEB" w:rsidTr="00724576">
        <w:tc>
          <w:tcPr>
            <w:tcW w:w="2268" w:type="dxa"/>
            <w:shd w:val="clear" w:color="auto" w:fill="auto"/>
          </w:tcPr>
          <w:p w14:paraId="00279703" w14:textId="77777777" w:rsidR="00AA5390" w:rsidRPr="00BA39D4" w:rsidRDefault="00AA5390" w:rsidP="00AA5390">
            <w:pPr>
              <w:rPr>
                <w:rFonts w:eastAsia="Times New Roman" w:cstheme="minorHAnsi"/>
                <w:b/>
                <w:bCs/>
                <w:sz w:val="18"/>
                <w:szCs w:val="18"/>
              </w:rPr>
            </w:pPr>
            <w:r w:rsidRPr="00BA39D4">
              <w:rPr>
                <w:rFonts w:eastAsia="Times New Roman" w:cstheme="minorHAnsi"/>
                <w:b/>
                <w:bCs/>
                <w:sz w:val="18"/>
                <w:szCs w:val="18"/>
              </w:rPr>
              <w:t>Wzmocnienie systemu zarządzania państwowymi aktywami i zobowiązaniami</w:t>
            </w:r>
          </w:p>
        </w:tc>
        <w:tc>
          <w:tcPr>
            <w:tcW w:w="1140" w:type="dxa"/>
          </w:tcPr>
          <w:p w14:paraId="09D901EF" w14:textId="7962A887" w:rsidR="00AA5390" w:rsidRPr="00F21196" w:rsidRDefault="00AA5390" w:rsidP="00AA5390">
            <w:pPr>
              <w:jc w:val="center"/>
              <w:rPr>
                <w:rFonts w:cstheme="minorHAnsi"/>
                <w:sz w:val="20"/>
                <w:szCs w:val="20"/>
              </w:rPr>
            </w:pPr>
            <w:r w:rsidRPr="00F21196">
              <w:rPr>
                <w:rFonts w:eastAsia="Times New Roman" w:cstheme="minorHAnsi"/>
                <w:sz w:val="20"/>
                <w:szCs w:val="20"/>
              </w:rPr>
              <w:t>MF</w:t>
            </w:r>
          </w:p>
        </w:tc>
        <w:tc>
          <w:tcPr>
            <w:tcW w:w="1128" w:type="dxa"/>
          </w:tcPr>
          <w:p w14:paraId="652BECB7" w14:textId="77777777" w:rsidR="00AA5390" w:rsidRPr="00F21196" w:rsidRDefault="00AA5390" w:rsidP="00AA5390">
            <w:pPr>
              <w:rPr>
                <w:rFonts w:cstheme="minorHAnsi"/>
                <w:sz w:val="20"/>
                <w:szCs w:val="20"/>
              </w:rPr>
            </w:pPr>
            <w:r w:rsidRPr="00F21196">
              <w:rPr>
                <w:rFonts w:cstheme="minorHAnsi"/>
                <w:sz w:val="20"/>
                <w:szCs w:val="20"/>
              </w:rPr>
              <w:t>2018 – 20</w:t>
            </w:r>
            <w:r>
              <w:rPr>
                <w:rFonts w:cstheme="minorHAnsi"/>
                <w:sz w:val="20"/>
                <w:szCs w:val="20"/>
              </w:rPr>
              <w:t>3</w:t>
            </w:r>
            <w:r w:rsidRPr="00F21196">
              <w:rPr>
                <w:rFonts w:cstheme="minorHAnsi"/>
                <w:sz w:val="20"/>
                <w:szCs w:val="20"/>
              </w:rPr>
              <w:t>0</w:t>
            </w:r>
          </w:p>
        </w:tc>
        <w:tc>
          <w:tcPr>
            <w:tcW w:w="3686" w:type="dxa"/>
          </w:tcPr>
          <w:p w14:paraId="61252750" w14:textId="66DA48EA" w:rsidR="00AA5390" w:rsidRPr="00F21196" w:rsidRDefault="00AA5390" w:rsidP="00AA5390">
            <w:pPr>
              <w:rPr>
                <w:rFonts w:eastAsia="Calibri" w:cs="Calibri"/>
                <w:sz w:val="18"/>
                <w:szCs w:val="20"/>
              </w:rPr>
            </w:pPr>
            <w:r w:rsidRPr="00F21196">
              <w:rPr>
                <w:rFonts w:eastAsia="Calibri" w:cs="Calibri"/>
                <w:sz w:val="18"/>
                <w:szCs w:val="20"/>
              </w:rPr>
              <w:t xml:space="preserve">Przygotowanie rozwiązań systemowych i legislacyjnych umożliwiających sporządzenie skonsolidowanego sprawozdania finansowego kraju. Ujednolicenie zasad rachunkowości dla jednostek sektora </w:t>
            </w:r>
            <w:r>
              <w:rPr>
                <w:rFonts w:eastAsia="Calibri" w:cs="Calibri"/>
                <w:sz w:val="18"/>
                <w:szCs w:val="20"/>
              </w:rPr>
              <w:t xml:space="preserve">finansów </w:t>
            </w:r>
            <w:r w:rsidRPr="00F21196">
              <w:rPr>
                <w:rFonts w:eastAsia="Calibri" w:cs="Calibri"/>
                <w:sz w:val="18"/>
                <w:szCs w:val="20"/>
              </w:rPr>
              <w:t>publiczn</w:t>
            </w:r>
            <w:r>
              <w:rPr>
                <w:rFonts w:eastAsia="Calibri" w:cs="Calibri"/>
                <w:sz w:val="18"/>
                <w:szCs w:val="20"/>
              </w:rPr>
              <w:t>ych</w:t>
            </w:r>
            <w:r w:rsidRPr="00F21196">
              <w:rPr>
                <w:rFonts w:eastAsia="Calibri" w:cs="Calibri"/>
                <w:sz w:val="18"/>
                <w:szCs w:val="20"/>
              </w:rPr>
              <w:t xml:space="preserve"> odpowiadające na potrzeby nowego systemu  konsolidacji sprawozdań finansowych. Wyznaczenie jednostki odpowiedzialnej</w:t>
            </w:r>
            <w:r>
              <w:rPr>
                <w:rFonts w:eastAsia="Calibri" w:cs="Calibri"/>
                <w:sz w:val="18"/>
                <w:szCs w:val="20"/>
              </w:rPr>
              <w:t xml:space="preserve"> za przygotowanie sprawozdania skonsolidowanego</w:t>
            </w:r>
            <w:r w:rsidRPr="00F21196">
              <w:rPr>
                <w:rFonts w:eastAsia="Calibri" w:cs="Calibri"/>
                <w:sz w:val="18"/>
                <w:szCs w:val="20"/>
              </w:rPr>
              <w:t>, opracowanie systemu zbierania</w:t>
            </w:r>
            <w:r>
              <w:rPr>
                <w:rFonts w:eastAsia="Calibri" w:cs="Calibri"/>
                <w:sz w:val="18"/>
                <w:szCs w:val="20"/>
              </w:rPr>
              <w:t xml:space="preserve"> niezbędnych</w:t>
            </w:r>
            <w:r w:rsidRPr="00F21196">
              <w:rPr>
                <w:rFonts w:eastAsia="Calibri" w:cs="Calibri"/>
                <w:sz w:val="18"/>
                <w:szCs w:val="20"/>
              </w:rPr>
              <w:t xml:space="preserve"> danych , oraz przygotowanie skonsolidowanego sprawozdania finansowego kraju.</w:t>
            </w:r>
          </w:p>
        </w:tc>
        <w:tc>
          <w:tcPr>
            <w:tcW w:w="1701" w:type="dxa"/>
          </w:tcPr>
          <w:p w14:paraId="09A0389B" w14:textId="77BBEA25" w:rsidR="00AA5390" w:rsidRPr="00F21196" w:rsidRDefault="00AA5390" w:rsidP="00AA5390">
            <w:pPr>
              <w:rPr>
                <w:rFonts w:eastAsia="Calibri" w:cs="Calibri"/>
                <w:sz w:val="18"/>
                <w:szCs w:val="20"/>
              </w:rPr>
            </w:pPr>
            <w:r w:rsidRPr="00851181">
              <w:rPr>
                <w:rFonts w:eastAsia="Times New Roman" w:cs="Calibri"/>
                <w:sz w:val="18"/>
                <w:szCs w:val="20"/>
                <w:lang w:eastAsia="pl-PL"/>
              </w:rPr>
              <w:t>3.</w:t>
            </w:r>
            <w:r w:rsidRPr="00F21196">
              <w:rPr>
                <w:rFonts w:eastAsia="Times New Roman" w:cs="Calibri"/>
                <w:sz w:val="18"/>
                <w:szCs w:val="20"/>
                <w:lang w:eastAsia="pl-PL"/>
              </w:rPr>
              <w:t xml:space="preserve"> Reforma systemu rachunkowości publicznej - przygotowanie skonsolidowanego sprawozdania finansowego kraju.</w:t>
            </w:r>
          </w:p>
        </w:tc>
      </w:tr>
      <w:tr w:rsidR="00DC61CB" w:rsidRPr="00F21196" w14:paraId="27F34093" w14:textId="61DD735D" w:rsidTr="00724576">
        <w:tc>
          <w:tcPr>
            <w:tcW w:w="2268" w:type="dxa"/>
            <w:shd w:val="clear" w:color="auto" w:fill="auto"/>
          </w:tcPr>
          <w:p w14:paraId="33596346" w14:textId="77777777" w:rsidR="00DC61CB" w:rsidRPr="00BA39D4" w:rsidRDefault="00DC61CB" w:rsidP="00137938">
            <w:pPr>
              <w:rPr>
                <w:rFonts w:eastAsia="Times New Roman" w:cstheme="minorHAnsi"/>
                <w:b/>
                <w:bCs/>
                <w:sz w:val="18"/>
                <w:szCs w:val="18"/>
              </w:rPr>
            </w:pPr>
            <w:r w:rsidRPr="00BA39D4">
              <w:rPr>
                <w:rFonts w:eastAsia="Times New Roman" w:cstheme="minorHAnsi"/>
                <w:b/>
                <w:bCs/>
                <w:sz w:val="18"/>
                <w:szCs w:val="18"/>
              </w:rPr>
              <w:t>System BeSTi@ - modernizacja (BeSTI@)</w:t>
            </w:r>
          </w:p>
        </w:tc>
        <w:tc>
          <w:tcPr>
            <w:tcW w:w="1140" w:type="dxa"/>
          </w:tcPr>
          <w:p w14:paraId="074242CF" w14:textId="58E84C76" w:rsidR="00DC61CB" w:rsidRPr="00F21196" w:rsidRDefault="00DC61CB" w:rsidP="00137938">
            <w:pPr>
              <w:jc w:val="center"/>
              <w:rPr>
                <w:rFonts w:cstheme="minorHAnsi"/>
                <w:sz w:val="20"/>
                <w:szCs w:val="20"/>
              </w:rPr>
            </w:pPr>
            <w:r w:rsidRPr="00F21196">
              <w:rPr>
                <w:rFonts w:cstheme="minorHAnsi"/>
                <w:sz w:val="20"/>
                <w:szCs w:val="20"/>
              </w:rPr>
              <w:t>MF</w:t>
            </w:r>
          </w:p>
          <w:p w14:paraId="1409B287" w14:textId="77777777" w:rsidR="00DC61CB" w:rsidRPr="00F21196" w:rsidRDefault="00DC61CB" w:rsidP="00137938">
            <w:pPr>
              <w:jc w:val="center"/>
              <w:rPr>
                <w:rFonts w:cstheme="minorHAnsi"/>
                <w:sz w:val="20"/>
                <w:szCs w:val="20"/>
              </w:rPr>
            </w:pPr>
          </w:p>
        </w:tc>
        <w:tc>
          <w:tcPr>
            <w:tcW w:w="1128" w:type="dxa"/>
          </w:tcPr>
          <w:p w14:paraId="5312A8C7" w14:textId="77777777" w:rsidR="00DC61CB" w:rsidRPr="00F21196" w:rsidRDefault="00DC61CB" w:rsidP="00137938">
            <w:pPr>
              <w:rPr>
                <w:rFonts w:cstheme="minorHAnsi"/>
                <w:sz w:val="20"/>
                <w:szCs w:val="20"/>
              </w:rPr>
            </w:pPr>
            <w:r w:rsidRPr="00F21196">
              <w:rPr>
                <w:rFonts w:cstheme="minorHAnsi"/>
                <w:sz w:val="20"/>
                <w:szCs w:val="20"/>
              </w:rPr>
              <w:t>2017 – 2022</w:t>
            </w:r>
          </w:p>
        </w:tc>
        <w:tc>
          <w:tcPr>
            <w:tcW w:w="3686" w:type="dxa"/>
          </w:tcPr>
          <w:p w14:paraId="0DE1BBEE" w14:textId="77777777" w:rsidR="00DC61CB" w:rsidRPr="00F21196" w:rsidRDefault="00DC61CB" w:rsidP="0076401D">
            <w:pPr>
              <w:rPr>
                <w:rFonts w:eastAsia="Calibri" w:cs="Calibri"/>
                <w:sz w:val="18"/>
                <w:szCs w:val="20"/>
              </w:rPr>
            </w:pPr>
            <w:r w:rsidRPr="00F21196">
              <w:rPr>
                <w:rFonts w:eastAsia="Calibri" w:cs="Calibri"/>
                <w:sz w:val="18"/>
                <w:szCs w:val="20"/>
              </w:rPr>
              <w:t>Projekt ma na celu</w:t>
            </w:r>
            <w:r w:rsidRPr="00F21196" w:rsidDel="00500F34">
              <w:rPr>
                <w:rFonts w:eastAsia="Calibri" w:cs="Calibri"/>
                <w:sz w:val="18"/>
                <w:szCs w:val="20"/>
              </w:rPr>
              <w:t xml:space="preserve"> </w:t>
            </w:r>
            <w:r w:rsidRPr="00F21196">
              <w:rPr>
                <w:rFonts w:eastAsia="Calibri" w:cs="Calibri"/>
                <w:sz w:val="18"/>
                <w:szCs w:val="20"/>
              </w:rPr>
              <w:t xml:space="preserve">zapewnienie ciągłości działania systemów BeSTi@ i SJO BeSTi@ oraz ich rozwoju wynikającego ze zmian prawnych i potrzeb użytkowników, w tym stałej optymalizacji procesów obsługi budżetów JST, a ponadto modernizacja systemów BeSTi@ i SJO BeSTi@ w zakresie docelowej architektury aplikacyjnej w odpowiedzi na potrzeby użytkowników i obiektywną przestarzałość architektury oraz zastosowanych w systemach rozwiązań technicznych. </w:t>
            </w:r>
          </w:p>
        </w:tc>
        <w:tc>
          <w:tcPr>
            <w:tcW w:w="1701" w:type="dxa"/>
          </w:tcPr>
          <w:p w14:paraId="079F9E1D" w14:textId="34E00125" w:rsidR="00DC61CB" w:rsidRPr="00F21196" w:rsidRDefault="003427E6" w:rsidP="00842301">
            <w:pPr>
              <w:jc w:val="both"/>
              <w:rPr>
                <w:rFonts w:eastAsia="Calibri" w:cs="Calibri"/>
                <w:sz w:val="18"/>
                <w:szCs w:val="20"/>
              </w:rPr>
            </w:pPr>
            <w:r w:rsidRPr="00851181">
              <w:rPr>
                <w:rFonts w:eastAsia="Times New Roman" w:cs="Calibri"/>
                <w:sz w:val="18"/>
                <w:szCs w:val="20"/>
                <w:lang w:eastAsia="pl-PL"/>
              </w:rPr>
              <w:t>3.</w:t>
            </w:r>
            <w:r w:rsidRPr="00F21196">
              <w:rPr>
                <w:rFonts w:eastAsia="Times New Roman" w:cs="Calibri"/>
                <w:sz w:val="18"/>
                <w:szCs w:val="20"/>
                <w:lang w:eastAsia="pl-PL"/>
              </w:rPr>
              <w:t xml:space="preserve"> Reforma systemu rachunkowości publicznej - przygotowanie skonsolidowanego sprawozdania finansowego kraju.</w:t>
            </w:r>
          </w:p>
        </w:tc>
      </w:tr>
      <w:tr w:rsidR="00DC61CB" w:rsidRPr="00F21196" w14:paraId="17514FA2" w14:textId="11818485" w:rsidTr="00724576">
        <w:tc>
          <w:tcPr>
            <w:tcW w:w="2268" w:type="dxa"/>
            <w:shd w:val="clear" w:color="auto" w:fill="auto"/>
          </w:tcPr>
          <w:p w14:paraId="3A011A33" w14:textId="77777777" w:rsidR="00DC61CB" w:rsidRPr="0060045E" w:rsidRDefault="00DC61CB" w:rsidP="00137938">
            <w:pPr>
              <w:rPr>
                <w:rFonts w:eastAsia="Times New Roman" w:cstheme="minorHAnsi"/>
                <w:b/>
                <w:bCs/>
                <w:sz w:val="18"/>
                <w:szCs w:val="18"/>
              </w:rPr>
            </w:pPr>
            <w:r w:rsidRPr="0060045E">
              <w:rPr>
                <w:rFonts w:eastAsia="Times New Roman" w:cs="Calibri"/>
                <w:b/>
                <w:bCs/>
                <w:sz w:val="18"/>
                <w:szCs w:val="18"/>
                <w:lang w:eastAsia="pl-PL"/>
              </w:rPr>
              <w:t xml:space="preserve">Strategiczne podejście do korzystania przez Polskę ze środków w ramach różnych dostępnych źródeł finansowania przedsięwzięć rozwojowych </w:t>
            </w:r>
          </w:p>
        </w:tc>
        <w:tc>
          <w:tcPr>
            <w:tcW w:w="1140" w:type="dxa"/>
          </w:tcPr>
          <w:p w14:paraId="5756E55A" w14:textId="62CA29CD" w:rsidR="00DC61CB" w:rsidRPr="0060045E" w:rsidRDefault="00DC61CB" w:rsidP="00137938">
            <w:pPr>
              <w:spacing w:line="200" w:lineRule="exact"/>
              <w:jc w:val="center"/>
              <w:rPr>
                <w:rFonts w:cstheme="minorHAnsi"/>
                <w:sz w:val="18"/>
                <w:szCs w:val="18"/>
              </w:rPr>
            </w:pPr>
            <w:r w:rsidRPr="00F21196">
              <w:rPr>
                <w:rFonts w:eastAsia="Times New Roman" w:cstheme="minorHAnsi"/>
                <w:sz w:val="20"/>
                <w:szCs w:val="20"/>
              </w:rPr>
              <w:t>M</w:t>
            </w:r>
            <w:r>
              <w:rPr>
                <w:rFonts w:eastAsia="Times New Roman" w:cstheme="minorHAnsi"/>
                <w:sz w:val="20"/>
                <w:szCs w:val="20"/>
              </w:rPr>
              <w:t>FiPR</w:t>
            </w:r>
          </w:p>
        </w:tc>
        <w:tc>
          <w:tcPr>
            <w:tcW w:w="1128" w:type="dxa"/>
          </w:tcPr>
          <w:p w14:paraId="3BA98AD5" w14:textId="77777777" w:rsidR="00DC61CB" w:rsidRPr="0060045E" w:rsidRDefault="00DC61CB" w:rsidP="00137938">
            <w:pPr>
              <w:jc w:val="both"/>
              <w:rPr>
                <w:rFonts w:cstheme="minorHAnsi"/>
                <w:sz w:val="18"/>
                <w:szCs w:val="18"/>
              </w:rPr>
            </w:pPr>
          </w:p>
        </w:tc>
        <w:tc>
          <w:tcPr>
            <w:tcW w:w="3686" w:type="dxa"/>
          </w:tcPr>
          <w:p w14:paraId="723FDEC0" w14:textId="77777777" w:rsidR="00DC61CB" w:rsidRPr="0060045E" w:rsidRDefault="00DC61CB" w:rsidP="0076401D">
            <w:pPr>
              <w:rPr>
                <w:rFonts w:eastAsia="Calibri" w:cs="Calibri"/>
                <w:sz w:val="18"/>
                <w:szCs w:val="18"/>
              </w:rPr>
            </w:pPr>
            <w:r w:rsidRPr="0060045E">
              <w:rPr>
                <w:rFonts w:eastAsia="Times New Roman" w:cs="Calibri"/>
                <w:sz w:val="18"/>
                <w:szCs w:val="18"/>
                <w:lang w:eastAsia="pl-PL"/>
              </w:rPr>
              <w:t xml:space="preserve">Położenie nacisku na koordynację i komplementarność przedsięwzięć przyczyni się do uzyskania efektu skali. Wcześniejsze zbadanie potrzeb inwestycyjnych i określenie potencjalnych możliwości sfinansowania przedsięwzięć umożliwi przygotowanie ich do realizacji i skuteczniejsze aplikowanie o dostępne środki. Jednocześnie przygotowanie strategicznego ukierunkowania w zdefiniowanych na podstawie analizy dziedzinach /obszarach ubiegania się o środki UE przyczyni się do zwiększenia efektywności korzystania ze środków UE. </w:t>
            </w:r>
          </w:p>
        </w:tc>
        <w:tc>
          <w:tcPr>
            <w:tcW w:w="1701" w:type="dxa"/>
          </w:tcPr>
          <w:p w14:paraId="30C5AED2" w14:textId="34538EBB" w:rsidR="00DC61CB" w:rsidRPr="0060045E" w:rsidRDefault="00DA1E51" w:rsidP="00851181">
            <w:pPr>
              <w:rPr>
                <w:rFonts w:eastAsia="Times New Roman" w:cs="Calibri"/>
                <w:sz w:val="18"/>
                <w:szCs w:val="18"/>
                <w:lang w:eastAsia="pl-PL"/>
              </w:rPr>
            </w:pPr>
            <w:r w:rsidRPr="00851181">
              <w:rPr>
                <w:rFonts w:cs="Arial"/>
                <w:sz w:val="18"/>
              </w:rPr>
              <w:t>6.</w:t>
            </w:r>
            <w:r w:rsidRPr="00C3345E">
              <w:rPr>
                <w:rFonts w:cs="Arial"/>
                <w:sz w:val="18"/>
              </w:rPr>
              <w:t xml:space="preserve">  Zwiększenie efektywności wykorzystania środków </w:t>
            </w:r>
            <w:r w:rsidRPr="00DA1E51">
              <w:rPr>
                <w:rFonts w:cs="Arial"/>
                <w:sz w:val="14"/>
              </w:rPr>
              <w:t>UE</w:t>
            </w:r>
            <w:r w:rsidRPr="00DA1E51">
              <w:rPr>
                <w:sz w:val="18"/>
              </w:rPr>
              <w:t xml:space="preserve"> oraz międzynarodowych instytucji finansowych</w:t>
            </w:r>
            <w:r w:rsidRPr="00DA1E51">
              <w:rPr>
                <w:rFonts w:cs="Arial"/>
                <w:sz w:val="14"/>
              </w:rPr>
              <w:t xml:space="preserve"> </w:t>
            </w:r>
            <w:r w:rsidRPr="00C3345E">
              <w:rPr>
                <w:rFonts w:cs="Arial"/>
                <w:sz w:val="18"/>
              </w:rPr>
              <w:t>dostępnych w ramach różnych źródeł krajowych i zewnętrznych na rzecz innowacyjności, konkurencyjności i zrównoważonego rozwoju</w:t>
            </w:r>
            <w:r w:rsidRPr="00DC61CB">
              <w:rPr>
                <w:rFonts w:cs="Arial"/>
                <w:sz w:val="18"/>
              </w:rPr>
              <w:t>.</w:t>
            </w:r>
          </w:p>
        </w:tc>
      </w:tr>
      <w:tr w:rsidR="00DC61CB" w:rsidRPr="00F21196" w14:paraId="327E22A1" w14:textId="2AD0733A" w:rsidTr="00724576">
        <w:tc>
          <w:tcPr>
            <w:tcW w:w="2268" w:type="dxa"/>
            <w:shd w:val="clear" w:color="auto" w:fill="auto"/>
          </w:tcPr>
          <w:p w14:paraId="2568B246" w14:textId="77F033AF" w:rsidR="00DC61CB" w:rsidRPr="0060045E" w:rsidRDefault="00DA1E51" w:rsidP="00137938">
            <w:pPr>
              <w:rPr>
                <w:rFonts w:eastAsia="Times New Roman" w:cstheme="minorHAnsi"/>
                <w:b/>
                <w:bCs/>
                <w:sz w:val="18"/>
                <w:szCs w:val="18"/>
              </w:rPr>
            </w:pPr>
            <w:r w:rsidRPr="0060045E">
              <w:rPr>
                <w:rFonts w:eastAsia="Times New Roman" w:cs="Calibri"/>
                <w:b/>
                <w:bCs/>
                <w:sz w:val="18"/>
                <w:szCs w:val="18"/>
                <w:lang w:eastAsia="pl-PL"/>
              </w:rPr>
              <w:t>Wzmocnienia zdolności</w:t>
            </w:r>
            <w:r w:rsidR="00DC61CB" w:rsidRPr="0060045E">
              <w:rPr>
                <w:rFonts w:eastAsia="Times New Roman" w:cs="Calibri"/>
                <w:b/>
                <w:bCs/>
                <w:sz w:val="18"/>
                <w:szCs w:val="18"/>
                <w:lang w:eastAsia="pl-PL"/>
              </w:rPr>
              <w:t xml:space="preserve">  instytucji  i  beneficjentów  </w:t>
            </w:r>
          </w:p>
        </w:tc>
        <w:tc>
          <w:tcPr>
            <w:tcW w:w="1140" w:type="dxa"/>
          </w:tcPr>
          <w:p w14:paraId="65A15D36" w14:textId="4E41A8ED" w:rsidR="00DA1E51" w:rsidRDefault="00DC61CB" w:rsidP="00430A7B">
            <w:pPr>
              <w:spacing w:line="200" w:lineRule="exact"/>
              <w:ind w:left="-102" w:right="-108"/>
              <w:jc w:val="center"/>
              <w:rPr>
                <w:rFonts w:eastAsia="Times New Roman" w:cs="Calibri"/>
                <w:sz w:val="18"/>
                <w:szCs w:val="18"/>
                <w:lang w:eastAsia="pl-PL"/>
              </w:rPr>
            </w:pPr>
            <w:r w:rsidRPr="00F21196">
              <w:rPr>
                <w:rFonts w:eastAsia="Times New Roman" w:cstheme="minorHAnsi"/>
                <w:sz w:val="20"/>
                <w:szCs w:val="20"/>
              </w:rPr>
              <w:t>M</w:t>
            </w:r>
            <w:r w:rsidR="00ED7169">
              <w:rPr>
                <w:rFonts w:eastAsia="Times New Roman" w:cstheme="minorHAnsi"/>
                <w:sz w:val="20"/>
                <w:szCs w:val="20"/>
              </w:rPr>
              <w:t>F</w:t>
            </w:r>
            <w:r w:rsidRPr="0060045E">
              <w:rPr>
                <w:rFonts w:eastAsia="Times New Roman" w:cs="Calibri"/>
                <w:sz w:val="18"/>
                <w:szCs w:val="18"/>
                <w:lang w:eastAsia="pl-PL"/>
              </w:rPr>
              <w:t xml:space="preserve"> /Krajowe Punkty Kontaktowe</w:t>
            </w:r>
            <w:r w:rsidR="00DA1E51">
              <w:rPr>
                <w:rFonts w:eastAsia="Times New Roman" w:cs="Calibri"/>
                <w:sz w:val="18"/>
                <w:szCs w:val="18"/>
                <w:lang w:eastAsia="pl-PL"/>
              </w:rPr>
              <w:t>/</w:t>
            </w:r>
          </w:p>
          <w:p w14:paraId="3C8BF8A7" w14:textId="212AFBC4" w:rsidR="00DC61CB" w:rsidRPr="0060045E" w:rsidRDefault="00DA1E51" w:rsidP="00430A7B">
            <w:pPr>
              <w:spacing w:line="200" w:lineRule="exact"/>
              <w:ind w:left="-102" w:right="-108"/>
              <w:jc w:val="center"/>
              <w:rPr>
                <w:rFonts w:cstheme="minorHAnsi"/>
                <w:sz w:val="18"/>
                <w:szCs w:val="18"/>
              </w:rPr>
            </w:pPr>
            <w:r>
              <w:rPr>
                <w:rFonts w:eastAsia="Times New Roman" w:cs="Calibri"/>
                <w:sz w:val="18"/>
                <w:szCs w:val="18"/>
                <w:lang w:eastAsia="pl-PL"/>
              </w:rPr>
              <w:t>MSZ/MR</w:t>
            </w:r>
            <w:r w:rsidR="00E9243F">
              <w:rPr>
                <w:rFonts w:eastAsia="Times New Roman" w:cs="Calibri"/>
                <w:sz w:val="18"/>
                <w:szCs w:val="18"/>
                <w:lang w:eastAsia="pl-PL"/>
              </w:rPr>
              <w:t>,PiT</w:t>
            </w:r>
          </w:p>
        </w:tc>
        <w:tc>
          <w:tcPr>
            <w:tcW w:w="1128" w:type="dxa"/>
          </w:tcPr>
          <w:p w14:paraId="60CEF49C" w14:textId="77777777" w:rsidR="00DC61CB" w:rsidRPr="0060045E" w:rsidRDefault="00DC61CB" w:rsidP="00137938">
            <w:pPr>
              <w:rPr>
                <w:rFonts w:cstheme="minorHAnsi"/>
                <w:sz w:val="18"/>
                <w:szCs w:val="18"/>
              </w:rPr>
            </w:pPr>
          </w:p>
        </w:tc>
        <w:tc>
          <w:tcPr>
            <w:tcW w:w="3686" w:type="dxa"/>
          </w:tcPr>
          <w:p w14:paraId="7E8AEB9F" w14:textId="55E757CC" w:rsidR="00DC61CB" w:rsidRPr="0060045E" w:rsidRDefault="00DC61CB" w:rsidP="0076401D">
            <w:pPr>
              <w:rPr>
                <w:rFonts w:eastAsia="Calibri" w:cs="Calibri"/>
                <w:sz w:val="18"/>
                <w:szCs w:val="18"/>
              </w:rPr>
            </w:pPr>
            <w:r w:rsidRPr="0060045E">
              <w:rPr>
                <w:rFonts w:eastAsia="Times New Roman" w:cs="Calibri"/>
                <w:sz w:val="18"/>
                <w:szCs w:val="18"/>
                <w:lang w:eastAsia="pl-PL"/>
              </w:rPr>
              <w:t xml:space="preserve">Przygotowanie rozwiązań systemowych dotyczących wsparcia dla potencjalnych beneficjentów w aplikowaniu o środki jest niezbędne w celu lepszego/czytelniejszego zaadresowania oferty płynącej z różnych źródeł UE. Zwiększenie rozpoznawalności środków innych niż EFSI  oraz poszerzenie działań o charakterze informacyjno-promocyjnym powinno przyczynić się do zwiększenia liczby aplikujących o środki w ramach instrumentów zarządzanych centralnie przez KE. Ponadto istotnym elementem będzie </w:t>
            </w:r>
            <w:r w:rsidRPr="0060045E">
              <w:rPr>
                <w:rFonts w:cs="Times New Roman"/>
                <w:sz w:val="18"/>
                <w:szCs w:val="18"/>
                <w:lang w:eastAsia="pl-PL"/>
              </w:rPr>
              <w:t>systemowa aktywizacja dużego przemysłu/spółek Skarbu Państwa i jednostek B+R w zakresie tworzenia międzynarodowych konsorcjów i aplikowania o środki.</w:t>
            </w:r>
            <w:r w:rsidR="00DA1E51">
              <w:rPr>
                <w:rFonts w:cs="Times New Roman"/>
                <w:sz w:val="18"/>
                <w:szCs w:val="18"/>
                <w:lang w:eastAsia="pl-PL"/>
              </w:rPr>
              <w:t xml:space="preserve"> Zwiększenie zdolności przedsiębiorstw do uczestnictwa w przetargach i projektach organizacji międzynarodowych na rynkach trzecich</w:t>
            </w:r>
          </w:p>
        </w:tc>
        <w:tc>
          <w:tcPr>
            <w:tcW w:w="1701" w:type="dxa"/>
          </w:tcPr>
          <w:p w14:paraId="474072B6" w14:textId="77777777" w:rsidR="00DA1E51" w:rsidRPr="00DC61CB" w:rsidRDefault="00DA1E51" w:rsidP="00DA1E51">
            <w:pPr>
              <w:rPr>
                <w:rFonts w:cs="Arial"/>
                <w:sz w:val="18"/>
              </w:rPr>
            </w:pPr>
            <w:r w:rsidRPr="00851181">
              <w:rPr>
                <w:rFonts w:cs="Arial"/>
                <w:sz w:val="18"/>
              </w:rPr>
              <w:t>6.</w:t>
            </w:r>
            <w:r w:rsidRPr="00C3345E">
              <w:rPr>
                <w:rFonts w:cs="Arial"/>
                <w:sz w:val="18"/>
              </w:rPr>
              <w:t xml:space="preserve">  Zwiększenie efektywności wykorzystania środków </w:t>
            </w:r>
            <w:r w:rsidRPr="00DA1E51">
              <w:rPr>
                <w:rFonts w:cs="Arial"/>
                <w:sz w:val="14"/>
              </w:rPr>
              <w:t>UE</w:t>
            </w:r>
            <w:r w:rsidRPr="00DA1E51">
              <w:rPr>
                <w:sz w:val="18"/>
              </w:rPr>
              <w:t xml:space="preserve"> oraz międzynarodowych instytucji finansowych</w:t>
            </w:r>
            <w:r w:rsidRPr="00DA1E51">
              <w:rPr>
                <w:rFonts w:cs="Arial"/>
                <w:sz w:val="14"/>
              </w:rPr>
              <w:t xml:space="preserve"> </w:t>
            </w:r>
            <w:r w:rsidRPr="00C3345E">
              <w:rPr>
                <w:rFonts w:cs="Arial"/>
                <w:sz w:val="18"/>
              </w:rPr>
              <w:t>dostępnych w ramach różnych źródeł krajowych i zewnętrznych na rzecz innowacyjności, konkurencyjności i zrównoważonego rozwoju</w:t>
            </w:r>
            <w:r w:rsidRPr="00DC61CB">
              <w:rPr>
                <w:rFonts w:cs="Arial"/>
                <w:sz w:val="18"/>
              </w:rPr>
              <w:t>.</w:t>
            </w:r>
          </w:p>
          <w:p w14:paraId="19E12FBF" w14:textId="77777777" w:rsidR="00DC61CB" w:rsidRPr="0060045E" w:rsidRDefault="00DC61CB" w:rsidP="00842301">
            <w:pPr>
              <w:jc w:val="both"/>
              <w:rPr>
                <w:rFonts w:eastAsia="Times New Roman" w:cs="Calibri"/>
                <w:sz w:val="18"/>
                <w:szCs w:val="18"/>
                <w:lang w:eastAsia="pl-PL"/>
              </w:rPr>
            </w:pPr>
          </w:p>
        </w:tc>
      </w:tr>
    </w:tbl>
    <w:p w14:paraId="2C035BAC" w14:textId="77777777" w:rsidR="000D5622" w:rsidRDefault="000D5622" w:rsidP="000D5622">
      <w:pPr>
        <w:spacing w:after="0"/>
        <w:rPr>
          <w:rFonts w:eastAsia="Times New Roman" w:cs="Calibri"/>
          <w:b/>
          <w:color w:val="000000" w:themeColor="text1"/>
          <w:sz w:val="24"/>
          <w:lang w:eastAsia="pl-PL"/>
        </w:rPr>
      </w:pPr>
    </w:p>
    <w:p w14:paraId="34A3DA6C" w14:textId="77777777" w:rsidR="00FB180D" w:rsidRDefault="00FB180D">
      <w:pPr>
        <w:rPr>
          <w:rFonts w:eastAsia="Times New Roman" w:cs="Calibri"/>
          <w:b/>
          <w:color w:val="000000" w:themeColor="text1"/>
          <w:sz w:val="24"/>
          <w:lang w:eastAsia="pl-PL"/>
        </w:rPr>
      </w:pPr>
      <w:r>
        <w:rPr>
          <w:rFonts w:eastAsia="Times New Roman" w:cs="Calibri"/>
          <w:b/>
          <w:color w:val="000000" w:themeColor="text1"/>
          <w:sz w:val="24"/>
          <w:lang w:eastAsia="pl-PL"/>
        </w:rPr>
        <w:br w:type="page"/>
      </w:r>
    </w:p>
    <w:p w14:paraId="1F54501D" w14:textId="1008975F" w:rsidR="000D5622" w:rsidRPr="00F21196" w:rsidRDefault="00DD36D9" w:rsidP="00471B7B">
      <w:pPr>
        <w:shd w:val="clear" w:color="auto" w:fill="BDD6EE" w:themeFill="accent1" w:themeFillTint="66"/>
        <w:spacing w:after="0"/>
        <w:rPr>
          <w:rFonts w:eastAsia="Times New Roman" w:cs="Calibri"/>
          <w:b/>
          <w:color w:val="000000" w:themeColor="text1"/>
          <w:sz w:val="24"/>
          <w:lang w:eastAsia="pl-PL"/>
        </w:rPr>
      </w:pPr>
      <w:r w:rsidRPr="00F21196">
        <w:rPr>
          <w:rFonts w:eastAsia="Times New Roman" w:cs="Calibri"/>
          <w:b/>
          <w:color w:val="000000" w:themeColor="text1"/>
          <w:sz w:val="24"/>
          <w:lang w:eastAsia="pl-PL"/>
        </w:rPr>
        <w:t>Cel szczegółowy</w:t>
      </w:r>
      <w:r w:rsidR="005D39BA" w:rsidRPr="00F21196">
        <w:rPr>
          <w:rFonts w:eastAsia="Times New Roman" w:cs="Calibri"/>
          <w:b/>
          <w:color w:val="000000" w:themeColor="text1"/>
          <w:sz w:val="24"/>
          <w:lang w:eastAsia="pl-PL"/>
        </w:rPr>
        <w:t xml:space="preserve"> </w:t>
      </w:r>
      <w:r w:rsidR="00D850B9" w:rsidRPr="00F21196">
        <w:rPr>
          <w:rFonts w:eastAsia="Times New Roman" w:cs="Calibri"/>
          <w:b/>
          <w:color w:val="000000" w:themeColor="text1"/>
          <w:sz w:val="24"/>
          <w:lang w:eastAsia="pl-PL"/>
        </w:rPr>
        <w:t>V</w:t>
      </w:r>
      <w:r w:rsidR="00AF0D85" w:rsidRPr="00F21196">
        <w:rPr>
          <w:rFonts w:eastAsia="Times New Roman" w:cs="Calibri"/>
          <w:b/>
          <w:color w:val="000000" w:themeColor="text1"/>
          <w:sz w:val="24"/>
          <w:lang w:eastAsia="pl-PL"/>
        </w:rPr>
        <w:t>.</w:t>
      </w:r>
    </w:p>
    <w:p w14:paraId="0092351E" w14:textId="77777777" w:rsidR="005D39BA" w:rsidRPr="00F21196" w:rsidRDefault="005D39BA" w:rsidP="000D5622">
      <w:pPr>
        <w:shd w:val="clear" w:color="auto" w:fill="BDD6EE" w:themeFill="accent1" w:themeFillTint="66"/>
        <w:spacing w:after="0"/>
        <w:jc w:val="center"/>
        <w:rPr>
          <w:color w:val="000000" w:themeColor="text1"/>
          <w:sz w:val="28"/>
          <w:lang w:eastAsia="pl-PL"/>
        </w:rPr>
      </w:pPr>
      <w:r w:rsidRPr="00F21196">
        <w:rPr>
          <w:rFonts w:eastAsia="Times New Roman" w:cs="Calibri"/>
          <w:b/>
          <w:i/>
          <w:color w:val="000000" w:themeColor="text1"/>
          <w:sz w:val="28"/>
          <w:lang w:eastAsia="pl-PL"/>
        </w:rPr>
        <w:t>Zapewnienie obywatelom bezpieczeństwa wewnętrznego i zewnętrznego</w:t>
      </w:r>
    </w:p>
    <w:p w14:paraId="040C6571" w14:textId="77777777" w:rsidR="00214556" w:rsidRPr="00F21196" w:rsidRDefault="005D39BA" w:rsidP="005D39BA">
      <w:pPr>
        <w:spacing w:after="0"/>
        <w:rPr>
          <w:rFonts w:eastAsia="Times New Roman" w:cs="Calibri"/>
          <w:b/>
          <w:color w:val="2F5496" w:themeColor="accent5" w:themeShade="BF"/>
          <w:lang w:eastAsia="pl-PL"/>
        </w:rPr>
      </w:pPr>
      <w:r w:rsidRPr="00F21196">
        <w:rPr>
          <w:rFonts w:eastAsia="Times New Roman" w:cs="Calibri"/>
          <w:b/>
          <w:color w:val="2F5496" w:themeColor="accent5" w:themeShade="BF"/>
          <w:lang w:eastAsia="pl-PL"/>
        </w:rPr>
        <w:t xml:space="preserve">    </w:t>
      </w:r>
    </w:p>
    <w:p w14:paraId="623B4117" w14:textId="77777777" w:rsidR="00B53DEC" w:rsidRPr="00F21196" w:rsidRDefault="00B53DEC" w:rsidP="00B53DEC">
      <w:pPr>
        <w:spacing w:after="120" w:line="276" w:lineRule="auto"/>
        <w:jc w:val="both"/>
        <w:rPr>
          <w:rFonts w:cs="Arial"/>
        </w:rPr>
      </w:pPr>
      <w:r w:rsidRPr="00F21196">
        <w:rPr>
          <w:rFonts w:eastAsia="Times New Roman" w:cs="Calibri"/>
          <w:lang w:eastAsia="pl-PL"/>
        </w:rPr>
        <w:t xml:space="preserve">Cel szczegółowy V </w:t>
      </w:r>
      <w:r>
        <w:rPr>
          <w:rFonts w:eastAsia="Times New Roman" w:cs="Calibri"/>
          <w:lang w:eastAsia="pl-PL"/>
        </w:rPr>
        <w:t xml:space="preserve">koncentruje się na kwestiach związanych z zachowaniem </w:t>
      </w:r>
      <w:r w:rsidRPr="00685146">
        <w:rPr>
          <w:rFonts w:eastAsia="Times New Roman" w:cs="Calibri"/>
          <w:b/>
          <w:lang w:eastAsia="pl-PL"/>
        </w:rPr>
        <w:t>bezpieczeństwa zewnętrznego Polski,</w:t>
      </w:r>
      <w:r w:rsidRPr="00F21196">
        <w:rPr>
          <w:rFonts w:cs="Arial"/>
        </w:rPr>
        <w:t xml:space="preserve">  bezpieczeństwa</w:t>
      </w:r>
      <w:r w:rsidRPr="00F21196">
        <w:rPr>
          <w:rFonts w:cs="Arial"/>
          <w:b/>
        </w:rPr>
        <w:t xml:space="preserve"> wewnętrzne</w:t>
      </w:r>
      <w:r>
        <w:rPr>
          <w:rFonts w:cs="Arial"/>
          <w:b/>
        </w:rPr>
        <w:t>go i porząd</w:t>
      </w:r>
      <w:r w:rsidRPr="00F21196">
        <w:rPr>
          <w:rFonts w:cs="Arial"/>
          <w:b/>
        </w:rPr>
        <w:t>k</w:t>
      </w:r>
      <w:r>
        <w:rPr>
          <w:rFonts w:cs="Arial"/>
          <w:b/>
        </w:rPr>
        <w:t>u</w:t>
      </w:r>
      <w:r w:rsidRPr="00F21196">
        <w:rPr>
          <w:rFonts w:cs="Arial"/>
          <w:b/>
        </w:rPr>
        <w:t xml:space="preserve"> publiczn</w:t>
      </w:r>
      <w:r>
        <w:rPr>
          <w:rFonts w:cs="Arial"/>
          <w:b/>
        </w:rPr>
        <w:t>ego</w:t>
      </w:r>
      <w:r w:rsidRPr="00F21196">
        <w:rPr>
          <w:rFonts w:cs="Arial"/>
        </w:rPr>
        <w:t xml:space="preserve"> zarówno w ramach bieżącego funkcjonowania, jak również w sytuacjach nadzwyczajnych. </w:t>
      </w:r>
    </w:p>
    <w:p w14:paraId="163CF33D" w14:textId="77777777" w:rsidR="00B53DEC" w:rsidRPr="00F21196" w:rsidRDefault="00B53DEC" w:rsidP="00B53DEC">
      <w:pPr>
        <w:autoSpaceDE w:val="0"/>
        <w:autoSpaceDN w:val="0"/>
        <w:adjustRightInd w:val="0"/>
        <w:spacing w:after="120" w:line="276" w:lineRule="auto"/>
        <w:jc w:val="both"/>
        <w:rPr>
          <w:rFonts w:eastAsia="Times New Roman" w:cs="Calibri"/>
          <w:strike/>
          <w:sz w:val="32"/>
          <w:lang w:eastAsia="pl-PL"/>
        </w:rPr>
      </w:pPr>
      <w:r w:rsidRPr="00F21196">
        <w:rPr>
          <w:rFonts w:eastAsia="Times New Roman" w:cs="Calibri"/>
          <w:lang w:eastAsia="pl-PL"/>
        </w:rPr>
        <w:t xml:space="preserve">Cel szczegółowy V SNP powiązany jest z obszarem </w:t>
      </w:r>
      <w:r w:rsidRPr="00F21196">
        <w:rPr>
          <w:rFonts w:eastAsia="Times New Roman" w:cs="Calibri"/>
          <w:i/>
          <w:lang w:eastAsia="pl-PL"/>
        </w:rPr>
        <w:t>Bezpieczeństwo narodowe</w:t>
      </w:r>
      <w:r w:rsidRPr="00F21196">
        <w:rPr>
          <w:rFonts w:eastAsia="Times New Roman" w:cs="Calibri"/>
          <w:lang w:eastAsia="pl-PL"/>
        </w:rPr>
        <w:t xml:space="preserve"> SOR. Podejmowane inicjatywy będą koncentrować się na problematyce, która w konsekwencji przyczyni się do </w:t>
      </w:r>
      <w:r w:rsidRPr="00F21196">
        <w:rPr>
          <w:rFonts w:cs="Calibri,Italic"/>
          <w:iCs/>
          <w:szCs w:val="16"/>
        </w:rPr>
        <w:t xml:space="preserve">poprawy </w:t>
      </w:r>
      <w:r w:rsidRPr="00B51A2C">
        <w:rPr>
          <w:rFonts w:cs="Calibri,Italic"/>
          <w:iCs/>
          <w:sz w:val="28"/>
          <w:szCs w:val="28"/>
        </w:rPr>
        <w:t xml:space="preserve">reagowania </w:t>
      </w:r>
      <w:r w:rsidRPr="00F21196">
        <w:rPr>
          <w:rFonts w:cs="Calibri,Italic"/>
          <w:iCs/>
          <w:szCs w:val="16"/>
        </w:rPr>
        <w:t>państwa na współczesne zagrożenia i zdolności przeciwdziałania im oraz zwiększenia poziomu bezpieczeństwa i porządku publicznego będącego warunkiem stabilnego rozwoju kraju.</w:t>
      </w:r>
    </w:p>
    <w:p w14:paraId="3B4C2382" w14:textId="77777777" w:rsidR="00B53DEC" w:rsidRPr="00F21196" w:rsidRDefault="00B53DEC" w:rsidP="00B53DEC">
      <w:pPr>
        <w:spacing w:after="0" w:line="276" w:lineRule="auto"/>
        <w:jc w:val="both"/>
        <w:rPr>
          <w:rFonts w:eastAsia="Times New Roman" w:cs="Calibri"/>
          <w:lang w:eastAsia="pl-PL"/>
        </w:rPr>
      </w:pPr>
      <w:r w:rsidRPr="00F21196">
        <w:rPr>
          <w:rFonts w:cs="Arial"/>
        </w:rPr>
        <w:t>Działania będą sprzyjać zwiększeniu sprawności funkcjonowania oraz poprawie wizerunku i zaufania do poszczególnych służb i instytucji, poprawie koordynacji i doskonalenia ich działań, skróceniu czasu reakcji służb na zgłoszenia obywateli i interwencje. W ramach tego celu będą także podejmowane przedsięwzięcia związane z usprawnieniem zarządzania kryzysowego i ochrony ludności</w:t>
      </w:r>
      <w:r w:rsidRPr="00B407C8">
        <w:rPr>
          <w:rFonts w:cs="Arial"/>
        </w:rPr>
        <w:t xml:space="preserve">, zintegrowanego zarządzania granicą państwową RP oraz skutecznego zarządzania migracją, </w:t>
      </w:r>
      <w:r w:rsidRPr="00F21196">
        <w:rPr>
          <w:rFonts w:cs="Arial"/>
        </w:rPr>
        <w:t>koordynacji prowadzenia spraw międzynarodowych i uczestnictwa w organizacjach międzynarodowych, jak również związanych ze zwiększeniem potencjału Sił Zbrojnych RP czy potencjału Służby Więziennej.</w:t>
      </w:r>
    </w:p>
    <w:p w14:paraId="72FAFC7A" w14:textId="77777777" w:rsidR="00B53DEC" w:rsidRPr="00F21196" w:rsidRDefault="00B53DEC" w:rsidP="00B53DEC">
      <w:pPr>
        <w:spacing w:after="0"/>
        <w:ind w:left="142"/>
        <w:rPr>
          <w:rFonts w:eastAsia="Times New Roman" w:cs="Calibri"/>
          <w:b/>
          <w:color w:val="2F5496" w:themeColor="accent5" w:themeShade="BF"/>
          <w:highlight w:val="yellow"/>
          <w:lang w:eastAsia="pl-PL"/>
        </w:rPr>
      </w:pPr>
    </w:p>
    <w:p w14:paraId="21B4D4C0" w14:textId="77777777" w:rsidR="00B53DEC" w:rsidRPr="00F21196" w:rsidRDefault="00B53DEC" w:rsidP="00B53DEC">
      <w:pPr>
        <w:pBdr>
          <w:bottom w:val="single" w:sz="24" w:space="1" w:color="9CC2E5" w:themeColor="accent1" w:themeTint="99"/>
        </w:pBdr>
        <w:shd w:val="clear" w:color="auto" w:fill="DEEAF6" w:themeFill="accent1" w:themeFillTint="33"/>
        <w:spacing w:after="0" w:line="276" w:lineRule="auto"/>
        <w:rPr>
          <w:lang w:eastAsia="pl-PL"/>
        </w:rPr>
      </w:pPr>
      <w:r w:rsidRPr="00F21196">
        <w:rPr>
          <w:rFonts w:eastAsia="Times New Roman" w:cs="Calibri"/>
          <w:b/>
          <w:lang w:eastAsia="pl-PL"/>
        </w:rPr>
        <w:t>V.1. Diagnoza</w:t>
      </w:r>
    </w:p>
    <w:p w14:paraId="31528A1D" w14:textId="77777777" w:rsidR="00B53DEC" w:rsidRPr="00F21196" w:rsidRDefault="00B53DEC" w:rsidP="00B53DEC">
      <w:pPr>
        <w:spacing w:after="0" w:line="276" w:lineRule="auto"/>
        <w:jc w:val="both"/>
        <w:rPr>
          <w:rFonts w:eastAsia="Times New Roman" w:cs="Calibri"/>
          <w:b/>
          <w:lang w:eastAsia="pl-PL"/>
        </w:rPr>
      </w:pPr>
    </w:p>
    <w:p w14:paraId="4689557F" w14:textId="77777777" w:rsidR="00B53DEC" w:rsidRPr="00F21196" w:rsidRDefault="00B53DEC" w:rsidP="00B53DEC">
      <w:pPr>
        <w:spacing w:after="120" w:line="276" w:lineRule="auto"/>
        <w:jc w:val="both"/>
        <w:rPr>
          <w:rFonts w:eastAsia="Times New Roman" w:cs="Calibri"/>
          <w:lang w:eastAsia="pl-PL"/>
        </w:rPr>
      </w:pPr>
      <w:r w:rsidRPr="00F21196">
        <w:rPr>
          <w:rFonts w:eastAsia="Times New Roman" w:cs="Calibri"/>
          <w:lang w:eastAsia="pl-PL"/>
        </w:rPr>
        <w:t>Diagnozie</w:t>
      </w:r>
      <w:r w:rsidRPr="00F21196">
        <w:rPr>
          <w:rStyle w:val="Odwoanieprzypisudolnego"/>
          <w:rFonts w:eastAsia="Times New Roman" w:cs="Calibri"/>
          <w:lang w:eastAsia="pl-PL"/>
        </w:rPr>
        <w:footnoteReference w:id="92"/>
      </w:r>
      <w:r w:rsidRPr="00F21196">
        <w:rPr>
          <w:rFonts w:eastAsia="Times New Roman" w:cs="Calibri"/>
          <w:lang w:eastAsia="pl-PL"/>
        </w:rPr>
        <w:t xml:space="preserve"> poddano zagadnienia wynikające z zakresu tematycznego SNP związane z bezpieczeństwem zewnętrznym, dyplomacją w międzynarodowym środowisku bezpieczeństwa, przestępczością (przestępczość kryminalna, gospodarcza, narkotykowa, korupcja), zagrożeniami terrorystycznymi, bezpieczeństwem imprez masowych, bezpieczeństwem migracyjnym, bezpieczeństwem granicy </w:t>
      </w:r>
      <w:r w:rsidRPr="006F648C">
        <w:rPr>
          <w:rFonts w:eastAsia="Times New Roman" w:cs="Calibri"/>
          <w:lang w:eastAsia="pl-PL"/>
        </w:rPr>
        <w:t>państwowej RP, w tym zwłaszcza jej odcinków stanowiących granicę</w:t>
      </w:r>
      <w:r>
        <w:rPr>
          <w:rFonts w:eastAsia="Times New Roman" w:cs="Calibri"/>
          <w:lang w:eastAsia="pl-PL"/>
        </w:rPr>
        <w:t xml:space="preserve"> </w:t>
      </w:r>
      <w:r w:rsidRPr="00F21196">
        <w:rPr>
          <w:rFonts w:eastAsia="Times New Roman" w:cs="Calibri"/>
          <w:lang w:eastAsia="pl-PL"/>
        </w:rPr>
        <w:t>UE/Schengen, bezpieczeństwem ruchu drogowego, a także dotyczące problematyki wynikającej z polityki penitencjarnej i resocjalizacji, szeroko rozumianego zarządzania kryzysowego z uwzględnieniem zagrożenia pożarowego, ochroną ludności i obroną cywilną czy ratownictwem górskim, wodnym i morskim.</w:t>
      </w:r>
    </w:p>
    <w:p w14:paraId="1DA1D69C" w14:textId="4C6D9F2B" w:rsidR="00B53DEC" w:rsidRPr="0019751A" w:rsidRDefault="00B53DEC" w:rsidP="00B53DEC">
      <w:pPr>
        <w:spacing w:after="120" w:line="276" w:lineRule="auto"/>
        <w:jc w:val="both"/>
        <w:rPr>
          <w:rFonts w:eastAsia="Times New Roman" w:cs="Calibri"/>
          <w:lang w:eastAsia="pl-PL"/>
        </w:rPr>
      </w:pPr>
      <w:r w:rsidRPr="00F21196">
        <w:rPr>
          <w:rFonts w:eastAsia="Times New Roman" w:cs="Calibri"/>
          <w:b/>
          <w:lang w:eastAsia="pl-PL"/>
        </w:rPr>
        <w:t xml:space="preserve">Bezpieczeństwo zewnętrzne. </w:t>
      </w:r>
      <w:r w:rsidRPr="0019751A">
        <w:rPr>
          <w:rFonts w:eastAsia="Times New Roman" w:cs="Calibri"/>
          <w:lang w:eastAsia="pl-PL"/>
        </w:rPr>
        <w:t xml:space="preserve">Ostatnie dziesięciolecia pokazały systematyczną erozję ładu międzynarodowego. Wpływ na to miało szereg czynników, między innymi kryzys finansowo-gospodarczy. Wyhamowały nakłady, w tym na obronę, nasiliła się polaryzacja społeczna. Wychodzące z recesji gospodarki doświadczyły kolejnego ciosu w zderzeniu z pandemią. Wirus COVID-19 nasilił rywalizację amerykańsko-chińską, zachwiał ideą multilateralizmu, unaocznił znaczenie nietradycyjnych zagrożeń. </w:t>
      </w:r>
    </w:p>
    <w:p w14:paraId="64B2E09B" w14:textId="498466F0" w:rsidR="00B53DEC" w:rsidRPr="0019751A" w:rsidRDefault="00B53DEC" w:rsidP="00B53DEC">
      <w:pPr>
        <w:spacing w:after="120" w:line="276" w:lineRule="auto"/>
        <w:jc w:val="both"/>
        <w:rPr>
          <w:rFonts w:eastAsia="Times New Roman" w:cs="Calibri"/>
          <w:lang w:eastAsia="pl-PL"/>
        </w:rPr>
      </w:pPr>
      <w:r w:rsidRPr="0019751A">
        <w:rPr>
          <w:rFonts w:eastAsia="Times New Roman" w:cs="Calibri"/>
          <w:lang w:eastAsia="pl-PL"/>
        </w:rPr>
        <w:t xml:space="preserve">W wymiarze bezpieczeństwa znaczącą rolę w ostatnich latach odegrała polityka Rosji. Agresja przeciw Gruzji i Ukrainie, w tym aneksja Krymu uderzyły w serce europejskiej architektury bezpieczeństwa opartej o zasady OBWE. </w:t>
      </w:r>
      <w:r w:rsidRPr="0019751A">
        <w:t xml:space="preserve">Działania Rosji podważyły </w:t>
      </w:r>
      <w:r w:rsidRPr="00B53DEC">
        <w:rPr>
          <w:szCs w:val="28"/>
        </w:rPr>
        <w:t>post</w:t>
      </w:r>
      <w:r>
        <w:t xml:space="preserve"> </w:t>
      </w:r>
      <w:r w:rsidRPr="0019751A">
        <w:t xml:space="preserve">zimnowojenny ład międzynarodowy w Europie, zbudowany na zaufaniu </w:t>
      </w:r>
      <w:r w:rsidRPr="00B53DEC">
        <w:t>i zasadach współpracy. Dlatego napięcia na wschodzie Europy pozostają najistotniejszym czynnikiem</w:t>
      </w:r>
      <w:r w:rsidRPr="0019751A">
        <w:t xml:space="preserve"> potencjalnie zagrażającym bezpieczeństwu regionalnemu.</w:t>
      </w:r>
    </w:p>
    <w:p w14:paraId="3D5F9484" w14:textId="77777777" w:rsidR="00B53DEC" w:rsidRPr="0019751A" w:rsidRDefault="00B53DEC" w:rsidP="00B53DEC">
      <w:pPr>
        <w:spacing w:after="120" w:line="276" w:lineRule="auto"/>
        <w:jc w:val="both"/>
      </w:pPr>
      <w:r w:rsidRPr="0019751A">
        <w:t xml:space="preserve">Jednocześnie rośnie skala zagrożeń i nieprzewidywalność  w południowym sąsiedztwie UE. Konflikty zbrojne w państwach Afryki Północnej i Bliskiego Wschodu, aktywność ugrupowań terrorystycznych, bezprecedensowe fale migracyjne zdestabilizowały region. </w:t>
      </w:r>
    </w:p>
    <w:p w14:paraId="16D16F9C" w14:textId="77777777" w:rsidR="00B53DEC" w:rsidRDefault="00B53DEC" w:rsidP="00B53DEC">
      <w:pPr>
        <w:spacing w:before="120" w:after="0"/>
        <w:jc w:val="both"/>
      </w:pPr>
      <w:r w:rsidRPr="0019751A">
        <w:t xml:space="preserve">Ważnym procesem wpływającym pośrednio na bezpieczeństwo Europy są rosnące ambicje państw regionu Azji i Pacyfiku. Wzrasta znaczenie wyzwań natury społecznej, demograficznej, ekologicznej, związane z globalizacją, informatyzacją, zmianami klimatycznymi, jak również zagrożeń o charakterze globalnym: rozprzestrzenianie broni masowego rażenia, międzynarodowa przestępczość zorganizowana, kurczące się zasoby surowców, pandemie itp. Lista zagrożeń wydłużyła się, obejmując nowe zjawiska, jak zagrożenia o charakterze hybrydowym czy też w sferze cyberbezpieczeństwa. </w:t>
      </w:r>
    </w:p>
    <w:p w14:paraId="2FE187F0" w14:textId="77777777" w:rsidR="00B53DEC" w:rsidRPr="0019751A" w:rsidRDefault="00B53DEC" w:rsidP="00B53DEC">
      <w:pPr>
        <w:spacing w:after="0" w:line="276" w:lineRule="auto"/>
        <w:jc w:val="both"/>
      </w:pPr>
      <w:r w:rsidRPr="0019751A">
        <w:t>Dokonujące się zmiany w sposób niekorzystny kształtują środowisko bezpieczeństwa Polski. Rodzi to potrzebę działań realizowanych jednocześnie w trzech wymiarach:</w:t>
      </w:r>
    </w:p>
    <w:p w14:paraId="7A28DB20" w14:textId="77777777" w:rsidR="00B53DEC" w:rsidRPr="0019751A" w:rsidRDefault="00B53DEC" w:rsidP="00B53DEC">
      <w:pPr>
        <w:spacing w:after="0" w:line="276" w:lineRule="auto"/>
        <w:jc w:val="both"/>
      </w:pPr>
      <w:r w:rsidRPr="0019751A">
        <w:t>- krajowym</w:t>
      </w:r>
      <w:r>
        <w:t xml:space="preserve"> </w:t>
      </w:r>
      <w:r w:rsidRPr="0019751A">
        <w:t>- mającym na celu istotne wzmocnienie własnych zdolności obronnych</w:t>
      </w:r>
      <w:r>
        <w:t>,</w:t>
      </w:r>
    </w:p>
    <w:p w14:paraId="0C6B4BC5" w14:textId="77777777" w:rsidR="00B53DEC" w:rsidRPr="0019751A" w:rsidRDefault="00B53DEC" w:rsidP="00B53DEC">
      <w:pPr>
        <w:spacing w:after="0" w:line="276" w:lineRule="auto"/>
        <w:jc w:val="both"/>
      </w:pPr>
      <w:r w:rsidRPr="0019751A">
        <w:t>- sojuszniczym</w:t>
      </w:r>
      <w:r>
        <w:t xml:space="preserve"> </w:t>
      </w:r>
      <w:r w:rsidRPr="0019751A">
        <w:t>- polegającym na wzmocnieniu wiarygodności NATO i potencjału UE oraz zachowaniu bliskich stosunków z USA</w:t>
      </w:r>
      <w:r>
        <w:t>,</w:t>
      </w:r>
    </w:p>
    <w:p w14:paraId="0B4682D6" w14:textId="77777777" w:rsidR="00B53DEC" w:rsidRPr="00B53DEC" w:rsidRDefault="00B53DEC" w:rsidP="00B53DEC">
      <w:pPr>
        <w:spacing w:after="0" w:line="276" w:lineRule="auto"/>
        <w:jc w:val="both"/>
      </w:pPr>
      <w:r w:rsidRPr="0019751A">
        <w:t xml:space="preserve">- </w:t>
      </w:r>
      <w:r w:rsidRPr="00B53DEC">
        <w:t>regionalnym - zorientowanym na zacieśnianie współpracy z państwami naszego regionu (zwłaszcza Grupą Wyszehradzką, Rumunią, państwami bałtyckimi i nordyckimi) i aktywną politykę wschodnią.</w:t>
      </w:r>
    </w:p>
    <w:p w14:paraId="2B15FD0C" w14:textId="4C3BF543" w:rsidR="00B53DEC" w:rsidRDefault="00B53DEC" w:rsidP="00B53DEC">
      <w:pPr>
        <w:spacing w:after="120" w:line="276" w:lineRule="auto"/>
        <w:jc w:val="both"/>
        <w:rPr>
          <w:rFonts w:cs="Times New Roman"/>
        </w:rPr>
      </w:pPr>
      <w:r w:rsidRPr="0071387D">
        <w:rPr>
          <w:rFonts w:cs="Times New Roman"/>
        </w:rPr>
        <w:t>Podstawowym narzędziem zapewnienia obywatelom bezpieczeństwa zewnętrznego pozostają Siły Zbrojne RP</w:t>
      </w:r>
      <w:r w:rsidRPr="00F22255">
        <w:rPr>
          <w:rFonts w:cs="Times New Roman"/>
        </w:rPr>
        <w:t xml:space="preserve">. </w:t>
      </w:r>
      <w:r w:rsidRPr="0071387D">
        <w:rPr>
          <w:rFonts w:cs="Times New Roman"/>
        </w:rPr>
        <w:t xml:space="preserve">Konieczność wzmocnienia bezpieczeństwa </w:t>
      </w:r>
      <w:r w:rsidRPr="00B53DEC">
        <w:rPr>
          <w:rFonts w:cs="Times New Roman"/>
        </w:rPr>
        <w:t>wschodniej flanki NATO oraz zdolności obronnych Sojuszu stanowią wyzwanie. Zjawiska negatywnie</w:t>
      </w:r>
      <w:r w:rsidRPr="00F21196">
        <w:rPr>
          <w:rFonts w:cs="Times New Roman"/>
        </w:rPr>
        <w:t xml:space="preserve"> rzutują</w:t>
      </w:r>
      <w:r>
        <w:rPr>
          <w:rFonts w:cs="Times New Roman"/>
        </w:rPr>
        <w:t>ce</w:t>
      </w:r>
      <w:r w:rsidRPr="00F21196">
        <w:rPr>
          <w:rFonts w:cs="Times New Roman"/>
        </w:rPr>
        <w:t xml:space="preserve"> na bezpieczeństwo Polski</w:t>
      </w:r>
      <w:r>
        <w:rPr>
          <w:rFonts w:cs="Times New Roman"/>
        </w:rPr>
        <w:t xml:space="preserve"> p</w:t>
      </w:r>
      <w:r w:rsidRPr="00F21196">
        <w:rPr>
          <w:rFonts w:cs="Times New Roman"/>
        </w:rPr>
        <w:t>owoduj</w:t>
      </w:r>
      <w:r>
        <w:rPr>
          <w:rFonts w:cs="Times New Roman"/>
        </w:rPr>
        <w:t>ą</w:t>
      </w:r>
      <w:r w:rsidRPr="00F21196">
        <w:rPr>
          <w:rFonts w:cs="Times New Roman"/>
        </w:rPr>
        <w:t xml:space="preserve"> konieczność znaczącego zwiększenia potencjału</w:t>
      </w:r>
      <w:r>
        <w:rPr>
          <w:rFonts w:cs="Times New Roman"/>
        </w:rPr>
        <w:t xml:space="preserve"> obronnego RP</w:t>
      </w:r>
      <w:r w:rsidRPr="00F21196">
        <w:rPr>
          <w:rFonts w:cs="Times New Roman"/>
        </w:rPr>
        <w:t xml:space="preserve">. </w:t>
      </w:r>
      <w:r>
        <w:rPr>
          <w:rFonts w:cs="Times New Roman"/>
        </w:rPr>
        <w:t xml:space="preserve">Powinno ono obejmować doskonalenie sytemu kierowania bezpieczeństwem narodowym, obejmującego wszystkie organy państwa, szczególnie w sytuacji eskalacji kryzysu bezpieczeństwa międzynarodowego. Niezbędne są również zmiany legislacyjne umożliwiające elastyczne reagowanie na zagrożenie oraz efektywne prowadzenie wyprzedzających przygotowań obronnych.  </w:t>
      </w:r>
    </w:p>
    <w:p w14:paraId="05997CC5" w14:textId="77777777" w:rsidR="00B53DEC" w:rsidRPr="00F21196" w:rsidRDefault="00B53DEC" w:rsidP="00B53DEC">
      <w:pPr>
        <w:spacing w:after="120" w:line="276" w:lineRule="auto"/>
        <w:jc w:val="both"/>
        <w:rPr>
          <w:rFonts w:cs="Times New Roman"/>
        </w:rPr>
      </w:pPr>
      <w:r w:rsidRPr="00F21196">
        <w:rPr>
          <w:rFonts w:cs="Times New Roman"/>
        </w:rPr>
        <w:t xml:space="preserve">Realizowana modernizacja techniczna poprawia stopień unowocześnienia polskiej armii, niemniej jednak w Siłach Zbrojnych RP nadal funkcjonują systemy uzbrojenia oraz rozwiązania techniczne i organizacyjne wymagające podjęcia pilnych działań naprawczych. Także wysokość nakładów na obronność oraz stan liczebny wojska są nieadekwatne do obecnych potrzeb obronnych państwa. </w:t>
      </w:r>
      <w:r>
        <w:rPr>
          <w:rFonts w:cs="Times New Roman"/>
        </w:rPr>
        <w:t xml:space="preserve">Wprowadzane są kompleksowe zmiany w systemie rekrutacji do Sił Zbrojnych RP, w celu zwiększenia liczebności wojska oraz ujednolicenia i koordynacji tego procesu. </w:t>
      </w:r>
      <w:r w:rsidRPr="00F21196">
        <w:rPr>
          <w:rFonts w:cs="Times New Roman"/>
        </w:rPr>
        <w:t>Siły Zbrojne RP</w:t>
      </w:r>
      <w:r>
        <w:rPr>
          <w:rFonts w:cs="Times New Roman"/>
        </w:rPr>
        <w:t>, wypełniające misje we wszystkich stanach gotowości obronnej państwa, powinny reagować na zmieniającą się rzeczywistość wielowymiarowo. Powinny być zdolne do efektywnego prowadzenia każdego rodzaju</w:t>
      </w:r>
      <w:r w:rsidRPr="00F21196">
        <w:rPr>
          <w:rFonts w:cs="Times New Roman"/>
        </w:rPr>
        <w:t xml:space="preserve"> operacji</w:t>
      </w:r>
      <w:r>
        <w:rPr>
          <w:rFonts w:cs="Times New Roman"/>
        </w:rPr>
        <w:t>, w tym bojowych i reagowania kryzysowego we współdziałaniu z innymi ogniwami sytemu bezpieczeństwa państwa, militarnymi i niemilitarnymi, zarówno w środowisku narodowym, jak</w:t>
      </w:r>
      <w:r>
        <w:rPr>
          <w:rFonts w:cs="Times New Roman"/>
        </w:rPr>
        <w:br/>
        <w:t>i sojuszniczym.</w:t>
      </w:r>
    </w:p>
    <w:p w14:paraId="6C544903" w14:textId="77777777" w:rsidR="00B53DEC" w:rsidRPr="00F21196" w:rsidRDefault="00B53DEC" w:rsidP="00B53DEC">
      <w:pPr>
        <w:spacing w:after="120"/>
        <w:jc w:val="both"/>
        <w:rPr>
          <w:rFonts w:eastAsia="Times New Roman" w:cs="Calibri"/>
          <w:lang w:eastAsia="pl-PL"/>
        </w:rPr>
      </w:pPr>
      <w:r>
        <w:rPr>
          <w:rFonts w:eastAsia="Times New Roman" w:cs="Calibri"/>
          <w:lang w:eastAsia="pl-PL"/>
        </w:rPr>
        <w:t>Stąd, k</w:t>
      </w:r>
      <w:r w:rsidRPr="00F21196">
        <w:rPr>
          <w:rFonts w:eastAsia="Times New Roman" w:cs="Calibri"/>
          <w:lang w:eastAsia="pl-PL"/>
        </w:rPr>
        <w:t xml:space="preserve">ompleksowa poprawa zdolności operacyjnych sił zbrojnych, wsparta zwiększonym finansowaniem </w:t>
      </w:r>
      <w:r w:rsidRPr="00F21196">
        <w:rPr>
          <w:rFonts w:eastAsia="Times New Roman" w:cs="Calibri"/>
          <w:lang w:eastAsia="pl-PL"/>
        </w:rPr>
        <w:br/>
        <w:t xml:space="preserve">i liczebnością polskiej armii, wzmocni bezpieczeństwo obywateli, terytorium RP i regionu. </w:t>
      </w:r>
    </w:p>
    <w:p w14:paraId="7881E1CF" w14:textId="77777777" w:rsidR="00B53DEC" w:rsidRDefault="00B53DEC" w:rsidP="00B53DEC">
      <w:pPr>
        <w:spacing w:after="0" w:line="276" w:lineRule="auto"/>
        <w:jc w:val="both"/>
      </w:pPr>
      <w:r>
        <w:t>W wymiarze sojuszniczym NATO pozostaje podstawą bezpieczeństwa Polski i bezpieczeństwa europejskiego.</w:t>
      </w:r>
      <w:r w:rsidRPr="00C530A9">
        <w:t xml:space="preserve"> </w:t>
      </w:r>
      <w:r w:rsidRPr="00F21196">
        <w:t>W obliczu rosnących zagrożeń ze wschodu i południa NATO – podczas szczytu w Newport (2014) – podję</w:t>
      </w:r>
      <w:r>
        <w:t>t</w:t>
      </w:r>
      <w:r w:rsidRPr="00F21196">
        <w:t xml:space="preserve">o decyzje o adaptacji do podlegającego negatywnym zmianom środowiska bezpieczeństwa, poprzez </w:t>
      </w:r>
      <w:r w:rsidRPr="00F21196">
        <w:rPr>
          <w:rFonts w:eastAsia="Calibri" w:cs="Times New Roman"/>
        </w:rPr>
        <w:t xml:space="preserve">poprawę zdolności obronnych i odstraszania, w tym m.in. </w:t>
      </w:r>
      <w:r w:rsidRPr="00F21196">
        <w:t xml:space="preserve">zwiększenie obecności wojskowej Sojuszu na wschodniej flance. Decyzje te, potwierdzone </w:t>
      </w:r>
      <w:r w:rsidRPr="00F21196">
        <w:rPr>
          <w:rFonts w:eastAsia="Calibri" w:cs="Times New Roman"/>
        </w:rPr>
        <w:t xml:space="preserve">i rozszerzone </w:t>
      </w:r>
      <w:r w:rsidRPr="00F21196">
        <w:t>podczas szczyt</w:t>
      </w:r>
      <w:r>
        <w:t>ów</w:t>
      </w:r>
      <w:r w:rsidRPr="00F21196">
        <w:t xml:space="preserve"> w Warszawie (2016)</w:t>
      </w:r>
      <w:r>
        <w:t xml:space="preserve"> i Brukseli (2018) oraz spotkania liderów NATO w Londynie (2019)</w:t>
      </w:r>
      <w:r w:rsidRPr="00F21196">
        <w:t xml:space="preserve">, wymagają </w:t>
      </w:r>
      <w:r w:rsidRPr="00F21196">
        <w:rPr>
          <w:rFonts w:eastAsia="Calibri" w:cs="Times New Roman"/>
        </w:rPr>
        <w:t>pełnej</w:t>
      </w:r>
      <w:r>
        <w:rPr>
          <w:rFonts w:eastAsia="Calibri" w:cs="Times New Roman"/>
        </w:rPr>
        <w:t xml:space="preserve"> i długoterminowej </w:t>
      </w:r>
      <w:r w:rsidRPr="00F21196">
        <w:t>implementacji.</w:t>
      </w:r>
      <w:r>
        <w:t xml:space="preserve"> Szczególne znaczenie ma wzmocniona wysunięta obecność (</w:t>
      </w:r>
      <w:r w:rsidRPr="00B53DEC">
        <w:rPr>
          <w:i/>
        </w:rPr>
        <w:t>enhanced Forward Presence</w:t>
      </w:r>
      <w:r>
        <w:t xml:space="preserve"> – eFP) na wschodniej flance, w tym w Polsce. </w:t>
      </w:r>
    </w:p>
    <w:p w14:paraId="29C0CDCB" w14:textId="77777777" w:rsidR="00B53DEC" w:rsidRPr="00B53DEC" w:rsidRDefault="00B53DEC" w:rsidP="000E63C1">
      <w:pPr>
        <w:spacing w:before="120" w:after="0" w:line="276" w:lineRule="auto"/>
        <w:jc w:val="both"/>
      </w:pPr>
      <w:r>
        <w:t xml:space="preserve">Współpraca dwustronna z USA ma charakter strategiczny. Polityczne i militarne zaangażowanie amerykańskie w Polsce (realizowane w ramach NATO oraz w oparciu o bilateralną współpracę) i Europie stanowi kluczowy element naszego bezpieczeństwa. Skala obecności wojskowej USA na terytorium RP od kilku lat systematycznie wzrasta. Ważnym krokiem w ramach tego procesu było podpisanie w dniu 15 sierpnia 2020 r. umowy </w:t>
      </w:r>
      <w:r w:rsidRPr="00B15F43">
        <w:rPr>
          <w:i/>
        </w:rPr>
        <w:t xml:space="preserve">o wzmocnionej współpracy obronnej między Rządem Rzeczypospolitej Polskiej a Rządem Stanów Zjednoczonych Ameryki. </w:t>
      </w:r>
      <w:r>
        <w:rPr>
          <w:rFonts w:eastAsia="Times New Roman" w:cs="Times New Roman"/>
          <w:i/>
          <w:lang w:eastAsia="pl-PL"/>
        </w:rPr>
        <w:t xml:space="preserve">Ma ona </w:t>
      </w:r>
      <w:r w:rsidRPr="00B15F43">
        <w:rPr>
          <w:rFonts w:eastAsia="Times New Roman" w:cs="Times New Roman"/>
          <w:i/>
          <w:lang w:eastAsia="pl-PL"/>
        </w:rPr>
        <w:t xml:space="preserve">na celu regulację trzech głównych aspektów: współpracy obronnej z USA, funkcjonowania sił </w:t>
      </w:r>
      <w:r w:rsidRPr="00B53DEC">
        <w:rPr>
          <w:rFonts w:eastAsia="Times New Roman" w:cs="Times New Roman"/>
          <w:i/>
          <w:lang w:eastAsia="pl-PL"/>
        </w:rPr>
        <w:t xml:space="preserve">zbrojnych USA w Polsce oraz wsparcia infrastrukturalnego i logistycznego dla sił zbrojnych USA w Polsce. </w:t>
      </w:r>
    </w:p>
    <w:p w14:paraId="64A3A781" w14:textId="460C828D" w:rsidR="00B53DEC" w:rsidRPr="00B53DEC" w:rsidRDefault="00B53DEC" w:rsidP="000E63C1">
      <w:pPr>
        <w:spacing w:before="120" w:after="0" w:line="276" w:lineRule="auto"/>
        <w:jc w:val="both"/>
      </w:pPr>
      <w:r w:rsidRPr="00B53DEC">
        <w:t>Kolejnym filarem bezpieczeństwa Polski pozostaje członkostwo w Unii Europejskiej i rozwój wymiaru obronnego UE. Istotnym jest, by uruchamiane nowe unijne instrumenty rozwoju wymiaru obronnego, takie jak Stała Współpraca Strukturalna UE (PESCO), Europejski Fundusz Obronny (EDF) czy poprawa mobilności wojskowej (</w:t>
      </w:r>
      <w:r w:rsidRPr="00B53DEC">
        <w:rPr>
          <w:i/>
        </w:rPr>
        <w:t>Military Mobility</w:t>
      </w:r>
      <w:r w:rsidRPr="00B53DEC">
        <w:t xml:space="preserve">) przyczyniały się do utrzymania niepodzielności bezpieczeństwa obszaru Euroatlantyckiego i rozwoju zdolności obronnych państw członkowskich UE, wzmacniając w ten sposób europejski filar NATO. Działania powinny wykorzystywać rolę Sojuszu Północnoatlantyckiego i więzi transatlantyckiej dla bezpieczeństwa Europy. Duże znaczenie będzie miało również zrównoważenie działań UE w zakresie reagowania kryzysowego pod względem geograficznym, tak, by odpowiadały one na zagrożenia dla bezpieczeństwa </w:t>
      </w:r>
      <w:r w:rsidRPr="00B53DEC">
        <w:rPr>
          <w:strike/>
        </w:rPr>
        <w:t>odczuwane</w:t>
      </w:r>
      <w:r w:rsidRPr="00B53DEC">
        <w:t xml:space="preserve"> identyfikowane przez pozostałe państwa członkowskie.</w:t>
      </w:r>
    </w:p>
    <w:p w14:paraId="755DF9FE" w14:textId="77777777" w:rsidR="00B53DEC" w:rsidRDefault="00B53DEC" w:rsidP="00B53DEC">
      <w:pPr>
        <w:spacing w:before="120" w:after="0" w:line="276" w:lineRule="auto"/>
        <w:jc w:val="both"/>
      </w:pPr>
      <w:r w:rsidRPr="00F21196">
        <w:t>Polska</w:t>
      </w:r>
      <w:r>
        <w:t>,</w:t>
      </w:r>
      <w:r w:rsidRPr="00F21196">
        <w:t xml:space="preserve"> jako członek wspólnoty transatlantyckiej musi stawić czoł</w:t>
      </w:r>
      <w:r>
        <w:t>a</w:t>
      </w:r>
      <w:r w:rsidRPr="00F21196">
        <w:t xml:space="preserve"> licznym wyzwaniom. </w:t>
      </w:r>
      <w:r>
        <w:t>Powróciły tradycyjne zagrożenia o charakterze wojskowym, pojawiły się nowe, o charakterze pozamilitarnym.</w:t>
      </w:r>
      <w:r w:rsidRPr="00F21196">
        <w:t xml:space="preserve">. W interesie Polski leży poszukiwanie sojuszników </w:t>
      </w:r>
      <w:r>
        <w:t>po</w:t>
      </w:r>
      <w:r w:rsidRPr="00F21196">
        <w:t>dziel</w:t>
      </w:r>
      <w:r>
        <w:t>aj</w:t>
      </w:r>
      <w:r w:rsidRPr="00F21196">
        <w:t xml:space="preserve">ących naszą percepcję zagrożeń i poszukujących wspólnych </w:t>
      </w:r>
      <w:r>
        <w:t xml:space="preserve">sposobów przeciwdziałania im, poprzez współpracę regionalną, jak i </w:t>
      </w:r>
      <w:r w:rsidRPr="00F21196">
        <w:t xml:space="preserve">z wykorzystaniem potencjału głównych organizacji międzynarodowych, takich jak NATO, UE czy OBWE. </w:t>
      </w:r>
    </w:p>
    <w:p w14:paraId="314C8853" w14:textId="77777777" w:rsidR="00B53DEC" w:rsidRPr="00F21196" w:rsidRDefault="00B53DEC" w:rsidP="00B53DEC">
      <w:pPr>
        <w:spacing w:after="0" w:line="276" w:lineRule="auto"/>
        <w:jc w:val="both"/>
      </w:pPr>
    </w:p>
    <w:p w14:paraId="6016A627" w14:textId="77777777" w:rsidR="00B53DEC" w:rsidRDefault="00B53DEC" w:rsidP="00B53DEC">
      <w:pPr>
        <w:spacing w:line="276" w:lineRule="auto"/>
        <w:jc w:val="both"/>
        <w:rPr>
          <w:rFonts w:eastAsia="Calibri" w:cs="Times New Roman"/>
          <w:lang w:eastAsia="pl-PL"/>
        </w:rPr>
      </w:pPr>
      <w:r>
        <w:rPr>
          <w:rFonts w:eastAsia="Calibri" w:cs="Times New Roman"/>
          <w:b/>
          <w:lang w:eastAsia="pl-PL"/>
        </w:rPr>
        <w:t xml:space="preserve">Wizerunek Polski. </w:t>
      </w:r>
      <w:r w:rsidRPr="00F21196">
        <w:rPr>
          <w:rFonts w:eastAsia="Calibri" w:cs="Times New Roman"/>
          <w:lang w:eastAsia="pl-PL"/>
        </w:rPr>
        <w:t xml:space="preserve">We współczesnym świecie wizerunek państw przestał być subiektywną kwestią sympatii bądź antypatii. Stał się „marką”, mającą swoją wymierną wartość. Może on wpływać pozytywnie lub negatywnie na realizację celów międzynarodowych w różnych dziedzinach, może zwiększyć lub zmniejszyć koszty prowadzenia działalności gospodarczej. </w:t>
      </w:r>
      <w:r>
        <w:rPr>
          <w:rFonts w:eastAsia="Calibri" w:cs="Times New Roman"/>
          <w:lang w:eastAsia="pl-PL"/>
        </w:rPr>
        <w:t xml:space="preserve">Zatem </w:t>
      </w:r>
      <w:r>
        <w:rPr>
          <w:rFonts w:eastAsia="Calibri" w:cs="Times New Roman"/>
          <w:bCs/>
          <w:lang w:eastAsia="pl-PL"/>
        </w:rPr>
        <w:t>b</w:t>
      </w:r>
      <w:r w:rsidRPr="00F21196">
        <w:rPr>
          <w:rFonts w:eastAsia="Calibri" w:cs="Times New Roman"/>
          <w:bCs/>
          <w:lang w:eastAsia="pl-PL"/>
        </w:rPr>
        <w:t>udowanie wizerunku kraju należy traktować jako jedno z ważnych zadań polityki zagranicznej, wywierające realny wpływ na otoczenie międzynarodowe Rzeczypospolitej oraz na jej międzynarodową pozycję gospodarczą i polityczną</w:t>
      </w:r>
      <w:r w:rsidRPr="00F21196">
        <w:rPr>
          <w:rFonts w:eastAsia="Calibri" w:cs="Times New Roman"/>
          <w:lang w:eastAsia="pl-PL"/>
        </w:rPr>
        <w:t xml:space="preserve">. Polska, kraj o ponadtysiącletniej historii, z sukcesem realizujący program modernizacji, będący aktywnym członkiem Unii Europejskiej i NATO, ma wielki, pozytywny potencjał wizerunkowy. Jego wykorzystanie w polityce zagranicznej zależeć będzie </w:t>
      </w:r>
      <w:r w:rsidRPr="00F21196">
        <w:rPr>
          <w:rFonts w:eastAsia="Calibri" w:cs="Times New Roman"/>
          <w:bCs/>
          <w:lang w:eastAsia="pl-PL"/>
        </w:rPr>
        <w:t>od wypracowania ambitnego, ale i realnego planu promocji, zapewnienia niezbędnych narzędzi i wreszcie konsekwentnej realizacji.</w:t>
      </w:r>
      <w:r w:rsidRPr="00F21196">
        <w:rPr>
          <w:rFonts w:eastAsia="Calibri" w:cs="Times New Roman"/>
          <w:color w:val="FF0000"/>
          <w:lang w:eastAsia="pl-PL"/>
        </w:rPr>
        <w:t xml:space="preserve"> </w:t>
      </w:r>
      <w:r w:rsidRPr="00F21196">
        <w:rPr>
          <w:rFonts w:eastAsia="Calibri" w:cs="Times New Roman"/>
          <w:lang w:eastAsia="pl-PL"/>
        </w:rPr>
        <w:t xml:space="preserve"> </w:t>
      </w:r>
      <w:r>
        <w:rPr>
          <w:rFonts w:eastAsia="Calibri" w:cs="Times New Roman"/>
          <w:lang w:eastAsia="pl-PL"/>
        </w:rPr>
        <w:t xml:space="preserve"> </w:t>
      </w:r>
      <w:r w:rsidRPr="00F21196">
        <w:rPr>
          <w:rFonts w:eastAsia="Calibri" w:cs="Times New Roman"/>
          <w:lang w:eastAsia="pl-PL"/>
        </w:rPr>
        <w:t xml:space="preserve"> </w:t>
      </w:r>
    </w:p>
    <w:p w14:paraId="5FF10361" w14:textId="1566DBC8" w:rsidR="00B53DEC" w:rsidRPr="007F49FA" w:rsidRDefault="00B53DEC" w:rsidP="00B53DEC">
      <w:pPr>
        <w:spacing w:line="276" w:lineRule="auto"/>
        <w:jc w:val="both"/>
        <w:rPr>
          <w:rFonts w:eastAsia="Calibri" w:cs="Times New Roman"/>
          <w:lang w:eastAsia="pl-PL"/>
        </w:rPr>
      </w:pPr>
      <w:r w:rsidRPr="00F21196">
        <w:rPr>
          <w:rFonts w:eastAsia="Calibri" w:cs="Times New Roman"/>
          <w:lang w:eastAsia="pl-PL"/>
        </w:rPr>
        <w:t>Pozytywny potencjał promocji wizerunku Polski stwarza</w:t>
      </w:r>
      <w:r>
        <w:rPr>
          <w:rFonts w:eastAsia="Calibri" w:cs="Times New Roman"/>
          <w:lang w:eastAsia="pl-PL"/>
        </w:rPr>
        <w:t xml:space="preserve"> </w:t>
      </w:r>
      <w:r w:rsidRPr="00F21196">
        <w:rPr>
          <w:rFonts w:eastAsia="Calibri" w:cs="Times New Roman"/>
          <w:lang w:eastAsia="pl-PL"/>
        </w:rPr>
        <w:t xml:space="preserve">także </w:t>
      </w:r>
      <w:r>
        <w:rPr>
          <w:rFonts w:eastAsia="Calibri" w:cs="Times New Roman"/>
          <w:lang w:eastAsia="pl-PL"/>
        </w:rPr>
        <w:t>zaangażowanie we współpracę regionalną i w prace organizacji międzynarodowych, czego przykładem może być:</w:t>
      </w:r>
      <w:r w:rsidRPr="00F21196">
        <w:rPr>
          <w:rFonts w:eastAsia="Calibri" w:cs="Times New Roman"/>
          <w:lang w:eastAsia="pl-PL"/>
        </w:rPr>
        <w:t xml:space="preserve"> </w:t>
      </w:r>
      <w:r>
        <w:rPr>
          <w:rFonts w:eastAsia="Calibri" w:cs="Times New Roman"/>
          <w:lang w:eastAsia="pl-PL"/>
        </w:rPr>
        <w:t xml:space="preserve">udział Polski w Radzie Wykonawczej Organizacji ds. Zakazu Broni Chemicznej (OPCW) w latach 2020-2022, udział w operacjach międzynarodowych UE, NATO i ONZ, czy też przewodnictwo w Organizacji Bezpieczeństwa i Współpracy w Europie (OBWE) w roku 2022, a w niedawnej przeszłości – </w:t>
      </w:r>
      <w:r w:rsidRPr="00F21196">
        <w:rPr>
          <w:rFonts w:eastAsia="Calibri" w:cs="Times New Roman"/>
          <w:lang w:eastAsia="pl-PL"/>
        </w:rPr>
        <w:t>niestałe członkostwo Polski w Radzie Bezpieczeństwa ONZ w latach 2018-2019</w:t>
      </w:r>
      <w:r>
        <w:rPr>
          <w:rFonts w:eastAsia="Calibri" w:cs="Times New Roman"/>
          <w:lang w:eastAsia="pl-PL"/>
        </w:rPr>
        <w:t>, polskie przewodnictwo w Grupie Wyszehradzkiej (2020-2021),</w:t>
      </w:r>
      <w:r w:rsidRPr="0032381B">
        <w:rPr>
          <w:rFonts w:eastAsia="Calibri" w:cs="Times New Roman"/>
          <w:lang w:eastAsia="pl-PL"/>
        </w:rPr>
        <w:t xml:space="preserve"> </w:t>
      </w:r>
      <w:r>
        <w:rPr>
          <w:rFonts w:eastAsia="Calibri" w:cs="Times New Roman"/>
          <w:lang w:eastAsia="pl-PL"/>
        </w:rPr>
        <w:t>aktywne uczestnictwo w pracach G-20 (nawet bez formalnego członkostwa). Role te d</w:t>
      </w:r>
      <w:r w:rsidRPr="00F21196">
        <w:rPr>
          <w:rFonts w:eastAsia="Calibri" w:cs="Times New Roman"/>
          <w:lang w:eastAsia="pl-PL"/>
        </w:rPr>
        <w:t>aj</w:t>
      </w:r>
      <w:r>
        <w:rPr>
          <w:rFonts w:eastAsia="Calibri" w:cs="Times New Roman"/>
          <w:lang w:eastAsia="pl-PL"/>
        </w:rPr>
        <w:t>ą</w:t>
      </w:r>
      <w:r w:rsidRPr="00F21196">
        <w:rPr>
          <w:rFonts w:eastAsia="Calibri" w:cs="Times New Roman"/>
          <w:lang w:eastAsia="pl-PL"/>
        </w:rPr>
        <w:t xml:space="preserve"> szansę na zaprezentowanie </w:t>
      </w:r>
      <w:r>
        <w:rPr>
          <w:rFonts w:eastAsia="Calibri" w:cs="Times New Roman"/>
          <w:lang w:eastAsia="pl-PL"/>
        </w:rPr>
        <w:t>Polski</w:t>
      </w:r>
      <w:r w:rsidRPr="00F21196">
        <w:rPr>
          <w:rFonts w:eastAsia="Calibri" w:cs="Times New Roman"/>
          <w:lang w:eastAsia="pl-PL"/>
        </w:rPr>
        <w:t xml:space="preserve"> jako aktywnego i wiarygodnego członka </w:t>
      </w:r>
      <w:r>
        <w:rPr>
          <w:rFonts w:eastAsia="Calibri" w:cs="Times New Roman"/>
          <w:lang w:eastAsia="pl-PL"/>
        </w:rPr>
        <w:t>wspólnoty międzynarodowej</w:t>
      </w:r>
      <w:r w:rsidRPr="00F21196">
        <w:rPr>
          <w:rFonts w:eastAsia="Calibri" w:cs="Times New Roman"/>
          <w:lang w:eastAsia="pl-PL"/>
        </w:rPr>
        <w:t>, działającego na rzecz utrzymania międzynarodowego pokoju i bezpieczeństwa</w:t>
      </w:r>
      <w:r>
        <w:rPr>
          <w:rFonts w:eastAsia="Calibri" w:cs="Times New Roman"/>
          <w:lang w:eastAsia="pl-PL"/>
        </w:rPr>
        <w:t xml:space="preserve">, biorącego na siebie część odpowiedzialności za przyszłość gospodarki światowej.  </w:t>
      </w:r>
    </w:p>
    <w:p w14:paraId="3C1B7894" w14:textId="260A422D" w:rsidR="00B53DEC" w:rsidRDefault="00B53DEC" w:rsidP="00B53DEC">
      <w:pPr>
        <w:spacing w:line="276" w:lineRule="auto"/>
        <w:jc w:val="both"/>
        <w:rPr>
          <w:rFonts w:eastAsia="Times New Roman" w:cs="Calibri"/>
          <w:b/>
        </w:rPr>
      </w:pPr>
      <w:r>
        <w:rPr>
          <w:b/>
        </w:rPr>
        <w:t xml:space="preserve">Dyplomacja. </w:t>
      </w:r>
      <w:r w:rsidRPr="00F21196">
        <w:t>Sukces polskiej polityki zagranicznej zależy od skuteczności polskiej dyplomacji. Istotną rolę w tym procesie odgrywa adekwatna sieć polskich placówek zagranicznych. „Adekwatność” należy pojmować</w:t>
      </w:r>
      <w:r>
        <w:t>,</w:t>
      </w:r>
      <w:r w:rsidRPr="00F21196">
        <w:t xml:space="preserve"> jako identyfikację rzeczywistych potrzeb, dla których punktem odniesienia są strategiczne interesy Polski w świecie. </w:t>
      </w:r>
      <w:r>
        <w:t>Oznacza to</w:t>
      </w:r>
      <w:r w:rsidRPr="00F21196">
        <w:t xml:space="preserve"> zarówno kwestie polityczne, makroekonomiczne, jak i działania wpisujące się w szeroki kontekst zadań dyplomacji publicznej</w:t>
      </w:r>
      <w:r>
        <w:t xml:space="preserve"> (w tym dyplomacji ekonomicznej)</w:t>
      </w:r>
      <w:r w:rsidRPr="00F21196">
        <w:t xml:space="preserve">, kwestie konsularne, czy programy pomocy rozwojowej i humanitarnej. Wszystkie te czynniki należy poddawać bieżącej analizie pod kątem zidentyfikowania mapy polskich interesów i odpowiedniego umiejscowienia polskich placówek zagranicznych. </w:t>
      </w:r>
      <w:r w:rsidRPr="00B53DEC">
        <w:rPr>
          <w:szCs w:val="28"/>
        </w:rPr>
        <w:t xml:space="preserve">Właściwie </w:t>
      </w:r>
      <w:r w:rsidRPr="00F21196">
        <w:t>zaprojektowana sieć placówek</w:t>
      </w:r>
      <w:r>
        <w:t xml:space="preserve"> wyposażonych w zdolności operacyjne (w tym finansowe) i profesjonalna kadra </w:t>
      </w:r>
      <w:r w:rsidRPr="00F21196">
        <w:t>ma</w:t>
      </w:r>
      <w:r>
        <w:t>ją</w:t>
      </w:r>
      <w:r w:rsidRPr="00F21196">
        <w:t xml:space="preserve"> praktyczny wpływ na realizację polityczno-gospodarczych interesów kraju, zapewnienie odpowiedniej międzynarodowej pozycji Polski, a co za tym idzie, bezpieczeństwa kraju i obywateli.</w:t>
      </w:r>
    </w:p>
    <w:p w14:paraId="04EDA587" w14:textId="77777777" w:rsidR="00B53DEC" w:rsidRDefault="00B53DEC" w:rsidP="00B53DEC">
      <w:pPr>
        <w:spacing w:after="0" w:line="276" w:lineRule="auto"/>
        <w:jc w:val="both"/>
        <w:rPr>
          <w:rFonts w:eastAsia="Calibri" w:cs="Times New Roman"/>
          <w:lang w:eastAsia="pl-PL"/>
        </w:rPr>
      </w:pPr>
      <w:r>
        <w:rPr>
          <w:rFonts w:eastAsia="Calibri" w:cs="Times New Roman"/>
          <w:b/>
          <w:lang w:eastAsia="pl-PL"/>
        </w:rPr>
        <w:t xml:space="preserve">Cyberprzestępczość. </w:t>
      </w:r>
      <w:r w:rsidRPr="00A56D68">
        <w:rPr>
          <w:rFonts w:eastAsia="Calibri" w:cs="Times New Roman"/>
          <w:lang w:eastAsia="pl-PL"/>
        </w:rPr>
        <w:t>Drastycznie wzrosła liczba incydentów cyberbezpieczeństwa oraz samych cyberataków, których ofiarami padają urzędy, szpitale, szkoły, ale także coraz więcej ataków obserwujemy w sektorze prywatnym oraz w stosunku do obywateli. Tylko w I połowie 2020 roku do zespołu reagowania na incydenty komputerowe CSIRT NASK wpłynęło 16 689 zgłoszeń, z czego 5 205 zostało uznanych, jako incydenty cyberbezpieczeństwa (dla porównania – w całym 2019 r. incydentów było 6484). Co istotne, najczęściej występującym typem incydentów były oszustwa komputerowe, w tym phishing, stanowiące ponad 79% (4127) – są to ataki nakierowane głównie na wykorzystanie braku świadomości i wiedzy wśród urzędników, przedsiębiorców oraz obywateli.</w:t>
      </w:r>
      <w:r>
        <w:rPr>
          <w:rFonts w:eastAsia="Calibri" w:cs="Times New Roman"/>
          <w:lang w:eastAsia="pl-PL"/>
        </w:rPr>
        <w:t xml:space="preserve"> </w:t>
      </w:r>
    </w:p>
    <w:p w14:paraId="25425149" w14:textId="2B7F7603" w:rsidR="005A13D6" w:rsidRDefault="00B53DEC" w:rsidP="005A13D6">
      <w:pPr>
        <w:spacing w:before="120" w:after="120" w:line="276" w:lineRule="auto"/>
        <w:jc w:val="both"/>
        <w:rPr>
          <w:rFonts w:eastAsia="Times New Roman" w:cs="Calibri"/>
        </w:rPr>
      </w:pPr>
      <w:r w:rsidRPr="006B1065">
        <w:rPr>
          <w:rFonts w:eastAsia="Times New Roman" w:cs="Calibri"/>
          <w:b/>
        </w:rPr>
        <w:t>Poziom przestępczości</w:t>
      </w:r>
      <w:r w:rsidRPr="006B1065">
        <w:rPr>
          <w:rStyle w:val="Odwoanieprzypisudolnego"/>
          <w:rFonts w:eastAsia="Times New Roman" w:cs="Calibri"/>
          <w:b/>
        </w:rPr>
        <w:footnoteReference w:id="93"/>
      </w:r>
      <w:r w:rsidRPr="006B1065">
        <w:rPr>
          <w:rFonts w:eastAsia="Times New Roman" w:cs="Calibri"/>
          <w:b/>
        </w:rPr>
        <w:t xml:space="preserve"> w Polsce (w tym stan zagrożenia przestępczością kryminalną) i poczucie bezpieczeństwa Polaków. </w:t>
      </w:r>
      <w:r w:rsidR="005A13D6">
        <w:rPr>
          <w:rFonts w:eastAsia="Times New Roman" w:cs="Calibri"/>
        </w:rPr>
        <w:t>Z policyjnych statystyk wynika</w:t>
      </w:r>
      <w:r w:rsidR="005A13D6">
        <w:rPr>
          <w:rStyle w:val="Odwoanieprzypisudolnego"/>
          <w:rFonts w:eastAsia="Times New Roman" w:cs="Calibri"/>
        </w:rPr>
        <w:footnoteReference w:id="94"/>
      </w:r>
      <w:r w:rsidR="005A13D6">
        <w:rPr>
          <w:rFonts w:eastAsia="Times New Roman" w:cs="Calibri"/>
        </w:rPr>
        <w:t>, że w 2019 roku stwierdzono ogółem 822 777 przestępstw, w tym 530 697 przestępstw kryminalnych, uznawanych przez Polaków za najbardziej dokuczliwe. W 2018 roku stwierdzone były 795 444 przestępstwa, w tym 517 499 kryminalnych. Jednocześnie aktualne wyniki badań społecznych wyraźnie wskazują, że Polacy czują się bezpieczni w swoim kraju. Z badania Centrum Badania Opinii Społecznej przeprowadzonego w czerwcu 2020 roku wynika, że przekonanie o bezpieczeństwie życia w Polsce stało się nieomal powszechne: 85% Polaków uznało bowiem, że Polska jest krajem bezpiecznym, a aż 96% stwierdziło, że ich miejsce zamieszkania (np. dzielnica, osiedle, wieś) są bezpieczne. Nigdy wcześniej oceny bezpieczeństwa nie były tak wysokie i utrzymanie ich na takim poziomie stanowi wyzwanie dla Policji i innych instytucji.</w:t>
      </w:r>
    </w:p>
    <w:p w14:paraId="469BF9EF" w14:textId="089A5F2F" w:rsidR="00B53DEC" w:rsidRPr="007E582F" w:rsidRDefault="00B53DEC" w:rsidP="005A13D6">
      <w:pPr>
        <w:spacing w:after="0" w:line="276" w:lineRule="auto"/>
        <w:jc w:val="both"/>
      </w:pPr>
      <w:r w:rsidRPr="007E582F">
        <w:rPr>
          <w:rFonts w:eastAsia="Calibri" w:cs="Times New Roman"/>
          <w:b/>
        </w:rPr>
        <w:t xml:space="preserve">Bezpieczeństwo ruchu drogowego. </w:t>
      </w:r>
      <w:r w:rsidRPr="007E582F">
        <w:rPr>
          <w:rFonts w:eastAsia="Calibri" w:cstheme="minorHAnsi"/>
        </w:rPr>
        <w:t>Od początku lat dziewięćdziesiątych liczba pojazdów zarejestrowanych w Polsce stale rośnie. Według danych GUS liczba pojazdów zarejestrowanych w 2018 roku wyniosła ponad 29,6 mln, w tym 22,5 mln to samochody</w:t>
      </w:r>
      <w:r w:rsidRPr="007E582F">
        <w:rPr>
          <w:rFonts w:eastAsia="Calibri" w:cs="Times New Roman"/>
        </w:rPr>
        <w:t xml:space="preserve"> osobowe. Położenie geograficzne naszego kraju warunkuje dodatkowo duży ruch tranzytowy, w szczególności na kierunku wschód – zachód. Z danych Komendy Głównej Straży Granicznej wynika, że w 2018 roku przez zewnętrzne granice UE do Polski wjechało prawie 12,5 mln pojazdów, w tym ok. 10 mln samochodów osobowych. </w:t>
      </w:r>
      <w:r w:rsidRPr="007E582F">
        <w:t>Transportem samochodowym w  2017  r. przewieziono 1747,2 mln ton ładunków, tj. o 13,0% więcej niż w 2016 r. i  wykonano pracę przewozową w  tonokilometrach większą</w:t>
      </w:r>
      <w:r>
        <w:t xml:space="preserve"> </w:t>
      </w:r>
      <w:r w:rsidRPr="007E582F">
        <w:t>o 14,8%</w:t>
      </w:r>
      <w:r w:rsidRPr="007E582F">
        <w:rPr>
          <w:vertAlign w:val="superscript"/>
        </w:rPr>
        <w:footnoteReference w:id="95"/>
      </w:r>
      <w:r w:rsidRPr="007E582F">
        <w:t>.</w:t>
      </w:r>
      <w:r>
        <w:t xml:space="preserve"> </w:t>
      </w:r>
      <w:r>
        <w:rPr>
          <w:rFonts w:eastAsia="Calibri" w:cs="Times New Roman"/>
        </w:rPr>
        <w:t>W efekcie b</w:t>
      </w:r>
      <w:r w:rsidRPr="007E582F">
        <w:rPr>
          <w:rFonts w:eastAsia="Calibri" w:cs="Times New Roman"/>
        </w:rPr>
        <w:t>ezpieczeństwo na drogach to poważny problem społeczno – ekonomiczny państwa. Stanowi on ogromne wyzwanie dla działalności instytucji rządowych i samorządowych. W ciągu ostatniej dekady wyp</w:t>
      </w:r>
      <w:r>
        <w:rPr>
          <w:rFonts w:eastAsia="Calibri" w:cs="Times New Roman"/>
        </w:rPr>
        <w:t>adki drogowe pochłonęły życie ponad 37</w:t>
      </w:r>
      <w:r w:rsidRPr="007E582F">
        <w:rPr>
          <w:rFonts w:eastAsia="Calibri" w:cs="Times New Roman"/>
        </w:rPr>
        <w:t xml:space="preserve"> tysięcy osób, a dalsze </w:t>
      </w:r>
      <w:r>
        <w:rPr>
          <w:rFonts w:eastAsia="Calibri" w:cs="Times New Roman"/>
        </w:rPr>
        <w:t>ponad 479</w:t>
      </w:r>
      <w:r w:rsidRPr="007E582F">
        <w:rPr>
          <w:rFonts w:eastAsia="Calibri" w:cs="Times New Roman"/>
        </w:rPr>
        <w:t xml:space="preserve"> tysięcy zostało rannych. Rangę tego problemu wyznaczają </w:t>
      </w:r>
      <w:r w:rsidRPr="007E582F">
        <w:rPr>
          <w:rFonts w:eastAsia="Calibri" w:cstheme="minorHAnsi"/>
        </w:rPr>
        <w:t xml:space="preserve">również </w:t>
      </w:r>
      <w:r>
        <w:rPr>
          <w:rFonts w:eastAsia="Calibri" w:cstheme="minorHAnsi"/>
        </w:rPr>
        <w:t xml:space="preserve">rosnące </w:t>
      </w:r>
      <w:r w:rsidRPr="007E582F">
        <w:rPr>
          <w:rFonts w:eastAsia="Calibri" w:cstheme="minorHAnsi"/>
        </w:rPr>
        <w:t xml:space="preserve">koszty wszystkich zdarzeń na drogach, które </w:t>
      </w:r>
      <w:r>
        <w:rPr>
          <w:rFonts w:eastAsia="Calibri" w:cstheme="minorHAnsi"/>
        </w:rPr>
        <w:t>w 2018 roku o</w:t>
      </w:r>
      <w:r w:rsidRPr="007E582F">
        <w:rPr>
          <w:rFonts w:eastAsia="Calibri" w:cstheme="minorHAnsi"/>
        </w:rPr>
        <w:t>szac</w:t>
      </w:r>
      <w:r>
        <w:rPr>
          <w:rFonts w:eastAsia="Calibri" w:cstheme="minorHAnsi"/>
        </w:rPr>
        <w:t>owano</w:t>
      </w:r>
      <w:r w:rsidRPr="007E582F">
        <w:rPr>
          <w:rFonts w:eastAsia="Calibri" w:cstheme="minorHAnsi"/>
        </w:rPr>
        <w:t xml:space="preserve"> na </w:t>
      </w:r>
      <w:r>
        <w:rPr>
          <w:rFonts w:eastAsia="Calibri" w:cstheme="minorHAnsi"/>
        </w:rPr>
        <w:t>56</w:t>
      </w:r>
      <w:r w:rsidRPr="007E582F">
        <w:rPr>
          <w:rFonts w:eastAsia="Calibri" w:cstheme="minorHAnsi"/>
        </w:rPr>
        <w:t>,</w:t>
      </w:r>
      <w:r>
        <w:rPr>
          <w:rFonts w:eastAsia="Calibri" w:cstheme="minorHAnsi"/>
        </w:rPr>
        <w:t>6</w:t>
      </w:r>
      <w:r w:rsidRPr="007E582F">
        <w:rPr>
          <w:rFonts w:eastAsia="Calibri" w:cstheme="minorHAnsi"/>
        </w:rPr>
        <w:t xml:space="preserve"> mld złotych, a koszty wypadków z ofiarami na </w:t>
      </w:r>
      <w:r>
        <w:rPr>
          <w:rFonts w:eastAsia="Calibri" w:cstheme="minorHAnsi"/>
        </w:rPr>
        <w:t>44</w:t>
      </w:r>
      <w:r w:rsidRPr="007E582F">
        <w:rPr>
          <w:rFonts w:eastAsia="Calibri" w:cstheme="minorHAnsi"/>
        </w:rPr>
        <w:t>,</w:t>
      </w:r>
      <w:r>
        <w:rPr>
          <w:rFonts w:eastAsia="Calibri" w:cstheme="minorHAnsi"/>
        </w:rPr>
        <w:t>9</w:t>
      </w:r>
      <w:r w:rsidRPr="007E582F">
        <w:rPr>
          <w:rFonts w:eastAsia="Calibri" w:cstheme="minorHAnsi"/>
        </w:rPr>
        <w:t xml:space="preserve"> mld złotych</w:t>
      </w:r>
      <w:r w:rsidRPr="007E582F">
        <w:rPr>
          <w:rFonts w:eastAsia="Calibri" w:cstheme="minorHAnsi"/>
          <w:vertAlign w:val="superscript"/>
        </w:rPr>
        <w:footnoteReference w:id="96"/>
      </w:r>
      <w:r w:rsidRPr="007E582F">
        <w:rPr>
          <w:rFonts w:eastAsia="Calibri" w:cstheme="minorHAnsi"/>
        </w:rPr>
        <w:t xml:space="preserve">. </w:t>
      </w:r>
      <w:r w:rsidRPr="007E582F">
        <w:rPr>
          <w:rFonts w:cstheme="minorHAnsi"/>
        </w:rPr>
        <w:t xml:space="preserve">Stan bezpieczeństwa na polskich drogach od kilku lat ulega systematycznej poprawie, mimo to Polska wciąż pozostaje </w:t>
      </w:r>
      <w:r>
        <w:rPr>
          <w:rFonts w:cstheme="minorHAnsi"/>
        </w:rPr>
        <w:t xml:space="preserve">poniżej </w:t>
      </w:r>
      <w:r w:rsidRPr="007E582F">
        <w:rPr>
          <w:rFonts w:cstheme="minorHAnsi"/>
        </w:rPr>
        <w:t xml:space="preserve"> unijnej średniej. Komisja </w:t>
      </w:r>
      <w:r w:rsidRPr="007E582F">
        <w:t xml:space="preserve">Europejska zobowiązała Państwa Członkowskie do zmniejszenia liczby zabitych w wypadkach drogowych. </w:t>
      </w:r>
    </w:p>
    <w:p w14:paraId="68D031A5" w14:textId="77777777" w:rsidR="00B53DEC" w:rsidRPr="007E582F" w:rsidRDefault="00B53DEC" w:rsidP="00B53DEC">
      <w:pPr>
        <w:spacing w:before="120" w:after="120" w:line="276" w:lineRule="auto"/>
        <w:jc w:val="both"/>
        <w:rPr>
          <w:rFonts w:cs="Arial"/>
        </w:rPr>
      </w:pPr>
      <w:r w:rsidRPr="007E582F">
        <w:rPr>
          <w:rFonts w:cs="Arial"/>
        </w:rPr>
        <w:t>Głównymi problemami bezpieczeństwa ruchu drogowego w Polsce jest zapewnienie bezpieczeństwa niechronionym uczestnikom ruc</w:t>
      </w:r>
      <w:r>
        <w:rPr>
          <w:rFonts w:cs="Arial"/>
        </w:rPr>
        <w:t>hu drogowego, zwłaszcza pieszym</w:t>
      </w:r>
      <w:r w:rsidRPr="007E582F">
        <w:rPr>
          <w:rFonts w:cs="Arial"/>
        </w:rPr>
        <w:t xml:space="preserve"> oraz nadmierna prędkość, która przejawia się przekraczaniem dopuszczalnych limitów oraz niedostosowaniem do panujących warunków drogowych. </w:t>
      </w:r>
    </w:p>
    <w:p w14:paraId="160D6F65" w14:textId="77777777" w:rsidR="00B53DEC" w:rsidRPr="007E582F" w:rsidRDefault="00B53DEC" w:rsidP="00B53DEC">
      <w:pPr>
        <w:spacing w:after="120" w:line="276" w:lineRule="auto"/>
        <w:jc w:val="both"/>
        <w:rPr>
          <w:rFonts w:cs="Arial"/>
        </w:rPr>
      </w:pPr>
      <w:r w:rsidRPr="007E582F">
        <w:rPr>
          <w:rFonts w:cs="Arial"/>
        </w:rPr>
        <w:t xml:space="preserve">Oprócz kształtowania bezpiecznych zachowań uczestników ruchu drogowego </w:t>
      </w:r>
      <w:r>
        <w:rPr>
          <w:rFonts w:cs="Arial"/>
        </w:rPr>
        <w:t xml:space="preserve">istotną rolę w bezpieczeństwie ruchu drogowego odgrywa </w:t>
      </w:r>
      <w:r w:rsidRPr="007E582F">
        <w:rPr>
          <w:rFonts w:cs="Arial"/>
        </w:rPr>
        <w:t>bezpieczna infrastruktura drogowa, promowanie i eksploatacja bezpiecznych pojazdów, a także rozwój systemu zarządzania bezpieczeństwem ruchu drogowego, od szczebl</w:t>
      </w:r>
      <w:r>
        <w:rPr>
          <w:rFonts w:cs="Arial"/>
        </w:rPr>
        <w:t>a lokalnego, poprzez regionalny</w:t>
      </w:r>
      <w:r w:rsidRPr="007E582F">
        <w:rPr>
          <w:rFonts w:cs="Arial"/>
        </w:rPr>
        <w:t xml:space="preserve"> do centralnego (krajowego) oraz system ratownictwa. </w:t>
      </w:r>
    </w:p>
    <w:p w14:paraId="1C77311D" w14:textId="77777777" w:rsidR="00B53DEC" w:rsidRPr="00F21196" w:rsidRDefault="00B53DEC" w:rsidP="00B53DEC">
      <w:pPr>
        <w:spacing w:after="0" w:line="276" w:lineRule="auto"/>
        <w:jc w:val="both"/>
        <w:rPr>
          <w:rFonts w:eastAsia="Times New Roman"/>
          <w:kern w:val="28"/>
          <w:lang w:eastAsia="pl-PL"/>
          <w14:cntxtAlts/>
        </w:rPr>
      </w:pPr>
      <w:r w:rsidRPr="00F21196">
        <w:rPr>
          <w:rFonts w:eastAsia="Times New Roman" w:cs="Arial,BoldItalic"/>
          <w:b/>
          <w:bCs/>
          <w:iCs/>
        </w:rPr>
        <w:t xml:space="preserve">Bezpieczeństwo imprez masowych. </w:t>
      </w:r>
      <w:r w:rsidRPr="00F21196">
        <w:rPr>
          <w:rFonts w:eastAsia="Times New Roman"/>
          <w:kern w:val="28"/>
          <w:lang w:eastAsia="pl-PL"/>
          <w14:cntxtAlts/>
        </w:rPr>
        <w:t>W ostatnim czasie zauważalny jest wyraźny wzrost poziomu bezpieczeństwa imprez masowych, w tym sportowych</w:t>
      </w:r>
      <w:r>
        <w:rPr>
          <w:rStyle w:val="Odwoanieprzypisudolnego"/>
          <w:rFonts w:eastAsia="Times New Roman"/>
          <w:kern w:val="28"/>
          <w:lang w:eastAsia="pl-PL"/>
          <w14:cntxtAlts/>
        </w:rPr>
        <w:t>.</w:t>
      </w:r>
      <w:r>
        <w:t>.</w:t>
      </w:r>
      <w:r w:rsidRPr="00F21196">
        <w:rPr>
          <w:rFonts w:eastAsia="Times New Roman"/>
          <w:kern w:val="28"/>
          <w:lang w:eastAsia="pl-PL"/>
          <w14:cntxtAlts/>
        </w:rPr>
        <w:t xml:space="preserve"> Stadiony przestają być </w:t>
      </w:r>
      <w:r>
        <w:rPr>
          <w:rFonts w:eastAsia="Times New Roman"/>
          <w:kern w:val="28"/>
          <w:lang w:eastAsia="pl-PL"/>
          <w14:cntxtAlts/>
        </w:rPr>
        <w:t>miejscami kojarzonymi wyłącznie z naruszeniami prawa</w:t>
      </w:r>
      <w:r w:rsidRPr="00F21196">
        <w:rPr>
          <w:rFonts w:eastAsia="Times New Roman"/>
          <w:kern w:val="28"/>
          <w:lang w:eastAsia="pl-PL"/>
          <w14:cntxtAlts/>
        </w:rPr>
        <w:t xml:space="preserve">, zauważalna jest jednak tendencja do wyprowadzania negatywnej aktywności kibiców piłkarskich poza stadiony. Dochodzi do agresywnych zachowań w trakcie przemieszczania się kibiców na mecze i aranżowania konfrontacji między grupami. </w:t>
      </w:r>
    </w:p>
    <w:p w14:paraId="23A3DA96" w14:textId="77777777" w:rsidR="00B53DEC" w:rsidRPr="00F21196" w:rsidRDefault="00B53DEC" w:rsidP="00B53DEC">
      <w:pPr>
        <w:spacing w:after="0" w:line="276" w:lineRule="auto"/>
        <w:jc w:val="both"/>
        <w:rPr>
          <w:rFonts w:eastAsia="Times New Roman"/>
          <w:kern w:val="28"/>
          <w:lang w:eastAsia="pl-PL"/>
          <w14:cntxtAlts/>
        </w:rPr>
      </w:pPr>
      <w:r w:rsidRPr="00F21196">
        <w:rPr>
          <w:rFonts w:eastAsia="Times New Roman"/>
          <w:kern w:val="28"/>
          <w:lang w:eastAsia="pl-PL"/>
          <w14:cntxtAlts/>
        </w:rPr>
        <w:t xml:space="preserve">Zauważalnym problemem są nadal </w:t>
      </w:r>
      <w:r>
        <w:rPr>
          <w:rFonts w:eastAsia="Times New Roman"/>
          <w:kern w:val="28"/>
          <w:lang w:eastAsia="pl-PL"/>
          <w14:cntxtAlts/>
        </w:rPr>
        <w:t xml:space="preserve">zachowania </w:t>
      </w:r>
      <w:r w:rsidRPr="00F21196">
        <w:rPr>
          <w:rFonts w:eastAsia="Times New Roman"/>
          <w:kern w:val="28"/>
          <w:lang w:eastAsia="pl-PL"/>
          <w14:cntxtAlts/>
        </w:rPr>
        <w:t>tzw. ustawki pseudokibiców, czyli zbiorowe bijatyki, organizowane najczęściej w miejscach odosobnionych, ale zdarzają się również w miejscach widocznych, np. na drogach publicznych.</w:t>
      </w:r>
    </w:p>
    <w:p w14:paraId="6005770B" w14:textId="77777777" w:rsidR="00B53DEC" w:rsidRPr="00F21196" w:rsidRDefault="00B53DEC" w:rsidP="00B53DEC">
      <w:pPr>
        <w:spacing w:after="0" w:line="276" w:lineRule="auto"/>
        <w:jc w:val="both"/>
        <w:rPr>
          <w:rFonts w:eastAsia="Times New Roman" w:cs="Calibri"/>
          <w:b/>
        </w:rPr>
      </w:pPr>
    </w:p>
    <w:p w14:paraId="4CB4D6EF" w14:textId="77777777" w:rsidR="00B53DEC" w:rsidRPr="006B1065" w:rsidRDefault="00B53DEC" w:rsidP="00B53DEC">
      <w:pPr>
        <w:spacing w:after="0" w:line="276" w:lineRule="auto"/>
        <w:jc w:val="both"/>
        <w:rPr>
          <w:rFonts w:eastAsia="Times New Roman" w:cs="Calibri"/>
        </w:rPr>
      </w:pPr>
      <w:r w:rsidRPr="006B1065">
        <w:rPr>
          <w:rFonts w:eastAsia="Times New Roman" w:cs="Calibri"/>
          <w:b/>
        </w:rPr>
        <w:t xml:space="preserve">Przestępczość gospodarcza (ekonomiczna). </w:t>
      </w:r>
      <w:r w:rsidRPr="006B1065">
        <w:rPr>
          <w:rFonts w:eastAsia="Times New Roman" w:cs="Calibri"/>
        </w:rPr>
        <w:t>Przestępczość kryminalna (pospolita) jest najbardziej zauważalna i dotkliwa przede wszystkim dla obywateli, natomiast dla funkcjonowania państwa fundamentalne znaczenie ma zwalczanie przestępczości gospodarczej, która powoduje najwyższe straty. Zjawisko to dotyczy zarówno budżetu państwa (np. zmniejszanie wpływów, uzyskiwanie nienależnych zwrotów poprzez zaniżanie kosztów działalności przez podmioty gospodarcze działające z naruszeniem prawa, wyłudzanie dopłat), jak i sektora prywatnego (zmniejszanie dochodów, spadek konkurencyjności, istnienie szarej strefy). Przestępczości gospodarczej towarzy</w:t>
      </w:r>
      <w:r>
        <w:rPr>
          <w:rFonts w:eastAsia="Times New Roman" w:cs="Calibri"/>
        </w:rPr>
        <w:t>szą inne rodzaje przestępczości</w:t>
      </w:r>
      <w:r w:rsidRPr="006B1065">
        <w:rPr>
          <w:rFonts w:eastAsia="Times New Roman" w:cs="Calibri"/>
        </w:rPr>
        <w:t xml:space="preserve"> dot. wiarygodności dokumentów, mienia, obrotu pieniędzmi i papierami wartościowymi, czy też przestępstw wymierzonych w działalność instytucji państwowych oraz samorządu terytorialnego, a także </w:t>
      </w:r>
      <w:r>
        <w:rPr>
          <w:rFonts w:eastAsia="Times New Roman" w:cs="Calibri"/>
        </w:rPr>
        <w:t xml:space="preserve">w </w:t>
      </w:r>
      <w:r w:rsidRPr="006B1065">
        <w:rPr>
          <w:rFonts w:eastAsia="Times New Roman" w:cs="Calibri"/>
        </w:rPr>
        <w:t>ochron</w:t>
      </w:r>
      <w:r>
        <w:rPr>
          <w:rFonts w:eastAsia="Times New Roman" w:cs="Calibri"/>
        </w:rPr>
        <w:t>ę</w:t>
      </w:r>
      <w:r w:rsidRPr="006B1065">
        <w:rPr>
          <w:rFonts w:eastAsia="Times New Roman" w:cs="Calibri"/>
        </w:rPr>
        <w:t xml:space="preserve"> informacji.</w:t>
      </w:r>
    </w:p>
    <w:p w14:paraId="50A664EB" w14:textId="77777777" w:rsidR="00B53DEC" w:rsidRPr="006B1065" w:rsidRDefault="00B53DEC" w:rsidP="00B53DEC">
      <w:pPr>
        <w:spacing w:after="0" w:line="276" w:lineRule="auto"/>
        <w:jc w:val="both"/>
        <w:rPr>
          <w:rFonts w:eastAsia="Times New Roman" w:cs="Calibri"/>
        </w:rPr>
      </w:pPr>
      <w:r w:rsidRPr="006B1065">
        <w:rPr>
          <w:rFonts w:eastAsia="Times New Roman" w:cs="Calibri"/>
        </w:rPr>
        <w:t>Przestępstwa gospodarcze są dominującym obszarem działalności zorganizowanych grup przestępczych w Polsce, które dostosowują metody działania do zmieniającej się sytuacji ekonomicznej oraz do obowiązujących przepisów, wykorzystując m.in. luki prawne, dlatego przestępczość gospodarcza jest najszybciej ewoluującą formą działalności przestępczej.</w:t>
      </w:r>
    </w:p>
    <w:p w14:paraId="1A7A59E6" w14:textId="77777777" w:rsidR="00B53DEC" w:rsidRDefault="00B53DEC" w:rsidP="00B53DEC">
      <w:pPr>
        <w:spacing w:after="0" w:line="276" w:lineRule="auto"/>
        <w:jc w:val="both"/>
        <w:rPr>
          <w:rFonts w:eastAsia="Times New Roman" w:cs="Calibri"/>
        </w:rPr>
      </w:pPr>
      <w:r w:rsidRPr="006B1065">
        <w:rPr>
          <w:rFonts w:eastAsia="Times New Roman" w:cs="Calibri"/>
        </w:rPr>
        <w:t xml:space="preserve">Wpływ na poziom funkcjonowania szarej strefy, a w efekcie również zagrożenie przestępczością gospodarczą, ma również sposób prowadzenia polityki podatkowej państwa. Przestępczość gospodarcza dotyczy zatem nie tylko sfery bezpieczeństwa i porządku publicznego, lecz również bezpieczeństwa ekonomicznego państwa, a także przekłada się na opłacalność i bezpieczeństwo prowadzenia działalności gospodarczej. Z perspektywy państwa szczególne znaczenie ma przestępczość podatkowa, której celem jest uszczuplenie należnych wpływów do budżetu z podatków od towarów i usług, dochodowych, akcyzy i innych danin. Międzynarodowy charakter przestępczości podatkowej oraz wielomilionowe wyłudzenia powodują duże zaangażowanie aparatu państwowego w celu zwalczania i przeciwdziałania tego rodzaju przestępczości. </w:t>
      </w:r>
    </w:p>
    <w:p w14:paraId="62D78DD1" w14:textId="77777777" w:rsidR="00B53DEC" w:rsidRDefault="00B53DEC" w:rsidP="00B53DEC">
      <w:pPr>
        <w:spacing w:after="0" w:line="276" w:lineRule="auto"/>
        <w:jc w:val="both"/>
        <w:rPr>
          <w:rFonts w:eastAsia="Times New Roman" w:cs="Calibri"/>
        </w:rPr>
      </w:pPr>
      <w:r>
        <w:rPr>
          <w:rFonts w:eastAsia="Times New Roman" w:cs="Calibri"/>
        </w:rPr>
        <w:t xml:space="preserve">Należy podkreślić, że od 2016 r. przeprowadzono szereg zmian zarówno strukturalnych, jak i zmian prawnych wprowadzających nowe instrumenty prawnoadministracyjne służące zapobieganiu przestępczości gospodarczej, jak również zwiększające możliwości działania właściwych służb i organów w zakresie zwalczania tej formy przestępczości. </w:t>
      </w:r>
    </w:p>
    <w:p w14:paraId="02686CC9" w14:textId="77777777" w:rsidR="00B53DEC" w:rsidRPr="006B1065" w:rsidRDefault="00B53DEC" w:rsidP="00B53DEC">
      <w:pPr>
        <w:spacing w:after="0" w:line="276" w:lineRule="auto"/>
        <w:jc w:val="both"/>
        <w:rPr>
          <w:rFonts w:eastAsia="Times New Roman" w:cs="Calibri"/>
        </w:rPr>
      </w:pPr>
      <w:r>
        <w:rPr>
          <w:rFonts w:eastAsia="Times New Roman" w:cs="Calibri"/>
        </w:rPr>
        <w:t>W 2019 roku  liczba stwierdzonych przez Policję przestępstw gospodarczych wyniosła 189 593. W 2018 roku była to liczba 181 953 przestępstw</w:t>
      </w:r>
      <w:r>
        <w:rPr>
          <w:rStyle w:val="Odwoanieprzypisudolnego"/>
          <w:rFonts w:eastAsia="Times New Roman" w:cs="Calibri"/>
        </w:rPr>
        <w:footnoteReference w:id="97"/>
      </w:r>
    </w:p>
    <w:p w14:paraId="72998CDD" w14:textId="77777777" w:rsidR="00B53DEC" w:rsidRDefault="00B53DEC" w:rsidP="00B53DEC">
      <w:pPr>
        <w:spacing w:after="0" w:line="276" w:lineRule="auto"/>
        <w:jc w:val="both"/>
        <w:rPr>
          <w:rFonts w:eastAsia="Times New Roman" w:cs="Calibri"/>
          <w:b/>
        </w:rPr>
      </w:pPr>
    </w:p>
    <w:p w14:paraId="7B221709" w14:textId="77777777" w:rsidR="00B53DEC" w:rsidRDefault="00B53DEC" w:rsidP="00B53DEC">
      <w:pPr>
        <w:spacing w:after="0" w:line="276" w:lineRule="auto"/>
        <w:jc w:val="both"/>
        <w:rPr>
          <w:rFonts w:eastAsia="Times New Roman"/>
          <w:kern w:val="28"/>
          <w:lang w:eastAsia="pl-PL"/>
          <w14:cntxtAlts/>
        </w:rPr>
      </w:pPr>
      <w:r w:rsidRPr="006B1065">
        <w:rPr>
          <w:rFonts w:eastAsia="Times New Roman" w:cs="Calibri"/>
          <w:b/>
        </w:rPr>
        <w:t xml:space="preserve">Korupcja. </w:t>
      </w:r>
      <w:r w:rsidRPr="006B1065">
        <w:t>Przestępczość korupcyjna jest zjawiskiem stale obecnym w życiu społecznym. Zróżnicowane pozostają jedynie jej zakres i stopień oddziaływania na życie społeczne, w tym w szczególności na gospodarkę</w:t>
      </w:r>
      <w:r w:rsidRPr="006B1065">
        <w:rPr>
          <w:rFonts w:eastAsia="Times New Roman" w:cs="Calibri"/>
        </w:rPr>
        <w:t xml:space="preserve">. </w:t>
      </w:r>
      <w:r w:rsidRPr="006B1065">
        <w:t xml:space="preserve">Zwalczanie korupcji to nie tylko działania represyjne, ale także profilaktyka. Efektywna walka z tą formą przestępczości wymaga przede wszystkim zdiagnozowania warunków sprzyjających jej powstawaniu. Zagrożeń można się spodziewać zarówno tam, gdzie instytucje publiczne i podmioty gospodarcze wykazują największą aktywność, jak również tam, gdzie wydatkowane są środki publiczne. </w:t>
      </w:r>
      <w:r w:rsidRPr="006B1065">
        <w:rPr>
          <w:rFonts w:eastAsia="Times New Roman"/>
          <w:kern w:val="28"/>
          <w:lang w:eastAsia="pl-PL"/>
          <w14:cntxtAlts/>
        </w:rPr>
        <w:t>Zagrożenie korupcją pojawia się także tam, gdzie od decyzji pojedynczych osób zależy pozytywne l</w:t>
      </w:r>
      <w:r>
        <w:rPr>
          <w:rFonts w:eastAsia="Times New Roman"/>
          <w:kern w:val="28"/>
          <w:lang w:eastAsia="pl-PL"/>
          <w14:cntxtAlts/>
        </w:rPr>
        <w:t>ub negatywne załatwienie sprawy</w:t>
      </w:r>
      <w:r w:rsidRPr="006B1065">
        <w:rPr>
          <w:rFonts w:eastAsia="Times New Roman"/>
          <w:kern w:val="28"/>
          <w:lang w:eastAsia="pl-PL"/>
          <w14:cntxtAlts/>
        </w:rPr>
        <w:t xml:space="preserve"> a świadomość prawna interesanta jest ograniczona. Korupcja umożliwia również działanie zorg</w:t>
      </w:r>
      <w:r>
        <w:rPr>
          <w:rFonts w:eastAsia="Times New Roman"/>
          <w:kern w:val="28"/>
          <w:lang w:eastAsia="pl-PL"/>
          <w14:cntxtAlts/>
        </w:rPr>
        <w:t>anizowanych grup przestępczych.</w:t>
      </w:r>
      <w:r>
        <w:rPr>
          <w:rFonts w:eastAsia="Times New Roman"/>
          <w:kern w:val="28"/>
          <w:lang w:eastAsia="pl-PL"/>
          <w14:cntxtAlts/>
        </w:rPr>
        <w:br/>
      </w:r>
      <w:r w:rsidRPr="006B1065">
        <w:rPr>
          <w:rFonts w:eastAsia="Times New Roman"/>
          <w:kern w:val="28"/>
          <w:lang w:eastAsia="pl-PL"/>
          <w14:cntxtAlts/>
        </w:rPr>
        <w:t xml:space="preserve">W sytuacjach skrajnych dochodzi do powstania rozbudowanego systemu przestępczych zachowań, zależności i nepotyzmu. </w:t>
      </w:r>
    </w:p>
    <w:p w14:paraId="65DAA111" w14:textId="77777777" w:rsidR="00B53DEC" w:rsidRPr="006B1065" w:rsidRDefault="00B53DEC" w:rsidP="00B53DEC">
      <w:pPr>
        <w:spacing w:after="0" w:line="276" w:lineRule="auto"/>
        <w:jc w:val="both"/>
        <w:rPr>
          <w:rFonts w:eastAsia="Times New Roman" w:cs="Calibri"/>
        </w:rPr>
      </w:pPr>
      <w:r>
        <w:rPr>
          <w:rFonts w:eastAsia="Times New Roman"/>
          <w:kern w:val="28"/>
          <w:lang w:eastAsia="pl-PL"/>
          <w14:cntxtAlts/>
        </w:rPr>
        <w:t>W 2019 roku Policja stwierdziła 22 499 przestępstw korupcyjnych.</w:t>
      </w:r>
    </w:p>
    <w:p w14:paraId="0F61F035" w14:textId="77777777" w:rsidR="00B53DEC" w:rsidRPr="00EE02D6" w:rsidRDefault="00B53DEC" w:rsidP="00B53DEC">
      <w:pPr>
        <w:widowControl w:val="0"/>
        <w:spacing w:after="0" w:line="276" w:lineRule="auto"/>
        <w:jc w:val="both"/>
      </w:pPr>
      <w:r w:rsidRPr="006B1065">
        <w:rPr>
          <w:rFonts w:eastAsia="Times New Roman" w:cs="Calibri"/>
          <w:i/>
        </w:rPr>
        <w:t>Transparency International</w:t>
      </w:r>
      <w:r w:rsidRPr="006B1065">
        <w:rPr>
          <w:rFonts w:eastAsia="Times New Roman" w:cs="Calibri"/>
        </w:rPr>
        <w:t xml:space="preserve"> od lat prowadzi badania indeksu percepcji korupcji (IPK) na świecie. Wartość „100” oznacza, że oceniany kraj jest całkowicie wolny od korupcji, natomiast wartość „0” oznacza absolutne skorumpowanie. </w:t>
      </w:r>
      <w:r w:rsidRPr="00C04F58">
        <w:t>Zgodnie z danymi</w:t>
      </w:r>
      <w:r w:rsidRPr="00EE02D6">
        <w:rPr>
          <w:b/>
          <w:sz w:val="20"/>
        </w:rPr>
        <w:t xml:space="preserve"> </w:t>
      </w:r>
      <w:r w:rsidRPr="00EE02D6">
        <w:rPr>
          <w:i/>
        </w:rPr>
        <w:t>Transparency Interational</w:t>
      </w:r>
      <w:r w:rsidRPr="00EE02D6">
        <w:t xml:space="preserve"> IPK dla P</w:t>
      </w:r>
      <w:r w:rsidRPr="003C13E4">
        <w:t>olski</w:t>
      </w:r>
      <w:r w:rsidRPr="00EE02D6">
        <w:t xml:space="preserve"> wyniósł w 2019 r. 58 punkt</w:t>
      </w:r>
      <w:r>
        <w:t>ó</w:t>
      </w:r>
      <w:r w:rsidRPr="00EE02D6">
        <w:t>w. Pozwoliło to uplasować się Polsce w 2019 roku na miejscu 41. (w rankingu 180 badanych państw</w:t>
      </w:r>
      <w:r>
        <w:t>).</w:t>
      </w:r>
    </w:p>
    <w:p w14:paraId="3B48CB5D" w14:textId="77777777" w:rsidR="00B53DEC" w:rsidRDefault="00B53DEC" w:rsidP="00B53DEC">
      <w:pPr>
        <w:spacing w:after="0" w:line="276" w:lineRule="auto"/>
        <w:jc w:val="both"/>
        <w:rPr>
          <w:rFonts w:eastAsia="Times New Roman" w:cs="Calibri"/>
          <w:b/>
        </w:rPr>
      </w:pPr>
    </w:p>
    <w:p w14:paraId="72AE8BC5" w14:textId="77777777" w:rsidR="00B53DEC" w:rsidRPr="00AF1473" w:rsidRDefault="00B53DEC" w:rsidP="00B53DEC">
      <w:pPr>
        <w:spacing w:after="0" w:line="276" w:lineRule="auto"/>
        <w:jc w:val="both"/>
        <w:rPr>
          <w:rFonts w:eastAsia="Times New Roman"/>
          <w:kern w:val="28"/>
          <w:lang w:eastAsia="pl-PL"/>
          <w14:cntxtAlts/>
        </w:rPr>
      </w:pPr>
      <w:r w:rsidRPr="00AF1473">
        <w:rPr>
          <w:rFonts w:eastAsia="Times New Roman" w:cs="Calibri"/>
          <w:b/>
        </w:rPr>
        <w:t xml:space="preserve">Przestępczość narkotykowa. </w:t>
      </w:r>
      <w:r w:rsidRPr="00AF1473">
        <w:rPr>
          <w:rFonts w:eastAsia="Times New Roman"/>
          <w:kern w:val="28"/>
          <w:lang w:eastAsia="pl-PL"/>
          <w14:cntxtAlts/>
        </w:rPr>
        <w:t xml:space="preserve">Narkotyki są zarówno przemycane do Polski, jak i produkowane w kraju, w tym </w:t>
      </w:r>
      <w:r>
        <w:rPr>
          <w:rFonts w:eastAsia="Times New Roman"/>
          <w:kern w:val="28"/>
          <w:lang w:eastAsia="pl-PL"/>
          <w14:cntxtAlts/>
        </w:rPr>
        <w:t xml:space="preserve">z przeznaczeniem </w:t>
      </w:r>
      <w:r w:rsidRPr="00AF1473">
        <w:rPr>
          <w:rFonts w:eastAsia="Times New Roman"/>
          <w:kern w:val="28"/>
          <w:lang w:eastAsia="pl-PL"/>
          <w14:cntxtAlts/>
        </w:rPr>
        <w:t>na rynki zewnętrzne.</w:t>
      </w:r>
      <w:r w:rsidRPr="00AF1473">
        <w:rPr>
          <w:rFonts w:eastAsia="Times New Roman" w:cs="Calibri"/>
        </w:rPr>
        <w:t xml:space="preserve"> Dane Policji wskazują, że w Polsce n</w:t>
      </w:r>
      <w:r w:rsidRPr="00AF1473">
        <w:rPr>
          <w:rFonts w:eastAsia="Times New Roman"/>
          <w:kern w:val="28"/>
          <w:lang w:eastAsia="pl-PL"/>
          <w14:cntxtAlts/>
        </w:rPr>
        <w:t>adal najczęściej zażywanymi środkami odurzającymi są opiaty i amfetamina. Narkotyki ujawniane są wśród przedstawicieli różnych grup społecznych, jednak najczęstszymi odbiorcami są ludzie młodzi. Dystrybucja narkotyków przynosi zyski przede wszystkim zorganizowanym grupom przestępczym. Od kilku lat poważnym problemem jest podaż środków zastępczych, czyli „dopalaczy”.</w:t>
      </w:r>
    </w:p>
    <w:p w14:paraId="2D34EE5E" w14:textId="77777777" w:rsidR="00B53DEC" w:rsidRPr="00F21196" w:rsidRDefault="00B53DEC" w:rsidP="00B53DEC">
      <w:pPr>
        <w:widowControl w:val="0"/>
        <w:spacing w:after="0" w:line="276" w:lineRule="auto"/>
        <w:jc w:val="both"/>
        <w:rPr>
          <w:rFonts w:eastAsia="Times New Roman"/>
          <w:color w:val="000000"/>
          <w:kern w:val="28"/>
          <w:lang w:eastAsia="pl-PL"/>
          <w14:cntxtAlts/>
        </w:rPr>
      </w:pPr>
      <w:r>
        <w:rPr>
          <w:rFonts w:eastAsia="Times New Roman"/>
          <w:color w:val="000000"/>
          <w:kern w:val="28"/>
          <w:lang w:eastAsia="pl-PL"/>
          <w14:cntxtAlts/>
        </w:rPr>
        <w:t xml:space="preserve">W 2019 roku liczba stwierdzonych przez Policję przestępstw z ustawy o przeciwdziałaniu narkomanii wyniosła 66 831. W 2018 roku stwierdzono 60 073 tego rodzaju przestępstw </w:t>
      </w:r>
      <w:r>
        <w:rPr>
          <w:rStyle w:val="Odwoanieprzypisudolnego"/>
          <w:rFonts w:eastAsia="Times New Roman"/>
          <w:color w:val="000000"/>
          <w:kern w:val="28"/>
          <w:lang w:eastAsia="pl-PL"/>
          <w14:cntxtAlts/>
        </w:rPr>
        <w:footnoteReference w:id="98"/>
      </w:r>
      <w:r>
        <w:rPr>
          <w:rFonts w:eastAsia="Times New Roman"/>
          <w:color w:val="000000"/>
          <w:kern w:val="28"/>
          <w:lang w:eastAsia="pl-PL"/>
          <w14:cntxtAlts/>
        </w:rPr>
        <w:t>.</w:t>
      </w:r>
    </w:p>
    <w:p w14:paraId="62A951E8" w14:textId="77777777" w:rsidR="00B53DEC" w:rsidRPr="00F21196" w:rsidRDefault="00B53DEC" w:rsidP="00B53DEC">
      <w:pPr>
        <w:spacing w:after="0" w:line="276" w:lineRule="auto"/>
        <w:jc w:val="both"/>
        <w:rPr>
          <w:rFonts w:eastAsia="Times New Roman" w:cs="Calibri"/>
          <w:color w:val="FF0000"/>
        </w:rPr>
      </w:pPr>
    </w:p>
    <w:p w14:paraId="14B80F3F" w14:textId="77777777" w:rsidR="00B53DEC" w:rsidRPr="00F21196" w:rsidRDefault="00B53DEC" w:rsidP="00B53DEC">
      <w:pPr>
        <w:spacing w:after="0" w:line="276" w:lineRule="auto"/>
        <w:jc w:val="both"/>
        <w:rPr>
          <w:rFonts w:eastAsia="Times New Roman" w:cs="Calibri"/>
        </w:rPr>
      </w:pPr>
      <w:r w:rsidRPr="00F21196">
        <w:rPr>
          <w:rFonts w:eastAsia="Times New Roman" w:cs="Calibri"/>
          <w:b/>
        </w:rPr>
        <w:t>Zagrożenie terrorystyczne</w:t>
      </w:r>
      <w:r w:rsidRPr="00F21196">
        <w:rPr>
          <w:rFonts w:eastAsia="Times New Roman" w:cs="Calibri"/>
        </w:rPr>
        <w:t xml:space="preserve"> w Polsce jest stosunkowo niskie, mimo podwyższonego poziomu zagrożenia zamachami terrorystycznymi na świecie, w tym w niektórych państwach Europy Zachodniej i zaangażowania Polski w działania w ramach międzynarodowych koalicji antyterrorystycznych. Akcentowana przez terrorystów determinacja do atakowania celów w państwach Unii Europejskiej wskazuje jednak na utrzymywanie się zagrożenia dla Europy ze strony organizacji terrorystycznych i może wpłynąć także na stan bezpieczeństwa w Polsce.</w:t>
      </w:r>
    </w:p>
    <w:p w14:paraId="742D8ED1" w14:textId="38734D4A" w:rsidR="00B53DEC" w:rsidRPr="00F21196" w:rsidRDefault="00B53DEC" w:rsidP="00B53DEC">
      <w:pPr>
        <w:widowControl w:val="0"/>
        <w:spacing w:after="0" w:line="276" w:lineRule="auto"/>
        <w:jc w:val="both"/>
        <w:rPr>
          <w:rFonts w:eastAsia="Times New Roman" w:cstheme="minorHAnsi"/>
          <w:color w:val="000000" w:themeColor="text1"/>
          <w:kern w:val="28"/>
          <w:lang w:eastAsia="pl-PL"/>
          <w14:cntxtAlts/>
        </w:rPr>
      </w:pPr>
      <w:r w:rsidRPr="00F21196">
        <w:rPr>
          <w:rFonts w:eastAsia="Times New Roman" w:cstheme="minorHAnsi"/>
          <w:color w:val="000000" w:themeColor="text1"/>
          <w:kern w:val="28"/>
          <w:lang w:eastAsia="pl-PL"/>
          <w14:cntxtAlts/>
        </w:rPr>
        <w:t>Za szczególnie niebezpieczny uznać należy proceder wyjazdów zradykalizowanych obywateli Unii Europejskiej,  celem wzięcia udziału w walkach po stronie ekstremistów, jako tzw. zagraniczni bojownicy terrorystyczni lub podjęcia szkolenia terrorystycznego. Powrót takich osób</w:t>
      </w:r>
      <w:r w:rsidRPr="00F21196">
        <w:rPr>
          <w:rFonts w:eastAsia="Times New Roman" w:cstheme="minorHAnsi"/>
          <w:i/>
          <w:iCs/>
          <w:color w:val="000000" w:themeColor="text1"/>
          <w:kern w:val="28"/>
          <w:lang w:eastAsia="pl-PL"/>
          <w14:cntxtAlts/>
        </w:rPr>
        <w:t xml:space="preserve"> </w:t>
      </w:r>
      <w:r w:rsidRPr="00F21196">
        <w:rPr>
          <w:rFonts w:eastAsia="Times New Roman" w:cstheme="minorHAnsi"/>
          <w:color w:val="000000" w:themeColor="text1"/>
          <w:kern w:val="28"/>
          <w:lang w:eastAsia="pl-PL"/>
          <w14:cntxtAlts/>
        </w:rPr>
        <w:t xml:space="preserve">do krajów pochodzenia, z uwagi na ich radykalne poglądy i zdobyte doświadczenie bojowe, stanowi realne zagrożenie przeprowadzenia ataku terrorystycznego w Europie. Problem ten dotyczy kilkutysięcznej grupy obywateli Unii Europejskiej (w szczególności z Francji, Wielkiej Brytanii i Niemiec), a także pojedynczych Polaków. Poziom zainteresowania obywateli Polski wyjazdami do stref konfliktu na Bliskim Wschodzie utrzymuje się na niskim poziomie. </w:t>
      </w:r>
    </w:p>
    <w:p w14:paraId="12CCEB34" w14:textId="77777777" w:rsidR="00B53DEC" w:rsidRPr="00F21196" w:rsidRDefault="00B53DEC" w:rsidP="00B53DEC">
      <w:pPr>
        <w:widowControl w:val="0"/>
        <w:spacing w:after="0" w:line="276" w:lineRule="auto"/>
        <w:jc w:val="both"/>
        <w:rPr>
          <w:rFonts w:eastAsia="Times New Roman" w:cstheme="minorHAnsi"/>
          <w:color w:val="000000" w:themeColor="text1"/>
          <w:kern w:val="28"/>
          <w:lang w:eastAsia="pl-PL"/>
          <w14:cntxtAlts/>
        </w:rPr>
      </w:pPr>
      <w:r w:rsidRPr="00F21196">
        <w:rPr>
          <w:rFonts w:eastAsia="Times New Roman" w:cstheme="minorHAnsi"/>
          <w:color w:val="000000" w:themeColor="text1"/>
          <w:kern w:val="28"/>
          <w:lang w:eastAsia="pl-PL"/>
          <w14:cntxtAlts/>
        </w:rPr>
        <w:t xml:space="preserve">Geopolityczne uwarunkowania położenia Polski sprawiają, że nasz kraj może </w:t>
      </w:r>
      <w:r>
        <w:rPr>
          <w:rFonts w:eastAsia="Times New Roman" w:cstheme="minorHAnsi"/>
          <w:color w:val="000000" w:themeColor="text1"/>
          <w:kern w:val="28"/>
          <w:lang w:eastAsia="pl-PL"/>
          <w14:cntxtAlts/>
        </w:rPr>
        <w:t xml:space="preserve">pełnić </w:t>
      </w:r>
      <w:r w:rsidRPr="00F21196">
        <w:rPr>
          <w:rFonts w:eastAsia="Times New Roman" w:cstheme="minorHAnsi"/>
          <w:color w:val="000000" w:themeColor="text1"/>
          <w:kern w:val="28"/>
          <w:lang w:eastAsia="pl-PL"/>
          <w14:cntxtAlts/>
        </w:rPr>
        <w:t>dla ekstremistów rolę tranzytową w drodze do zachodniej i północnej Europy lub w drodze powrotnej do kraju pochodzenia. Przez terytorium naszego kraju mogą także próbować przedostać się w rejony konfliktu lub powrócić z nich będący obywatelami Unii Europejskiej</w:t>
      </w:r>
      <w:r w:rsidRPr="00F21196">
        <w:rPr>
          <w:rFonts w:eastAsia="Times New Roman" w:cstheme="minorHAnsi"/>
          <w:iCs/>
          <w:color w:val="000000" w:themeColor="text1"/>
          <w:kern w:val="28"/>
          <w:lang w:eastAsia="pl-PL"/>
          <w14:cntxtAlts/>
        </w:rPr>
        <w:t xml:space="preserve"> zagraniczni bojownicy terrorystyczni</w:t>
      </w:r>
      <w:r w:rsidRPr="00F21196">
        <w:rPr>
          <w:rFonts w:eastAsia="Times New Roman" w:cstheme="minorHAnsi"/>
          <w:color w:val="000000" w:themeColor="text1"/>
          <w:kern w:val="28"/>
          <w:lang w:eastAsia="pl-PL"/>
          <w14:cntxtAlts/>
        </w:rPr>
        <w:t xml:space="preserve">. </w:t>
      </w:r>
    </w:p>
    <w:p w14:paraId="5A67E65B" w14:textId="77777777" w:rsidR="00B53DEC" w:rsidRPr="00F21196" w:rsidRDefault="00B53DEC" w:rsidP="00B53DEC">
      <w:pPr>
        <w:widowControl w:val="0"/>
        <w:spacing w:after="0" w:line="276" w:lineRule="auto"/>
        <w:jc w:val="both"/>
        <w:rPr>
          <w:rFonts w:eastAsia="Times New Roman" w:cstheme="minorHAnsi"/>
          <w:color w:val="000000" w:themeColor="text1"/>
          <w:kern w:val="28"/>
          <w:lang w:eastAsia="pl-PL"/>
          <w14:cntxtAlts/>
        </w:rPr>
      </w:pPr>
      <w:r w:rsidRPr="00F21196">
        <w:rPr>
          <w:rFonts w:eastAsia="Times New Roman" w:cstheme="minorHAnsi"/>
          <w:color w:val="000000" w:themeColor="text1"/>
          <w:kern w:val="28"/>
          <w:lang w:eastAsia="pl-PL"/>
          <w14:cntxtAlts/>
        </w:rPr>
        <w:t xml:space="preserve">Należy ponadto zwrócić uwagę na zjawisko tzw. </w:t>
      </w:r>
      <w:r w:rsidRPr="00F21196">
        <w:rPr>
          <w:rFonts w:eastAsia="Times New Roman" w:cstheme="minorHAnsi"/>
          <w:i/>
          <w:iCs/>
          <w:color w:val="000000" w:themeColor="text1"/>
          <w:kern w:val="28"/>
          <w:lang w:eastAsia="pl-PL"/>
          <w14:cntxtAlts/>
        </w:rPr>
        <w:t xml:space="preserve">solo/lone wolf terrorism, </w:t>
      </w:r>
      <w:r w:rsidRPr="00B53DEC">
        <w:rPr>
          <w:rFonts w:eastAsia="Times New Roman" w:cstheme="minorHAnsi"/>
          <w:iCs/>
          <w:color w:val="000000" w:themeColor="text1"/>
          <w:kern w:val="28"/>
          <w:szCs w:val="28"/>
          <w:lang w:eastAsia="pl-PL"/>
          <w14:cntxtAlts/>
        </w:rPr>
        <w:t>(tzw. samotnych wilków)</w:t>
      </w:r>
      <w:r w:rsidRPr="00B53DEC">
        <w:rPr>
          <w:rFonts w:eastAsia="Times New Roman" w:cstheme="minorHAnsi"/>
          <w:i/>
          <w:iCs/>
          <w:color w:val="000000" w:themeColor="text1"/>
          <w:kern w:val="28"/>
          <w:sz w:val="18"/>
          <w:lang w:eastAsia="pl-PL"/>
          <w14:cntxtAlts/>
        </w:rPr>
        <w:t xml:space="preserve"> </w:t>
      </w:r>
      <w:r w:rsidRPr="00F21196">
        <w:rPr>
          <w:rFonts w:eastAsia="Times New Roman" w:cstheme="minorHAnsi"/>
          <w:iCs/>
          <w:color w:val="000000" w:themeColor="text1"/>
          <w:kern w:val="28"/>
          <w:lang w:eastAsia="pl-PL"/>
          <w14:cntxtAlts/>
        </w:rPr>
        <w:t xml:space="preserve">czyli ataków terrorystycznych przeprowadzanych przez pojedyncze osoby niezwiązane z grupami </w:t>
      </w:r>
      <w:r w:rsidRPr="00F21196">
        <w:rPr>
          <w:rFonts w:eastAsia="Times New Roman" w:cstheme="minorHAnsi"/>
          <w:color w:val="000000" w:themeColor="text1"/>
          <w:kern w:val="28"/>
          <w:lang w:eastAsia="pl-PL"/>
          <w14:cntxtAlts/>
        </w:rPr>
        <w:t xml:space="preserve">terrorystycznymi, których aktywność jest bardzo trudna do wykrycia, mogących dokonać ataku w nieprzewidzianym czasie i miejscu. Tego rodzaju sprawcy wykorzystują m.in. improwizowane ładunki wybuchowe skonstruowane z materiałów ogólnodostępnych, które mogą być nabywane na terenie innych krajów niż miejsca przeprowadzenia zamachów, co w znaczny sposób utrudnia ich wykrycie. Należy jednak zaznaczyć, że motywacje działań podejmowanych przez tego rodzaju osoby mogą mieć zarówno charakter religijny, jak też polityczny czy będący skutkiem niechęci wobec określonych osób lub środowisk. Impulsem do dokonania ewentualnego ataku może stać się także frustracja związana np. z wykluczeniem społecznym lub zaburzenia psychiczne zamachowca.  </w:t>
      </w:r>
    </w:p>
    <w:p w14:paraId="5EFD214D" w14:textId="77777777" w:rsidR="00B53DEC" w:rsidRPr="00F21196" w:rsidRDefault="00B53DEC" w:rsidP="00B53DEC">
      <w:pPr>
        <w:spacing w:after="0" w:line="276" w:lineRule="auto"/>
        <w:jc w:val="both"/>
        <w:rPr>
          <w:rFonts w:eastAsia="Times New Roman" w:cs="Calibri"/>
        </w:rPr>
      </w:pPr>
      <w:r w:rsidRPr="00F21196">
        <w:rPr>
          <w:rFonts w:eastAsia="Times New Roman" w:cs="Calibri"/>
        </w:rPr>
        <w:t>Możliwe jest również prowadzenie przez terytorium Polski transferu środków finansowych przeznaczonych na prowadzenie działalności terrorystycznej w innych państwach lub pozyskiwanie w Polsce środków finansowych na tego rodzaju działalność czy też podejmowanie prób budowy zaplecza logistycznego do prowadzenia zamachów w innych krajach europejskich.</w:t>
      </w:r>
    </w:p>
    <w:p w14:paraId="2FF3648F" w14:textId="77777777" w:rsidR="00B53DEC" w:rsidRPr="000E0B00" w:rsidRDefault="00B53DEC" w:rsidP="00B53DEC">
      <w:pPr>
        <w:spacing w:after="0" w:line="276" w:lineRule="auto"/>
        <w:jc w:val="both"/>
        <w:rPr>
          <w:rFonts w:eastAsia="Times New Roman" w:cs="Calibri"/>
        </w:rPr>
      </w:pPr>
      <w:r w:rsidRPr="000E0B00">
        <w:rPr>
          <w:rFonts w:eastAsia="Times New Roman" w:cs="Calibri"/>
        </w:rPr>
        <w:t>Potencjalnym zagrożeniem jest przenikanie się działalności organizacji terrorystycznych i zorganizowanych grup przestępczych, w szczególności w zakresie przemytu osób i zalegalizowania ich pobytu, pozyskiwania dokumentów podróży, nielegalnej broni, amunicji oraz materiałów wybuchowych i prekursorów do ich produkcji, a także zdobywania środków finansowych i ich transferu.</w:t>
      </w:r>
    </w:p>
    <w:p w14:paraId="276596C5" w14:textId="77777777" w:rsidR="00B53DEC" w:rsidRPr="000E0B00" w:rsidRDefault="00B53DEC" w:rsidP="00B53DEC">
      <w:pPr>
        <w:spacing w:after="0" w:line="276" w:lineRule="auto"/>
        <w:jc w:val="both"/>
        <w:rPr>
          <w:rFonts w:eastAsia="Times New Roman" w:cs="Calibri"/>
          <w:color w:val="FF0000"/>
        </w:rPr>
      </w:pPr>
    </w:p>
    <w:p w14:paraId="7F55CEB7" w14:textId="465F4173" w:rsidR="00B53DEC" w:rsidRPr="00B53DEC" w:rsidRDefault="00B53DEC" w:rsidP="005A13D6">
      <w:pPr>
        <w:spacing w:after="120" w:line="276" w:lineRule="auto"/>
        <w:jc w:val="both"/>
        <w:rPr>
          <w:rFonts w:eastAsia="Times New Roman" w:cs="Calibri"/>
          <w:lang w:eastAsia="pl-PL"/>
        </w:rPr>
      </w:pPr>
      <w:r w:rsidRPr="000E0B00">
        <w:rPr>
          <w:b/>
          <w:lang w:eastAsia="pl-PL"/>
        </w:rPr>
        <w:t xml:space="preserve">Zwalczanie przestępczości. </w:t>
      </w:r>
      <w:r w:rsidR="005A13D6">
        <w:rPr>
          <w:lang w:eastAsia="pl-PL"/>
        </w:rPr>
        <w:t>Polacy najbardziej obawiają się przestępczości pospolitej, natomiast wśród innych negatywnych zjawisk, które generują wymierne ekonomiczne i społeczne straty, wymienić należy: terroryzm, przestępczość zorganizowaną, gospodarczą, korupcję oraz ataki na systemy informatyczne. Bezpośrednie przełożenie poziomu przestępczości na rozwój państwa obserwowalne jest w szczególności na przykładzie przestępczości gospodarczej. Tej formie przestępczości często towarzyszy m.in. proceder fałszowania dokumentów, będący efektem niskiego poziomu zabezpieczeń wielu z nich czy dostępności nowoczesnych technologii wykorzystywanych przez sprawców tego rodzaju przestępstw czy proceder prania pieniędzy</w:t>
      </w:r>
      <w:r w:rsidRPr="00B53DEC">
        <w:rPr>
          <w:lang w:eastAsia="pl-PL"/>
        </w:rPr>
        <w:t xml:space="preserve">. </w:t>
      </w:r>
    </w:p>
    <w:p w14:paraId="19E849CE" w14:textId="77777777" w:rsidR="00B53DEC" w:rsidRPr="000E0B00" w:rsidRDefault="00B53DEC" w:rsidP="00B53DEC">
      <w:pPr>
        <w:spacing w:after="0" w:line="276" w:lineRule="auto"/>
        <w:jc w:val="both"/>
        <w:rPr>
          <w:lang w:eastAsia="pl-PL"/>
        </w:rPr>
      </w:pPr>
      <w:r w:rsidRPr="00B53DEC">
        <w:rPr>
          <w:rFonts w:eastAsia="Times New Roman" w:cs="Calibri"/>
          <w:lang w:eastAsia="pl-PL"/>
        </w:rPr>
        <w:t>W celu przeciwdziałania skutkom przestępstw przeciwko wiarygodności dokumentów została uchwalona ustawa z dnia 22 listopada 2018 r. o dokumentach publicznych (Dz. U. z 2020 r. poz. 725) tworząca system bezpieczeństwa dokumentów publicznych. Ustawa dokonała podziału dokumentów publicznych na trzy odrębne kategorie w zależności od ich znaczenia dla bezpieczeństwa państwa, którym przypisane zostały odpowiednie minimalne wymogi w zakresie ich bezpieczeństwa. W szczególności kwestię tę reguluje rozporządzenie Ministra Spraw Wewnętrznych i Administracji z dnia 2 lipca 2019 r. w sprawie wykazu minimalnych zabezpieczeń dokumentów publicznych przed fałszerstwem (Dz. U. z 2019 r. poz. 1281).</w:t>
      </w:r>
      <w:r w:rsidRPr="00B53DEC">
        <w:t xml:space="preserve"> </w:t>
      </w:r>
      <w:r w:rsidRPr="00B53DEC">
        <w:rPr>
          <w:rFonts w:eastAsia="Times New Roman" w:cs="Calibri"/>
          <w:lang w:eastAsia="pl-PL"/>
        </w:rPr>
        <w:t>W związku</w:t>
      </w:r>
      <w:r w:rsidRPr="00883233">
        <w:rPr>
          <w:rFonts w:eastAsia="Times New Roman" w:cs="Calibri"/>
          <w:lang w:eastAsia="pl-PL"/>
        </w:rPr>
        <w:t xml:space="preserve"> z nową ustawą o dokumentach publicznych </w:t>
      </w:r>
      <w:r>
        <w:rPr>
          <w:rFonts w:eastAsia="Times New Roman" w:cs="Calibri"/>
          <w:lang w:eastAsia="pl-PL"/>
        </w:rPr>
        <w:t xml:space="preserve">rozpoczął się proces zmierzający do </w:t>
      </w:r>
      <w:r w:rsidRPr="00883233">
        <w:rPr>
          <w:rFonts w:eastAsia="Times New Roman" w:cs="Calibri"/>
          <w:lang w:eastAsia="pl-PL"/>
        </w:rPr>
        <w:t xml:space="preserve">zabezpieczenia szeregu dokumentów przed fałszerstwem. </w:t>
      </w:r>
      <w:r w:rsidRPr="00883233">
        <w:rPr>
          <w:rFonts w:eastAsia="Times New Roman" w:cs="Calibri"/>
          <w:bCs/>
          <w:lang w:eastAsia="pl-PL"/>
        </w:rPr>
        <w:t>Od 12 lipca 2020 r. można już skorzystać z Rejestru Dokumentów Publicznych stworzonego przez MSWiA. W rejestrze zawarto m.in. informacje o wyglądzie dokumentów obowiązujących w naszym kraju i zabezpieczeniach użytych do ich ochrony przed fałszerstwem.</w:t>
      </w:r>
      <w:r>
        <w:rPr>
          <w:rFonts w:eastAsia="Times New Roman" w:cs="Calibri"/>
          <w:bCs/>
          <w:lang w:eastAsia="pl-PL"/>
        </w:rPr>
        <w:t xml:space="preserve"> </w:t>
      </w:r>
      <w:r w:rsidRPr="00883233">
        <w:rPr>
          <w:rFonts w:eastAsia="Times New Roman" w:cs="Calibri"/>
          <w:lang w:eastAsia="pl-PL"/>
        </w:rPr>
        <w:t xml:space="preserve">Dzięki temu każdy </w:t>
      </w:r>
      <w:r>
        <w:rPr>
          <w:rFonts w:eastAsia="Times New Roman" w:cs="Calibri"/>
          <w:lang w:eastAsia="pl-PL"/>
        </w:rPr>
        <w:t>m</w:t>
      </w:r>
      <w:r w:rsidRPr="00883233">
        <w:rPr>
          <w:rFonts w:eastAsia="Times New Roman" w:cs="Calibri"/>
          <w:lang w:eastAsia="pl-PL"/>
        </w:rPr>
        <w:t>oże sprawdzić</w:t>
      </w:r>
      <w:r>
        <w:rPr>
          <w:rFonts w:eastAsia="Times New Roman" w:cs="Calibri"/>
          <w:lang w:eastAsia="pl-PL"/>
        </w:rPr>
        <w:t>,</w:t>
      </w:r>
      <w:r w:rsidRPr="00883233">
        <w:rPr>
          <w:rFonts w:eastAsia="Times New Roman" w:cs="Calibri"/>
          <w:lang w:eastAsia="pl-PL"/>
        </w:rPr>
        <w:t xml:space="preserve"> czy ma do czynienia z dokumentem oryginalnym, czy podrobionym. Rejestr dostępny jest pod adresem:</w:t>
      </w:r>
      <w:r>
        <w:rPr>
          <w:rFonts w:eastAsia="Times New Roman" w:cs="Calibri"/>
          <w:lang w:eastAsia="pl-PL"/>
        </w:rPr>
        <w:t xml:space="preserve"> </w:t>
      </w:r>
      <w:hyperlink r:id="rId16" w:history="1">
        <w:r w:rsidRPr="00883233">
          <w:rPr>
            <w:rStyle w:val="Hipercze"/>
            <w:rFonts w:eastAsia="Times New Roman" w:cs="Calibri"/>
            <w:lang w:eastAsia="pl-PL"/>
          </w:rPr>
          <w:t>www.gov.pl/app/rdp/</w:t>
        </w:r>
      </w:hyperlink>
      <w:r w:rsidRPr="00883233">
        <w:rPr>
          <w:rFonts w:eastAsia="Times New Roman" w:cs="Calibri"/>
          <w:lang w:eastAsia="pl-PL"/>
        </w:rPr>
        <w:t>.</w:t>
      </w:r>
      <w:r>
        <w:rPr>
          <w:rFonts w:eastAsia="Times New Roman" w:cs="Calibri"/>
          <w:lang w:eastAsia="pl-PL"/>
        </w:rPr>
        <w:t xml:space="preserve"> Realizacja przepisów ustawy o dokumentach publicznych powinna w najbliższych latach przynieść wymierne efekty, wymaga to jednak wspólnych działań wielu podmiotów i nieprzerwanego podnoszenia poziomu wiedzy w tym obszarze.</w:t>
      </w:r>
    </w:p>
    <w:p w14:paraId="7F64191B" w14:textId="77777777" w:rsidR="00B53DEC" w:rsidRPr="000E0B00" w:rsidRDefault="00B53DEC" w:rsidP="00B53DEC">
      <w:pPr>
        <w:spacing w:after="0" w:line="276" w:lineRule="auto"/>
        <w:jc w:val="both"/>
        <w:rPr>
          <w:b/>
          <w:lang w:eastAsia="pl-PL"/>
        </w:rPr>
      </w:pPr>
    </w:p>
    <w:p w14:paraId="3E2426A2" w14:textId="77777777" w:rsidR="00B53DEC" w:rsidRPr="008A55D9" w:rsidRDefault="00B53DEC" w:rsidP="00B53DEC">
      <w:pPr>
        <w:spacing w:after="0" w:line="276" w:lineRule="auto"/>
        <w:jc w:val="both"/>
        <w:rPr>
          <w:rFonts w:cstheme="minorHAnsi"/>
        </w:rPr>
      </w:pPr>
      <w:r w:rsidRPr="000E0B00">
        <w:rPr>
          <w:b/>
          <w:lang w:eastAsia="pl-PL"/>
        </w:rPr>
        <w:t xml:space="preserve">Polityka penitencjarna i resocjalizacja. </w:t>
      </w:r>
      <w:r w:rsidRPr="000E0B00">
        <w:rPr>
          <w:szCs w:val="20"/>
        </w:rPr>
        <w:t xml:space="preserve">Raporty międzynarodowych i krajowych instytucji nadzorujących </w:t>
      </w:r>
      <w:r w:rsidRPr="008A55D9">
        <w:rPr>
          <w:rFonts w:cstheme="minorHAnsi"/>
        </w:rPr>
        <w:t xml:space="preserve">przestrzeganie zasad humanitarnego wykonania kary pozbawienia wolności, w tym m.in. </w:t>
      </w:r>
      <w:r w:rsidRPr="00B53DEC">
        <w:rPr>
          <w:rFonts w:cstheme="minorHAnsi"/>
          <w:szCs w:val="28"/>
        </w:rPr>
        <w:t xml:space="preserve">Rzecznika Praw Obywatelskich i Krajowego Mechanizmu Prewencji Tortur </w:t>
      </w:r>
      <w:r w:rsidRPr="008A55D9">
        <w:rPr>
          <w:rFonts w:cstheme="minorHAnsi"/>
        </w:rPr>
        <w:t>wskazują na konieczność zwiększenia norm mieszkalnych przysługujących na 1 osadzonego w Polsce z obecnie przysługujących 3 m kw. do co najmniej 4 m kw. Ponadto wskazywane jest w opracowanych rekomendacjach, że obecny stan użytkowy jednostek penitencjarnych powstałych w większości w XIX w. i na pocz. XX w. wymaga gruntownej modernizacji.</w:t>
      </w:r>
    </w:p>
    <w:p w14:paraId="0BEAD837" w14:textId="27850DCF" w:rsidR="00B53DEC" w:rsidRPr="00B53DEC" w:rsidRDefault="00B53DEC" w:rsidP="00B53DEC">
      <w:pPr>
        <w:spacing w:after="0" w:line="276" w:lineRule="auto"/>
        <w:jc w:val="both"/>
        <w:rPr>
          <w:rFonts w:cstheme="minorHAnsi"/>
          <w14:numSpacing w14:val="proportional"/>
        </w:rPr>
      </w:pPr>
      <w:r w:rsidRPr="00F676F0">
        <w:rPr>
          <w:rFonts w:cstheme="minorHAnsi"/>
          <w:sz w:val="28"/>
          <w:szCs w:val="28"/>
        </w:rPr>
        <w:t>Konieczne</w:t>
      </w:r>
      <w:r w:rsidRPr="008A55D9">
        <w:rPr>
          <w:rFonts w:cstheme="minorHAnsi"/>
        </w:rPr>
        <w:t xml:space="preserve"> jest wdrożenie działań związanych z budową nowych jednostek penitencjarnych i nowych pawilonów mieszkalnych. Nowe jednostki penitencjarne oraz nowo powstałe pawilony zostaną wyposażone w nowoczesne rozwiązania techniczno-obronne uniemożliwiające dokonanie, m.in. ucieczki więźniów lub innych </w:t>
      </w:r>
      <w:r w:rsidRPr="008A55D9">
        <w:rPr>
          <w:rFonts w:cstheme="minorHAnsi"/>
          <w14:numSpacing w14:val="proportional"/>
        </w:rPr>
        <w:t xml:space="preserve">czynów prawnie niedozwolonych, co wpłynie bezpośrednio na bezpieczeństwo </w:t>
      </w:r>
      <w:r w:rsidRPr="00B53DEC">
        <w:rPr>
          <w:rFonts w:cstheme="minorHAnsi"/>
          <w14:numSpacing w14:val="proportional"/>
        </w:rPr>
        <w:t>obywateli.</w:t>
      </w:r>
    </w:p>
    <w:p w14:paraId="4B7574C5" w14:textId="4EA34EFC" w:rsidR="00B53DEC" w:rsidRPr="008A55D9" w:rsidRDefault="00B53DEC" w:rsidP="00B53DEC">
      <w:pPr>
        <w:spacing w:after="0" w:line="276" w:lineRule="auto"/>
        <w:jc w:val="both"/>
        <w:rPr>
          <w:rFonts w:cstheme="minorHAnsi"/>
          <w:b/>
          <w14:numSpacing w14:val="proportional"/>
        </w:rPr>
      </w:pPr>
      <w:r w:rsidRPr="008A55D9">
        <w:rPr>
          <w:rFonts w:cstheme="minorHAnsi"/>
          <w14:numSpacing w14:val="proportional"/>
        </w:rPr>
        <w:t xml:space="preserve">Służba Więzienna od 2017 roku została objęta pierwszym programem modernizacyjnym od czasów zmiany ustroju politycznego w 1989 roku. </w:t>
      </w:r>
    </w:p>
    <w:p w14:paraId="740D8BA5" w14:textId="3C9ECCD5" w:rsidR="00B53DEC" w:rsidRPr="000973C0" w:rsidRDefault="00B53DEC" w:rsidP="00B53DEC">
      <w:pPr>
        <w:jc w:val="both"/>
        <w:rPr>
          <w:b/>
        </w:rPr>
      </w:pPr>
      <w:r w:rsidRPr="000973C0">
        <w:t>Aktualnie brak jest na terenie polskich więzień wystarczającej liczby hal produkcyjnych, w których więźniowie mogą wykonywać pracę. W szczególności dotyczy to skazanych odbywających karę pozbawienia wolności w zakładach karnych typu zamkniętego. Działania te są powiązane bezpośrednio z założeniami krajowego Programu „</w:t>
      </w:r>
      <w:r w:rsidRPr="000973C0">
        <w:rPr>
          <w:i/>
        </w:rPr>
        <w:t>Praca dla Więźniów</w:t>
      </w:r>
      <w:r w:rsidRPr="000973C0">
        <w:t>”.</w:t>
      </w:r>
    </w:p>
    <w:p w14:paraId="46B3303A" w14:textId="5B633C48" w:rsidR="00B53DEC" w:rsidRPr="000973C0" w:rsidRDefault="00B53DEC" w:rsidP="00B53DEC">
      <w:pPr>
        <w:jc w:val="both"/>
        <w:rPr>
          <w:b/>
          <w:strike/>
          <w:lang w:eastAsia="pl-PL"/>
        </w:rPr>
      </w:pPr>
      <w:r w:rsidRPr="000973C0">
        <w:t xml:space="preserve">Służba Więzienna podziela ww. rekomendacje, szczególnie w aspekcie na powiązania warunków socjalnych i możliwości wykonywania pracy podczas odbywania kary pozbawienia wolności z efektywnością prowadzonych oddziaływań resocjalizacyjnych. Właściwa infrastruktura sprzyja kształtowaniu społecznie pożądanych postaw, poprzez realizację m.in. programów readaptacyjnych, terapii i treningów osobowościowych.  </w:t>
      </w:r>
    </w:p>
    <w:p w14:paraId="429C82F0" w14:textId="77777777" w:rsidR="00B53DEC" w:rsidRPr="000973C0" w:rsidRDefault="00B53DEC" w:rsidP="00B53DEC">
      <w:pPr>
        <w:spacing w:after="0" w:line="276" w:lineRule="auto"/>
        <w:jc w:val="both"/>
        <w:rPr>
          <w:strike/>
          <w:lang w:eastAsia="pl-PL"/>
        </w:rPr>
      </w:pPr>
      <w:r w:rsidRPr="000973C0">
        <w:rPr>
          <w:lang w:eastAsia="pl-PL"/>
        </w:rPr>
        <w:t xml:space="preserve">Istotnym elementem bezpieczeństwa wewnętrznego jest właściwe funkcjonowanie zakładów karnych, zarówno w zakresie zabezpieczenia fizycznego, jak też prowadzenia skutecznych działań resocjalizacyjnych. </w:t>
      </w:r>
    </w:p>
    <w:p w14:paraId="0957F932" w14:textId="77777777" w:rsidR="00B53DEC" w:rsidRPr="000973C0" w:rsidRDefault="00B53DEC" w:rsidP="00B53DEC">
      <w:pPr>
        <w:spacing w:after="0" w:line="276" w:lineRule="auto"/>
        <w:jc w:val="both"/>
        <w:rPr>
          <w:lang w:eastAsia="pl-PL"/>
        </w:rPr>
      </w:pPr>
      <w:r w:rsidRPr="000973C0">
        <w:rPr>
          <w:lang w:eastAsia="pl-PL"/>
        </w:rPr>
        <w:t xml:space="preserve">Znaczny rozwój technologii informacyjnych oraz wzrost zagrożeń cyberprzestępczością, jak również niski poziom wiedzy z zakresu bezpieczeństwa informacyjnego wśród kadry SW może powodować zagrożenia dla przetwarzanych danych.(?) W celu zapewnienia wymaganego poziomu bezpieczeństwa użytkowanych systemów oraz maksymalizacji efektywności ich wykorzystania konieczne jest stałe doszkalanie kadry informatycznej w jednostkach organizacyjnych SW. </w:t>
      </w:r>
    </w:p>
    <w:p w14:paraId="0EFFBBFF" w14:textId="25F3B09E" w:rsidR="00B53DEC" w:rsidRPr="000973C0" w:rsidRDefault="00B53DEC" w:rsidP="00B53DEC">
      <w:pPr>
        <w:spacing w:after="0" w:line="276" w:lineRule="auto"/>
        <w:jc w:val="both"/>
        <w:rPr>
          <w:lang w:eastAsia="pl-PL"/>
        </w:rPr>
      </w:pPr>
      <w:r w:rsidRPr="000973C0">
        <w:rPr>
          <w:lang w:eastAsia="pl-PL"/>
        </w:rPr>
        <w:t xml:space="preserve">Uczelnia Służby Więziennej – Wyższa Szkoła Kryminologii i Penitencjarystyki w Warszawie w zakresie szkolenia funkcjonariuszy, biorąc pod uwagę narastające zagrożenia cyberprzestępczością i rozwojem technologii, będzie na bieżąco uaktualniać programy szkolenia m.in. w tym zakresie. </w:t>
      </w:r>
    </w:p>
    <w:p w14:paraId="27555A7B" w14:textId="77777777" w:rsidR="00B53DEC" w:rsidRPr="000E0B00" w:rsidRDefault="00B53DEC" w:rsidP="00B53DEC">
      <w:pPr>
        <w:spacing w:after="0" w:line="276" w:lineRule="auto"/>
        <w:jc w:val="both"/>
        <w:rPr>
          <w:lang w:eastAsia="pl-PL"/>
        </w:rPr>
      </w:pPr>
      <w:r w:rsidRPr="000973C0">
        <w:rPr>
          <w:lang w:eastAsia="pl-PL"/>
        </w:rPr>
        <w:t>Posiadane uzbrojenie, sprzęt i urządzenia oraz wyposażenie specjalne w jednostkach penitencjarnych cechuje znaczny stopień wyeksploatowania oraz duża awaryjność. Obecnie na rynku występują rozwiązania bardziej zaawansowane technologicznie, które posiadają dużo większe możliwości użytkowe i skuteczność. Wychodząc naprzeciw stojącym wyzwaniom oraz kreowaniu nowoczesnej polityki ochronnej należy wprowadzać</w:t>
      </w:r>
      <w:r w:rsidRPr="000E0B00">
        <w:rPr>
          <w:lang w:eastAsia="pl-PL"/>
        </w:rPr>
        <w:t xml:space="preserve"> rozwiązania w trybie długofalowym, które doprowadzą do zwiększenia poziomu bezpieczeństwa zakładów karnych i aresztów śledczych przez ich doposażenie w odpowiedni sprzęt oraz poprawę warunków pełnienia służby przez funkcjonariuszy Służby Więziennej. </w:t>
      </w:r>
    </w:p>
    <w:p w14:paraId="107CE698" w14:textId="77777777" w:rsidR="00B53DEC" w:rsidRPr="00325FC2" w:rsidRDefault="00B53DEC" w:rsidP="00B53DEC">
      <w:pPr>
        <w:spacing w:after="120" w:line="276" w:lineRule="auto"/>
        <w:jc w:val="both"/>
        <w:rPr>
          <w:i/>
        </w:rPr>
      </w:pPr>
      <w:r w:rsidRPr="00325FC2">
        <w:rPr>
          <w:lang w:eastAsia="pl-PL"/>
        </w:rPr>
        <w:t xml:space="preserve">Ponadto osoby pozbawione wolności są zagrożone wykluczeniem cyfrowym. Należy wdrożyć rozwiązania, które pozwolą na szerszy dostęp osób pozbawionych wolności do przepisów, instytucji administracji publicznej i oferowanych przez nie e-usług, </w:t>
      </w:r>
      <w:r w:rsidRPr="00325FC2">
        <w:t xml:space="preserve">w tym stworzenie warunków do prowadzenia e-mediacji jako nowatorskiej formy kontaktu skazanych z mediatorem i pokrzywdzonym, umożliwiając przy tym skorzystanie z przysługującego im prawa do mediacji </w:t>
      </w:r>
      <w:r w:rsidRPr="00325FC2">
        <w:rPr>
          <w:lang w:eastAsia="pl-PL"/>
        </w:rPr>
        <w:t>oraz poprawę efektywności wymiany korespondencji pomiędzy osobami pozbawionymi wolności i jednostkami adminis</w:t>
      </w:r>
      <w:r>
        <w:rPr>
          <w:lang w:eastAsia="pl-PL"/>
        </w:rPr>
        <w:t>tracji publicznej.</w:t>
      </w:r>
    </w:p>
    <w:p w14:paraId="22A71AC1" w14:textId="77777777" w:rsidR="00B53DEC" w:rsidRPr="003535F7" w:rsidRDefault="00B53DEC" w:rsidP="00B53DEC">
      <w:pPr>
        <w:pStyle w:val="Tekstkomentarza"/>
        <w:spacing w:line="276" w:lineRule="auto"/>
        <w:jc w:val="both"/>
        <w:rPr>
          <w:sz w:val="22"/>
          <w:szCs w:val="22"/>
        </w:rPr>
      </w:pPr>
      <w:r w:rsidRPr="003535F7">
        <w:rPr>
          <w:sz w:val="22"/>
          <w:szCs w:val="22"/>
        </w:rPr>
        <w:t>Analizując sprawiedliwość naprawczą w Dyrektywie Parlamentu Europejskiego i Rady 2012/29/UE ustanawiającej normy minimalne w zakresie praw, wsparcia i ochrony ofiar przestępstw oraz zastępującej decyzję ramową Rady 2001/220/WSiSW, rekomenduje się zwiększenie praw i ochrony osób poszkodowanych,  w tym wzmocnienie roli mediacji „po wyroku”.</w:t>
      </w:r>
    </w:p>
    <w:p w14:paraId="7FBA272A" w14:textId="77777777" w:rsidR="00B53DEC" w:rsidRPr="00BF1980" w:rsidRDefault="00B53DEC" w:rsidP="00B53DEC">
      <w:pPr>
        <w:spacing w:after="0" w:line="276" w:lineRule="auto"/>
        <w:jc w:val="both"/>
        <w:rPr>
          <w:rFonts w:eastAsia="Times New Roman" w:cstheme="minorHAnsi"/>
        </w:rPr>
      </w:pPr>
      <w:r w:rsidRPr="00BF1980">
        <w:rPr>
          <w:rFonts w:eastAsia="Times New Roman" w:cstheme="minorHAnsi"/>
        </w:rPr>
        <w:t xml:space="preserve">Prawidłowo poprowadzony proces resocjalizacji wymaga punktowych zmian systemowych kurateli sądowej oraz systematycznego doszkalania kuratorów sądowych. Obciążenie pracą kuratorów zawodowych jest redukowane poprzez relokację etatów kuratorskich pomiędzy okręgami sądowymi. Istnieje </w:t>
      </w:r>
      <w:r>
        <w:rPr>
          <w:rFonts w:eastAsia="Times New Roman" w:cstheme="minorHAnsi"/>
        </w:rPr>
        <w:t xml:space="preserve">ponadto </w:t>
      </w:r>
      <w:r w:rsidRPr="00BF1980">
        <w:rPr>
          <w:rFonts w:eastAsia="Times New Roman" w:cstheme="minorHAnsi"/>
        </w:rPr>
        <w:t>konieczność podjęcia wielowymiarowych działań na rzecz poprawy szeroko rozumianego bezpieczeństwa i higieny pracy kuratorów</w:t>
      </w:r>
      <w:r>
        <w:rPr>
          <w:rFonts w:eastAsia="Times New Roman" w:cstheme="minorHAnsi"/>
        </w:rPr>
        <w:t>, jak również prowadzenia w</w:t>
      </w:r>
      <w:r>
        <w:rPr>
          <w:lang w:eastAsia="pl-PL"/>
        </w:rPr>
        <w:t>łaściwego szkolenia kadry kuratorskiej, co wpłynie na wzrost jej bezpieczeństwa oraz profesjonalizm</w:t>
      </w:r>
      <w:r w:rsidRPr="00BF1980">
        <w:rPr>
          <w:rFonts w:eastAsia="Times New Roman" w:cstheme="minorHAnsi"/>
        </w:rPr>
        <w:t>.</w:t>
      </w:r>
    </w:p>
    <w:p w14:paraId="237D7A49" w14:textId="77777777" w:rsidR="00B53DEC" w:rsidRPr="00F21196" w:rsidRDefault="00B53DEC" w:rsidP="00B53DEC">
      <w:pPr>
        <w:spacing w:before="120" w:after="0" w:line="276" w:lineRule="auto"/>
        <w:jc w:val="both"/>
        <w:rPr>
          <w:rFonts w:eastAsia="Times New Roman" w:cs="Calibri"/>
          <w:lang w:eastAsia="pl-PL"/>
        </w:rPr>
      </w:pPr>
      <w:r w:rsidRPr="00F21196">
        <w:rPr>
          <w:rFonts w:eastAsia="Times New Roman" w:cs="Calibri"/>
          <w:b/>
          <w:lang w:eastAsia="pl-PL"/>
        </w:rPr>
        <w:t xml:space="preserve">Ograniczenia w obrocie międzynarodowym. </w:t>
      </w:r>
      <w:r w:rsidRPr="00F21196">
        <w:rPr>
          <w:rFonts w:eastAsia="Times New Roman" w:cs="Calibri"/>
          <w:lang w:eastAsia="pl-PL"/>
        </w:rPr>
        <w:t>Organy Krajowej Administracji Skarbowej (dalej: KAS)</w:t>
      </w:r>
      <w:r w:rsidRPr="00F21196">
        <w:rPr>
          <w:rStyle w:val="Odwoanieprzypisudolnego"/>
          <w:rFonts w:eastAsia="Times New Roman" w:cs="Calibri"/>
          <w:lang w:eastAsia="pl-PL"/>
        </w:rPr>
        <w:footnoteReference w:id="99"/>
      </w:r>
      <w:r w:rsidRPr="00F21196">
        <w:rPr>
          <w:rFonts w:eastAsia="Times New Roman" w:cs="Calibri"/>
          <w:lang w:eastAsia="pl-PL"/>
        </w:rPr>
        <w:t xml:space="preserve"> mają za zadanie egzekwowanie </w:t>
      </w:r>
      <w:r w:rsidRPr="00F21196">
        <w:rPr>
          <w:rFonts w:eastAsia="Calibri" w:cs="Times New Roman"/>
        </w:rPr>
        <w:t xml:space="preserve">różnego rodzaju ograniczeń w obrocie międzynarodowym, które nie wynikają z unijnej polityki handlowej a są motywowane takimi względami, jak np. ochrona zdrowia i życia ludzi, bezpieczeństwo obywateli, utrzymanie międzynarodowego pokoju, ochrona dóbr kultury, ochrona środowiska itp. Dotyczą one takich towarów jak: azbest i wyroby zawierające azbest, rtęć, niebezpieczne chemikalia, produkty biobójcze, nawozy, środki ochrony roślin, środki odurzające, substancje psychotropowe oraz prekursory narkotyków, uzbrojenie i produkty podwójnego zastosowania, odpady, substancje zubażające warstwę ozonową, materiały jądrowe, źródła promieniotwórcze, odpady promieniotwórcze, wypalone paliwo jądrowe, dobra kultury (zabytki), dzika flora i fauna. Celem </w:t>
      </w:r>
      <w:r w:rsidRPr="00F21196">
        <w:rPr>
          <w:rFonts w:eastAsia="Times New Roman" w:cs="Calibri"/>
          <w:lang w:eastAsia="pl-PL"/>
        </w:rPr>
        <w:t>działań KAS będzie ograniczenie wprowadzania do UE towarów naruszających zakazy i ograniczenia, a także rozpoznawanie i zapobieganie przestępczości w tym obszarze oraz podniesienia świadomości społecznej związanej z obrotem takimi towarami oraz rozwój współpracy z innymi organami administracji publicznej biorącymi udział w obrocie towarowym z krajami trzecimi.</w:t>
      </w:r>
    </w:p>
    <w:p w14:paraId="1FC8F818" w14:textId="77777777" w:rsidR="00B53DEC" w:rsidRPr="00F21196" w:rsidRDefault="00B53DEC" w:rsidP="00B53DEC">
      <w:pPr>
        <w:spacing w:after="0" w:line="276" w:lineRule="auto"/>
        <w:jc w:val="both"/>
        <w:rPr>
          <w:rFonts w:eastAsia="Calibri" w:cs="Times New Roman"/>
          <w:b/>
        </w:rPr>
      </w:pPr>
    </w:p>
    <w:p w14:paraId="1D066260" w14:textId="03E2AEE3" w:rsidR="000C7268" w:rsidRDefault="00B53DEC" w:rsidP="000C7268">
      <w:pPr>
        <w:spacing w:after="0" w:line="276" w:lineRule="auto"/>
        <w:jc w:val="both"/>
        <w:rPr>
          <w:rFonts w:cs="Verdana"/>
        </w:rPr>
      </w:pPr>
      <w:r w:rsidRPr="00F21196">
        <w:rPr>
          <w:rFonts w:cs="Verdana"/>
          <w:b/>
        </w:rPr>
        <w:t>Zagrożenia pożarowe oraz inne miejscowe zagrożenia</w:t>
      </w:r>
      <w:r w:rsidRPr="00F21196">
        <w:rPr>
          <w:rFonts w:cs="Verdana"/>
        </w:rPr>
        <w:t xml:space="preserve">. </w:t>
      </w:r>
      <w:r w:rsidR="000C7268">
        <w:rPr>
          <w:rFonts w:cs="Verdana"/>
        </w:rPr>
        <w:t xml:space="preserve">Statystyki Komendy Głównej Państwowej Straży Pożarnej zawierają dane na temat zagrożeń pożarowych oraz innych miejscowych zagrożeń. Opierając się na statystyce zaistniałych zdarzeń czasu pokoju, charakterystyce Polski (m.in.: geograficznej, gospodarczej, urbanistycznej itd.) oraz rozpatrując możliwe scenariusze kryzysów polityczno-militarnych i wojny, można wymienić podstawowe zagrożenia dla bezpieczeństwa powszechnego: </w:t>
      </w:r>
    </w:p>
    <w:p w14:paraId="18F8C9E7" w14:textId="77777777" w:rsidR="000C7268" w:rsidRDefault="000C7268" w:rsidP="000C7268">
      <w:pPr>
        <w:autoSpaceDE w:val="0"/>
        <w:autoSpaceDN w:val="0"/>
        <w:adjustRightInd w:val="0"/>
        <w:spacing w:after="0"/>
        <w:jc w:val="both"/>
        <w:rPr>
          <w:rFonts w:cs="Verdana"/>
        </w:rPr>
      </w:pPr>
      <w:r>
        <w:rPr>
          <w:rFonts w:cs="Verdana"/>
        </w:rPr>
        <w:t xml:space="preserve">1) pożarowo-wybuchowe, </w:t>
      </w:r>
    </w:p>
    <w:p w14:paraId="1B667245" w14:textId="77777777" w:rsidR="000C7268" w:rsidRDefault="000C7268" w:rsidP="000C7268">
      <w:pPr>
        <w:autoSpaceDE w:val="0"/>
        <w:autoSpaceDN w:val="0"/>
        <w:adjustRightInd w:val="0"/>
        <w:spacing w:after="0"/>
        <w:jc w:val="both"/>
        <w:rPr>
          <w:rFonts w:cs="Verdana"/>
        </w:rPr>
      </w:pPr>
      <w:r>
        <w:rPr>
          <w:rFonts w:cs="Verdana"/>
        </w:rPr>
        <w:t xml:space="preserve">2) zagrożenia miejscowe: </w:t>
      </w:r>
    </w:p>
    <w:p w14:paraId="443A8241" w14:textId="77777777" w:rsidR="000C7268" w:rsidRDefault="000C7268" w:rsidP="00723B3F">
      <w:pPr>
        <w:numPr>
          <w:ilvl w:val="0"/>
          <w:numId w:val="37"/>
        </w:numPr>
        <w:autoSpaceDE w:val="0"/>
        <w:autoSpaceDN w:val="0"/>
        <w:adjustRightInd w:val="0"/>
        <w:spacing w:after="0" w:line="276" w:lineRule="auto"/>
        <w:jc w:val="both"/>
        <w:rPr>
          <w:rFonts w:cs="Verdana"/>
        </w:rPr>
      </w:pPr>
      <w:r>
        <w:rPr>
          <w:rFonts w:cs="Verdana"/>
        </w:rPr>
        <w:t xml:space="preserve">techniczno-budowlane, </w:t>
      </w:r>
    </w:p>
    <w:p w14:paraId="13A3D281" w14:textId="77777777" w:rsidR="000C7268" w:rsidRDefault="000C7268" w:rsidP="00723B3F">
      <w:pPr>
        <w:numPr>
          <w:ilvl w:val="0"/>
          <w:numId w:val="37"/>
        </w:numPr>
        <w:autoSpaceDE w:val="0"/>
        <w:autoSpaceDN w:val="0"/>
        <w:adjustRightInd w:val="0"/>
        <w:spacing w:after="0" w:line="276" w:lineRule="auto"/>
        <w:jc w:val="both"/>
        <w:rPr>
          <w:rFonts w:cs="Verdana"/>
        </w:rPr>
      </w:pPr>
      <w:r>
        <w:rPr>
          <w:rFonts w:cs="Verdana"/>
        </w:rPr>
        <w:t xml:space="preserve">związane z istnieniem zakładów przemysłowych użytkujących substancje niebezpieczne </w:t>
      </w:r>
      <w:r>
        <w:rPr>
          <w:rFonts w:cs="Verdana"/>
        </w:rPr>
        <w:br/>
        <w:t xml:space="preserve">w ilościach mogących być przyczyną poważnej awarii przemysłowej, </w:t>
      </w:r>
    </w:p>
    <w:p w14:paraId="0ECF5F01" w14:textId="77777777" w:rsidR="000C7268" w:rsidRDefault="000C7268" w:rsidP="00723B3F">
      <w:pPr>
        <w:numPr>
          <w:ilvl w:val="0"/>
          <w:numId w:val="37"/>
        </w:numPr>
        <w:autoSpaceDE w:val="0"/>
        <w:autoSpaceDN w:val="0"/>
        <w:adjustRightInd w:val="0"/>
        <w:spacing w:after="0" w:line="276" w:lineRule="auto"/>
        <w:jc w:val="both"/>
        <w:rPr>
          <w:rFonts w:cs="Verdana"/>
        </w:rPr>
      </w:pPr>
      <w:r>
        <w:rPr>
          <w:rFonts w:cs="Verdana"/>
        </w:rPr>
        <w:t xml:space="preserve">w transporcie drogowym i kolejowym, </w:t>
      </w:r>
    </w:p>
    <w:p w14:paraId="447C6F6C" w14:textId="77777777" w:rsidR="000C7268" w:rsidRDefault="000C7268" w:rsidP="00723B3F">
      <w:pPr>
        <w:numPr>
          <w:ilvl w:val="0"/>
          <w:numId w:val="37"/>
        </w:numPr>
        <w:autoSpaceDE w:val="0"/>
        <w:autoSpaceDN w:val="0"/>
        <w:adjustRightInd w:val="0"/>
        <w:spacing w:after="0" w:line="276" w:lineRule="auto"/>
        <w:jc w:val="both"/>
        <w:rPr>
          <w:rFonts w:cs="Verdana"/>
        </w:rPr>
      </w:pPr>
      <w:r>
        <w:rPr>
          <w:rFonts w:cs="Verdana"/>
        </w:rPr>
        <w:t xml:space="preserve">powodziowe oraz związane z wystąpieniem innych klęsk żywiołowych w wyniku działania sił przyrody lub umyślnej działalności człowieka. </w:t>
      </w:r>
    </w:p>
    <w:p w14:paraId="74CB55B4" w14:textId="26967F4A" w:rsidR="000C7268" w:rsidRDefault="000C7268" w:rsidP="000C7268">
      <w:pPr>
        <w:autoSpaceDE w:val="0"/>
        <w:autoSpaceDN w:val="0"/>
        <w:adjustRightInd w:val="0"/>
        <w:spacing w:after="0"/>
        <w:jc w:val="both"/>
        <w:rPr>
          <w:rFonts w:cs="Verdana"/>
        </w:rPr>
      </w:pPr>
      <w:r>
        <w:rPr>
          <w:rFonts w:cs="Verdana"/>
        </w:rPr>
        <w:t xml:space="preserve">Analiza statystyk zagrożeń pożarowych i innych miejscowych zagrożeń w Polsce w latach 2014-2018, pozwala na sformułowanie tezy o ich względnie stabilnym poziomie z tendencją wzrostową. Zaobserwowane wahania liczby interwencji w poszczególnych okresach są silnie skorelowane z występującymi w danym roku warunkami atmosferycznymi, zarówno w odniesieniu do pożarów, jak i miejscowych zagrożeń. Wśród miejscowych zagrożeń oprócz interwencji związanych ze zjawiskami pogodowymi dominują zdarzenia na szlakach komunikacyjnych. </w:t>
      </w:r>
      <w:r>
        <w:rPr>
          <w:rFonts w:cs="Verdana"/>
        </w:rPr>
        <w:br/>
        <w:t xml:space="preserve">Po kilkanaście tysięcy interwencji rocznie odnotowywanych jest również w związku ze zdarzeniami budowlanymi i chemiczno-ekologicznymi oraz udzielaniem pomocy medycznej. </w:t>
      </w:r>
    </w:p>
    <w:p w14:paraId="2045B62A" w14:textId="51E9FB72" w:rsidR="000C7268" w:rsidRDefault="000C7268" w:rsidP="00A576EB">
      <w:pPr>
        <w:autoSpaceDE w:val="0"/>
        <w:autoSpaceDN w:val="0"/>
        <w:adjustRightInd w:val="0"/>
        <w:spacing w:after="0" w:line="276" w:lineRule="auto"/>
        <w:jc w:val="both"/>
        <w:rPr>
          <w:rFonts w:cs="Verdana"/>
        </w:rPr>
      </w:pPr>
      <w:r>
        <w:rPr>
          <w:rFonts w:cs="Verdana"/>
        </w:rPr>
        <w:t>W poniższych tabelach zamieszczono szczegółowe dane na temat liczby pożarów według grup obiektów oraz liczby miejscowych zagrożeń według ich rodzaju, w latach 2014-2018.</w:t>
      </w:r>
    </w:p>
    <w:p w14:paraId="186033D6" w14:textId="77777777" w:rsidR="000C7268" w:rsidRDefault="000C7268" w:rsidP="000C7268">
      <w:pPr>
        <w:autoSpaceDE w:val="0"/>
        <w:autoSpaceDN w:val="0"/>
        <w:adjustRightInd w:val="0"/>
        <w:spacing w:after="0"/>
        <w:jc w:val="both"/>
        <w:rPr>
          <w:rFonts w:cs="Verdana"/>
        </w:rPr>
      </w:pPr>
    </w:p>
    <w:p w14:paraId="2D6A1E9C" w14:textId="288B7309" w:rsidR="000C7268" w:rsidRPr="000C7268" w:rsidRDefault="000C7268" w:rsidP="000C7268">
      <w:pPr>
        <w:autoSpaceDE w:val="0"/>
        <w:autoSpaceDN w:val="0"/>
        <w:adjustRightInd w:val="0"/>
        <w:spacing w:after="0"/>
        <w:jc w:val="both"/>
        <w:rPr>
          <w:rFonts w:cs="Verdana"/>
          <w:b/>
          <w:i/>
        </w:rPr>
      </w:pPr>
      <w:r w:rsidRPr="000C7268">
        <w:rPr>
          <w:rFonts w:cs="Verdana"/>
          <w:b/>
          <w:i/>
        </w:rPr>
        <w:t xml:space="preserve">Tabela </w:t>
      </w:r>
      <w:r>
        <w:rPr>
          <w:rFonts w:cs="Verdana"/>
          <w:b/>
          <w:i/>
        </w:rPr>
        <w:t xml:space="preserve">. </w:t>
      </w:r>
      <w:r w:rsidRPr="000C7268">
        <w:rPr>
          <w:rFonts w:cs="Verdana"/>
          <w:b/>
          <w:i/>
        </w:rPr>
        <w:t>Pożary w Polsce w latach 2014-2018, według grup obiektów (na podstawie SWD PSP).</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03"/>
        <w:gridCol w:w="897"/>
        <w:gridCol w:w="896"/>
        <w:gridCol w:w="896"/>
        <w:gridCol w:w="896"/>
        <w:gridCol w:w="896"/>
      </w:tblGrid>
      <w:tr w:rsidR="000C7268" w14:paraId="711A8057" w14:textId="77777777" w:rsidTr="000C7268">
        <w:trPr>
          <w:trHeight w:val="470"/>
          <w:jc w:val="center"/>
        </w:trPr>
        <w:tc>
          <w:tcPr>
            <w:tcW w:w="430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B2506BC" w14:textId="77777777" w:rsidR="000C7268" w:rsidRPr="000C7268" w:rsidRDefault="000C7268" w:rsidP="00321AE6">
            <w:pPr>
              <w:spacing w:after="0" w:line="240" w:lineRule="auto"/>
              <w:rPr>
                <w:rFonts w:cstheme="minorHAnsi"/>
                <w:b/>
                <w:sz w:val="20"/>
                <w:szCs w:val="20"/>
              </w:rPr>
            </w:pPr>
            <w:r w:rsidRPr="000C7268">
              <w:rPr>
                <w:rFonts w:cstheme="minorHAnsi"/>
                <w:b/>
                <w:sz w:val="20"/>
                <w:szCs w:val="20"/>
              </w:rPr>
              <w:t>Pożary:</w:t>
            </w:r>
          </w:p>
        </w:tc>
        <w:tc>
          <w:tcPr>
            <w:tcW w:w="4481"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36803FC0" w14:textId="77777777" w:rsidR="000C7268" w:rsidRPr="000C7268" w:rsidRDefault="000C7268" w:rsidP="00321AE6">
            <w:pPr>
              <w:spacing w:after="0" w:line="240" w:lineRule="auto"/>
              <w:jc w:val="center"/>
              <w:rPr>
                <w:rFonts w:cstheme="minorHAnsi"/>
                <w:b/>
                <w:bCs/>
                <w:sz w:val="20"/>
                <w:szCs w:val="20"/>
              </w:rPr>
            </w:pPr>
            <w:r w:rsidRPr="000C7268">
              <w:rPr>
                <w:rFonts w:cstheme="minorHAnsi"/>
                <w:b/>
                <w:bCs/>
                <w:sz w:val="20"/>
                <w:szCs w:val="20"/>
              </w:rPr>
              <w:t>Rok</w:t>
            </w:r>
          </w:p>
        </w:tc>
      </w:tr>
      <w:tr w:rsidR="000C7268" w14:paraId="7E133919" w14:textId="77777777" w:rsidTr="000C7268">
        <w:trPr>
          <w:trHeight w:val="470"/>
          <w:jc w:val="center"/>
        </w:trPr>
        <w:tc>
          <w:tcPr>
            <w:tcW w:w="8784" w:type="dxa"/>
            <w:vMerge/>
            <w:tcBorders>
              <w:top w:val="single" w:sz="4" w:space="0" w:color="auto"/>
              <w:left w:val="single" w:sz="4" w:space="0" w:color="auto"/>
              <w:bottom w:val="single" w:sz="4" w:space="0" w:color="auto"/>
              <w:right w:val="single" w:sz="4" w:space="0" w:color="auto"/>
            </w:tcBorders>
            <w:vAlign w:val="center"/>
            <w:hideMark/>
          </w:tcPr>
          <w:p w14:paraId="20BA7069" w14:textId="77777777" w:rsidR="000C7268" w:rsidRPr="000C7268" w:rsidRDefault="000C7268" w:rsidP="00321AE6">
            <w:pPr>
              <w:spacing w:after="0" w:line="240" w:lineRule="auto"/>
              <w:rPr>
                <w:rFonts w:cstheme="minorHAnsi"/>
                <w:b/>
                <w:sz w:val="20"/>
                <w:szCs w:val="20"/>
              </w:rPr>
            </w:pPr>
          </w:p>
        </w:tc>
        <w:tc>
          <w:tcPr>
            <w:tcW w:w="89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7727B7" w14:textId="77777777" w:rsidR="000C7268" w:rsidRPr="000C7268" w:rsidRDefault="000C7268" w:rsidP="00321AE6">
            <w:pPr>
              <w:spacing w:after="0" w:line="240" w:lineRule="auto"/>
              <w:jc w:val="center"/>
              <w:rPr>
                <w:rFonts w:cstheme="minorHAnsi"/>
                <w:b/>
                <w:bCs/>
                <w:sz w:val="20"/>
                <w:szCs w:val="20"/>
              </w:rPr>
            </w:pPr>
            <w:r w:rsidRPr="000C7268">
              <w:rPr>
                <w:rFonts w:cstheme="minorHAnsi"/>
                <w:b/>
                <w:bCs/>
                <w:sz w:val="20"/>
                <w:szCs w:val="20"/>
              </w:rPr>
              <w:t>2014</w:t>
            </w:r>
          </w:p>
        </w:tc>
        <w:tc>
          <w:tcPr>
            <w:tcW w:w="89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3B5A78" w14:textId="77777777" w:rsidR="000C7268" w:rsidRPr="000C7268" w:rsidRDefault="000C7268" w:rsidP="00321AE6">
            <w:pPr>
              <w:spacing w:after="0" w:line="240" w:lineRule="auto"/>
              <w:jc w:val="center"/>
              <w:rPr>
                <w:rFonts w:cstheme="minorHAnsi"/>
                <w:b/>
                <w:bCs/>
                <w:sz w:val="20"/>
                <w:szCs w:val="20"/>
              </w:rPr>
            </w:pPr>
            <w:r w:rsidRPr="000C7268">
              <w:rPr>
                <w:rFonts w:cstheme="minorHAnsi"/>
                <w:b/>
                <w:bCs/>
                <w:sz w:val="20"/>
                <w:szCs w:val="20"/>
              </w:rPr>
              <w:t>2015</w:t>
            </w:r>
          </w:p>
        </w:tc>
        <w:tc>
          <w:tcPr>
            <w:tcW w:w="89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0A6FE8" w14:textId="77777777" w:rsidR="000C7268" w:rsidRPr="000C7268" w:rsidRDefault="000C7268" w:rsidP="00321AE6">
            <w:pPr>
              <w:spacing w:after="0" w:line="240" w:lineRule="auto"/>
              <w:jc w:val="center"/>
              <w:rPr>
                <w:rFonts w:cstheme="minorHAnsi"/>
                <w:b/>
                <w:bCs/>
                <w:sz w:val="20"/>
                <w:szCs w:val="20"/>
              </w:rPr>
            </w:pPr>
            <w:r w:rsidRPr="000C7268">
              <w:rPr>
                <w:rFonts w:cstheme="minorHAnsi"/>
                <w:b/>
                <w:bCs/>
                <w:sz w:val="20"/>
                <w:szCs w:val="20"/>
              </w:rPr>
              <w:t>2016</w:t>
            </w:r>
          </w:p>
        </w:tc>
        <w:tc>
          <w:tcPr>
            <w:tcW w:w="89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73E79B" w14:textId="77777777" w:rsidR="000C7268" w:rsidRPr="000C7268" w:rsidRDefault="000C7268" w:rsidP="00321AE6">
            <w:pPr>
              <w:spacing w:after="0" w:line="240" w:lineRule="auto"/>
              <w:jc w:val="center"/>
              <w:rPr>
                <w:rFonts w:cstheme="minorHAnsi"/>
                <w:b/>
                <w:bCs/>
                <w:sz w:val="20"/>
                <w:szCs w:val="20"/>
              </w:rPr>
            </w:pPr>
            <w:r w:rsidRPr="000C7268">
              <w:rPr>
                <w:rFonts w:cstheme="minorHAnsi"/>
                <w:b/>
                <w:bCs/>
                <w:sz w:val="20"/>
                <w:szCs w:val="20"/>
              </w:rPr>
              <w:t>2017</w:t>
            </w:r>
          </w:p>
        </w:tc>
        <w:tc>
          <w:tcPr>
            <w:tcW w:w="89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88F45D" w14:textId="77777777" w:rsidR="000C7268" w:rsidRPr="000C7268" w:rsidRDefault="000C7268" w:rsidP="00321AE6">
            <w:pPr>
              <w:spacing w:after="0" w:line="240" w:lineRule="auto"/>
              <w:jc w:val="center"/>
              <w:rPr>
                <w:rFonts w:cstheme="minorHAnsi"/>
                <w:b/>
                <w:bCs/>
                <w:sz w:val="20"/>
                <w:szCs w:val="20"/>
              </w:rPr>
            </w:pPr>
            <w:r w:rsidRPr="000C7268">
              <w:rPr>
                <w:rFonts w:cstheme="minorHAnsi"/>
                <w:b/>
                <w:bCs/>
                <w:sz w:val="20"/>
                <w:szCs w:val="20"/>
              </w:rPr>
              <w:t>2018</w:t>
            </w:r>
          </w:p>
        </w:tc>
      </w:tr>
      <w:tr w:rsidR="000C7268" w14:paraId="6C5A9665" w14:textId="77777777" w:rsidTr="000C7268">
        <w:trPr>
          <w:jc w:val="center"/>
        </w:trPr>
        <w:tc>
          <w:tcPr>
            <w:tcW w:w="4303" w:type="dxa"/>
            <w:tcBorders>
              <w:top w:val="single" w:sz="4" w:space="0" w:color="auto"/>
              <w:left w:val="single" w:sz="4" w:space="0" w:color="auto"/>
              <w:bottom w:val="single" w:sz="4" w:space="0" w:color="auto"/>
              <w:right w:val="single" w:sz="4" w:space="0" w:color="auto"/>
            </w:tcBorders>
            <w:shd w:val="clear" w:color="auto" w:fill="BDD6EE"/>
            <w:hideMark/>
          </w:tcPr>
          <w:p w14:paraId="42825F75" w14:textId="77777777" w:rsidR="000C7268" w:rsidRPr="000C7268" w:rsidRDefault="000C7268" w:rsidP="00321AE6">
            <w:pPr>
              <w:spacing w:before="120" w:after="120" w:line="240" w:lineRule="auto"/>
              <w:jc w:val="both"/>
              <w:rPr>
                <w:rFonts w:cstheme="minorHAnsi"/>
                <w:b/>
                <w:sz w:val="20"/>
                <w:szCs w:val="20"/>
              </w:rPr>
            </w:pPr>
            <w:r w:rsidRPr="000C7268">
              <w:rPr>
                <w:rFonts w:cstheme="minorHAnsi"/>
                <w:b/>
                <w:sz w:val="20"/>
                <w:szCs w:val="20"/>
              </w:rPr>
              <w:t>ogółem</w:t>
            </w:r>
          </w:p>
        </w:tc>
        <w:tc>
          <w:tcPr>
            <w:tcW w:w="897"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E94D5C3" w14:textId="77777777" w:rsidR="000C7268" w:rsidRPr="000C7268" w:rsidRDefault="000C7268" w:rsidP="00321AE6">
            <w:pPr>
              <w:spacing w:after="0" w:line="240" w:lineRule="auto"/>
              <w:jc w:val="center"/>
              <w:rPr>
                <w:rFonts w:cstheme="minorHAnsi"/>
                <w:b/>
                <w:bCs/>
                <w:sz w:val="20"/>
                <w:szCs w:val="20"/>
              </w:rPr>
            </w:pPr>
            <w:r w:rsidRPr="000C7268">
              <w:rPr>
                <w:rFonts w:cstheme="minorHAnsi"/>
                <w:b/>
                <w:bCs/>
                <w:sz w:val="20"/>
                <w:szCs w:val="20"/>
              </w:rPr>
              <w:t>145237</w:t>
            </w:r>
          </w:p>
        </w:tc>
        <w:tc>
          <w:tcPr>
            <w:tcW w:w="896"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ED94D8A" w14:textId="77777777" w:rsidR="000C7268" w:rsidRPr="000C7268" w:rsidRDefault="000C7268" w:rsidP="00321AE6">
            <w:pPr>
              <w:spacing w:after="0" w:line="240" w:lineRule="auto"/>
              <w:jc w:val="center"/>
              <w:rPr>
                <w:rFonts w:cstheme="minorHAnsi"/>
                <w:b/>
                <w:bCs/>
                <w:sz w:val="20"/>
                <w:szCs w:val="20"/>
              </w:rPr>
            </w:pPr>
            <w:r w:rsidRPr="000C7268">
              <w:rPr>
                <w:rFonts w:cstheme="minorHAnsi"/>
                <w:b/>
                <w:bCs/>
                <w:sz w:val="20"/>
                <w:szCs w:val="20"/>
              </w:rPr>
              <w:t>184817</w:t>
            </w:r>
          </w:p>
        </w:tc>
        <w:tc>
          <w:tcPr>
            <w:tcW w:w="896"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1808DB7" w14:textId="77777777" w:rsidR="000C7268" w:rsidRPr="000C7268" w:rsidRDefault="000C7268" w:rsidP="00321AE6">
            <w:pPr>
              <w:spacing w:after="0" w:line="240" w:lineRule="auto"/>
              <w:jc w:val="center"/>
              <w:rPr>
                <w:rFonts w:cstheme="minorHAnsi"/>
                <w:b/>
                <w:bCs/>
                <w:sz w:val="20"/>
                <w:szCs w:val="20"/>
              </w:rPr>
            </w:pPr>
            <w:r w:rsidRPr="000C7268">
              <w:rPr>
                <w:rFonts w:cstheme="minorHAnsi"/>
                <w:b/>
                <w:bCs/>
                <w:sz w:val="20"/>
                <w:szCs w:val="20"/>
              </w:rPr>
              <w:t>126228</w:t>
            </w:r>
          </w:p>
        </w:tc>
        <w:tc>
          <w:tcPr>
            <w:tcW w:w="896"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BC94C25" w14:textId="77777777" w:rsidR="000C7268" w:rsidRPr="000C7268" w:rsidRDefault="000C7268" w:rsidP="00321AE6">
            <w:pPr>
              <w:spacing w:after="0" w:line="240" w:lineRule="auto"/>
              <w:jc w:val="center"/>
              <w:rPr>
                <w:rFonts w:cstheme="minorHAnsi"/>
                <w:b/>
                <w:bCs/>
                <w:sz w:val="20"/>
                <w:szCs w:val="20"/>
              </w:rPr>
            </w:pPr>
            <w:r w:rsidRPr="000C7268">
              <w:rPr>
                <w:rFonts w:cstheme="minorHAnsi"/>
                <w:b/>
                <w:bCs/>
                <w:sz w:val="20"/>
                <w:szCs w:val="20"/>
              </w:rPr>
              <w:t>125892</w:t>
            </w:r>
          </w:p>
        </w:tc>
        <w:tc>
          <w:tcPr>
            <w:tcW w:w="896"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47AF6CB" w14:textId="77777777" w:rsidR="000C7268" w:rsidRPr="000C7268" w:rsidRDefault="000C7268" w:rsidP="00321AE6">
            <w:pPr>
              <w:spacing w:after="0" w:line="240" w:lineRule="auto"/>
              <w:jc w:val="center"/>
              <w:rPr>
                <w:rFonts w:cstheme="minorHAnsi"/>
                <w:b/>
                <w:bCs/>
                <w:sz w:val="20"/>
                <w:szCs w:val="20"/>
              </w:rPr>
            </w:pPr>
            <w:r w:rsidRPr="000C7268">
              <w:rPr>
                <w:rFonts w:cstheme="minorHAnsi"/>
                <w:b/>
                <w:bCs/>
                <w:sz w:val="20"/>
                <w:szCs w:val="20"/>
              </w:rPr>
              <w:t>149434</w:t>
            </w:r>
          </w:p>
        </w:tc>
      </w:tr>
      <w:tr w:rsidR="000C7268" w14:paraId="7E45EF09" w14:textId="77777777" w:rsidTr="000C7268">
        <w:trPr>
          <w:jc w:val="center"/>
        </w:trPr>
        <w:tc>
          <w:tcPr>
            <w:tcW w:w="8784" w:type="dxa"/>
            <w:gridSpan w:val="6"/>
            <w:tcBorders>
              <w:top w:val="single" w:sz="4" w:space="0" w:color="auto"/>
              <w:left w:val="single" w:sz="4" w:space="0" w:color="auto"/>
              <w:bottom w:val="single" w:sz="4" w:space="0" w:color="auto"/>
              <w:right w:val="single" w:sz="4" w:space="0" w:color="auto"/>
            </w:tcBorders>
            <w:hideMark/>
          </w:tcPr>
          <w:p w14:paraId="6A4899EC" w14:textId="77777777" w:rsidR="000C7268" w:rsidRPr="000C7268" w:rsidRDefault="000C7268" w:rsidP="00321AE6">
            <w:pPr>
              <w:spacing w:before="120" w:after="120" w:line="240" w:lineRule="auto"/>
              <w:rPr>
                <w:rFonts w:cstheme="minorHAnsi"/>
                <w:sz w:val="20"/>
                <w:szCs w:val="20"/>
              </w:rPr>
            </w:pPr>
            <w:r w:rsidRPr="000C7268">
              <w:rPr>
                <w:rFonts w:cstheme="minorHAnsi"/>
                <w:b/>
                <w:sz w:val="20"/>
                <w:szCs w:val="20"/>
              </w:rPr>
              <w:t>w tym:</w:t>
            </w:r>
          </w:p>
        </w:tc>
      </w:tr>
      <w:tr w:rsidR="000C7268" w14:paraId="054290E9" w14:textId="77777777" w:rsidTr="000C7268">
        <w:trPr>
          <w:jc w:val="center"/>
        </w:trPr>
        <w:tc>
          <w:tcPr>
            <w:tcW w:w="4303" w:type="dxa"/>
            <w:tcBorders>
              <w:top w:val="single" w:sz="4" w:space="0" w:color="auto"/>
              <w:left w:val="single" w:sz="4" w:space="0" w:color="auto"/>
              <w:bottom w:val="single" w:sz="4" w:space="0" w:color="auto"/>
              <w:right w:val="single" w:sz="4" w:space="0" w:color="auto"/>
            </w:tcBorders>
            <w:hideMark/>
          </w:tcPr>
          <w:p w14:paraId="5BF03995" w14:textId="77777777" w:rsidR="000C7268" w:rsidRPr="000C7268" w:rsidRDefault="000C7268" w:rsidP="00321AE6">
            <w:pPr>
              <w:spacing w:before="120" w:after="120" w:line="240" w:lineRule="auto"/>
              <w:ind w:left="142"/>
              <w:jc w:val="both"/>
              <w:rPr>
                <w:rFonts w:cstheme="minorHAnsi"/>
                <w:sz w:val="20"/>
                <w:szCs w:val="20"/>
              </w:rPr>
            </w:pPr>
            <w:r w:rsidRPr="000C7268">
              <w:rPr>
                <w:rFonts w:cstheme="minorHAnsi"/>
                <w:sz w:val="20"/>
                <w:szCs w:val="20"/>
              </w:rPr>
              <w:t>w obiektach użyteczności publicznej</w:t>
            </w:r>
          </w:p>
        </w:tc>
        <w:tc>
          <w:tcPr>
            <w:tcW w:w="897" w:type="dxa"/>
            <w:tcBorders>
              <w:top w:val="single" w:sz="4" w:space="0" w:color="auto"/>
              <w:left w:val="single" w:sz="4" w:space="0" w:color="auto"/>
              <w:bottom w:val="single" w:sz="4" w:space="0" w:color="auto"/>
              <w:right w:val="single" w:sz="4" w:space="0" w:color="auto"/>
            </w:tcBorders>
            <w:vAlign w:val="center"/>
            <w:hideMark/>
          </w:tcPr>
          <w:p w14:paraId="29DDF926"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2228</w:t>
            </w:r>
          </w:p>
        </w:tc>
        <w:tc>
          <w:tcPr>
            <w:tcW w:w="896" w:type="dxa"/>
            <w:tcBorders>
              <w:top w:val="single" w:sz="4" w:space="0" w:color="auto"/>
              <w:left w:val="single" w:sz="4" w:space="0" w:color="auto"/>
              <w:bottom w:val="single" w:sz="4" w:space="0" w:color="auto"/>
              <w:right w:val="single" w:sz="4" w:space="0" w:color="auto"/>
            </w:tcBorders>
            <w:vAlign w:val="center"/>
            <w:hideMark/>
          </w:tcPr>
          <w:p w14:paraId="43ABEF7C"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2458</w:t>
            </w:r>
          </w:p>
        </w:tc>
        <w:tc>
          <w:tcPr>
            <w:tcW w:w="896" w:type="dxa"/>
            <w:tcBorders>
              <w:top w:val="single" w:sz="4" w:space="0" w:color="auto"/>
              <w:left w:val="single" w:sz="4" w:space="0" w:color="auto"/>
              <w:bottom w:val="single" w:sz="4" w:space="0" w:color="auto"/>
              <w:right w:val="single" w:sz="4" w:space="0" w:color="auto"/>
            </w:tcBorders>
            <w:vAlign w:val="center"/>
            <w:hideMark/>
          </w:tcPr>
          <w:p w14:paraId="360F493B"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2599</w:t>
            </w:r>
          </w:p>
        </w:tc>
        <w:tc>
          <w:tcPr>
            <w:tcW w:w="896" w:type="dxa"/>
            <w:tcBorders>
              <w:top w:val="single" w:sz="4" w:space="0" w:color="auto"/>
              <w:left w:val="single" w:sz="4" w:space="0" w:color="auto"/>
              <w:bottom w:val="single" w:sz="4" w:space="0" w:color="auto"/>
              <w:right w:val="single" w:sz="4" w:space="0" w:color="auto"/>
            </w:tcBorders>
            <w:vAlign w:val="center"/>
            <w:hideMark/>
          </w:tcPr>
          <w:p w14:paraId="03792677"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2420</w:t>
            </w:r>
          </w:p>
        </w:tc>
        <w:tc>
          <w:tcPr>
            <w:tcW w:w="896" w:type="dxa"/>
            <w:tcBorders>
              <w:top w:val="single" w:sz="4" w:space="0" w:color="auto"/>
              <w:left w:val="single" w:sz="4" w:space="0" w:color="auto"/>
              <w:bottom w:val="single" w:sz="4" w:space="0" w:color="auto"/>
              <w:right w:val="single" w:sz="4" w:space="0" w:color="auto"/>
            </w:tcBorders>
            <w:vAlign w:val="center"/>
            <w:hideMark/>
          </w:tcPr>
          <w:p w14:paraId="59C56863"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2448</w:t>
            </w:r>
          </w:p>
        </w:tc>
      </w:tr>
      <w:tr w:rsidR="000C7268" w14:paraId="69DFDC8B" w14:textId="77777777" w:rsidTr="000C7268">
        <w:trPr>
          <w:jc w:val="center"/>
        </w:trPr>
        <w:tc>
          <w:tcPr>
            <w:tcW w:w="4303" w:type="dxa"/>
            <w:tcBorders>
              <w:top w:val="single" w:sz="4" w:space="0" w:color="auto"/>
              <w:left w:val="single" w:sz="4" w:space="0" w:color="auto"/>
              <w:bottom w:val="single" w:sz="4" w:space="0" w:color="auto"/>
              <w:right w:val="single" w:sz="4" w:space="0" w:color="auto"/>
            </w:tcBorders>
            <w:hideMark/>
          </w:tcPr>
          <w:p w14:paraId="65BDE02E" w14:textId="77777777" w:rsidR="000C7268" w:rsidRPr="000C7268" w:rsidRDefault="000C7268" w:rsidP="00321AE6">
            <w:pPr>
              <w:spacing w:before="120" w:after="120" w:line="240" w:lineRule="auto"/>
              <w:ind w:left="142"/>
              <w:jc w:val="both"/>
              <w:rPr>
                <w:rFonts w:cstheme="minorHAnsi"/>
                <w:sz w:val="20"/>
                <w:szCs w:val="20"/>
              </w:rPr>
            </w:pPr>
            <w:r w:rsidRPr="000C7268">
              <w:rPr>
                <w:rFonts w:cstheme="minorHAnsi"/>
                <w:sz w:val="20"/>
                <w:szCs w:val="20"/>
              </w:rPr>
              <w:t>w obiektach mieszkalnych</w:t>
            </w:r>
          </w:p>
        </w:tc>
        <w:tc>
          <w:tcPr>
            <w:tcW w:w="897" w:type="dxa"/>
            <w:tcBorders>
              <w:top w:val="single" w:sz="4" w:space="0" w:color="auto"/>
              <w:left w:val="single" w:sz="4" w:space="0" w:color="auto"/>
              <w:bottom w:val="single" w:sz="4" w:space="0" w:color="auto"/>
              <w:right w:val="single" w:sz="4" w:space="0" w:color="auto"/>
            </w:tcBorders>
            <w:vAlign w:val="center"/>
            <w:hideMark/>
          </w:tcPr>
          <w:p w14:paraId="404E44FD"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27353</w:t>
            </w:r>
          </w:p>
        </w:tc>
        <w:tc>
          <w:tcPr>
            <w:tcW w:w="896" w:type="dxa"/>
            <w:tcBorders>
              <w:top w:val="single" w:sz="4" w:space="0" w:color="auto"/>
              <w:left w:val="single" w:sz="4" w:space="0" w:color="auto"/>
              <w:bottom w:val="single" w:sz="4" w:space="0" w:color="auto"/>
              <w:right w:val="single" w:sz="4" w:space="0" w:color="auto"/>
            </w:tcBorders>
            <w:vAlign w:val="center"/>
            <w:hideMark/>
          </w:tcPr>
          <w:p w14:paraId="15B9768E"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29548</w:t>
            </w:r>
          </w:p>
        </w:tc>
        <w:tc>
          <w:tcPr>
            <w:tcW w:w="896" w:type="dxa"/>
            <w:tcBorders>
              <w:top w:val="single" w:sz="4" w:space="0" w:color="auto"/>
              <w:left w:val="single" w:sz="4" w:space="0" w:color="auto"/>
              <w:bottom w:val="single" w:sz="4" w:space="0" w:color="auto"/>
              <w:right w:val="single" w:sz="4" w:space="0" w:color="auto"/>
            </w:tcBorders>
            <w:vAlign w:val="center"/>
            <w:hideMark/>
          </w:tcPr>
          <w:p w14:paraId="0705D47F"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31131</w:t>
            </w:r>
          </w:p>
        </w:tc>
        <w:tc>
          <w:tcPr>
            <w:tcW w:w="896" w:type="dxa"/>
            <w:tcBorders>
              <w:top w:val="single" w:sz="4" w:space="0" w:color="auto"/>
              <w:left w:val="single" w:sz="4" w:space="0" w:color="auto"/>
              <w:bottom w:val="single" w:sz="4" w:space="0" w:color="auto"/>
              <w:right w:val="single" w:sz="4" w:space="0" w:color="auto"/>
            </w:tcBorders>
            <w:vAlign w:val="center"/>
            <w:hideMark/>
          </w:tcPr>
          <w:p w14:paraId="05B5B461"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32388</w:t>
            </w:r>
          </w:p>
        </w:tc>
        <w:tc>
          <w:tcPr>
            <w:tcW w:w="896" w:type="dxa"/>
            <w:tcBorders>
              <w:top w:val="single" w:sz="4" w:space="0" w:color="auto"/>
              <w:left w:val="single" w:sz="4" w:space="0" w:color="auto"/>
              <w:bottom w:val="single" w:sz="4" w:space="0" w:color="auto"/>
              <w:right w:val="single" w:sz="4" w:space="0" w:color="auto"/>
            </w:tcBorders>
            <w:vAlign w:val="center"/>
            <w:hideMark/>
          </w:tcPr>
          <w:p w14:paraId="26D58F1C"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33522</w:t>
            </w:r>
          </w:p>
        </w:tc>
      </w:tr>
      <w:tr w:rsidR="000C7268" w14:paraId="03CB2955" w14:textId="77777777" w:rsidTr="000C7268">
        <w:trPr>
          <w:jc w:val="center"/>
        </w:trPr>
        <w:tc>
          <w:tcPr>
            <w:tcW w:w="4303" w:type="dxa"/>
            <w:tcBorders>
              <w:top w:val="single" w:sz="4" w:space="0" w:color="auto"/>
              <w:left w:val="single" w:sz="4" w:space="0" w:color="auto"/>
              <w:bottom w:val="single" w:sz="4" w:space="0" w:color="auto"/>
              <w:right w:val="single" w:sz="4" w:space="0" w:color="auto"/>
            </w:tcBorders>
            <w:hideMark/>
          </w:tcPr>
          <w:p w14:paraId="4C1CA340" w14:textId="77777777" w:rsidR="000C7268" w:rsidRPr="000C7268" w:rsidRDefault="000C7268" w:rsidP="00321AE6">
            <w:pPr>
              <w:spacing w:before="120" w:after="120" w:line="240" w:lineRule="auto"/>
              <w:ind w:left="142"/>
              <w:jc w:val="both"/>
              <w:rPr>
                <w:rFonts w:cstheme="minorHAnsi"/>
                <w:sz w:val="20"/>
                <w:szCs w:val="20"/>
              </w:rPr>
            </w:pPr>
            <w:r w:rsidRPr="000C7268">
              <w:rPr>
                <w:rFonts w:cstheme="minorHAnsi"/>
                <w:sz w:val="20"/>
                <w:szCs w:val="20"/>
              </w:rPr>
              <w:t>w obiektach produkcyjnych</w:t>
            </w:r>
          </w:p>
        </w:tc>
        <w:tc>
          <w:tcPr>
            <w:tcW w:w="897" w:type="dxa"/>
            <w:tcBorders>
              <w:top w:val="single" w:sz="4" w:space="0" w:color="auto"/>
              <w:left w:val="single" w:sz="4" w:space="0" w:color="auto"/>
              <w:bottom w:val="single" w:sz="4" w:space="0" w:color="auto"/>
              <w:right w:val="single" w:sz="4" w:space="0" w:color="auto"/>
            </w:tcBorders>
            <w:vAlign w:val="center"/>
            <w:hideMark/>
          </w:tcPr>
          <w:p w14:paraId="01AFB787"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2232</w:t>
            </w:r>
          </w:p>
        </w:tc>
        <w:tc>
          <w:tcPr>
            <w:tcW w:w="896" w:type="dxa"/>
            <w:tcBorders>
              <w:top w:val="single" w:sz="4" w:space="0" w:color="auto"/>
              <w:left w:val="single" w:sz="4" w:space="0" w:color="auto"/>
              <w:bottom w:val="single" w:sz="4" w:space="0" w:color="auto"/>
              <w:right w:val="single" w:sz="4" w:space="0" w:color="auto"/>
            </w:tcBorders>
            <w:vAlign w:val="center"/>
            <w:hideMark/>
          </w:tcPr>
          <w:p w14:paraId="4D207163"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2425</w:t>
            </w:r>
          </w:p>
        </w:tc>
        <w:tc>
          <w:tcPr>
            <w:tcW w:w="896" w:type="dxa"/>
            <w:tcBorders>
              <w:top w:val="single" w:sz="4" w:space="0" w:color="auto"/>
              <w:left w:val="single" w:sz="4" w:space="0" w:color="auto"/>
              <w:bottom w:val="single" w:sz="4" w:space="0" w:color="auto"/>
              <w:right w:val="single" w:sz="4" w:space="0" w:color="auto"/>
            </w:tcBorders>
            <w:vAlign w:val="center"/>
            <w:hideMark/>
          </w:tcPr>
          <w:p w14:paraId="70AAB769"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2306</w:t>
            </w:r>
          </w:p>
        </w:tc>
        <w:tc>
          <w:tcPr>
            <w:tcW w:w="896" w:type="dxa"/>
            <w:tcBorders>
              <w:top w:val="single" w:sz="4" w:space="0" w:color="auto"/>
              <w:left w:val="single" w:sz="4" w:space="0" w:color="auto"/>
              <w:bottom w:val="single" w:sz="4" w:space="0" w:color="auto"/>
              <w:right w:val="single" w:sz="4" w:space="0" w:color="auto"/>
            </w:tcBorders>
            <w:vAlign w:val="center"/>
            <w:hideMark/>
          </w:tcPr>
          <w:p w14:paraId="604B1CD2"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2254</w:t>
            </w:r>
          </w:p>
        </w:tc>
        <w:tc>
          <w:tcPr>
            <w:tcW w:w="896" w:type="dxa"/>
            <w:tcBorders>
              <w:top w:val="single" w:sz="4" w:space="0" w:color="auto"/>
              <w:left w:val="single" w:sz="4" w:space="0" w:color="auto"/>
              <w:bottom w:val="single" w:sz="4" w:space="0" w:color="auto"/>
              <w:right w:val="single" w:sz="4" w:space="0" w:color="auto"/>
            </w:tcBorders>
            <w:vAlign w:val="center"/>
            <w:hideMark/>
          </w:tcPr>
          <w:p w14:paraId="3C9D90DC"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2506</w:t>
            </w:r>
          </w:p>
        </w:tc>
      </w:tr>
      <w:tr w:rsidR="000C7268" w14:paraId="12B73882" w14:textId="77777777" w:rsidTr="000C7268">
        <w:trPr>
          <w:jc w:val="center"/>
        </w:trPr>
        <w:tc>
          <w:tcPr>
            <w:tcW w:w="4303" w:type="dxa"/>
            <w:tcBorders>
              <w:top w:val="single" w:sz="4" w:space="0" w:color="auto"/>
              <w:left w:val="single" w:sz="4" w:space="0" w:color="auto"/>
              <w:bottom w:val="single" w:sz="4" w:space="0" w:color="auto"/>
              <w:right w:val="single" w:sz="4" w:space="0" w:color="auto"/>
            </w:tcBorders>
            <w:hideMark/>
          </w:tcPr>
          <w:p w14:paraId="23FD5A74" w14:textId="77777777" w:rsidR="000C7268" w:rsidRPr="000C7268" w:rsidRDefault="000C7268" w:rsidP="00321AE6">
            <w:pPr>
              <w:spacing w:before="120" w:after="120" w:line="240" w:lineRule="auto"/>
              <w:ind w:left="142"/>
              <w:jc w:val="both"/>
              <w:rPr>
                <w:rFonts w:cstheme="minorHAnsi"/>
                <w:sz w:val="20"/>
                <w:szCs w:val="20"/>
              </w:rPr>
            </w:pPr>
            <w:r w:rsidRPr="000C7268">
              <w:rPr>
                <w:rFonts w:cstheme="minorHAnsi"/>
                <w:sz w:val="20"/>
                <w:szCs w:val="20"/>
              </w:rPr>
              <w:t>w obiektach magazynowych</w:t>
            </w:r>
          </w:p>
        </w:tc>
        <w:tc>
          <w:tcPr>
            <w:tcW w:w="897" w:type="dxa"/>
            <w:tcBorders>
              <w:top w:val="single" w:sz="4" w:space="0" w:color="auto"/>
              <w:left w:val="single" w:sz="4" w:space="0" w:color="auto"/>
              <w:bottom w:val="single" w:sz="4" w:space="0" w:color="auto"/>
              <w:right w:val="single" w:sz="4" w:space="0" w:color="auto"/>
            </w:tcBorders>
            <w:vAlign w:val="center"/>
            <w:hideMark/>
          </w:tcPr>
          <w:p w14:paraId="4983CCF0"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979</w:t>
            </w:r>
          </w:p>
        </w:tc>
        <w:tc>
          <w:tcPr>
            <w:tcW w:w="896" w:type="dxa"/>
            <w:tcBorders>
              <w:top w:val="single" w:sz="4" w:space="0" w:color="auto"/>
              <w:left w:val="single" w:sz="4" w:space="0" w:color="auto"/>
              <w:bottom w:val="single" w:sz="4" w:space="0" w:color="auto"/>
              <w:right w:val="single" w:sz="4" w:space="0" w:color="auto"/>
            </w:tcBorders>
            <w:vAlign w:val="center"/>
            <w:hideMark/>
          </w:tcPr>
          <w:p w14:paraId="6059E0E3"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1117</w:t>
            </w:r>
          </w:p>
        </w:tc>
        <w:tc>
          <w:tcPr>
            <w:tcW w:w="896" w:type="dxa"/>
            <w:tcBorders>
              <w:top w:val="single" w:sz="4" w:space="0" w:color="auto"/>
              <w:left w:val="single" w:sz="4" w:space="0" w:color="auto"/>
              <w:bottom w:val="single" w:sz="4" w:space="0" w:color="auto"/>
              <w:right w:val="single" w:sz="4" w:space="0" w:color="auto"/>
            </w:tcBorders>
            <w:vAlign w:val="center"/>
            <w:hideMark/>
          </w:tcPr>
          <w:p w14:paraId="73154C2A"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907</w:t>
            </w:r>
          </w:p>
        </w:tc>
        <w:tc>
          <w:tcPr>
            <w:tcW w:w="896" w:type="dxa"/>
            <w:tcBorders>
              <w:top w:val="single" w:sz="4" w:space="0" w:color="auto"/>
              <w:left w:val="single" w:sz="4" w:space="0" w:color="auto"/>
              <w:bottom w:val="single" w:sz="4" w:space="0" w:color="auto"/>
              <w:right w:val="single" w:sz="4" w:space="0" w:color="auto"/>
            </w:tcBorders>
            <w:vAlign w:val="center"/>
            <w:hideMark/>
          </w:tcPr>
          <w:p w14:paraId="1317D016"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999</w:t>
            </w:r>
          </w:p>
        </w:tc>
        <w:tc>
          <w:tcPr>
            <w:tcW w:w="896" w:type="dxa"/>
            <w:tcBorders>
              <w:top w:val="single" w:sz="4" w:space="0" w:color="auto"/>
              <w:left w:val="single" w:sz="4" w:space="0" w:color="auto"/>
              <w:bottom w:val="single" w:sz="4" w:space="0" w:color="auto"/>
              <w:right w:val="single" w:sz="4" w:space="0" w:color="auto"/>
            </w:tcBorders>
            <w:vAlign w:val="center"/>
            <w:hideMark/>
          </w:tcPr>
          <w:p w14:paraId="139693F7"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1205</w:t>
            </w:r>
          </w:p>
        </w:tc>
      </w:tr>
      <w:tr w:rsidR="000C7268" w14:paraId="6A926B0A" w14:textId="77777777" w:rsidTr="000C7268">
        <w:trPr>
          <w:jc w:val="center"/>
        </w:trPr>
        <w:tc>
          <w:tcPr>
            <w:tcW w:w="4303" w:type="dxa"/>
            <w:tcBorders>
              <w:top w:val="single" w:sz="4" w:space="0" w:color="auto"/>
              <w:left w:val="single" w:sz="4" w:space="0" w:color="auto"/>
              <w:bottom w:val="single" w:sz="4" w:space="0" w:color="auto"/>
              <w:right w:val="single" w:sz="4" w:space="0" w:color="auto"/>
            </w:tcBorders>
            <w:hideMark/>
          </w:tcPr>
          <w:p w14:paraId="19FF9B89" w14:textId="77777777" w:rsidR="000C7268" w:rsidRPr="000C7268" w:rsidRDefault="000C7268" w:rsidP="00321AE6">
            <w:pPr>
              <w:spacing w:before="120" w:after="120" w:line="240" w:lineRule="auto"/>
              <w:ind w:left="142"/>
              <w:jc w:val="both"/>
              <w:rPr>
                <w:rFonts w:cstheme="minorHAnsi"/>
                <w:sz w:val="20"/>
                <w:szCs w:val="20"/>
              </w:rPr>
            </w:pPr>
            <w:r w:rsidRPr="000C7268">
              <w:rPr>
                <w:rFonts w:cstheme="minorHAnsi"/>
                <w:sz w:val="20"/>
                <w:szCs w:val="20"/>
              </w:rPr>
              <w:t>w rolnictwie</w:t>
            </w:r>
          </w:p>
        </w:tc>
        <w:tc>
          <w:tcPr>
            <w:tcW w:w="897" w:type="dxa"/>
            <w:tcBorders>
              <w:top w:val="single" w:sz="4" w:space="0" w:color="auto"/>
              <w:left w:val="single" w:sz="4" w:space="0" w:color="auto"/>
              <w:bottom w:val="single" w:sz="4" w:space="0" w:color="auto"/>
              <w:right w:val="single" w:sz="4" w:space="0" w:color="auto"/>
            </w:tcBorders>
            <w:vAlign w:val="center"/>
            <w:hideMark/>
          </w:tcPr>
          <w:p w14:paraId="7DFE951B"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39684</w:t>
            </w:r>
          </w:p>
        </w:tc>
        <w:tc>
          <w:tcPr>
            <w:tcW w:w="896" w:type="dxa"/>
            <w:tcBorders>
              <w:top w:val="single" w:sz="4" w:space="0" w:color="auto"/>
              <w:left w:val="single" w:sz="4" w:space="0" w:color="auto"/>
              <w:bottom w:val="single" w:sz="4" w:space="0" w:color="auto"/>
              <w:right w:val="single" w:sz="4" w:space="0" w:color="auto"/>
            </w:tcBorders>
            <w:vAlign w:val="center"/>
            <w:hideMark/>
          </w:tcPr>
          <w:p w14:paraId="2AAB31CF"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55485</w:t>
            </w:r>
          </w:p>
        </w:tc>
        <w:tc>
          <w:tcPr>
            <w:tcW w:w="896" w:type="dxa"/>
            <w:tcBorders>
              <w:top w:val="single" w:sz="4" w:space="0" w:color="auto"/>
              <w:left w:val="single" w:sz="4" w:space="0" w:color="auto"/>
              <w:bottom w:val="single" w:sz="4" w:space="0" w:color="auto"/>
              <w:right w:val="single" w:sz="4" w:space="0" w:color="auto"/>
            </w:tcBorders>
            <w:vAlign w:val="center"/>
            <w:hideMark/>
          </w:tcPr>
          <w:p w14:paraId="04A29590"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26318</w:t>
            </w:r>
          </w:p>
        </w:tc>
        <w:tc>
          <w:tcPr>
            <w:tcW w:w="896" w:type="dxa"/>
            <w:tcBorders>
              <w:top w:val="single" w:sz="4" w:space="0" w:color="auto"/>
              <w:left w:val="single" w:sz="4" w:space="0" w:color="auto"/>
              <w:bottom w:val="single" w:sz="4" w:space="0" w:color="auto"/>
              <w:right w:val="single" w:sz="4" w:space="0" w:color="auto"/>
            </w:tcBorders>
            <w:vAlign w:val="center"/>
            <w:hideMark/>
          </w:tcPr>
          <w:p w14:paraId="6C50741A"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26778</w:t>
            </w:r>
          </w:p>
        </w:tc>
        <w:tc>
          <w:tcPr>
            <w:tcW w:w="896" w:type="dxa"/>
            <w:tcBorders>
              <w:top w:val="single" w:sz="4" w:space="0" w:color="auto"/>
              <w:left w:val="single" w:sz="4" w:space="0" w:color="auto"/>
              <w:bottom w:val="single" w:sz="4" w:space="0" w:color="auto"/>
              <w:right w:val="single" w:sz="4" w:space="0" w:color="auto"/>
            </w:tcBorders>
            <w:vAlign w:val="center"/>
            <w:hideMark/>
          </w:tcPr>
          <w:p w14:paraId="6582EB86"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30864</w:t>
            </w:r>
          </w:p>
        </w:tc>
      </w:tr>
      <w:tr w:rsidR="000C7268" w14:paraId="41C321E9" w14:textId="77777777" w:rsidTr="000C7268">
        <w:trPr>
          <w:jc w:val="center"/>
        </w:trPr>
        <w:tc>
          <w:tcPr>
            <w:tcW w:w="4303" w:type="dxa"/>
            <w:tcBorders>
              <w:top w:val="single" w:sz="4" w:space="0" w:color="auto"/>
              <w:left w:val="single" w:sz="4" w:space="0" w:color="auto"/>
              <w:bottom w:val="single" w:sz="4" w:space="0" w:color="auto"/>
              <w:right w:val="single" w:sz="4" w:space="0" w:color="auto"/>
            </w:tcBorders>
            <w:hideMark/>
          </w:tcPr>
          <w:p w14:paraId="0E21460A" w14:textId="77777777" w:rsidR="000C7268" w:rsidRPr="000C7268" w:rsidRDefault="000C7268" w:rsidP="00321AE6">
            <w:pPr>
              <w:spacing w:before="120" w:after="120" w:line="240" w:lineRule="auto"/>
              <w:ind w:left="142"/>
              <w:jc w:val="both"/>
              <w:rPr>
                <w:rFonts w:cstheme="minorHAnsi"/>
                <w:sz w:val="20"/>
                <w:szCs w:val="20"/>
              </w:rPr>
            </w:pPr>
            <w:r w:rsidRPr="000C7268">
              <w:rPr>
                <w:rFonts w:cstheme="minorHAnsi"/>
                <w:sz w:val="20"/>
                <w:szCs w:val="20"/>
              </w:rPr>
              <w:t>w lasach</w:t>
            </w:r>
          </w:p>
        </w:tc>
        <w:tc>
          <w:tcPr>
            <w:tcW w:w="897" w:type="dxa"/>
            <w:tcBorders>
              <w:top w:val="single" w:sz="4" w:space="0" w:color="auto"/>
              <w:left w:val="single" w:sz="4" w:space="0" w:color="auto"/>
              <w:bottom w:val="single" w:sz="4" w:space="0" w:color="auto"/>
              <w:right w:val="single" w:sz="4" w:space="0" w:color="auto"/>
            </w:tcBorders>
            <w:vAlign w:val="center"/>
            <w:hideMark/>
          </w:tcPr>
          <w:p w14:paraId="2D889439"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4685</w:t>
            </w:r>
          </w:p>
        </w:tc>
        <w:tc>
          <w:tcPr>
            <w:tcW w:w="896" w:type="dxa"/>
            <w:tcBorders>
              <w:top w:val="single" w:sz="4" w:space="0" w:color="auto"/>
              <w:left w:val="single" w:sz="4" w:space="0" w:color="auto"/>
              <w:bottom w:val="single" w:sz="4" w:space="0" w:color="auto"/>
              <w:right w:val="single" w:sz="4" w:space="0" w:color="auto"/>
            </w:tcBorders>
            <w:vAlign w:val="center"/>
            <w:hideMark/>
          </w:tcPr>
          <w:p w14:paraId="6BAB1716"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11367</w:t>
            </w:r>
          </w:p>
        </w:tc>
        <w:tc>
          <w:tcPr>
            <w:tcW w:w="896" w:type="dxa"/>
            <w:tcBorders>
              <w:top w:val="single" w:sz="4" w:space="0" w:color="auto"/>
              <w:left w:val="single" w:sz="4" w:space="0" w:color="auto"/>
              <w:bottom w:val="single" w:sz="4" w:space="0" w:color="auto"/>
              <w:right w:val="single" w:sz="4" w:space="0" w:color="auto"/>
            </w:tcBorders>
            <w:vAlign w:val="center"/>
            <w:hideMark/>
          </w:tcPr>
          <w:p w14:paraId="1DA192AB"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4809</w:t>
            </w:r>
          </w:p>
        </w:tc>
        <w:tc>
          <w:tcPr>
            <w:tcW w:w="896" w:type="dxa"/>
            <w:tcBorders>
              <w:top w:val="single" w:sz="4" w:space="0" w:color="auto"/>
              <w:left w:val="single" w:sz="4" w:space="0" w:color="auto"/>
              <w:bottom w:val="single" w:sz="4" w:space="0" w:color="auto"/>
              <w:right w:val="single" w:sz="4" w:space="0" w:color="auto"/>
            </w:tcBorders>
            <w:vAlign w:val="center"/>
            <w:hideMark/>
          </w:tcPr>
          <w:p w14:paraId="5A845E58"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3316</w:t>
            </w:r>
          </w:p>
        </w:tc>
        <w:tc>
          <w:tcPr>
            <w:tcW w:w="896" w:type="dxa"/>
            <w:tcBorders>
              <w:top w:val="single" w:sz="4" w:space="0" w:color="auto"/>
              <w:left w:val="single" w:sz="4" w:space="0" w:color="auto"/>
              <w:bottom w:val="single" w:sz="4" w:space="0" w:color="auto"/>
              <w:right w:val="single" w:sz="4" w:space="0" w:color="auto"/>
            </w:tcBorders>
            <w:vAlign w:val="center"/>
            <w:hideMark/>
          </w:tcPr>
          <w:p w14:paraId="232446F6"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8079</w:t>
            </w:r>
          </w:p>
        </w:tc>
      </w:tr>
    </w:tbl>
    <w:p w14:paraId="75F8B99D" w14:textId="77777777" w:rsidR="000C7268" w:rsidRDefault="000C7268" w:rsidP="000C7268">
      <w:pPr>
        <w:rPr>
          <w:rFonts w:ascii="Calibri" w:hAnsi="Calibri" w:cs="Verdana"/>
        </w:rPr>
      </w:pPr>
    </w:p>
    <w:p w14:paraId="61F5B14C" w14:textId="694B4E7A" w:rsidR="000C7268" w:rsidRPr="000C7268" w:rsidRDefault="000C7268" w:rsidP="000C7268">
      <w:pPr>
        <w:pStyle w:val="Tekstpodstawowy"/>
        <w:spacing w:before="240" w:line="360" w:lineRule="auto"/>
        <w:jc w:val="both"/>
        <w:rPr>
          <w:rFonts w:cs="Calibri"/>
          <w:b/>
          <w:bCs/>
          <w:i/>
        </w:rPr>
      </w:pPr>
      <w:r w:rsidRPr="000C7268">
        <w:rPr>
          <w:rFonts w:cs="Calibri"/>
          <w:b/>
          <w:bCs/>
          <w:i/>
        </w:rPr>
        <w:t>Tabela. Miejscowe zagrożenia w Polsce w latach 2014-2018, według rodzaju (na podstawie SWD-PSP).</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9"/>
        <w:gridCol w:w="897"/>
        <w:gridCol w:w="896"/>
        <w:gridCol w:w="896"/>
        <w:gridCol w:w="896"/>
        <w:gridCol w:w="942"/>
      </w:tblGrid>
      <w:tr w:rsidR="000C7268" w14:paraId="4A113D14" w14:textId="77777777" w:rsidTr="000C7268">
        <w:trPr>
          <w:trHeight w:val="371"/>
          <w:tblHeader/>
          <w:jc w:val="center"/>
        </w:trPr>
        <w:tc>
          <w:tcPr>
            <w:tcW w:w="421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99F94CA" w14:textId="77777777" w:rsidR="000C7268" w:rsidRPr="000C7268" w:rsidRDefault="000C7268" w:rsidP="00321AE6">
            <w:pPr>
              <w:spacing w:after="0" w:line="240" w:lineRule="auto"/>
              <w:rPr>
                <w:rFonts w:cstheme="minorHAnsi"/>
                <w:sz w:val="20"/>
                <w:szCs w:val="20"/>
              </w:rPr>
            </w:pPr>
            <w:r w:rsidRPr="000C7268">
              <w:rPr>
                <w:rFonts w:cstheme="minorHAnsi"/>
                <w:b/>
                <w:sz w:val="20"/>
                <w:szCs w:val="20"/>
              </w:rPr>
              <w:t>Miejscowe zagrożenia:</w:t>
            </w:r>
          </w:p>
        </w:tc>
        <w:tc>
          <w:tcPr>
            <w:tcW w:w="4527"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6A1BDD9A" w14:textId="77777777" w:rsidR="000C7268" w:rsidRPr="000C7268" w:rsidRDefault="000C7268" w:rsidP="00321AE6">
            <w:pPr>
              <w:spacing w:after="0" w:line="240" w:lineRule="auto"/>
              <w:jc w:val="center"/>
              <w:rPr>
                <w:rFonts w:cstheme="minorHAnsi"/>
                <w:b/>
                <w:bCs/>
                <w:sz w:val="20"/>
                <w:szCs w:val="20"/>
              </w:rPr>
            </w:pPr>
            <w:r w:rsidRPr="000C7268">
              <w:rPr>
                <w:rFonts w:cstheme="minorHAnsi"/>
                <w:b/>
                <w:bCs/>
                <w:sz w:val="20"/>
                <w:szCs w:val="20"/>
              </w:rPr>
              <w:t>Rok</w:t>
            </w:r>
          </w:p>
        </w:tc>
      </w:tr>
      <w:tr w:rsidR="000C7268" w14:paraId="73E6706F" w14:textId="77777777" w:rsidTr="000C7268">
        <w:trPr>
          <w:tblHeader/>
          <w:jc w:val="center"/>
        </w:trPr>
        <w:tc>
          <w:tcPr>
            <w:tcW w:w="4219" w:type="dxa"/>
            <w:vMerge/>
            <w:tcBorders>
              <w:top w:val="single" w:sz="4" w:space="0" w:color="auto"/>
              <w:left w:val="single" w:sz="4" w:space="0" w:color="auto"/>
              <w:bottom w:val="single" w:sz="4" w:space="0" w:color="auto"/>
              <w:right w:val="single" w:sz="4" w:space="0" w:color="auto"/>
            </w:tcBorders>
            <w:vAlign w:val="center"/>
            <w:hideMark/>
          </w:tcPr>
          <w:p w14:paraId="126103D5" w14:textId="77777777" w:rsidR="000C7268" w:rsidRPr="000C7268" w:rsidRDefault="000C7268" w:rsidP="00321AE6">
            <w:pPr>
              <w:spacing w:after="0" w:line="240" w:lineRule="auto"/>
              <w:rPr>
                <w:rFonts w:cstheme="minorHAnsi"/>
                <w:sz w:val="20"/>
                <w:szCs w:val="20"/>
              </w:rPr>
            </w:pPr>
          </w:p>
        </w:tc>
        <w:tc>
          <w:tcPr>
            <w:tcW w:w="897" w:type="dxa"/>
            <w:tcBorders>
              <w:top w:val="single" w:sz="4" w:space="0" w:color="auto"/>
              <w:left w:val="single" w:sz="4" w:space="0" w:color="auto"/>
              <w:bottom w:val="single" w:sz="4" w:space="0" w:color="auto"/>
              <w:right w:val="single" w:sz="4" w:space="0" w:color="auto"/>
            </w:tcBorders>
            <w:shd w:val="clear" w:color="auto" w:fill="D9D9D9"/>
            <w:hideMark/>
          </w:tcPr>
          <w:p w14:paraId="2EDCB482" w14:textId="77777777" w:rsidR="000C7268" w:rsidRPr="000C7268" w:rsidRDefault="000C7268" w:rsidP="00321AE6">
            <w:pPr>
              <w:spacing w:before="120" w:after="120" w:line="240" w:lineRule="auto"/>
              <w:jc w:val="center"/>
              <w:rPr>
                <w:rFonts w:cstheme="minorHAnsi"/>
                <w:b/>
                <w:bCs/>
                <w:sz w:val="20"/>
                <w:szCs w:val="20"/>
              </w:rPr>
            </w:pPr>
            <w:r w:rsidRPr="000C7268">
              <w:rPr>
                <w:rFonts w:cstheme="minorHAnsi"/>
                <w:b/>
                <w:bCs/>
                <w:sz w:val="20"/>
                <w:szCs w:val="20"/>
              </w:rPr>
              <w:t>2014</w:t>
            </w:r>
          </w:p>
        </w:tc>
        <w:tc>
          <w:tcPr>
            <w:tcW w:w="896" w:type="dxa"/>
            <w:tcBorders>
              <w:top w:val="single" w:sz="4" w:space="0" w:color="auto"/>
              <w:left w:val="single" w:sz="4" w:space="0" w:color="auto"/>
              <w:bottom w:val="single" w:sz="4" w:space="0" w:color="auto"/>
              <w:right w:val="single" w:sz="4" w:space="0" w:color="auto"/>
            </w:tcBorders>
            <w:shd w:val="clear" w:color="auto" w:fill="D9D9D9"/>
            <w:hideMark/>
          </w:tcPr>
          <w:p w14:paraId="6405A68E" w14:textId="77777777" w:rsidR="000C7268" w:rsidRPr="000C7268" w:rsidRDefault="000C7268" w:rsidP="00321AE6">
            <w:pPr>
              <w:spacing w:before="120" w:after="120" w:line="240" w:lineRule="auto"/>
              <w:jc w:val="center"/>
              <w:rPr>
                <w:rFonts w:cstheme="minorHAnsi"/>
                <w:b/>
                <w:bCs/>
                <w:sz w:val="20"/>
                <w:szCs w:val="20"/>
              </w:rPr>
            </w:pPr>
            <w:r w:rsidRPr="000C7268">
              <w:rPr>
                <w:rFonts w:cstheme="minorHAnsi"/>
                <w:b/>
                <w:bCs/>
                <w:sz w:val="20"/>
                <w:szCs w:val="20"/>
              </w:rPr>
              <w:t>2015</w:t>
            </w:r>
          </w:p>
        </w:tc>
        <w:tc>
          <w:tcPr>
            <w:tcW w:w="896" w:type="dxa"/>
            <w:tcBorders>
              <w:top w:val="single" w:sz="4" w:space="0" w:color="auto"/>
              <w:left w:val="single" w:sz="4" w:space="0" w:color="auto"/>
              <w:bottom w:val="single" w:sz="4" w:space="0" w:color="auto"/>
              <w:right w:val="single" w:sz="4" w:space="0" w:color="auto"/>
            </w:tcBorders>
            <w:shd w:val="clear" w:color="auto" w:fill="D9D9D9"/>
            <w:hideMark/>
          </w:tcPr>
          <w:p w14:paraId="47D392CA" w14:textId="77777777" w:rsidR="000C7268" w:rsidRPr="000C7268" w:rsidRDefault="000C7268" w:rsidP="00321AE6">
            <w:pPr>
              <w:spacing w:before="120" w:after="120" w:line="240" w:lineRule="auto"/>
              <w:jc w:val="center"/>
              <w:rPr>
                <w:rFonts w:cstheme="minorHAnsi"/>
                <w:b/>
                <w:bCs/>
                <w:sz w:val="20"/>
                <w:szCs w:val="20"/>
              </w:rPr>
            </w:pPr>
            <w:r w:rsidRPr="000C7268">
              <w:rPr>
                <w:rFonts w:cstheme="minorHAnsi"/>
                <w:b/>
                <w:bCs/>
                <w:sz w:val="20"/>
                <w:szCs w:val="20"/>
              </w:rPr>
              <w:t>2016</w:t>
            </w:r>
          </w:p>
        </w:tc>
        <w:tc>
          <w:tcPr>
            <w:tcW w:w="896" w:type="dxa"/>
            <w:tcBorders>
              <w:top w:val="single" w:sz="4" w:space="0" w:color="auto"/>
              <w:left w:val="single" w:sz="4" w:space="0" w:color="auto"/>
              <w:bottom w:val="single" w:sz="4" w:space="0" w:color="auto"/>
              <w:right w:val="single" w:sz="4" w:space="0" w:color="auto"/>
            </w:tcBorders>
            <w:shd w:val="clear" w:color="auto" w:fill="D9D9D9"/>
            <w:hideMark/>
          </w:tcPr>
          <w:p w14:paraId="1AB33D3B" w14:textId="77777777" w:rsidR="000C7268" w:rsidRPr="000C7268" w:rsidRDefault="000C7268" w:rsidP="00321AE6">
            <w:pPr>
              <w:spacing w:before="120" w:after="120" w:line="240" w:lineRule="auto"/>
              <w:jc w:val="center"/>
              <w:rPr>
                <w:rFonts w:cstheme="minorHAnsi"/>
                <w:b/>
                <w:bCs/>
                <w:sz w:val="20"/>
                <w:szCs w:val="20"/>
              </w:rPr>
            </w:pPr>
            <w:r w:rsidRPr="000C7268">
              <w:rPr>
                <w:rFonts w:cstheme="minorHAnsi"/>
                <w:b/>
                <w:bCs/>
                <w:sz w:val="20"/>
                <w:szCs w:val="20"/>
              </w:rPr>
              <w:t>2017</w:t>
            </w:r>
          </w:p>
        </w:tc>
        <w:tc>
          <w:tcPr>
            <w:tcW w:w="942" w:type="dxa"/>
            <w:tcBorders>
              <w:top w:val="single" w:sz="4" w:space="0" w:color="auto"/>
              <w:left w:val="single" w:sz="4" w:space="0" w:color="auto"/>
              <w:bottom w:val="single" w:sz="4" w:space="0" w:color="auto"/>
              <w:right w:val="single" w:sz="4" w:space="0" w:color="auto"/>
            </w:tcBorders>
            <w:shd w:val="clear" w:color="auto" w:fill="D9D9D9"/>
            <w:hideMark/>
          </w:tcPr>
          <w:p w14:paraId="6940BED9" w14:textId="77777777" w:rsidR="000C7268" w:rsidRPr="000C7268" w:rsidRDefault="000C7268" w:rsidP="00321AE6">
            <w:pPr>
              <w:spacing w:before="120" w:after="120" w:line="240" w:lineRule="auto"/>
              <w:jc w:val="center"/>
              <w:rPr>
                <w:rFonts w:cstheme="minorHAnsi"/>
                <w:b/>
                <w:bCs/>
                <w:sz w:val="20"/>
                <w:szCs w:val="20"/>
              </w:rPr>
            </w:pPr>
            <w:r w:rsidRPr="000C7268">
              <w:rPr>
                <w:rFonts w:cstheme="minorHAnsi"/>
                <w:b/>
                <w:bCs/>
                <w:sz w:val="20"/>
                <w:szCs w:val="20"/>
              </w:rPr>
              <w:t>2018</w:t>
            </w:r>
          </w:p>
        </w:tc>
      </w:tr>
      <w:tr w:rsidR="000C7268" w14:paraId="27EAD35A" w14:textId="77777777" w:rsidTr="000C7268">
        <w:trPr>
          <w:jc w:val="center"/>
        </w:trPr>
        <w:tc>
          <w:tcPr>
            <w:tcW w:w="4219" w:type="dxa"/>
            <w:tcBorders>
              <w:top w:val="single" w:sz="4" w:space="0" w:color="auto"/>
              <w:left w:val="single" w:sz="4" w:space="0" w:color="auto"/>
              <w:bottom w:val="single" w:sz="4" w:space="0" w:color="auto"/>
              <w:right w:val="single" w:sz="4" w:space="0" w:color="auto"/>
            </w:tcBorders>
            <w:shd w:val="clear" w:color="auto" w:fill="BDD6EE"/>
            <w:hideMark/>
          </w:tcPr>
          <w:p w14:paraId="6A7437DA" w14:textId="77777777" w:rsidR="000C7268" w:rsidRPr="000C7268" w:rsidRDefault="000C7268" w:rsidP="00321AE6">
            <w:pPr>
              <w:spacing w:before="120" w:after="120" w:line="240" w:lineRule="auto"/>
              <w:jc w:val="both"/>
              <w:rPr>
                <w:rFonts w:cstheme="minorHAnsi"/>
                <w:b/>
                <w:sz w:val="20"/>
                <w:szCs w:val="20"/>
              </w:rPr>
            </w:pPr>
            <w:r w:rsidRPr="000C7268">
              <w:rPr>
                <w:rFonts w:cstheme="minorHAnsi"/>
                <w:b/>
                <w:sz w:val="20"/>
                <w:szCs w:val="20"/>
              </w:rPr>
              <w:t>ogółem</w:t>
            </w:r>
          </w:p>
        </w:tc>
        <w:tc>
          <w:tcPr>
            <w:tcW w:w="897"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78F84D5" w14:textId="77777777" w:rsidR="000C7268" w:rsidRPr="000C7268" w:rsidRDefault="000C7268" w:rsidP="00321AE6">
            <w:pPr>
              <w:spacing w:after="0" w:line="240" w:lineRule="auto"/>
              <w:jc w:val="center"/>
              <w:rPr>
                <w:rFonts w:cstheme="minorHAnsi"/>
                <w:b/>
                <w:bCs/>
                <w:sz w:val="20"/>
                <w:szCs w:val="20"/>
              </w:rPr>
            </w:pPr>
            <w:r w:rsidRPr="000C7268">
              <w:rPr>
                <w:rFonts w:cstheme="minorHAnsi"/>
                <w:b/>
                <w:bCs/>
                <w:sz w:val="20"/>
                <w:szCs w:val="20"/>
              </w:rPr>
              <w:t>249472</w:t>
            </w:r>
          </w:p>
        </w:tc>
        <w:tc>
          <w:tcPr>
            <w:tcW w:w="896"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7E7A2AB" w14:textId="77777777" w:rsidR="000C7268" w:rsidRPr="000C7268" w:rsidRDefault="000C7268" w:rsidP="00321AE6">
            <w:pPr>
              <w:spacing w:after="0" w:line="240" w:lineRule="auto"/>
              <w:jc w:val="center"/>
              <w:rPr>
                <w:rFonts w:cstheme="minorHAnsi"/>
                <w:b/>
                <w:bCs/>
                <w:sz w:val="20"/>
                <w:szCs w:val="20"/>
              </w:rPr>
            </w:pPr>
            <w:r w:rsidRPr="000C7268">
              <w:rPr>
                <w:rFonts w:cstheme="minorHAnsi"/>
                <w:b/>
                <w:bCs/>
                <w:sz w:val="20"/>
                <w:szCs w:val="20"/>
              </w:rPr>
              <w:t>276211</w:t>
            </w:r>
          </w:p>
        </w:tc>
        <w:tc>
          <w:tcPr>
            <w:tcW w:w="896"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C5831F0" w14:textId="77777777" w:rsidR="000C7268" w:rsidRPr="000C7268" w:rsidRDefault="000C7268" w:rsidP="00321AE6">
            <w:pPr>
              <w:spacing w:after="0" w:line="240" w:lineRule="auto"/>
              <w:jc w:val="center"/>
              <w:rPr>
                <w:rFonts w:cstheme="minorHAnsi"/>
                <w:b/>
                <w:bCs/>
                <w:sz w:val="20"/>
                <w:szCs w:val="20"/>
              </w:rPr>
            </w:pPr>
            <w:r w:rsidRPr="000C7268">
              <w:rPr>
                <w:rFonts w:cstheme="minorHAnsi"/>
                <w:b/>
                <w:bCs/>
                <w:sz w:val="20"/>
                <w:szCs w:val="20"/>
              </w:rPr>
              <w:t>288416</w:t>
            </w:r>
          </w:p>
        </w:tc>
        <w:tc>
          <w:tcPr>
            <w:tcW w:w="896"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E80D0C0" w14:textId="77777777" w:rsidR="000C7268" w:rsidRPr="000C7268" w:rsidRDefault="000C7268" w:rsidP="00321AE6">
            <w:pPr>
              <w:spacing w:after="0" w:line="240" w:lineRule="auto"/>
              <w:jc w:val="center"/>
              <w:rPr>
                <w:rFonts w:cstheme="minorHAnsi"/>
                <w:b/>
                <w:bCs/>
                <w:sz w:val="20"/>
                <w:szCs w:val="20"/>
              </w:rPr>
            </w:pPr>
            <w:r w:rsidRPr="000C7268">
              <w:rPr>
                <w:rFonts w:cstheme="minorHAnsi"/>
                <w:b/>
                <w:bCs/>
                <w:sz w:val="20"/>
                <w:szCs w:val="20"/>
              </w:rPr>
              <w:t>354741</w:t>
            </w:r>
          </w:p>
        </w:tc>
        <w:tc>
          <w:tcPr>
            <w:tcW w:w="942"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ED54CAA" w14:textId="77777777" w:rsidR="000C7268" w:rsidRPr="000C7268" w:rsidRDefault="000C7268" w:rsidP="00321AE6">
            <w:pPr>
              <w:spacing w:after="0" w:line="240" w:lineRule="auto"/>
              <w:jc w:val="center"/>
              <w:rPr>
                <w:rFonts w:cstheme="minorHAnsi"/>
                <w:b/>
                <w:bCs/>
                <w:sz w:val="20"/>
                <w:szCs w:val="20"/>
              </w:rPr>
            </w:pPr>
            <w:r w:rsidRPr="000C7268">
              <w:rPr>
                <w:rFonts w:cstheme="minorHAnsi"/>
                <w:b/>
                <w:bCs/>
                <w:sz w:val="20"/>
                <w:szCs w:val="20"/>
              </w:rPr>
              <w:t>311978</w:t>
            </w:r>
          </w:p>
        </w:tc>
      </w:tr>
      <w:tr w:rsidR="000C7268" w14:paraId="55231E30" w14:textId="77777777" w:rsidTr="000C7268">
        <w:trPr>
          <w:jc w:val="center"/>
        </w:trPr>
        <w:tc>
          <w:tcPr>
            <w:tcW w:w="4219" w:type="dxa"/>
            <w:tcBorders>
              <w:top w:val="single" w:sz="4" w:space="0" w:color="auto"/>
              <w:left w:val="single" w:sz="4" w:space="0" w:color="auto"/>
              <w:bottom w:val="single" w:sz="4" w:space="0" w:color="auto"/>
              <w:right w:val="nil"/>
            </w:tcBorders>
            <w:hideMark/>
          </w:tcPr>
          <w:p w14:paraId="76BAE302" w14:textId="77777777" w:rsidR="000C7268" w:rsidRPr="000C7268" w:rsidRDefault="000C7268" w:rsidP="00321AE6">
            <w:pPr>
              <w:spacing w:before="120" w:after="120" w:line="240" w:lineRule="auto"/>
              <w:jc w:val="both"/>
              <w:rPr>
                <w:rFonts w:cstheme="minorHAnsi"/>
                <w:b/>
                <w:sz w:val="20"/>
                <w:szCs w:val="20"/>
              </w:rPr>
            </w:pPr>
            <w:r w:rsidRPr="000C7268">
              <w:rPr>
                <w:rFonts w:cstheme="minorHAnsi"/>
                <w:b/>
                <w:sz w:val="20"/>
                <w:szCs w:val="20"/>
              </w:rPr>
              <w:t>w tym:</w:t>
            </w:r>
          </w:p>
        </w:tc>
        <w:tc>
          <w:tcPr>
            <w:tcW w:w="897" w:type="dxa"/>
            <w:tcBorders>
              <w:top w:val="single" w:sz="4" w:space="0" w:color="auto"/>
              <w:left w:val="nil"/>
              <w:bottom w:val="single" w:sz="4" w:space="0" w:color="auto"/>
              <w:right w:val="nil"/>
            </w:tcBorders>
          </w:tcPr>
          <w:p w14:paraId="7AA3B038" w14:textId="77777777" w:rsidR="000C7268" w:rsidRPr="000C7268" w:rsidRDefault="000C7268" w:rsidP="00321AE6">
            <w:pPr>
              <w:spacing w:after="0" w:line="240" w:lineRule="auto"/>
              <w:jc w:val="both"/>
              <w:rPr>
                <w:rFonts w:cstheme="minorHAnsi"/>
                <w:sz w:val="20"/>
                <w:szCs w:val="20"/>
              </w:rPr>
            </w:pPr>
          </w:p>
        </w:tc>
        <w:tc>
          <w:tcPr>
            <w:tcW w:w="896" w:type="dxa"/>
            <w:tcBorders>
              <w:top w:val="single" w:sz="4" w:space="0" w:color="auto"/>
              <w:left w:val="nil"/>
              <w:bottom w:val="single" w:sz="4" w:space="0" w:color="auto"/>
              <w:right w:val="nil"/>
            </w:tcBorders>
          </w:tcPr>
          <w:p w14:paraId="74AC5525" w14:textId="77777777" w:rsidR="000C7268" w:rsidRPr="000C7268" w:rsidRDefault="000C7268" w:rsidP="00321AE6">
            <w:pPr>
              <w:spacing w:after="0" w:line="240" w:lineRule="auto"/>
              <w:jc w:val="both"/>
              <w:rPr>
                <w:rFonts w:cstheme="minorHAnsi"/>
                <w:sz w:val="20"/>
                <w:szCs w:val="20"/>
              </w:rPr>
            </w:pPr>
          </w:p>
        </w:tc>
        <w:tc>
          <w:tcPr>
            <w:tcW w:w="896" w:type="dxa"/>
            <w:tcBorders>
              <w:top w:val="single" w:sz="4" w:space="0" w:color="auto"/>
              <w:left w:val="nil"/>
              <w:bottom w:val="single" w:sz="4" w:space="0" w:color="auto"/>
              <w:right w:val="nil"/>
            </w:tcBorders>
          </w:tcPr>
          <w:p w14:paraId="124B4F93" w14:textId="77777777" w:rsidR="000C7268" w:rsidRPr="000C7268" w:rsidRDefault="000C7268" w:rsidP="00321AE6">
            <w:pPr>
              <w:spacing w:after="0" w:line="240" w:lineRule="auto"/>
              <w:jc w:val="both"/>
              <w:rPr>
                <w:rFonts w:cstheme="minorHAnsi"/>
                <w:sz w:val="20"/>
                <w:szCs w:val="20"/>
              </w:rPr>
            </w:pPr>
          </w:p>
        </w:tc>
        <w:tc>
          <w:tcPr>
            <w:tcW w:w="896" w:type="dxa"/>
            <w:tcBorders>
              <w:top w:val="single" w:sz="4" w:space="0" w:color="auto"/>
              <w:left w:val="nil"/>
              <w:bottom w:val="single" w:sz="4" w:space="0" w:color="auto"/>
              <w:right w:val="nil"/>
            </w:tcBorders>
          </w:tcPr>
          <w:p w14:paraId="6E3879DD" w14:textId="77777777" w:rsidR="000C7268" w:rsidRPr="000C7268" w:rsidRDefault="000C7268" w:rsidP="00321AE6">
            <w:pPr>
              <w:spacing w:after="0" w:line="240" w:lineRule="auto"/>
              <w:jc w:val="both"/>
              <w:rPr>
                <w:rFonts w:cstheme="minorHAnsi"/>
                <w:sz w:val="20"/>
                <w:szCs w:val="20"/>
              </w:rPr>
            </w:pPr>
          </w:p>
        </w:tc>
        <w:tc>
          <w:tcPr>
            <w:tcW w:w="942" w:type="dxa"/>
            <w:tcBorders>
              <w:top w:val="single" w:sz="4" w:space="0" w:color="auto"/>
              <w:left w:val="nil"/>
              <w:bottom w:val="single" w:sz="4" w:space="0" w:color="auto"/>
              <w:right w:val="single" w:sz="4" w:space="0" w:color="auto"/>
            </w:tcBorders>
          </w:tcPr>
          <w:p w14:paraId="07A80DB9" w14:textId="77777777" w:rsidR="000C7268" w:rsidRPr="000C7268" w:rsidRDefault="000C7268" w:rsidP="00321AE6">
            <w:pPr>
              <w:spacing w:after="0" w:line="240" w:lineRule="auto"/>
              <w:jc w:val="both"/>
              <w:rPr>
                <w:rFonts w:cstheme="minorHAnsi"/>
                <w:sz w:val="20"/>
                <w:szCs w:val="20"/>
              </w:rPr>
            </w:pPr>
          </w:p>
        </w:tc>
      </w:tr>
      <w:tr w:rsidR="000C7268" w14:paraId="291A2358" w14:textId="77777777" w:rsidTr="000C7268">
        <w:trPr>
          <w:jc w:val="center"/>
        </w:trPr>
        <w:tc>
          <w:tcPr>
            <w:tcW w:w="4219" w:type="dxa"/>
            <w:tcBorders>
              <w:top w:val="single" w:sz="4" w:space="0" w:color="auto"/>
              <w:left w:val="single" w:sz="4" w:space="0" w:color="auto"/>
              <w:bottom w:val="single" w:sz="4" w:space="0" w:color="auto"/>
              <w:right w:val="single" w:sz="4" w:space="0" w:color="auto"/>
            </w:tcBorders>
            <w:hideMark/>
          </w:tcPr>
          <w:p w14:paraId="3F4A092E" w14:textId="77777777" w:rsidR="000C7268" w:rsidRPr="000C7268" w:rsidRDefault="000C7268" w:rsidP="00321AE6">
            <w:pPr>
              <w:spacing w:before="120" w:after="120" w:line="240" w:lineRule="auto"/>
              <w:ind w:left="142"/>
              <w:jc w:val="both"/>
              <w:rPr>
                <w:rFonts w:cstheme="minorHAnsi"/>
                <w:sz w:val="20"/>
                <w:szCs w:val="20"/>
              </w:rPr>
            </w:pPr>
            <w:r w:rsidRPr="000C7268">
              <w:rPr>
                <w:rFonts w:cstheme="minorHAnsi"/>
                <w:sz w:val="20"/>
                <w:szCs w:val="20"/>
              </w:rPr>
              <w:t>silne wiatry</w:t>
            </w:r>
          </w:p>
        </w:tc>
        <w:tc>
          <w:tcPr>
            <w:tcW w:w="897" w:type="dxa"/>
            <w:tcBorders>
              <w:top w:val="single" w:sz="4" w:space="0" w:color="auto"/>
              <w:left w:val="single" w:sz="4" w:space="0" w:color="auto"/>
              <w:bottom w:val="single" w:sz="4" w:space="0" w:color="auto"/>
              <w:right w:val="single" w:sz="4" w:space="0" w:color="auto"/>
            </w:tcBorders>
            <w:vAlign w:val="center"/>
            <w:hideMark/>
          </w:tcPr>
          <w:p w14:paraId="164EF936"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33889</w:t>
            </w:r>
          </w:p>
        </w:tc>
        <w:tc>
          <w:tcPr>
            <w:tcW w:w="896" w:type="dxa"/>
            <w:tcBorders>
              <w:top w:val="single" w:sz="4" w:space="0" w:color="auto"/>
              <w:left w:val="single" w:sz="4" w:space="0" w:color="auto"/>
              <w:bottom w:val="single" w:sz="4" w:space="0" w:color="auto"/>
              <w:right w:val="single" w:sz="4" w:space="0" w:color="auto"/>
            </w:tcBorders>
            <w:vAlign w:val="center"/>
            <w:hideMark/>
          </w:tcPr>
          <w:p w14:paraId="6EBB5BBD"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68459</w:t>
            </w:r>
          </w:p>
        </w:tc>
        <w:tc>
          <w:tcPr>
            <w:tcW w:w="896" w:type="dxa"/>
            <w:tcBorders>
              <w:top w:val="single" w:sz="4" w:space="0" w:color="auto"/>
              <w:left w:val="single" w:sz="4" w:space="0" w:color="auto"/>
              <w:bottom w:val="single" w:sz="4" w:space="0" w:color="auto"/>
              <w:right w:val="single" w:sz="4" w:space="0" w:color="auto"/>
            </w:tcBorders>
            <w:vAlign w:val="center"/>
            <w:hideMark/>
          </w:tcPr>
          <w:p w14:paraId="24BB5AAC"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56694</w:t>
            </w:r>
          </w:p>
        </w:tc>
        <w:tc>
          <w:tcPr>
            <w:tcW w:w="896" w:type="dxa"/>
            <w:tcBorders>
              <w:top w:val="single" w:sz="4" w:space="0" w:color="auto"/>
              <w:left w:val="single" w:sz="4" w:space="0" w:color="auto"/>
              <w:bottom w:val="single" w:sz="4" w:space="0" w:color="auto"/>
              <w:right w:val="single" w:sz="4" w:space="0" w:color="auto"/>
            </w:tcBorders>
            <w:vAlign w:val="center"/>
            <w:hideMark/>
          </w:tcPr>
          <w:p w14:paraId="42923973"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103509</w:t>
            </w:r>
          </w:p>
        </w:tc>
        <w:tc>
          <w:tcPr>
            <w:tcW w:w="942" w:type="dxa"/>
            <w:tcBorders>
              <w:top w:val="single" w:sz="4" w:space="0" w:color="auto"/>
              <w:left w:val="single" w:sz="4" w:space="0" w:color="auto"/>
              <w:bottom w:val="single" w:sz="4" w:space="0" w:color="auto"/>
              <w:right w:val="single" w:sz="4" w:space="0" w:color="auto"/>
            </w:tcBorders>
            <w:vAlign w:val="center"/>
            <w:hideMark/>
          </w:tcPr>
          <w:p w14:paraId="7EB2B6C2"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39760</w:t>
            </w:r>
          </w:p>
        </w:tc>
      </w:tr>
      <w:tr w:rsidR="000C7268" w14:paraId="5096B1B9" w14:textId="77777777" w:rsidTr="000C7268">
        <w:trPr>
          <w:jc w:val="center"/>
        </w:trPr>
        <w:tc>
          <w:tcPr>
            <w:tcW w:w="4219" w:type="dxa"/>
            <w:tcBorders>
              <w:top w:val="single" w:sz="4" w:space="0" w:color="auto"/>
              <w:left w:val="single" w:sz="4" w:space="0" w:color="auto"/>
              <w:bottom w:val="single" w:sz="4" w:space="0" w:color="auto"/>
              <w:right w:val="single" w:sz="4" w:space="0" w:color="auto"/>
            </w:tcBorders>
            <w:hideMark/>
          </w:tcPr>
          <w:p w14:paraId="6ACAABFA" w14:textId="77777777" w:rsidR="000C7268" w:rsidRPr="000C7268" w:rsidRDefault="000C7268" w:rsidP="00321AE6">
            <w:pPr>
              <w:spacing w:before="120" w:after="120" w:line="240" w:lineRule="auto"/>
              <w:ind w:left="142"/>
              <w:jc w:val="both"/>
              <w:rPr>
                <w:rFonts w:cstheme="minorHAnsi"/>
                <w:sz w:val="20"/>
                <w:szCs w:val="20"/>
              </w:rPr>
            </w:pPr>
            <w:r w:rsidRPr="000C7268">
              <w:rPr>
                <w:rFonts w:cstheme="minorHAnsi"/>
                <w:sz w:val="20"/>
                <w:szCs w:val="20"/>
              </w:rPr>
              <w:t>przybory wody</w:t>
            </w:r>
          </w:p>
        </w:tc>
        <w:tc>
          <w:tcPr>
            <w:tcW w:w="897" w:type="dxa"/>
            <w:tcBorders>
              <w:top w:val="single" w:sz="4" w:space="0" w:color="auto"/>
              <w:left w:val="single" w:sz="4" w:space="0" w:color="auto"/>
              <w:bottom w:val="single" w:sz="4" w:space="0" w:color="auto"/>
              <w:right w:val="single" w:sz="4" w:space="0" w:color="auto"/>
            </w:tcBorders>
            <w:vAlign w:val="center"/>
            <w:hideMark/>
          </w:tcPr>
          <w:p w14:paraId="7C347AD2"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5191</w:t>
            </w:r>
          </w:p>
        </w:tc>
        <w:tc>
          <w:tcPr>
            <w:tcW w:w="896" w:type="dxa"/>
            <w:tcBorders>
              <w:top w:val="single" w:sz="4" w:space="0" w:color="auto"/>
              <w:left w:val="single" w:sz="4" w:space="0" w:color="auto"/>
              <w:bottom w:val="single" w:sz="4" w:space="0" w:color="auto"/>
              <w:right w:val="single" w:sz="4" w:space="0" w:color="auto"/>
            </w:tcBorders>
            <w:vAlign w:val="center"/>
            <w:hideMark/>
          </w:tcPr>
          <w:p w14:paraId="0458C4CD"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449</w:t>
            </w:r>
          </w:p>
        </w:tc>
        <w:tc>
          <w:tcPr>
            <w:tcW w:w="896" w:type="dxa"/>
            <w:tcBorders>
              <w:top w:val="single" w:sz="4" w:space="0" w:color="auto"/>
              <w:left w:val="single" w:sz="4" w:space="0" w:color="auto"/>
              <w:bottom w:val="single" w:sz="4" w:space="0" w:color="auto"/>
              <w:right w:val="single" w:sz="4" w:space="0" w:color="auto"/>
            </w:tcBorders>
            <w:vAlign w:val="center"/>
            <w:hideMark/>
          </w:tcPr>
          <w:p w14:paraId="5C829F59"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1335</w:t>
            </w:r>
          </w:p>
        </w:tc>
        <w:tc>
          <w:tcPr>
            <w:tcW w:w="896" w:type="dxa"/>
            <w:tcBorders>
              <w:top w:val="single" w:sz="4" w:space="0" w:color="auto"/>
              <w:left w:val="single" w:sz="4" w:space="0" w:color="auto"/>
              <w:bottom w:val="single" w:sz="4" w:space="0" w:color="auto"/>
              <w:right w:val="single" w:sz="4" w:space="0" w:color="auto"/>
            </w:tcBorders>
            <w:vAlign w:val="center"/>
            <w:hideMark/>
          </w:tcPr>
          <w:p w14:paraId="1A27FFFD"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5446</w:t>
            </w:r>
          </w:p>
        </w:tc>
        <w:tc>
          <w:tcPr>
            <w:tcW w:w="942" w:type="dxa"/>
            <w:tcBorders>
              <w:top w:val="single" w:sz="4" w:space="0" w:color="auto"/>
              <w:left w:val="single" w:sz="4" w:space="0" w:color="auto"/>
              <w:bottom w:val="single" w:sz="4" w:space="0" w:color="auto"/>
              <w:right w:val="single" w:sz="4" w:space="0" w:color="auto"/>
            </w:tcBorders>
            <w:vAlign w:val="center"/>
            <w:hideMark/>
          </w:tcPr>
          <w:p w14:paraId="0B943A8C"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2634</w:t>
            </w:r>
          </w:p>
        </w:tc>
      </w:tr>
      <w:tr w:rsidR="000C7268" w14:paraId="3FB7C675" w14:textId="77777777" w:rsidTr="000C7268">
        <w:trPr>
          <w:jc w:val="center"/>
        </w:trPr>
        <w:tc>
          <w:tcPr>
            <w:tcW w:w="4219" w:type="dxa"/>
            <w:tcBorders>
              <w:top w:val="single" w:sz="4" w:space="0" w:color="auto"/>
              <w:left w:val="single" w:sz="4" w:space="0" w:color="auto"/>
              <w:bottom w:val="single" w:sz="4" w:space="0" w:color="auto"/>
              <w:right w:val="single" w:sz="4" w:space="0" w:color="auto"/>
            </w:tcBorders>
            <w:hideMark/>
          </w:tcPr>
          <w:p w14:paraId="402CEE22" w14:textId="77777777" w:rsidR="000C7268" w:rsidRPr="000C7268" w:rsidRDefault="000C7268" w:rsidP="00321AE6">
            <w:pPr>
              <w:spacing w:before="120" w:after="120" w:line="240" w:lineRule="auto"/>
              <w:ind w:left="142"/>
              <w:jc w:val="both"/>
              <w:rPr>
                <w:rFonts w:cstheme="minorHAnsi"/>
                <w:sz w:val="20"/>
                <w:szCs w:val="20"/>
              </w:rPr>
            </w:pPr>
            <w:r w:rsidRPr="000C7268">
              <w:rPr>
                <w:rFonts w:cstheme="minorHAnsi"/>
                <w:sz w:val="20"/>
                <w:szCs w:val="20"/>
              </w:rPr>
              <w:t>opady śniegu</w:t>
            </w:r>
          </w:p>
        </w:tc>
        <w:tc>
          <w:tcPr>
            <w:tcW w:w="897" w:type="dxa"/>
            <w:tcBorders>
              <w:top w:val="single" w:sz="4" w:space="0" w:color="auto"/>
              <w:left w:val="single" w:sz="4" w:space="0" w:color="auto"/>
              <w:bottom w:val="single" w:sz="4" w:space="0" w:color="auto"/>
              <w:right w:val="single" w:sz="4" w:space="0" w:color="auto"/>
            </w:tcBorders>
            <w:vAlign w:val="center"/>
            <w:hideMark/>
          </w:tcPr>
          <w:p w14:paraId="16B865B9"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1671</w:t>
            </w:r>
          </w:p>
        </w:tc>
        <w:tc>
          <w:tcPr>
            <w:tcW w:w="896" w:type="dxa"/>
            <w:tcBorders>
              <w:top w:val="single" w:sz="4" w:space="0" w:color="auto"/>
              <w:left w:val="single" w:sz="4" w:space="0" w:color="auto"/>
              <w:bottom w:val="single" w:sz="4" w:space="0" w:color="auto"/>
              <w:right w:val="single" w:sz="4" w:space="0" w:color="auto"/>
            </w:tcBorders>
            <w:vAlign w:val="center"/>
            <w:hideMark/>
          </w:tcPr>
          <w:p w14:paraId="3B2315BE"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1715</w:t>
            </w:r>
          </w:p>
        </w:tc>
        <w:tc>
          <w:tcPr>
            <w:tcW w:w="896" w:type="dxa"/>
            <w:tcBorders>
              <w:top w:val="single" w:sz="4" w:space="0" w:color="auto"/>
              <w:left w:val="single" w:sz="4" w:space="0" w:color="auto"/>
              <w:bottom w:val="single" w:sz="4" w:space="0" w:color="auto"/>
              <w:right w:val="single" w:sz="4" w:space="0" w:color="auto"/>
            </w:tcBorders>
            <w:vAlign w:val="center"/>
            <w:hideMark/>
          </w:tcPr>
          <w:p w14:paraId="4C05E1F4"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3047</w:t>
            </w:r>
          </w:p>
        </w:tc>
        <w:tc>
          <w:tcPr>
            <w:tcW w:w="896" w:type="dxa"/>
            <w:tcBorders>
              <w:top w:val="single" w:sz="4" w:space="0" w:color="auto"/>
              <w:left w:val="single" w:sz="4" w:space="0" w:color="auto"/>
              <w:bottom w:val="single" w:sz="4" w:space="0" w:color="auto"/>
              <w:right w:val="single" w:sz="4" w:space="0" w:color="auto"/>
            </w:tcBorders>
            <w:vAlign w:val="center"/>
            <w:hideMark/>
          </w:tcPr>
          <w:p w14:paraId="18BA35DE"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6236</w:t>
            </w:r>
          </w:p>
        </w:tc>
        <w:tc>
          <w:tcPr>
            <w:tcW w:w="942" w:type="dxa"/>
            <w:tcBorders>
              <w:top w:val="single" w:sz="4" w:space="0" w:color="auto"/>
              <w:left w:val="single" w:sz="4" w:space="0" w:color="auto"/>
              <w:bottom w:val="single" w:sz="4" w:space="0" w:color="auto"/>
              <w:right w:val="single" w:sz="4" w:space="0" w:color="auto"/>
            </w:tcBorders>
            <w:vAlign w:val="center"/>
            <w:hideMark/>
          </w:tcPr>
          <w:p w14:paraId="3AB15287"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1487</w:t>
            </w:r>
          </w:p>
        </w:tc>
      </w:tr>
      <w:tr w:rsidR="000C7268" w14:paraId="5ED6FF03" w14:textId="77777777" w:rsidTr="000C7268">
        <w:trPr>
          <w:jc w:val="center"/>
        </w:trPr>
        <w:tc>
          <w:tcPr>
            <w:tcW w:w="4219" w:type="dxa"/>
            <w:tcBorders>
              <w:top w:val="single" w:sz="4" w:space="0" w:color="auto"/>
              <w:left w:val="single" w:sz="4" w:space="0" w:color="auto"/>
              <w:bottom w:val="single" w:sz="4" w:space="0" w:color="auto"/>
              <w:right w:val="single" w:sz="4" w:space="0" w:color="auto"/>
            </w:tcBorders>
            <w:hideMark/>
          </w:tcPr>
          <w:p w14:paraId="08453FF0" w14:textId="77777777" w:rsidR="000C7268" w:rsidRPr="000C7268" w:rsidRDefault="000C7268" w:rsidP="00321AE6">
            <w:pPr>
              <w:spacing w:before="120" w:after="120" w:line="240" w:lineRule="auto"/>
              <w:ind w:left="142"/>
              <w:jc w:val="both"/>
              <w:rPr>
                <w:rFonts w:cstheme="minorHAnsi"/>
                <w:sz w:val="20"/>
                <w:szCs w:val="20"/>
              </w:rPr>
            </w:pPr>
            <w:r w:rsidRPr="000C7268">
              <w:rPr>
                <w:rFonts w:cstheme="minorHAnsi"/>
                <w:sz w:val="20"/>
                <w:szCs w:val="20"/>
              </w:rPr>
              <w:t>opady deszczu</w:t>
            </w:r>
          </w:p>
        </w:tc>
        <w:tc>
          <w:tcPr>
            <w:tcW w:w="897" w:type="dxa"/>
            <w:tcBorders>
              <w:top w:val="single" w:sz="4" w:space="0" w:color="auto"/>
              <w:left w:val="single" w:sz="4" w:space="0" w:color="auto"/>
              <w:bottom w:val="single" w:sz="4" w:space="0" w:color="auto"/>
              <w:right w:val="single" w:sz="4" w:space="0" w:color="auto"/>
            </w:tcBorders>
            <w:vAlign w:val="center"/>
            <w:hideMark/>
          </w:tcPr>
          <w:p w14:paraId="63B28DF6"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26497</w:t>
            </w:r>
          </w:p>
        </w:tc>
        <w:tc>
          <w:tcPr>
            <w:tcW w:w="896" w:type="dxa"/>
            <w:tcBorders>
              <w:top w:val="single" w:sz="4" w:space="0" w:color="auto"/>
              <w:left w:val="single" w:sz="4" w:space="0" w:color="auto"/>
              <w:bottom w:val="single" w:sz="4" w:space="0" w:color="auto"/>
              <w:right w:val="single" w:sz="4" w:space="0" w:color="auto"/>
            </w:tcBorders>
            <w:vAlign w:val="center"/>
            <w:hideMark/>
          </w:tcPr>
          <w:p w14:paraId="53FD03E9"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6193</w:t>
            </w:r>
          </w:p>
        </w:tc>
        <w:tc>
          <w:tcPr>
            <w:tcW w:w="896" w:type="dxa"/>
            <w:tcBorders>
              <w:top w:val="single" w:sz="4" w:space="0" w:color="auto"/>
              <w:left w:val="single" w:sz="4" w:space="0" w:color="auto"/>
              <w:bottom w:val="single" w:sz="4" w:space="0" w:color="auto"/>
              <w:right w:val="single" w:sz="4" w:space="0" w:color="auto"/>
            </w:tcBorders>
            <w:vAlign w:val="center"/>
            <w:hideMark/>
          </w:tcPr>
          <w:p w14:paraId="2C8BF0EA"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15338</w:t>
            </w:r>
          </w:p>
        </w:tc>
        <w:tc>
          <w:tcPr>
            <w:tcW w:w="896" w:type="dxa"/>
            <w:tcBorders>
              <w:top w:val="single" w:sz="4" w:space="0" w:color="auto"/>
              <w:left w:val="single" w:sz="4" w:space="0" w:color="auto"/>
              <w:bottom w:val="single" w:sz="4" w:space="0" w:color="auto"/>
              <w:right w:val="single" w:sz="4" w:space="0" w:color="auto"/>
            </w:tcBorders>
            <w:vAlign w:val="center"/>
            <w:hideMark/>
          </w:tcPr>
          <w:p w14:paraId="0FA610BC"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25517</w:t>
            </w:r>
          </w:p>
        </w:tc>
        <w:tc>
          <w:tcPr>
            <w:tcW w:w="942" w:type="dxa"/>
            <w:tcBorders>
              <w:top w:val="single" w:sz="4" w:space="0" w:color="auto"/>
              <w:left w:val="single" w:sz="4" w:space="0" w:color="auto"/>
              <w:bottom w:val="single" w:sz="4" w:space="0" w:color="auto"/>
              <w:right w:val="single" w:sz="4" w:space="0" w:color="auto"/>
            </w:tcBorders>
            <w:vAlign w:val="center"/>
            <w:hideMark/>
          </w:tcPr>
          <w:p w14:paraId="70DCB9F6"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12179</w:t>
            </w:r>
          </w:p>
        </w:tc>
      </w:tr>
      <w:tr w:rsidR="000C7268" w14:paraId="27BFA380" w14:textId="77777777" w:rsidTr="000C7268">
        <w:trPr>
          <w:jc w:val="center"/>
        </w:trPr>
        <w:tc>
          <w:tcPr>
            <w:tcW w:w="4219" w:type="dxa"/>
            <w:tcBorders>
              <w:top w:val="single" w:sz="4" w:space="0" w:color="auto"/>
              <w:left w:val="single" w:sz="4" w:space="0" w:color="auto"/>
              <w:bottom w:val="single" w:sz="4" w:space="0" w:color="auto"/>
              <w:right w:val="single" w:sz="4" w:space="0" w:color="auto"/>
            </w:tcBorders>
            <w:hideMark/>
          </w:tcPr>
          <w:p w14:paraId="7901FE9D" w14:textId="77777777" w:rsidR="000C7268" w:rsidRPr="000C7268" w:rsidRDefault="000C7268" w:rsidP="00321AE6">
            <w:pPr>
              <w:spacing w:before="120" w:after="120" w:line="240" w:lineRule="auto"/>
              <w:ind w:left="142"/>
              <w:jc w:val="both"/>
              <w:rPr>
                <w:rFonts w:cstheme="minorHAnsi"/>
                <w:sz w:val="20"/>
                <w:szCs w:val="20"/>
              </w:rPr>
            </w:pPr>
            <w:r w:rsidRPr="000C7268">
              <w:rPr>
                <w:rFonts w:cstheme="minorHAnsi"/>
                <w:sz w:val="20"/>
                <w:szCs w:val="20"/>
              </w:rPr>
              <w:t>chemiczne</w:t>
            </w:r>
          </w:p>
        </w:tc>
        <w:tc>
          <w:tcPr>
            <w:tcW w:w="897" w:type="dxa"/>
            <w:tcBorders>
              <w:top w:val="single" w:sz="4" w:space="0" w:color="auto"/>
              <w:left w:val="single" w:sz="4" w:space="0" w:color="auto"/>
              <w:bottom w:val="single" w:sz="4" w:space="0" w:color="auto"/>
              <w:right w:val="single" w:sz="4" w:space="0" w:color="auto"/>
            </w:tcBorders>
            <w:vAlign w:val="center"/>
            <w:hideMark/>
          </w:tcPr>
          <w:p w14:paraId="5C91B5C9"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6129</w:t>
            </w:r>
          </w:p>
        </w:tc>
        <w:tc>
          <w:tcPr>
            <w:tcW w:w="896" w:type="dxa"/>
            <w:tcBorders>
              <w:top w:val="single" w:sz="4" w:space="0" w:color="auto"/>
              <w:left w:val="single" w:sz="4" w:space="0" w:color="auto"/>
              <w:bottom w:val="single" w:sz="4" w:space="0" w:color="auto"/>
              <w:right w:val="single" w:sz="4" w:space="0" w:color="auto"/>
            </w:tcBorders>
            <w:vAlign w:val="center"/>
            <w:hideMark/>
          </w:tcPr>
          <w:p w14:paraId="5CF7B776"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6518</w:t>
            </w:r>
          </w:p>
        </w:tc>
        <w:tc>
          <w:tcPr>
            <w:tcW w:w="896" w:type="dxa"/>
            <w:tcBorders>
              <w:top w:val="single" w:sz="4" w:space="0" w:color="auto"/>
              <w:left w:val="single" w:sz="4" w:space="0" w:color="auto"/>
              <w:bottom w:val="single" w:sz="4" w:space="0" w:color="auto"/>
              <w:right w:val="single" w:sz="4" w:space="0" w:color="auto"/>
            </w:tcBorders>
            <w:vAlign w:val="center"/>
            <w:hideMark/>
          </w:tcPr>
          <w:p w14:paraId="264602BC"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7603</w:t>
            </w:r>
          </w:p>
        </w:tc>
        <w:tc>
          <w:tcPr>
            <w:tcW w:w="896" w:type="dxa"/>
            <w:tcBorders>
              <w:top w:val="single" w:sz="4" w:space="0" w:color="auto"/>
              <w:left w:val="single" w:sz="4" w:space="0" w:color="auto"/>
              <w:bottom w:val="single" w:sz="4" w:space="0" w:color="auto"/>
              <w:right w:val="single" w:sz="4" w:space="0" w:color="auto"/>
            </w:tcBorders>
            <w:vAlign w:val="center"/>
            <w:hideMark/>
          </w:tcPr>
          <w:p w14:paraId="66E3AA1B"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8890</w:t>
            </w:r>
          </w:p>
        </w:tc>
        <w:tc>
          <w:tcPr>
            <w:tcW w:w="942" w:type="dxa"/>
            <w:tcBorders>
              <w:top w:val="single" w:sz="4" w:space="0" w:color="auto"/>
              <w:left w:val="single" w:sz="4" w:space="0" w:color="auto"/>
              <w:bottom w:val="single" w:sz="4" w:space="0" w:color="auto"/>
              <w:right w:val="single" w:sz="4" w:space="0" w:color="auto"/>
            </w:tcBorders>
            <w:vAlign w:val="center"/>
            <w:hideMark/>
          </w:tcPr>
          <w:p w14:paraId="4701B669"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9811</w:t>
            </w:r>
          </w:p>
        </w:tc>
      </w:tr>
      <w:tr w:rsidR="000C7268" w14:paraId="245CF184" w14:textId="77777777" w:rsidTr="000C7268">
        <w:trPr>
          <w:jc w:val="center"/>
        </w:trPr>
        <w:tc>
          <w:tcPr>
            <w:tcW w:w="4219" w:type="dxa"/>
            <w:tcBorders>
              <w:top w:val="single" w:sz="4" w:space="0" w:color="auto"/>
              <w:left w:val="single" w:sz="4" w:space="0" w:color="auto"/>
              <w:bottom w:val="single" w:sz="4" w:space="0" w:color="auto"/>
              <w:right w:val="single" w:sz="4" w:space="0" w:color="auto"/>
            </w:tcBorders>
            <w:hideMark/>
          </w:tcPr>
          <w:p w14:paraId="7DF038AB" w14:textId="77777777" w:rsidR="000C7268" w:rsidRPr="000C7268" w:rsidRDefault="000C7268" w:rsidP="00321AE6">
            <w:pPr>
              <w:spacing w:before="120" w:after="120" w:line="240" w:lineRule="auto"/>
              <w:ind w:left="142"/>
              <w:jc w:val="both"/>
              <w:rPr>
                <w:rFonts w:cstheme="minorHAnsi"/>
                <w:sz w:val="20"/>
                <w:szCs w:val="20"/>
              </w:rPr>
            </w:pPr>
            <w:r w:rsidRPr="000C7268">
              <w:rPr>
                <w:rFonts w:cstheme="minorHAnsi"/>
                <w:sz w:val="20"/>
                <w:szCs w:val="20"/>
              </w:rPr>
              <w:t>ekologiczne</w:t>
            </w:r>
          </w:p>
        </w:tc>
        <w:tc>
          <w:tcPr>
            <w:tcW w:w="897" w:type="dxa"/>
            <w:tcBorders>
              <w:top w:val="single" w:sz="4" w:space="0" w:color="auto"/>
              <w:left w:val="single" w:sz="4" w:space="0" w:color="auto"/>
              <w:bottom w:val="single" w:sz="4" w:space="0" w:color="auto"/>
              <w:right w:val="single" w:sz="4" w:space="0" w:color="auto"/>
            </w:tcBorders>
            <w:vAlign w:val="center"/>
            <w:hideMark/>
          </w:tcPr>
          <w:p w14:paraId="03BAE9CB"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1231</w:t>
            </w:r>
          </w:p>
        </w:tc>
        <w:tc>
          <w:tcPr>
            <w:tcW w:w="896" w:type="dxa"/>
            <w:tcBorders>
              <w:top w:val="single" w:sz="4" w:space="0" w:color="auto"/>
              <w:left w:val="single" w:sz="4" w:space="0" w:color="auto"/>
              <w:bottom w:val="single" w:sz="4" w:space="0" w:color="auto"/>
              <w:right w:val="single" w:sz="4" w:space="0" w:color="auto"/>
            </w:tcBorders>
            <w:vAlign w:val="center"/>
            <w:hideMark/>
          </w:tcPr>
          <w:p w14:paraId="34A7B2FD"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792</w:t>
            </w:r>
          </w:p>
        </w:tc>
        <w:tc>
          <w:tcPr>
            <w:tcW w:w="896" w:type="dxa"/>
            <w:tcBorders>
              <w:top w:val="single" w:sz="4" w:space="0" w:color="auto"/>
              <w:left w:val="single" w:sz="4" w:space="0" w:color="auto"/>
              <w:bottom w:val="single" w:sz="4" w:space="0" w:color="auto"/>
              <w:right w:val="single" w:sz="4" w:space="0" w:color="auto"/>
            </w:tcBorders>
            <w:vAlign w:val="center"/>
            <w:hideMark/>
          </w:tcPr>
          <w:p w14:paraId="208A6E20"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682</w:t>
            </w:r>
          </w:p>
        </w:tc>
        <w:tc>
          <w:tcPr>
            <w:tcW w:w="896" w:type="dxa"/>
            <w:tcBorders>
              <w:top w:val="single" w:sz="4" w:space="0" w:color="auto"/>
              <w:left w:val="single" w:sz="4" w:space="0" w:color="auto"/>
              <w:bottom w:val="single" w:sz="4" w:space="0" w:color="auto"/>
              <w:right w:val="single" w:sz="4" w:space="0" w:color="auto"/>
            </w:tcBorders>
            <w:vAlign w:val="center"/>
            <w:hideMark/>
          </w:tcPr>
          <w:p w14:paraId="79AF8FC6"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976</w:t>
            </w:r>
          </w:p>
        </w:tc>
        <w:tc>
          <w:tcPr>
            <w:tcW w:w="942" w:type="dxa"/>
            <w:tcBorders>
              <w:top w:val="single" w:sz="4" w:space="0" w:color="auto"/>
              <w:left w:val="single" w:sz="4" w:space="0" w:color="auto"/>
              <w:bottom w:val="single" w:sz="4" w:space="0" w:color="auto"/>
              <w:right w:val="single" w:sz="4" w:space="0" w:color="auto"/>
            </w:tcBorders>
            <w:vAlign w:val="center"/>
            <w:hideMark/>
          </w:tcPr>
          <w:p w14:paraId="5F2B8A13" w14:textId="77777777" w:rsidR="000C7268" w:rsidRPr="000C7268" w:rsidRDefault="000C7268" w:rsidP="00321AE6">
            <w:pPr>
              <w:spacing w:after="0" w:line="240" w:lineRule="auto"/>
              <w:jc w:val="center"/>
              <w:rPr>
                <w:rFonts w:cstheme="minorHAnsi"/>
                <w:sz w:val="20"/>
                <w:szCs w:val="20"/>
              </w:rPr>
            </w:pPr>
            <w:r w:rsidRPr="000C7268">
              <w:rPr>
                <w:rFonts w:cstheme="minorHAnsi"/>
                <w:sz w:val="20"/>
                <w:szCs w:val="20"/>
              </w:rPr>
              <w:t>855</w:t>
            </w:r>
          </w:p>
        </w:tc>
      </w:tr>
      <w:tr w:rsidR="000C7268" w14:paraId="5FB7A576" w14:textId="77777777" w:rsidTr="000C7268">
        <w:trPr>
          <w:jc w:val="center"/>
        </w:trPr>
        <w:tc>
          <w:tcPr>
            <w:tcW w:w="4219" w:type="dxa"/>
            <w:tcBorders>
              <w:top w:val="single" w:sz="4" w:space="0" w:color="auto"/>
              <w:left w:val="single" w:sz="4" w:space="0" w:color="auto"/>
              <w:bottom w:val="single" w:sz="4" w:space="0" w:color="auto"/>
              <w:right w:val="single" w:sz="4" w:space="0" w:color="auto"/>
            </w:tcBorders>
            <w:hideMark/>
          </w:tcPr>
          <w:p w14:paraId="1CAA1D09" w14:textId="77777777" w:rsidR="000C7268" w:rsidRPr="000C7268" w:rsidRDefault="000C7268" w:rsidP="00321AE6">
            <w:pPr>
              <w:spacing w:before="120" w:after="120" w:line="240" w:lineRule="auto"/>
              <w:ind w:left="142"/>
              <w:jc w:val="both"/>
              <w:rPr>
                <w:rFonts w:cs="Calibri"/>
                <w:sz w:val="20"/>
                <w:szCs w:val="20"/>
              </w:rPr>
            </w:pPr>
            <w:r w:rsidRPr="000C7268">
              <w:rPr>
                <w:rFonts w:cs="Calibri"/>
                <w:sz w:val="20"/>
                <w:szCs w:val="20"/>
              </w:rPr>
              <w:t>radiologiczne</w:t>
            </w:r>
          </w:p>
        </w:tc>
        <w:tc>
          <w:tcPr>
            <w:tcW w:w="897" w:type="dxa"/>
            <w:tcBorders>
              <w:top w:val="single" w:sz="4" w:space="0" w:color="auto"/>
              <w:left w:val="single" w:sz="4" w:space="0" w:color="auto"/>
              <w:bottom w:val="single" w:sz="4" w:space="0" w:color="auto"/>
              <w:right w:val="single" w:sz="4" w:space="0" w:color="auto"/>
            </w:tcBorders>
            <w:vAlign w:val="center"/>
            <w:hideMark/>
          </w:tcPr>
          <w:p w14:paraId="4528B211" w14:textId="77777777" w:rsidR="000C7268" w:rsidRPr="000C7268" w:rsidRDefault="000C7268" w:rsidP="00321AE6">
            <w:pPr>
              <w:spacing w:after="0" w:line="240" w:lineRule="auto"/>
              <w:jc w:val="center"/>
              <w:rPr>
                <w:rFonts w:cs="Calibri"/>
                <w:sz w:val="20"/>
                <w:szCs w:val="20"/>
              </w:rPr>
            </w:pPr>
            <w:r w:rsidRPr="000C7268">
              <w:rPr>
                <w:rFonts w:cs="Calibri"/>
                <w:sz w:val="20"/>
                <w:szCs w:val="20"/>
              </w:rPr>
              <w:t>4</w:t>
            </w:r>
          </w:p>
        </w:tc>
        <w:tc>
          <w:tcPr>
            <w:tcW w:w="896" w:type="dxa"/>
            <w:tcBorders>
              <w:top w:val="single" w:sz="4" w:space="0" w:color="auto"/>
              <w:left w:val="single" w:sz="4" w:space="0" w:color="auto"/>
              <w:bottom w:val="single" w:sz="4" w:space="0" w:color="auto"/>
              <w:right w:val="single" w:sz="4" w:space="0" w:color="auto"/>
            </w:tcBorders>
            <w:vAlign w:val="center"/>
            <w:hideMark/>
          </w:tcPr>
          <w:p w14:paraId="4544212C" w14:textId="77777777" w:rsidR="000C7268" w:rsidRPr="000C7268" w:rsidRDefault="000C7268" w:rsidP="00321AE6">
            <w:pPr>
              <w:spacing w:after="0" w:line="240" w:lineRule="auto"/>
              <w:jc w:val="center"/>
              <w:rPr>
                <w:rFonts w:cs="Calibri"/>
                <w:sz w:val="20"/>
                <w:szCs w:val="20"/>
              </w:rPr>
            </w:pPr>
            <w:r w:rsidRPr="000C7268">
              <w:rPr>
                <w:rFonts w:cs="Calibri"/>
                <w:sz w:val="20"/>
                <w:szCs w:val="20"/>
              </w:rPr>
              <w:t>12</w:t>
            </w:r>
          </w:p>
        </w:tc>
        <w:tc>
          <w:tcPr>
            <w:tcW w:w="896" w:type="dxa"/>
            <w:tcBorders>
              <w:top w:val="single" w:sz="4" w:space="0" w:color="auto"/>
              <w:left w:val="single" w:sz="4" w:space="0" w:color="auto"/>
              <w:bottom w:val="single" w:sz="4" w:space="0" w:color="auto"/>
              <w:right w:val="single" w:sz="4" w:space="0" w:color="auto"/>
            </w:tcBorders>
            <w:vAlign w:val="center"/>
            <w:hideMark/>
          </w:tcPr>
          <w:p w14:paraId="61B97D82" w14:textId="77777777" w:rsidR="000C7268" w:rsidRPr="000C7268" w:rsidRDefault="000C7268" w:rsidP="00321AE6">
            <w:pPr>
              <w:spacing w:after="0" w:line="240" w:lineRule="auto"/>
              <w:jc w:val="center"/>
              <w:rPr>
                <w:rFonts w:cs="Calibri"/>
                <w:sz w:val="20"/>
                <w:szCs w:val="20"/>
              </w:rPr>
            </w:pPr>
            <w:r w:rsidRPr="000C7268">
              <w:rPr>
                <w:rFonts w:cs="Calibri"/>
                <w:sz w:val="20"/>
                <w:szCs w:val="20"/>
              </w:rPr>
              <w:t>18</w:t>
            </w:r>
          </w:p>
        </w:tc>
        <w:tc>
          <w:tcPr>
            <w:tcW w:w="896" w:type="dxa"/>
            <w:tcBorders>
              <w:top w:val="single" w:sz="4" w:space="0" w:color="auto"/>
              <w:left w:val="single" w:sz="4" w:space="0" w:color="auto"/>
              <w:bottom w:val="single" w:sz="4" w:space="0" w:color="auto"/>
              <w:right w:val="single" w:sz="4" w:space="0" w:color="auto"/>
            </w:tcBorders>
            <w:vAlign w:val="center"/>
            <w:hideMark/>
          </w:tcPr>
          <w:p w14:paraId="2410CCFA" w14:textId="77777777" w:rsidR="000C7268" w:rsidRPr="000C7268" w:rsidRDefault="000C7268" w:rsidP="00321AE6">
            <w:pPr>
              <w:spacing w:after="0" w:line="240" w:lineRule="auto"/>
              <w:jc w:val="center"/>
              <w:rPr>
                <w:rFonts w:cs="Calibri"/>
                <w:sz w:val="20"/>
                <w:szCs w:val="20"/>
              </w:rPr>
            </w:pPr>
            <w:r w:rsidRPr="000C7268">
              <w:rPr>
                <w:rFonts w:cs="Calibri"/>
                <w:sz w:val="20"/>
                <w:szCs w:val="20"/>
              </w:rPr>
              <w:t>5</w:t>
            </w:r>
          </w:p>
        </w:tc>
        <w:tc>
          <w:tcPr>
            <w:tcW w:w="942" w:type="dxa"/>
            <w:tcBorders>
              <w:top w:val="single" w:sz="4" w:space="0" w:color="auto"/>
              <w:left w:val="single" w:sz="4" w:space="0" w:color="auto"/>
              <w:bottom w:val="single" w:sz="4" w:space="0" w:color="auto"/>
              <w:right w:val="single" w:sz="4" w:space="0" w:color="auto"/>
            </w:tcBorders>
            <w:vAlign w:val="center"/>
            <w:hideMark/>
          </w:tcPr>
          <w:p w14:paraId="33946A1D" w14:textId="77777777" w:rsidR="000C7268" w:rsidRPr="000C7268" w:rsidRDefault="000C7268" w:rsidP="00321AE6">
            <w:pPr>
              <w:spacing w:after="0" w:line="240" w:lineRule="auto"/>
              <w:jc w:val="center"/>
              <w:rPr>
                <w:rFonts w:cs="Calibri"/>
                <w:sz w:val="20"/>
                <w:szCs w:val="20"/>
              </w:rPr>
            </w:pPr>
            <w:r w:rsidRPr="000C7268">
              <w:rPr>
                <w:rFonts w:cs="Calibri"/>
                <w:sz w:val="20"/>
                <w:szCs w:val="20"/>
              </w:rPr>
              <w:t>5</w:t>
            </w:r>
          </w:p>
        </w:tc>
      </w:tr>
      <w:tr w:rsidR="000C7268" w14:paraId="1B7C2D96" w14:textId="77777777" w:rsidTr="000C7268">
        <w:trPr>
          <w:jc w:val="center"/>
        </w:trPr>
        <w:tc>
          <w:tcPr>
            <w:tcW w:w="4219" w:type="dxa"/>
            <w:tcBorders>
              <w:top w:val="single" w:sz="4" w:space="0" w:color="auto"/>
              <w:left w:val="single" w:sz="4" w:space="0" w:color="auto"/>
              <w:bottom w:val="single" w:sz="4" w:space="0" w:color="auto"/>
              <w:right w:val="single" w:sz="4" w:space="0" w:color="auto"/>
            </w:tcBorders>
            <w:hideMark/>
          </w:tcPr>
          <w:p w14:paraId="23539249" w14:textId="77777777" w:rsidR="000C7268" w:rsidRPr="000C7268" w:rsidRDefault="000C7268" w:rsidP="00321AE6">
            <w:pPr>
              <w:spacing w:before="120" w:after="120" w:line="240" w:lineRule="auto"/>
              <w:ind w:left="142"/>
              <w:jc w:val="both"/>
              <w:rPr>
                <w:rFonts w:cs="Calibri"/>
                <w:sz w:val="20"/>
                <w:szCs w:val="20"/>
              </w:rPr>
            </w:pPr>
            <w:r w:rsidRPr="000C7268">
              <w:rPr>
                <w:rFonts w:cs="Calibri"/>
                <w:sz w:val="20"/>
                <w:szCs w:val="20"/>
              </w:rPr>
              <w:t>budowlane</w:t>
            </w:r>
          </w:p>
        </w:tc>
        <w:tc>
          <w:tcPr>
            <w:tcW w:w="897" w:type="dxa"/>
            <w:tcBorders>
              <w:top w:val="single" w:sz="4" w:space="0" w:color="auto"/>
              <w:left w:val="single" w:sz="4" w:space="0" w:color="auto"/>
              <w:bottom w:val="single" w:sz="4" w:space="0" w:color="auto"/>
              <w:right w:val="single" w:sz="4" w:space="0" w:color="auto"/>
            </w:tcBorders>
            <w:vAlign w:val="center"/>
            <w:hideMark/>
          </w:tcPr>
          <w:p w14:paraId="581FBC01" w14:textId="77777777" w:rsidR="000C7268" w:rsidRPr="000C7268" w:rsidRDefault="000C7268" w:rsidP="00321AE6">
            <w:pPr>
              <w:spacing w:after="0" w:line="240" w:lineRule="auto"/>
              <w:jc w:val="center"/>
              <w:rPr>
                <w:rFonts w:cs="Calibri"/>
                <w:sz w:val="20"/>
                <w:szCs w:val="20"/>
              </w:rPr>
            </w:pPr>
            <w:r w:rsidRPr="000C7268">
              <w:rPr>
                <w:rFonts w:cs="Calibri"/>
                <w:sz w:val="20"/>
                <w:szCs w:val="20"/>
              </w:rPr>
              <w:t>2816</w:t>
            </w:r>
          </w:p>
        </w:tc>
        <w:tc>
          <w:tcPr>
            <w:tcW w:w="896" w:type="dxa"/>
            <w:tcBorders>
              <w:top w:val="single" w:sz="4" w:space="0" w:color="auto"/>
              <w:left w:val="single" w:sz="4" w:space="0" w:color="auto"/>
              <w:bottom w:val="single" w:sz="4" w:space="0" w:color="auto"/>
              <w:right w:val="single" w:sz="4" w:space="0" w:color="auto"/>
            </w:tcBorders>
            <w:vAlign w:val="center"/>
            <w:hideMark/>
          </w:tcPr>
          <w:p w14:paraId="547C6920" w14:textId="77777777" w:rsidR="000C7268" w:rsidRPr="000C7268" w:rsidRDefault="000C7268" w:rsidP="00321AE6">
            <w:pPr>
              <w:spacing w:after="0" w:line="240" w:lineRule="auto"/>
              <w:jc w:val="center"/>
              <w:rPr>
                <w:rFonts w:cs="Calibri"/>
                <w:sz w:val="20"/>
                <w:szCs w:val="20"/>
              </w:rPr>
            </w:pPr>
            <w:r w:rsidRPr="000C7268">
              <w:rPr>
                <w:rFonts w:cs="Calibri"/>
                <w:sz w:val="20"/>
                <w:szCs w:val="20"/>
              </w:rPr>
              <w:t>5833</w:t>
            </w:r>
          </w:p>
        </w:tc>
        <w:tc>
          <w:tcPr>
            <w:tcW w:w="896" w:type="dxa"/>
            <w:tcBorders>
              <w:top w:val="single" w:sz="4" w:space="0" w:color="auto"/>
              <w:left w:val="single" w:sz="4" w:space="0" w:color="auto"/>
              <w:bottom w:val="single" w:sz="4" w:space="0" w:color="auto"/>
              <w:right w:val="single" w:sz="4" w:space="0" w:color="auto"/>
            </w:tcBorders>
            <w:vAlign w:val="center"/>
            <w:hideMark/>
          </w:tcPr>
          <w:p w14:paraId="43D9C6A5" w14:textId="77777777" w:rsidR="000C7268" w:rsidRPr="000C7268" w:rsidRDefault="000C7268" w:rsidP="00321AE6">
            <w:pPr>
              <w:spacing w:after="0" w:line="240" w:lineRule="auto"/>
              <w:jc w:val="center"/>
              <w:rPr>
                <w:rFonts w:cs="Calibri"/>
                <w:sz w:val="20"/>
                <w:szCs w:val="20"/>
              </w:rPr>
            </w:pPr>
            <w:r w:rsidRPr="000C7268">
              <w:rPr>
                <w:rFonts w:cs="Calibri"/>
                <w:sz w:val="20"/>
                <w:szCs w:val="20"/>
              </w:rPr>
              <w:t>3998</w:t>
            </w:r>
          </w:p>
        </w:tc>
        <w:tc>
          <w:tcPr>
            <w:tcW w:w="896" w:type="dxa"/>
            <w:tcBorders>
              <w:top w:val="single" w:sz="4" w:space="0" w:color="auto"/>
              <w:left w:val="single" w:sz="4" w:space="0" w:color="auto"/>
              <w:bottom w:val="single" w:sz="4" w:space="0" w:color="auto"/>
              <w:right w:val="single" w:sz="4" w:space="0" w:color="auto"/>
            </w:tcBorders>
            <w:vAlign w:val="center"/>
            <w:hideMark/>
          </w:tcPr>
          <w:p w14:paraId="14A66F80" w14:textId="77777777" w:rsidR="000C7268" w:rsidRPr="000C7268" w:rsidRDefault="000C7268" w:rsidP="00321AE6">
            <w:pPr>
              <w:spacing w:after="0" w:line="240" w:lineRule="auto"/>
              <w:jc w:val="center"/>
              <w:rPr>
                <w:rFonts w:cs="Calibri"/>
                <w:sz w:val="20"/>
                <w:szCs w:val="20"/>
              </w:rPr>
            </w:pPr>
            <w:r w:rsidRPr="000C7268">
              <w:rPr>
                <w:rFonts w:cs="Calibri"/>
                <w:sz w:val="20"/>
                <w:szCs w:val="20"/>
              </w:rPr>
              <w:t>12059</w:t>
            </w:r>
          </w:p>
        </w:tc>
        <w:tc>
          <w:tcPr>
            <w:tcW w:w="942" w:type="dxa"/>
            <w:tcBorders>
              <w:top w:val="single" w:sz="4" w:space="0" w:color="auto"/>
              <w:left w:val="single" w:sz="4" w:space="0" w:color="auto"/>
              <w:bottom w:val="single" w:sz="4" w:space="0" w:color="auto"/>
              <w:right w:val="single" w:sz="4" w:space="0" w:color="auto"/>
            </w:tcBorders>
            <w:vAlign w:val="center"/>
            <w:hideMark/>
          </w:tcPr>
          <w:p w14:paraId="501046E2" w14:textId="77777777" w:rsidR="000C7268" w:rsidRPr="000C7268" w:rsidRDefault="000C7268" w:rsidP="00321AE6">
            <w:pPr>
              <w:spacing w:after="0" w:line="240" w:lineRule="auto"/>
              <w:jc w:val="center"/>
              <w:rPr>
                <w:rFonts w:cs="Calibri"/>
                <w:sz w:val="20"/>
                <w:szCs w:val="20"/>
              </w:rPr>
            </w:pPr>
            <w:r w:rsidRPr="000C7268">
              <w:rPr>
                <w:rFonts w:cs="Calibri"/>
                <w:sz w:val="20"/>
                <w:szCs w:val="20"/>
              </w:rPr>
              <w:t>3988</w:t>
            </w:r>
          </w:p>
        </w:tc>
      </w:tr>
      <w:tr w:rsidR="000C7268" w14:paraId="64938F54" w14:textId="77777777" w:rsidTr="000C7268">
        <w:trPr>
          <w:jc w:val="center"/>
        </w:trPr>
        <w:tc>
          <w:tcPr>
            <w:tcW w:w="4219" w:type="dxa"/>
            <w:tcBorders>
              <w:top w:val="single" w:sz="4" w:space="0" w:color="auto"/>
              <w:left w:val="single" w:sz="4" w:space="0" w:color="auto"/>
              <w:bottom w:val="single" w:sz="4" w:space="0" w:color="auto"/>
              <w:right w:val="single" w:sz="4" w:space="0" w:color="auto"/>
            </w:tcBorders>
            <w:hideMark/>
          </w:tcPr>
          <w:p w14:paraId="05ED9309" w14:textId="77777777" w:rsidR="000C7268" w:rsidRPr="000C7268" w:rsidRDefault="000C7268" w:rsidP="00321AE6">
            <w:pPr>
              <w:spacing w:before="120" w:after="120" w:line="240" w:lineRule="auto"/>
              <w:ind w:left="142"/>
              <w:jc w:val="both"/>
              <w:rPr>
                <w:rFonts w:cs="Calibri"/>
                <w:sz w:val="20"/>
                <w:szCs w:val="20"/>
              </w:rPr>
            </w:pPr>
            <w:r w:rsidRPr="000C7268">
              <w:rPr>
                <w:rFonts w:cs="Calibri"/>
                <w:sz w:val="20"/>
                <w:szCs w:val="20"/>
              </w:rPr>
              <w:t>infrastruktury komunalnej</w:t>
            </w:r>
          </w:p>
        </w:tc>
        <w:tc>
          <w:tcPr>
            <w:tcW w:w="897" w:type="dxa"/>
            <w:tcBorders>
              <w:top w:val="single" w:sz="4" w:space="0" w:color="auto"/>
              <w:left w:val="single" w:sz="4" w:space="0" w:color="auto"/>
              <w:bottom w:val="single" w:sz="4" w:space="0" w:color="auto"/>
              <w:right w:val="single" w:sz="4" w:space="0" w:color="auto"/>
            </w:tcBorders>
            <w:vAlign w:val="center"/>
            <w:hideMark/>
          </w:tcPr>
          <w:p w14:paraId="062E74F3" w14:textId="77777777" w:rsidR="000C7268" w:rsidRPr="000C7268" w:rsidRDefault="000C7268" w:rsidP="00321AE6">
            <w:pPr>
              <w:spacing w:after="0" w:line="240" w:lineRule="auto"/>
              <w:jc w:val="center"/>
              <w:rPr>
                <w:rFonts w:cs="Calibri"/>
                <w:sz w:val="20"/>
                <w:szCs w:val="20"/>
              </w:rPr>
            </w:pPr>
            <w:r w:rsidRPr="000C7268">
              <w:rPr>
                <w:rFonts w:cs="Calibri"/>
                <w:sz w:val="20"/>
                <w:szCs w:val="20"/>
              </w:rPr>
              <w:t>1931</w:t>
            </w:r>
          </w:p>
        </w:tc>
        <w:tc>
          <w:tcPr>
            <w:tcW w:w="896" w:type="dxa"/>
            <w:tcBorders>
              <w:top w:val="single" w:sz="4" w:space="0" w:color="auto"/>
              <w:left w:val="single" w:sz="4" w:space="0" w:color="auto"/>
              <w:bottom w:val="single" w:sz="4" w:space="0" w:color="auto"/>
              <w:right w:val="single" w:sz="4" w:space="0" w:color="auto"/>
            </w:tcBorders>
            <w:vAlign w:val="center"/>
            <w:hideMark/>
          </w:tcPr>
          <w:p w14:paraId="3F4935FD" w14:textId="77777777" w:rsidR="000C7268" w:rsidRPr="000C7268" w:rsidRDefault="000C7268" w:rsidP="00321AE6">
            <w:pPr>
              <w:spacing w:after="0" w:line="240" w:lineRule="auto"/>
              <w:jc w:val="center"/>
              <w:rPr>
                <w:rFonts w:cs="Calibri"/>
                <w:sz w:val="20"/>
                <w:szCs w:val="20"/>
              </w:rPr>
            </w:pPr>
            <w:r w:rsidRPr="000C7268">
              <w:rPr>
                <w:rFonts w:cs="Calibri"/>
                <w:sz w:val="20"/>
                <w:szCs w:val="20"/>
              </w:rPr>
              <w:t>7038</w:t>
            </w:r>
          </w:p>
        </w:tc>
        <w:tc>
          <w:tcPr>
            <w:tcW w:w="896" w:type="dxa"/>
            <w:tcBorders>
              <w:top w:val="single" w:sz="4" w:space="0" w:color="auto"/>
              <w:left w:val="single" w:sz="4" w:space="0" w:color="auto"/>
              <w:bottom w:val="single" w:sz="4" w:space="0" w:color="auto"/>
              <w:right w:val="single" w:sz="4" w:space="0" w:color="auto"/>
            </w:tcBorders>
            <w:vAlign w:val="center"/>
            <w:hideMark/>
          </w:tcPr>
          <w:p w14:paraId="76A90F16" w14:textId="77777777" w:rsidR="000C7268" w:rsidRPr="000C7268" w:rsidRDefault="000C7268" w:rsidP="00321AE6">
            <w:pPr>
              <w:spacing w:after="0" w:line="240" w:lineRule="auto"/>
              <w:jc w:val="center"/>
              <w:rPr>
                <w:rFonts w:cs="Calibri"/>
                <w:sz w:val="20"/>
                <w:szCs w:val="20"/>
              </w:rPr>
            </w:pPr>
            <w:r w:rsidRPr="000C7268">
              <w:rPr>
                <w:rFonts w:cs="Calibri"/>
                <w:sz w:val="20"/>
                <w:szCs w:val="20"/>
              </w:rPr>
              <w:t>5137</w:t>
            </w:r>
          </w:p>
        </w:tc>
        <w:tc>
          <w:tcPr>
            <w:tcW w:w="896" w:type="dxa"/>
            <w:tcBorders>
              <w:top w:val="single" w:sz="4" w:space="0" w:color="auto"/>
              <w:left w:val="single" w:sz="4" w:space="0" w:color="auto"/>
              <w:bottom w:val="single" w:sz="4" w:space="0" w:color="auto"/>
              <w:right w:val="single" w:sz="4" w:space="0" w:color="auto"/>
            </w:tcBorders>
            <w:vAlign w:val="center"/>
            <w:hideMark/>
          </w:tcPr>
          <w:p w14:paraId="4EB4B993" w14:textId="77777777" w:rsidR="000C7268" w:rsidRPr="000C7268" w:rsidRDefault="000C7268" w:rsidP="00321AE6">
            <w:pPr>
              <w:spacing w:after="0" w:line="240" w:lineRule="auto"/>
              <w:jc w:val="center"/>
              <w:rPr>
                <w:rFonts w:cs="Calibri"/>
                <w:sz w:val="20"/>
                <w:szCs w:val="20"/>
              </w:rPr>
            </w:pPr>
            <w:r w:rsidRPr="000C7268">
              <w:rPr>
                <w:rFonts w:cs="Calibri"/>
                <w:sz w:val="20"/>
                <w:szCs w:val="20"/>
              </w:rPr>
              <w:t>5668</w:t>
            </w:r>
          </w:p>
        </w:tc>
        <w:tc>
          <w:tcPr>
            <w:tcW w:w="942" w:type="dxa"/>
            <w:tcBorders>
              <w:top w:val="single" w:sz="4" w:space="0" w:color="auto"/>
              <w:left w:val="single" w:sz="4" w:space="0" w:color="auto"/>
              <w:bottom w:val="single" w:sz="4" w:space="0" w:color="auto"/>
              <w:right w:val="single" w:sz="4" w:space="0" w:color="auto"/>
            </w:tcBorders>
            <w:vAlign w:val="center"/>
            <w:hideMark/>
          </w:tcPr>
          <w:p w14:paraId="06401C8A" w14:textId="77777777" w:rsidR="000C7268" w:rsidRPr="000C7268" w:rsidRDefault="000C7268" w:rsidP="00321AE6">
            <w:pPr>
              <w:spacing w:after="0" w:line="240" w:lineRule="auto"/>
              <w:jc w:val="center"/>
              <w:rPr>
                <w:rFonts w:cs="Calibri"/>
                <w:sz w:val="20"/>
                <w:szCs w:val="20"/>
              </w:rPr>
            </w:pPr>
            <w:r w:rsidRPr="000C7268">
              <w:rPr>
                <w:rFonts w:cs="Calibri"/>
                <w:sz w:val="20"/>
                <w:szCs w:val="20"/>
              </w:rPr>
              <w:t>5430</w:t>
            </w:r>
          </w:p>
        </w:tc>
      </w:tr>
      <w:tr w:rsidR="000C7268" w14:paraId="2B267870" w14:textId="77777777" w:rsidTr="000C7268">
        <w:trPr>
          <w:jc w:val="center"/>
        </w:trPr>
        <w:tc>
          <w:tcPr>
            <w:tcW w:w="4219" w:type="dxa"/>
            <w:tcBorders>
              <w:top w:val="single" w:sz="4" w:space="0" w:color="auto"/>
              <w:left w:val="single" w:sz="4" w:space="0" w:color="auto"/>
              <w:bottom w:val="single" w:sz="4" w:space="0" w:color="auto"/>
              <w:right w:val="single" w:sz="4" w:space="0" w:color="auto"/>
            </w:tcBorders>
            <w:hideMark/>
          </w:tcPr>
          <w:p w14:paraId="0BEE885F" w14:textId="77777777" w:rsidR="000C7268" w:rsidRPr="000C7268" w:rsidRDefault="000C7268" w:rsidP="00321AE6">
            <w:pPr>
              <w:spacing w:before="120" w:after="120" w:line="240" w:lineRule="auto"/>
              <w:ind w:left="142"/>
              <w:jc w:val="both"/>
              <w:rPr>
                <w:rFonts w:cs="Calibri"/>
                <w:sz w:val="20"/>
                <w:szCs w:val="20"/>
              </w:rPr>
            </w:pPr>
            <w:r w:rsidRPr="000C7268">
              <w:rPr>
                <w:rFonts w:cs="Calibri"/>
                <w:sz w:val="20"/>
                <w:szCs w:val="20"/>
              </w:rPr>
              <w:t>w transporcie drogowym</w:t>
            </w:r>
          </w:p>
        </w:tc>
        <w:tc>
          <w:tcPr>
            <w:tcW w:w="897" w:type="dxa"/>
            <w:tcBorders>
              <w:top w:val="single" w:sz="4" w:space="0" w:color="auto"/>
              <w:left w:val="single" w:sz="4" w:space="0" w:color="auto"/>
              <w:bottom w:val="single" w:sz="4" w:space="0" w:color="auto"/>
              <w:right w:val="single" w:sz="4" w:space="0" w:color="auto"/>
            </w:tcBorders>
            <w:vAlign w:val="center"/>
            <w:hideMark/>
          </w:tcPr>
          <w:p w14:paraId="58F26BD8" w14:textId="77777777" w:rsidR="000C7268" w:rsidRPr="000C7268" w:rsidRDefault="000C7268" w:rsidP="00321AE6">
            <w:pPr>
              <w:spacing w:after="0" w:line="240" w:lineRule="auto"/>
              <w:jc w:val="center"/>
              <w:rPr>
                <w:rFonts w:cs="Calibri"/>
                <w:sz w:val="20"/>
                <w:szCs w:val="20"/>
              </w:rPr>
            </w:pPr>
            <w:r w:rsidRPr="000C7268">
              <w:rPr>
                <w:rFonts w:cs="Calibri"/>
                <w:sz w:val="20"/>
                <w:szCs w:val="20"/>
              </w:rPr>
              <w:t>50513</w:t>
            </w:r>
          </w:p>
        </w:tc>
        <w:tc>
          <w:tcPr>
            <w:tcW w:w="896" w:type="dxa"/>
            <w:tcBorders>
              <w:top w:val="single" w:sz="4" w:space="0" w:color="auto"/>
              <w:left w:val="single" w:sz="4" w:space="0" w:color="auto"/>
              <w:bottom w:val="single" w:sz="4" w:space="0" w:color="auto"/>
              <w:right w:val="single" w:sz="4" w:space="0" w:color="auto"/>
            </w:tcBorders>
            <w:vAlign w:val="center"/>
            <w:hideMark/>
          </w:tcPr>
          <w:p w14:paraId="6720144F" w14:textId="77777777" w:rsidR="000C7268" w:rsidRPr="000C7268" w:rsidRDefault="000C7268" w:rsidP="00321AE6">
            <w:pPr>
              <w:spacing w:after="0" w:line="240" w:lineRule="auto"/>
              <w:jc w:val="center"/>
              <w:rPr>
                <w:rFonts w:cs="Calibri"/>
                <w:sz w:val="20"/>
                <w:szCs w:val="20"/>
              </w:rPr>
            </w:pPr>
            <w:r w:rsidRPr="000C7268">
              <w:rPr>
                <w:rFonts w:cs="Calibri"/>
                <w:sz w:val="20"/>
                <w:szCs w:val="20"/>
              </w:rPr>
              <w:t>51991</w:t>
            </w:r>
          </w:p>
        </w:tc>
        <w:tc>
          <w:tcPr>
            <w:tcW w:w="896" w:type="dxa"/>
            <w:tcBorders>
              <w:top w:val="single" w:sz="4" w:space="0" w:color="auto"/>
              <w:left w:val="single" w:sz="4" w:space="0" w:color="auto"/>
              <w:bottom w:val="single" w:sz="4" w:space="0" w:color="auto"/>
              <w:right w:val="single" w:sz="4" w:space="0" w:color="auto"/>
            </w:tcBorders>
            <w:vAlign w:val="center"/>
            <w:hideMark/>
          </w:tcPr>
          <w:p w14:paraId="54B8088B" w14:textId="77777777" w:rsidR="000C7268" w:rsidRPr="000C7268" w:rsidRDefault="000C7268" w:rsidP="00321AE6">
            <w:pPr>
              <w:spacing w:after="0" w:line="240" w:lineRule="auto"/>
              <w:jc w:val="center"/>
              <w:rPr>
                <w:rFonts w:cs="Calibri"/>
                <w:sz w:val="20"/>
                <w:szCs w:val="20"/>
              </w:rPr>
            </w:pPr>
            <w:r w:rsidRPr="000C7268">
              <w:rPr>
                <w:rFonts w:cs="Calibri"/>
                <w:sz w:val="20"/>
                <w:szCs w:val="20"/>
              </w:rPr>
              <w:t>61635</w:t>
            </w:r>
          </w:p>
        </w:tc>
        <w:tc>
          <w:tcPr>
            <w:tcW w:w="896" w:type="dxa"/>
            <w:tcBorders>
              <w:top w:val="single" w:sz="4" w:space="0" w:color="auto"/>
              <w:left w:val="single" w:sz="4" w:space="0" w:color="auto"/>
              <w:bottom w:val="single" w:sz="4" w:space="0" w:color="auto"/>
              <w:right w:val="single" w:sz="4" w:space="0" w:color="auto"/>
            </w:tcBorders>
            <w:vAlign w:val="center"/>
            <w:hideMark/>
          </w:tcPr>
          <w:p w14:paraId="332CA147" w14:textId="77777777" w:rsidR="000C7268" w:rsidRPr="000C7268" w:rsidRDefault="000C7268" w:rsidP="00321AE6">
            <w:pPr>
              <w:spacing w:after="0" w:line="240" w:lineRule="auto"/>
              <w:jc w:val="center"/>
              <w:rPr>
                <w:rFonts w:cs="Calibri"/>
                <w:sz w:val="20"/>
                <w:szCs w:val="20"/>
              </w:rPr>
            </w:pPr>
            <w:r w:rsidRPr="000C7268">
              <w:rPr>
                <w:rFonts w:cs="Calibri"/>
                <w:sz w:val="20"/>
                <w:szCs w:val="20"/>
              </w:rPr>
              <w:t>67894</w:t>
            </w:r>
          </w:p>
        </w:tc>
        <w:tc>
          <w:tcPr>
            <w:tcW w:w="942" w:type="dxa"/>
            <w:tcBorders>
              <w:top w:val="single" w:sz="4" w:space="0" w:color="auto"/>
              <w:left w:val="single" w:sz="4" w:space="0" w:color="auto"/>
              <w:bottom w:val="single" w:sz="4" w:space="0" w:color="auto"/>
              <w:right w:val="single" w:sz="4" w:space="0" w:color="auto"/>
            </w:tcBorders>
            <w:vAlign w:val="center"/>
            <w:hideMark/>
          </w:tcPr>
          <w:p w14:paraId="5233E008" w14:textId="77777777" w:rsidR="000C7268" w:rsidRPr="000C7268" w:rsidRDefault="000C7268" w:rsidP="00321AE6">
            <w:pPr>
              <w:spacing w:after="0" w:line="240" w:lineRule="auto"/>
              <w:jc w:val="center"/>
              <w:rPr>
                <w:rFonts w:cs="Calibri"/>
                <w:sz w:val="20"/>
                <w:szCs w:val="20"/>
              </w:rPr>
            </w:pPr>
            <w:r w:rsidRPr="000C7268">
              <w:rPr>
                <w:rFonts w:cs="Calibri"/>
                <w:sz w:val="20"/>
                <w:szCs w:val="20"/>
              </w:rPr>
              <w:t>70567</w:t>
            </w:r>
          </w:p>
        </w:tc>
      </w:tr>
      <w:tr w:rsidR="000C7268" w14:paraId="7A544198" w14:textId="77777777" w:rsidTr="000C7268">
        <w:trPr>
          <w:jc w:val="center"/>
        </w:trPr>
        <w:tc>
          <w:tcPr>
            <w:tcW w:w="4219" w:type="dxa"/>
            <w:tcBorders>
              <w:top w:val="single" w:sz="4" w:space="0" w:color="auto"/>
              <w:left w:val="single" w:sz="4" w:space="0" w:color="auto"/>
              <w:bottom w:val="single" w:sz="4" w:space="0" w:color="auto"/>
              <w:right w:val="single" w:sz="4" w:space="0" w:color="auto"/>
            </w:tcBorders>
            <w:hideMark/>
          </w:tcPr>
          <w:p w14:paraId="7DE718E1" w14:textId="77777777" w:rsidR="000C7268" w:rsidRPr="000C7268" w:rsidRDefault="000C7268" w:rsidP="00321AE6">
            <w:pPr>
              <w:spacing w:before="120" w:after="120" w:line="240" w:lineRule="auto"/>
              <w:ind w:left="142"/>
              <w:jc w:val="both"/>
              <w:rPr>
                <w:rFonts w:cs="Calibri"/>
                <w:sz w:val="20"/>
                <w:szCs w:val="20"/>
              </w:rPr>
            </w:pPr>
            <w:r w:rsidRPr="000C7268">
              <w:rPr>
                <w:rFonts w:cs="Calibri"/>
                <w:sz w:val="20"/>
                <w:szCs w:val="20"/>
              </w:rPr>
              <w:t>w transporcie kolejowym</w:t>
            </w:r>
          </w:p>
        </w:tc>
        <w:tc>
          <w:tcPr>
            <w:tcW w:w="897" w:type="dxa"/>
            <w:tcBorders>
              <w:top w:val="single" w:sz="4" w:space="0" w:color="auto"/>
              <w:left w:val="single" w:sz="4" w:space="0" w:color="auto"/>
              <w:bottom w:val="single" w:sz="4" w:space="0" w:color="auto"/>
              <w:right w:val="single" w:sz="4" w:space="0" w:color="auto"/>
            </w:tcBorders>
            <w:vAlign w:val="center"/>
            <w:hideMark/>
          </w:tcPr>
          <w:p w14:paraId="25B278C9" w14:textId="77777777" w:rsidR="000C7268" w:rsidRPr="000C7268" w:rsidRDefault="000C7268" w:rsidP="00321AE6">
            <w:pPr>
              <w:spacing w:after="0" w:line="240" w:lineRule="auto"/>
              <w:jc w:val="center"/>
              <w:rPr>
                <w:rFonts w:cs="Calibri"/>
                <w:sz w:val="20"/>
                <w:szCs w:val="20"/>
              </w:rPr>
            </w:pPr>
            <w:r w:rsidRPr="000C7268">
              <w:rPr>
                <w:rFonts w:cs="Calibri"/>
                <w:sz w:val="20"/>
                <w:szCs w:val="20"/>
              </w:rPr>
              <w:t>303</w:t>
            </w:r>
          </w:p>
        </w:tc>
        <w:tc>
          <w:tcPr>
            <w:tcW w:w="896" w:type="dxa"/>
            <w:tcBorders>
              <w:top w:val="single" w:sz="4" w:space="0" w:color="auto"/>
              <w:left w:val="single" w:sz="4" w:space="0" w:color="auto"/>
              <w:bottom w:val="single" w:sz="4" w:space="0" w:color="auto"/>
              <w:right w:val="single" w:sz="4" w:space="0" w:color="auto"/>
            </w:tcBorders>
            <w:vAlign w:val="center"/>
            <w:hideMark/>
          </w:tcPr>
          <w:p w14:paraId="4AD07309" w14:textId="77777777" w:rsidR="000C7268" w:rsidRPr="000C7268" w:rsidRDefault="000C7268" w:rsidP="00321AE6">
            <w:pPr>
              <w:spacing w:after="0" w:line="240" w:lineRule="auto"/>
              <w:jc w:val="center"/>
              <w:rPr>
                <w:rFonts w:cs="Calibri"/>
                <w:sz w:val="20"/>
                <w:szCs w:val="20"/>
              </w:rPr>
            </w:pPr>
            <w:r w:rsidRPr="000C7268">
              <w:rPr>
                <w:rFonts w:cs="Calibri"/>
                <w:sz w:val="20"/>
                <w:szCs w:val="20"/>
              </w:rPr>
              <w:t>308</w:t>
            </w:r>
          </w:p>
        </w:tc>
        <w:tc>
          <w:tcPr>
            <w:tcW w:w="896" w:type="dxa"/>
            <w:tcBorders>
              <w:top w:val="single" w:sz="4" w:space="0" w:color="auto"/>
              <w:left w:val="single" w:sz="4" w:space="0" w:color="auto"/>
              <w:bottom w:val="single" w:sz="4" w:space="0" w:color="auto"/>
              <w:right w:val="single" w:sz="4" w:space="0" w:color="auto"/>
            </w:tcBorders>
            <w:vAlign w:val="center"/>
            <w:hideMark/>
          </w:tcPr>
          <w:p w14:paraId="39DA0D11" w14:textId="77777777" w:rsidR="000C7268" w:rsidRPr="000C7268" w:rsidRDefault="000C7268" w:rsidP="00321AE6">
            <w:pPr>
              <w:spacing w:after="0" w:line="240" w:lineRule="auto"/>
              <w:jc w:val="center"/>
              <w:rPr>
                <w:rFonts w:cs="Calibri"/>
                <w:sz w:val="20"/>
                <w:szCs w:val="20"/>
              </w:rPr>
            </w:pPr>
            <w:r w:rsidRPr="000C7268">
              <w:rPr>
                <w:rFonts w:cs="Calibri"/>
                <w:sz w:val="20"/>
                <w:szCs w:val="20"/>
              </w:rPr>
              <w:t>383</w:t>
            </w:r>
          </w:p>
        </w:tc>
        <w:tc>
          <w:tcPr>
            <w:tcW w:w="896" w:type="dxa"/>
            <w:tcBorders>
              <w:top w:val="single" w:sz="4" w:space="0" w:color="auto"/>
              <w:left w:val="single" w:sz="4" w:space="0" w:color="auto"/>
              <w:bottom w:val="single" w:sz="4" w:space="0" w:color="auto"/>
              <w:right w:val="single" w:sz="4" w:space="0" w:color="auto"/>
            </w:tcBorders>
            <w:vAlign w:val="center"/>
            <w:hideMark/>
          </w:tcPr>
          <w:p w14:paraId="7D34151F" w14:textId="77777777" w:rsidR="000C7268" w:rsidRPr="000C7268" w:rsidRDefault="000C7268" w:rsidP="00321AE6">
            <w:pPr>
              <w:spacing w:after="0" w:line="240" w:lineRule="auto"/>
              <w:jc w:val="center"/>
              <w:rPr>
                <w:rFonts w:cs="Calibri"/>
                <w:sz w:val="20"/>
                <w:szCs w:val="20"/>
              </w:rPr>
            </w:pPr>
            <w:r w:rsidRPr="000C7268">
              <w:rPr>
                <w:rFonts w:cs="Calibri"/>
                <w:sz w:val="20"/>
                <w:szCs w:val="20"/>
              </w:rPr>
              <w:t>441</w:t>
            </w:r>
          </w:p>
        </w:tc>
        <w:tc>
          <w:tcPr>
            <w:tcW w:w="942" w:type="dxa"/>
            <w:tcBorders>
              <w:top w:val="single" w:sz="4" w:space="0" w:color="auto"/>
              <w:left w:val="single" w:sz="4" w:space="0" w:color="auto"/>
              <w:bottom w:val="single" w:sz="4" w:space="0" w:color="auto"/>
              <w:right w:val="single" w:sz="4" w:space="0" w:color="auto"/>
            </w:tcBorders>
            <w:vAlign w:val="center"/>
            <w:hideMark/>
          </w:tcPr>
          <w:p w14:paraId="521B3F32" w14:textId="77777777" w:rsidR="000C7268" w:rsidRPr="000C7268" w:rsidRDefault="000C7268" w:rsidP="00321AE6">
            <w:pPr>
              <w:spacing w:after="0" w:line="240" w:lineRule="auto"/>
              <w:jc w:val="center"/>
              <w:rPr>
                <w:rFonts w:cs="Calibri"/>
                <w:sz w:val="20"/>
                <w:szCs w:val="20"/>
              </w:rPr>
            </w:pPr>
            <w:r w:rsidRPr="000C7268">
              <w:rPr>
                <w:rFonts w:cs="Calibri"/>
                <w:sz w:val="20"/>
                <w:szCs w:val="20"/>
              </w:rPr>
              <w:t>474</w:t>
            </w:r>
          </w:p>
        </w:tc>
      </w:tr>
      <w:tr w:rsidR="000C7268" w14:paraId="68BE4A88" w14:textId="77777777" w:rsidTr="000C7268">
        <w:trPr>
          <w:jc w:val="center"/>
        </w:trPr>
        <w:tc>
          <w:tcPr>
            <w:tcW w:w="4219" w:type="dxa"/>
            <w:tcBorders>
              <w:top w:val="single" w:sz="4" w:space="0" w:color="auto"/>
              <w:left w:val="single" w:sz="4" w:space="0" w:color="auto"/>
              <w:bottom w:val="single" w:sz="4" w:space="0" w:color="auto"/>
              <w:right w:val="single" w:sz="4" w:space="0" w:color="auto"/>
            </w:tcBorders>
            <w:hideMark/>
          </w:tcPr>
          <w:p w14:paraId="0D655BA8" w14:textId="77777777" w:rsidR="000C7268" w:rsidRPr="000C7268" w:rsidRDefault="000C7268" w:rsidP="00321AE6">
            <w:pPr>
              <w:spacing w:before="120" w:after="120" w:line="240" w:lineRule="auto"/>
              <w:ind w:left="142"/>
              <w:jc w:val="both"/>
              <w:rPr>
                <w:rFonts w:cs="Calibri"/>
                <w:sz w:val="20"/>
                <w:szCs w:val="20"/>
              </w:rPr>
            </w:pPr>
            <w:r w:rsidRPr="000C7268">
              <w:rPr>
                <w:rFonts w:cs="Calibri"/>
                <w:sz w:val="20"/>
                <w:szCs w:val="20"/>
              </w:rPr>
              <w:t>w transporcie lotniczym</w:t>
            </w:r>
          </w:p>
        </w:tc>
        <w:tc>
          <w:tcPr>
            <w:tcW w:w="897" w:type="dxa"/>
            <w:tcBorders>
              <w:top w:val="single" w:sz="4" w:space="0" w:color="auto"/>
              <w:left w:val="single" w:sz="4" w:space="0" w:color="auto"/>
              <w:bottom w:val="single" w:sz="4" w:space="0" w:color="auto"/>
              <w:right w:val="single" w:sz="4" w:space="0" w:color="auto"/>
            </w:tcBorders>
            <w:vAlign w:val="center"/>
            <w:hideMark/>
          </w:tcPr>
          <w:p w14:paraId="047A0431" w14:textId="77777777" w:rsidR="000C7268" w:rsidRPr="000C7268" w:rsidRDefault="000C7268" w:rsidP="00321AE6">
            <w:pPr>
              <w:spacing w:after="0" w:line="240" w:lineRule="auto"/>
              <w:jc w:val="center"/>
              <w:rPr>
                <w:rFonts w:cs="Calibri"/>
                <w:sz w:val="20"/>
                <w:szCs w:val="20"/>
              </w:rPr>
            </w:pPr>
            <w:r w:rsidRPr="000C7268">
              <w:rPr>
                <w:rFonts w:cs="Calibri"/>
                <w:sz w:val="20"/>
                <w:szCs w:val="20"/>
              </w:rPr>
              <w:t>95</w:t>
            </w:r>
          </w:p>
        </w:tc>
        <w:tc>
          <w:tcPr>
            <w:tcW w:w="896" w:type="dxa"/>
            <w:tcBorders>
              <w:top w:val="single" w:sz="4" w:space="0" w:color="auto"/>
              <w:left w:val="single" w:sz="4" w:space="0" w:color="auto"/>
              <w:bottom w:val="single" w:sz="4" w:space="0" w:color="auto"/>
              <w:right w:val="single" w:sz="4" w:space="0" w:color="auto"/>
            </w:tcBorders>
            <w:vAlign w:val="center"/>
            <w:hideMark/>
          </w:tcPr>
          <w:p w14:paraId="57FF7C34" w14:textId="77777777" w:rsidR="000C7268" w:rsidRPr="000C7268" w:rsidRDefault="000C7268" w:rsidP="00321AE6">
            <w:pPr>
              <w:spacing w:after="0" w:line="240" w:lineRule="auto"/>
              <w:jc w:val="center"/>
              <w:rPr>
                <w:rFonts w:cs="Calibri"/>
                <w:sz w:val="20"/>
                <w:szCs w:val="20"/>
              </w:rPr>
            </w:pPr>
            <w:r w:rsidRPr="000C7268">
              <w:rPr>
                <w:rFonts w:cs="Calibri"/>
                <w:sz w:val="20"/>
                <w:szCs w:val="20"/>
              </w:rPr>
              <w:t>107</w:t>
            </w:r>
          </w:p>
        </w:tc>
        <w:tc>
          <w:tcPr>
            <w:tcW w:w="896" w:type="dxa"/>
            <w:tcBorders>
              <w:top w:val="single" w:sz="4" w:space="0" w:color="auto"/>
              <w:left w:val="single" w:sz="4" w:space="0" w:color="auto"/>
              <w:bottom w:val="single" w:sz="4" w:space="0" w:color="auto"/>
              <w:right w:val="single" w:sz="4" w:space="0" w:color="auto"/>
            </w:tcBorders>
            <w:vAlign w:val="center"/>
            <w:hideMark/>
          </w:tcPr>
          <w:p w14:paraId="7F4CBDC3" w14:textId="77777777" w:rsidR="000C7268" w:rsidRPr="000C7268" w:rsidRDefault="000C7268" w:rsidP="00321AE6">
            <w:pPr>
              <w:spacing w:after="0" w:line="240" w:lineRule="auto"/>
              <w:jc w:val="center"/>
              <w:rPr>
                <w:rFonts w:cs="Calibri"/>
                <w:sz w:val="20"/>
                <w:szCs w:val="20"/>
              </w:rPr>
            </w:pPr>
            <w:r w:rsidRPr="000C7268">
              <w:rPr>
                <w:rFonts w:cs="Calibri"/>
                <w:sz w:val="20"/>
                <w:szCs w:val="20"/>
              </w:rPr>
              <w:t>126</w:t>
            </w:r>
          </w:p>
        </w:tc>
        <w:tc>
          <w:tcPr>
            <w:tcW w:w="896" w:type="dxa"/>
            <w:tcBorders>
              <w:top w:val="single" w:sz="4" w:space="0" w:color="auto"/>
              <w:left w:val="single" w:sz="4" w:space="0" w:color="auto"/>
              <w:bottom w:val="single" w:sz="4" w:space="0" w:color="auto"/>
              <w:right w:val="single" w:sz="4" w:space="0" w:color="auto"/>
            </w:tcBorders>
            <w:vAlign w:val="center"/>
            <w:hideMark/>
          </w:tcPr>
          <w:p w14:paraId="3E18F11A" w14:textId="77777777" w:rsidR="000C7268" w:rsidRPr="000C7268" w:rsidRDefault="000C7268" w:rsidP="00321AE6">
            <w:pPr>
              <w:spacing w:after="0" w:line="240" w:lineRule="auto"/>
              <w:jc w:val="center"/>
              <w:rPr>
                <w:rFonts w:cs="Calibri"/>
                <w:sz w:val="20"/>
                <w:szCs w:val="20"/>
              </w:rPr>
            </w:pPr>
            <w:r w:rsidRPr="000C7268">
              <w:rPr>
                <w:rFonts w:cs="Calibri"/>
                <w:sz w:val="20"/>
                <w:szCs w:val="20"/>
              </w:rPr>
              <w:t>70</w:t>
            </w:r>
          </w:p>
        </w:tc>
        <w:tc>
          <w:tcPr>
            <w:tcW w:w="942" w:type="dxa"/>
            <w:tcBorders>
              <w:top w:val="single" w:sz="4" w:space="0" w:color="auto"/>
              <w:left w:val="single" w:sz="4" w:space="0" w:color="auto"/>
              <w:bottom w:val="single" w:sz="4" w:space="0" w:color="auto"/>
              <w:right w:val="single" w:sz="4" w:space="0" w:color="auto"/>
            </w:tcBorders>
            <w:vAlign w:val="center"/>
            <w:hideMark/>
          </w:tcPr>
          <w:p w14:paraId="5DE657AC" w14:textId="77777777" w:rsidR="000C7268" w:rsidRPr="000C7268" w:rsidRDefault="000C7268" w:rsidP="00321AE6">
            <w:pPr>
              <w:spacing w:after="0" w:line="240" w:lineRule="auto"/>
              <w:jc w:val="center"/>
              <w:rPr>
                <w:rFonts w:cs="Calibri"/>
                <w:sz w:val="20"/>
                <w:szCs w:val="20"/>
              </w:rPr>
            </w:pPr>
            <w:r w:rsidRPr="000C7268">
              <w:rPr>
                <w:rFonts w:cs="Calibri"/>
                <w:sz w:val="20"/>
                <w:szCs w:val="20"/>
              </w:rPr>
              <w:t>102</w:t>
            </w:r>
          </w:p>
        </w:tc>
      </w:tr>
      <w:tr w:rsidR="000C7268" w14:paraId="1FC7C79B" w14:textId="77777777" w:rsidTr="000C7268">
        <w:trPr>
          <w:jc w:val="center"/>
        </w:trPr>
        <w:tc>
          <w:tcPr>
            <w:tcW w:w="4219" w:type="dxa"/>
            <w:tcBorders>
              <w:top w:val="single" w:sz="4" w:space="0" w:color="auto"/>
              <w:left w:val="single" w:sz="4" w:space="0" w:color="auto"/>
              <w:bottom w:val="single" w:sz="4" w:space="0" w:color="auto"/>
              <w:right w:val="single" w:sz="4" w:space="0" w:color="auto"/>
            </w:tcBorders>
            <w:hideMark/>
          </w:tcPr>
          <w:p w14:paraId="673E3692" w14:textId="77777777" w:rsidR="000C7268" w:rsidRPr="000C7268" w:rsidRDefault="000C7268" w:rsidP="00321AE6">
            <w:pPr>
              <w:spacing w:before="120" w:after="120" w:line="240" w:lineRule="auto"/>
              <w:ind w:left="142"/>
              <w:jc w:val="both"/>
              <w:rPr>
                <w:rFonts w:cs="Calibri"/>
                <w:sz w:val="20"/>
                <w:szCs w:val="20"/>
              </w:rPr>
            </w:pPr>
            <w:r w:rsidRPr="000C7268">
              <w:rPr>
                <w:rFonts w:cs="Calibri"/>
                <w:sz w:val="20"/>
                <w:szCs w:val="20"/>
              </w:rPr>
              <w:t>wodne</w:t>
            </w:r>
          </w:p>
        </w:tc>
        <w:tc>
          <w:tcPr>
            <w:tcW w:w="897" w:type="dxa"/>
            <w:tcBorders>
              <w:top w:val="single" w:sz="4" w:space="0" w:color="auto"/>
              <w:left w:val="single" w:sz="4" w:space="0" w:color="auto"/>
              <w:bottom w:val="single" w:sz="4" w:space="0" w:color="auto"/>
              <w:right w:val="single" w:sz="4" w:space="0" w:color="auto"/>
            </w:tcBorders>
            <w:vAlign w:val="center"/>
            <w:hideMark/>
          </w:tcPr>
          <w:p w14:paraId="58C05FD8" w14:textId="77777777" w:rsidR="000C7268" w:rsidRPr="000C7268" w:rsidRDefault="000C7268" w:rsidP="00321AE6">
            <w:pPr>
              <w:spacing w:after="0" w:line="240" w:lineRule="auto"/>
              <w:jc w:val="center"/>
              <w:rPr>
                <w:rFonts w:cs="Calibri"/>
                <w:sz w:val="20"/>
                <w:szCs w:val="20"/>
              </w:rPr>
            </w:pPr>
            <w:r w:rsidRPr="000C7268">
              <w:rPr>
                <w:rFonts w:cs="Calibri"/>
                <w:sz w:val="20"/>
                <w:szCs w:val="20"/>
              </w:rPr>
              <w:t>4604</w:t>
            </w:r>
          </w:p>
        </w:tc>
        <w:tc>
          <w:tcPr>
            <w:tcW w:w="896" w:type="dxa"/>
            <w:tcBorders>
              <w:top w:val="single" w:sz="4" w:space="0" w:color="auto"/>
              <w:left w:val="single" w:sz="4" w:space="0" w:color="auto"/>
              <w:bottom w:val="single" w:sz="4" w:space="0" w:color="auto"/>
              <w:right w:val="single" w:sz="4" w:space="0" w:color="auto"/>
            </w:tcBorders>
            <w:vAlign w:val="center"/>
            <w:hideMark/>
          </w:tcPr>
          <w:p w14:paraId="6729D561" w14:textId="77777777" w:rsidR="000C7268" w:rsidRPr="000C7268" w:rsidRDefault="000C7268" w:rsidP="00321AE6">
            <w:pPr>
              <w:spacing w:after="0" w:line="240" w:lineRule="auto"/>
              <w:jc w:val="center"/>
              <w:rPr>
                <w:rFonts w:cs="Calibri"/>
                <w:sz w:val="20"/>
                <w:szCs w:val="20"/>
              </w:rPr>
            </w:pPr>
            <w:r w:rsidRPr="000C7268">
              <w:rPr>
                <w:rFonts w:cs="Calibri"/>
                <w:sz w:val="20"/>
                <w:szCs w:val="20"/>
              </w:rPr>
              <w:t>3625</w:t>
            </w:r>
          </w:p>
        </w:tc>
        <w:tc>
          <w:tcPr>
            <w:tcW w:w="896" w:type="dxa"/>
            <w:tcBorders>
              <w:top w:val="single" w:sz="4" w:space="0" w:color="auto"/>
              <w:left w:val="single" w:sz="4" w:space="0" w:color="auto"/>
              <w:bottom w:val="single" w:sz="4" w:space="0" w:color="auto"/>
              <w:right w:val="single" w:sz="4" w:space="0" w:color="auto"/>
            </w:tcBorders>
            <w:vAlign w:val="center"/>
            <w:hideMark/>
          </w:tcPr>
          <w:p w14:paraId="4AEBEA5E" w14:textId="77777777" w:rsidR="000C7268" w:rsidRPr="000C7268" w:rsidRDefault="000C7268" w:rsidP="00321AE6">
            <w:pPr>
              <w:spacing w:after="0" w:line="240" w:lineRule="auto"/>
              <w:jc w:val="center"/>
              <w:rPr>
                <w:rFonts w:cs="Calibri"/>
                <w:sz w:val="20"/>
                <w:szCs w:val="20"/>
              </w:rPr>
            </w:pPr>
            <w:r w:rsidRPr="000C7268">
              <w:rPr>
                <w:rFonts w:cs="Calibri"/>
                <w:sz w:val="20"/>
                <w:szCs w:val="20"/>
              </w:rPr>
              <w:t>4098</w:t>
            </w:r>
          </w:p>
        </w:tc>
        <w:tc>
          <w:tcPr>
            <w:tcW w:w="896" w:type="dxa"/>
            <w:tcBorders>
              <w:top w:val="single" w:sz="4" w:space="0" w:color="auto"/>
              <w:left w:val="single" w:sz="4" w:space="0" w:color="auto"/>
              <w:bottom w:val="single" w:sz="4" w:space="0" w:color="auto"/>
              <w:right w:val="single" w:sz="4" w:space="0" w:color="auto"/>
            </w:tcBorders>
            <w:vAlign w:val="center"/>
            <w:hideMark/>
          </w:tcPr>
          <w:p w14:paraId="578AE2DA" w14:textId="77777777" w:rsidR="000C7268" w:rsidRPr="000C7268" w:rsidRDefault="000C7268" w:rsidP="00321AE6">
            <w:pPr>
              <w:spacing w:after="0" w:line="240" w:lineRule="auto"/>
              <w:jc w:val="center"/>
              <w:rPr>
                <w:rFonts w:cs="Calibri"/>
                <w:sz w:val="20"/>
                <w:szCs w:val="20"/>
              </w:rPr>
            </w:pPr>
            <w:r w:rsidRPr="000C7268">
              <w:rPr>
                <w:rFonts w:cs="Calibri"/>
                <w:sz w:val="20"/>
                <w:szCs w:val="20"/>
              </w:rPr>
              <w:t>4820</w:t>
            </w:r>
          </w:p>
        </w:tc>
        <w:tc>
          <w:tcPr>
            <w:tcW w:w="942" w:type="dxa"/>
            <w:tcBorders>
              <w:top w:val="single" w:sz="4" w:space="0" w:color="auto"/>
              <w:left w:val="single" w:sz="4" w:space="0" w:color="auto"/>
              <w:bottom w:val="single" w:sz="4" w:space="0" w:color="auto"/>
              <w:right w:val="single" w:sz="4" w:space="0" w:color="auto"/>
            </w:tcBorders>
            <w:vAlign w:val="center"/>
            <w:hideMark/>
          </w:tcPr>
          <w:p w14:paraId="062DA2B6" w14:textId="77777777" w:rsidR="000C7268" w:rsidRPr="000C7268" w:rsidRDefault="000C7268" w:rsidP="00321AE6">
            <w:pPr>
              <w:spacing w:after="0" w:line="240" w:lineRule="auto"/>
              <w:jc w:val="center"/>
              <w:rPr>
                <w:rFonts w:cs="Calibri"/>
                <w:sz w:val="20"/>
                <w:szCs w:val="20"/>
              </w:rPr>
            </w:pPr>
            <w:r w:rsidRPr="000C7268">
              <w:rPr>
                <w:rFonts w:cs="Calibri"/>
                <w:sz w:val="20"/>
                <w:szCs w:val="20"/>
              </w:rPr>
              <w:t>4304</w:t>
            </w:r>
          </w:p>
        </w:tc>
      </w:tr>
      <w:tr w:rsidR="000C7268" w14:paraId="59D45D2D" w14:textId="77777777" w:rsidTr="000C7268">
        <w:trPr>
          <w:jc w:val="center"/>
        </w:trPr>
        <w:tc>
          <w:tcPr>
            <w:tcW w:w="4219" w:type="dxa"/>
            <w:tcBorders>
              <w:top w:val="single" w:sz="4" w:space="0" w:color="auto"/>
              <w:left w:val="single" w:sz="4" w:space="0" w:color="auto"/>
              <w:bottom w:val="single" w:sz="4" w:space="0" w:color="auto"/>
              <w:right w:val="single" w:sz="4" w:space="0" w:color="auto"/>
            </w:tcBorders>
            <w:hideMark/>
          </w:tcPr>
          <w:p w14:paraId="4E415495" w14:textId="77777777" w:rsidR="000C7268" w:rsidRPr="000C7268" w:rsidRDefault="000C7268" w:rsidP="00321AE6">
            <w:pPr>
              <w:spacing w:before="120" w:after="120" w:line="240" w:lineRule="auto"/>
              <w:ind w:left="142"/>
              <w:jc w:val="both"/>
              <w:rPr>
                <w:rFonts w:cs="Calibri"/>
                <w:sz w:val="20"/>
                <w:szCs w:val="20"/>
              </w:rPr>
            </w:pPr>
            <w:r w:rsidRPr="000C7268">
              <w:rPr>
                <w:rFonts w:cs="Calibri"/>
                <w:sz w:val="20"/>
                <w:szCs w:val="20"/>
              </w:rPr>
              <w:t>medyczne</w:t>
            </w:r>
          </w:p>
        </w:tc>
        <w:tc>
          <w:tcPr>
            <w:tcW w:w="897" w:type="dxa"/>
            <w:tcBorders>
              <w:top w:val="single" w:sz="4" w:space="0" w:color="auto"/>
              <w:left w:val="single" w:sz="4" w:space="0" w:color="auto"/>
              <w:bottom w:val="single" w:sz="4" w:space="0" w:color="auto"/>
              <w:right w:val="single" w:sz="4" w:space="0" w:color="auto"/>
            </w:tcBorders>
            <w:vAlign w:val="center"/>
            <w:hideMark/>
          </w:tcPr>
          <w:p w14:paraId="3B56B8B6" w14:textId="77777777" w:rsidR="000C7268" w:rsidRPr="000C7268" w:rsidRDefault="000C7268" w:rsidP="00321AE6">
            <w:pPr>
              <w:spacing w:after="0" w:line="240" w:lineRule="auto"/>
              <w:jc w:val="center"/>
              <w:rPr>
                <w:rFonts w:cs="Calibri"/>
                <w:sz w:val="20"/>
                <w:szCs w:val="20"/>
              </w:rPr>
            </w:pPr>
            <w:r w:rsidRPr="000C7268">
              <w:rPr>
                <w:rFonts w:cs="Calibri"/>
                <w:sz w:val="20"/>
                <w:szCs w:val="20"/>
              </w:rPr>
              <w:t>13662</w:t>
            </w:r>
          </w:p>
        </w:tc>
        <w:tc>
          <w:tcPr>
            <w:tcW w:w="896" w:type="dxa"/>
            <w:tcBorders>
              <w:top w:val="single" w:sz="4" w:space="0" w:color="auto"/>
              <w:left w:val="single" w:sz="4" w:space="0" w:color="auto"/>
              <w:bottom w:val="single" w:sz="4" w:space="0" w:color="auto"/>
              <w:right w:val="single" w:sz="4" w:space="0" w:color="auto"/>
            </w:tcBorders>
            <w:vAlign w:val="center"/>
            <w:hideMark/>
          </w:tcPr>
          <w:p w14:paraId="08F8FD21" w14:textId="77777777" w:rsidR="000C7268" w:rsidRPr="000C7268" w:rsidRDefault="000C7268" w:rsidP="00321AE6">
            <w:pPr>
              <w:spacing w:after="0" w:line="240" w:lineRule="auto"/>
              <w:jc w:val="center"/>
              <w:rPr>
                <w:rFonts w:cs="Calibri"/>
                <w:sz w:val="20"/>
                <w:szCs w:val="20"/>
              </w:rPr>
            </w:pPr>
            <w:r w:rsidRPr="000C7268">
              <w:rPr>
                <w:rFonts w:cs="Calibri"/>
                <w:sz w:val="20"/>
                <w:szCs w:val="20"/>
              </w:rPr>
              <w:t>15601</w:t>
            </w:r>
          </w:p>
        </w:tc>
        <w:tc>
          <w:tcPr>
            <w:tcW w:w="896" w:type="dxa"/>
            <w:tcBorders>
              <w:top w:val="single" w:sz="4" w:space="0" w:color="auto"/>
              <w:left w:val="single" w:sz="4" w:space="0" w:color="auto"/>
              <w:bottom w:val="single" w:sz="4" w:space="0" w:color="auto"/>
              <w:right w:val="single" w:sz="4" w:space="0" w:color="auto"/>
            </w:tcBorders>
            <w:vAlign w:val="center"/>
            <w:hideMark/>
          </w:tcPr>
          <w:p w14:paraId="53139AC0" w14:textId="77777777" w:rsidR="000C7268" w:rsidRPr="000C7268" w:rsidRDefault="000C7268" w:rsidP="00321AE6">
            <w:pPr>
              <w:spacing w:after="0" w:line="240" w:lineRule="auto"/>
              <w:jc w:val="center"/>
              <w:rPr>
                <w:rFonts w:cs="Calibri"/>
                <w:sz w:val="20"/>
                <w:szCs w:val="20"/>
              </w:rPr>
            </w:pPr>
            <w:r w:rsidRPr="000C7268">
              <w:rPr>
                <w:rFonts w:cs="Calibri"/>
                <w:sz w:val="20"/>
                <w:szCs w:val="20"/>
              </w:rPr>
              <w:t>19554</w:t>
            </w:r>
          </w:p>
        </w:tc>
        <w:tc>
          <w:tcPr>
            <w:tcW w:w="896" w:type="dxa"/>
            <w:tcBorders>
              <w:top w:val="single" w:sz="4" w:space="0" w:color="auto"/>
              <w:left w:val="single" w:sz="4" w:space="0" w:color="auto"/>
              <w:bottom w:val="single" w:sz="4" w:space="0" w:color="auto"/>
              <w:right w:val="single" w:sz="4" w:space="0" w:color="auto"/>
            </w:tcBorders>
            <w:vAlign w:val="center"/>
            <w:hideMark/>
          </w:tcPr>
          <w:p w14:paraId="3224A7B2" w14:textId="77777777" w:rsidR="000C7268" w:rsidRPr="000C7268" w:rsidRDefault="000C7268" w:rsidP="00321AE6">
            <w:pPr>
              <w:spacing w:after="0" w:line="240" w:lineRule="auto"/>
              <w:jc w:val="center"/>
              <w:rPr>
                <w:rFonts w:cs="Calibri"/>
                <w:sz w:val="20"/>
                <w:szCs w:val="20"/>
              </w:rPr>
            </w:pPr>
            <w:r w:rsidRPr="000C7268">
              <w:rPr>
                <w:rFonts w:cs="Calibri"/>
                <w:sz w:val="20"/>
                <w:szCs w:val="20"/>
              </w:rPr>
              <w:t>27406</w:t>
            </w:r>
          </w:p>
        </w:tc>
        <w:tc>
          <w:tcPr>
            <w:tcW w:w="942" w:type="dxa"/>
            <w:tcBorders>
              <w:top w:val="single" w:sz="4" w:space="0" w:color="auto"/>
              <w:left w:val="single" w:sz="4" w:space="0" w:color="auto"/>
              <w:bottom w:val="single" w:sz="4" w:space="0" w:color="auto"/>
              <w:right w:val="single" w:sz="4" w:space="0" w:color="auto"/>
            </w:tcBorders>
            <w:vAlign w:val="center"/>
            <w:hideMark/>
          </w:tcPr>
          <w:p w14:paraId="43421960" w14:textId="77777777" w:rsidR="000C7268" w:rsidRPr="000C7268" w:rsidRDefault="000C7268" w:rsidP="00321AE6">
            <w:pPr>
              <w:spacing w:after="0" w:line="240" w:lineRule="auto"/>
              <w:jc w:val="center"/>
              <w:rPr>
                <w:rFonts w:cs="Calibri"/>
                <w:sz w:val="20"/>
                <w:szCs w:val="20"/>
              </w:rPr>
            </w:pPr>
            <w:r w:rsidRPr="000C7268">
              <w:rPr>
                <w:rFonts w:cs="Calibri"/>
                <w:sz w:val="20"/>
                <w:szCs w:val="20"/>
              </w:rPr>
              <w:t>32139</w:t>
            </w:r>
          </w:p>
        </w:tc>
      </w:tr>
    </w:tbl>
    <w:p w14:paraId="4307775E" w14:textId="77777777" w:rsidR="000C7268" w:rsidRDefault="000C7268" w:rsidP="000C7268">
      <w:pPr>
        <w:rPr>
          <w:rFonts w:ascii="Calibri" w:hAnsi="Calibri" w:cs="Verdana"/>
        </w:rPr>
      </w:pPr>
    </w:p>
    <w:p w14:paraId="1E183D1A" w14:textId="77777777" w:rsidR="00131F18" w:rsidRDefault="00131F18" w:rsidP="00131F18">
      <w:pPr>
        <w:spacing w:after="0"/>
        <w:jc w:val="center"/>
        <w:rPr>
          <w:rFonts w:cs="Verdana"/>
          <w:b/>
        </w:rPr>
      </w:pPr>
      <w:r>
        <w:rPr>
          <w:rFonts w:cs="Verdana"/>
          <w:b/>
        </w:rPr>
        <w:t>Wykres 9. Ogólna liczba zdarzeń wymagających interwencji jednostek ochrony przeciwpożarowej</w:t>
      </w:r>
    </w:p>
    <w:p w14:paraId="22ECCC30" w14:textId="77777777" w:rsidR="00131F18" w:rsidRPr="0076091C" w:rsidRDefault="00131F18" w:rsidP="00131F18">
      <w:pPr>
        <w:spacing w:after="0"/>
        <w:jc w:val="center"/>
        <w:rPr>
          <w:b/>
        </w:rPr>
      </w:pPr>
      <w:r>
        <w:rPr>
          <w:rFonts w:cs="Verdana"/>
          <w:b/>
        </w:rPr>
        <w:t xml:space="preserve">(z pominięciem fałszywych alarmów) w latach 2014-2018 </w:t>
      </w:r>
    </w:p>
    <w:p w14:paraId="71621AB0" w14:textId="63149C79" w:rsidR="00131F18" w:rsidRDefault="00131F18" w:rsidP="00131F18">
      <w:pPr>
        <w:spacing w:after="0"/>
        <w:jc w:val="center"/>
      </w:pPr>
      <w:r>
        <w:rPr>
          <w:noProof/>
          <w:lang w:eastAsia="pl-PL"/>
        </w:rPr>
        <w:drawing>
          <wp:inline distT="0" distB="0" distL="0" distR="0" wp14:anchorId="71A040DE" wp14:editId="27A7953A">
            <wp:extent cx="3640455" cy="1955800"/>
            <wp:effectExtent l="0" t="0" r="0" b="635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40455" cy="1955800"/>
                    </a:xfrm>
                    <a:prstGeom prst="rect">
                      <a:avLst/>
                    </a:prstGeom>
                    <a:noFill/>
                    <a:ln>
                      <a:noFill/>
                    </a:ln>
                  </pic:spPr>
                </pic:pic>
              </a:graphicData>
            </a:graphic>
          </wp:inline>
        </w:drawing>
      </w:r>
    </w:p>
    <w:p w14:paraId="5BA6B631" w14:textId="77777777" w:rsidR="00131F18" w:rsidRDefault="00131F18" w:rsidP="00131F18">
      <w:pPr>
        <w:spacing w:after="0"/>
        <w:jc w:val="center"/>
      </w:pPr>
    </w:p>
    <w:p w14:paraId="25A85124" w14:textId="47CB125A" w:rsidR="00131F18" w:rsidRDefault="00131F18" w:rsidP="00131F18">
      <w:pPr>
        <w:spacing w:after="0"/>
        <w:jc w:val="center"/>
      </w:pPr>
      <w:r>
        <w:rPr>
          <w:noProof/>
          <w:lang w:eastAsia="pl-PL"/>
        </w:rPr>
        <w:drawing>
          <wp:inline distT="0" distB="0" distL="0" distR="0" wp14:anchorId="2BE57DCF" wp14:editId="421F59F6">
            <wp:extent cx="4597400" cy="2768600"/>
            <wp:effectExtent l="0" t="0" r="12700" b="12700"/>
            <wp:docPr id="30"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53D95AA" w14:textId="77777777" w:rsidR="00131F18" w:rsidRDefault="00131F18" w:rsidP="00131F18">
      <w:pPr>
        <w:spacing w:after="0"/>
        <w:jc w:val="center"/>
        <w:rPr>
          <w:sz w:val="20"/>
        </w:rPr>
      </w:pPr>
      <w:r>
        <w:rPr>
          <w:rFonts w:cs="Verdana"/>
          <w:sz w:val="20"/>
        </w:rPr>
        <w:t>Źródło: KG PSP</w:t>
      </w:r>
    </w:p>
    <w:p w14:paraId="32A8E795" w14:textId="77777777" w:rsidR="000C7268" w:rsidRDefault="000C7268" w:rsidP="000C7268">
      <w:pPr>
        <w:autoSpaceDE w:val="0"/>
        <w:autoSpaceDN w:val="0"/>
        <w:adjustRightInd w:val="0"/>
        <w:spacing w:after="0"/>
        <w:jc w:val="both"/>
        <w:rPr>
          <w:rFonts w:cs="Verdana"/>
          <w:b/>
          <w:bCs/>
        </w:rPr>
      </w:pPr>
    </w:p>
    <w:p w14:paraId="14C917C6" w14:textId="20C94F7A" w:rsidR="000C7268" w:rsidRDefault="000C7268" w:rsidP="000C7268">
      <w:pPr>
        <w:autoSpaceDE w:val="0"/>
        <w:autoSpaceDN w:val="0"/>
        <w:adjustRightInd w:val="0"/>
        <w:spacing w:after="0"/>
        <w:jc w:val="both"/>
        <w:rPr>
          <w:rFonts w:cs="Verdana"/>
        </w:rPr>
      </w:pPr>
      <w:r>
        <w:rPr>
          <w:rFonts w:cs="Verdana"/>
        </w:rPr>
        <w:t xml:space="preserve">Od 2014 roku do 2017 </w:t>
      </w:r>
      <w:r w:rsidR="0072167B">
        <w:rPr>
          <w:rFonts w:cs="Verdana"/>
        </w:rPr>
        <w:t xml:space="preserve">roku </w:t>
      </w:r>
      <w:r>
        <w:rPr>
          <w:rFonts w:cs="Verdana"/>
        </w:rPr>
        <w:t>liczba miejscowych zagrożeń sukcesywnie wzrastała (od wartości ok. 250 tys. do ponad 350 tys. zdarzeń). W roku  2018 liczba ta osiągnęła wartość 311 978. W tym roku najwięcej odnotowanych zagrożeń miejscowych miało związek z transportem drogowym (21,4 % wszystkich zdarzeń), a także z działaniem silnych wiatrów 19,7 % ogółu).</w:t>
      </w:r>
    </w:p>
    <w:p w14:paraId="619926A1" w14:textId="77777777" w:rsidR="007608FB" w:rsidRDefault="007608FB" w:rsidP="000C7268">
      <w:pPr>
        <w:spacing w:after="0"/>
        <w:jc w:val="center"/>
        <w:rPr>
          <w:rFonts w:cs="Verdana"/>
          <w:b/>
          <w:sz w:val="20"/>
        </w:rPr>
      </w:pPr>
    </w:p>
    <w:p w14:paraId="0181A7A4" w14:textId="77777777" w:rsidR="00131F18" w:rsidRDefault="00131F18" w:rsidP="00131F18">
      <w:pPr>
        <w:spacing w:after="0"/>
        <w:jc w:val="center"/>
        <w:rPr>
          <w:rFonts w:cs="Verdana"/>
          <w:b/>
          <w:sz w:val="20"/>
        </w:rPr>
      </w:pPr>
      <w:r>
        <w:rPr>
          <w:rFonts w:cs="Verdana"/>
          <w:b/>
          <w:sz w:val="20"/>
        </w:rPr>
        <w:t>Wykres 10. Zagrożenia miejscowe (według ich rodzaju) w roku  2018</w:t>
      </w:r>
    </w:p>
    <w:p w14:paraId="6608E6E3" w14:textId="7E57ABFA" w:rsidR="00131F18" w:rsidRDefault="00131F18" w:rsidP="00131F18">
      <w:pPr>
        <w:spacing w:after="0"/>
        <w:jc w:val="center"/>
        <w:rPr>
          <w:rFonts w:cs="Verdana"/>
          <w:b/>
          <w:sz w:val="20"/>
        </w:rPr>
      </w:pPr>
      <w:r>
        <w:rPr>
          <w:noProof/>
          <w:lang w:eastAsia="pl-PL"/>
        </w:rPr>
        <w:drawing>
          <wp:inline distT="0" distB="0" distL="0" distR="0" wp14:anchorId="7576CA00" wp14:editId="21596A81">
            <wp:extent cx="4597400" cy="2768600"/>
            <wp:effectExtent l="0" t="0" r="12700" b="12700"/>
            <wp:docPr id="29" name="Wykres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E8E8806" w14:textId="288029E5" w:rsidR="00131F18" w:rsidRDefault="00131F18" w:rsidP="00131F18">
      <w:pPr>
        <w:spacing w:after="0"/>
        <w:jc w:val="center"/>
        <w:rPr>
          <w:rFonts w:cs="Verdana"/>
        </w:rPr>
      </w:pPr>
      <w:r>
        <w:rPr>
          <w:rFonts w:cs="Verdana"/>
          <w:noProof/>
          <w:lang w:eastAsia="pl-PL"/>
        </w:rPr>
        <w:drawing>
          <wp:inline distT="0" distB="0" distL="0" distR="0" wp14:anchorId="69306AE4" wp14:editId="5BFD8911">
            <wp:extent cx="3759200" cy="2531745"/>
            <wp:effectExtent l="0" t="0" r="0" b="190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9200" cy="2531745"/>
                    </a:xfrm>
                    <a:prstGeom prst="rect">
                      <a:avLst/>
                    </a:prstGeom>
                    <a:noFill/>
                    <a:ln>
                      <a:noFill/>
                    </a:ln>
                  </pic:spPr>
                </pic:pic>
              </a:graphicData>
            </a:graphic>
          </wp:inline>
        </w:drawing>
      </w:r>
    </w:p>
    <w:p w14:paraId="046DA337" w14:textId="14877237" w:rsidR="00131F18" w:rsidRDefault="00131F18" w:rsidP="00131F18">
      <w:pPr>
        <w:autoSpaceDE w:val="0"/>
        <w:autoSpaceDN w:val="0"/>
        <w:adjustRightInd w:val="0"/>
        <w:spacing w:after="120" w:line="276" w:lineRule="auto"/>
        <w:jc w:val="center"/>
        <w:rPr>
          <w:rFonts w:cstheme="minorHAnsi"/>
        </w:rPr>
      </w:pPr>
      <w:r>
        <w:rPr>
          <w:rFonts w:cs="Verdana"/>
          <w:sz w:val="20"/>
        </w:rPr>
        <w:t>Źródło: KG PSP</w:t>
      </w:r>
    </w:p>
    <w:p w14:paraId="1193FECB" w14:textId="7D1B1F29" w:rsidR="000C7268" w:rsidRPr="00C1549E" w:rsidRDefault="000C7268" w:rsidP="00131F18">
      <w:pPr>
        <w:autoSpaceDE w:val="0"/>
        <w:autoSpaceDN w:val="0"/>
        <w:adjustRightInd w:val="0"/>
        <w:spacing w:after="120" w:line="276" w:lineRule="auto"/>
        <w:jc w:val="both"/>
        <w:rPr>
          <w:rFonts w:cstheme="minorHAnsi"/>
        </w:rPr>
      </w:pPr>
      <w:r w:rsidRPr="00C1549E">
        <w:rPr>
          <w:rFonts w:cstheme="minorHAnsi"/>
        </w:rPr>
        <w:t xml:space="preserve">W  roku 2018 odnotowano wzrost liczby pożarów (149 434) w porównaniu do 2017 r. (125 892) o prawie 16 %, natomiast liczba miejscowych zagrożeń zmalała o ok. 12 % (z 354 741 w 2017 r. do 311 979 w 2018 r.). Zwykle </w:t>
      </w:r>
      <w:r w:rsidR="007608FB" w:rsidRPr="00C1549E">
        <w:rPr>
          <w:rFonts w:cstheme="minorHAnsi"/>
        </w:rPr>
        <w:br/>
      </w:r>
      <w:r w:rsidRPr="00C1549E">
        <w:rPr>
          <w:rFonts w:cstheme="minorHAnsi"/>
        </w:rPr>
        <w:t>w ponad stu przypadkach rocznie pożarom towarzyszą zjawiska wybuchowe (np. w 2018 r. zanotowano 116 wybuchów gazów i par cieczy, 23 wybuchy mieszanin pyłowo-powietrznych oraz 3 eksplozje materiałów wybuchowych).</w:t>
      </w:r>
    </w:p>
    <w:p w14:paraId="75A27AA6" w14:textId="77777777" w:rsidR="000C7268" w:rsidRPr="00C1549E" w:rsidRDefault="000C7268" w:rsidP="00C1549E">
      <w:pPr>
        <w:autoSpaceDE w:val="0"/>
        <w:autoSpaceDN w:val="0"/>
        <w:adjustRightInd w:val="0"/>
        <w:spacing w:after="120" w:line="276" w:lineRule="auto"/>
        <w:jc w:val="both"/>
        <w:rPr>
          <w:rFonts w:cstheme="minorHAnsi"/>
        </w:rPr>
      </w:pPr>
      <w:r w:rsidRPr="00C1549E">
        <w:rPr>
          <w:rFonts w:cstheme="minorHAnsi"/>
        </w:rPr>
        <w:t xml:space="preserve">W ostatnich latach zauważa się również nasilenie zjawisk, jakimi są pożary miejsc gromadzenia odpadów. Niejednokrotnie zdarzenia te powodują konieczność prowadzenia długotrwałych, nawet kilkudniowych akcji gaśniczych i wymagają zaangażowania znacznych zasobów sił i środków Państwowej Straży Pożarnej.  W związku z tym ww. obiekty od kilku lat są systematycznie monitorowane.  </w:t>
      </w:r>
    </w:p>
    <w:p w14:paraId="75482864" w14:textId="77777777" w:rsidR="000C7268" w:rsidRPr="00C1549E" w:rsidRDefault="000C7268" w:rsidP="00C1549E">
      <w:pPr>
        <w:autoSpaceDE w:val="0"/>
        <w:autoSpaceDN w:val="0"/>
        <w:adjustRightInd w:val="0"/>
        <w:spacing w:after="120" w:line="276" w:lineRule="auto"/>
        <w:jc w:val="both"/>
        <w:rPr>
          <w:rFonts w:cstheme="minorHAnsi"/>
        </w:rPr>
      </w:pPr>
      <w:r w:rsidRPr="00C1549E">
        <w:rPr>
          <w:rFonts w:cstheme="minorHAnsi"/>
        </w:rPr>
        <w:t xml:space="preserve">Lasy w Polsce charakteryzują się wysokim zagrożeniem pożarowym, chociaż występowanie pożarów </w:t>
      </w:r>
      <w:r w:rsidRPr="00C1549E">
        <w:rPr>
          <w:rFonts w:cstheme="minorHAnsi"/>
        </w:rPr>
        <w:br/>
        <w:t xml:space="preserve">w tej grupie obiektów jest szczególnie silnie skorelowane </w:t>
      </w:r>
    </w:p>
    <w:p w14:paraId="6C42685B" w14:textId="77777777" w:rsidR="000C7268" w:rsidRPr="00C1549E" w:rsidRDefault="000C7268" w:rsidP="00C1549E">
      <w:pPr>
        <w:autoSpaceDE w:val="0"/>
        <w:autoSpaceDN w:val="0"/>
        <w:adjustRightInd w:val="0"/>
        <w:spacing w:after="120" w:line="276" w:lineRule="auto"/>
        <w:jc w:val="both"/>
        <w:rPr>
          <w:rFonts w:cstheme="minorHAnsi"/>
        </w:rPr>
      </w:pPr>
      <w:r w:rsidRPr="00C1549E">
        <w:rPr>
          <w:rFonts w:cstheme="minorHAnsi"/>
        </w:rPr>
        <w:t xml:space="preserve">z występującymi w danym roku warunkami atmosferycznymi. W 2018 r., na skutek utrzymujących się wysokich temperatur oraz znacznych niedoborów opadów atmosferycznych, liczba pożarów lasów wyniosła 8079 i wzrosła o ponad 143 % względem poprzedniego roku. Najbardziej narażone na powstawanie pożarów są drzewostany iglaste, zwłaszcza sosnowe, które dominują na ponad 3/4 powierzchni lasów kraju. Wielkość zagrożenia pożarowego lasów, jako pochodna zmian pogodowych oraz intensywności ruchu turystycznego i prac leśnych, jest zmienna w skali roku. Największe zagrożenie występuje wiosną i latem, w warunkach braku opadów atmosferycznych. Obszary o największym zagrożeniu pożarowym sytuują się wzdłuż szlaków komunikacyjnych oraz obiektów infrastruktury turystycznej. Szczególne zagrożenie stanowią tzw. pożary przestrzenne obszarów leśnych. W sytuacji wystąpienia długotrwałych okresów suszy, nie można wykluczyć sytuacji, jaka miała miejsce w 1992 r., kiedy to zanotowano kilka dużych pożarów kompleksów leśnych, w tym największy (blisko 10 tys. ha) </w:t>
      </w:r>
      <w:r w:rsidRPr="00C1549E">
        <w:rPr>
          <w:rFonts w:cstheme="minorHAnsi"/>
        </w:rPr>
        <w:br/>
        <w:t>w okolicach Kuźni Raciborskiej.</w:t>
      </w:r>
    </w:p>
    <w:p w14:paraId="4AAA57C7" w14:textId="3F7E6CB1" w:rsidR="000C7268" w:rsidRPr="00C1549E" w:rsidRDefault="000C7268" w:rsidP="00C1549E">
      <w:pPr>
        <w:autoSpaceDE w:val="0"/>
        <w:autoSpaceDN w:val="0"/>
        <w:adjustRightInd w:val="0"/>
        <w:spacing w:after="120" w:line="276" w:lineRule="auto"/>
        <w:jc w:val="both"/>
        <w:rPr>
          <w:rFonts w:cstheme="minorHAnsi"/>
        </w:rPr>
      </w:pPr>
      <w:r w:rsidRPr="00C1549E">
        <w:rPr>
          <w:rFonts w:cstheme="minorHAnsi"/>
        </w:rPr>
        <w:t>W ostatnich latach corocznie wzrastała liczba miejscowych zagrożeń związanych z wypadkami budowlanymi</w:t>
      </w:r>
      <w:r w:rsidRPr="00C1549E">
        <w:rPr>
          <w:rFonts w:cstheme="minorHAnsi"/>
          <w:b/>
        </w:rPr>
        <w:t xml:space="preserve"> </w:t>
      </w:r>
      <w:r w:rsidRPr="00C1549E">
        <w:rPr>
          <w:rFonts w:cstheme="minorHAnsi"/>
        </w:rPr>
        <w:t xml:space="preserve">(od 2816 w  2014 do 5833 w 2015 roku). W 2016 roku liczba zdarzeń spadła w stosunku do roku poprzedniego i wyniosła 3998. Należy tu zauważyć silną korelację między liczbą zdarzeń związanych z występowaniem silnych wiatrów a liczbą zdarzeń zarejestrowanych jako „budowlane” (w 2017 r., w którym wystąpiło aż 12059 tego rodzaju zdarzeń, zanotowano znaczny, prawie dwukrotny wzrost liczby zdarzeń związanych z silnymi wiatrami - 103509 względem 56694 w 2016 r.).  Wynika to z charakterystyki strat, jakie generują silne wiatry (np.: uszkodzenia poszycia dachów bezpośrednio przez wiatr, czy też poprzez powalone drzewa). Niekiedy zdarzenia tego typu przybierają rozmiary kataklizmów związanych z anomaliami pogodowymi (np. huraganami, orkanami, trąbami powietrznymi), pozostawiając po sobie ogromne zniszczenia, oraz powodując utrudnienia w prowadzeniu działań ratowniczych (np. huragan z 11/12 sierpnia 2017 r., który uszkodził niemal 80 tys. ha lasów, a dotarcie służb ratowniczych do poszkodowanych było bardzo utrudnione, nawet z użyciem ciężkiego sprzętu). </w:t>
      </w:r>
    </w:p>
    <w:p w14:paraId="1AD4B6A0" w14:textId="2972535A" w:rsidR="00202668" w:rsidRPr="00C1549E" w:rsidRDefault="00202668" w:rsidP="00C1549E">
      <w:pPr>
        <w:spacing w:after="120" w:line="276" w:lineRule="auto"/>
        <w:jc w:val="both"/>
        <w:rPr>
          <w:rFonts w:cstheme="minorHAnsi"/>
        </w:rPr>
      </w:pPr>
      <w:r w:rsidRPr="00C1549E">
        <w:rPr>
          <w:rFonts w:cstheme="minorHAnsi"/>
        </w:rPr>
        <w:t xml:space="preserve">Według danych Komendy Głównej PSP na koniec 2018 roku w Polsce zlokalizowanych było 434  zakładów przemysłowych, w których istnieje możliwość wystąpienia poważnej awarii przemysłowej ze względu na ilość przechowywanych materiałów niebezpiecznych. W tej liczbie znajdowało się 186 zakładów dużego ryzyka i 248 zakładów zwiększonego ryzyka. Na </w:t>
      </w:r>
      <w:r w:rsidR="0029089B">
        <w:rPr>
          <w:rFonts w:cstheme="minorHAnsi"/>
        </w:rPr>
        <w:t>poniższym rysunku</w:t>
      </w:r>
      <w:r w:rsidRPr="00C1549E">
        <w:rPr>
          <w:rFonts w:cstheme="minorHAnsi"/>
        </w:rPr>
        <w:t xml:space="preserve"> przedstawiono liczbę zakładów dużego </w:t>
      </w:r>
      <w:r w:rsidRPr="00C1549E">
        <w:rPr>
          <w:rFonts w:cstheme="minorHAnsi"/>
        </w:rPr>
        <w:br/>
        <w:t xml:space="preserve">(ZDR) oraz zwiększonego ryzyka (ZZR) wystąpienia poważnych awarii przemysłowych w poszczególnych województwach. </w:t>
      </w:r>
    </w:p>
    <w:p w14:paraId="6D6EC7B4" w14:textId="77777777" w:rsidR="00202668" w:rsidRPr="00C1549E" w:rsidRDefault="00202668" w:rsidP="00C1549E">
      <w:pPr>
        <w:pStyle w:val="Tekstpodstawowy"/>
        <w:spacing w:after="0" w:line="276" w:lineRule="auto"/>
        <w:jc w:val="both"/>
        <w:rPr>
          <w:rFonts w:cstheme="minorHAnsi"/>
        </w:rPr>
      </w:pPr>
      <w:r w:rsidRPr="00C1549E">
        <w:rPr>
          <w:rFonts w:cstheme="minorHAnsi"/>
        </w:rPr>
        <w:t>W świetle analizy zaistniałych na świecie poważnych awarii przemysłowych pierwotnym źródłem zagrożenia były:</w:t>
      </w:r>
    </w:p>
    <w:p w14:paraId="4DF02B57" w14:textId="77777777" w:rsidR="00202668" w:rsidRPr="00C1549E" w:rsidRDefault="00202668" w:rsidP="00723B3F">
      <w:pPr>
        <w:pStyle w:val="Akapitzlist"/>
        <w:numPr>
          <w:ilvl w:val="0"/>
          <w:numId w:val="70"/>
        </w:numPr>
        <w:spacing w:line="276" w:lineRule="auto"/>
        <w:ind w:left="284" w:hanging="284"/>
        <w:jc w:val="both"/>
        <w:rPr>
          <w:rFonts w:asciiTheme="minorHAnsi" w:hAnsiTheme="minorHAnsi" w:cstheme="minorHAnsi"/>
          <w:sz w:val="22"/>
          <w:szCs w:val="22"/>
        </w:rPr>
      </w:pPr>
      <w:r w:rsidRPr="00C1549E">
        <w:rPr>
          <w:rFonts w:asciiTheme="minorHAnsi" w:hAnsiTheme="minorHAnsi" w:cstheme="minorHAnsi"/>
          <w:sz w:val="22"/>
          <w:szCs w:val="22"/>
        </w:rPr>
        <w:t>pożary - w 29 % przypadków;</w:t>
      </w:r>
    </w:p>
    <w:p w14:paraId="11BB98A0" w14:textId="77777777" w:rsidR="00202668" w:rsidRPr="00C1549E" w:rsidRDefault="00202668" w:rsidP="00723B3F">
      <w:pPr>
        <w:pStyle w:val="Akapitzlist"/>
        <w:numPr>
          <w:ilvl w:val="0"/>
          <w:numId w:val="70"/>
        </w:numPr>
        <w:spacing w:line="276" w:lineRule="auto"/>
        <w:ind w:left="284" w:hanging="284"/>
        <w:jc w:val="both"/>
        <w:rPr>
          <w:rFonts w:asciiTheme="minorHAnsi" w:hAnsiTheme="minorHAnsi" w:cstheme="minorHAnsi"/>
          <w:sz w:val="22"/>
          <w:szCs w:val="22"/>
        </w:rPr>
      </w:pPr>
      <w:r w:rsidRPr="00C1549E">
        <w:rPr>
          <w:rFonts w:asciiTheme="minorHAnsi" w:hAnsiTheme="minorHAnsi" w:cstheme="minorHAnsi"/>
          <w:sz w:val="22"/>
          <w:szCs w:val="22"/>
        </w:rPr>
        <w:t>wybuchy - w 26 % przypadków;</w:t>
      </w:r>
    </w:p>
    <w:p w14:paraId="64DAFACE" w14:textId="77777777" w:rsidR="00202668" w:rsidRPr="00C1549E" w:rsidRDefault="00202668" w:rsidP="00723B3F">
      <w:pPr>
        <w:pStyle w:val="Akapitzlist"/>
        <w:numPr>
          <w:ilvl w:val="0"/>
          <w:numId w:val="70"/>
        </w:numPr>
        <w:spacing w:line="276" w:lineRule="auto"/>
        <w:ind w:left="284" w:hanging="284"/>
        <w:jc w:val="both"/>
        <w:rPr>
          <w:rFonts w:asciiTheme="minorHAnsi" w:hAnsiTheme="minorHAnsi" w:cstheme="minorHAnsi"/>
          <w:sz w:val="22"/>
          <w:szCs w:val="22"/>
        </w:rPr>
      </w:pPr>
      <w:r w:rsidRPr="00C1549E">
        <w:rPr>
          <w:rFonts w:asciiTheme="minorHAnsi" w:hAnsiTheme="minorHAnsi" w:cstheme="minorHAnsi"/>
          <w:sz w:val="22"/>
          <w:szCs w:val="22"/>
        </w:rPr>
        <w:t>uwolnienie substancji toksycznych do otoczenia - w 44 % przypadków.</w:t>
      </w:r>
    </w:p>
    <w:p w14:paraId="7AA0860E" w14:textId="77777777" w:rsidR="00202668" w:rsidRPr="0076091C" w:rsidRDefault="00202668" w:rsidP="00202668">
      <w:pPr>
        <w:pStyle w:val="Styl1"/>
        <w:spacing w:line="276" w:lineRule="auto"/>
        <w:rPr>
          <w:rFonts w:ascii="Arial" w:eastAsia="Calibri" w:hAnsi="Arial" w:cs="Arial"/>
          <w:i/>
          <w:sz w:val="20"/>
          <w:szCs w:val="22"/>
        </w:rPr>
      </w:pPr>
    </w:p>
    <w:p w14:paraId="248F06A9" w14:textId="77777777" w:rsidR="008B79E0" w:rsidRDefault="008B79E0" w:rsidP="00202668">
      <w:pPr>
        <w:pStyle w:val="Styl1"/>
        <w:spacing w:line="276" w:lineRule="auto"/>
        <w:ind w:left="709" w:hanging="709"/>
        <w:rPr>
          <w:rFonts w:ascii="Calibri" w:eastAsia="Calibri" w:hAnsi="Calibri" w:cs="Calibri"/>
          <w:b/>
          <w:i/>
          <w:sz w:val="20"/>
        </w:rPr>
      </w:pPr>
    </w:p>
    <w:p w14:paraId="1DFF4CDA" w14:textId="77777777" w:rsidR="008B79E0" w:rsidRDefault="008B79E0" w:rsidP="00202668">
      <w:pPr>
        <w:pStyle w:val="Styl1"/>
        <w:spacing w:line="276" w:lineRule="auto"/>
        <w:ind w:left="709" w:hanging="709"/>
        <w:rPr>
          <w:rFonts w:ascii="Calibri" w:eastAsia="Calibri" w:hAnsi="Calibri" w:cs="Calibri"/>
          <w:b/>
          <w:i/>
          <w:sz w:val="20"/>
        </w:rPr>
      </w:pPr>
    </w:p>
    <w:p w14:paraId="6633F74C" w14:textId="77777777" w:rsidR="008B79E0" w:rsidRDefault="008B79E0" w:rsidP="00202668">
      <w:pPr>
        <w:pStyle w:val="Styl1"/>
        <w:spacing w:line="276" w:lineRule="auto"/>
        <w:ind w:left="709" w:hanging="709"/>
        <w:rPr>
          <w:rFonts w:ascii="Calibri" w:eastAsia="Calibri" w:hAnsi="Calibri" w:cs="Calibri"/>
          <w:b/>
          <w:i/>
          <w:sz w:val="20"/>
        </w:rPr>
      </w:pPr>
    </w:p>
    <w:p w14:paraId="72A30FF9" w14:textId="77777777" w:rsidR="008B79E0" w:rsidRDefault="008B79E0" w:rsidP="00202668">
      <w:pPr>
        <w:pStyle w:val="Styl1"/>
        <w:spacing w:line="276" w:lineRule="auto"/>
        <w:ind w:left="709" w:hanging="709"/>
        <w:rPr>
          <w:rFonts w:ascii="Calibri" w:eastAsia="Calibri" w:hAnsi="Calibri" w:cs="Calibri"/>
          <w:b/>
          <w:i/>
          <w:sz w:val="20"/>
        </w:rPr>
      </w:pPr>
    </w:p>
    <w:p w14:paraId="74A8BCD7" w14:textId="77777777" w:rsidR="008B79E0" w:rsidRDefault="008B79E0" w:rsidP="00202668">
      <w:pPr>
        <w:pStyle w:val="Styl1"/>
        <w:spacing w:line="276" w:lineRule="auto"/>
        <w:ind w:left="709" w:hanging="709"/>
        <w:rPr>
          <w:rFonts w:ascii="Calibri" w:eastAsia="Calibri" w:hAnsi="Calibri" w:cs="Calibri"/>
          <w:b/>
          <w:i/>
          <w:sz w:val="20"/>
        </w:rPr>
      </w:pPr>
    </w:p>
    <w:p w14:paraId="7B43C38A" w14:textId="769D0B68" w:rsidR="00202668" w:rsidRPr="00C1549E" w:rsidRDefault="00202668" w:rsidP="00202668">
      <w:pPr>
        <w:pStyle w:val="Styl1"/>
        <w:spacing w:line="276" w:lineRule="auto"/>
        <w:ind w:left="709" w:hanging="709"/>
        <w:rPr>
          <w:rFonts w:ascii="Calibri" w:eastAsia="Calibri" w:hAnsi="Calibri" w:cs="Calibri"/>
          <w:b/>
          <w:sz w:val="20"/>
        </w:rPr>
      </w:pPr>
      <w:r w:rsidRPr="00C1549E">
        <w:rPr>
          <w:rFonts w:ascii="Calibri" w:eastAsia="Calibri" w:hAnsi="Calibri" w:cs="Calibri"/>
          <w:b/>
          <w:i/>
          <w:sz w:val="20"/>
        </w:rPr>
        <w:t xml:space="preserve">Rys. 1 </w:t>
      </w:r>
      <w:r w:rsidRPr="00C1549E">
        <w:rPr>
          <w:rFonts w:ascii="Calibri" w:eastAsia="Calibri" w:hAnsi="Calibri" w:cs="Calibri"/>
          <w:b/>
          <w:i/>
          <w:sz w:val="20"/>
        </w:rPr>
        <w:tab/>
        <w:t>Liczba zakładów kategorii ZDR oraz ZRR w poszczególnych województwach (wg stanu na 31 grudnia 2018 r.)</w:t>
      </w:r>
    </w:p>
    <w:p w14:paraId="0ADE07F3" w14:textId="1115813B" w:rsidR="000C7268" w:rsidRDefault="00202668" w:rsidP="00C1549E">
      <w:pPr>
        <w:spacing w:after="0" w:line="276" w:lineRule="auto"/>
        <w:jc w:val="center"/>
        <w:rPr>
          <w:rFonts w:cs="Verdana"/>
        </w:rPr>
      </w:pPr>
      <w:r>
        <w:rPr>
          <w:rFonts w:cs="Verdana"/>
          <w:noProof/>
          <w:lang w:eastAsia="pl-PL"/>
        </w:rPr>
        <w:drawing>
          <wp:inline distT="0" distB="0" distL="0" distR="0" wp14:anchorId="0BFD989F" wp14:editId="25D94324">
            <wp:extent cx="5053936" cy="4241800"/>
            <wp:effectExtent l="0" t="0" r="0" b="635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82841" cy="4266061"/>
                    </a:xfrm>
                    <a:prstGeom prst="rect">
                      <a:avLst/>
                    </a:prstGeom>
                    <a:noFill/>
                    <a:ln>
                      <a:noFill/>
                    </a:ln>
                  </pic:spPr>
                </pic:pic>
              </a:graphicData>
            </a:graphic>
          </wp:inline>
        </w:drawing>
      </w:r>
    </w:p>
    <w:p w14:paraId="02E3A157" w14:textId="77777777" w:rsidR="000C7268" w:rsidRDefault="000C7268" w:rsidP="00B53DEC">
      <w:pPr>
        <w:spacing w:after="0" w:line="276" w:lineRule="auto"/>
        <w:jc w:val="both"/>
        <w:rPr>
          <w:rFonts w:cs="Verdana"/>
        </w:rPr>
      </w:pPr>
    </w:p>
    <w:p w14:paraId="71B13296" w14:textId="77777777" w:rsidR="000C7268" w:rsidRDefault="000C7268" w:rsidP="00B53DEC">
      <w:pPr>
        <w:spacing w:after="0" w:line="276" w:lineRule="auto"/>
        <w:jc w:val="both"/>
        <w:rPr>
          <w:rFonts w:cs="Verdana"/>
        </w:rPr>
      </w:pPr>
    </w:p>
    <w:p w14:paraId="35EE963D" w14:textId="77777777" w:rsidR="000C7268" w:rsidRDefault="000C7268" w:rsidP="00B53DEC">
      <w:pPr>
        <w:spacing w:after="0" w:line="276" w:lineRule="auto"/>
        <w:jc w:val="both"/>
        <w:rPr>
          <w:rFonts w:cs="Verdana"/>
        </w:rPr>
      </w:pPr>
    </w:p>
    <w:p w14:paraId="60516DFA" w14:textId="77777777" w:rsidR="00B53DEC" w:rsidRPr="00F21196" w:rsidRDefault="00B53DEC" w:rsidP="00B53DEC">
      <w:pPr>
        <w:autoSpaceDE w:val="0"/>
        <w:autoSpaceDN w:val="0"/>
        <w:adjustRightInd w:val="0"/>
        <w:spacing w:after="0" w:line="276" w:lineRule="auto"/>
        <w:jc w:val="both"/>
        <w:rPr>
          <w:rFonts w:cs="Verdana"/>
        </w:rPr>
      </w:pPr>
      <w:r w:rsidRPr="00F21196">
        <w:rPr>
          <w:rFonts w:cs="Verdana"/>
          <w:b/>
        </w:rPr>
        <w:t>Wypadki i katastrofy komunikacyjne</w:t>
      </w:r>
      <w:r w:rsidRPr="00F21196">
        <w:rPr>
          <w:rFonts w:cs="Verdana"/>
        </w:rPr>
        <w:t xml:space="preserve"> stanowią najliczniejszą grupę zdarzeń innych niż pożary, w których udział biorą jednostki straży pożarnej oraz pozostałych służb ratowniczych. Dotychczas zarejestrowane na drogach i szlakach kolejowych zdarzenia z udziałem substancji niebezpiecznych niezwykle rzadko przekraczały rozmiary wypadku (rozumianego jako nagłe zdarzenie, którego następstwami są jednostkowe zagrożenia dla życia, mienia, lub skażenie środowiska występujące na niewielkim obszarze lub ograniczone do jednego obiektu). Mimo znacznej poprawy infrastruktury drogowej przyjmuje się, że potencjalne zagrożenie w tym zakresie nie będzie malało. Wśród czynników zwiększających jego poziom należy wymienić: </w:t>
      </w:r>
      <w:r w:rsidRPr="00F21196">
        <w:rPr>
          <w:rFonts w:eastAsia="Times New Roman" w:cs="Verdana"/>
        </w:rPr>
        <w:t xml:space="preserve">intensywny rozwój transportu samochodowego, położenie geograficzne Polski na skrzyżowaniu ważnych międzynarodowych szlaków komunikacyjnych i wysoki stopień zużycia technicznego pojazdów stosowanych przez niektórych przewoźników oraz nieprzestrzeganie międzynarodowych i krajowych wymagań bezpieczeństwa. </w:t>
      </w:r>
    </w:p>
    <w:p w14:paraId="2EF50383" w14:textId="77777777" w:rsidR="00B53DEC" w:rsidRPr="00F21196" w:rsidRDefault="00B53DEC" w:rsidP="00B53DEC">
      <w:pPr>
        <w:autoSpaceDE w:val="0"/>
        <w:autoSpaceDN w:val="0"/>
        <w:adjustRightInd w:val="0"/>
        <w:spacing w:after="0" w:line="276" w:lineRule="auto"/>
        <w:jc w:val="both"/>
        <w:rPr>
          <w:rFonts w:cs="Verdana"/>
        </w:rPr>
      </w:pPr>
      <w:r w:rsidRPr="000973C0">
        <w:rPr>
          <w:rFonts w:cs="Verdana"/>
          <w:szCs w:val="28"/>
        </w:rPr>
        <w:t>W Polsce corocznie rejestruje się kilka tysięcy zdarzeń związanych z przyborem wody w rzekach</w:t>
      </w:r>
      <w:r w:rsidRPr="00F21196">
        <w:rPr>
          <w:rFonts w:cs="Verdana"/>
        </w:rPr>
        <w:t>. Zagrożenie powodziowe jest największe na terenach przygranicznych Polski południowej i południowo-wschodniej. Szczególne zagrożenie stwarzają rzeki znajdujące się w dorzeczu Odry, Wisły, Sanu i Bugu. Nasilenie w ostatnich latach niekorzystnych zjawisk atmosferycznych, w tym intensywnych opadów deszczu, powoduje gwałtowne przybory wód, szczególnie w górskich odcinkach rzek. Chociaż w większości przypadków nie powodują one zagrożenia dla większych terenów, to w wymiarze lokalnym niejednokrotnie mają charakter katastrofy.</w:t>
      </w:r>
    </w:p>
    <w:p w14:paraId="08947D74" w14:textId="77777777" w:rsidR="00B53DEC" w:rsidRPr="00F21196" w:rsidRDefault="00B53DEC" w:rsidP="00B53DEC">
      <w:pPr>
        <w:spacing w:before="120" w:after="0" w:line="276" w:lineRule="auto"/>
        <w:jc w:val="both"/>
        <w:rPr>
          <w:rFonts w:cs="Arial"/>
        </w:rPr>
      </w:pPr>
      <w:r w:rsidRPr="00F21196">
        <w:rPr>
          <w:rFonts w:cs="Verdana"/>
          <w:b/>
        </w:rPr>
        <w:t>Krajowy system ratowniczo-gaśniczy</w:t>
      </w:r>
      <w:r>
        <w:rPr>
          <w:rStyle w:val="Odwoanieprzypisudolnego"/>
          <w:rFonts w:cs="Verdana"/>
          <w:b/>
        </w:rPr>
        <w:footnoteReference w:id="100"/>
      </w:r>
      <w:r w:rsidRPr="00F21196">
        <w:rPr>
          <w:rFonts w:cs="Verdana"/>
          <w:b/>
        </w:rPr>
        <w:t xml:space="preserve"> </w:t>
      </w:r>
      <w:r w:rsidRPr="00F21196">
        <w:rPr>
          <w:rFonts w:cs="Verdana"/>
        </w:rPr>
        <w:t>(ksrg)</w:t>
      </w:r>
      <w:r w:rsidRPr="00F21196">
        <w:rPr>
          <w:rFonts w:cs="Verdana"/>
          <w:b/>
        </w:rPr>
        <w:t xml:space="preserve"> </w:t>
      </w:r>
      <w:r w:rsidRPr="00F21196">
        <w:rPr>
          <w:rFonts w:cs="Arial"/>
        </w:rPr>
        <w:t>stanowi integralną część organizacji bezpieczeństwa wewnętrznego państwa, obejmującą, w celu ratowania życia, zdrowia, mienia lub środowiska, prognozowanie, rozpoznawanie i zwalczanie pożarów, klęsk żywiołowych lub innych miejscowych zagrożeń. System skupia jednostki ochrony przeciwpożarowej, inne służby, inspekcje, straże, instytucje oraz podmioty, które dobrowolnie w drodze umowy cywilnoprawnej wyraziły zgodę na współdziałanie w akcjach ratowniczych.</w:t>
      </w:r>
      <w:r w:rsidRPr="00F21196">
        <w:rPr>
          <w:rFonts w:cs="Verdana"/>
          <w:b/>
        </w:rPr>
        <w:t xml:space="preserve"> </w:t>
      </w:r>
    </w:p>
    <w:p w14:paraId="439D7BD8" w14:textId="77777777" w:rsidR="00B53DEC" w:rsidRPr="00F21196" w:rsidRDefault="00B53DEC" w:rsidP="00B53DEC">
      <w:pPr>
        <w:spacing w:after="0" w:line="276" w:lineRule="auto"/>
        <w:jc w:val="both"/>
        <w:rPr>
          <w:rFonts w:cs="Arial"/>
        </w:rPr>
      </w:pPr>
      <w:r w:rsidRPr="00F21196">
        <w:rPr>
          <w:rFonts w:cs="Arial"/>
        </w:rPr>
        <w:t>Trwają prace mające na celu określenie akceptowalnego poziomu zabezpieczenia operacyjnego w gminie oraz wskazanie kierunków rozwoju sieci jednostek ochotniczych straży pożarnych w krajowym systemie ratowniczo-gaśniczym. W 2016 roku opracowano „Metodykę planu sieci jednostek OSP przewidzianych do włączenia do ksrg, uwzględniającą przyjęty przez Radę Ministrów Program Ratownictwa i Ochrony Ludności na lata 2014-2020, który zakłada osiągnięcie kryterium dotarcia do 80% populacji ludności w czasie do 15 minut przez jednostki ochrony przeciwpożarowej włączone do systemu. Efektem końcowym metodyki jest określenie poziomu zabezpieczenia operacyjnego gmin w Polsce. Stanowi to, podstawę do uruchomienia procesu planistycznego budowy planu sieci jednostek ochotniczych straży pożarnych przewidzianych do włączenia do krajowego systemu ratowniczo-gaśniczego i wskazania jednostek, niezbędnych do zapewnienia akceptowalnego poziomu zabezpieczenia operacyjnego w gminie. Efektem końcowym metodyki jest opracowywanie (w sposób cykliczny raz na cztery lata) planu sieci jednostek OSP przewidzianych do włączenia do ksrg. Na tej podstawie w latach 2017 - 2020 przewidziano włączenie do systemu 477 jednostek ochotniczych straży pożarnych.</w:t>
      </w:r>
    </w:p>
    <w:p w14:paraId="0BA4E9DC" w14:textId="77777777" w:rsidR="00B53DEC" w:rsidRPr="00F21196" w:rsidRDefault="00B53DEC" w:rsidP="00B53DEC">
      <w:pPr>
        <w:spacing w:after="0" w:line="276" w:lineRule="auto"/>
        <w:jc w:val="both"/>
        <w:rPr>
          <w:rFonts w:cs="Arial"/>
        </w:rPr>
      </w:pPr>
      <w:r w:rsidRPr="00F21196">
        <w:rPr>
          <w:rFonts w:cs="Arial"/>
        </w:rPr>
        <w:t>Analiza dotychczasowych rozwiązań prawnych dotyczących ratownictwa w Polsce wykazała, że występuje bardzo duże rozproszenie kompetencji będące przyczyną wielu problemów organizacyjnych, zwłaszcza w zakresie możliwości współpracy różnych systemów i podmiotów ratowniczych. Stwarza to bariery organizacyjne w szczególności podczas prowadzenia zdarzeń na dużą skalę, jak również w sytuacjach, gdy wymagane są działania z zakresu różnych dziedzin ratownictwa. Głównymi argumentami determinującymi potrzebę stworzenia nowych ram organizacyjnych ratownictwa w państwie jest konieczność:</w:t>
      </w:r>
    </w:p>
    <w:p w14:paraId="50AC4EF9" w14:textId="16193832" w:rsidR="00B53DEC" w:rsidRPr="0082215C" w:rsidRDefault="00B53DEC" w:rsidP="00723B3F">
      <w:pPr>
        <w:numPr>
          <w:ilvl w:val="0"/>
          <w:numId w:val="34"/>
        </w:numPr>
        <w:spacing w:after="0" w:line="276" w:lineRule="auto"/>
        <w:ind w:left="567"/>
        <w:contextualSpacing/>
        <w:jc w:val="both"/>
        <w:rPr>
          <w:rFonts w:eastAsia="Times New Roman" w:cs="Arial"/>
          <w:sz w:val="28"/>
          <w:szCs w:val="28"/>
        </w:rPr>
      </w:pPr>
      <w:r w:rsidRPr="000973C0">
        <w:rPr>
          <w:rFonts w:eastAsia="Times New Roman" w:cs="Arial"/>
          <w:szCs w:val="28"/>
        </w:rPr>
        <w:t>optymalizacji wykorzystania potencjału podmiotów ratowniczych mające na celu osiągnięcie efektu synergii ich działań</w:t>
      </w:r>
      <w:r w:rsidRPr="0082215C">
        <w:rPr>
          <w:rFonts w:eastAsia="Times New Roman" w:cs="Arial"/>
          <w:sz w:val="28"/>
          <w:szCs w:val="28"/>
        </w:rPr>
        <w:t xml:space="preserve">, </w:t>
      </w:r>
    </w:p>
    <w:p w14:paraId="7D5E8D2E" w14:textId="77777777" w:rsidR="00B53DEC" w:rsidRPr="00F21196" w:rsidRDefault="00B53DEC" w:rsidP="00723B3F">
      <w:pPr>
        <w:numPr>
          <w:ilvl w:val="0"/>
          <w:numId w:val="34"/>
        </w:numPr>
        <w:spacing w:after="0" w:line="276" w:lineRule="auto"/>
        <w:ind w:left="567"/>
        <w:contextualSpacing/>
        <w:jc w:val="both"/>
        <w:rPr>
          <w:rFonts w:eastAsia="Times New Roman" w:cs="Arial"/>
        </w:rPr>
      </w:pPr>
      <w:r w:rsidRPr="00F21196">
        <w:rPr>
          <w:rFonts w:eastAsia="Times New Roman" w:cs="Arial"/>
        </w:rPr>
        <w:t>usystematyzowania i uporządkowania regulacji prawnych w zakresie ratownictwa, których obecna forma nie sprzyja efektywności podejmowanych działań,</w:t>
      </w:r>
    </w:p>
    <w:p w14:paraId="2F5B1F0A" w14:textId="77777777" w:rsidR="00B53DEC" w:rsidRPr="00F21196" w:rsidRDefault="00B53DEC" w:rsidP="00723B3F">
      <w:pPr>
        <w:numPr>
          <w:ilvl w:val="0"/>
          <w:numId w:val="34"/>
        </w:numPr>
        <w:spacing w:after="0" w:line="276" w:lineRule="auto"/>
        <w:ind w:left="567"/>
        <w:contextualSpacing/>
        <w:jc w:val="both"/>
        <w:rPr>
          <w:rFonts w:eastAsia="Times New Roman" w:cs="Arial"/>
        </w:rPr>
      </w:pPr>
      <w:r w:rsidRPr="00F21196">
        <w:rPr>
          <w:rFonts w:eastAsia="Times New Roman" w:cs="Arial"/>
        </w:rPr>
        <w:t>uporządkowania kompetencji podmiotów ratowniczych i organów odpowiedzialnych za bezpieczeństwo,</w:t>
      </w:r>
    </w:p>
    <w:p w14:paraId="55C289E3" w14:textId="77777777" w:rsidR="00B53DEC" w:rsidRPr="00F21196" w:rsidRDefault="00B53DEC" w:rsidP="00723B3F">
      <w:pPr>
        <w:numPr>
          <w:ilvl w:val="0"/>
          <w:numId w:val="34"/>
        </w:numPr>
        <w:spacing w:after="0" w:line="276" w:lineRule="auto"/>
        <w:ind w:left="567"/>
        <w:contextualSpacing/>
        <w:jc w:val="both"/>
        <w:rPr>
          <w:rFonts w:eastAsia="Times New Roman" w:cs="Arial"/>
        </w:rPr>
      </w:pPr>
      <w:r w:rsidRPr="00F21196">
        <w:rPr>
          <w:rFonts w:eastAsia="Times New Roman" w:cs="Arial"/>
        </w:rPr>
        <w:t>określenie zasad współpracy i współdziałania podmiotów ratowniczych i organów odpowiedzialnych za bezpieczeństwo,</w:t>
      </w:r>
    </w:p>
    <w:p w14:paraId="2330BFB4" w14:textId="77777777" w:rsidR="00B53DEC" w:rsidRPr="00F21196" w:rsidRDefault="00B53DEC" w:rsidP="00723B3F">
      <w:pPr>
        <w:numPr>
          <w:ilvl w:val="0"/>
          <w:numId w:val="34"/>
        </w:numPr>
        <w:spacing w:after="0" w:line="276" w:lineRule="auto"/>
        <w:ind w:left="567"/>
        <w:contextualSpacing/>
        <w:jc w:val="both"/>
        <w:rPr>
          <w:rFonts w:eastAsia="Times New Roman" w:cs="Arial"/>
        </w:rPr>
      </w:pPr>
      <w:r w:rsidRPr="00F21196">
        <w:rPr>
          <w:rFonts w:eastAsia="Times New Roman" w:cs="Arial"/>
        </w:rPr>
        <w:t>właściwego wykorzystania potencjału społecznych organizacji ratowniczych,</w:t>
      </w:r>
    </w:p>
    <w:p w14:paraId="203727FF" w14:textId="77777777" w:rsidR="00B53DEC" w:rsidRPr="00F21196" w:rsidRDefault="00B53DEC" w:rsidP="00723B3F">
      <w:pPr>
        <w:numPr>
          <w:ilvl w:val="0"/>
          <w:numId w:val="34"/>
        </w:numPr>
        <w:spacing w:after="0" w:line="276" w:lineRule="auto"/>
        <w:ind w:left="567"/>
        <w:contextualSpacing/>
        <w:jc w:val="both"/>
        <w:rPr>
          <w:rFonts w:eastAsia="Times New Roman" w:cs="Arial"/>
        </w:rPr>
      </w:pPr>
      <w:r w:rsidRPr="00F21196">
        <w:rPr>
          <w:rFonts w:eastAsia="Times New Roman" w:cs="Arial"/>
        </w:rPr>
        <w:t>zwiększenia ochrony prawnej ratowników,</w:t>
      </w:r>
    </w:p>
    <w:p w14:paraId="7F061FAC" w14:textId="77777777" w:rsidR="00B53DEC" w:rsidRPr="00F21196" w:rsidRDefault="00B53DEC" w:rsidP="00723B3F">
      <w:pPr>
        <w:numPr>
          <w:ilvl w:val="0"/>
          <w:numId w:val="34"/>
        </w:numPr>
        <w:spacing w:after="0" w:line="276" w:lineRule="auto"/>
        <w:ind w:left="567"/>
        <w:contextualSpacing/>
        <w:jc w:val="both"/>
        <w:rPr>
          <w:rFonts w:eastAsia="Times New Roman" w:cs="Arial"/>
        </w:rPr>
      </w:pPr>
      <w:r w:rsidRPr="00F21196">
        <w:rPr>
          <w:rFonts w:eastAsia="Times New Roman" w:cs="Arial"/>
        </w:rPr>
        <w:t>usystematyzowania istniejących pojęć ratowniczych,</w:t>
      </w:r>
    </w:p>
    <w:p w14:paraId="28FA18F9" w14:textId="77777777" w:rsidR="00B53DEC" w:rsidRPr="00F21196" w:rsidRDefault="00B53DEC" w:rsidP="00723B3F">
      <w:pPr>
        <w:numPr>
          <w:ilvl w:val="0"/>
          <w:numId w:val="34"/>
        </w:numPr>
        <w:spacing w:after="0" w:line="276" w:lineRule="auto"/>
        <w:ind w:left="567"/>
        <w:contextualSpacing/>
        <w:jc w:val="both"/>
        <w:rPr>
          <w:rFonts w:eastAsia="Times New Roman" w:cs="Arial"/>
        </w:rPr>
      </w:pPr>
      <w:r w:rsidRPr="00F21196">
        <w:rPr>
          <w:rFonts w:eastAsia="Times New Roman" w:cs="Arial"/>
        </w:rPr>
        <w:t>określenie spójnych zasad organizacji działań ratowniczych.</w:t>
      </w:r>
    </w:p>
    <w:p w14:paraId="1D9CDC4E" w14:textId="77777777" w:rsidR="00B53DEC" w:rsidRPr="00F21196" w:rsidRDefault="00B53DEC" w:rsidP="00B53DEC">
      <w:pPr>
        <w:spacing w:after="0" w:line="276" w:lineRule="auto"/>
        <w:jc w:val="both"/>
        <w:rPr>
          <w:rFonts w:cs="Arial"/>
        </w:rPr>
      </w:pPr>
    </w:p>
    <w:p w14:paraId="25BC59A1" w14:textId="77777777" w:rsidR="00B53DEC" w:rsidRPr="00F21196" w:rsidRDefault="00B53DEC" w:rsidP="00B53DEC">
      <w:pPr>
        <w:spacing w:after="0" w:line="276" w:lineRule="auto"/>
        <w:jc w:val="both"/>
        <w:rPr>
          <w:rFonts w:cs="Arial"/>
        </w:rPr>
      </w:pPr>
      <w:r w:rsidRPr="00F21196">
        <w:rPr>
          <w:rFonts w:cs="Arial"/>
        </w:rPr>
        <w:t>Konieczne jest stworzenie Krajowego Systemu Ratowniczego, który nie tyle zastąpi, co zintegruje dotychczasowe systemy ratownicze. Jest to optymalne rozwiązanie dla zapewnienia skutecznego działania podmiotów ratowniczych. Poza realizacją powyższych celów, stworzenie Krajowego Systemu Ratowniczego pozwoli również na uporządkowanie relacji z systemem ochrony ludności. Utworzenie Krajowego Systemu Ratowniczego wymaga uregulowania ustawowego, co poza określeniem organizacji tego systemu i relacji pomiędzy systemami składowymi, pozwoli także na doprecyzowanie kwestii organizacji działań ratowniczych we wszystkich dziedzinach i kategoriach ratownictwa, w każdym czasie i miejscu. Poza tym regulacje ustawowe muszą dotyczyć m.in. organizatorów, koordynatorów i uczestników działań ratowniczych, zasad ich finansowania, organizacji dysponowania, kierowania podmiotami ratowniczymi będącymi w gestii różnych, nie współdziałających dotychczas ze sobą podmiotów.</w:t>
      </w:r>
    </w:p>
    <w:p w14:paraId="45C73F4B" w14:textId="77777777" w:rsidR="00B53DEC" w:rsidRPr="00F21196" w:rsidRDefault="00B53DEC" w:rsidP="00B53DEC">
      <w:pPr>
        <w:spacing w:after="0" w:line="276" w:lineRule="auto"/>
        <w:ind w:firstLine="426"/>
        <w:jc w:val="both"/>
        <w:rPr>
          <w:rFonts w:cs="Arial"/>
        </w:rPr>
      </w:pPr>
    </w:p>
    <w:p w14:paraId="07D3F6DE" w14:textId="77777777" w:rsidR="00B53DEC" w:rsidRPr="00D31D68" w:rsidRDefault="00B53DEC" w:rsidP="00B53DEC">
      <w:pPr>
        <w:spacing w:after="0" w:line="276" w:lineRule="auto"/>
        <w:jc w:val="both"/>
        <w:rPr>
          <w:bCs/>
        </w:rPr>
      </w:pPr>
      <w:r w:rsidRPr="00F21196">
        <w:rPr>
          <w:rFonts w:cs="Verdana"/>
          <w:b/>
        </w:rPr>
        <w:t xml:space="preserve">Ratownictwo górskie i wodne. </w:t>
      </w:r>
      <w:r>
        <w:t>Problematyka odnosząca się do</w:t>
      </w:r>
      <w:r w:rsidRPr="005E527D">
        <w:t xml:space="preserve"> bezpieczeństwa osób przebywających w górach uregulowana jest </w:t>
      </w:r>
      <w:r>
        <w:t>przepisami</w:t>
      </w:r>
      <w:r w:rsidRPr="005E527D">
        <w:t xml:space="preserve"> ustaw</w:t>
      </w:r>
      <w:r>
        <w:t>y</w:t>
      </w:r>
      <w:r w:rsidRPr="005E527D">
        <w:t xml:space="preserve"> </w:t>
      </w:r>
      <w:r w:rsidRPr="005E527D">
        <w:rPr>
          <w:i/>
        </w:rPr>
        <w:t>o bezpieczeństwie i ratownictwie w górach i na zorganizowanych terenach narciarskich</w:t>
      </w:r>
      <w:r>
        <w:rPr>
          <w:rStyle w:val="Odwoanieprzypisudolnego"/>
          <w:i/>
        </w:rPr>
        <w:footnoteReference w:id="101"/>
      </w:r>
      <w:r w:rsidRPr="005E527D">
        <w:t xml:space="preserve">. Ustawa rozdziela od siebie dwie formy ratownictwa: ratownictwo górskie wykonywane przez wyspecjalizowane podmioty do tego uprawnione oraz ratownictwo narciarskie realizowane na zorganizowanych terenach narciarskich przez właścicieli, gestorów i zarządców wyciągów narciarskich. </w:t>
      </w:r>
      <w:r w:rsidRPr="00D31D68">
        <w:rPr>
          <w:bCs/>
        </w:rPr>
        <w:t>Organizowanie i udzielanie pomocy osobom, które uległy wypadkowi lub są narażone na niebezpieczeństwo utraty życia lub zdrowia w górach należy do zadań podmiotów uprawnionych do wykonywania ratownictwa górskiego, które uzyskały zgodę ministra właściwego do spraw wewnętrznych oraz wpis do rejestru jednostek współpracujących z systemem Państwowe Ratownictwo Medyczne. Zgoda na wykonywanie ratownictwa górskiego udzielana jest</w:t>
      </w:r>
      <w:r>
        <w:rPr>
          <w:bCs/>
        </w:rPr>
        <w:br/>
      </w:r>
      <w:r w:rsidRPr="00D31D68">
        <w:rPr>
          <w:bCs/>
        </w:rPr>
        <w:t>w drodze decyzji administracyjnej, na wniosek podmiotu, o ile podmiot ten spełnia warunki określone w ustawie. Obecnie na terenie kraju działają dwa podmioty – organizacje pozarządowe - Tatrzańskie Ochotnicze Pogotowie Ratunkowe oraz Górskie Ochotnicze Pogotowie Ratunkowe, którym co roku minister właściwy ds. wewnętrznych - jako podmiot odpowiedzialny za zapewnienie bezpieczeństwa w górach - zleca zadanie utrzymania gotowości do wykonywania ratownictwa górskiego.  Liczba interwencji, wypraw i akcji ratunkowych podejmowanych na rzecz osób potrzebujących pomocy,  odnotowywanych w całego ciągu roku przez podmioty uprawnione do wykonywania ratownictwa górskiego jest różna w zależności od natężenia ruchu turystycznego i warunków pogodowych panujących w górach. Niezmiennie od wielu lat do podstawowych przyczyn wypadków należą: brawura, przecenianie swoich umiejętności, złe przygotowanie techniczne (niewłaściwe wyposażenie) uczestników różnego rodzaju form aktywności górskiej.</w:t>
      </w:r>
    </w:p>
    <w:p w14:paraId="69B25539" w14:textId="77777777" w:rsidR="00B53DEC" w:rsidRDefault="00B53DEC" w:rsidP="00B53DEC">
      <w:pPr>
        <w:spacing w:after="0" w:line="276" w:lineRule="auto"/>
        <w:jc w:val="both"/>
      </w:pPr>
    </w:p>
    <w:p w14:paraId="797C5CD8" w14:textId="77777777" w:rsidR="00B53DEC" w:rsidRPr="005E527D" w:rsidRDefault="00B53DEC" w:rsidP="00B53DEC">
      <w:pPr>
        <w:spacing w:after="0" w:line="276" w:lineRule="auto"/>
        <w:jc w:val="both"/>
      </w:pPr>
      <w:r w:rsidRPr="00D31D68">
        <w:rPr>
          <w:bCs/>
        </w:rPr>
        <w:t xml:space="preserve">Bezpieczeństwo osób przebywających nad wodą regulowane jest przez ustawę z dnia 18 sierpnia 2011 r. </w:t>
      </w:r>
      <w:r w:rsidRPr="00295A2D">
        <w:rPr>
          <w:bCs/>
          <w:i/>
        </w:rPr>
        <w:t>o bezpieczeństwie osób przebywających na obszarach wodnych</w:t>
      </w:r>
      <w:r>
        <w:rPr>
          <w:rStyle w:val="Odwoanieprzypisudolnego"/>
          <w:bCs/>
          <w:i/>
        </w:rPr>
        <w:footnoteReference w:id="102"/>
      </w:r>
      <w:r w:rsidRPr="00D31D68">
        <w:rPr>
          <w:bCs/>
        </w:rPr>
        <w:t>.  Ratownictwo wodne mogą wykonywać, podmioty, które uzyskały zgodę ministra właściwego do spraw wewnętrznych oraz wpis do rejestru jednostek współpracujących z systemem Państwowe Ratownictwo Medyczne. Zgoda na wykonywanie ratownictwa wodnego udzielana jest w drodze decyzji administracyjnej, na wniosek podmiotu, o ile podmiot ten spełnia warunki określone w ustawie. Według stanu na 14 sierpnia 2020 roku w Polsce działa 115 podmiotów uprawnionych do wykonywania ratownictwa wodnego. Są to: stowarzyszenia, fu</w:t>
      </w:r>
      <w:r>
        <w:rPr>
          <w:bCs/>
        </w:rPr>
        <w:t>ndacje, spółki prawa handlowego</w:t>
      </w:r>
      <w:r w:rsidRPr="00D31D68">
        <w:rPr>
          <w:bCs/>
        </w:rPr>
        <w:t xml:space="preserve"> a także osoby fizyczne prowadzące działalność gospodarczą. Wypadki na obszarach wodnych,  w tym utonięcia,  odnotowywane są praktycznie na wszystkich rodzajach akwenów. Corocznie tonie w polskich wodach około 500-600 osób, przy czym w oczywisty sposób wzrasta liczba zdarzeń śmiertelnych w okresie pogody wyjątkowo sprzyjającej wypoczynkowi nad wodą, a więc w dni upalne i weekendy.</w:t>
      </w:r>
      <w:r>
        <w:rPr>
          <w:b/>
          <w:bCs/>
        </w:rPr>
        <w:t xml:space="preserve"> </w:t>
      </w:r>
      <w:r w:rsidRPr="005E527D">
        <w:t>Przypadki utonięć nie mają praktycznie miejsca na wyznaczonych obszarach wodnych – kąpieliskach, miejscach okazjonalnie wykorzystywanych do kąpieli, basenach, parkach wodnych i pływalniach – czyli tam, gdzie musi być zapewniona stała kontrola tych obszarów przez ratowników wodnych. Kąpiel w miejscach niestrzeżonych i niezabronionych oraz objętych zakazem kąpieli należy do najbardziej niebezpiecznych i wg policyjnych statystyk to w nich dochodzi najczęściej do wypadków śmiertelnych. Przyczyny utonięć są stałe od wielu lat - brak wystarczających umiejętności pływackich czy przecenianie swoich umiejętności, nierozwaga i nieostrożność podczas przebywania nad wodą oraz kąpiel pod wpływem alkoholu bądź innych środków odurzających.</w:t>
      </w:r>
    </w:p>
    <w:p w14:paraId="3302D550" w14:textId="77777777" w:rsidR="00B53DEC" w:rsidRPr="00F21196" w:rsidRDefault="00B53DEC" w:rsidP="00B53DEC">
      <w:pPr>
        <w:spacing w:after="0" w:line="276" w:lineRule="auto"/>
        <w:jc w:val="both"/>
        <w:rPr>
          <w:rFonts w:cs="Verdana"/>
          <w:b/>
        </w:rPr>
      </w:pPr>
    </w:p>
    <w:p w14:paraId="0EBE27DF" w14:textId="77777777" w:rsidR="00B53DEC" w:rsidRPr="00F21196" w:rsidRDefault="00B53DEC" w:rsidP="00B53DEC">
      <w:pPr>
        <w:spacing w:after="0" w:line="276" w:lineRule="auto"/>
        <w:jc w:val="both"/>
        <w:rPr>
          <w:rFonts w:cs="Verdana"/>
          <w:b/>
        </w:rPr>
      </w:pPr>
      <w:r w:rsidRPr="00F21196">
        <w:rPr>
          <w:rFonts w:cs="Verdana"/>
          <w:b/>
        </w:rPr>
        <w:t xml:space="preserve">Ochrona ludności i obrona cywilna. </w:t>
      </w:r>
      <w:r w:rsidRPr="00F21196">
        <w:rPr>
          <w:rFonts w:cs="Arial"/>
        </w:rPr>
        <w:t>Z dokonanych w ramach ochrony ludności i obrony cywilnej ocen faktycznego stanu</w:t>
      </w:r>
      <w:r w:rsidRPr="00F21196">
        <w:rPr>
          <w:rFonts w:cs="Arial"/>
          <w:vertAlign w:val="superscript"/>
        </w:rPr>
        <w:footnoteReference w:id="103"/>
      </w:r>
      <w:r w:rsidRPr="00F21196">
        <w:rPr>
          <w:rFonts w:cs="Arial"/>
        </w:rPr>
        <w:t xml:space="preserve"> przygotowania państwa do zapewnienia bezpieczeństwa obywatelom wynika potrzeba stworzenia jednolitych przepisów prawnych, w jasny sposób określających kompetencje władz, obowiązki obywateli oraz sposoby zwiększania świadomości społeczeństwa w zakresie ochrony ludności. Istnieje potrzeba czytelnego określenia zadań ochrony ludności w kontekście obowiązujących ustaw</w:t>
      </w:r>
      <w:r>
        <w:rPr>
          <w:rFonts w:cs="Arial"/>
        </w:rPr>
        <w:t>, m.in.</w:t>
      </w:r>
      <w:r w:rsidRPr="00F21196">
        <w:rPr>
          <w:rFonts w:cs="Arial"/>
        </w:rPr>
        <w:t xml:space="preserve">: o powszechnym obowiązku obrony Rzeczypospolitej Polskiej, </w:t>
      </w:r>
      <w:r w:rsidRPr="00F21196">
        <w:rPr>
          <w:rFonts w:cs="Arial"/>
          <w:bCs/>
        </w:rPr>
        <w:t xml:space="preserve">o stanie wojennym oraz o kompetencjach Naczelnego Dowódcy Sił Zbrojnych i zasadach jego podległości konstytucyjnym organom Rzeczypospolitej Polskiej, </w:t>
      </w:r>
      <w:r w:rsidRPr="00F21196">
        <w:rPr>
          <w:rFonts w:cs="Arial"/>
        </w:rPr>
        <w:t xml:space="preserve">o samorządzie gminnym, o samorządzie powiatowym, </w:t>
      </w:r>
      <w:r w:rsidRPr="00F21196">
        <w:rPr>
          <w:rFonts w:cs="Arial"/>
          <w:bCs/>
        </w:rPr>
        <w:t>o zarządzaniu kryzysowym, zagospodarowaniu przestrzennym oraz o </w:t>
      </w:r>
      <w:r w:rsidRPr="00F21196">
        <w:rPr>
          <w:rFonts w:cs="Arial"/>
        </w:rPr>
        <w:t xml:space="preserve">stanie klęski żywiołowej. </w:t>
      </w:r>
    </w:p>
    <w:p w14:paraId="300C4644" w14:textId="77777777" w:rsidR="00B53DEC" w:rsidRPr="00F21196" w:rsidRDefault="00B53DEC" w:rsidP="00B53DEC">
      <w:pPr>
        <w:spacing w:after="0" w:line="276" w:lineRule="auto"/>
        <w:jc w:val="both"/>
        <w:rPr>
          <w:rFonts w:cs="Verdana"/>
          <w:b/>
        </w:rPr>
      </w:pPr>
      <w:r w:rsidRPr="00F21196">
        <w:rPr>
          <w:rFonts w:cs="Arial"/>
        </w:rPr>
        <w:t>Od czasu reformy ustrojowej w RP część zadań w dziedzinie obrony cywilnej straciła swą funkcjonalność, a część straciła podstawę prawną</w:t>
      </w:r>
      <w:r>
        <w:rPr>
          <w:rFonts w:cs="Arial"/>
        </w:rPr>
        <w:t>,</w:t>
      </w:r>
      <w:r w:rsidRPr="00F21196">
        <w:rPr>
          <w:rFonts w:cs="Arial"/>
        </w:rPr>
        <w:t xml:space="preserve"> w momencie wykreślenia art. 140 z ustawy o powszechnym obowiązku obrony RP. Zmiany w tym zakresie dokonywane w ciągu ostatnich 18 lat były działaniami doraźnymi. Należy stwierdzić, że reforma ustrojowa w obszarze obrony cywilnej rozpoczęta w 1998 r. nie została zakończona.</w:t>
      </w:r>
    </w:p>
    <w:p w14:paraId="59091775" w14:textId="77777777" w:rsidR="004D06E5" w:rsidRPr="00F21196" w:rsidRDefault="00B53DEC" w:rsidP="004D06E5">
      <w:pPr>
        <w:spacing w:after="0" w:line="276" w:lineRule="auto"/>
        <w:jc w:val="both"/>
        <w:rPr>
          <w:rFonts w:cs="Arial"/>
        </w:rPr>
      </w:pPr>
      <w:r w:rsidRPr="00F21196">
        <w:rPr>
          <w:rFonts w:cs="Arial"/>
        </w:rPr>
        <w:t xml:space="preserve">Podstawową trudnością w kompleksowej realizacji przez samorządy działań na rzecz poprawy bezpieczeństwa jest ich </w:t>
      </w:r>
      <w:r>
        <w:rPr>
          <w:rFonts w:cs="Arial"/>
        </w:rPr>
        <w:t xml:space="preserve">błędnie </w:t>
      </w:r>
      <w:r w:rsidRPr="00F21196">
        <w:rPr>
          <w:rFonts w:cs="Arial"/>
        </w:rPr>
        <w:t xml:space="preserve">pojmowana niezależność doprowadzająca do paradoksalnych sytuacji, gdy samorząd powiatowy nawet chcąc udzielić pomocy swoim mieszkańcom, nie może tego uczynić, jeśli zadanie z tym związane jest zadaniem własnym samorządu gminnego. Ograniczenia tego nie przełamuje nawet fakt wyczerpania możliwości działania samorządu gminnego w sytuacji szczególnie dotkliwych zagrożeń i ich skutków. Zgodnie z obecnie obowiązującym prawem nie ma w Polsce organu, na którym spoczywałby obowiązek opracowywania </w:t>
      </w:r>
      <w:r>
        <w:rPr>
          <w:rFonts w:cs="Arial"/>
        </w:rPr>
        <w:t>p</w:t>
      </w:r>
      <w:r w:rsidRPr="00F21196">
        <w:rPr>
          <w:rFonts w:cs="Arial"/>
        </w:rPr>
        <w:t xml:space="preserve">lanu </w:t>
      </w:r>
      <w:r>
        <w:rPr>
          <w:rFonts w:cs="Arial"/>
        </w:rPr>
        <w:t>o</w:t>
      </w:r>
      <w:r w:rsidRPr="00F21196">
        <w:rPr>
          <w:rFonts w:cs="Arial"/>
        </w:rPr>
        <w:t xml:space="preserve">brony </w:t>
      </w:r>
      <w:r>
        <w:rPr>
          <w:rFonts w:cs="Arial"/>
        </w:rPr>
        <w:t>c</w:t>
      </w:r>
      <w:r w:rsidRPr="00F21196">
        <w:rPr>
          <w:rFonts w:cs="Arial"/>
        </w:rPr>
        <w:t xml:space="preserve">ywilnej </w:t>
      </w:r>
      <w:r>
        <w:rPr>
          <w:rFonts w:cs="Arial"/>
        </w:rPr>
        <w:t>p</w:t>
      </w:r>
      <w:r w:rsidRPr="00F21196">
        <w:rPr>
          <w:rFonts w:cs="Arial"/>
        </w:rPr>
        <w:t xml:space="preserve">aństwa. Brak jest również regulacji dotyczących kształtu przedmiotowego planu. </w:t>
      </w:r>
      <w:r>
        <w:rPr>
          <w:rFonts w:cs="Arial"/>
        </w:rPr>
        <w:t xml:space="preserve">Obecnie </w:t>
      </w:r>
      <w:r w:rsidRPr="00F21196">
        <w:rPr>
          <w:rFonts w:cs="Arial"/>
        </w:rPr>
        <w:t xml:space="preserve">jedynie odpowiedni przepis w rozporządzeniu Rady Ministrów z dnia 25 czerwca 2002 r. w sprawie szczegółowego zakresu działania Szefa Obrony Cywilnej Kraju, szefów obrony cywilnej województw, powiatów i gmin mówi, że Szef OCK ma obowiązek uzgadniania projektu planu obrony cywilnej państwa z Ministrem Obrony </w:t>
      </w:r>
      <w:r w:rsidR="004D06E5" w:rsidRPr="00F21196">
        <w:rPr>
          <w:rFonts w:cs="Arial"/>
        </w:rPr>
        <w:t xml:space="preserve">Narodowej oraz innymi ministrami. Rozporządzenie to nie nakłada na Szefa Obrony Cywilnej Kraju obowiązku przygotowania projektu planu obrony cywilnej państwa. </w:t>
      </w:r>
    </w:p>
    <w:p w14:paraId="4CD5CE93" w14:textId="77777777" w:rsidR="004D06E5" w:rsidRDefault="004D06E5" w:rsidP="004D06E5">
      <w:pPr>
        <w:spacing w:after="120" w:line="276" w:lineRule="auto"/>
        <w:jc w:val="both"/>
        <w:rPr>
          <w:rFonts w:cs="Arial"/>
        </w:rPr>
      </w:pPr>
      <w:r w:rsidRPr="00F21196">
        <w:rPr>
          <w:rFonts w:cs="Arial"/>
        </w:rPr>
        <w:t xml:space="preserve">Ważnym krokiem w kierunku prawnego uregulowanie systemowych kwestii związanych z ochroną ludności i obroną cywilną </w:t>
      </w:r>
      <w:r>
        <w:rPr>
          <w:rFonts w:cs="Arial"/>
        </w:rPr>
        <w:t xml:space="preserve">powinno być </w:t>
      </w:r>
      <w:r w:rsidRPr="00F21196">
        <w:rPr>
          <w:rFonts w:cs="Arial"/>
        </w:rPr>
        <w:t xml:space="preserve">przygotowanie </w:t>
      </w:r>
      <w:r>
        <w:rPr>
          <w:rFonts w:cs="Arial"/>
        </w:rPr>
        <w:t xml:space="preserve">projektu regulacji </w:t>
      </w:r>
      <w:r w:rsidRPr="00F21196">
        <w:rPr>
          <w:rFonts w:cs="Arial"/>
        </w:rPr>
        <w:t>w tym zakresie</w:t>
      </w:r>
      <w:r>
        <w:rPr>
          <w:rFonts w:cs="Arial"/>
        </w:rPr>
        <w:t>.</w:t>
      </w:r>
    </w:p>
    <w:p w14:paraId="55096BE1" w14:textId="06006AAD" w:rsidR="00B53DEC" w:rsidRPr="00690802" w:rsidRDefault="00B53DEC" w:rsidP="004D06E5">
      <w:pPr>
        <w:spacing w:after="0" w:line="276" w:lineRule="auto"/>
        <w:jc w:val="both"/>
        <w:rPr>
          <w:rFonts w:cs="Arial"/>
        </w:rPr>
      </w:pPr>
      <w:r w:rsidRPr="00832273">
        <w:rPr>
          <w:rFonts w:ascii="Calibri" w:eastAsia="Calibri" w:hAnsi="Calibri" w:cs="Arial"/>
          <w:b/>
          <w:spacing w:val="4"/>
          <w:sz w:val="21"/>
          <w:szCs w:val="21"/>
        </w:rPr>
        <w:t>Ratownictwo morskie.</w:t>
      </w:r>
      <w:r w:rsidRPr="00A2575C">
        <w:rPr>
          <w:rFonts w:cs="Arial"/>
          <w:spacing w:val="4"/>
        </w:rPr>
        <w:t xml:space="preserve"> </w:t>
      </w:r>
      <w:r w:rsidRPr="00A2575C">
        <w:rPr>
          <w:rStyle w:val="Tekstpodstawowy2"/>
          <w:rFonts w:asciiTheme="minorHAnsi" w:hAnsiTheme="minorHAnsi" w:cs="Arial"/>
          <w:sz w:val="22"/>
          <w:szCs w:val="22"/>
          <w:u w:val="none"/>
        </w:rPr>
        <w:t xml:space="preserve">Rozwój polskich portów morskich, przejawiający się między innymi stałym wzrostem </w:t>
      </w:r>
      <w:r w:rsidRPr="00690802">
        <w:rPr>
          <w:rFonts w:cs="Arial"/>
        </w:rPr>
        <w:t>przeładunków wykonywanych w polskich portach morskich</w:t>
      </w:r>
      <w:r w:rsidRPr="00C36CC9">
        <w:rPr>
          <w:rFonts w:cs="Arial"/>
          <w:vertAlign w:val="superscript"/>
        </w:rPr>
        <w:footnoteReference w:id="104"/>
      </w:r>
      <w:r>
        <w:rPr>
          <w:rFonts w:cs="Arial"/>
        </w:rPr>
        <w:t>,</w:t>
      </w:r>
      <w:r w:rsidRPr="009D11CB">
        <w:rPr>
          <w:rFonts w:cs="Arial"/>
        </w:rPr>
        <w:t xml:space="preserve"> wiąż</w:t>
      </w:r>
      <w:r>
        <w:rPr>
          <w:rFonts w:cs="Arial"/>
        </w:rPr>
        <w:t>e</w:t>
      </w:r>
      <w:r w:rsidRPr="009D11CB">
        <w:rPr>
          <w:rFonts w:cs="Arial"/>
        </w:rPr>
        <w:t xml:space="preserve"> się z intensyfikacją żeglugi handlowej</w:t>
      </w:r>
      <w:r w:rsidRPr="00C36CC9">
        <w:rPr>
          <w:rFonts w:cs="Arial"/>
          <w:vertAlign w:val="superscript"/>
        </w:rPr>
        <w:footnoteReference w:id="105"/>
      </w:r>
      <w:r w:rsidRPr="009D11CB">
        <w:rPr>
          <w:rFonts w:cs="Arial"/>
        </w:rPr>
        <w:t xml:space="preserve"> </w:t>
      </w:r>
      <w:r>
        <w:rPr>
          <w:rFonts w:cs="Arial"/>
        </w:rPr>
        <w:br/>
      </w:r>
      <w:r w:rsidRPr="009D11CB">
        <w:rPr>
          <w:rFonts w:cs="Arial"/>
        </w:rPr>
        <w:t>w polskich obszarach morskich, obejmując</w:t>
      </w:r>
      <w:r w:rsidRPr="00C86216">
        <w:rPr>
          <w:rFonts w:cs="Arial"/>
        </w:rPr>
        <w:t>ą transport substancji niebezpiecznych (np. skroplony gaz ziemny LNG), a także z przewidywanym zwięk</w:t>
      </w:r>
      <w:r w:rsidRPr="00C36CC9">
        <w:rPr>
          <w:rFonts w:cs="Arial"/>
        </w:rPr>
        <w:t>szeniem natężenia ruchu statków na obszarach wrażliwych przyrodniczo (Zalew Wiślany, Zalew Szczeciński)</w:t>
      </w:r>
      <w:r w:rsidRPr="00A2575C">
        <w:rPr>
          <w:rStyle w:val="Tekstpodstawowy2"/>
          <w:rFonts w:asciiTheme="minorHAnsi" w:hAnsiTheme="minorHAnsi" w:cs="Arial"/>
          <w:sz w:val="22"/>
          <w:szCs w:val="22"/>
          <w:u w:val="none"/>
        </w:rPr>
        <w:t xml:space="preserve">. Odnotowano również intensyfikację </w:t>
      </w:r>
      <w:r w:rsidRPr="00C36CC9">
        <w:rPr>
          <w:rFonts w:cs="Arial"/>
        </w:rPr>
        <w:t>morskiej żeglugi pasażerskiej</w:t>
      </w:r>
      <w:r w:rsidRPr="00C36CC9">
        <w:rPr>
          <w:rFonts w:cs="Arial"/>
          <w:vertAlign w:val="superscript"/>
        </w:rPr>
        <w:footnoteReference w:id="106"/>
      </w:r>
      <w:r w:rsidRPr="009D11CB">
        <w:rPr>
          <w:rFonts w:cs="Arial"/>
        </w:rPr>
        <w:t xml:space="preserve"> (promy, wycieczkowce)</w:t>
      </w:r>
      <w:r>
        <w:rPr>
          <w:rFonts w:cs="Arial"/>
        </w:rPr>
        <w:t xml:space="preserve">, a </w:t>
      </w:r>
      <w:r w:rsidRPr="009D11CB">
        <w:rPr>
          <w:rFonts w:cs="Arial"/>
        </w:rPr>
        <w:t>polskie miasta i gminy nadmorskie cieszą się coraz większą popularnością wśród polskich</w:t>
      </w:r>
      <w:r>
        <w:rPr>
          <w:rFonts w:cs="Arial"/>
        </w:rPr>
        <w:br/>
      </w:r>
      <w:r w:rsidRPr="009D11CB">
        <w:rPr>
          <w:rFonts w:cs="Arial"/>
        </w:rPr>
        <w:t>i zagranicznych turystów</w:t>
      </w:r>
      <w:r w:rsidRPr="00C36CC9">
        <w:rPr>
          <w:rFonts w:cs="Arial"/>
          <w:vertAlign w:val="superscript"/>
        </w:rPr>
        <w:footnoteReference w:id="107"/>
      </w:r>
      <w:r w:rsidRPr="009D11CB">
        <w:rPr>
          <w:rFonts w:cs="Arial"/>
        </w:rPr>
        <w:t xml:space="preserve"> uprawiających na Bałtyku żeglugę sportową i rekreacyjną (jachty motorowe</w:t>
      </w:r>
      <w:r>
        <w:rPr>
          <w:rFonts w:cs="Arial"/>
        </w:rPr>
        <w:br/>
      </w:r>
      <w:r w:rsidRPr="009D11CB">
        <w:rPr>
          <w:rFonts w:cs="Arial"/>
        </w:rPr>
        <w:t>i żaglowe).</w:t>
      </w:r>
      <w:r w:rsidRPr="00A2575C">
        <w:rPr>
          <w:rStyle w:val="Tekstpodstawowy2"/>
          <w:rFonts w:asciiTheme="minorHAnsi" w:hAnsiTheme="minorHAnsi" w:cs="Arial"/>
          <w:sz w:val="22"/>
          <w:szCs w:val="22"/>
          <w:u w:val="none"/>
        </w:rPr>
        <w:t xml:space="preserve"> </w:t>
      </w:r>
      <w:r w:rsidRPr="005A375D">
        <w:rPr>
          <w:rFonts w:cs="Arial"/>
        </w:rPr>
        <w:t>Potencjał transportu morskiego oraz znaczenie morskich portów dla gospodarki narodowej</w:t>
      </w:r>
      <w:r>
        <w:rPr>
          <w:rFonts w:cs="Arial"/>
        </w:rPr>
        <w:br/>
      </w:r>
      <w:r w:rsidRPr="005A375D">
        <w:rPr>
          <w:rFonts w:cs="Arial"/>
        </w:rPr>
        <w:t xml:space="preserve">i bezpieczeństwa energetycznego państwa zostały uwzględnione między innymi w ramach programowania wielkoformatowych inwestycji rządowych, wśród których znalazły się przedsięwzięcia, takie jak </w:t>
      </w:r>
      <w:r>
        <w:rPr>
          <w:rFonts w:cs="Arial"/>
        </w:rPr>
        <w:t>roz</w:t>
      </w:r>
      <w:r w:rsidRPr="005A375D">
        <w:rPr>
          <w:rFonts w:cs="Arial"/>
        </w:rPr>
        <w:t xml:space="preserve">budowa morskiego terminalu LNG w Świnoujściu, budowa drogi wodnej łączącej Zalew Wiślany z Zatoką Gdańską oraz pogłębienie toru wodnego między portami w Świnoujściu i w Szczecinie. </w:t>
      </w:r>
      <w:r>
        <w:rPr>
          <w:rFonts w:cs="Arial"/>
        </w:rPr>
        <w:t>Dodatkowym</w:t>
      </w:r>
      <w:r w:rsidRPr="00C36CC9">
        <w:rPr>
          <w:rFonts w:cs="Arial"/>
        </w:rPr>
        <w:t xml:space="preserve"> aspektem, który należy</w:t>
      </w:r>
      <w:r>
        <w:rPr>
          <w:rFonts w:cs="Arial"/>
        </w:rPr>
        <w:t xml:space="preserve"> brać</w:t>
      </w:r>
      <w:r w:rsidRPr="00C36CC9">
        <w:rPr>
          <w:rFonts w:cs="Arial"/>
        </w:rPr>
        <w:t xml:space="preserve"> pod uwagę </w:t>
      </w:r>
      <w:r>
        <w:rPr>
          <w:rFonts w:cs="Arial"/>
        </w:rPr>
        <w:t>projektując</w:t>
      </w:r>
      <w:r w:rsidRPr="00C36CC9">
        <w:rPr>
          <w:rFonts w:cs="Arial"/>
        </w:rPr>
        <w:t xml:space="preserve"> zabezpieczeni</w:t>
      </w:r>
      <w:r>
        <w:rPr>
          <w:rFonts w:cs="Arial"/>
        </w:rPr>
        <w:t>e</w:t>
      </w:r>
      <w:r w:rsidRPr="00C36CC9">
        <w:rPr>
          <w:rFonts w:cs="Arial"/>
        </w:rPr>
        <w:t xml:space="preserve"> ratownicze polskich obszarów morskich jest planowany rozwój morskiej energetyki wiatrowej. </w:t>
      </w:r>
      <w:r>
        <w:rPr>
          <w:rFonts w:cs="Arial"/>
        </w:rPr>
        <w:t>I</w:t>
      </w:r>
      <w:r w:rsidRPr="005A375D">
        <w:rPr>
          <w:rFonts w:cs="Arial"/>
        </w:rPr>
        <w:t>nwestycje polegające na budowie morskich farm wiatrowych będą oddziaływać na bezpieczeństwo żeglugi w polskich obszarach morskich</w:t>
      </w:r>
      <w:r w:rsidRPr="00D95F83">
        <w:rPr>
          <w:rFonts w:cs="Arial"/>
        </w:rPr>
        <w:t xml:space="preserve"> w okresie kolejnych kilkudziesięciu lat (okres budowy, eksploatacji i likwidacji</w:t>
      </w:r>
      <w:r w:rsidRPr="00981231">
        <w:rPr>
          <w:rFonts w:cs="Arial"/>
        </w:rPr>
        <w:t xml:space="preserve"> morskich farm wiatrowych</w:t>
      </w:r>
      <w:r w:rsidRPr="00690802">
        <w:rPr>
          <w:rFonts w:cs="Arial"/>
        </w:rPr>
        <w:t>).</w:t>
      </w:r>
    </w:p>
    <w:p w14:paraId="657C8CC0" w14:textId="5753B0E2" w:rsidR="00B53DEC" w:rsidRPr="005A375D" w:rsidRDefault="00B53DEC" w:rsidP="00B53DEC">
      <w:pPr>
        <w:autoSpaceDE w:val="0"/>
        <w:autoSpaceDN w:val="0"/>
        <w:adjustRightInd w:val="0"/>
        <w:spacing w:after="0" w:line="276" w:lineRule="auto"/>
        <w:jc w:val="both"/>
        <w:rPr>
          <w:rFonts w:cs="Arial"/>
        </w:rPr>
      </w:pPr>
      <w:r w:rsidRPr="00A2575C">
        <w:rPr>
          <w:rStyle w:val="Tekstpodstawowy2"/>
          <w:rFonts w:asciiTheme="minorHAnsi" w:hAnsiTheme="minorHAnsi" w:cs="Arial"/>
          <w:sz w:val="22"/>
          <w:szCs w:val="22"/>
          <w:u w:val="none"/>
        </w:rPr>
        <w:t xml:space="preserve">Konsekwencją opisanych powyżej trendów jest </w:t>
      </w:r>
      <w:r w:rsidRPr="00174CAD">
        <w:t xml:space="preserve">zwiększanie natężenia ruchu morskiego w polskich obszarach morskich </w:t>
      </w:r>
      <w:r>
        <w:t>oraz</w:t>
      </w:r>
      <w:r w:rsidRPr="00174CAD">
        <w:t xml:space="preserve"> prawdopodobieństwa wystąpienia wypadków na pokładach lub z udziałem statków</w:t>
      </w:r>
      <w:r w:rsidRPr="00174CAD">
        <w:rPr>
          <w:vertAlign w:val="superscript"/>
        </w:rPr>
        <w:footnoteReference w:id="108"/>
      </w:r>
      <w:r w:rsidRPr="00A2575C">
        <w:rPr>
          <w:rStyle w:val="Tekstpodstawowy2"/>
          <w:rFonts w:asciiTheme="minorHAnsi" w:hAnsiTheme="minorHAnsi" w:cs="Arial"/>
          <w:sz w:val="22"/>
          <w:szCs w:val="22"/>
          <w:u w:val="none"/>
        </w:rPr>
        <w:t xml:space="preserve"> pasażerskich i towarowych (kontenerowców, masowców, chemikaliowców etc.), a także jednostek rekreacyjnych i sportowych. Wypadki te (np. kolizje statków, wejścia na mieliznę) stanowią zagrożenie dla życia i zdrowia ludzkiego oraz środowiska naturalnego, mogą również zagrażać funkcjonowaniu portów morskich i negatywnie wpływać na interesy przedsiębiorców z sektora gospodarki morskiej, a także mogą mieć katastrofalny wpływ na gospodarkę gmin nadmorskich (np. w przypadku zanieczyszczenia polskich plaż substancjami ropopochodnymi). Państwowe jednostki organizacyjne odpowiedzialne za zapewnienie bezpieczeństwa na morzu, w tym Morska Służba Poszukiwania i Ratownictwa (Służba SAR) oraz podmioty z nią współdziałające, wymagają wzmocnienia m.in. w postaci doposażenia w nowoczesny sprzęt ratowniczy przystosowany do zmieniającej się specyfiki zagrożeń związanych z rozwojem krajowej gospodarki morskiej.</w:t>
      </w:r>
    </w:p>
    <w:p w14:paraId="76307ECF" w14:textId="77777777" w:rsidR="00B53DEC" w:rsidRPr="00F21196" w:rsidRDefault="00B53DEC" w:rsidP="00B53DEC">
      <w:pPr>
        <w:autoSpaceDE w:val="0"/>
        <w:autoSpaceDN w:val="0"/>
        <w:adjustRightInd w:val="0"/>
        <w:spacing w:after="0" w:line="276" w:lineRule="auto"/>
        <w:jc w:val="both"/>
        <w:rPr>
          <w:b/>
        </w:rPr>
      </w:pPr>
    </w:p>
    <w:p w14:paraId="3D7DBBF7" w14:textId="77777777" w:rsidR="00B53DEC" w:rsidRPr="00F21196" w:rsidRDefault="00B53DEC" w:rsidP="00B53DEC">
      <w:pPr>
        <w:spacing w:line="276" w:lineRule="auto"/>
        <w:jc w:val="both"/>
      </w:pPr>
      <w:r w:rsidRPr="00F21196">
        <w:rPr>
          <w:b/>
        </w:rPr>
        <w:t>Bezpieczeństwo migracyjne.</w:t>
      </w:r>
      <w:r w:rsidRPr="00F21196">
        <w:t xml:space="preserve"> Migracje międzynarodowe, jak każde zjawisko społeczne, przynoszą społeczeństwom państw zaangażowanych zarówno korzyści, jak i zagrożenia. Celem zapewnienia bezpieczeństwa migracyjnego jest przeciwdziałanie i ograniczanie występowania i skutków zagrożeń, w celu maksymalizacji pozytywnych efektów migracji</w:t>
      </w:r>
      <w:r w:rsidRPr="003335F2">
        <w:t>.</w:t>
      </w:r>
      <w:r w:rsidRPr="003335F2">
        <w:rPr>
          <w:b/>
          <w:color w:val="FF0000"/>
        </w:rPr>
        <w:t xml:space="preserve"> </w:t>
      </w:r>
      <w:r w:rsidRPr="003335F2">
        <w:t xml:space="preserve">Ważnym aspektem zapewnienia tego typu bezpieczeństwa jest przygotowanie się właściwych struktur administracji na potencjalne ryzyko napływu dużej liczby migrantów do Polski. </w:t>
      </w:r>
      <w:r w:rsidRPr="00F21196">
        <w:t xml:space="preserve"> </w:t>
      </w:r>
    </w:p>
    <w:p w14:paraId="1BA0DACF" w14:textId="59504851" w:rsidR="00B53DEC" w:rsidRPr="00E112C0" w:rsidRDefault="00B53DEC" w:rsidP="00B53DEC">
      <w:pPr>
        <w:pStyle w:val="Tekstkomentarza"/>
        <w:spacing w:line="276" w:lineRule="auto"/>
        <w:jc w:val="both"/>
        <w:rPr>
          <w:sz w:val="22"/>
          <w:szCs w:val="22"/>
        </w:rPr>
      </w:pPr>
      <w:r w:rsidRPr="00E112C0">
        <w:rPr>
          <w:sz w:val="22"/>
          <w:szCs w:val="22"/>
        </w:rPr>
        <w:t>Od kilku lat (ze szczególnym wzrostem dynamiki od 2014 r.) rośnie napływ migrantów zarobkowych oraz cudzoziemców zainteresowanych długoterminowym pobytem w Polsce. Pod koniec 2011 r. w Pol</w:t>
      </w:r>
      <w:r>
        <w:rPr>
          <w:sz w:val="22"/>
          <w:szCs w:val="22"/>
        </w:rPr>
        <w:t>s</w:t>
      </w:r>
      <w:r w:rsidRPr="00E112C0">
        <w:rPr>
          <w:sz w:val="22"/>
          <w:szCs w:val="22"/>
        </w:rPr>
        <w:t xml:space="preserve">ce przebywało niewiele ponad 100 tys. cudzoziemców posiadających ważne </w:t>
      </w:r>
      <w:r w:rsidRPr="009373E8">
        <w:rPr>
          <w:sz w:val="22"/>
          <w:szCs w:val="22"/>
        </w:rPr>
        <w:t>karty pobytu</w:t>
      </w:r>
      <w:r w:rsidRPr="00E112C0">
        <w:rPr>
          <w:sz w:val="22"/>
          <w:szCs w:val="22"/>
        </w:rPr>
        <w:t xml:space="preserve">, w 2017 r. liczba </w:t>
      </w:r>
      <w:r w:rsidRPr="009373E8">
        <w:rPr>
          <w:sz w:val="22"/>
          <w:szCs w:val="22"/>
        </w:rPr>
        <w:t>cudzoziemców posiadających ważne dokumenty potwierdzającego prawo pobytu w Polsce</w:t>
      </w:r>
      <w:r w:rsidRPr="00E112C0">
        <w:rPr>
          <w:sz w:val="22"/>
          <w:szCs w:val="22"/>
        </w:rPr>
        <w:t xml:space="preserve"> przekroczyła </w:t>
      </w:r>
      <w:r w:rsidRPr="009373E8">
        <w:rPr>
          <w:sz w:val="22"/>
          <w:szCs w:val="22"/>
        </w:rPr>
        <w:t>325</w:t>
      </w:r>
      <w:r w:rsidRPr="00E112C0">
        <w:rPr>
          <w:sz w:val="22"/>
          <w:szCs w:val="22"/>
        </w:rPr>
        <w:t xml:space="preserve"> tys., natomiast na koniec 2019 roku </w:t>
      </w:r>
      <w:r w:rsidRPr="009373E8">
        <w:rPr>
          <w:sz w:val="22"/>
          <w:szCs w:val="22"/>
        </w:rPr>
        <w:t>- 422</w:t>
      </w:r>
      <w:r w:rsidRPr="00E112C0">
        <w:rPr>
          <w:sz w:val="22"/>
          <w:szCs w:val="22"/>
        </w:rPr>
        <w:t xml:space="preserve"> tys</w:t>
      </w:r>
      <w:r>
        <w:rPr>
          <w:sz w:val="22"/>
          <w:szCs w:val="22"/>
        </w:rPr>
        <w:t>.</w:t>
      </w:r>
      <w:r>
        <w:rPr>
          <w:rStyle w:val="Odwoanieprzypisudolnego"/>
          <w:sz w:val="22"/>
          <w:szCs w:val="22"/>
        </w:rPr>
        <w:footnoteReference w:id="109"/>
      </w:r>
      <w:r>
        <w:rPr>
          <w:sz w:val="22"/>
          <w:szCs w:val="22"/>
        </w:rPr>
        <w:t xml:space="preserve">. </w:t>
      </w:r>
      <w:r w:rsidRPr="00E112C0">
        <w:rPr>
          <w:sz w:val="22"/>
          <w:szCs w:val="22"/>
        </w:rPr>
        <w:t>Wynika to przede wszystkim z coraz większych braków w podaży siły roboczej, co zdaniem organizacji przedsiębiorców, w niektórych branżach stanowi najpoważniejsze wyzwanie dla utrzymania potencjału wzrostu. Po stronie państwa wzmożony napływ imigracyjny rodzi poważne wyzwania w zakresie m.in. zapewnienia zasobów i zdolności administracji do obsługi procedur związanych z pracą i pobytem migrantów zarobkowych oraz zapewnienia kontroli państwa nad napływem migrantów, w tym w zakresie legalności pracy i pobytu cudzoziemców. Stwierdzane obecnie niedostatki to, przede wszystkim, brak odpowiedniej liczby etatów do obsługi procedur legalizacji zatrudnienia w powiatowych urzędach pracy, urzędach wojewódzkich i administracji centralnej (Urząd do Spraw Cudz</w:t>
      </w:r>
      <w:r w:rsidR="00AE3C93">
        <w:rPr>
          <w:sz w:val="22"/>
          <w:szCs w:val="22"/>
        </w:rPr>
        <w:t xml:space="preserve">oziemców, Ministerstwo Rodziny </w:t>
      </w:r>
      <w:r w:rsidRPr="00E112C0">
        <w:rPr>
          <w:sz w:val="22"/>
          <w:szCs w:val="22"/>
        </w:rPr>
        <w:t xml:space="preserve"> i Polityki Społecznej). Konieczny jest rozwój sprawnej, opartej na systemach elektronicznych, wymiany danych pomiędzy instytucjami zaangażowanymi w procedury legalizacji zatrudnienia cudzoziemców (m.in. MRiPS, UdSC, SG, MSZ, ZUS, KAS, urzędy pracy, urzędy wojewódzkie); znaczące działania w tym obszarze podjęto w związku z nowelizacją przepisów ustawy o promocji zatrudnienia i instytucjach rynku pracy, które weszły w życie 1 stycznia 2018 r. Działania te są obecnie kontynuowane, należy jednak pamięta</w:t>
      </w:r>
      <w:r>
        <w:rPr>
          <w:sz w:val="22"/>
          <w:szCs w:val="22"/>
        </w:rPr>
        <w:t>ć</w:t>
      </w:r>
      <w:r w:rsidRPr="00E112C0">
        <w:rPr>
          <w:sz w:val="22"/>
          <w:szCs w:val="22"/>
        </w:rPr>
        <w:t>, że wymagają one przeznaczania bardzo dużych środków m.in. na rozwój nowych technologii czy szkolenia pracowników.</w:t>
      </w:r>
    </w:p>
    <w:p w14:paraId="04F6F625" w14:textId="62AC7C86" w:rsidR="00B53DEC" w:rsidRPr="00F21196" w:rsidRDefault="00B53DEC" w:rsidP="00B53DEC">
      <w:pPr>
        <w:spacing w:line="276" w:lineRule="auto"/>
        <w:jc w:val="both"/>
      </w:pPr>
      <w:r w:rsidRPr="00E112C0">
        <w:t>Na terytorium kraju istotną rolę odgrywają prowadzone wobec cudzoziemców działania kontrolno-weryfikacyjne. Kontrole legalności pobytu i wykonywania pracy przez cudzoziemców, prowadzenia działalności gospodarczej oraz powierzania wykonywania pracy cudzoziemcom, to główne narzędzia zapewniania bezpieczeństwa migracyjn</w:t>
      </w:r>
      <w:r>
        <w:t>ego, realizowane, między innymi</w:t>
      </w:r>
      <w:r w:rsidRPr="00E112C0">
        <w:t xml:space="preserve"> przez Straż Graniczną, a w zakresie zatrudnienia – także przez Państwową Inspekcję Pracy. </w:t>
      </w:r>
      <w:r w:rsidRPr="000973C0">
        <w:rPr>
          <w:szCs w:val="28"/>
        </w:rPr>
        <w:t xml:space="preserve">Potencjalnym niedostatkiem, będącym wyzwaniem dla instytucji i służb właściwych w sprawach kontroli nad napływem i pobytem migrantów, może być brak zintegrowanych strategii oraz metod ich współdziałania, w celu optymalizacji przedsięwzięć. Dotyczy to zarówno szerokiego rozpoznania (w tym wymiany informacji i analiz), jak i skoordynowanych, wspólnych przedsięwzięć tzw. kompensacyjnych na terytorium Polski </w:t>
      </w:r>
      <w:r w:rsidRPr="000973C0">
        <w:rPr>
          <w:rStyle w:val="Odwoanieprzypisudolnego"/>
          <w:szCs w:val="28"/>
        </w:rPr>
        <w:footnoteReference w:id="110"/>
      </w:r>
      <w:r w:rsidRPr="000973C0">
        <w:rPr>
          <w:szCs w:val="28"/>
        </w:rPr>
        <w:t xml:space="preserve"> (także w strefie nadgranicznej odcinków granicy RP stanowiących granicę wewnętrzną strefy Schengen</w:t>
      </w:r>
      <w:r w:rsidR="000973C0">
        <w:rPr>
          <w:szCs w:val="28"/>
        </w:rPr>
        <w:t>).</w:t>
      </w:r>
      <w:r>
        <w:rPr>
          <w:sz w:val="28"/>
          <w:szCs w:val="28"/>
        </w:rPr>
        <w:t xml:space="preserve"> </w:t>
      </w:r>
      <w:r w:rsidRPr="00934B12">
        <w:t>Sytuacja ta, połączona z niedostatkami kadrowymi, sprzyja podatności RP na zagrożenia migracyjne, dlatego szczególnego znaczenia ma właściwie zintegrowane współdziałanie właściwych służb i instytucji w ramach dwóch, komplementarnych systemów: migracyjnym (Polska Polityka Migracyjna) i zarządzania granicą państwową RP.</w:t>
      </w:r>
    </w:p>
    <w:p w14:paraId="114D8CBC" w14:textId="51499FFA" w:rsidR="00B53DEC" w:rsidRDefault="00B53DEC" w:rsidP="00B53DEC">
      <w:pPr>
        <w:jc w:val="both"/>
      </w:pPr>
      <w:r w:rsidRPr="00902266">
        <w:t>Sprawne prowadzenie postępowań o pozbawienie ochrony wymaga powołania wyspecjalizowanej komórki w strukturach UDSC oraz wzmocnienia współpracy z instytucjami posiadającymi niezbędną wiedzę.</w:t>
      </w:r>
      <w:r>
        <w:t xml:space="preserve"> </w:t>
      </w:r>
      <w:r w:rsidRPr="00902266">
        <w:t xml:space="preserve">Poprawę </w:t>
      </w:r>
      <w:r>
        <w:t xml:space="preserve">powyższej sytuacji może zapewnić wzmocnienie </w:t>
      </w:r>
      <w:r w:rsidRPr="00902266">
        <w:t>kadrowe właściwych organów</w:t>
      </w:r>
      <w:r>
        <w:t xml:space="preserve"> oraz usprawnienie procedur, m.</w:t>
      </w:r>
      <w:r w:rsidRPr="00902266">
        <w:t>in. poprzez zmianę przepisów krajowych oraz lobbing na rzecz odpowiednich zmian w we Wspólnotowym Europejskim Systemie Azylowym (WESA), który jest obecnie przebudowywany</w:t>
      </w:r>
      <w:r>
        <w:t>.</w:t>
      </w:r>
    </w:p>
    <w:p w14:paraId="671CD0FA" w14:textId="4D54CAE0" w:rsidR="00B53DEC" w:rsidRPr="00F21196" w:rsidRDefault="00B53DEC" w:rsidP="00B53DEC">
      <w:pPr>
        <w:jc w:val="both"/>
      </w:pPr>
      <w:r w:rsidRPr="00F21196">
        <w:t>W ostatnim czasie odnotowuje się zwiększającą się liczbę cudzoziemców przebywających w Polsce na podstawie tytułów pobytowych różnej kategorii, w szczególności odnotowywany jest wzrost zainteresowania Polską ze strony cudzoziemców i traktowanie naszego kraju nie tylko jako kraju tranzytowego, ale coraz częściej także i docelowego. Zaobserwowano zjawisko rejestrowania działalności gospodarczej w Polsce, głównie przez obywateli Ukrainy (np. w zakresie świadczenia usług pracy tymczasowej), jak również tworzenie przez obywateli Ukrainy spółek lub przystępowania w charakterze wspólników do już istniejących polskich podmiotów. Podmioty często poza wymogiem zarejestrowania spółki lub działalności nie prowadzą żadnej aktywności gospodarczej na terenie Rzeczypospolitej Polskiej, działając np. w formie biura wirtualnego lub podając adres skrzynki pocztowej, co utrudnia, a nawet uniemożliwia prowadzenie postępowania kontrolnego.</w:t>
      </w:r>
    </w:p>
    <w:p w14:paraId="5789E800" w14:textId="77777777" w:rsidR="00B53DEC" w:rsidRPr="00F21196" w:rsidRDefault="00B53DEC" w:rsidP="00B53DEC">
      <w:pPr>
        <w:spacing w:after="0" w:line="276" w:lineRule="auto"/>
        <w:jc w:val="both"/>
      </w:pPr>
      <w:r w:rsidRPr="00F21196">
        <w:rPr>
          <w:szCs w:val="24"/>
        </w:rPr>
        <w:t xml:space="preserve">Wśród negatywnych zjawisk związanych z migracjami rejestrowane jest zjawisko podrabiania lub </w:t>
      </w:r>
      <w:r w:rsidRPr="0092473F">
        <w:rPr>
          <w:szCs w:val="24"/>
        </w:rPr>
        <w:t>przerabiania dokumentów uzupełniających do</w:t>
      </w:r>
      <w:r>
        <w:rPr>
          <w:szCs w:val="24"/>
        </w:rPr>
        <w:t xml:space="preserve"> wniosków o wizy </w:t>
      </w:r>
      <w:r w:rsidRPr="00F21196">
        <w:rPr>
          <w:szCs w:val="24"/>
        </w:rPr>
        <w:t>lub</w:t>
      </w:r>
      <w:r w:rsidRPr="0028369E">
        <w:rPr>
          <w:szCs w:val="24"/>
        </w:rPr>
        <w:t xml:space="preserve"> w mniejszym stopniu </w:t>
      </w:r>
      <w:r w:rsidRPr="00F21196">
        <w:rPr>
          <w:szCs w:val="24"/>
        </w:rPr>
        <w:t>dokumentów podróży przedkładanych konsulowi, generujące ryzyko wyłudzenia wizy przez osoby posługujące się nieprawdziwą tożsamością</w:t>
      </w:r>
      <w:r>
        <w:rPr>
          <w:szCs w:val="24"/>
        </w:rPr>
        <w:t xml:space="preserve">. </w:t>
      </w:r>
      <w:r w:rsidRPr="00F21196">
        <w:rPr>
          <w:szCs w:val="24"/>
        </w:rPr>
        <w:t>Nadużywana jest przez obywateli RP procedura poświadczania przez urzędy wojewódzkie zaproszeń dla obywateli państw trzecich, celem ich przedłożenia konsulowi wraz z wnioskiem o wizę.</w:t>
      </w:r>
    </w:p>
    <w:p w14:paraId="60963864" w14:textId="77777777" w:rsidR="00B53DEC" w:rsidRPr="00F76DBB" w:rsidRDefault="00B53DEC" w:rsidP="00B53DEC">
      <w:pPr>
        <w:spacing w:after="0" w:line="276" w:lineRule="auto"/>
        <w:jc w:val="both"/>
      </w:pPr>
      <w:r w:rsidRPr="00F76DBB">
        <w:rPr>
          <w:rFonts w:cs="Arial"/>
        </w:rPr>
        <w:t xml:space="preserve">W Polsce świadczenie usług m.in. w zakresie pośrednictwa pracy czy pracy tymczasowej jest działalnością regulowaną, zgodnie z przepisami ustawy o promocji zatrudnienia i instytucjach rynku pracy. Prowadzenie tego rodzaju działalności wymaga uzyskania u marszałka województwa wpisu do Krajowego Rejestru Agencji Zatrudnienia. W 2017 r. zostały wprowadzone przepisy nakładające dodatkowe zobowiązania na agencje zatrudnienia kierujące do pracy cudzoziemców. </w:t>
      </w:r>
      <w:r w:rsidRPr="00F76DBB">
        <w:t>Ciągle poprawy wymaga jednak</w:t>
      </w:r>
      <w:r w:rsidRPr="00F76DBB">
        <w:rPr>
          <w:szCs w:val="24"/>
        </w:rPr>
        <w:t xml:space="preserve"> skuteczna kontrola działalności agencji zatrudnienia kierujących cudzoziemców do pracy zarobkowej w Polsce. Odnotowywane są liczne nadużycia na szkodę zarówno zagranicznych klientów tych agencji, jak i na szkodę Skarbu Państwa,</w:t>
      </w:r>
      <w:r w:rsidRPr="00F76DBB">
        <w:t xml:space="preserve"> </w:t>
      </w:r>
      <w:r w:rsidRPr="00F76DBB">
        <w:rPr>
          <w:rFonts w:cs="Arial"/>
        </w:rPr>
        <w:t xml:space="preserve">kontrole PIP ujawniają rosnącą liczbę przypadków powierzania cudzoziemcowi nielegalnego wykonywania pracy, co dotyczy zwłaszcza pracy obywateli Ukrainy. </w:t>
      </w:r>
    </w:p>
    <w:p w14:paraId="7DFE3FD9" w14:textId="4E47A58B" w:rsidR="00B53DEC" w:rsidRPr="00F76DBB" w:rsidRDefault="00B53DEC" w:rsidP="00B53DEC">
      <w:pPr>
        <w:spacing w:after="0" w:line="276" w:lineRule="auto"/>
        <w:jc w:val="both"/>
      </w:pPr>
      <w:r w:rsidRPr="00F76DBB">
        <w:t xml:space="preserve">Obserwowane są naruszenia prawa w zakresie przestrzegania przepisów regulujących kwestie związane z dostępem cudzoziemców do polskiego rynku pracy </w:t>
      </w:r>
      <w:r w:rsidR="000973C0">
        <w:t>m.in. przez</w:t>
      </w:r>
      <w:r w:rsidRPr="00F76DBB">
        <w:t xml:space="preserve"> osoby fizyczne, które w sposób nieuprawniony ułatwiają cudzoziemcom uzyskanie dokumentów uprawniających do wykonywania pracy na terytorium Rzeczypospolitej Polskiej.</w:t>
      </w:r>
    </w:p>
    <w:p w14:paraId="1DE45AC6" w14:textId="77777777" w:rsidR="00B53DEC" w:rsidRPr="00F21196" w:rsidRDefault="00B53DEC" w:rsidP="00B53DEC">
      <w:pPr>
        <w:spacing w:after="0" w:line="276" w:lineRule="auto"/>
        <w:jc w:val="both"/>
      </w:pPr>
      <w:r w:rsidRPr="00F76DBB">
        <w:t xml:space="preserve">Odnotowuje się szereg nadużyć związanych z funkcjonowaniem procedury oświadczeniowej poprzez rejestrowanie dużej liczby oświadczeń o powierzeniu wykonywania pracy, </w:t>
      </w:r>
      <w:r w:rsidRPr="00F21196">
        <w:t xml:space="preserve">która </w:t>
      </w:r>
      <w:r w:rsidRPr="00F21196">
        <w:rPr>
          <w:rFonts w:eastAsia="Times New Roman"/>
          <w:lang w:eastAsia="pl-PL"/>
        </w:rPr>
        <w:t>nie odzwierciedla faktycznych potrzeb pracodawców.</w:t>
      </w:r>
    </w:p>
    <w:p w14:paraId="5C7B29FB" w14:textId="2DA6A22F" w:rsidR="00B53DEC" w:rsidRPr="00F21196" w:rsidRDefault="00B53DEC" w:rsidP="00B53DEC">
      <w:pPr>
        <w:spacing w:after="0"/>
        <w:jc w:val="both"/>
      </w:pPr>
      <w:r w:rsidRPr="00F21196">
        <w:t xml:space="preserve">Wzrost ujawnionych </w:t>
      </w:r>
      <w:r w:rsidRPr="004D7DBF">
        <w:t>nieprawidłowości w zakresie legalności zatrudnienia</w:t>
      </w:r>
      <w:r w:rsidRPr="00F21196">
        <w:t xml:space="preserve"> cudzoziemców na terytorium RP potwierdzają rezultaty kontroli podjętych przez organy Straży Granicznej oraz Państwowej Inspekcji Pracy. Rośnie liczba ujawnionych nieprawidłowości w zakresie legalności pobytu i wykonywania pracy, a tym samym następuje wzrost liczby wydanych decyzji o zobowiązaniu cudzoziemca do powrotu.</w:t>
      </w:r>
    </w:p>
    <w:p w14:paraId="7C066A08" w14:textId="77777777" w:rsidR="00B53DEC" w:rsidRPr="00F76DBB" w:rsidRDefault="00B53DEC" w:rsidP="00B53DEC">
      <w:pPr>
        <w:spacing w:after="120"/>
        <w:jc w:val="both"/>
      </w:pPr>
      <w:r w:rsidRPr="00F76DBB">
        <w:t>Jednocześnie próba ograniczenia nadużyć, w szczególności w zakresie krótkookresowych migracji zarobkowych</w:t>
      </w:r>
      <w:r>
        <w:t>,</w:t>
      </w:r>
      <w:r w:rsidRPr="00F76DBB">
        <w:t xml:space="preserve"> została podjęta przy okazji nowelizacji w 2017 r. ustawy </w:t>
      </w:r>
      <w:r w:rsidRPr="00337561">
        <w:rPr>
          <w:i/>
        </w:rPr>
        <w:t>o promocji zatrudnienia i instytucjach rynku pracy</w:t>
      </w:r>
      <w:r>
        <w:rPr>
          <w:rStyle w:val="Odwoanieprzypisudolnego"/>
          <w:i/>
        </w:rPr>
        <w:footnoteReference w:id="111"/>
      </w:r>
      <w:r w:rsidRPr="00F76DBB">
        <w:t xml:space="preserve"> wdrażającej tzw. dyrektywę sezonową. Ustawa weszła w życie od początku 2018 r. i monitorowane są jej efekty, także w zakresie poprawy skuteczności walki z nadużyciami.</w:t>
      </w:r>
    </w:p>
    <w:p w14:paraId="1D1EABAC" w14:textId="77777777" w:rsidR="00B53DEC" w:rsidRPr="00F21196" w:rsidRDefault="00B53DEC" w:rsidP="00B53DEC">
      <w:pPr>
        <w:spacing w:after="120"/>
        <w:jc w:val="both"/>
      </w:pPr>
      <w:r w:rsidRPr="00F21196">
        <w:t xml:space="preserve">Istotnym problemem jest także nadużywanie przez cudzoziemców instytucji ochrony międzynarodowej w </w:t>
      </w:r>
      <w:r w:rsidRPr="00133ABD">
        <w:t xml:space="preserve">celu wjazdu na terytorium Polski i niezgodnej z prawem migracji do innych państw UE lub obszaru Schengen. </w:t>
      </w:r>
      <w:r w:rsidRPr="00133ABD">
        <w:rPr>
          <w:bCs/>
        </w:rPr>
        <w:t>Od wielu lat znacząca cześć wnioskodawców wykorzystuje procedurę uchodźczą w ramach tzw. wtórnych ruchów migracyjnych</w:t>
      </w:r>
      <w:r w:rsidRPr="00133ABD">
        <w:t xml:space="preserve">. Część </w:t>
      </w:r>
      <w:r w:rsidRPr="00F21196">
        <w:t>osób</w:t>
      </w:r>
      <w:r w:rsidRPr="00133ABD">
        <w:t xml:space="preserve"> spośród</w:t>
      </w:r>
      <w:r w:rsidRPr="00F21196">
        <w:t xml:space="preserve"> tej kategorii zatrzymywana jest przez Straż Graniczną w trakcie usiłowania przekroczenia granicy wbrew przepisom, część natomiast jest ponownie przekazywana do Polski. Warto podkreślić, że organizowaniem wjazdu na terytorium Polski cudzoziemców ubiegających się o ochronę międzynarodową często zajmują się wyspecjalizowane grupy przestępcze, prowadzące przemyt ludzi. Ponadto specyfika tych postępowań w wielu przypadkach utrudnia weryfikacje tożsamości cudzoziemców, co w dobie zagrożeń terrorystycznych stanowi poważne wyzwanie dla służb i instytucji odpowiedzialnych za bezpieczeństwo. </w:t>
      </w:r>
    </w:p>
    <w:p w14:paraId="3CAC9537" w14:textId="77777777" w:rsidR="00B53DEC" w:rsidRPr="00F21196" w:rsidRDefault="00B53DEC" w:rsidP="00B53DEC">
      <w:pPr>
        <w:jc w:val="both"/>
      </w:pPr>
      <w:r w:rsidRPr="00F21196">
        <w:t>Brak zapewnienia stałego finansowania rozwoju systemu teleinformatycznego, w którym prowadzony jest krajowy zbiór rejestrów, ewidencji i wykazu w sprawach cudzoziemców, powoduje brak możliwości adekwatnej odpowiedzi na potrzeby wynikające z konieczności obsługi wzrastającej liczby spraw cudzoziemców oraz problemy wynikające z wciąż zmieniających się regulacji prawnych dotyczących cudzoziemców.</w:t>
      </w:r>
    </w:p>
    <w:p w14:paraId="43E52D81" w14:textId="77777777" w:rsidR="00B53DEC" w:rsidRPr="00934B12" w:rsidRDefault="00B53DEC" w:rsidP="00B53DEC">
      <w:pPr>
        <w:pStyle w:val="Tekstprzypisudolnego"/>
        <w:spacing w:line="276" w:lineRule="auto"/>
        <w:jc w:val="both"/>
        <w:rPr>
          <w:rFonts w:asciiTheme="minorHAnsi" w:hAnsiTheme="minorHAnsi"/>
          <w:sz w:val="22"/>
          <w:szCs w:val="22"/>
        </w:rPr>
      </w:pPr>
      <w:r w:rsidRPr="00F21196">
        <w:rPr>
          <w:rFonts w:asciiTheme="minorHAnsi" w:hAnsiTheme="minorHAnsi" w:cs="Calibri"/>
          <w:b/>
          <w:sz w:val="22"/>
          <w:szCs w:val="22"/>
        </w:rPr>
        <w:t xml:space="preserve">Bezpieczeństwo granicy UE/Schengen. </w:t>
      </w:r>
      <w:r w:rsidRPr="00934B12">
        <w:rPr>
          <w:rFonts w:asciiTheme="minorHAnsi" w:hAnsiTheme="minorHAnsi" w:cs="Calibri"/>
          <w:sz w:val="22"/>
          <w:szCs w:val="22"/>
        </w:rPr>
        <w:t>Europejski k</w:t>
      </w:r>
      <w:r w:rsidRPr="00934B12">
        <w:rPr>
          <w:rFonts w:asciiTheme="minorHAnsi" w:hAnsiTheme="minorHAnsi"/>
          <w:sz w:val="22"/>
          <w:szCs w:val="22"/>
        </w:rPr>
        <w:t>ryzys migracyjny lat 2015-2016 zdynamizował proces powstawania zintegrowanego systemu ochrony granic zewnętrznych UE/strefy Schengen. Od 2016 r. instrumentem tego procesu jest Europejska Straż Graniczna i Przybrzeżna (złożona z Europejskiej Agencji Straży Granicznej i Przybrzeżnej oraz organów krajowych państw członkowskich odpowiedzialnych za zarządzanie granicami)</w:t>
      </w:r>
      <w:r w:rsidRPr="00934B12">
        <w:rPr>
          <w:rStyle w:val="Odwoanieprzypisudolnego"/>
          <w:rFonts w:asciiTheme="minorHAnsi" w:hAnsiTheme="minorHAnsi"/>
          <w:sz w:val="22"/>
          <w:szCs w:val="22"/>
        </w:rPr>
        <w:footnoteReference w:id="112"/>
      </w:r>
      <w:r w:rsidRPr="00934B12">
        <w:rPr>
          <w:rFonts w:asciiTheme="minorHAnsi" w:hAnsiTheme="minorHAnsi"/>
          <w:sz w:val="22"/>
          <w:szCs w:val="22"/>
        </w:rPr>
        <w:t xml:space="preserve">. Procesy migracyjne zachodzące wewnątrz UE, w tym tzw. wtórne ruchy migracyjne polegające na nieuregulowanym przemieszczaniu się cudzoziemców w obrębie strefy Schengen wynikają z napływu dużej liczby migrantów z krajów trzecich. Rolą państw członkowskich UE, a zwłaszcza państw obszaru Schengen, jest wypracowanie i wdrożenie w ramach krajowych systemów zintegrowanego zarządzania własnymi granicami (zgodnie z wymogami wspólnego, europejskiego systemu zintegrowanego zarządzania granicami) skutecznych mechanizmów (procedur) weryfikacji i kontroli cudzoziemców zamierzających przekraczać zewnętrzne granice UE, zarówno pod kątem nielegalnej migracji, jak i zagrożeń terrorystycznych oraz porządku i bezpieczeństwa publicznego. Działania te powinny być skuteczne, ale nie mogą utrudniać swobodnego, legalnego przepływu osób, środków transportu oraz towarów przez granice zewnętrzne UE/Schengen. Oba te uwarunkowania stanowią stałe wyzwanie dla całego europejskiego zintegrowanego zarządzania granicami, w tym dla jego polskiego komponentu (systemu zintegrowanego zarządzania granicą państwową RP). </w:t>
      </w:r>
    </w:p>
    <w:p w14:paraId="4A0F957D" w14:textId="77777777" w:rsidR="00B53DEC" w:rsidRPr="00934B12" w:rsidRDefault="00B53DEC" w:rsidP="00B53DEC">
      <w:pPr>
        <w:pStyle w:val="Tekstprzypisudolnego"/>
        <w:spacing w:line="276" w:lineRule="auto"/>
        <w:jc w:val="both"/>
        <w:rPr>
          <w:rFonts w:asciiTheme="minorHAnsi" w:hAnsiTheme="minorHAnsi"/>
          <w:sz w:val="22"/>
          <w:szCs w:val="22"/>
        </w:rPr>
      </w:pPr>
      <w:r w:rsidRPr="00934B12">
        <w:rPr>
          <w:rFonts w:asciiTheme="minorHAnsi" w:hAnsiTheme="minorHAnsi"/>
          <w:sz w:val="22"/>
          <w:szCs w:val="22"/>
        </w:rPr>
        <w:t>Bezpieczeństwo granicy UE/Schengen nie powinno być zawężane do aspektu migracyjnego lub „typowej” przestępczości granicznej (przemyt towarów akcyzowych, narkotyków i skradzionych pojazdów)</w:t>
      </w:r>
      <w:r w:rsidRPr="00934B12">
        <w:rPr>
          <w:rStyle w:val="Odwoanieprzypisudolnego"/>
          <w:rFonts w:asciiTheme="minorHAnsi" w:hAnsiTheme="minorHAnsi"/>
          <w:sz w:val="22"/>
          <w:szCs w:val="22"/>
        </w:rPr>
        <w:footnoteReference w:id="113"/>
      </w:r>
      <w:r w:rsidRPr="00934B12">
        <w:rPr>
          <w:rFonts w:asciiTheme="minorHAnsi" w:hAnsiTheme="minorHAnsi"/>
          <w:sz w:val="22"/>
          <w:szCs w:val="22"/>
        </w:rPr>
        <w:t>. Coraz większego znaczenia dla tej granicy nabierają zagrożenia typu polityczno-militarnego („hybrydowe”) oraz    zagrożenia dla zdrowia publicznego (epidemia, epizootia i epifitoza). Rosnąca dynamika transgranicznych zagrożeń dla bezpieczeństwa wymaga odpowiednio dynamicznej, zintegrowanej „odpowiedzi” wszystkich polskich służb granicznych – w tym Straży Granicznej.</w:t>
      </w:r>
    </w:p>
    <w:p w14:paraId="52E6BE44" w14:textId="77777777" w:rsidR="00B53DEC" w:rsidRPr="00934B12" w:rsidRDefault="00B53DEC" w:rsidP="00B53DEC">
      <w:pPr>
        <w:pStyle w:val="Tekstprzypisudolnego"/>
        <w:spacing w:line="276" w:lineRule="auto"/>
        <w:jc w:val="both"/>
        <w:rPr>
          <w:rFonts w:asciiTheme="minorHAnsi" w:hAnsiTheme="minorHAnsi"/>
          <w:sz w:val="22"/>
          <w:szCs w:val="22"/>
        </w:rPr>
      </w:pPr>
      <w:r w:rsidRPr="00934B12">
        <w:rPr>
          <w:rFonts w:asciiTheme="minorHAnsi" w:hAnsiTheme="minorHAnsi"/>
          <w:sz w:val="22"/>
          <w:szCs w:val="22"/>
        </w:rPr>
        <w:t>Prowadzone obserwacje i analizy</w:t>
      </w:r>
      <w:r w:rsidRPr="00934B12">
        <w:rPr>
          <w:rStyle w:val="Odwoanieprzypisudolnego"/>
          <w:rFonts w:asciiTheme="minorHAnsi" w:hAnsiTheme="minorHAnsi"/>
          <w:sz w:val="22"/>
          <w:szCs w:val="22"/>
        </w:rPr>
        <w:footnoteReference w:id="114"/>
      </w:r>
      <w:r w:rsidRPr="00934B12">
        <w:rPr>
          <w:rFonts w:asciiTheme="minorHAnsi" w:hAnsiTheme="minorHAnsi"/>
          <w:sz w:val="22"/>
          <w:szCs w:val="22"/>
        </w:rPr>
        <w:t xml:space="preserve"> wskazują na potrzebę pilnego przeanalizowania obszarów, w których występują lub mogą wystąpić realne i potencjalne negatywne zjawiska zagrażające temu bezpieczeństwu oraz podjęcie, w sposób zintegrowany, interwencji o charakterze prawnym i organizacyjnym. </w:t>
      </w:r>
    </w:p>
    <w:p w14:paraId="791E1915" w14:textId="77777777" w:rsidR="00B53DEC" w:rsidRPr="00F21196" w:rsidRDefault="00B53DEC" w:rsidP="00B53DEC">
      <w:pPr>
        <w:pStyle w:val="Tekstprzypisudolnego"/>
        <w:spacing w:line="276" w:lineRule="auto"/>
        <w:jc w:val="both"/>
        <w:rPr>
          <w:rFonts w:asciiTheme="minorHAnsi" w:hAnsiTheme="minorHAnsi"/>
          <w:sz w:val="22"/>
          <w:szCs w:val="22"/>
        </w:rPr>
      </w:pPr>
      <w:r w:rsidRPr="00F21196">
        <w:rPr>
          <w:rFonts w:asciiTheme="minorHAnsi" w:hAnsiTheme="minorHAnsi"/>
          <w:sz w:val="22"/>
          <w:szCs w:val="22"/>
        </w:rPr>
        <w:t xml:space="preserve">Do newralgicznych obszarów </w:t>
      </w:r>
      <w:r w:rsidRPr="000B69B6">
        <w:rPr>
          <w:rFonts w:ascii="Calibri" w:hAnsi="Calibri"/>
          <w:sz w:val="22"/>
          <w:szCs w:val="22"/>
        </w:rPr>
        <w:t xml:space="preserve">przyszłej interwencji zintegrowanego zarządzania granicą RP </w:t>
      </w:r>
      <w:r w:rsidRPr="00F21196">
        <w:rPr>
          <w:rFonts w:asciiTheme="minorHAnsi" w:hAnsiTheme="minorHAnsi"/>
          <w:sz w:val="22"/>
          <w:szCs w:val="22"/>
        </w:rPr>
        <w:t>zaliczyć należy:</w:t>
      </w:r>
    </w:p>
    <w:p w14:paraId="12B5276E" w14:textId="77777777" w:rsidR="00B53DEC" w:rsidRPr="00B7649E" w:rsidRDefault="00B53DEC" w:rsidP="00B53DEC">
      <w:pPr>
        <w:shd w:val="clear" w:color="auto" w:fill="FFFFFF"/>
        <w:spacing w:after="0" w:line="276" w:lineRule="auto"/>
        <w:ind w:left="142" w:hanging="142"/>
        <w:jc w:val="both"/>
      </w:pPr>
      <w:r>
        <w:t xml:space="preserve">1) </w:t>
      </w:r>
      <w:r w:rsidRPr="00B7649E">
        <w:t>zjawisko fałszowania dokumentów podróży lub dokumentów uzupełniających wniosek o wizę przedkładanych konsulowi, generujące ryzyko wyłudzenia wizy przez osoby posługujące się nieprawdziwą tożsamością,</w:t>
      </w:r>
    </w:p>
    <w:p w14:paraId="4AB6508C" w14:textId="77777777" w:rsidR="00B53DEC" w:rsidRPr="00B7649E" w:rsidRDefault="00B53DEC" w:rsidP="00B53DEC">
      <w:pPr>
        <w:shd w:val="clear" w:color="auto" w:fill="FFFFFF"/>
        <w:spacing w:after="0" w:line="276" w:lineRule="auto"/>
        <w:ind w:left="142" w:hanging="142"/>
        <w:jc w:val="both"/>
        <w:rPr>
          <w:rFonts w:ascii="Calibri" w:hAnsi="Calibri"/>
          <w:i/>
        </w:rPr>
      </w:pPr>
      <w:r>
        <w:t xml:space="preserve">2) </w:t>
      </w:r>
      <w:r w:rsidRPr="00B7649E">
        <w:t>proceder wykorzystywania wiz jednolitych wydawanych przez konsulów innych państw Schengen do przyjazdu do Polski, (mimo, że we wniosku o wizę deklarowany był inny kraj wjazdu i pobytu), aby zarejestrować w Polsce, np. działalność gospodarczą, założyć spółkę, a następnie – z wykorzystaniem uzyskanych w toku procedury dokumentów – złożyć wniosek o udzielenie zezwolenia na pobyt czasowy. Uzyskane potwierdzenie urzędu wojewódzkiego złożenia wniosku wykorzystywane jest dla wyłudzenia u konsulów innych Państwach Członkowskich UE lub w tamtejszych organach imigracyjnych – do uzyskania długoterminowych wiz albo tytułów pobytowych,</w:t>
      </w:r>
      <w:r w:rsidRPr="00B7649E">
        <w:rPr>
          <w:rFonts w:ascii="Calibri" w:hAnsi="Calibri"/>
        </w:rPr>
        <w:t xml:space="preserve"> </w:t>
      </w:r>
    </w:p>
    <w:p w14:paraId="4F3CDD6E" w14:textId="77777777" w:rsidR="00B53DEC" w:rsidRPr="00B7649E" w:rsidRDefault="00B53DEC" w:rsidP="00B53DEC">
      <w:pPr>
        <w:shd w:val="clear" w:color="auto" w:fill="FFFFFF"/>
        <w:spacing w:after="0" w:line="276" w:lineRule="auto"/>
        <w:ind w:left="142" w:hanging="142"/>
        <w:jc w:val="both"/>
      </w:pPr>
      <w:r>
        <w:t xml:space="preserve">3) </w:t>
      </w:r>
      <w:r w:rsidRPr="00B7649E">
        <w:t>nadużywanie przez obywateli polskich procedur poświadczania przez urzędy wojewódzkie zaproszeń dla obywateli państw trzecich, celem ich przedłożenia konsulowi wraz z wnioskiem o wizę. Odnotowano przypadki, gdzie jedna osoba przedkładała w urzędach wojewódzkich do kilkudziesięciu zaproszeń celem wpisania do ewidencji zaproszeń, podczas gdy sytuacja materialna i mieszkaniowa tej osoby dalece nie pozwalała na taką gościnność,</w:t>
      </w:r>
    </w:p>
    <w:p w14:paraId="6D07A53E" w14:textId="77777777" w:rsidR="00B53DEC" w:rsidRPr="00B7649E" w:rsidRDefault="00B53DEC" w:rsidP="00B53DEC">
      <w:pPr>
        <w:shd w:val="clear" w:color="auto" w:fill="FFFFFF"/>
        <w:spacing w:after="0" w:line="276" w:lineRule="auto"/>
        <w:ind w:left="142" w:hanging="142"/>
        <w:jc w:val="both"/>
        <w:rPr>
          <w:rFonts w:ascii="Calibri" w:hAnsi="Calibri"/>
        </w:rPr>
      </w:pPr>
      <w:r>
        <w:t xml:space="preserve">4) </w:t>
      </w:r>
      <w:r w:rsidRPr="00B7649E">
        <w:rPr>
          <w:rFonts w:ascii="Calibri" w:hAnsi="Calibri"/>
        </w:rPr>
        <w:t xml:space="preserve">nadużywanie  zezwoleń na pracę oraz oświadczeń o powierzeniu wykonywania pracy cudzoziemcowi, które służą udokumentowaniu przez cudzoziemca celu pobytu w postępowaniu wizowym lub podczas przekraczania granicy w ruchu bezwizowym. Przepisy ustawy z dnia 20 lipca 2017 r. o zmianie ustawy o promocji zatrudnienia i instytucjach rynku pracy wprowadziły szereg rozwiązań mających na celu ograniczenie ryzyka nadużyć (m.in. możliwość odmowy wydania zezwolenia lub przyjęcia oświadczenia w okolicznościach wskazujących na pozorność zamiaru powierzenia pracy cudzoziemcowi, obowiązek poinformowania, czy cudzoziemiec podjął pracę zgodnie z oświadczeniem, stworzenie podstaw prawnych do wymiany informacji między organami właściwymi w sprawach cudzoziemców), </w:t>
      </w:r>
    </w:p>
    <w:p w14:paraId="595B2505" w14:textId="77777777" w:rsidR="00B53DEC" w:rsidRPr="00B7649E" w:rsidRDefault="00B53DEC" w:rsidP="00B53DEC">
      <w:pPr>
        <w:shd w:val="clear" w:color="auto" w:fill="FFFFFF"/>
        <w:spacing w:after="0" w:line="276" w:lineRule="auto"/>
        <w:ind w:left="142" w:hanging="142"/>
        <w:jc w:val="both"/>
      </w:pPr>
      <w:r>
        <w:t xml:space="preserve">5) </w:t>
      </w:r>
      <w:r w:rsidRPr="00B7649E">
        <w:t>brak skutecznej kontroli działalności komercyjnych biur organizujących nabór cudzoziemców do pracy zarobkowej w Polsce lub pośredniczących w tym naborze. Odnotowywane są liczne nadużycia na szkodę zarówno zagranicznych klientów tych biur, jak i na szkodę Skarbu Państwa,</w:t>
      </w:r>
    </w:p>
    <w:p w14:paraId="18A8276E" w14:textId="77777777" w:rsidR="00B53DEC" w:rsidRPr="00B7649E" w:rsidRDefault="00B53DEC" w:rsidP="00B53DEC">
      <w:pPr>
        <w:shd w:val="clear" w:color="auto" w:fill="FFFFFF"/>
        <w:spacing w:after="0" w:line="276" w:lineRule="auto"/>
        <w:ind w:left="142" w:hanging="142"/>
        <w:jc w:val="both"/>
      </w:pPr>
      <w:r>
        <w:t xml:space="preserve">6) </w:t>
      </w:r>
      <w:r w:rsidRPr="00B7649E">
        <w:t xml:space="preserve">możliwość wystąpienia zagrożeń hybrydowych, których elementem może być prowadzenie działań quasi militarnych w rejonach polskiej granicy państwowej. </w:t>
      </w:r>
    </w:p>
    <w:p w14:paraId="05FD6F0C" w14:textId="77777777" w:rsidR="00B53DEC" w:rsidRPr="00B3594E" w:rsidRDefault="00B53DEC" w:rsidP="00B53DEC">
      <w:pPr>
        <w:pStyle w:val="Tekstprzypisudolnego"/>
        <w:spacing w:line="276" w:lineRule="auto"/>
        <w:jc w:val="both"/>
        <w:rPr>
          <w:rFonts w:asciiTheme="minorHAnsi" w:hAnsiTheme="minorHAnsi"/>
          <w:sz w:val="22"/>
          <w:szCs w:val="22"/>
        </w:rPr>
      </w:pPr>
      <w:r w:rsidRPr="00B3594E">
        <w:rPr>
          <w:rFonts w:asciiTheme="minorHAnsi" w:hAnsiTheme="minorHAnsi"/>
          <w:sz w:val="22"/>
          <w:szCs w:val="22"/>
        </w:rPr>
        <w:t xml:space="preserve">Wiodącą służbą w systemie ochrony granicy państwowej jest Straż Graniczna, która odpowiada za jej ochronę na lądzie oraz na morzu, natomiast Siły Zbrojne RP - chronią przestrzeń powietrzną RP. Przystąpienie Rzeczypospolitej Polskiej do Unii Europejskiej (2004 r.) a następnie do strefy Schengen </w:t>
      </w:r>
      <w:r w:rsidRPr="000973C0">
        <w:rPr>
          <w:rFonts w:asciiTheme="minorHAnsi" w:hAnsiTheme="minorHAnsi"/>
          <w:sz w:val="22"/>
          <w:szCs w:val="22"/>
        </w:rPr>
        <w:t>(2007 r.)</w:t>
      </w:r>
      <w:r w:rsidRPr="000973C0">
        <w:rPr>
          <w:rFonts w:asciiTheme="minorHAnsi" w:hAnsiTheme="minorHAnsi"/>
          <w:sz w:val="18"/>
          <w:szCs w:val="22"/>
        </w:rPr>
        <w:t xml:space="preserve"> </w:t>
      </w:r>
      <w:r w:rsidRPr="00B3594E">
        <w:rPr>
          <w:rFonts w:asciiTheme="minorHAnsi" w:hAnsiTheme="minorHAnsi"/>
          <w:sz w:val="22"/>
          <w:szCs w:val="22"/>
        </w:rPr>
        <w:t>oznaczało dla tej formacji konieczność sprostania wysokim oczekiwaniom dotyczącym skutecznej ochrony wszystkich odcinków granicy państwowej RP, zwłaszcza tym, które stanowią granicę zewnętrzną (UE/ Schengen) tzn. z Federacją Rosyjską, Republiką Białoruś, Ukrainą a także granica morska i powietrzna. Z kolei na odcinkach granicy wewnętrznej (z innymi państwami Schengen), które mogą być przekraczane w dowolnym miejscu oraz bez dokonywania odprawy granicznej osób, niezależnie od ich obywatelstwa, obowiązkiem państw członkowskich jest realizowanie działań kontrolnych typu policyjnego ukierunkowanych na przeciwdziałanie przestępczości transgranicznej bez naruszania swobody przepływu osób, towarów i środków transportu w obrębie strefy Schengen (są to tzw. przedsięwzięcia kompensacyjne). Europejskie zintegrowane zarządzanie granicami uwzględnia oba te aspekty, choć priorytetowo traktuje kwestię skutecznego zabezpieczenia odcinków granicy zewnętrznej UE.</w:t>
      </w:r>
    </w:p>
    <w:p w14:paraId="6699C8CB" w14:textId="77777777" w:rsidR="00B53DEC" w:rsidRPr="000973C0" w:rsidRDefault="00B53DEC" w:rsidP="00B53DEC">
      <w:pPr>
        <w:pStyle w:val="Tekstprzypisudolnego"/>
        <w:spacing w:line="276" w:lineRule="auto"/>
        <w:jc w:val="both"/>
        <w:rPr>
          <w:rFonts w:asciiTheme="minorHAnsi" w:hAnsiTheme="minorHAnsi"/>
          <w:sz w:val="22"/>
          <w:szCs w:val="22"/>
        </w:rPr>
      </w:pPr>
      <w:r w:rsidRPr="00B3594E">
        <w:rPr>
          <w:rFonts w:asciiTheme="minorHAnsi" w:hAnsiTheme="minorHAnsi"/>
          <w:sz w:val="22"/>
          <w:szCs w:val="22"/>
        </w:rPr>
        <w:t xml:space="preserve">Sytuacja migracyjna w Europie, a także obserwowane zmiany w prawie europejskim, które odnoszą się do funkcjonowania służb granicznych, pozwalają przypuszczać, że nastąpią zmiany w odniesieniu do funkcjonowania strefy Schengen, w szczególności poprzez włączanie się Europejskiej Agencji Straży Granicznej i Przybrzeżnej </w:t>
      </w:r>
      <w:r w:rsidRPr="000973C0">
        <w:rPr>
          <w:rFonts w:asciiTheme="minorHAnsi" w:hAnsiTheme="minorHAnsi"/>
          <w:sz w:val="22"/>
          <w:szCs w:val="22"/>
        </w:rPr>
        <w:t>(FRONTEX) w kontrolę i monitoring tzw. przepływów wewnętrznych. Przewidywane zmiany będą miały również wpływ na działania krajowych straży granicznych, które wspólnie z Agencją FRONTEX tworzą Europejską Straż Graniczną i Przybrzeżną.</w:t>
      </w:r>
    </w:p>
    <w:p w14:paraId="34B8FEBF" w14:textId="77777777" w:rsidR="00B53DEC" w:rsidRPr="000973C0" w:rsidRDefault="00B53DEC" w:rsidP="00B53DEC">
      <w:pPr>
        <w:pStyle w:val="Tekstprzypisudolnego"/>
        <w:spacing w:line="276" w:lineRule="auto"/>
        <w:jc w:val="both"/>
        <w:rPr>
          <w:rFonts w:asciiTheme="minorHAnsi" w:hAnsiTheme="minorHAnsi"/>
          <w:sz w:val="22"/>
          <w:szCs w:val="22"/>
        </w:rPr>
      </w:pPr>
    </w:p>
    <w:p w14:paraId="3811A78D" w14:textId="77777777" w:rsidR="00B53DEC" w:rsidRPr="00B3594E" w:rsidRDefault="00B53DEC" w:rsidP="00B53DEC">
      <w:pPr>
        <w:spacing w:after="0" w:line="276" w:lineRule="auto"/>
        <w:jc w:val="both"/>
      </w:pPr>
      <w:r w:rsidRPr="00B3594E">
        <w:t xml:space="preserve">Nowe wyzwania stawia przed Strażą Graniczną również szybko zmieniająca się w ostatnich latach sytuacja geopolityczna, w tym eskalacja zagrożeń związanych z migracją i terroryzmem. W dniu 7 kwietnia 2017 r. weszły w życie przepisy rozporządzenia Parlamentu Europejskiego i Rady (UE) 2017/458 z dnia 15 marca 2017r. zmieniającego rozporządzenie (UE) 2016/399 w odniesieniu do zintensyfikowania odpraw na granicach zewnętrznych. Regulacja ta stanowi odpowiedź organów Unii Europejskiej na falę aktów terrorystycznych w Europie, wywołanych m.in. przez tzw. </w:t>
      </w:r>
      <w:r w:rsidRPr="00B3594E">
        <w:rPr>
          <w:i/>
        </w:rPr>
        <w:t>foreign fighters (zagranicznych bojowników)</w:t>
      </w:r>
      <w:r w:rsidRPr="00B3594E">
        <w:t xml:space="preserve">, w tym pochodzących z Państw Członkowskich UE. Celem implementacji tej regulacji, wpisującej się w europejskie zintegrowane zarzadzanie granicą, jest zwiększenie bezpieczeństwa UE i jej obywateli. </w:t>
      </w:r>
    </w:p>
    <w:p w14:paraId="18558E9D" w14:textId="77777777" w:rsidR="00B53DEC" w:rsidRPr="00B3594E" w:rsidRDefault="00B53DEC" w:rsidP="00B53DEC">
      <w:pPr>
        <w:spacing w:after="0" w:line="276" w:lineRule="auto"/>
        <w:jc w:val="both"/>
      </w:pPr>
    </w:p>
    <w:p w14:paraId="254CCDF7" w14:textId="77777777" w:rsidR="00B53DEC" w:rsidRPr="00B3594E" w:rsidRDefault="00B53DEC" w:rsidP="00B53DEC">
      <w:pPr>
        <w:spacing w:after="0" w:line="276" w:lineRule="auto"/>
        <w:jc w:val="both"/>
        <w:rPr>
          <w:rFonts w:eastAsia="Times New Roman"/>
          <w:lang w:eastAsia="pl-PL"/>
        </w:rPr>
      </w:pPr>
      <w:r w:rsidRPr="00B3594E">
        <w:t>Od 2009 do 2018 roku natężenie ruchu granicznego wzrosło o 89% (2009r. – 27 647 428 osób, 2018 r. – 52 291 128 osób). Należy spodziewać się utrzymania trendu wzrostowego ruchu granicznego w kolejnych latach. Aby sprostać temu wyzwaniu należy zapewnić sprawną oraz skuteczną odprawę graniczną (m.in. poprzez zintegrowanie działań służb i instytucji granicznych) w przejściach granicznych. Z</w:t>
      </w:r>
      <w:r w:rsidRPr="00B3594E">
        <w:rPr>
          <w:rFonts w:eastAsia="Times New Roman"/>
          <w:lang w:eastAsia="pl-PL"/>
        </w:rPr>
        <w:t>modernizowano istniejące przejścia graniczne, rozszerzono zakres funkcjonującego w nich ruchu granicznego, jak również wybudowano nowe drogowe przejścia graniczne (Dołhobyczów, Budomierz, Grzechotki). Aktualnie Straż Graniczna zapewnia odprawę graniczną na 69 przejściach granicznych.</w:t>
      </w:r>
    </w:p>
    <w:p w14:paraId="0E8647A9" w14:textId="77777777" w:rsidR="00B53DEC" w:rsidRPr="00B3594E" w:rsidRDefault="00B53DEC" w:rsidP="00B53DEC">
      <w:pPr>
        <w:spacing w:after="0" w:line="276" w:lineRule="auto"/>
        <w:jc w:val="both"/>
      </w:pPr>
    </w:p>
    <w:p w14:paraId="5077EA72" w14:textId="77777777" w:rsidR="00B53DEC" w:rsidRPr="0008509D" w:rsidRDefault="00B53DEC" w:rsidP="00B53DEC">
      <w:pPr>
        <w:spacing w:after="0" w:line="276" w:lineRule="auto"/>
        <w:jc w:val="both"/>
        <w:rPr>
          <w:rFonts w:eastAsia="Times New Roman"/>
          <w:lang w:eastAsia="pl-PL"/>
        </w:rPr>
      </w:pPr>
      <w:r w:rsidRPr="00B3594E">
        <w:rPr>
          <w:rFonts w:eastAsia="Times New Roman"/>
          <w:lang w:eastAsia="pl-PL"/>
        </w:rPr>
        <w:t xml:space="preserve">Na polsko-ukraińskim i polsko-rosyjskim odcinku granicy państwowej wprowadzono mały ruch graniczny (od dnia 4 lipca 2016 r. mały ruch graniczny z Rosją został zawieszony). Obecnie ruch graniczny obywateli Ukrainy </w:t>
      </w:r>
      <w:r w:rsidRPr="0008509D">
        <w:rPr>
          <w:rFonts w:eastAsia="Times New Roman"/>
          <w:lang w:eastAsia="pl-PL"/>
        </w:rPr>
        <w:t>korzystających z małego ruchu granicznego systematycznie maleje. Jest to efekt wdrożenia przez Unię Europejską w czerwcu 2017 r. dla ww. kategorii podróżnych ruchu bezwizowego dla pobytów krótkoterminowych.</w:t>
      </w:r>
    </w:p>
    <w:p w14:paraId="2369FF44" w14:textId="77777777" w:rsidR="00B53DEC" w:rsidRPr="000973C0" w:rsidRDefault="00B53DEC" w:rsidP="00B53DEC">
      <w:pPr>
        <w:spacing w:after="0" w:line="276" w:lineRule="auto"/>
        <w:jc w:val="both"/>
      </w:pPr>
      <w:r w:rsidRPr="00E044DB">
        <w:rPr>
          <w:rFonts w:cs="Arial"/>
          <w:shd w:val="clear" w:color="auto" w:fill="FFFFFF"/>
        </w:rPr>
        <w:t>Rada Europejska przyjęła nowe rozporządzenie o Europejskiej Straży Granicznej i Przybrzeżnej. To ważny element kompleksowego podejścia UE do migracji i zarządzania granicami.</w:t>
      </w:r>
      <w:r w:rsidRPr="00E044DB">
        <w:rPr>
          <w:vertAlign w:val="superscript"/>
        </w:rPr>
        <w:footnoteReference w:id="115"/>
      </w:r>
      <w:r w:rsidRPr="00E044DB">
        <w:t xml:space="preserve">. Rozporządzenie to przewiduje </w:t>
      </w:r>
      <w:r w:rsidRPr="000973C0">
        <w:t xml:space="preserve">znaczące zmiany w sposobie funkcjonowania zarówno Europejskiej Agencji Straży Granicznej i Przybrzeżnej (FRONTEX), jak i krajowych straży granicznych Państw Członkowskich UE. </w:t>
      </w:r>
      <w:r w:rsidRPr="000973C0">
        <w:rPr>
          <w:rFonts w:cs="Arial"/>
          <w:shd w:val="clear" w:color="auto" w:fill="FFFFFF"/>
        </w:rPr>
        <w:t>Ponadto włącza w ramy Europejskiej Straży Granicznej i Przybrzeżnej europejski system nadzorowania granic (EUROSUR), by usprawnić jego funkcjonowanie.</w:t>
      </w:r>
    </w:p>
    <w:p w14:paraId="3472A41A" w14:textId="77777777" w:rsidR="00B53DEC" w:rsidRPr="00B3594E" w:rsidRDefault="00B53DEC" w:rsidP="00B53DEC">
      <w:pPr>
        <w:spacing w:after="0" w:line="276" w:lineRule="auto"/>
        <w:jc w:val="both"/>
      </w:pPr>
      <w:r w:rsidRPr="000973C0">
        <w:t>Bezpieczeństwo granicy</w:t>
      </w:r>
      <w:r w:rsidRPr="00B3594E">
        <w:t xml:space="preserve"> UE/Schengen to także </w:t>
      </w:r>
      <w:r w:rsidRPr="00B3594E">
        <w:rPr>
          <w:rFonts w:eastAsia="Times New Roman"/>
          <w:lang w:eastAsia="pl-PL"/>
        </w:rPr>
        <w:t xml:space="preserve">przeciwdziałanie zagrożeniom występującym na odcinkach tzw. „granicy zielonej”, </w:t>
      </w:r>
      <w:r w:rsidRPr="00B3594E">
        <w:t>zapewnienie ładu i porządku publicznego na przejściach granicznych, przeciwdziałanie nielegalnemu obrotowi materiałami promieniotwórczymi i jądrowymi, niedopuszczanie do wjazdu pojazdów niesprawnych technicznie, prowadzenie nadzoru nad kontrolą bezpieczeństwa w komunikacji lotniczej, realizacja działań minersko-pirotechnicznych i warty ochronne na pokładach statków powietrznych. Ważnym elementem dopełniającym bezpieczeństwo zewnętrznej granicy UE/ Schengen jest skuteczność działań kompensacyjnych realizowanych na terytorium RP (w tym na szlakach komunikacyjnych oraz w strefie nadgranicznej odcinków granic wewnętrznych Schengen) a także zdolność do skutecznego, tymczasowego przywracania kontroli granicznej na granicy wewnętrznej. Przedsięwzięcia te wymagają zintegrowanego współdziałania wszystkich właściwych służb i instytucji.</w:t>
      </w:r>
    </w:p>
    <w:p w14:paraId="2D0E4F77" w14:textId="77777777" w:rsidR="00B53DEC" w:rsidRPr="00847C95" w:rsidRDefault="00B53DEC" w:rsidP="00B53DEC">
      <w:pPr>
        <w:spacing w:after="0"/>
        <w:jc w:val="both"/>
        <w:rPr>
          <w:rFonts w:cstheme="minorHAnsi"/>
        </w:rPr>
      </w:pPr>
      <w:r w:rsidRPr="00847C95">
        <w:rPr>
          <w:rFonts w:cstheme="minorHAnsi"/>
        </w:rPr>
        <w:t>Krajowa Administracja Skarbowa, w ramach której wyodrębniona została Służba Celno-Skarbowa, jest jedną z instytucji odpowiedzialnych za ochronę zewnętrznej granicy UE oraz współtworzącą system zarządzania granicą państwową RP. Ochrona granic zewnętrznych UE w przypadku Służby Celno-Skarbowej polega przede wszystkim na zapobieganiu nielegalnemu przywozowi i wywozowi towarów (ograniczenie przemytu wyrobów akcyzowych, towarów niebezpiecznych, towarów objętych zakazami przywozu i ograniczeniami obrotu). Realizując ustawowe zadania Służba Celno-Skarbowa współpracuje z innymi organami kontrolnymi, przede wszystkim ze Strażą Graniczną oraz inspekcjami kontrolnymi (m.in. Inspekcją Weterynaryjną, Państwową Inspekcją Ochrony Roślin i Nasiennictwa, Państwową Inspekcją Sanitarną).</w:t>
      </w:r>
    </w:p>
    <w:p w14:paraId="190B4FCA" w14:textId="77777777" w:rsidR="00B53DEC" w:rsidRPr="00847C95" w:rsidRDefault="00B53DEC" w:rsidP="00B53DEC">
      <w:pPr>
        <w:jc w:val="both"/>
      </w:pPr>
      <w:r w:rsidRPr="00847C95">
        <w:t xml:space="preserve">Krajowa Administracja Skarbowa  podejmuje działania w ramach  granicznych przedsięwzięć modernizacyjnych, które </w:t>
      </w:r>
      <w:r w:rsidRPr="00847C95">
        <w:rPr>
          <w:rFonts w:cstheme="minorHAnsi"/>
          <w:spacing w:val="-4"/>
        </w:rPr>
        <w:t>przyczyniają się do skutecznego zabezpieczenia RP i UE przed transgranicznymi zagrożeniami dla</w:t>
      </w:r>
      <w:r w:rsidRPr="00847C95">
        <w:rPr>
          <w:rFonts w:cstheme="minorHAnsi"/>
        </w:rPr>
        <w:t xml:space="preserve"> bezpieczeństwa kraju, w tym nielegalnego przemieszczania się przez granicę państwową RP osób, środków transportu oraz przewozu towarów. Ostatnio realizowanym projektem jest projekt </w:t>
      </w:r>
      <w:r w:rsidRPr="00847C95">
        <w:t>„Cyfrowa Granica”, którego celem jest m.in. wprowadzenie rozwiązań na rzecz poprawy bezpieczeństwa przejść granicznych oraz organizacji i zarządzania ruchem na przejściach i modernizacji infrastruktury granicznej.</w:t>
      </w:r>
    </w:p>
    <w:p w14:paraId="6200BDC4" w14:textId="77777777" w:rsidR="00B53DEC" w:rsidRPr="00B3594E" w:rsidRDefault="00B53DEC" w:rsidP="00B53DEC">
      <w:pPr>
        <w:spacing w:after="0" w:line="276" w:lineRule="auto"/>
        <w:jc w:val="both"/>
      </w:pPr>
      <w:r w:rsidRPr="00B3594E">
        <w:t>W ramach ochrony morskiego odcinka granicy państwowej Straż Graniczna prowadzi nadzór nad eksploatacją polskich obszarów morskich a także przestrzeganiem przez statki przepisów obowiązujący na tych obszarach. Do ochrony polskich obszarów morskich jest wykorzystywany Zautomatyzowany System Radarowego Nadzoru (ZSRN) umożliwiający uzyskiwanie informacji o sytuacji na morzu, w strefie brzegowej oraz w strefie powietrznej na niskich wysokościach, a w szczególności rozpoznawanie i identyfikację obiektów pływających, znajdujących się w zasięgu systemu. Ochrona granicy morskiej przez Straż Graniczną stanowi ważny fragment systemu bezpieczeństwa morskiego RP i powinna być z nim ściśle zintegrowana pod względem technicznym i funkcjonalnym. Oznacza to konieczność rozwinięcia i zacieśnienia współpracy wszystkich służb i instytucji właściwych w sprawach szeroko rozumianego bezpieczeństwa morskiego, w tym (oprócz Straży Granicznej) z Marynarką Wojenną RP, urzędami morskimi, Morską Służbą Poszukiwawczą i Ratownictwa (SAR) a także ze Służbą Celno-Skarbową</w:t>
      </w:r>
      <w:r>
        <w:t>, wyodrębnioną formacją w ramach Krajowej Administracji Skarbowej</w:t>
      </w:r>
      <w:r w:rsidRPr="00B3594E">
        <w:t xml:space="preserve"> (KAS). Rozwiązanie takie przyczyni się do zwiększenia bezpieczeństwa morskiego RP oraz pozwoli uniknąć dublowania inwestycji.  </w:t>
      </w:r>
    </w:p>
    <w:p w14:paraId="517CE9AF" w14:textId="77777777" w:rsidR="00B53DEC" w:rsidRPr="00256175" w:rsidRDefault="00B53DEC" w:rsidP="00B53DEC">
      <w:pPr>
        <w:spacing w:after="0" w:line="276" w:lineRule="auto"/>
        <w:jc w:val="both"/>
        <w:rPr>
          <w:b/>
          <w:color w:val="FF0000"/>
        </w:rPr>
      </w:pPr>
    </w:p>
    <w:p w14:paraId="401DC47A" w14:textId="77777777" w:rsidR="00B53DEC" w:rsidRPr="00F21196" w:rsidRDefault="00B53DEC" w:rsidP="00B53DEC">
      <w:pPr>
        <w:pBdr>
          <w:bottom w:val="single" w:sz="24" w:space="1" w:color="9CC2E5" w:themeColor="accent1" w:themeTint="99"/>
        </w:pBdr>
        <w:shd w:val="clear" w:color="auto" w:fill="DEEAF6" w:themeFill="accent1" w:themeFillTint="33"/>
        <w:spacing w:after="0"/>
        <w:rPr>
          <w:sz w:val="24"/>
          <w:lang w:eastAsia="pl-PL"/>
        </w:rPr>
      </w:pPr>
      <w:r w:rsidRPr="00F21196">
        <w:rPr>
          <w:rFonts w:eastAsia="Times New Roman" w:cs="Calibri"/>
          <w:b/>
          <w:sz w:val="24"/>
          <w:lang w:eastAsia="pl-PL"/>
        </w:rPr>
        <w:t xml:space="preserve">V.2. Trendy rozwojowe i oczekiwane efekty </w:t>
      </w:r>
    </w:p>
    <w:p w14:paraId="5107575C" w14:textId="58CFEFAE" w:rsidR="00B53DEC" w:rsidRDefault="00B53DEC" w:rsidP="00B53DEC">
      <w:pPr>
        <w:autoSpaceDE w:val="0"/>
        <w:autoSpaceDN w:val="0"/>
        <w:adjustRightInd w:val="0"/>
        <w:spacing w:after="120" w:line="276" w:lineRule="auto"/>
        <w:jc w:val="both"/>
        <w:rPr>
          <w:rFonts w:cs="DINPro"/>
        </w:rPr>
      </w:pPr>
      <w:r w:rsidRPr="00F21196">
        <w:rPr>
          <w:rFonts w:cs="Calibri,Italic"/>
          <w:iCs/>
          <w:szCs w:val="20"/>
        </w:rPr>
        <w:t>Wobec zmieniającej się sytuacji międzynarodowej podejmowane działania przyczyni</w:t>
      </w:r>
      <w:r>
        <w:rPr>
          <w:rFonts w:cs="Calibri,Italic"/>
          <w:iCs/>
          <w:szCs w:val="20"/>
        </w:rPr>
        <w:t>ą</w:t>
      </w:r>
      <w:r w:rsidRPr="00F21196">
        <w:rPr>
          <w:rFonts w:cs="Calibri,Italic"/>
          <w:iCs/>
          <w:szCs w:val="20"/>
        </w:rPr>
        <w:t xml:space="preserve"> się do poprawy odporności państwa</w:t>
      </w:r>
      <w:r>
        <w:rPr>
          <w:rFonts w:cs="Calibri,Italic"/>
          <w:iCs/>
          <w:szCs w:val="20"/>
        </w:rPr>
        <w:t xml:space="preserve"> i społeczeństwa</w:t>
      </w:r>
      <w:r w:rsidRPr="00F21196">
        <w:rPr>
          <w:rFonts w:cs="Calibri,Italic"/>
          <w:iCs/>
          <w:szCs w:val="20"/>
        </w:rPr>
        <w:t xml:space="preserve"> na współczesne zagrożenia i </w:t>
      </w:r>
      <w:r>
        <w:rPr>
          <w:rFonts w:cs="Calibri,Italic"/>
          <w:iCs/>
          <w:szCs w:val="20"/>
        </w:rPr>
        <w:t xml:space="preserve">wzmocnią </w:t>
      </w:r>
      <w:r w:rsidRPr="00F21196">
        <w:rPr>
          <w:rFonts w:cs="Calibri,Italic"/>
          <w:iCs/>
          <w:szCs w:val="20"/>
        </w:rPr>
        <w:t>zdolności przeciwdziałania im. Szczególnie istotne będzie przygotowanie i </w:t>
      </w:r>
      <w:r>
        <w:rPr>
          <w:rFonts w:cs="Calibri,Italic"/>
          <w:iCs/>
          <w:szCs w:val="20"/>
        </w:rPr>
        <w:t>odpowiednie reagowanie</w:t>
      </w:r>
      <w:r w:rsidRPr="00F21196">
        <w:rPr>
          <w:rFonts w:cs="Calibri,Italic"/>
          <w:iCs/>
          <w:szCs w:val="20"/>
        </w:rPr>
        <w:t xml:space="preserve"> na konflikty w pobliżu granic Polski, próby zmian układu sił i odbudowy strefy wpływów za pomocą środków ekonomicznych, politycznych</w:t>
      </w:r>
      <w:r>
        <w:rPr>
          <w:rFonts w:cs="Calibri,Italic"/>
          <w:iCs/>
          <w:szCs w:val="20"/>
        </w:rPr>
        <w:t>,</w:t>
      </w:r>
      <w:r w:rsidRPr="00F21196">
        <w:rPr>
          <w:rFonts w:cs="Calibri,Italic"/>
          <w:iCs/>
          <w:szCs w:val="20"/>
        </w:rPr>
        <w:t xml:space="preserve"> czy też militarnych, </w:t>
      </w:r>
      <w:r>
        <w:rPr>
          <w:rFonts w:cs="Calibri,Italic"/>
          <w:iCs/>
          <w:szCs w:val="20"/>
        </w:rPr>
        <w:t>występujących</w:t>
      </w:r>
      <w:r w:rsidRPr="00F21196">
        <w:rPr>
          <w:rFonts w:cs="Calibri,Italic"/>
          <w:iCs/>
          <w:szCs w:val="20"/>
        </w:rPr>
        <w:t xml:space="preserve"> w Europie </w:t>
      </w:r>
      <w:r>
        <w:rPr>
          <w:rFonts w:cs="Calibri,Italic"/>
          <w:iCs/>
          <w:szCs w:val="20"/>
        </w:rPr>
        <w:t xml:space="preserve">aktów </w:t>
      </w:r>
      <w:r w:rsidRPr="00F21196">
        <w:rPr>
          <w:rFonts w:cs="Calibri,Italic"/>
          <w:iCs/>
          <w:szCs w:val="20"/>
        </w:rPr>
        <w:t>terrory</w:t>
      </w:r>
      <w:r>
        <w:rPr>
          <w:rFonts w:cs="Calibri,Italic"/>
          <w:iCs/>
          <w:szCs w:val="20"/>
        </w:rPr>
        <w:t>stycznych</w:t>
      </w:r>
      <w:r w:rsidRPr="00F21196">
        <w:rPr>
          <w:rFonts w:cs="Calibri,Italic"/>
          <w:iCs/>
          <w:szCs w:val="20"/>
        </w:rPr>
        <w:t xml:space="preserve"> oraz </w:t>
      </w:r>
      <w:r>
        <w:rPr>
          <w:rFonts w:cs="Calibri,Italic"/>
          <w:iCs/>
          <w:szCs w:val="20"/>
        </w:rPr>
        <w:t>wyzwań związanych z</w:t>
      </w:r>
      <w:r w:rsidRPr="00F21196">
        <w:rPr>
          <w:rFonts w:cs="Calibri,Italic"/>
          <w:iCs/>
          <w:szCs w:val="20"/>
        </w:rPr>
        <w:t xml:space="preserve"> fal</w:t>
      </w:r>
      <w:r>
        <w:rPr>
          <w:rFonts w:cs="Calibri,Italic"/>
          <w:iCs/>
          <w:szCs w:val="20"/>
        </w:rPr>
        <w:t>ą</w:t>
      </w:r>
      <w:r w:rsidRPr="00F21196">
        <w:rPr>
          <w:rFonts w:cs="Calibri,Italic"/>
          <w:iCs/>
          <w:szCs w:val="20"/>
        </w:rPr>
        <w:t xml:space="preserve"> migracji. </w:t>
      </w:r>
      <w:r>
        <w:rPr>
          <w:rFonts w:cs="Calibri,Italic"/>
          <w:iCs/>
          <w:szCs w:val="20"/>
        </w:rPr>
        <w:t xml:space="preserve">Wyzwaniem będzie także właściwe przygotowanie się na stawianie czoła nowym typom zagrożeń, w tym hybrydowym. </w:t>
      </w:r>
      <w:r w:rsidRPr="00F21196">
        <w:rPr>
          <w:rFonts w:cs="Calibri,Italic"/>
          <w:iCs/>
          <w:szCs w:val="20"/>
        </w:rPr>
        <w:t xml:space="preserve">W tym kontekście ważne staje się </w:t>
      </w:r>
      <w:r w:rsidRPr="00F21196">
        <w:rPr>
          <w:rFonts w:cs="DINPro"/>
        </w:rPr>
        <w:t xml:space="preserve">ukierunkowanie NATO i UE na zmiany w środowisku bezpieczeństwa europejskiego oraz wyrównanie statusu bezpieczeństwa w ramach Sojuszu poprzez wzmocnienie wschodniej flanki </w:t>
      </w:r>
      <w:r>
        <w:rPr>
          <w:rFonts w:cs="DINPro"/>
        </w:rPr>
        <w:t>NATO i dalsze inwestowanie w budowę odporności państw</w:t>
      </w:r>
      <w:r w:rsidRPr="00F21196">
        <w:rPr>
          <w:rFonts w:cs="DINPro"/>
        </w:rPr>
        <w:t xml:space="preserve">. Kluczowe znaczenie dla bezpieczeństwa Polski mają i będą mieć relacje z USA, w tym współpraca w dziedzinie bezpieczeństwa i obrony. </w:t>
      </w:r>
      <w:r>
        <w:rPr>
          <w:rFonts w:cs="DINPro"/>
        </w:rPr>
        <w:t>Dalszemu wzmacnianiu</w:t>
      </w:r>
      <w:r w:rsidRPr="00F21196">
        <w:rPr>
          <w:rFonts w:eastAsia="Times New Roman" w:cs="Calibri"/>
          <w:lang w:eastAsia="pl-PL"/>
        </w:rPr>
        <w:t xml:space="preserve"> pozycji międzynarodowej Polski </w:t>
      </w:r>
      <w:r>
        <w:rPr>
          <w:rFonts w:eastAsia="Times New Roman" w:cs="Calibri"/>
          <w:lang w:eastAsia="pl-PL"/>
        </w:rPr>
        <w:t>służyć będzie</w:t>
      </w:r>
      <w:r w:rsidRPr="00F21196">
        <w:rPr>
          <w:rFonts w:eastAsia="Times New Roman" w:cs="Calibri"/>
          <w:lang w:eastAsia="pl-PL"/>
        </w:rPr>
        <w:t xml:space="preserve"> współprac</w:t>
      </w:r>
      <w:r>
        <w:rPr>
          <w:rFonts w:eastAsia="Times New Roman" w:cs="Calibri"/>
          <w:lang w:eastAsia="pl-PL"/>
        </w:rPr>
        <w:t>a</w:t>
      </w:r>
      <w:r w:rsidRPr="00F21196">
        <w:rPr>
          <w:rFonts w:eastAsia="Times New Roman" w:cs="Calibri"/>
          <w:lang w:eastAsia="pl-PL"/>
        </w:rPr>
        <w:t xml:space="preserve"> dwustronn</w:t>
      </w:r>
      <w:r>
        <w:rPr>
          <w:rFonts w:eastAsia="Times New Roman" w:cs="Calibri"/>
          <w:lang w:eastAsia="pl-PL"/>
        </w:rPr>
        <w:t>a, regionalna</w:t>
      </w:r>
      <w:r w:rsidRPr="00F21196">
        <w:rPr>
          <w:rFonts w:eastAsia="Times New Roman" w:cs="Calibri"/>
          <w:lang w:eastAsia="pl-PL"/>
        </w:rPr>
        <w:t xml:space="preserve"> i wielostronn</w:t>
      </w:r>
      <w:r>
        <w:rPr>
          <w:rFonts w:eastAsia="Times New Roman" w:cs="Calibri"/>
          <w:lang w:eastAsia="pl-PL"/>
        </w:rPr>
        <w:t>a na forum</w:t>
      </w:r>
      <w:r w:rsidRPr="00F21196">
        <w:rPr>
          <w:rFonts w:eastAsia="Times New Roman" w:cs="Calibri"/>
          <w:lang w:eastAsia="pl-PL"/>
        </w:rPr>
        <w:t> organizacj</w:t>
      </w:r>
      <w:r>
        <w:rPr>
          <w:rFonts w:eastAsia="Times New Roman" w:cs="Calibri"/>
          <w:lang w:eastAsia="pl-PL"/>
        </w:rPr>
        <w:t>i</w:t>
      </w:r>
      <w:r w:rsidRPr="00F21196">
        <w:rPr>
          <w:rFonts w:eastAsia="Times New Roman" w:cs="Calibri"/>
          <w:lang w:eastAsia="pl-PL"/>
        </w:rPr>
        <w:t xml:space="preserve"> międzynarodowych</w:t>
      </w:r>
      <w:r>
        <w:rPr>
          <w:rFonts w:eastAsia="Times New Roman" w:cs="Calibri"/>
          <w:lang w:eastAsia="pl-PL"/>
        </w:rPr>
        <w:t xml:space="preserve">, jak </w:t>
      </w:r>
      <w:r w:rsidRPr="00F21196">
        <w:rPr>
          <w:rFonts w:eastAsia="Times New Roman" w:cs="Calibri"/>
          <w:lang w:eastAsia="pl-PL"/>
        </w:rPr>
        <w:t>NATO, UE, OBWE,</w:t>
      </w:r>
      <w:r>
        <w:rPr>
          <w:rFonts w:eastAsia="Times New Roman" w:cs="Calibri"/>
          <w:lang w:eastAsia="pl-PL"/>
        </w:rPr>
        <w:t xml:space="preserve"> </w:t>
      </w:r>
      <w:r w:rsidRPr="00F21196">
        <w:rPr>
          <w:rFonts w:eastAsia="Times New Roman" w:cs="Calibri"/>
          <w:lang w:eastAsia="pl-PL"/>
        </w:rPr>
        <w:t>ONZ</w:t>
      </w:r>
      <w:r>
        <w:rPr>
          <w:rFonts w:cs="DINPro"/>
        </w:rPr>
        <w:t>, OPCW,</w:t>
      </w:r>
      <w:r w:rsidRPr="00AA7FB9">
        <w:rPr>
          <w:rFonts w:eastAsia="Times New Roman" w:cs="Calibri"/>
          <w:lang w:eastAsia="pl-PL"/>
        </w:rPr>
        <w:t xml:space="preserve"> </w:t>
      </w:r>
      <w:r>
        <w:rPr>
          <w:rFonts w:eastAsia="Times New Roman" w:cs="Calibri"/>
          <w:lang w:eastAsia="pl-PL"/>
        </w:rPr>
        <w:t>WTO, OECD - czy  międzynarodowych instytucji finansowych (GBŚ, IMF, banki rozwojowe)</w:t>
      </w:r>
    </w:p>
    <w:p w14:paraId="21AF3280" w14:textId="77777777" w:rsidR="00B53DEC" w:rsidRDefault="00B53DEC" w:rsidP="00B53DEC">
      <w:pPr>
        <w:autoSpaceDE w:val="0"/>
        <w:autoSpaceDN w:val="0"/>
        <w:adjustRightInd w:val="0"/>
        <w:spacing w:after="120" w:line="276" w:lineRule="auto"/>
        <w:jc w:val="both"/>
        <w:rPr>
          <w:rFonts w:cs="DINPro"/>
        </w:rPr>
      </w:pPr>
      <w:r>
        <w:rPr>
          <w:rFonts w:cs="DINPro"/>
        </w:rPr>
        <w:t>Konieczny jest również</w:t>
      </w:r>
      <w:r w:rsidRPr="00F21196">
        <w:rPr>
          <w:rFonts w:cs="DINPro"/>
        </w:rPr>
        <w:t xml:space="preserve"> wzrost własnego potencjału obronnego, adekwatnego do narodowych i sojuszniczych wymogów, zwiększenie zdolności Sił Zbrojnych RP do realizacji konstytucyjnych i ustawowych zadań, prowadzenie efektywnej polityki wykorzystania polskiego potencjału przemysłu obronnego, doskonalenie narodowego i sojuszniczego planowania cywilnego i obronnego. </w:t>
      </w:r>
    </w:p>
    <w:p w14:paraId="59311651" w14:textId="77777777" w:rsidR="00B53DEC" w:rsidRPr="00F21196" w:rsidRDefault="00B53DEC" w:rsidP="00B53DEC">
      <w:pPr>
        <w:spacing w:after="0" w:line="276" w:lineRule="auto"/>
        <w:jc w:val="both"/>
        <w:rPr>
          <w:rFonts w:cs="Times New Roman"/>
        </w:rPr>
      </w:pPr>
      <w:r>
        <w:t>W tym celu o</w:t>
      </w:r>
      <w:r w:rsidRPr="00E21FCD">
        <w:t xml:space="preserve">czekuje się </w:t>
      </w:r>
      <w:r>
        <w:t xml:space="preserve">m.in. </w:t>
      </w:r>
      <w:r w:rsidRPr="00E21FCD">
        <w:t>kompleksowej poprawy</w:t>
      </w:r>
      <w:r w:rsidRPr="00F21196">
        <w:rPr>
          <w:rFonts w:cs="Times New Roman"/>
        </w:rPr>
        <w:t xml:space="preserve"> zdolności operacyjnych sił zbrojnych, wspart</w:t>
      </w:r>
      <w:r>
        <w:rPr>
          <w:rFonts w:cs="Times New Roman"/>
        </w:rPr>
        <w:t xml:space="preserve">ej </w:t>
      </w:r>
      <w:r w:rsidRPr="00F21196">
        <w:rPr>
          <w:rFonts w:cs="Times New Roman"/>
        </w:rPr>
        <w:t xml:space="preserve">zwiększonym finansowaniem i liczebnością polskiej armii, </w:t>
      </w:r>
      <w:r w:rsidRPr="00466BCC">
        <w:rPr>
          <w:rFonts w:cs="Times New Roman"/>
        </w:rPr>
        <w:t>co wzmocni całościowy potencjał służący zapewnieniu bezpieczeństwa obywateli, terytorium RP oraz regionu. Służyć temu też będzie wzmocniona polityka odstraszania i obrony NATO, jak również realizowana w jej ramach wzmożona obecność sił sojuszniczych na terenie Polski, a także współpraca prowadzona w ramach Wspólnej Polityki Bezpieczeństwa i Obrony</w:t>
      </w:r>
      <w:r>
        <w:rPr>
          <w:rFonts w:cs="Times New Roman"/>
        </w:rPr>
        <w:t xml:space="preserve"> UE</w:t>
      </w:r>
      <w:r w:rsidRPr="00466BCC">
        <w:rPr>
          <w:rFonts w:cs="Times New Roman"/>
        </w:rPr>
        <w:t>.</w:t>
      </w:r>
    </w:p>
    <w:p w14:paraId="4B31F5A5" w14:textId="77777777" w:rsidR="00B53DEC" w:rsidRPr="0030539C" w:rsidRDefault="00B53DEC" w:rsidP="00B53DEC">
      <w:pPr>
        <w:autoSpaceDE w:val="0"/>
        <w:autoSpaceDN w:val="0"/>
        <w:adjustRightInd w:val="0"/>
        <w:spacing w:after="120" w:line="276" w:lineRule="auto"/>
        <w:jc w:val="both"/>
        <w:rPr>
          <w:b/>
          <w:color w:val="FF0000"/>
          <w:highlight w:val="yellow"/>
        </w:rPr>
      </w:pPr>
      <w:r>
        <w:t>Przewiduje się</w:t>
      </w:r>
      <w:r w:rsidRPr="00B3594E">
        <w:t xml:space="preserve"> wprowadzenie zmian w sposobie funkcjonowania Straży Granicznej poprzez dodanie nowych funkcjonalności oraz rozbudowę potencjału, co będzie wykorzystywane jako element systemu bezpieczeństwa w zakresie przeciwdziałania i zwalczania zagrożeń o charakterze hybrydowym i quasi militarnym.</w:t>
      </w:r>
    </w:p>
    <w:p w14:paraId="56A99B13" w14:textId="2FA0DBED" w:rsidR="00B53DEC" w:rsidRPr="00B3594E" w:rsidRDefault="00B53DEC" w:rsidP="00B53DEC">
      <w:pPr>
        <w:autoSpaceDE w:val="0"/>
        <w:autoSpaceDN w:val="0"/>
        <w:adjustRightInd w:val="0"/>
        <w:spacing w:after="120" w:line="276" w:lineRule="auto"/>
        <w:jc w:val="both"/>
        <w:rPr>
          <w:rFonts w:cs="Calibri,Italic"/>
          <w:iCs/>
          <w:szCs w:val="20"/>
        </w:rPr>
      </w:pPr>
      <w:r w:rsidRPr="00F21196">
        <w:rPr>
          <w:rFonts w:cs="Calibri,Italic"/>
          <w:iCs/>
          <w:szCs w:val="20"/>
        </w:rPr>
        <w:t xml:space="preserve">Utrzymanie wysokiego poziomu bezpieczeństwa i porządku publicznego stanowi warunek konieczny dla wzrostu bezpieczeństwa osobistego obywateli oraz rozwoju kraju. Mimo spadającej liczby przestępstw, wzrostu odsetka Polaków deklarujących wysokie poczucie bezpieczeństwa i oceniających </w:t>
      </w:r>
      <w:r>
        <w:rPr>
          <w:rFonts w:cs="Calibri,Italic"/>
          <w:iCs/>
          <w:szCs w:val="20"/>
        </w:rPr>
        <w:t>Polskę</w:t>
      </w:r>
      <w:r w:rsidRPr="00F21196">
        <w:rPr>
          <w:rFonts w:cs="Calibri,Italic"/>
          <w:iCs/>
          <w:szCs w:val="20"/>
        </w:rPr>
        <w:t xml:space="preserve"> jako kraj bezpieczny, nadal obawy budzi przestępczość pospolita, a poważnymi zagrożeniami dla państwa pozostają: przestępczość zorganizowana, gospodarcza, a także związana z korupcją i naruszaniem prywatności (np. ataki hakerskie). W perspektywie kilku lat podejmowane przedsięwzięcia będą oddziaływać na podniesienie poziomu bezpieczeństwa ekonomicznego dzięki poprawie instrumentów administracyjnych, polityki gospodarczej oraz rozwojowi cyberbezpieczeństwa, zapewniając ochronę obywateli oraz państwowej infrastruktury przed atakiem czy naruszeniem integralności. Podniesiona zostanie skuteczność służb i instytucji odpowiedzialnych za bezpieczeństwo, które będą sprawnie rozpoznawać nowe zagrożenia, w tym zwłaszcza o charakterze hybrydowym i „podprogowym”, oceniać ryzyko ich wystąpienia oraz adekwatnie odpowiadać na wyzwania</w:t>
      </w:r>
      <w:r>
        <w:rPr>
          <w:rFonts w:cs="Calibri,Italic"/>
          <w:iCs/>
          <w:szCs w:val="20"/>
        </w:rPr>
        <w:br/>
      </w:r>
      <w:r w:rsidRPr="00F21196">
        <w:rPr>
          <w:rFonts w:cs="Calibri,Italic"/>
          <w:iCs/>
          <w:szCs w:val="20"/>
        </w:rPr>
        <w:t xml:space="preserve">w dziedzinie bezpieczeństwa i porządku publicznego. </w:t>
      </w:r>
      <w:r w:rsidRPr="00B3594E">
        <w:rPr>
          <w:rFonts w:cs="Calibri,Italic"/>
          <w:iCs/>
          <w:szCs w:val="20"/>
        </w:rPr>
        <w:t xml:space="preserve">Zwiększona zostanie również skuteczność zarządzania granicą państwową RP poprzez funkcjonalne zintegrowanie wszystkich służb oraz instytucji granicznych i migracyjnych w ramach spójnego, międzyresortowego systemu. Kluczem do tego będzie odpowiednie prawo, unowocześnianie infrastruktury i wyposażenie służb, podnoszenie poziomu ich wyszkolenia, wzmocnienie współpracy międzynarodowej (zwłaszcza w ramach NATO i UE) oraz uruchomienie działań zwiększających współdziałanie właściwych instytucji i służb. </w:t>
      </w:r>
    </w:p>
    <w:p w14:paraId="43AF0377" w14:textId="77777777" w:rsidR="00B53DEC" w:rsidRDefault="00B53DEC" w:rsidP="00B53DEC">
      <w:pPr>
        <w:autoSpaceDE w:val="0"/>
        <w:autoSpaceDN w:val="0"/>
        <w:adjustRightInd w:val="0"/>
        <w:spacing w:after="120" w:line="276" w:lineRule="auto"/>
        <w:jc w:val="both"/>
        <w:rPr>
          <w:rFonts w:eastAsia="Wingdings2" w:cs="DINPro"/>
          <w:color w:val="000000"/>
        </w:rPr>
      </w:pPr>
      <w:r w:rsidRPr="00F21196">
        <w:rPr>
          <w:rFonts w:cs="DINPro"/>
        </w:rPr>
        <w:t>Przewiduje się p</w:t>
      </w:r>
      <w:r w:rsidRPr="00F21196">
        <w:rPr>
          <w:rFonts w:eastAsia="Times New Roman" w:cs="Calibri"/>
          <w:lang w:eastAsia="pl-PL"/>
        </w:rPr>
        <w:t>oprawę ochrony ludności przed skutkami zagrożeń dla bezpieczeństwa powszechnego</w:t>
      </w:r>
      <w:r>
        <w:rPr>
          <w:rFonts w:eastAsia="Times New Roman" w:cs="Calibri"/>
          <w:lang w:eastAsia="pl-PL"/>
        </w:rPr>
        <w:t xml:space="preserve"> dzięki </w:t>
      </w:r>
      <w:r w:rsidRPr="00F21196">
        <w:rPr>
          <w:rFonts w:eastAsia="Times New Roman" w:cs="Calibri"/>
          <w:lang w:eastAsia="pl-PL"/>
        </w:rPr>
        <w:t>z</w:t>
      </w:r>
      <w:r w:rsidRPr="00F21196">
        <w:rPr>
          <w:rFonts w:eastAsia="Wingdings2" w:cs="DINPro"/>
          <w:color w:val="000000"/>
        </w:rPr>
        <w:t>większeni</w:t>
      </w:r>
      <w:r>
        <w:rPr>
          <w:rFonts w:eastAsia="Wingdings2" w:cs="DINPro"/>
          <w:color w:val="000000"/>
        </w:rPr>
        <w:t>u</w:t>
      </w:r>
      <w:r w:rsidRPr="00F21196">
        <w:rPr>
          <w:rFonts w:eastAsia="Wingdings2" w:cs="DINPro"/>
          <w:color w:val="000000"/>
        </w:rPr>
        <w:t xml:space="preserve"> skuteczności przygotowania, przeciwdziałania i reagowania w sytuacjach zagrożeń</w:t>
      </w:r>
      <w:r>
        <w:rPr>
          <w:rFonts w:eastAsia="Wingdings2" w:cs="DINPro"/>
          <w:color w:val="000000"/>
        </w:rPr>
        <w:t xml:space="preserve"> z uwzględnieniem aspektów związanych ze wzrostem </w:t>
      </w:r>
      <w:r w:rsidRPr="00F21196">
        <w:rPr>
          <w:rFonts w:eastAsia="Wingdings2" w:cs="DINPro"/>
          <w:color w:val="000000"/>
        </w:rPr>
        <w:t>efektywności z</w:t>
      </w:r>
      <w:r>
        <w:rPr>
          <w:rFonts w:eastAsia="Wingdings2" w:cs="DINPro"/>
          <w:color w:val="000000"/>
        </w:rPr>
        <w:t xml:space="preserve">arządzania kryzysowego oraz </w:t>
      </w:r>
      <w:r w:rsidRPr="00F21196">
        <w:rPr>
          <w:rFonts w:eastAsia="Wingdings2" w:cs="DINPro"/>
          <w:color w:val="000000"/>
        </w:rPr>
        <w:t xml:space="preserve"> funkcjonowania, zasad i sposobu realizacji zadań ochrony ludności i obrony cywilnej</w:t>
      </w:r>
      <w:r>
        <w:rPr>
          <w:rFonts w:eastAsia="Wingdings2" w:cs="DINPro"/>
          <w:color w:val="000000"/>
        </w:rPr>
        <w:t xml:space="preserve">. Ponadto </w:t>
      </w:r>
      <w:r w:rsidRPr="00F21196">
        <w:rPr>
          <w:rFonts w:eastAsia="Wingdings2" w:cs="DINPro"/>
          <w:color w:val="000000"/>
        </w:rPr>
        <w:t>wprowadzenie nowych rozwiązań w zakresie integracji ratownictwa i pomocy humanitarnej, doskonalenie wiedzy, umiejętności i kompetencji ratowników</w:t>
      </w:r>
      <w:r>
        <w:rPr>
          <w:rFonts w:eastAsia="Wingdings2" w:cs="DINPro"/>
          <w:color w:val="000000"/>
        </w:rPr>
        <w:t xml:space="preserve"> będzie wpływało na poprawę skuteczności i efektywności służb ratowniczych.</w:t>
      </w:r>
    </w:p>
    <w:p w14:paraId="2C24C4B9" w14:textId="1D7D1032" w:rsidR="00B53DEC" w:rsidRPr="000973C0" w:rsidRDefault="00B53DEC" w:rsidP="00B53DEC">
      <w:pPr>
        <w:spacing w:line="276" w:lineRule="auto"/>
        <w:jc w:val="both"/>
        <w:rPr>
          <w:rStyle w:val="Tekstpodstawowy2"/>
          <w:rFonts w:asciiTheme="minorHAnsi" w:hAnsiTheme="minorHAnsi" w:cs="Arial"/>
          <w:sz w:val="22"/>
          <w:szCs w:val="22"/>
          <w:u w:val="none"/>
        </w:rPr>
      </w:pPr>
      <w:r w:rsidRPr="000973C0">
        <w:rPr>
          <w:rStyle w:val="Tekstpodstawowy2"/>
          <w:rFonts w:asciiTheme="minorHAnsi" w:hAnsiTheme="minorHAnsi" w:cs="Arial"/>
          <w:sz w:val="22"/>
          <w:szCs w:val="22"/>
          <w:u w:val="none"/>
        </w:rPr>
        <w:t>Wystąpi wyraźny wzrost poziomu bezpieczeństwa w sektorze gospodarki morskiej, zarówno dla osób związanych zawodowo z żeglugą morską, rybołówstwem lub funkcjonowaniem polskich portów morskich oraz osób mieszkających w obszarze oddziaływania zagrożeń związanych z tą działalnością, jak i dla środowiska naturalnego oraz krajowej gospodarki dzięki zapewnieniu odpowiednich środków reagowania na uniknięcie lub zminimalizowanie potencjalnych strat dla gospodarki narodowej oraz środowiska naturalnego w przypadku wystąpienia wypadku morskiego, a przede wszystkim wpłynie na zwiększenie bezpieczeństwa wszystkich użytkowników morza.</w:t>
      </w:r>
    </w:p>
    <w:p w14:paraId="199BB48B" w14:textId="66ECD8E0" w:rsidR="00B53DEC" w:rsidRPr="000973C0" w:rsidRDefault="000973C0" w:rsidP="00B53DEC">
      <w:pPr>
        <w:pStyle w:val="Tekstkomentarza"/>
        <w:spacing w:line="276" w:lineRule="auto"/>
        <w:jc w:val="both"/>
        <w:rPr>
          <w:rFonts w:cstheme="minorHAnsi"/>
          <w:sz w:val="22"/>
          <w:szCs w:val="22"/>
        </w:rPr>
      </w:pPr>
      <w:r w:rsidRPr="000973C0">
        <w:rPr>
          <w:rFonts w:cstheme="minorHAnsi"/>
          <w:sz w:val="22"/>
          <w:szCs w:val="22"/>
        </w:rPr>
        <w:t>Podejmowane działania przyczynia się do przyspieszenia i usprawnienia</w:t>
      </w:r>
      <w:r w:rsidR="00B53DEC" w:rsidRPr="000973C0">
        <w:rPr>
          <w:rFonts w:cstheme="minorHAnsi"/>
          <w:sz w:val="22"/>
          <w:szCs w:val="22"/>
        </w:rPr>
        <w:t xml:space="preserve"> postępowani</w:t>
      </w:r>
      <w:r w:rsidRPr="000973C0">
        <w:rPr>
          <w:rFonts w:cstheme="minorHAnsi"/>
          <w:sz w:val="22"/>
          <w:szCs w:val="22"/>
        </w:rPr>
        <w:t>a</w:t>
      </w:r>
      <w:r w:rsidR="00B53DEC" w:rsidRPr="000973C0">
        <w:rPr>
          <w:rFonts w:cstheme="minorHAnsi"/>
          <w:sz w:val="22"/>
          <w:szCs w:val="22"/>
        </w:rPr>
        <w:t xml:space="preserve"> o udzielenie ochrony międzynarodowej, nastąpi ograniczenie nadużywania procedur uchodźczych, zaobserwowana zostanie wyraźna poprawa bezpieczeństwa w ośrodkach recepcyjnych i pobytowych dla cudzoziemców. </w:t>
      </w:r>
    </w:p>
    <w:p w14:paraId="0569E8FB" w14:textId="77777777" w:rsidR="00B53DEC" w:rsidRPr="00E044DB" w:rsidRDefault="00B53DEC" w:rsidP="00B53DEC">
      <w:pPr>
        <w:pStyle w:val="Tekstkomentarza"/>
        <w:spacing w:line="276" w:lineRule="auto"/>
        <w:jc w:val="both"/>
        <w:rPr>
          <w:rFonts w:cstheme="minorHAnsi"/>
          <w:sz w:val="22"/>
          <w:szCs w:val="22"/>
        </w:rPr>
      </w:pPr>
      <w:r w:rsidRPr="00E044DB">
        <w:rPr>
          <w:rFonts w:cstheme="minorHAnsi"/>
          <w:sz w:val="22"/>
          <w:szCs w:val="22"/>
        </w:rPr>
        <w:t xml:space="preserve">Nastąpi wzrost bezpieczeństwa wewnętrznego i zewnętrznego w wyniku utworzenia nowoczesnej infrastruktury penitencjarnej opartej na m.in. nowoczesnych rozwiązaniach techniczno-ochronnych oraz realizacji efektywnych oddziaływań readaptacyjnych prowadzonych we właściwym otoczeniu socjalno-bytowym, w tym terapii i pracy oraz mediacji, jako formy sprawiedliwości naprawczej. </w:t>
      </w:r>
    </w:p>
    <w:p w14:paraId="4B1B864D" w14:textId="77777777" w:rsidR="00B53DEC" w:rsidRPr="00E044DB" w:rsidRDefault="00B53DEC" w:rsidP="00B53DEC">
      <w:pPr>
        <w:pStyle w:val="Teksttreci110"/>
        <w:shd w:val="clear" w:color="auto" w:fill="auto"/>
        <w:spacing w:before="0" w:after="120" w:line="276" w:lineRule="auto"/>
        <w:rPr>
          <w:rFonts w:asciiTheme="minorHAnsi" w:hAnsiTheme="minorHAnsi" w:cstheme="minorHAnsi"/>
          <w:sz w:val="22"/>
          <w:szCs w:val="22"/>
        </w:rPr>
      </w:pPr>
      <w:r w:rsidRPr="00E044DB">
        <w:rPr>
          <w:rFonts w:asciiTheme="minorHAnsi" w:hAnsiTheme="minorHAnsi" w:cstheme="minorHAnsi"/>
          <w:spacing w:val="0"/>
          <w:sz w:val="22"/>
          <w:szCs w:val="22"/>
        </w:rPr>
        <w:t xml:space="preserve">Podejmowane przedsięwzięcia przyczynią się do: </w:t>
      </w:r>
      <w:r w:rsidRPr="00E044DB">
        <w:rPr>
          <w:rFonts w:asciiTheme="minorHAnsi" w:eastAsia="Times New Roman" w:hAnsiTheme="minorHAnsi" w:cstheme="minorHAnsi"/>
          <w:spacing w:val="0"/>
          <w:sz w:val="22"/>
          <w:szCs w:val="22"/>
        </w:rPr>
        <w:t xml:space="preserve">zracjonalizowanie kosztów funkcjonowania wymiaru sprawiedliwości w obszarze wykonywania orzeczeń karnych, rodzinnych i nieletnich, zwiększenia poziomu bezpieczeństwa zakładów karnych i aresztów śledczych; modernizacji i efektywniejsze wykorzystanie eksploatowanych aplikacji i systemów teleinformatycznych w Służbie Więziennej </w:t>
      </w:r>
      <w:r w:rsidRPr="00E044DB">
        <w:rPr>
          <w:rFonts w:asciiTheme="minorHAnsi" w:hAnsiTheme="minorHAnsi" w:cstheme="minorHAnsi"/>
          <w:spacing w:val="0"/>
          <w:sz w:val="22"/>
          <w:szCs w:val="22"/>
        </w:rPr>
        <w:t>z uwzględnieniem prowadzenia e-mediacji.</w:t>
      </w:r>
      <w:r w:rsidRPr="00E044DB">
        <w:rPr>
          <w:rFonts w:asciiTheme="minorHAnsi" w:eastAsia="Times New Roman" w:hAnsiTheme="minorHAnsi" w:cstheme="minorHAnsi"/>
          <w:spacing w:val="0"/>
          <w:sz w:val="22"/>
          <w:szCs w:val="22"/>
        </w:rPr>
        <w:t xml:space="preserve"> Dodatkowo szacuje się, zmniejszenie wskaźnika powrotności do przestępstwa</w:t>
      </w:r>
      <w:r w:rsidRPr="00E044DB">
        <w:rPr>
          <w:rFonts w:asciiTheme="minorHAnsi" w:hAnsiTheme="minorHAnsi" w:cstheme="minorHAnsi"/>
          <w:sz w:val="22"/>
          <w:szCs w:val="22"/>
        </w:rPr>
        <w:t xml:space="preserve">. </w:t>
      </w:r>
    </w:p>
    <w:p w14:paraId="79FC1CBF" w14:textId="15AA5B84" w:rsidR="00B53DEC" w:rsidRPr="00E044DB" w:rsidRDefault="00B53DEC" w:rsidP="00B53DEC">
      <w:pPr>
        <w:spacing w:after="120" w:line="276" w:lineRule="auto"/>
        <w:jc w:val="both"/>
        <w:rPr>
          <w:rFonts w:cstheme="minorHAnsi"/>
        </w:rPr>
      </w:pPr>
      <w:r w:rsidRPr="000973C0">
        <w:rPr>
          <w:rFonts w:cstheme="minorHAnsi"/>
        </w:rPr>
        <w:t>Stworzona zostanie</w:t>
      </w:r>
      <w:r w:rsidRPr="00E044DB">
        <w:rPr>
          <w:rFonts w:cstheme="minorHAnsi"/>
        </w:rPr>
        <w:t xml:space="preserve"> skutecznie działająca sieć placówek dyplomatycznych i Instytutów Polskich, odpowiadająca priorytetom polskiej polityki zagranicznej. Podejmowane działania i właściwie kształtowany wizerunek kraju przyczynią się do wzmocnienia wiarygodności Polski na arenie międzynarodowej, poprawy bezpieczeństwa kraju i obywateli, zrównoważonego rozwoju gospodarczego.</w:t>
      </w:r>
    </w:p>
    <w:p w14:paraId="57E7D75A" w14:textId="77777777" w:rsidR="00B53DEC" w:rsidRDefault="00B53DEC" w:rsidP="00B53DEC">
      <w:pPr>
        <w:spacing w:after="120" w:line="276" w:lineRule="auto"/>
        <w:jc w:val="both"/>
      </w:pPr>
    </w:p>
    <w:p w14:paraId="743D7D38" w14:textId="77777777" w:rsidR="00B53DEC" w:rsidRPr="00F21196" w:rsidRDefault="00B53DEC" w:rsidP="00B53DEC">
      <w:pPr>
        <w:pBdr>
          <w:bottom w:val="single" w:sz="24" w:space="1" w:color="9CC2E5" w:themeColor="accent1" w:themeTint="99"/>
        </w:pBdr>
        <w:shd w:val="clear" w:color="auto" w:fill="DEEAF6" w:themeFill="accent1" w:themeFillTint="33"/>
        <w:spacing w:after="0"/>
        <w:rPr>
          <w:rFonts w:eastAsia="Times New Roman" w:cs="Calibri"/>
          <w:b/>
          <w:sz w:val="24"/>
          <w:lang w:eastAsia="pl-PL"/>
        </w:rPr>
      </w:pPr>
      <w:r w:rsidRPr="00F21196">
        <w:rPr>
          <w:rFonts w:eastAsia="Times New Roman" w:cs="Calibri"/>
          <w:b/>
          <w:sz w:val="24"/>
          <w:lang w:eastAsia="pl-PL"/>
        </w:rPr>
        <w:t xml:space="preserve">V.3. Wskaźniki monitorowania </w:t>
      </w:r>
    </w:p>
    <w:p w14:paraId="75F9D243" w14:textId="77777777" w:rsidR="00B53DEC" w:rsidRPr="00F21196" w:rsidRDefault="00B53DEC" w:rsidP="00B53DEC">
      <w:pPr>
        <w:spacing w:after="0"/>
        <w:rPr>
          <w:rFonts w:eastAsia="Times New Roman" w:cs="Calibri"/>
          <w:bCs/>
          <w:kern w:val="24"/>
          <w:sz w:val="18"/>
          <w:szCs w:val="18"/>
          <w:lang w:eastAsia="pl-PL"/>
        </w:rPr>
      </w:pPr>
    </w:p>
    <w:tbl>
      <w:tblPr>
        <w:tblStyle w:val="Tabela-Siatka"/>
        <w:tblW w:w="0" w:type="auto"/>
        <w:tblBorders>
          <w:top w:val="single" w:sz="6" w:space="0" w:color="2E74B5" w:themeColor="accent1" w:themeShade="BF"/>
          <w:left w:val="single" w:sz="6" w:space="0" w:color="2E74B5" w:themeColor="accent1" w:themeShade="BF"/>
          <w:bottom w:val="single" w:sz="6" w:space="0" w:color="2E74B5" w:themeColor="accent1" w:themeShade="BF"/>
          <w:right w:val="single" w:sz="6" w:space="0" w:color="2E74B5" w:themeColor="accent1" w:themeShade="BF"/>
          <w:insideH w:val="single" w:sz="6" w:space="0" w:color="2E74B5" w:themeColor="accent1" w:themeShade="BF"/>
          <w:insideV w:val="single" w:sz="6" w:space="0" w:color="2E74B5" w:themeColor="accent1" w:themeShade="BF"/>
        </w:tblBorders>
        <w:tblLook w:val="04A0" w:firstRow="1" w:lastRow="0" w:firstColumn="1" w:lastColumn="0" w:noHBand="0" w:noVBand="1"/>
      </w:tblPr>
      <w:tblGrid>
        <w:gridCol w:w="978"/>
        <w:gridCol w:w="8645"/>
      </w:tblGrid>
      <w:tr w:rsidR="00B53DEC" w:rsidRPr="00F21196" w14:paraId="20EC7C8A" w14:textId="77777777" w:rsidTr="00B53DEC">
        <w:tc>
          <w:tcPr>
            <w:tcW w:w="978" w:type="dxa"/>
            <w:shd w:val="clear" w:color="auto" w:fill="BDD6EE" w:themeFill="accent1" w:themeFillTint="66"/>
          </w:tcPr>
          <w:p w14:paraId="0C045D89" w14:textId="77777777" w:rsidR="00B53DEC" w:rsidRPr="00F21196" w:rsidRDefault="00B53DEC" w:rsidP="00B53DEC">
            <w:pPr>
              <w:rPr>
                <w:rFonts w:eastAsia="Times New Roman" w:cs="Calibri"/>
                <w:b/>
                <w:bCs/>
                <w:kern w:val="24"/>
                <w:szCs w:val="18"/>
                <w:lang w:eastAsia="pl-PL"/>
              </w:rPr>
            </w:pPr>
            <w:r w:rsidRPr="00F21196">
              <w:rPr>
                <w:rFonts w:eastAsia="Times New Roman" w:cs="Calibri"/>
                <w:b/>
                <w:bCs/>
                <w:kern w:val="24"/>
                <w:szCs w:val="18"/>
                <w:lang w:eastAsia="pl-PL"/>
              </w:rPr>
              <w:t>Lp.</w:t>
            </w:r>
          </w:p>
        </w:tc>
        <w:tc>
          <w:tcPr>
            <w:tcW w:w="8645" w:type="dxa"/>
            <w:shd w:val="clear" w:color="auto" w:fill="BDD6EE" w:themeFill="accent1" w:themeFillTint="66"/>
          </w:tcPr>
          <w:p w14:paraId="1E851ABA" w14:textId="77777777" w:rsidR="00B53DEC" w:rsidRPr="00F21196" w:rsidRDefault="00B53DEC" w:rsidP="00B53DEC">
            <w:pPr>
              <w:rPr>
                <w:rFonts w:eastAsia="Times New Roman" w:cs="Calibri"/>
                <w:b/>
                <w:bCs/>
                <w:kern w:val="24"/>
                <w:szCs w:val="18"/>
                <w:lang w:eastAsia="pl-PL"/>
              </w:rPr>
            </w:pPr>
            <w:r w:rsidRPr="00F21196">
              <w:rPr>
                <w:rFonts w:eastAsia="Times New Roman" w:cs="Calibri"/>
                <w:b/>
                <w:bCs/>
                <w:kern w:val="24"/>
                <w:szCs w:val="18"/>
                <w:lang w:eastAsia="pl-PL"/>
              </w:rPr>
              <w:t>Wskaźnik monitorowania</w:t>
            </w:r>
          </w:p>
          <w:p w14:paraId="735F0FC2" w14:textId="77777777" w:rsidR="00B53DEC" w:rsidRPr="00F21196" w:rsidRDefault="00B53DEC" w:rsidP="00B53DEC">
            <w:pPr>
              <w:rPr>
                <w:rFonts w:eastAsia="Times New Roman" w:cs="Calibri"/>
                <w:b/>
                <w:bCs/>
                <w:kern w:val="24"/>
                <w:szCs w:val="18"/>
                <w:lang w:eastAsia="pl-PL"/>
              </w:rPr>
            </w:pPr>
          </w:p>
        </w:tc>
      </w:tr>
      <w:tr w:rsidR="00B53DEC" w:rsidRPr="00F21196" w14:paraId="758DF926" w14:textId="77777777" w:rsidTr="00B53DEC">
        <w:tc>
          <w:tcPr>
            <w:tcW w:w="978" w:type="dxa"/>
            <w:shd w:val="clear" w:color="auto" w:fill="BDD6EE" w:themeFill="accent1" w:themeFillTint="66"/>
          </w:tcPr>
          <w:p w14:paraId="2B7285BD" w14:textId="77777777" w:rsidR="00B53DEC" w:rsidRPr="00F21196" w:rsidRDefault="00B53DEC" w:rsidP="00B53DEC">
            <w:pPr>
              <w:jc w:val="center"/>
              <w:rPr>
                <w:rFonts w:eastAsia="Times New Roman" w:cs="Calibri"/>
                <w:b/>
                <w:bCs/>
                <w:kern w:val="24"/>
                <w:szCs w:val="18"/>
                <w:lang w:eastAsia="pl-PL"/>
              </w:rPr>
            </w:pPr>
            <w:r w:rsidRPr="00F21196">
              <w:rPr>
                <w:rFonts w:eastAsia="Times New Roman" w:cs="Calibri"/>
                <w:b/>
                <w:bCs/>
                <w:kern w:val="24"/>
                <w:szCs w:val="18"/>
                <w:lang w:eastAsia="pl-PL"/>
              </w:rPr>
              <w:t>1</w:t>
            </w:r>
          </w:p>
        </w:tc>
        <w:tc>
          <w:tcPr>
            <w:tcW w:w="8645" w:type="dxa"/>
            <w:shd w:val="clear" w:color="auto" w:fill="F2F2F2" w:themeFill="background1" w:themeFillShade="F2"/>
          </w:tcPr>
          <w:p w14:paraId="638161B3" w14:textId="77777777" w:rsidR="00B53DEC" w:rsidRPr="007B5027" w:rsidRDefault="00B53DEC" w:rsidP="00B53DEC">
            <w:pPr>
              <w:spacing w:after="60"/>
              <w:rPr>
                <w:rFonts w:eastAsia="Times New Roman" w:cs="Calibri"/>
                <w:bCs/>
                <w:kern w:val="24"/>
              </w:rPr>
            </w:pPr>
            <w:r w:rsidRPr="007B5027">
              <w:rPr>
                <w:rFonts w:eastAsia="Times New Roman" w:cs="Calibri"/>
                <w:bCs/>
                <w:kern w:val="24"/>
              </w:rPr>
              <w:t>Udział wydatków na obronę narodową w PKB</w:t>
            </w:r>
            <w:r w:rsidRPr="007B5027">
              <w:rPr>
                <w:rStyle w:val="Odwoanieprzypisudolnego"/>
                <w:rFonts w:eastAsia="Times New Roman" w:cs="Calibri"/>
                <w:bCs/>
                <w:kern w:val="24"/>
              </w:rPr>
              <w:footnoteReference w:id="116"/>
            </w:r>
          </w:p>
        </w:tc>
      </w:tr>
      <w:tr w:rsidR="00B53DEC" w:rsidRPr="00F21196" w14:paraId="4B77E60B" w14:textId="77777777" w:rsidTr="00B53DEC">
        <w:trPr>
          <w:trHeight w:val="428"/>
        </w:trPr>
        <w:tc>
          <w:tcPr>
            <w:tcW w:w="978" w:type="dxa"/>
            <w:shd w:val="clear" w:color="auto" w:fill="BDD6EE" w:themeFill="accent1" w:themeFillTint="66"/>
          </w:tcPr>
          <w:p w14:paraId="629C20F0" w14:textId="77777777" w:rsidR="00B53DEC" w:rsidRPr="00F21196" w:rsidRDefault="00B53DEC" w:rsidP="00B53DEC">
            <w:pPr>
              <w:jc w:val="center"/>
              <w:rPr>
                <w:rFonts w:eastAsia="Times New Roman" w:cs="Calibri"/>
                <w:b/>
                <w:bCs/>
                <w:kern w:val="24"/>
                <w:szCs w:val="18"/>
                <w:lang w:eastAsia="pl-PL"/>
              </w:rPr>
            </w:pPr>
            <w:r w:rsidRPr="00F21196">
              <w:rPr>
                <w:rFonts w:eastAsia="Times New Roman" w:cs="Calibri"/>
                <w:b/>
                <w:bCs/>
                <w:kern w:val="24"/>
                <w:szCs w:val="18"/>
                <w:lang w:eastAsia="pl-PL"/>
              </w:rPr>
              <w:t>2</w:t>
            </w:r>
          </w:p>
        </w:tc>
        <w:tc>
          <w:tcPr>
            <w:tcW w:w="8645" w:type="dxa"/>
            <w:shd w:val="clear" w:color="auto" w:fill="F2F2F2" w:themeFill="background1" w:themeFillShade="F2"/>
          </w:tcPr>
          <w:p w14:paraId="1AA87407" w14:textId="77777777" w:rsidR="00B53DEC" w:rsidRPr="007B5027" w:rsidRDefault="00B53DEC" w:rsidP="00B53DEC">
            <w:pPr>
              <w:spacing w:after="60"/>
              <w:rPr>
                <w:rFonts w:eastAsia="Times New Roman" w:cs="Calibri"/>
                <w:bCs/>
                <w:kern w:val="24"/>
                <w:lang w:eastAsia="pl-PL"/>
              </w:rPr>
            </w:pPr>
            <w:r w:rsidRPr="007B5027">
              <w:rPr>
                <w:rFonts w:cs="Times New Roman"/>
                <w:color w:val="000000"/>
              </w:rPr>
              <w:t>Udziału wydatków majątkowych w wydatkach na obronę narodową</w:t>
            </w:r>
          </w:p>
        </w:tc>
      </w:tr>
      <w:tr w:rsidR="00B53DEC" w:rsidRPr="00F21196" w14:paraId="7ED40D2B" w14:textId="77777777" w:rsidTr="00B53DEC">
        <w:trPr>
          <w:trHeight w:val="406"/>
        </w:trPr>
        <w:tc>
          <w:tcPr>
            <w:tcW w:w="978" w:type="dxa"/>
            <w:shd w:val="clear" w:color="auto" w:fill="BDD6EE" w:themeFill="accent1" w:themeFillTint="66"/>
          </w:tcPr>
          <w:p w14:paraId="51C101FF" w14:textId="77777777" w:rsidR="00B53DEC" w:rsidRPr="00F21196" w:rsidRDefault="00B53DEC" w:rsidP="00B53DEC">
            <w:pPr>
              <w:jc w:val="center"/>
              <w:rPr>
                <w:rFonts w:eastAsia="Times New Roman" w:cs="Calibri"/>
                <w:b/>
                <w:bCs/>
                <w:kern w:val="24"/>
                <w:szCs w:val="18"/>
                <w:lang w:eastAsia="pl-PL"/>
              </w:rPr>
            </w:pPr>
            <w:r w:rsidRPr="00F21196">
              <w:rPr>
                <w:rFonts w:eastAsia="Times New Roman" w:cs="Calibri"/>
                <w:b/>
                <w:bCs/>
                <w:kern w:val="24"/>
                <w:szCs w:val="18"/>
                <w:lang w:eastAsia="pl-PL"/>
              </w:rPr>
              <w:t>3</w:t>
            </w:r>
          </w:p>
        </w:tc>
        <w:tc>
          <w:tcPr>
            <w:tcW w:w="8645" w:type="dxa"/>
            <w:shd w:val="clear" w:color="auto" w:fill="F2F2F2" w:themeFill="background1" w:themeFillShade="F2"/>
          </w:tcPr>
          <w:p w14:paraId="747670D8" w14:textId="77777777" w:rsidR="00B53DEC" w:rsidRPr="007B5027" w:rsidRDefault="00B53DEC" w:rsidP="00B53DEC">
            <w:pPr>
              <w:pStyle w:val="Tekstkomentarza"/>
              <w:rPr>
                <w:rFonts w:eastAsia="Times New Roman" w:cs="Calibri"/>
                <w:bCs/>
                <w:kern w:val="24"/>
                <w:sz w:val="22"/>
                <w:szCs w:val="22"/>
                <w:lang w:eastAsia="pl-PL"/>
              </w:rPr>
            </w:pPr>
            <w:r w:rsidRPr="007B5027">
              <w:rPr>
                <w:sz w:val="22"/>
                <w:szCs w:val="22"/>
              </w:rPr>
              <w:t>Odsetek Polaków, którzy oceniają Polskę, jako kraj bezpieczny</w:t>
            </w:r>
            <w:r w:rsidRPr="007B5027">
              <w:rPr>
                <w:i/>
                <w:iCs/>
                <w:sz w:val="22"/>
                <w:szCs w:val="22"/>
              </w:rPr>
              <w:t> </w:t>
            </w:r>
          </w:p>
        </w:tc>
      </w:tr>
      <w:tr w:rsidR="00B53DEC" w:rsidRPr="00F21196" w14:paraId="4FDEEAAA" w14:textId="77777777" w:rsidTr="00B53DEC">
        <w:tc>
          <w:tcPr>
            <w:tcW w:w="978" w:type="dxa"/>
            <w:shd w:val="clear" w:color="auto" w:fill="BDD6EE" w:themeFill="accent1" w:themeFillTint="66"/>
          </w:tcPr>
          <w:p w14:paraId="280A30D2" w14:textId="77777777" w:rsidR="00B53DEC" w:rsidRPr="00F21196" w:rsidRDefault="00B53DEC" w:rsidP="00B53DEC">
            <w:pPr>
              <w:jc w:val="center"/>
              <w:rPr>
                <w:rFonts w:eastAsia="Times New Roman" w:cs="Calibri"/>
                <w:b/>
                <w:bCs/>
                <w:kern w:val="24"/>
                <w:szCs w:val="18"/>
                <w:lang w:eastAsia="pl-PL"/>
              </w:rPr>
            </w:pPr>
            <w:r w:rsidRPr="00F21196">
              <w:rPr>
                <w:rFonts w:eastAsia="Times New Roman" w:cs="Calibri"/>
                <w:b/>
                <w:bCs/>
                <w:kern w:val="24"/>
                <w:szCs w:val="18"/>
                <w:lang w:eastAsia="pl-PL"/>
              </w:rPr>
              <w:t>4</w:t>
            </w:r>
          </w:p>
        </w:tc>
        <w:tc>
          <w:tcPr>
            <w:tcW w:w="8645" w:type="dxa"/>
            <w:shd w:val="clear" w:color="auto" w:fill="F2F2F2" w:themeFill="background1" w:themeFillShade="F2"/>
          </w:tcPr>
          <w:p w14:paraId="29FFA80E" w14:textId="77777777" w:rsidR="00B53DEC" w:rsidRPr="007B5027" w:rsidRDefault="00B53DEC" w:rsidP="00B53DEC">
            <w:pPr>
              <w:spacing w:after="60"/>
              <w:rPr>
                <w:rFonts w:eastAsia="Times New Roman" w:cs="Calibri"/>
                <w:bCs/>
                <w:kern w:val="24"/>
                <w:lang w:eastAsia="pl-PL"/>
              </w:rPr>
            </w:pPr>
            <w:r w:rsidRPr="007B5027">
              <w:rPr>
                <w:rFonts w:eastAsia="Times New Roman" w:cs="Calibri"/>
                <w:bCs/>
                <w:kern w:val="24"/>
                <w:lang w:eastAsia="pl-PL"/>
              </w:rPr>
              <w:t>Odsetek Polaków, którzy deklarują poczucie bezpieczeństwa w miejscu zamieszkania</w:t>
            </w:r>
          </w:p>
        </w:tc>
      </w:tr>
      <w:tr w:rsidR="00B53DEC" w:rsidRPr="00F21196" w14:paraId="3B384E3B" w14:textId="77777777" w:rsidTr="00B53DEC">
        <w:tc>
          <w:tcPr>
            <w:tcW w:w="978" w:type="dxa"/>
            <w:shd w:val="clear" w:color="auto" w:fill="BDD6EE" w:themeFill="accent1" w:themeFillTint="66"/>
          </w:tcPr>
          <w:p w14:paraId="35DD63D6" w14:textId="77777777" w:rsidR="00B53DEC" w:rsidRPr="00F21196" w:rsidRDefault="00B53DEC" w:rsidP="00B53DEC">
            <w:pPr>
              <w:jc w:val="center"/>
              <w:rPr>
                <w:rFonts w:eastAsia="Times New Roman" w:cs="Calibri"/>
                <w:b/>
                <w:bCs/>
                <w:kern w:val="24"/>
                <w:szCs w:val="18"/>
                <w:lang w:eastAsia="pl-PL"/>
              </w:rPr>
            </w:pPr>
            <w:r w:rsidRPr="00F21196">
              <w:rPr>
                <w:rFonts w:eastAsia="Times New Roman" w:cs="Calibri"/>
                <w:b/>
                <w:bCs/>
                <w:kern w:val="24"/>
                <w:szCs w:val="18"/>
                <w:lang w:eastAsia="pl-PL"/>
              </w:rPr>
              <w:t>5</w:t>
            </w:r>
          </w:p>
        </w:tc>
        <w:tc>
          <w:tcPr>
            <w:tcW w:w="8645" w:type="dxa"/>
            <w:shd w:val="clear" w:color="auto" w:fill="F2F2F2" w:themeFill="background1" w:themeFillShade="F2"/>
          </w:tcPr>
          <w:p w14:paraId="094BC7B0" w14:textId="77777777" w:rsidR="00B53DEC" w:rsidRPr="007B5027" w:rsidRDefault="00B53DEC" w:rsidP="00B53DEC">
            <w:pPr>
              <w:spacing w:after="60"/>
              <w:rPr>
                <w:rFonts w:eastAsia="Times New Roman" w:cs="Calibri"/>
                <w:bCs/>
                <w:kern w:val="24"/>
                <w:lang w:eastAsia="pl-PL"/>
              </w:rPr>
            </w:pPr>
            <w:r w:rsidRPr="007B5027">
              <w:rPr>
                <w:bCs/>
              </w:rPr>
              <w:t>Średni czas odprawy granicznej pasażera w przejściu drogowym oraz podróżnego w przejściu lotniczym na wjazd w zakresie SG [min]</w:t>
            </w:r>
          </w:p>
        </w:tc>
      </w:tr>
      <w:tr w:rsidR="00B53DEC" w:rsidRPr="00F21196" w14:paraId="090437F4" w14:textId="77777777" w:rsidTr="00B53DEC">
        <w:tc>
          <w:tcPr>
            <w:tcW w:w="978" w:type="dxa"/>
            <w:shd w:val="clear" w:color="auto" w:fill="BDD6EE" w:themeFill="accent1" w:themeFillTint="66"/>
          </w:tcPr>
          <w:p w14:paraId="7A1DF61C" w14:textId="77777777" w:rsidR="00B53DEC" w:rsidRPr="00F21196" w:rsidRDefault="00B53DEC" w:rsidP="00B53DEC">
            <w:pPr>
              <w:jc w:val="center"/>
              <w:rPr>
                <w:rFonts w:eastAsia="Times New Roman" w:cs="Calibri"/>
                <w:b/>
                <w:bCs/>
                <w:kern w:val="24"/>
                <w:szCs w:val="18"/>
                <w:lang w:eastAsia="pl-PL"/>
              </w:rPr>
            </w:pPr>
            <w:r w:rsidRPr="00F21196">
              <w:rPr>
                <w:rFonts w:eastAsia="Times New Roman" w:cs="Calibri"/>
                <w:b/>
                <w:bCs/>
                <w:kern w:val="24"/>
                <w:szCs w:val="18"/>
                <w:lang w:eastAsia="pl-PL"/>
              </w:rPr>
              <w:t>6</w:t>
            </w:r>
          </w:p>
        </w:tc>
        <w:tc>
          <w:tcPr>
            <w:tcW w:w="8645" w:type="dxa"/>
            <w:shd w:val="clear" w:color="auto" w:fill="F2F2F2" w:themeFill="background1" w:themeFillShade="F2"/>
          </w:tcPr>
          <w:p w14:paraId="6A7797B7" w14:textId="77777777" w:rsidR="00B53DEC" w:rsidRPr="007B5027" w:rsidRDefault="00B53DEC" w:rsidP="00B53DEC">
            <w:pPr>
              <w:spacing w:after="60"/>
              <w:rPr>
                <w:rFonts w:eastAsia="Times New Roman" w:cs="Calibri"/>
                <w:bCs/>
                <w:kern w:val="24"/>
                <w:lang w:eastAsia="pl-PL"/>
              </w:rPr>
            </w:pPr>
            <w:r w:rsidRPr="007B5027">
              <w:rPr>
                <w:rFonts w:eastAsia="Times New Roman" w:cs="Calibri"/>
                <w:bCs/>
                <w:kern w:val="24"/>
                <w:lang w:eastAsia="pl-PL"/>
              </w:rPr>
              <w:t>Odsetek długości granicy zewnętrznej UE ochranianej przez Straż Graniczną przy wykorzystaniu stacjonarnych i mobilnych systemów nadzoru</w:t>
            </w:r>
          </w:p>
        </w:tc>
      </w:tr>
      <w:tr w:rsidR="00B53DEC" w:rsidRPr="00F21196" w14:paraId="6FE68F70" w14:textId="77777777" w:rsidTr="00B53DEC">
        <w:tc>
          <w:tcPr>
            <w:tcW w:w="978" w:type="dxa"/>
            <w:shd w:val="clear" w:color="auto" w:fill="BDD6EE" w:themeFill="accent1" w:themeFillTint="66"/>
          </w:tcPr>
          <w:p w14:paraId="01E33169" w14:textId="77777777" w:rsidR="00B53DEC" w:rsidRPr="00F21196" w:rsidRDefault="00B53DEC" w:rsidP="00B53DEC">
            <w:pPr>
              <w:jc w:val="center"/>
              <w:rPr>
                <w:rFonts w:eastAsia="Times New Roman" w:cs="Calibri"/>
                <w:b/>
                <w:bCs/>
                <w:kern w:val="24"/>
                <w:szCs w:val="18"/>
                <w:lang w:eastAsia="pl-PL"/>
              </w:rPr>
            </w:pPr>
            <w:r w:rsidRPr="00F21196">
              <w:rPr>
                <w:rFonts w:eastAsia="Times New Roman" w:cs="Calibri"/>
                <w:b/>
                <w:bCs/>
                <w:kern w:val="24"/>
                <w:szCs w:val="18"/>
                <w:lang w:eastAsia="pl-PL"/>
              </w:rPr>
              <w:t>7</w:t>
            </w:r>
          </w:p>
        </w:tc>
        <w:tc>
          <w:tcPr>
            <w:tcW w:w="8645" w:type="dxa"/>
            <w:shd w:val="clear" w:color="auto" w:fill="F2F2F2" w:themeFill="background1" w:themeFillShade="F2"/>
          </w:tcPr>
          <w:p w14:paraId="03EB2B3E" w14:textId="77777777" w:rsidR="00B53DEC" w:rsidRPr="007B5027" w:rsidRDefault="00B53DEC" w:rsidP="00B53DEC">
            <w:pPr>
              <w:spacing w:after="60"/>
              <w:rPr>
                <w:rFonts w:cs="Tahoma"/>
              </w:rPr>
            </w:pPr>
            <w:r w:rsidRPr="0028126D">
              <w:t>Odsetek interwencji, dla których jednostka ochrony przeciwpożarowej dotarła na miejsce zdarzenia w czasie do 15 minut</w:t>
            </w:r>
          </w:p>
        </w:tc>
      </w:tr>
      <w:tr w:rsidR="00B53DEC" w:rsidRPr="00F21196" w14:paraId="730E72F5" w14:textId="77777777" w:rsidTr="00B53DEC">
        <w:tc>
          <w:tcPr>
            <w:tcW w:w="978" w:type="dxa"/>
            <w:shd w:val="clear" w:color="auto" w:fill="BDD6EE" w:themeFill="accent1" w:themeFillTint="66"/>
          </w:tcPr>
          <w:p w14:paraId="7B19A912" w14:textId="77777777" w:rsidR="00B53DEC" w:rsidRPr="00F21196" w:rsidRDefault="00B53DEC" w:rsidP="00B53DEC">
            <w:pPr>
              <w:jc w:val="center"/>
              <w:rPr>
                <w:rFonts w:eastAsia="Times New Roman" w:cs="Calibri"/>
                <w:b/>
                <w:bCs/>
                <w:kern w:val="24"/>
                <w:szCs w:val="18"/>
                <w:lang w:eastAsia="pl-PL"/>
              </w:rPr>
            </w:pPr>
            <w:r w:rsidRPr="00F21196">
              <w:rPr>
                <w:rFonts w:eastAsia="Times New Roman" w:cs="Calibri"/>
                <w:b/>
                <w:bCs/>
                <w:kern w:val="24"/>
                <w:szCs w:val="18"/>
                <w:lang w:eastAsia="pl-PL"/>
              </w:rPr>
              <w:t>8</w:t>
            </w:r>
          </w:p>
        </w:tc>
        <w:tc>
          <w:tcPr>
            <w:tcW w:w="8645" w:type="dxa"/>
            <w:shd w:val="clear" w:color="auto" w:fill="F2F2F2" w:themeFill="background1" w:themeFillShade="F2"/>
          </w:tcPr>
          <w:p w14:paraId="2278101A" w14:textId="77777777" w:rsidR="00B53DEC" w:rsidRPr="007B5027" w:rsidRDefault="00B53DEC" w:rsidP="00B53DEC">
            <w:pPr>
              <w:spacing w:after="60"/>
              <w:ind w:left="33"/>
              <w:rPr>
                <w:rFonts w:cs="Arial"/>
              </w:rPr>
            </w:pPr>
            <w:r w:rsidRPr="007B5027">
              <w:rPr>
                <w:rFonts w:eastAsia="Times New Roman" w:cs="Calibri"/>
              </w:rPr>
              <w:t>Powrotność do przestępstwa w ciągu 5 lat od opuszczenia zakładu karnego lub aresztu śledczego</w:t>
            </w:r>
          </w:p>
        </w:tc>
      </w:tr>
      <w:tr w:rsidR="00B53DEC" w:rsidRPr="00F21196" w14:paraId="1BE3A362" w14:textId="77777777" w:rsidTr="00B53DEC">
        <w:tc>
          <w:tcPr>
            <w:tcW w:w="978" w:type="dxa"/>
            <w:shd w:val="clear" w:color="auto" w:fill="BDD6EE" w:themeFill="accent1" w:themeFillTint="66"/>
          </w:tcPr>
          <w:p w14:paraId="0C5D2614" w14:textId="77777777" w:rsidR="00B53DEC" w:rsidRPr="00F21196" w:rsidRDefault="00B53DEC" w:rsidP="00B53DEC">
            <w:pPr>
              <w:jc w:val="center"/>
              <w:rPr>
                <w:rFonts w:eastAsia="Times New Roman" w:cs="Calibri"/>
                <w:b/>
                <w:bCs/>
                <w:kern w:val="24"/>
                <w:szCs w:val="18"/>
                <w:lang w:eastAsia="pl-PL"/>
              </w:rPr>
            </w:pPr>
            <w:r w:rsidRPr="00F21196">
              <w:rPr>
                <w:rFonts w:eastAsia="Times New Roman" w:cs="Calibri"/>
                <w:b/>
                <w:bCs/>
                <w:kern w:val="24"/>
                <w:szCs w:val="18"/>
                <w:lang w:eastAsia="pl-PL"/>
              </w:rPr>
              <w:t>9</w:t>
            </w:r>
          </w:p>
        </w:tc>
        <w:tc>
          <w:tcPr>
            <w:tcW w:w="8645" w:type="dxa"/>
            <w:shd w:val="clear" w:color="auto" w:fill="F2F2F2" w:themeFill="background1" w:themeFillShade="F2"/>
          </w:tcPr>
          <w:p w14:paraId="6C8A9784" w14:textId="77777777" w:rsidR="00B53DEC" w:rsidRPr="007B5027" w:rsidRDefault="00B53DEC" w:rsidP="00B53DEC">
            <w:pPr>
              <w:spacing w:after="60"/>
              <w:ind w:left="33"/>
              <w:rPr>
                <w:rFonts w:eastAsia="Times New Roman" w:cs="Calibri"/>
              </w:rPr>
            </w:pPr>
            <w:r w:rsidRPr="007B5027">
              <w:rPr>
                <w:rFonts w:cs="Arial"/>
                <w:spacing w:val="4"/>
              </w:rPr>
              <w:t>Powierzchnia polskich obszarów morskich zabezpieczona pod względem możliwości prowadzenia działań zwalczania zagrożeń i zanieczyszczeń na morzu</w:t>
            </w:r>
          </w:p>
        </w:tc>
      </w:tr>
      <w:tr w:rsidR="00B53DEC" w:rsidRPr="00F21196" w14:paraId="79806FC5" w14:textId="77777777" w:rsidTr="00B53DEC">
        <w:tc>
          <w:tcPr>
            <w:tcW w:w="978" w:type="dxa"/>
            <w:shd w:val="clear" w:color="auto" w:fill="BDD6EE" w:themeFill="accent1" w:themeFillTint="66"/>
          </w:tcPr>
          <w:p w14:paraId="06FFA6F8" w14:textId="77777777" w:rsidR="00B53DEC" w:rsidRPr="00F21196" w:rsidRDefault="00B53DEC" w:rsidP="00B53DEC">
            <w:pPr>
              <w:jc w:val="center"/>
              <w:rPr>
                <w:rFonts w:eastAsia="Times New Roman" w:cs="Calibri"/>
                <w:b/>
                <w:bCs/>
                <w:kern w:val="24"/>
                <w:szCs w:val="18"/>
                <w:lang w:eastAsia="pl-PL"/>
              </w:rPr>
            </w:pPr>
            <w:r w:rsidRPr="00F21196">
              <w:rPr>
                <w:rFonts w:eastAsia="Times New Roman" w:cs="Calibri"/>
                <w:b/>
                <w:bCs/>
                <w:kern w:val="24"/>
                <w:szCs w:val="18"/>
                <w:lang w:eastAsia="pl-PL"/>
              </w:rPr>
              <w:t>10</w:t>
            </w:r>
          </w:p>
        </w:tc>
        <w:tc>
          <w:tcPr>
            <w:tcW w:w="8645" w:type="dxa"/>
            <w:shd w:val="clear" w:color="auto" w:fill="F2F2F2" w:themeFill="background1" w:themeFillShade="F2"/>
          </w:tcPr>
          <w:p w14:paraId="18B52CB2" w14:textId="77777777" w:rsidR="00B53DEC" w:rsidRPr="007B5027" w:rsidRDefault="00B53DEC" w:rsidP="00B53DEC">
            <w:pPr>
              <w:spacing w:after="60"/>
              <w:ind w:left="33"/>
              <w:rPr>
                <w:rFonts w:eastAsia="Times New Roman" w:cs="Calibri"/>
              </w:rPr>
            </w:pPr>
            <w:r w:rsidRPr="007B5027">
              <w:rPr>
                <w:rFonts w:cs="Arial"/>
              </w:rPr>
              <w:t>Średni czas reagowania na zagrożenia życia ludzkiego i środowiska naturalnego na morzu</w:t>
            </w:r>
          </w:p>
        </w:tc>
      </w:tr>
    </w:tbl>
    <w:p w14:paraId="4F4CC0DE" w14:textId="77777777" w:rsidR="00B53DEC" w:rsidRDefault="00B53DEC" w:rsidP="00B53DEC">
      <w:pPr>
        <w:spacing w:after="0"/>
        <w:rPr>
          <w:rFonts w:eastAsia="Times New Roman" w:cs="Calibri"/>
          <w:bCs/>
          <w:kern w:val="24"/>
          <w:sz w:val="18"/>
          <w:szCs w:val="18"/>
          <w:lang w:eastAsia="pl-PL"/>
        </w:rPr>
      </w:pPr>
    </w:p>
    <w:p w14:paraId="4E8FD87E" w14:textId="77777777" w:rsidR="00B53DEC" w:rsidRDefault="00B53DEC" w:rsidP="00B53DEC">
      <w:pPr>
        <w:spacing w:after="0"/>
        <w:rPr>
          <w:rFonts w:eastAsia="Times New Roman" w:cs="Calibri"/>
          <w:bCs/>
          <w:kern w:val="24"/>
          <w:sz w:val="18"/>
          <w:szCs w:val="18"/>
          <w:lang w:eastAsia="pl-PL"/>
        </w:rPr>
      </w:pPr>
    </w:p>
    <w:p w14:paraId="7F713D6D" w14:textId="77777777" w:rsidR="00B53DEC" w:rsidRPr="00F21196" w:rsidRDefault="00B53DEC" w:rsidP="00B53DEC">
      <w:pPr>
        <w:pBdr>
          <w:bottom w:val="single" w:sz="24" w:space="1" w:color="9CC2E5" w:themeColor="accent1" w:themeTint="99"/>
        </w:pBdr>
        <w:shd w:val="clear" w:color="auto" w:fill="DEEAF6" w:themeFill="accent1" w:themeFillTint="33"/>
        <w:spacing w:after="0"/>
        <w:rPr>
          <w:rFonts w:eastAsia="Times New Roman" w:cs="Calibri"/>
          <w:b/>
          <w:sz w:val="24"/>
          <w:lang w:eastAsia="pl-PL"/>
        </w:rPr>
      </w:pPr>
      <w:r w:rsidRPr="00F21196">
        <w:rPr>
          <w:rFonts w:eastAsia="Times New Roman" w:cs="Calibri"/>
          <w:b/>
          <w:sz w:val="24"/>
          <w:lang w:eastAsia="pl-PL"/>
        </w:rPr>
        <w:t xml:space="preserve">V.4. Kierunki interwencji </w:t>
      </w:r>
    </w:p>
    <w:p w14:paraId="364E6EC4" w14:textId="77777777" w:rsidR="00B53DEC" w:rsidRDefault="00B53DEC" w:rsidP="00B53DEC">
      <w:pPr>
        <w:spacing w:before="120" w:after="0"/>
        <w:jc w:val="both"/>
        <w:rPr>
          <w:rFonts w:eastAsia="Times New Roman" w:cs="Calibri"/>
          <w:lang w:eastAsia="pl-PL"/>
        </w:rPr>
      </w:pPr>
      <w:r w:rsidRPr="00BB6D7D">
        <w:rPr>
          <w:rFonts w:eastAsia="Times New Roman" w:cs="Calibri"/>
          <w:lang w:eastAsia="pl-PL"/>
        </w:rPr>
        <w:t>W ramach celu szczegółowego V zdefiniowano sześć kierunków interwencji, które wzajemnie uzupełniaj się, a podejmowane przedsięwzięcia mają zapewnić bezpieczeństwo zewnętrzne i wewnętrzne obywatelom oraz umożliwić rozwój gospodarczy kraju.</w:t>
      </w:r>
    </w:p>
    <w:p w14:paraId="79FC2BE4" w14:textId="7E55A486" w:rsidR="000E63C1" w:rsidRDefault="000E63C1">
      <w:pPr>
        <w:rPr>
          <w:rFonts w:eastAsia="Times New Roman" w:cs="Calibri"/>
          <w:lang w:eastAsia="pl-PL"/>
        </w:rPr>
      </w:pPr>
      <w:r>
        <w:rPr>
          <w:rFonts w:eastAsia="Times New Roman" w:cs="Calibri"/>
          <w:lang w:eastAsia="pl-PL"/>
        </w:rPr>
        <w:br w:type="page"/>
      </w:r>
    </w:p>
    <w:p w14:paraId="3695B133" w14:textId="77777777" w:rsidR="00B53DEC" w:rsidRPr="00BB6D7D" w:rsidRDefault="00B53DEC" w:rsidP="00B53DEC">
      <w:pPr>
        <w:spacing w:before="120" w:after="0"/>
        <w:jc w:val="both"/>
        <w:rPr>
          <w:rFonts w:eastAsia="Times New Roman" w:cs="Calibri"/>
          <w:lang w:eastAsia="pl-PL"/>
        </w:rPr>
      </w:pPr>
    </w:p>
    <w:p w14:paraId="5A2CD019" w14:textId="77777777" w:rsidR="00B53DEC" w:rsidRPr="00F21196" w:rsidRDefault="00B53DEC" w:rsidP="00B53DEC">
      <w:pPr>
        <w:spacing w:after="0"/>
        <w:rPr>
          <w:rFonts w:eastAsia="Times New Roman" w:cs="Calibri"/>
          <w:b/>
          <w:color w:val="2F5496" w:themeColor="accent5" w:themeShade="BF"/>
          <w:lang w:eastAsia="pl-PL"/>
        </w:rPr>
      </w:pPr>
      <w:r w:rsidRPr="00F21196">
        <w:rPr>
          <w:rFonts w:eastAsia="Times New Roman" w:cs="Calibri"/>
          <w:b/>
          <w:noProof/>
          <w:color w:val="2F5496" w:themeColor="accent5" w:themeShade="BF"/>
          <w:lang w:eastAsia="pl-PL"/>
        </w:rPr>
        <mc:AlternateContent>
          <mc:Choice Requires="wps">
            <w:drawing>
              <wp:anchor distT="0" distB="0" distL="114300" distR="114300" simplePos="0" relativeHeight="252190720" behindDoc="0" locked="0" layoutInCell="1" allowOverlap="1" wp14:anchorId="2932E1F5" wp14:editId="20134FCB">
                <wp:simplePos x="0" y="0"/>
                <wp:positionH relativeFrom="margin">
                  <wp:posOffset>750571</wp:posOffset>
                </wp:positionH>
                <wp:positionV relativeFrom="paragraph">
                  <wp:posOffset>93980</wp:posOffset>
                </wp:positionV>
                <wp:extent cx="5449570" cy="352425"/>
                <wp:effectExtent l="0" t="0" r="17780" b="28575"/>
                <wp:wrapNone/>
                <wp:docPr id="133" name="Prostokąt zaokrąglony 133"/>
                <wp:cNvGraphicFramePr/>
                <a:graphic xmlns:a="http://schemas.openxmlformats.org/drawingml/2006/main">
                  <a:graphicData uri="http://schemas.microsoft.com/office/word/2010/wordprocessingShape">
                    <wps:wsp>
                      <wps:cNvSpPr/>
                      <wps:spPr>
                        <a:xfrm>
                          <a:off x="0" y="0"/>
                          <a:ext cx="5449570" cy="352425"/>
                        </a:xfrm>
                        <a:prstGeom prst="roundRect">
                          <a:avLst/>
                        </a:prstGeom>
                        <a:solidFill>
                          <a:schemeClr val="bg1">
                            <a:lumMod val="85000"/>
                          </a:schemeClr>
                        </a:solidFill>
                        <a:ln w="12700" cap="flat" cmpd="sng" algn="ctr">
                          <a:solidFill>
                            <a:schemeClr val="bg1">
                              <a:lumMod val="85000"/>
                            </a:schemeClr>
                          </a:solidFill>
                          <a:prstDash val="solid"/>
                          <a:miter lim="800000"/>
                        </a:ln>
                        <a:effectLst/>
                      </wps:spPr>
                      <wps:txbx>
                        <w:txbxContent>
                          <w:p w14:paraId="142492CD" w14:textId="77777777" w:rsidR="005D4C4C" w:rsidRPr="00E044DB" w:rsidRDefault="005D4C4C" w:rsidP="00B53DEC">
                            <w:pPr>
                              <w:rPr>
                                <w:i/>
                              </w:rPr>
                            </w:pPr>
                            <w:r w:rsidRPr="005F180F">
                              <w:rPr>
                                <w:b/>
                              </w:rPr>
                              <w:t>1</w:t>
                            </w:r>
                            <w:r w:rsidRPr="005F180F">
                              <w:rPr>
                                <w:b/>
                                <w:bCs/>
                              </w:rPr>
                              <w:t>.</w:t>
                            </w:r>
                            <w:r w:rsidRPr="00506520">
                              <w:rPr>
                                <w:b/>
                                <w:bCs/>
                              </w:rPr>
                              <w:t xml:space="preserve"> </w:t>
                            </w:r>
                            <w:r w:rsidRPr="00E044DB">
                              <w:rPr>
                                <w:b/>
                                <w:bCs/>
                                <w:i/>
                              </w:rPr>
                              <w:t>Zwiększenie potencjału Sił Zbrojnych RP.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32E1F5" id="Prostokąt zaokrąglony 133" o:spid="_x0000_s1067" style="position:absolute;margin-left:59.1pt;margin-top:7.4pt;width:429.1pt;height:27.7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8IpoAIAAGEFAAAOAAAAZHJzL2Uyb0RvYy54bWysVM1u2zAMvg/YOwi6r05SZ22DOkXQosOA&#10;rg3WDj0rsmwLlURNUmKn975ZH2yU7KQ/22nbxSZFihQ/fuTpWacV2QjnJZiCjg9GlAjDoZSmLuiP&#10;u8tPx5T4wEzJFBhR0K3w9Gz+8cNpa2diAg2oUjiCQYyftbagTQh2lmWeN0IzfwBWGDRW4DQLqLo6&#10;Kx1rMbpW2WQ0+py14ErrgAvv8fSiN9J5il9VgoebqvIiEFVQfFtIX5e+q/jN5qdsVjtmG8mHZ7C/&#10;eIVm0mDSfagLFhhZO/lbKC25Aw9VOOCgM6gqyUWqAasZj95Vc9swK1ItCI63e5j8/wvLrzdLR2SJ&#10;vTs8pMQwjU1a4hMDPDw/BfLI4ME9P9XYvS2JLghYa/0M793apRs0j2Ksvqucjn+si3QJ5O0eZNEF&#10;wvFwmucn0yPsBUfb4XSST6YxaPZy2zofvgjQJAoFdbA25XfsZAKYba586P13fjGjByXLS6lUUiJ7&#10;xLlyZMOw76t6nK6qtf4GZX92PB2NUvcxbyJbdE+veBNJGdIiNJMjdCacIUErxQKK2iJk3tSUMFUj&#10;83lwKceb2/vA//yOWOoF800fKCXpqatlwPlRUhf0GCva16RMBEKkCRgAi23rGxWl0K261Pd8vOvp&#10;CsotksFBPyXe8kuJea+YD0vmcCwQAxz1cIOfSgECA4NESQPu8U/n0R/ZilZKWhwzBO3nmjlBifpq&#10;kMcn4zyPc5mUfHo0QcW9tqxeW8xanwN2dIxLxfIkRv+gdmLlQN/jRljErGhihmPuvj2Dch768ced&#10;wsVikdxwFi0LV+bW8hg8QhcRv+vumbMDDQMS+Bp2I8lm74jY+8abBhbrAJVMLI1Q97giuaKCc5xo&#10;NuycuChe68nrZTPOfwEAAP//AwBQSwMEFAAGAAgAAAAhAF7k7PLdAAAACQEAAA8AAABkcnMvZG93&#10;bnJldi54bWxMj8tOwzAQRfdI/IM1SOyok1K1JcSpEI8VK5oKupzGk4eIx1HstuHvGVZlN1dzdB/5&#10;ZnK9OtEYOs8G0lkCirjytuPGwK58u1uDChHZYu+ZDPxQgE1xfZVjZv2ZP+i0jY0SEw4ZGmhjHDKt&#10;Q9WSwzDzA7H8aj86jCLHRtsRz2Luej1PkqV22LEktDjQc0vV9/boDKB1Q1rvy9f3UO6/Pmt+aXe2&#10;NOb2Znp6BBVpihcY/upLdSik08Ef2QbVi07Xc0HlWMgEAR5WywWog4FVcg+6yPX/BcUvAAAA//8D&#10;AFBLAQItABQABgAIAAAAIQC2gziS/gAAAOEBAAATAAAAAAAAAAAAAAAAAAAAAABbQ29udGVudF9U&#10;eXBlc10ueG1sUEsBAi0AFAAGAAgAAAAhADj9If/WAAAAlAEAAAsAAAAAAAAAAAAAAAAALwEAAF9y&#10;ZWxzLy5yZWxzUEsBAi0AFAAGAAgAAAAhAH1DwimgAgAAYQUAAA4AAAAAAAAAAAAAAAAALgIAAGRy&#10;cy9lMm9Eb2MueG1sUEsBAi0AFAAGAAgAAAAhAF7k7PLdAAAACQEAAA8AAAAAAAAAAAAAAAAA+gQA&#10;AGRycy9kb3ducmV2LnhtbFBLBQYAAAAABAAEAPMAAAAEBgAAAAA=&#10;" fillcolor="#d8d8d8 [2732]" strokecolor="#d8d8d8 [2732]" strokeweight="1pt">
                <v:stroke joinstyle="miter"/>
                <v:textbox>
                  <w:txbxContent>
                    <w:p w14:paraId="142492CD" w14:textId="77777777" w:rsidR="005D4C4C" w:rsidRPr="00E044DB" w:rsidRDefault="005D4C4C" w:rsidP="00B53DEC">
                      <w:pPr>
                        <w:rPr>
                          <w:i/>
                        </w:rPr>
                      </w:pPr>
                      <w:r w:rsidRPr="005F180F">
                        <w:rPr>
                          <w:b/>
                        </w:rPr>
                        <w:t>1</w:t>
                      </w:r>
                      <w:r w:rsidRPr="005F180F">
                        <w:rPr>
                          <w:b/>
                          <w:bCs/>
                        </w:rPr>
                        <w:t>.</w:t>
                      </w:r>
                      <w:r w:rsidRPr="00506520">
                        <w:rPr>
                          <w:b/>
                          <w:bCs/>
                        </w:rPr>
                        <w:t xml:space="preserve"> </w:t>
                      </w:r>
                      <w:r w:rsidRPr="00E044DB">
                        <w:rPr>
                          <w:b/>
                          <w:bCs/>
                          <w:i/>
                        </w:rPr>
                        <w:t>Zwiększenie potencjału Sił Zbrojnych RP.</w:t>
                      </w:r>
                    </w:p>
                  </w:txbxContent>
                </v:textbox>
                <w10:wrap anchorx="margin"/>
              </v:roundrect>
            </w:pict>
          </mc:Fallback>
        </mc:AlternateContent>
      </w:r>
      <w:r w:rsidRPr="00F21196">
        <w:rPr>
          <w:rFonts w:eastAsia="Times New Roman" w:cs="Calibri"/>
          <w:b/>
          <w:noProof/>
          <w:color w:val="2F5496" w:themeColor="accent5" w:themeShade="BF"/>
          <w:lang w:eastAsia="pl-PL"/>
        </w:rPr>
        <mc:AlternateContent>
          <mc:Choice Requires="wps">
            <w:drawing>
              <wp:anchor distT="0" distB="0" distL="114300" distR="114300" simplePos="0" relativeHeight="252193792" behindDoc="0" locked="0" layoutInCell="1" allowOverlap="1" wp14:anchorId="1FE8E5C8" wp14:editId="44C3E4A0">
                <wp:simplePos x="0" y="0"/>
                <wp:positionH relativeFrom="margin">
                  <wp:align>left</wp:align>
                </wp:positionH>
                <wp:positionV relativeFrom="paragraph">
                  <wp:posOffset>52705</wp:posOffset>
                </wp:positionV>
                <wp:extent cx="401292" cy="2876550"/>
                <wp:effectExtent l="0" t="0" r="18415" b="19050"/>
                <wp:wrapNone/>
                <wp:docPr id="162" name="Prostokąt 162"/>
                <wp:cNvGraphicFramePr/>
                <a:graphic xmlns:a="http://schemas.openxmlformats.org/drawingml/2006/main">
                  <a:graphicData uri="http://schemas.microsoft.com/office/word/2010/wordprocessingShape">
                    <wps:wsp>
                      <wps:cNvSpPr/>
                      <wps:spPr>
                        <a:xfrm>
                          <a:off x="0" y="0"/>
                          <a:ext cx="401292" cy="2876550"/>
                        </a:xfrm>
                        <a:prstGeom prst="rect">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207ABE" w14:textId="77777777" w:rsidR="005D4C4C" w:rsidRPr="00E3677F" w:rsidRDefault="005D4C4C" w:rsidP="00B53DEC">
                            <w:pPr>
                              <w:jc w:val="center"/>
                              <w:rPr>
                                <w:b/>
                                <w:color w:val="000000" w:themeColor="text1"/>
                                <w:sz w:val="28"/>
                              </w:rPr>
                            </w:pPr>
                            <w:r w:rsidRPr="00E3677F">
                              <w:rPr>
                                <w:b/>
                                <w:color w:val="000000" w:themeColor="text1"/>
                                <w:sz w:val="28"/>
                              </w:rPr>
                              <w:t>Kierunki interwencji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8E5C8" id="Prostokąt 162" o:spid="_x0000_s1068" style="position:absolute;margin-left:0;margin-top:4.15pt;width:31.6pt;height:226.5pt;z-index:252193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ajJtgIAAEUGAAAOAAAAZHJzL2Uyb0RvYy54bWzEVM1OGzEQvlfqO1i+l92skgARGxSBqCpR&#10;iAoVZ8drs6t6Pa7tJJve+2Y8WMf2ZqH89FBVag4bezy/38x8J6ddq8hGWNeALunoIKdEaA5Vo+9L&#10;+vX24sMRJc4zXTEFWpR0Jxw9nb9/d7I1M1FADaoSlqAT7WZbU9LaezPLMsdr0TJ3AEZofJRgW+bx&#10;au+zyrItem9VVuT5NNuCrYwFLpxD6Xl6pPPoX0rB/bWUTniiSoq5+fi18bsK32x+wmb3lpm64X0a&#10;7C+yaFmjMejg6px5Rta2eeGqbbgFB9IfcGgzkLLhItaA1YzyZ9Xc1MyIWAuC48wAk/t3bvnVZmlJ&#10;U2HvpgUlmrXYpCWm6OHbw09PghQx2ho3Q9Ubs7T9zeExFNxJ24Z/LIV0EdfdgKvoPOEoHOej4hi9&#10;c3wqjg6nk0kEPnu0Ntb5jwJaEg4ltdi3CCfbXDqPEVF1rxKCOVBNddEoFS9hVsSZsmTDsMuMc6H9&#10;KJqrdfsZqiQf5/hL/UYxTkUST/diDBGnLniKAX8LovT/iIs5hcBZgD8BHk9+p0RIR+kvQmLzEOIi&#10;1jsU8BIKV7NKJPHkzZKjw+BZIraD74TlG75Tc3r9YCri1g3G+Z8SS8aDRYwM2g/GbaPBvuZAYYP7&#10;yEl/D1KCJqDku1UXB3s8TPAKqh1Ou4VEA87wiwbn7ZI5v2QW9x4ZArnMX+NHKtiWFPoTJTXYH6/J&#10;g35Jw7c4RPMtUklJ3fc1s4IS9Unjrh6PxuPAPfEynhwWeLFPX1ZPX/S6PQOc4xESp+HxGPS92h+l&#10;hfYOWW8RAuMT0xyTKyn3dn8584nikDe5WCyiGvKNYf5S3xgenAesw0rddnfMmn7vPG7sFexph82e&#10;rV/SDZYaFmsPsom7GdBO0PZdQK6KG9TzaiDDp/eo9cj+818AAAD//wMAUEsDBBQABgAIAAAAIQAh&#10;GTrm3QAAAAUBAAAPAAAAZHJzL2Rvd25yZXYueG1sTI9BS8NAFITvgv9heYI3u0lTQpvmpaQWEQ8W&#10;W4VeN9lnEsy+DdltG/+960mPwwwz3+SbyfTiQqPrLCPEswgEcW11xw3Cx/vTwxKE84q16i0Twjc5&#10;2BS3N7nKtL3ygS5H34hQwi5TCK33Qyalq1syys3sQBy8Tzsa5YMcG6lHdQ3lppfzKEqlUR2HhVYN&#10;9NhS/XU8G4Tqbcv77SF+pcXKPJ9Wu/Jl15eI93dTuQbhafJ/YfjFD+hQBKbKnlk70SOEIx5hmYAI&#10;ZprMQVQIizROQBa5/E9f/AAAAP//AwBQSwECLQAUAAYACAAAACEAtoM4kv4AAADhAQAAEwAAAAAA&#10;AAAAAAAAAAAAAAAAW0NvbnRlbnRfVHlwZXNdLnhtbFBLAQItABQABgAIAAAAIQA4/SH/1gAAAJQB&#10;AAALAAAAAAAAAAAAAAAAAC8BAABfcmVscy8ucmVsc1BLAQItABQABgAIAAAAIQD9HajJtgIAAEUG&#10;AAAOAAAAAAAAAAAAAAAAAC4CAABkcnMvZTJvRG9jLnhtbFBLAQItABQABgAIAAAAIQAhGTrm3QAA&#10;AAUBAAAPAAAAAAAAAAAAAAAAABAFAABkcnMvZG93bnJldi54bWxQSwUGAAAAAAQABADzAAAAGgYA&#10;AAAA&#10;" fillcolor="#bdd6ee [1300]" strokecolor="#bdd6ee [1300]" strokeweight="1pt">
                <v:textbox style="layout-flow:vertical;mso-layout-flow-alt:bottom-to-top">
                  <w:txbxContent>
                    <w:p w14:paraId="5A207ABE" w14:textId="77777777" w:rsidR="005D4C4C" w:rsidRPr="00E3677F" w:rsidRDefault="005D4C4C" w:rsidP="00B53DEC">
                      <w:pPr>
                        <w:jc w:val="center"/>
                        <w:rPr>
                          <w:b/>
                          <w:color w:val="000000" w:themeColor="text1"/>
                          <w:sz w:val="28"/>
                        </w:rPr>
                      </w:pPr>
                      <w:r w:rsidRPr="00E3677F">
                        <w:rPr>
                          <w:b/>
                          <w:color w:val="000000" w:themeColor="text1"/>
                          <w:sz w:val="28"/>
                        </w:rPr>
                        <w:t>Kierunki interwencji</w:t>
                      </w:r>
                    </w:p>
                  </w:txbxContent>
                </v:textbox>
                <w10:wrap anchorx="margin"/>
              </v:rect>
            </w:pict>
          </mc:Fallback>
        </mc:AlternateContent>
      </w:r>
      <w:r w:rsidRPr="00F21196">
        <w:rPr>
          <w:rFonts w:eastAsia="Times New Roman" w:cs="Calibri"/>
          <w:b/>
          <w:noProof/>
          <w:color w:val="2F5496" w:themeColor="accent5" w:themeShade="BF"/>
          <w:lang w:eastAsia="pl-PL"/>
        </w:rPr>
        <mc:AlternateContent>
          <mc:Choice Requires="wps">
            <w:drawing>
              <wp:anchor distT="0" distB="0" distL="114300" distR="114300" simplePos="0" relativeHeight="252191744" behindDoc="0" locked="0" layoutInCell="1" allowOverlap="1" wp14:anchorId="2A26A618" wp14:editId="27BEA3A3">
                <wp:simplePos x="0" y="0"/>
                <wp:positionH relativeFrom="margin">
                  <wp:posOffset>388296</wp:posOffset>
                </wp:positionH>
                <wp:positionV relativeFrom="paragraph">
                  <wp:posOffset>123825</wp:posOffset>
                </wp:positionV>
                <wp:extent cx="343965" cy="314325"/>
                <wp:effectExtent l="0" t="19050" r="37465" b="47625"/>
                <wp:wrapNone/>
                <wp:docPr id="134" name="Strzałka w prawo 134"/>
                <wp:cNvGraphicFramePr/>
                <a:graphic xmlns:a="http://schemas.openxmlformats.org/drawingml/2006/main">
                  <a:graphicData uri="http://schemas.microsoft.com/office/word/2010/wordprocessingShape">
                    <wps:wsp>
                      <wps:cNvSpPr/>
                      <wps:spPr>
                        <a:xfrm>
                          <a:off x="0" y="0"/>
                          <a:ext cx="343965" cy="314325"/>
                        </a:xfrm>
                        <a:prstGeom prst="rightArrow">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0D4B6" id="Strzałka w prawo 134" o:spid="_x0000_s1026" type="#_x0000_t13" style="position:absolute;margin-left:30.55pt;margin-top:9.75pt;width:27.1pt;height:24.75pt;z-index:25219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1M6sgIAADsGAAAOAAAAZHJzL2Uyb0RvYy54bWzEVEtvEzEQviPxHyzf6eZZaNRNFbUqQipt&#10;RYp6dr3e7Aqvx4ydbNIj/43/xdjebEsfHBASOWzsec83nu/4ZNtotlHoajA5Hx4MOFNGQlGbVc6/&#10;3py/+8CZ88IUQoNROd8px0/mb98ct3amRlCBLhQyCmLcrLU5r7y3syxzslKNcAdglSFlCdgIT1dc&#10;ZQWKlqI3OhsNBodZC1hYBKmcI+lZUvJ5jF+WSvqrsnTKM51zqs3HL8bvXfhm82MxW6GwVS27MsRf&#10;VNGI2lDSPtSZ8IKtsX4WqqklgoPSH0hoMijLWqrYA3UzHDzpZlkJq2IvBI6zPUzu34WVl5trZHVB&#10;sxtPODOioSEtPd6Lnz++CdYyS4gCC0qCqrVuRh5Le43dzdEx9L0tsQn/1BHbRnh3Pbxq65kk4Xgy&#10;PjqcciZJNR5OxqNpiJk9OFt0/qOChpI6mhTWq8ovEKGN0IrNhfPJYW8YMjrQdXFeax0v4d2oU41s&#10;I2jiQkpl/DC663XzGYoknwzol2ZPYnohSXy4F1NN8QWGSLHC35Jo8z/yUk0hcRZmkFCPJ7/TKpSj&#10;zRdV0iAJ51Hst2/gORSuEoVK4umrLceAIXJJ2PaxE5avxE7D6eyDq4ob2DsP/lRYcu49YmYwvndu&#10;agP4UgBNA+4yJ/s9SAmagNIdFDt65ghp/52V5zU9sQvh/LVAWniiBiIxf0WfUkObc+hOnFWA9y/J&#10;gz3tIWk5a4lAcu6+rwUqzvQnQxt6NJxMAuPEy2T6fkQXfKy5e6wx6+YU6MUOiS6tjMdg7/X+WCI0&#10;t8R1i5CVVMJIyp1z6XF/OfWJ2IgtpVosohmxjBX+wiytDMEDqmF5bra3Am23Z54W9BL2ZCNmTxYt&#10;2QZPA4u1h7KOW/iAa4c3MVTclY5NAwU+vkerB86f/wIAAP//AwBQSwMEFAAGAAgAAAAhALF6kMLf&#10;AAAACAEAAA8AAABkcnMvZG93bnJldi54bWxMj8FOwzAMhu9IvENkJC4TSwp0YqXphIo4ICQQZRdu&#10;XuO1FY1TNelWeHqyExzt79fvz/lmtr040Og7xxqSpQJBXDvTcaNh+/F0dQfCB2SDvWPS8E0eNsX5&#10;WY6ZcUd+p0MVGhFL2GeooQ1hyKT0dUsW/dINxJHt3WgxxHFspBnxGMttL6+VWkmLHccLLQ5UtlR/&#10;VZPV8HyL5Tb5SRf7x6H6fFG8eHstJ60vL+aHexCB5vAXhpN+VIciOu3cxMaLXsMqSWIy7tcpiBNP&#10;0hsQuwjWCmSRy/8PFL8AAAD//wMAUEsBAi0AFAAGAAgAAAAhALaDOJL+AAAA4QEAABMAAAAAAAAA&#10;AAAAAAAAAAAAAFtDb250ZW50X1R5cGVzXS54bWxQSwECLQAUAAYACAAAACEAOP0h/9YAAACUAQAA&#10;CwAAAAAAAAAAAAAAAAAvAQAAX3JlbHMvLnJlbHNQSwECLQAUAAYACAAAACEAa19TOrICAAA7BgAA&#10;DgAAAAAAAAAAAAAAAAAuAgAAZHJzL2Uyb0RvYy54bWxQSwECLQAUAAYACAAAACEAsXqQwt8AAAAI&#10;AQAADwAAAAAAAAAAAAAAAAAMBQAAZHJzL2Rvd25yZXYueG1sUEsFBgAAAAAEAAQA8wAAABgGAAAA&#10;AA==&#10;" adj="11731" fillcolor="#bdd6ee [1300]" strokecolor="#bdd6ee [1300]" strokeweight="1pt">
                <w10:wrap anchorx="margin"/>
              </v:shape>
            </w:pict>
          </mc:Fallback>
        </mc:AlternateContent>
      </w:r>
      <w:r w:rsidRPr="00F21196">
        <w:rPr>
          <w:rFonts w:eastAsia="Times New Roman" w:cs="Calibri"/>
          <w:b/>
          <w:noProof/>
          <w:color w:val="2F5496" w:themeColor="accent5" w:themeShade="BF"/>
          <w:lang w:eastAsia="pl-PL"/>
        </w:rPr>
        <mc:AlternateContent>
          <mc:Choice Requires="wps">
            <w:drawing>
              <wp:anchor distT="0" distB="0" distL="114300" distR="114300" simplePos="0" relativeHeight="252192768" behindDoc="0" locked="0" layoutInCell="1" allowOverlap="1" wp14:anchorId="5798718A" wp14:editId="0E48A65C">
                <wp:simplePos x="0" y="0"/>
                <wp:positionH relativeFrom="margin">
                  <wp:posOffset>386080</wp:posOffset>
                </wp:positionH>
                <wp:positionV relativeFrom="paragraph">
                  <wp:posOffset>619125</wp:posOffset>
                </wp:positionV>
                <wp:extent cx="343965" cy="314325"/>
                <wp:effectExtent l="0" t="19050" r="37465" b="47625"/>
                <wp:wrapNone/>
                <wp:docPr id="161" name="Strzałka w prawo 161"/>
                <wp:cNvGraphicFramePr/>
                <a:graphic xmlns:a="http://schemas.openxmlformats.org/drawingml/2006/main">
                  <a:graphicData uri="http://schemas.microsoft.com/office/word/2010/wordprocessingShape">
                    <wps:wsp>
                      <wps:cNvSpPr/>
                      <wps:spPr>
                        <a:xfrm>
                          <a:off x="0" y="0"/>
                          <a:ext cx="343965" cy="314325"/>
                        </a:xfrm>
                        <a:prstGeom prst="rightArrow">
                          <a:avLst/>
                        </a:prstGeom>
                        <a:solidFill>
                          <a:schemeClr val="accent1">
                            <a:lumMod val="40000"/>
                            <a:lumOff val="60000"/>
                          </a:schemeClr>
                        </a:solidFill>
                        <a:ln w="12700" cap="flat" cmpd="sng" algn="ctr">
                          <a:solidFill>
                            <a:schemeClr val="accent1">
                              <a:lumMod val="40000"/>
                              <a:lumOff val="6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44121" id="Strzałka w prawo 161" o:spid="_x0000_s1026" type="#_x0000_t13" style="position:absolute;margin-left:30.4pt;margin-top:48.75pt;width:27.1pt;height:24.75pt;z-index:25219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LtGmwIAAH4FAAAOAAAAZHJzL2Uyb0RvYy54bWy0VNtOGzEQfa/Uf7D8XjY3AkQkKAJRVaKA&#10;FCqeB683u6pvtZ1s4LH/xn/12JuES/tUtXnYeGbsuZw5M6dnG63YWvrQWDPl/YMeZ9IIWzZmOeXf&#10;7i4/HXMWIpmSlDVyyh9l4Gezjx9OWzeRA1tbVUrP4MSESeumvI7RTYoiiFpqCgfWSQNjZb2mCNEv&#10;i9JTC+9aFYNeb1y01pfOWyFDgPaiM/JZ9l9VUsSbqgoyMjXlyC3mr8/fh/QtZqc0WXpydSO2adBf&#10;ZKGpMQi6d3VBkdjKN7+50o3wNtgqHgirC1tVjZC5BlTT772rZlGTk7kWgBPcHqbw79yK6/WtZ02J&#10;3o37nBnSaNIi+id6/vmdWMscELUsGQFV68IELxbu1m+lgGOqe1N5nf5REdtkeB/38MpNZALK4Wh4&#10;Mj7kTMA07I+Gg8Pks3h57HyIn6XVCBrQKd8s6zj33rYZWlpfhdg92F1MEYNVTXnZKJWFxBt5rjxb&#10;EzpOQkgT+/m5Wumvtuz0ox5+Xe+hBkM69XinRk6ZgclTzvBNEGVYC7wGR/DBBIG1laKIo3bAMZgl&#10;Z6SWGAcRfQ795vXe8f9MMQF0QaHuYuT4Xbm6iZg31egpP07VZhRQrjIJPpknZgtzanbX3nR6sOUj&#10;mOJtN0LBicsGQa4oxFvymBlggT0Qb/CplAVAdnvirLb+6U/6dB9UhpWzFjMI8H6syEvO1BcDkp/0&#10;R6M0tFkYHR4NIPjXlofXFrPS5xZNB42RXT6m+1HtjpW3+h7rYp6iwkRGIHbXpq1wHrvdgIUj5Hye&#10;r2FQHcUrs3AiOU84JXjvNvfk3ZaqERy/trt5pck7rnZ300tj56toqyYT+QVXkCwJGPJMt+1CSlvk&#10;tZxvvazN2S8AAAD//wMAUEsDBBQABgAIAAAAIQDuv7p/4QAAAAkBAAAPAAAAZHJzL2Rvd25yZXYu&#10;eG1sTI9BS8NAEIXvgv9hGcFLsbuRpq0xmyIRDyJUTHvxNk22STA7G7KbNvrrnZ709oY3vPe9dDPZ&#10;TpzM4FtHGqK5AmGodFVLtYb97uVuDcIHpAo7R0bDt/Gwya6vUkwqd6YPcypCLTiEfIIamhD6REpf&#10;Nsain7veEHtHN1gMfA61rAY8c7jt5L1SS2mxJW5osDd5Y8qvYrQaXheY76OfeHZ87ovPN0Wz920+&#10;an17Mz09gghmCn/PcMFndMiY6eBGqrzoNCwVkwcND6sYxMWPYt52YLFYKZBZKv8vyH4BAAD//wMA&#10;UEsBAi0AFAAGAAgAAAAhALaDOJL+AAAA4QEAABMAAAAAAAAAAAAAAAAAAAAAAFtDb250ZW50X1R5&#10;cGVzXS54bWxQSwECLQAUAAYACAAAACEAOP0h/9YAAACUAQAACwAAAAAAAAAAAAAAAAAvAQAAX3Jl&#10;bHMvLnJlbHNQSwECLQAUAAYACAAAACEA9By7RpsCAAB+BQAADgAAAAAAAAAAAAAAAAAuAgAAZHJz&#10;L2Uyb0RvYy54bWxQSwECLQAUAAYACAAAACEA7r+6f+EAAAAJAQAADwAAAAAAAAAAAAAAAAD1BAAA&#10;ZHJzL2Rvd25yZXYueG1sUEsFBgAAAAAEAAQA8wAAAAMGAAAAAA==&#10;" adj="11731" fillcolor="#bdd6ee [1300]" strokecolor="#bdd6ee [1300]" strokeweight="1pt">
                <w10:wrap anchorx="margin"/>
              </v:shape>
            </w:pict>
          </mc:Fallback>
        </mc:AlternateContent>
      </w:r>
    </w:p>
    <w:p w14:paraId="04383C1B" w14:textId="77777777" w:rsidR="00B53DEC" w:rsidRPr="00F21196" w:rsidRDefault="00B53DEC" w:rsidP="00B53DEC">
      <w:pPr>
        <w:spacing w:after="0"/>
        <w:rPr>
          <w:rFonts w:eastAsia="Times New Roman" w:cs="Calibri"/>
          <w:b/>
          <w:color w:val="2F5496" w:themeColor="accent5" w:themeShade="BF"/>
          <w:lang w:eastAsia="pl-PL"/>
        </w:rPr>
      </w:pPr>
    </w:p>
    <w:p w14:paraId="7C66964C" w14:textId="77777777" w:rsidR="00B53DEC" w:rsidRPr="00F21196" w:rsidRDefault="00B53DEC" w:rsidP="00B53DEC">
      <w:pPr>
        <w:spacing w:after="0"/>
        <w:rPr>
          <w:rFonts w:eastAsia="Times New Roman" w:cs="Calibri"/>
          <w:b/>
          <w:color w:val="2F5496" w:themeColor="accent5" w:themeShade="BF"/>
          <w:lang w:eastAsia="pl-PL"/>
        </w:rPr>
      </w:pPr>
      <w:r w:rsidRPr="00F21196">
        <w:rPr>
          <w:rFonts w:eastAsia="Times New Roman" w:cs="Calibri"/>
          <w:b/>
          <w:noProof/>
          <w:color w:val="2F5496" w:themeColor="accent5" w:themeShade="BF"/>
          <w:lang w:eastAsia="pl-PL"/>
        </w:rPr>
        <mc:AlternateContent>
          <mc:Choice Requires="wps">
            <w:drawing>
              <wp:anchor distT="0" distB="0" distL="114300" distR="114300" simplePos="0" relativeHeight="252188672" behindDoc="0" locked="0" layoutInCell="1" allowOverlap="1" wp14:anchorId="1422C821" wp14:editId="15645004">
                <wp:simplePos x="0" y="0"/>
                <wp:positionH relativeFrom="margin">
                  <wp:posOffset>769620</wp:posOffset>
                </wp:positionH>
                <wp:positionV relativeFrom="paragraph">
                  <wp:posOffset>154305</wp:posOffset>
                </wp:positionV>
                <wp:extent cx="5419725" cy="510209"/>
                <wp:effectExtent l="0" t="0" r="28575" b="23495"/>
                <wp:wrapNone/>
                <wp:docPr id="131" name="Prostokąt zaokrąglony 131"/>
                <wp:cNvGraphicFramePr/>
                <a:graphic xmlns:a="http://schemas.openxmlformats.org/drawingml/2006/main">
                  <a:graphicData uri="http://schemas.microsoft.com/office/word/2010/wordprocessingShape">
                    <wps:wsp>
                      <wps:cNvSpPr/>
                      <wps:spPr>
                        <a:xfrm>
                          <a:off x="0" y="0"/>
                          <a:ext cx="5419725" cy="510209"/>
                        </a:xfrm>
                        <a:prstGeom prst="roundRect">
                          <a:avLst/>
                        </a:prstGeom>
                        <a:solidFill>
                          <a:schemeClr val="bg1">
                            <a:lumMod val="85000"/>
                          </a:schemeClr>
                        </a:solidFill>
                        <a:ln w="12700" cap="flat" cmpd="sng" algn="ctr">
                          <a:solidFill>
                            <a:schemeClr val="bg1">
                              <a:lumMod val="85000"/>
                            </a:schemeClr>
                          </a:solidFill>
                          <a:prstDash val="solid"/>
                          <a:miter lim="800000"/>
                        </a:ln>
                        <a:effectLst/>
                      </wps:spPr>
                      <wps:txbx>
                        <w:txbxContent>
                          <w:p w14:paraId="2B11B4AD" w14:textId="77777777" w:rsidR="005D4C4C" w:rsidRPr="00E80C16" w:rsidRDefault="005D4C4C" w:rsidP="00B53DEC">
                            <w:pPr>
                              <w:ind w:left="284" w:hanging="284"/>
                              <w:jc w:val="both"/>
                              <w:rPr>
                                <w:rFonts w:ascii="Calibri" w:eastAsia="Times New Roman" w:hAnsi="Calibri" w:cs="Calibri"/>
                                <w:b/>
                                <w:lang w:eastAsia="pl-PL"/>
                              </w:rPr>
                            </w:pPr>
                            <w:r>
                              <w:rPr>
                                <w:rFonts w:ascii="Calibri" w:eastAsia="Times New Roman" w:hAnsi="Calibri" w:cs="Calibri"/>
                                <w:b/>
                                <w:lang w:eastAsia="pl-PL"/>
                              </w:rPr>
                              <w:t>2</w:t>
                            </w:r>
                            <w:r w:rsidRPr="00506520">
                              <w:rPr>
                                <w:rFonts w:ascii="Calibri" w:eastAsia="Times New Roman" w:hAnsi="Calibri" w:cs="Calibri"/>
                                <w:b/>
                                <w:lang w:eastAsia="pl-PL"/>
                              </w:rPr>
                              <w:t>.</w:t>
                            </w:r>
                            <w:r>
                              <w:rPr>
                                <w:rFonts w:ascii="Calibri" w:eastAsia="Times New Roman" w:hAnsi="Calibri" w:cs="Calibri"/>
                                <w:b/>
                                <w:lang w:eastAsia="pl-PL"/>
                              </w:rPr>
                              <w:t xml:space="preserve"> </w:t>
                            </w:r>
                            <w:r w:rsidRPr="00E044DB">
                              <w:rPr>
                                <w:rFonts w:ascii="Calibri" w:eastAsia="Times New Roman" w:hAnsi="Calibri" w:cs="Calibri"/>
                                <w:b/>
                                <w:i/>
                                <w:lang w:eastAsia="pl-PL"/>
                              </w:rPr>
                              <w:t>Przeciwdziałanie i zwalczanie przestępczości oraz zagrożeń dla bezpieczeństwa i porządku publicznego.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22C821" id="Prostokąt zaokrąglony 131" o:spid="_x0000_s1069" style="position:absolute;margin-left:60.6pt;margin-top:12.15pt;width:426.75pt;height:40.15pt;z-index:25218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KKnwIAAGEFAAAOAAAAZHJzL2Uyb0RvYy54bWysVM1u2zAMvg/YOwi6r7bTZG2DOkXQosOA&#10;rg3WDj0rsmwLlURNUuKk975ZH2yU7KQ/22nbxSZFij8fP+r0bKMVWQvnJZiSFgc5JcJwqKRpSvrj&#10;7vLTMSU+MFMxBUaUdCs8PZt9/HDa2akYQQuqEo5gEOOnnS1pG4KdZpnnrdDMH4AVBo01OM0Cqq7J&#10;Ksc6jK5VNsrzz1kHrrIOuPAeTy96I52l+HUteLipay8CUSXF2kL6uvRdxm82O2XTxjHbSj6Uwf6i&#10;Cs2kwaT7UBcsMLJy8rdQWnIHHupwwEFnUNeSi9QDdlPk77q5bZkVqRcEx9s9TP7/heXX64UjssLZ&#10;HRaUGKZxSAssMcDD81Mgjwwe3PNTg9PbkuiCgHXWT/HerV24QfMoxu43tdPxj32RTQJ5uwdZbALh&#10;eDgZFydHowklHG2TIh/lJzFo9nLbOh++CNAkCiV1sDLVd5xkApitr3zo/Xd+MaMHJatLqVRSInvE&#10;uXJkzXDuy6ZIV9VKf4OqPzue5HmaPuZNZIvuqYo3kZQhHUIzOkJnwhkStFYsoKgtQuZNQwlTDTKf&#10;B5dyvLm9D/zPdcRWL5hv+0ApSU9dLQPuj5K6pMfY0b4nZSIQIm3AAFgcWz+oKIXNcpPmPj7czXQJ&#10;1RbJ4KDfEm/5pcS8V8yHBXO4FogBrnq4wU+tAIGBQaKkBff4p/Poj2xFKyUdrhmC9nPFnKBEfTXI&#10;45NiPI57mZTx5GiEinttWb62mJU+B5woMhWrS2L0D2on1g70Pb4I85gVTcxwzN2PZ1DOQ7/++KZw&#10;MZ8nN9xFy8KVubU8Bo/QRcTvNvfM2YGGAQl8DbuVZNN3ROx9400D81WAWiaWRqh7XJFcUcE9TjQb&#10;3pz4ULzWk9fLyzj7BQAA//8DAFBLAwQUAAYACAAAACEAOfh2h94AAAAKAQAADwAAAGRycy9kb3du&#10;cmV2LnhtbEyPy07DMBBF90j8gzVI7KiTELU0xKkQjxUrmop26caTOCIeR7Hbhr9nWMHy6h7dOVNu&#10;ZjeIM06h96QgXSQgkBpveuoU7Oq3uwcQIWoyevCECr4xwKa6vip1YfyFPvC8jZ3gEQqFVmBjHAsp&#10;Q2PR6bDwIxJ3rZ+cjhynTppJX3jcDTJLkqV0uie+YPWIzxabr+3JKdDGjWl7qF/fQ33Yf7b0Ynem&#10;Vur2Zn56BBFxjn8w/OqzOlTsdPQnMkEMnLM0Y1RBlt+DYGC9ylcgjtwk+RJkVcr/L1Q/AAAA//8D&#10;AFBLAQItABQABgAIAAAAIQC2gziS/gAAAOEBAAATAAAAAAAAAAAAAAAAAAAAAABbQ29udGVudF9U&#10;eXBlc10ueG1sUEsBAi0AFAAGAAgAAAAhADj9If/WAAAAlAEAAAsAAAAAAAAAAAAAAAAALwEAAF9y&#10;ZWxzLy5yZWxzUEsBAi0AFAAGAAgAAAAhAEa+koqfAgAAYQUAAA4AAAAAAAAAAAAAAAAALgIAAGRy&#10;cy9lMm9Eb2MueG1sUEsBAi0AFAAGAAgAAAAhADn4dofeAAAACgEAAA8AAAAAAAAAAAAAAAAA+QQA&#10;AGRycy9kb3ducmV2LnhtbFBLBQYAAAAABAAEAPMAAAAEBgAAAAA=&#10;" fillcolor="#d8d8d8 [2732]" strokecolor="#d8d8d8 [2732]" strokeweight="1pt">
                <v:stroke joinstyle="miter"/>
                <v:textbox>
                  <w:txbxContent>
                    <w:p w14:paraId="2B11B4AD" w14:textId="77777777" w:rsidR="005D4C4C" w:rsidRPr="00E80C16" w:rsidRDefault="005D4C4C" w:rsidP="00B53DEC">
                      <w:pPr>
                        <w:ind w:left="284" w:hanging="284"/>
                        <w:jc w:val="both"/>
                        <w:rPr>
                          <w:rFonts w:ascii="Calibri" w:eastAsia="Times New Roman" w:hAnsi="Calibri" w:cs="Calibri"/>
                          <w:b/>
                          <w:lang w:eastAsia="pl-PL"/>
                        </w:rPr>
                      </w:pPr>
                      <w:r>
                        <w:rPr>
                          <w:rFonts w:ascii="Calibri" w:eastAsia="Times New Roman" w:hAnsi="Calibri" w:cs="Calibri"/>
                          <w:b/>
                          <w:lang w:eastAsia="pl-PL"/>
                        </w:rPr>
                        <w:t>2</w:t>
                      </w:r>
                      <w:r w:rsidRPr="00506520">
                        <w:rPr>
                          <w:rFonts w:ascii="Calibri" w:eastAsia="Times New Roman" w:hAnsi="Calibri" w:cs="Calibri"/>
                          <w:b/>
                          <w:lang w:eastAsia="pl-PL"/>
                        </w:rPr>
                        <w:t>.</w:t>
                      </w:r>
                      <w:r>
                        <w:rPr>
                          <w:rFonts w:ascii="Calibri" w:eastAsia="Times New Roman" w:hAnsi="Calibri" w:cs="Calibri"/>
                          <w:b/>
                          <w:lang w:eastAsia="pl-PL"/>
                        </w:rPr>
                        <w:t xml:space="preserve"> </w:t>
                      </w:r>
                      <w:r w:rsidRPr="00E044DB">
                        <w:rPr>
                          <w:rFonts w:ascii="Calibri" w:eastAsia="Times New Roman" w:hAnsi="Calibri" w:cs="Calibri"/>
                          <w:b/>
                          <w:i/>
                          <w:lang w:eastAsia="pl-PL"/>
                        </w:rPr>
                        <w:t>Przeciwdziałanie i zwalczanie przestępczości oraz zagrożeń dla bezpieczeństwa i porządku publicznego.</w:t>
                      </w:r>
                    </w:p>
                  </w:txbxContent>
                </v:textbox>
                <w10:wrap anchorx="margin"/>
              </v:roundrect>
            </w:pict>
          </mc:Fallback>
        </mc:AlternateContent>
      </w:r>
    </w:p>
    <w:p w14:paraId="06A0CE2F" w14:textId="77777777" w:rsidR="00B53DEC" w:rsidRPr="00F21196" w:rsidRDefault="00B53DEC" w:rsidP="00B53DEC">
      <w:pPr>
        <w:spacing w:after="0"/>
        <w:rPr>
          <w:rFonts w:eastAsia="Times New Roman" w:cs="Calibri"/>
          <w:b/>
          <w:color w:val="2F5496" w:themeColor="accent5" w:themeShade="BF"/>
          <w:lang w:eastAsia="pl-PL"/>
        </w:rPr>
      </w:pPr>
    </w:p>
    <w:p w14:paraId="62129C31" w14:textId="77777777" w:rsidR="00B53DEC" w:rsidRPr="00F21196" w:rsidRDefault="00B53DEC" w:rsidP="00B53DEC">
      <w:pPr>
        <w:spacing w:after="0"/>
        <w:rPr>
          <w:rFonts w:eastAsia="Times New Roman" w:cs="Calibri"/>
          <w:b/>
          <w:color w:val="2F5496" w:themeColor="accent5" w:themeShade="BF"/>
          <w:lang w:eastAsia="pl-PL"/>
        </w:rPr>
      </w:pPr>
    </w:p>
    <w:p w14:paraId="7EFEE9B3" w14:textId="77777777" w:rsidR="00B53DEC" w:rsidRPr="00F21196" w:rsidRDefault="00B53DEC" w:rsidP="00B53DEC">
      <w:pPr>
        <w:spacing w:after="0"/>
        <w:rPr>
          <w:rFonts w:eastAsia="Times New Roman" w:cs="Calibri"/>
          <w:b/>
          <w:color w:val="2F5496" w:themeColor="accent5" w:themeShade="BF"/>
          <w:lang w:eastAsia="pl-PL"/>
        </w:rPr>
      </w:pPr>
    </w:p>
    <w:p w14:paraId="1458796E" w14:textId="77777777" w:rsidR="00B53DEC" w:rsidRPr="00F21196" w:rsidRDefault="00B53DEC" w:rsidP="00B53DEC">
      <w:pPr>
        <w:spacing w:after="0"/>
        <w:rPr>
          <w:rFonts w:eastAsia="Times New Roman" w:cs="Calibri"/>
          <w:b/>
          <w:color w:val="2F5496" w:themeColor="accent5" w:themeShade="BF"/>
          <w:lang w:eastAsia="pl-PL"/>
        </w:rPr>
      </w:pPr>
      <w:r w:rsidRPr="00F21196">
        <w:rPr>
          <w:rFonts w:eastAsia="Times New Roman" w:cs="Calibri"/>
          <w:b/>
          <w:noProof/>
          <w:color w:val="2F5496" w:themeColor="accent5" w:themeShade="BF"/>
          <w:lang w:eastAsia="pl-PL"/>
        </w:rPr>
        <mc:AlternateContent>
          <mc:Choice Requires="wps">
            <w:drawing>
              <wp:anchor distT="0" distB="0" distL="114300" distR="114300" simplePos="0" relativeHeight="252187648" behindDoc="0" locked="0" layoutInCell="1" allowOverlap="1" wp14:anchorId="445E5B81" wp14:editId="72E94A96">
                <wp:simplePos x="0" y="0"/>
                <wp:positionH relativeFrom="margin">
                  <wp:posOffset>781050</wp:posOffset>
                </wp:positionH>
                <wp:positionV relativeFrom="paragraph">
                  <wp:posOffset>6350</wp:posOffset>
                </wp:positionV>
                <wp:extent cx="5432425" cy="299085"/>
                <wp:effectExtent l="0" t="0" r="15875" b="24765"/>
                <wp:wrapNone/>
                <wp:docPr id="130" name="Prostokąt zaokrąglony 130"/>
                <wp:cNvGraphicFramePr/>
                <a:graphic xmlns:a="http://schemas.openxmlformats.org/drawingml/2006/main">
                  <a:graphicData uri="http://schemas.microsoft.com/office/word/2010/wordprocessingShape">
                    <wps:wsp>
                      <wps:cNvSpPr/>
                      <wps:spPr>
                        <a:xfrm>
                          <a:off x="0" y="0"/>
                          <a:ext cx="5432425" cy="299085"/>
                        </a:xfrm>
                        <a:prstGeom prst="roundRect">
                          <a:avLst/>
                        </a:prstGeom>
                        <a:solidFill>
                          <a:schemeClr val="bg1">
                            <a:lumMod val="85000"/>
                          </a:schemeClr>
                        </a:solidFill>
                        <a:ln w="12700" cap="flat" cmpd="sng" algn="ctr">
                          <a:solidFill>
                            <a:schemeClr val="bg1">
                              <a:lumMod val="85000"/>
                            </a:schemeClr>
                          </a:solidFill>
                          <a:prstDash val="solid"/>
                          <a:miter lim="800000"/>
                        </a:ln>
                        <a:effectLst/>
                      </wps:spPr>
                      <wps:txbx>
                        <w:txbxContent>
                          <w:p w14:paraId="614D08AB" w14:textId="77777777" w:rsidR="005D4C4C" w:rsidRPr="00E044DB" w:rsidRDefault="005D4C4C" w:rsidP="00B53DEC">
                            <w:pPr>
                              <w:rPr>
                                <w:i/>
                              </w:rPr>
                            </w:pPr>
                            <w:r w:rsidRPr="00192300">
                              <w:rPr>
                                <w:rFonts w:eastAsia="Times New Roman" w:cstheme="minorHAnsi"/>
                                <w:b/>
                              </w:rPr>
                              <w:t xml:space="preserve">3. </w:t>
                            </w:r>
                            <w:r w:rsidRPr="00E044DB">
                              <w:rPr>
                                <w:rFonts w:eastAsia="Times New Roman" w:cstheme="minorHAnsi"/>
                                <w:b/>
                                <w:i/>
                              </w:rPr>
                              <w:t>Ratownictwo, ochrona ludności i zarządzanie kryzysowe.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5E5B81" id="Prostokąt zaokrąglony 130" o:spid="_x0000_s1070" style="position:absolute;margin-left:61.5pt;margin-top:.5pt;width:427.75pt;height:23.55pt;z-index:25218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9euoAIAAGEFAAAOAAAAZHJzL2Uyb0RvYy54bWysVM1u2zAMvg/YOwi6r3ZSZ02COkXQosOA&#10;rg3WDj0rsvyDSqImKbHTe9+sDzZKdtKf7bTtYpMiRYofP/L0rFOSbIV1Deicjo5SSoTmUDS6yumP&#10;u8tPU0qcZ7pgErTI6U44erb4+OG0NXMxhhpkISzBINrNW5PT2nszTxLHa6GYOwIjNBpLsIp5VG2V&#10;FJa1GF3JZJymn5MWbGEscOEcnl70RrqI8ctScH9Tlk54InOKb/Pxa+N3Hb7J4pTNK8tM3fDhGewv&#10;XqFYozHpIdQF84xsbPNbKNVwCw5Kf8RBJVCWDRexBqxmlL6r5rZmRsRaEBxnDjC5/xeWX29XljQF&#10;9u4Y8dFMYZNW+EQPD89PnjwyeLDPTxV2b0eCCwLWGjfHe7dmZQfNoRiq70qrwh/rIl0EeXcAWXSe&#10;cDycZMfjbDyhhKNtPJul00kImrzcNtb5LwIUCUJOLWx08R07GQFm2yvne/+9X8joQDbFZSNlVAJ7&#10;xLm0ZMuw7+tqFK/KjfoGRX82naRpLAbzRrIF9/iKN5GkJi1CMz5BZ8IZErSUzKOoDELmdEUJkxUy&#10;n3sbc7y5fQj8z+8IpV4wV/eBYpKeuqrxOD+yUTmdYkWHmqQOQIg4AQNgoW19o4Lku3UX+55l+56u&#10;odghGSz0U+IMv2ww7xVzfsUsjgVigKPub/BTSkBgYJAoqcE+/uk8+CNb0UpJi2OGoP3cMCsokV81&#10;8ng2yrIwl1HJJidjVOxry/q1RW/UOWBHR7hUDI9i8PdyL5YW1D1uhGXIiiamOebu2zMo574ff9wp&#10;XCyX0Q1n0TB/pW8ND8EDdAHxu+6eWTPQ0COBr2E/kmz+joi9b7ipYbnxUDaRpQHqHlckV1BwjiPN&#10;hp0TFsVrPXq9bMbFLwAAAP//AwBQSwMEFAAGAAgAAAAhABK/7+HcAAAACAEAAA8AAABkcnMvZG93&#10;bnJldi54bWxMj0tPw0AMhO9I/IeVkbjRTcorhGwqxOPEqU0FPbpZ5yGy3ii7bcO/x5zgZI/GGn9T&#10;rGY3qCNNofdsIF0koIhrb3tuDWyrt6sMVIjIFgfPZOCbAqzK87MCc+tPvKbjJrZKQjjkaKCLccy1&#10;DnVHDsPCj8TiNX5yGEVOrbYTniTcDXqZJHfaYc/yocORnjuqvzYHZwCtG9NmV72+h2r3+dHwS7e1&#10;lTGXF/PTI6hIc/w7hl98QYdSmPb+wDaoQfTyWrpEWWSI/3Cf3YLaG7jJUtBlof8XKH8AAAD//wMA&#10;UEsBAi0AFAAGAAgAAAAhALaDOJL+AAAA4QEAABMAAAAAAAAAAAAAAAAAAAAAAFtDb250ZW50X1R5&#10;cGVzXS54bWxQSwECLQAUAAYACAAAACEAOP0h/9YAAACUAQAACwAAAAAAAAAAAAAAAAAvAQAAX3Jl&#10;bHMvLnJlbHNQSwECLQAUAAYACAAAACEAXLfXrqACAABhBQAADgAAAAAAAAAAAAAAAAAuAgAAZHJz&#10;L2Uyb0RvYy54bWxQSwECLQAUAAYACAAAACEAEr/v4dwAAAAIAQAADwAAAAAAAAAAAAAAAAD6BAAA&#10;ZHJzL2Rvd25yZXYueG1sUEsFBgAAAAAEAAQA8wAAAAMGAAAAAA==&#10;" fillcolor="#d8d8d8 [2732]" strokecolor="#d8d8d8 [2732]" strokeweight="1pt">
                <v:stroke joinstyle="miter"/>
                <v:textbox>
                  <w:txbxContent>
                    <w:p w14:paraId="614D08AB" w14:textId="77777777" w:rsidR="005D4C4C" w:rsidRPr="00E044DB" w:rsidRDefault="005D4C4C" w:rsidP="00B53DEC">
                      <w:pPr>
                        <w:rPr>
                          <w:i/>
                        </w:rPr>
                      </w:pPr>
                      <w:r w:rsidRPr="00192300">
                        <w:rPr>
                          <w:rFonts w:eastAsia="Times New Roman" w:cstheme="minorHAnsi"/>
                          <w:b/>
                        </w:rPr>
                        <w:t xml:space="preserve">3. </w:t>
                      </w:r>
                      <w:r w:rsidRPr="00E044DB">
                        <w:rPr>
                          <w:rFonts w:eastAsia="Times New Roman" w:cstheme="minorHAnsi"/>
                          <w:b/>
                          <w:i/>
                        </w:rPr>
                        <w:t>Ratownictwo, ochrona ludności i zarządzanie kryzysowe.</w:t>
                      </w:r>
                    </w:p>
                  </w:txbxContent>
                </v:textbox>
                <w10:wrap anchorx="margin"/>
              </v:roundrect>
            </w:pict>
          </mc:Fallback>
        </mc:AlternateContent>
      </w:r>
      <w:r w:rsidRPr="00F21196">
        <w:rPr>
          <w:rFonts w:eastAsia="Times New Roman" w:cs="Calibri"/>
          <w:b/>
          <w:noProof/>
          <w:color w:val="2F5496" w:themeColor="accent5" w:themeShade="BF"/>
          <w:lang w:eastAsia="pl-PL"/>
        </w:rPr>
        <mc:AlternateContent>
          <mc:Choice Requires="wps">
            <w:drawing>
              <wp:anchor distT="0" distB="0" distL="114300" distR="114300" simplePos="0" relativeHeight="252185600" behindDoc="0" locked="0" layoutInCell="1" allowOverlap="1" wp14:anchorId="7ADF5DD1" wp14:editId="661F088B">
                <wp:simplePos x="0" y="0"/>
                <wp:positionH relativeFrom="margin">
                  <wp:posOffset>407345</wp:posOffset>
                </wp:positionH>
                <wp:positionV relativeFrom="paragraph">
                  <wp:posOffset>32385</wp:posOffset>
                </wp:positionV>
                <wp:extent cx="343965" cy="314325"/>
                <wp:effectExtent l="0" t="19050" r="37465" b="47625"/>
                <wp:wrapNone/>
                <wp:docPr id="153" name="Strzałka w prawo 153"/>
                <wp:cNvGraphicFramePr/>
                <a:graphic xmlns:a="http://schemas.openxmlformats.org/drawingml/2006/main">
                  <a:graphicData uri="http://schemas.microsoft.com/office/word/2010/wordprocessingShape">
                    <wps:wsp>
                      <wps:cNvSpPr/>
                      <wps:spPr>
                        <a:xfrm>
                          <a:off x="0" y="0"/>
                          <a:ext cx="343965" cy="314325"/>
                        </a:xfrm>
                        <a:prstGeom prst="rightArrow">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AF6B9" id="Strzałka w prawo 153" o:spid="_x0000_s1026" type="#_x0000_t13" style="position:absolute;margin-left:32.05pt;margin-top:2.55pt;width:27.1pt;height:24.75pt;z-index:25218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13sgIAADsGAAAOAAAAZHJzL2Uyb0RvYy54bWzEVEtvEzEQviPxHyzf6eZZaNRNFbUqQipt&#10;RYp6dr3e7Aqvx4ydbNIj/43/xdjebEsfHBASOWzsec83nu/4ZNtotlHoajA5Hx4MOFNGQlGbVc6/&#10;3py/+8CZ88IUQoNROd8px0/mb98ct3amRlCBLhQyCmLcrLU5r7y3syxzslKNcAdglSFlCdgIT1dc&#10;ZQWKlqI3OhsNBodZC1hYBKmcI+lZUvJ5jF+WSvqrsnTKM51zqs3HL8bvXfhm82MxW6GwVS27MsRf&#10;VNGI2lDSPtSZ8IKtsX4WqqklgoPSH0hoMijLWqrYA3UzHDzpZlkJq2IvBI6zPUzu34WVl5trZHVB&#10;s5uOOTOioSEtPd6Lnz++CdYyS4gCC0qCqrVuRh5Le43dzdEx9L0tsQn/1BHbRnh3Pbxq65kk4Xgy&#10;PjqcciZJNR5OxqNpiJk9OFt0/qOChpI6mhTWq8ovEKGN0IrNhfPJYW8YMjrQdXFeax0v4d2oU41s&#10;I2jiQkpl/DC663XzGYoknwzol2ZPYnohSXy4F1NN8QWGSLHC35Jo8z/yUk0hcRZmkFCPJ7/TKpSj&#10;zRdV0iAJ51Hst2/gORSuEoVK4umrLceAIXJJ2PaxE5avxE7D6eyDq4ob2DsP/lRYcu49YmYwvndu&#10;agP4UgBNA+4yJ/s9SAmagNIdFDt65ghp/52V5zU9sQvh/LVAWniiBiIxf0WfUkObc+hOnFWA9y/J&#10;gz3tIWk5a4lAcu6+rwUqzvQnQxt6NJxMAuPEy2T6fkQXfKy5e6wx6+YU6MUOiS6tjMdg7/X+WCI0&#10;t8R1i5CVVMJIyp1z6XF/OfWJ2IgtpVosohmxjBX+wiytDMEDqmF5bra3Am23Z54W9BL2ZCNmTxYt&#10;2QZPA4u1h7KOW/iAa4c3MVTclY5NAwU+vkerB86f/wIAAP//AwBQSwMEFAAGAAgAAAAhAHtkScbe&#10;AAAABwEAAA8AAABkcnMvZG93bnJldi54bWxMjkFLw0AUhO+C/2F5gpdiN9E0lJhNkYgHKSjGXry9&#10;ZrdJMPs2ZDdt7K/39aSnYZhh5ss3s+3F0Yy+c6QgXkYgDNVOd9Qo2H2+3K1B+ICksXdkFPwYD5vi&#10;+irHTLsTfZhjFRrBI+QzVNCGMGRS+ro1Fv3SDYY4O7jRYmA7NlKPeOJx28v7KEqlxY74ocXBlK2p&#10;v6vJKnhNsNzF59Xi8DxUX9uIFu9v5aTU7c389AgimDn8leGCz+hQMNPeTaS96BWkScxNBSuWSxyv&#10;H0Ds2ScpyCKX//mLXwAAAP//AwBQSwECLQAUAAYACAAAACEAtoM4kv4AAADhAQAAEwAAAAAAAAAA&#10;AAAAAAAAAAAAW0NvbnRlbnRfVHlwZXNdLnhtbFBLAQItABQABgAIAAAAIQA4/SH/1gAAAJQBAAAL&#10;AAAAAAAAAAAAAAAAAC8BAABfcmVscy8ucmVsc1BLAQItABQABgAIAAAAIQDu/613sgIAADsGAAAO&#10;AAAAAAAAAAAAAAAAAC4CAABkcnMvZTJvRG9jLnhtbFBLAQItABQABgAIAAAAIQB7ZEnG3gAAAAcB&#10;AAAPAAAAAAAAAAAAAAAAAAwFAABkcnMvZG93bnJldi54bWxQSwUGAAAAAAQABADzAAAAFwYAAAAA&#10;" adj="11731" fillcolor="#bdd6ee [1300]" strokecolor="#bdd6ee [1300]" strokeweight="1pt">
                <w10:wrap anchorx="margin"/>
              </v:shape>
            </w:pict>
          </mc:Fallback>
        </mc:AlternateContent>
      </w:r>
    </w:p>
    <w:p w14:paraId="21373F1D" w14:textId="77777777" w:rsidR="00B53DEC" w:rsidRPr="00F21196" w:rsidRDefault="00B53DEC" w:rsidP="00B53DEC">
      <w:pPr>
        <w:spacing w:after="0"/>
        <w:rPr>
          <w:rFonts w:eastAsia="Times New Roman" w:cs="Calibri"/>
          <w:b/>
          <w:color w:val="2F5496" w:themeColor="accent5" w:themeShade="BF"/>
          <w:lang w:eastAsia="pl-PL"/>
        </w:rPr>
      </w:pPr>
    </w:p>
    <w:p w14:paraId="5F7D0051" w14:textId="77777777" w:rsidR="00B53DEC" w:rsidRPr="00F21196" w:rsidRDefault="00B53DEC" w:rsidP="00B53DEC">
      <w:pPr>
        <w:spacing w:after="0"/>
        <w:rPr>
          <w:rFonts w:eastAsia="Times New Roman" w:cs="Calibri"/>
          <w:b/>
          <w:color w:val="2F5496" w:themeColor="accent5" w:themeShade="BF"/>
          <w:lang w:eastAsia="pl-PL"/>
        </w:rPr>
      </w:pPr>
      <w:r w:rsidRPr="00F21196">
        <w:rPr>
          <w:rFonts w:eastAsia="Times New Roman" w:cs="Calibri"/>
          <w:b/>
          <w:noProof/>
          <w:color w:val="2F5496" w:themeColor="accent5" w:themeShade="BF"/>
          <w:lang w:eastAsia="pl-PL"/>
        </w:rPr>
        <mc:AlternateContent>
          <mc:Choice Requires="wps">
            <w:drawing>
              <wp:anchor distT="0" distB="0" distL="114300" distR="114300" simplePos="0" relativeHeight="252189696" behindDoc="0" locked="0" layoutInCell="1" allowOverlap="1" wp14:anchorId="4F97B2CF" wp14:editId="09B381C6">
                <wp:simplePos x="0" y="0"/>
                <wp:positionH relativeFrom="margin">
                  <wp:posOffset>788670</wp:posOffset>
                </wp:positionH>
                <wp:positionV relativeFrom="paragraph">
                  <wp:posOffset>41275</wp:posOffset>
                </wp:positionV>
                <wp:extent cx="5400675" cy="352425"/>
                <wp:effectExtent l="0" t="0" r="28575" b="28575"/>
                <wp:wrapNone/>
                <wp:docPr id="132" name="Prostokąt zaokrąglony 132"/>
                <wp:cNvGraphicFramePr/>
                <a:graphic xmlns:a="http://schemas.openxmlformats.org/drawingml/2006/main">
                  <a:graphicData uri="http://schemas.microsoft.com/office/word/2010/wordprocessingShape">
                    <wps:wsp>
                      <wps:cNvSpPr/>
                      <wps:spPr>
                        <a:xfrm>
                          <a:off x="0" y="0"/>
                          <a:ext cx="5400675" cy="352425"/>
                        </a:xfrm>
                        <a:prstGeom prst="roundRect">
                          <a:avLst/>
                        </a:prstGeom>
                        <a:solidFill>
                          <a:schemeClr val="bg1">
                            <a:lumMod val="85000"/>
                          </a:schemeClr>
                        </a:solidFill>
                        <a:ln w="12700" cap="flat" cmpd="sng" algn="ctr">
                          <a:solidFill>
                            <a:schemeClr val="bg1">
                              <a:lumMod val="85000"/>
                            </a:schemeClr>
                          </a:solidFill>
                          <a:prstDash val="solid"/>
                          <a:miter lim="800000"/>
                        </a:ln>
                        <a:effectLst/>
                      </wps:spPr>
                      <wps:txbx>
                        <w:txbxContent>
                          <w:p w14:paraId="63526E52" w14:textId="77777777" w:rsidR="005D4C4C" w:rsidRPr="00192300" w:rsidRDefault="005D4C4C" w:rsidP="00B53DEC">
                            <w:r>
                              <w:rPr>
                                <w:rFonts w:eastAsia="Times New Roman" w:cstheme="minorHAnsi"/>
                                <w:b/>
                                <w:szCs w:val="28"/>
                              </w:rPr>
                              <w:t>4</w:t>
                            </w:r>
                            <w:r w:rsidRPr="00192300">
                              <w:rPr>
                                <w:rFonts w:eastAsia="Times New Roman" w:cstheme="minorHAnsi"/>
                                <w:b/>
                                <w:szCs w:val="28"/>
                              </w:rPr>
                              <w:t xml:space="preserve">. </w:t>
                            </w:r>
                            <w:r w:rsidRPr="00E044DB">
                              <w:rPr>
                                <w:rFonts w:eastAsia="Times New Roman" w:cstheme="minorHAnsi"/>
                                <w:b/>
                                <w:i/>
                                <w:iCs/>
                                <w:szCs w:val="28"/>
                              </w:rPr>
                              <w:t>Zapewnienie bezpieczeństwa migracyjnego.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97B2CF" id="Prostokąt zaokrąglony 132" o:spid="_x0000_s1071" style="position:absolute;margin-left:62.1pt;margin-top:3.25pt;width:425.25pt;height:27.75pt;z-index:25218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vP3ngIAAGEFAAAOAAAAZHJzL2Uyb0RvYy54bWysVM1u2zAMvg/YOwi6r07cZM2COkXQosOA&#10;rg3WDj0rsmwLlURNUmKn975ZH6yU7KY/22nbxSZFihQ/fuTxSacV2QrnJZiCjg9GlAjDoZSmLujP&#10;m/NPM0p8YKZkCowo6E54erL4+OG4tXORQwOqFI5gEOPnrS1oE4KdZ5nnjdDMH4AVBo0VOM0Cqq7O&#10;SsdajK5Vlo9Gn7MWXGkdcOE9np71RrpI8atK8HBVVV4EogqKbwvp69J3Hb/Z4pjNa8dsI/nwDPYX&#10;r9BMGky6D3XGAiMbJ38LpSV34KEKBxx0BlUluUg1YDXj0btqrhtmRaoFwfF2D5P/f2H55XbliCyx&#10;d4c5JYZpbNIKnxjg7vEhkHsGd+7xocbu7Uh0QcBa6+d479qu3KB5FGP1XeV0/GNdpEsg7/Ygiy4Q&#10;jofTCbbtaEoJR9vhNJ/k0xg0e7ltnQ9fBWgShYI62JjyB3YyAcy2Fz70/s9+MaMHJctzqVRSInvE&#10;qXJky7Dv63qcrqqN/g5lfzabjkap+5g3kS26p1e8iaQMaRGa/AidCWdI0EqxgKK2CJk3NSVM1ch8&#10;HlzK8eb2PvA/vyOWesZ80wdKSXrqahlwfpTUBZ1hRfualIlAiDQBA2CxbX2johS6dZf6Pknwx6M1&#10;lDskg4N+Srzl5xLzXjAfVszhWCAGOOrhCj+VAgQGBomSBtz9n86jP7IVrZS0OGYI2q8Nc4IS9c0g&#10;j7+MJ5M4l0mZTI9yVNxry/q1xWz0KWBHx7hULE9i9A/qWawc6FvcCMuYFU3McMzdt2dQTkM//rhT&#10;uFgukxvOomXhwlxbHoNH6CLiN90tc3agYUACX8LzSLL5OyL2vvGmgeUmQCUTS19wRXJFBec40WzY&#10;OXFRvNaT18tmXDwBAAD//wMAUEsDBBQABgAIAAAAIQASFVGS3AAAAAgBAAAPAAAAZHJzL2Rvd25y&#10;ZXYueG1sTI/LTsMwEEX3SPyDNUjsqNOotDTEqRCPFSuainY5jScPEY+j2G3D3zOsYHl0r+6cyTeT&#10;69WZxtB5NjCfJaCIK287bgzsyre7B1AhIlvsPZOBbwqwKa6vcsysv/AHnbexUTLCIUMDbYxDpnWo&#10;WnIYZn4glqz2o8MoODbajniRcdfrNEmW2mHHcqHFgZ5bqr62J2cArRvm9aF8fQ/lYf9Z80u7s6Ux&#10;tzfT0yOoSFP8K8OvvqhDIU5Hf2IbVC+cLlKpGljeg5J8vVqsQB2F0wR0kev/DxQ/AAAA//8DAFBL&#10;AQItABQABgAIAAAAIQC2gziS/gAAAOEBAAATAAAAAAAAAAAAAAAAAAAAAABbQ29udGVudF9UeXBl&#10;c10ueG1sUEsBAi0AFAAGAAgAAAAhADj9If/WAAAAlAEAAAsAAAAAAAAAAAAAAAAALwEAAF9yZWxz&#10;Ly5yZWxzUEsBAi0AFAAGAAgAAAAhALXG8/eeAgAAYQUAAA4AAAAAAAAAAAAAAAAALgIAAGRycy9l&#10;Mm9Eb2MueG1sUEsBAi0AFAAGAAgAAAAhABIVUZLcAAAACAEAAA8AAAAAAAAAAAAAAAAA+AQAAGRy&#10;cy9kb3ducmV2LnhtbFBLBQYAAAAABAAEAPMAAAABBgAAAAA=&#10;" fillcolor="#d8d8d8 [2732]" strokecolor="#d8d8d8 [2732]" strokeweight="1pt">
                <v:stroke joinstyle="miter"/>
                <v:textbox>
                  <w:txbxContent>
                    <w:p w14:paraId="63526E52" w14:textId="77777777" w:rsidR="005D4C4C" w:rsidRPr="00192300" w:rsidRDefault="005D4C4C" w:rsidP="00B53DEC">
                      <w:r>
                        <w:rPr>
                          <w:rFonts w:eastAsia="Times New Roman" w:cstheme="minorHAnsi"/>
                          <w:b/>
                          <w:szCs w:val="28"/>
                        </w:rPr>
                        <w:t>4</w:t>
                      </w:r>
                      <w:r w:rsidRPr="00192300">
                        <w:rPr>
                          <w:rFonts w:eastAsia="Times New Roman" w:cstheme="minorHAnsi"/>
                          <w:b/>
                          <w:szCs w:val="28"/>
                        </w:rPr>
                        <w:t xml:space="preserve">. </w:t>
                      </w:r>
                      <w:r w:rsidRPr="00E044DB">
                        <w:rPr>
                          <w:rFonts w:eastAsia="Times New Roman" w:cstheme="minorHAnsi"/>
                          <w:b/>
                          <w:i/>
                          <w:iCs/>
                          <w:szCs w:val="28"/>
                        </w:rPr>
                        <w:t>Zapewnienie bezpieczeństwa migracyjnego.</w:t>
                      </w:r>
                    </w:p>
                  </w:txbxContent>
                </v:textbox>
                <w10:wrap anchorx="margin"/>
              </v:roundrect>
            </w:pict>
          </mc:Fallback>
        </mc:AlternateContent>
      </w:r>
      <w:r w:rsidRPr="00F21196">
        <w:rPr>
          <w:rFonts w:eastAsia="Times New Roman" w:cs="Calibri"/>
          <w:b/>
          <w:noProof/>
          <w:color w:val="2F5496" w:themeColor="accent5" w:themeShade="BF"/>
          <w:lang w:eastAsia="pl-PL"/>
        </w:rPr>
        <mc:AlternateContent>
          <mc:Choice Requires="wps">
            <w:drawing>
              <wp:anchor distT="0" distB="0" distL="114300" distR="114300" simplePos="0" relativeHeight="252186624" behindDoc="0" locked="0" layoutInCell="1" allowOverlap="1" wp14:anchorId="468642D9" wp14:editId="27BF6855">
                <wp:simplePos x="0" y="0"/>
                <wp:positionH relativeFrom="margin">
                  <wp:posOffset>410683</wp:posOffset>
                </wp:positionH>
                <wp:positionV relativeFrom="paragraph">
                  <wp:posOffset>54329</wp:posOffset>
                </wp:positionV>
                <wp:extent cx="343965" cy="314325"/>
                <wp:effectExtent l="0" t="19050" r="37465" b="47625"/>
                <wp:wrapNone/>
                <wp:docPr id="154" name="Strzałka w prawo 154"/>
                <wp:cNvGraphicFramePr/>
                <a:graphic xmlns:a="http://schemas.openxmlformats.org/drawingml/2006/main">
                  <a:graphicData uri="http://schemas.microsoft.com/office/word/2010/wordprocessingShape">
                    <wps:wsp>
                      <wps:cNvSpPr/>
                      <wps:spPr>
                        <a:xfrm>
                          <a:off x="0" y="0"/>
                          <a:ext cx="343965" cy="314325"/>
                        </a:xfrm>
                        <a:prstGeom prst="rightArrow">
                          <a:avLst/>
                        </a:prstGeom>
                        <a:solidFill>
                          <a:schemeClr val="accent1">
                            <a:lumMod val="40000"/>
                            <a:lumOff val="60000"/>
                          </a:schemeClr>
                        </a:solidFill>
                        <a:ln w="12700" cap="flat" cmpd="sng" algn="ctr">
                          <a:solidFill>
                            <a:schemeClr val="accent1">
                              <a:lumMod val="40000"/>
                              <a:lumOff val="6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1D1C2" id="Strzałka w prawo 154" o:spid="_x0000_s1026" type="#_x0000_t13" style="position:absolute;margin-left:32.35pt;margin-top:4.3pt;width:27.1pt;height:24.75pt;z-index:25218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m5ZnAIAAH4FAAAOAAAAZHJzL2Uyb0RvYy54bWy0VEtv2zAMvg/YfxB0X52H00fQpAhadBjQ&#10;tQXSoWdWlmNheo1S4rTH/bf+r1Gykz6207D5IIukRIofP/L0bGs020gMytkZHx4MOJNWuErZ1Yx/&#10;u7v8dMxZiGAr0M7KGX+UgZ/NP344bf1UjlzjdCWRkRMbpq2f8SZGPy2KIBppIBw4Ly0Za4cGIom4&#10;KiqElrwbXYwGg8OidVh5dEKGQNqLzsjn2X9dSxFv6jrIyPSM09tiXjGvD2kt5qcwXSH4Ron+GfAX&#10;rzCgLAXdu7qACGyN6jdXRgl0wdXxQDhTuLpWQuYcKJvh4F02ywa8zLkQOMHvYQr/zq243twiUxXV&#10;blJyZsFQkZYRn+D553dgLfOEqGPJSFC1PkzpxtLfYi8F2qa8tzWa9KeM2DbD+7iHV24jE6Qcl+OT&#10;wwlngkzjYTkeTZLP4uWyxxA/S2coaKBKoVo1cYHo2gwtbK5C7C7sDqaIwWlVXSqts5B4I881sg1Q&#10;xUEIaeMwX9dr89VVnb4c0NfVntTEkE59uFPTmzIDk6f8wjdBtGUt4TU6Ih9MALG21hBpazzhGOyK&#10;M9AragcRMYd+c3vv+H8+MQF0AaHpYuT4XbpGReo3rcyMH6dsMwqUrrYJPpk7poc5Fbsrb9o9uOqR&#10;mIKua6HgxaWiIFcQ4i0g9QxhQXMg3tBSa0cAuX7HWePw6U/6dJ6oTFbOWupBAu/HGlBypr9YIvnJ&#10;sCxT02ahnByNSMDXlofXFrs2546KPqSJ40XepvNR77Y1OnNP42KRopIJrKDYXZl64Tx2s4EGjpCL&#10;RT5GjeohXtmlF8l5winBe7e9B/Q9VSNx/Nrt+hWm77janU03rVuso6tVJvILrkSyJFCTZ7r1AylN&#10;kddyPvUyNue/AAAA//8DAFBLAwQUAAYACAAAACEAP813Z98AAAAHAQAADwAAAGRycy9kb3ducmV2&#10;LnhtbEyOwUrDQBRF94L/MDzBTbGTSBtjzEuRiAsRKsZu3L1mpkkw8yZkJm30652udHm5l3NPvplN&#10;L456dJ1lhHgZgdBcW9Vxg7D7eL5JQThPrKi3rBG+tYNNcXmRU6bsid/1sfKNCBB2GSG03g+ZlK5u&#10;tSG3tIPm0B3saMiHODZSjXQKcNPL2yhKpKGOw0NLgy5bXX9Vk0F4WVG5i3/Wi8PTUH2+Rrx425YT&#10;4vXV/PgAwuvZ/43hrB/UoQhOezuxcqJHSFZ3YYmQJiDOdZzeg9gjrNMYZJHL//7FLwAAAP//AwBQ&#10;SwECLQAUAAYACAAAACEAtoM4kv4AAADhAQAAEwAAAAAAAAAAAAAAAAAAAAAAW0NvbnRlbnRfVHlw&#10;ZXNdLnhtbFBLAQItABQABgAIAAAAIQA4/SH/1gAAAJQBAAALAAAAAAAAAAAAAAAAAC8BAABfcmVs&#10;cy8ucmVsc1BLAQItABQABgAIAAAAIQCfsm5ZnAIAAH4FAAAOAAAAAAAAAAAAAAAAAC4CAABkcnMv&#10;ZTJvRG9jLnhtbFBLAQItABQABgAIAAAAIQA/zXdn3wAAAAcBAAAPAAAAAAAAAAAAAAAAAPYEAABk&#10;cnMvZG93bnJldi54bWxQSwUGAAAAAAQABADzAAAAAgYAAAAA&#10;" adj="11731" fillcolor="#bdd6ee [1300]" strokecolor="#bdd6ee [1300]" strokeweight="1pt">
                <w10:wrap anchorx="margin"/>
              </v:shape>
            </w:pict>
          </mc:Fallback>
        </mc:AlternateContent>
      </w:r>
    </w:p>
    <w:p w14:paraId="598219E3" w14:textId="77777777" w:rsidR="00B53DEC" w:rsidRPr="00F21196" w:rsidRDefault="00B53DEC" w:rsidP="00B53DEC">
      <w:pPr>
        <w:spacing w:after="0"/>
        <w:rPr>
          <w:rFonts w:eastAsia="Times New Roman" w:cs="Calibri"/>
          <w:b/>
          <w:color w:val="2F5496" w:themeColor="accent5" w:themeShade="BF"/>
          <w:lang w:eastAsia="pl-PL"/>
        </w:rPr>
      </w:pPr>
    </w:p>
    <w:p w14:paraId="6F27F9F8" w14:textId="77777777" w:rsidR="00B53DEC" w:rsidRPr="00F21196" w:rsidRDefault="00B53DEC" w:rsidP="00B53DEC">
      <w:pPr>
        <w:spacing w:after="0"/>
        <w:rPr>
          <w:rFonts w:eastAsia="Times New Roman" w:cs="Calibri"/>
          <w:b/>
          <w:color w:val="2F5496" w:themeColor="accent5" w:themeShade="BF"/>
          <w:lang w:eastAsia="pl-PL"/>
        </w:rPr>
      </w:pPr>
      <w:r w:rsidRPr="00F21196">
        <w:rPr>
          <w:rFonts w:eastAsia="Times New Roman" w:cs="Calibri"/>
          <w:b/>
          <w:noProof/>
          <w:color w:val="2F5496" w:themeColor="accent5" w:themeShade="BF"/>
          <w:lang w:eastAsia="pl-PL"/>
        </w:rPr>
        <mc:AlternateContent>
          <mc:Choice Requires="wps">
            <w:drawing>
              <wp:anchor distT="0" distB="0" distL="114300" distR="114300" simplePos="0" relativeHeight="252196864" behindDoc="0" locked="0" layoutInCell="1" allowOverlap="1" wp14:anchorId="75125520" wp14:editId="5B589B11">
                <wp:simplePos x="0" y="0"/>
                <wp:positionH relativeFrom="margin">
                  <wp:posOffset>779145</wp:posOffset>
                </wp:positionH>
                <wp:positionV relativeFrom="paragraph">
                  <wp:posOffset>101600</wp:posOffset>
                </wp:positionV>
                <wp:extent cx="5410200" cy="495300"/>
                <wp:effectExtent l="0" t="0" r="19050" b="19050"/>
                <wp:wrapNone/>
                <wp:docPr id="34" name="Prostokąt zaokrąglony 34"/>
                <wp:cNvGraphicFramePr/>
                <a:graphic xmlns:a="http://schemas.openxmlformats.org/drawingml/2006/main">
                  <a:graphicData uri="http://schemas.microsoft.com/office/word/2010/wordprocessingShape">
                    <wps:wsp>
                      <wps:cNvSpPr/>
                      <wps:spPr>
                        <a:xfrm>
                          <a:off x="0" y="0"/>
                          <a:ext cx="5410200" cy="495300"/>
                        </a:xfrm>
                        <a:prstGeom prst="roundRect">
                          <a:avLst/>
                        </a:prstGeom>
                        <a:solidFill>
                          <a:schemeClr val="bg1">
                            <a:lumMod val="85000"/>
                          </a:schemeClr>
                        </a:solidFill>
                        <a:ln w="12700" cap="flat" cmpd="sng" algn="ctr">
                          <a:solidFill>
                            <a:schemeClr val="bg1">
                              <a:lumMod val="85000"/>
                            </a:schemeClr>
                          </a:solidFill>
                          <a:prstDash val="solid"/>
                          <a:miter lim="800000"/>
                        </a:ln>
                        <a:effectLst/>
                      </wps:spPr>
                      <wps:txbx>
                        <w:txbxContent>
                          <w:p w14:paraId="6C5F36B3" w14:textId="77777777" w:rsidR="005D4C4C" w:rsidRPr="00E044DB" w:rsidRDefault="005D4C4C" w:rsidP="00B53DEC">
                            <w:pPr>
                              <w:shd w:val="clear" w:color="auto" w:fill="D9D9D9" w:themeFill="background1" w:themeFillShade="D9"/>
                              <w:spacing w:line="276" w:lineRule="auto"/>
                              <w:ind w:left="284" w:hanging="284"/>
                              <w:jc w:val="both"/>
                              <w:rPr>
                                <w:rFonts w:eastAsia="Times New Roman" w:cstheme="minorHAnsi"/>
                                <w:i/>
                              </w:rPr>
                            </w:pPr>
                            <w:r>
                              <w:rPr>
                                <w:rFonts w:eastAsia="Times New Roman" w:cstheme="minorHAnsi"/>
                                <w:b/>
                              </w:rPr>
                              <w:t>5.</w:t>
                            </w:r>
                            <w:r w:rsidRPr="00192300">
                              <w:rPr>
                                <w:rFonts w:eastAsia="Times New Roman" w:cstheme="minorHAnsi"/>
                                <w:b/>
                                <w:szCs w:val="28"/>
                              </w:rPr>
                              <w:t xml:space="preserve"> </w:t>
                            </w:r>
                            <w:r w:rsidRPr="00E044DB">
                              <w:rPr>
                                <w:rFonts w:eastAsia="Times New Roman" w:cstheme="minorHAnsi"/>
                                <w:b/>
                                <w:i/>
                                <w:szCs w:val="28"/>
                              </w:rPr>
                              <w:t>Zintegrowane zarządzanie granicą RP, w tym z</w:t>
                            </w:r>
                            <w:r w:rsidRPr="00E044DB">
                              <w:rPr>
                                <w:rFonts w:eastAsia="Times New Roman" w:cstheme="minorHAnsi"/>
                                <w:b/>
                                <w:i/>
                                <w:iCs/>
                                <w:szCs w:val="28"/>
                              </w:rPr>
                              <w:t>apewnienie bezpieczeństwa granicy UE/Schengen</w:t>
                            </w:r>
                            <w:r w:rsidRPr="00E044DB">
                              <w:rPr>
                                <w:rFonts w:cs="Helv"/>
                                <w:b/>
                                <w:bCs/>
                                <w:i/>
                                <w:color w:val="000000"/>
                                <w:lang w:eastAsia="en-GB"/>
                              </w:rPr>
                              <w:t>.</w:t>
                            </w:r>
                          </w:p>
                          <w:p w14:paraId="1BC254FC" w14:textId="77777777" w:rsidR="005D4C4C" w:rsidRDefault="005D4C4C" w:rsidP="00B53D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125520" id="Prostokąt zaokrąglony 34" o:spid="_x0000_s1072" style="position:absolute;margin-left:61.35pt;margin-top:8pt;width:426pt;height:39pt;z-index:25219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hSmmwIAAF8FAAAOAAAAZHJzL2Uyb0RvYy54bWysVEtv2zAMvg/YfxB0X52kTh9BnSJo0WFA&#10;twZrh54VWbaFSqImKbHTe/9Zf9go2Ukf22nbxSZFio+PH3V23mlFNsJ5Caag44MRJcJwKKWpC/rj&#10;7urTCSU+MFMyBUYUdCs8PZ9//HDW2pmYQAOqFI5gEONnrS1oE4KdZZnnjdDMH4AVBo0VOM0Cqq7O&#10;SsdajK5VNhmNjrIWXGkdcOE9nl72RjpP8atK8HBTVV4EogqKtYX0dem7it9sfsZmtWO2kXwog/1F&#10;FZpJg0n3oS5ZYGTt5G+htOQOPFThgIPOoKokF6kH7GY8etfNbcOsSL0gON7uYfL/Lyz/tlk6IsuC&#10;HuaUGKZxRkusMMDD81Mgjwwe3PNTjcPbEvRAuFrrZ3jr1i7doHkUY+9d5XT8Y1ekSxBv9xCLLhCO&#10;h9N8PMK5UcLRlp9OD1HGMNnLbet8+CxAkygU1MHalN9xjgletrn2offf+cWMHpQsr6RSSYncERfK&#10;kQ3Dqa/qcbqq1vorlP3ZyXS0z5uoFt1TFW8iKUNaJPXkOBXMkJ6VYgFr1xYB86amhKkaec+DSzne&#10;3N4H/uc6YquXzDd9oJSkJ66WAbdHSV3QE+xo35MyEQiR+D8AFsfWDypKoVt1aer50W6mKyi3SAUH&#10;/Y54y68k5r1mPiyZw6XAoeGihxv8VAoQGBgkShpwj386j/7IVbRS0uKSIWg/18wJStQXgyw+Hed5&#10;3Mqk5NPjCSrutWX12mLW+gJwomN8UixPYvQPaidWDvQ9vgeLmBVNzHDM3Y9nUC5Cv/z4onCxWCQ3&#10;3ETLwrW5tTwGj9BFxO+6e+bsQMOABP4Gu4Vks3dE7H3jTQOLdYBKJpZGqHtckVxRwS1ONBtenPhM&#10;vNaT18u7OP8FAAD//wMAUEsDBBQABgAIAAAAIQCXuT9U2wAAAAkBAAAPAAAAZHJzL2Rvd25yZXYu&#10;eG1sTE/LTsMwELwj8Q/WInGjTqOqhTROhXicONFU0OM23jzUeB3Fbhv+nuVEbzM7o9mZfDO5Xp1p&#10;DJ1nA/NZAoq48rbjxsCufH94BBUissXeMxn4oQCb4vYmx8z6C3/SeRsbJSEcMjTQxjhkWoeqJYdh&#10;5gdi0Wo/OoxCx0bbES8S7nqdJslSO+xYPrQ40EtL1XF7cgbQumFe78u3j1Duv79qfm13tjTm/m56&#10;XoOKNMV/M/zVl+pQSKeDP7ENqheepiuxCljKJjE8rRZyOAhYJKCLXF8vKH4BAAD//wMAUEsBAi0A&#10;FAAGAAgAAAAhALaDOJL+AAAA4QEAABMAAAAAAAAAAAAAAAAAAAAAAFtDb250ZW50X1R5cGVzXS54&#10;bWxQSwECLQAUAAYACAAAACEAOP0h/9YAAACUAQAACwAAAAAAAAAAAAAAAAAvAQAAX3JlbHMvLnJl&#10;bHNQSwECLQAUAAYACAAAACEAekIUppsCAABfBQAADgAAAAAAAAAAAAAAAAAuAgAAZHJzL2Uyb0Rv&#10;Yy54bWxQSwECLQAUAAYACAAAACEAl7k/VNsAAAAJAQAADwAAAAAAAAAAAAAAAAD1BAAAZHJzL2Rv&#10;d25yZXYueG1sUEsFBgAAAAAEAAQA8wAAAP0FAAAAAA==&#10;" fillcolor="#d8d8d8 [2732]" strokecolor="#d8d8d8 [2732]" strokeweight="1pt">
                <v:stroke joinstyle="miter"/>
                <v:textbox>
                  <w:txbxContent>
                    <w:p w14:paraId="6C5F36B3" w14:textId="77777777" w:rsidR="005D4C4C" w:rsidRPr="00E044DB" w:rsidRDefault="005D4C4C" w:rsidP="00B53DEC">
                      <w:pPr>
                        <w:shd w:val="clear" w:color="auto" w:fill="D9D9D9" w:themeFill="background1" w:themeFillShade="D9"/>
                        <w:spacing w:line="276" w:lineRule="auto"/>
                        <w:ind w:left="284" w:hanging="284"/>
                        <w:jc w:val="both"/>
                        <w:rPr>
                          <w:rFonts w:eastAsia="Times New Roman" w:cstheme="minorHAnsi"/>
                          <w:i/>
                        </w:rPr>
                      </w:pPr>
                      <w:r>
                        <w:rPr>
                          <w:rFonts w:eastAsia="Times New Roman" w:cstheme="minorHAnsi"/>
                          <w:b/>
                        </w:rPr>
                        <w:t>5.</w:t>
                      </w:r>
                      <w:r w:rsidRPr="00192300">
                        <w:rPr>
                          <w:rFonts w:eastAsia="Times New Roman" w:cstheme="minorHAnsi"/>
                          <w:b/>
                          <w:szCs w:val="28"/>
                        </w:rPr>
                        <w:t xml:space="preserve"> </w:t>
                      </w:r>
                      <w:r w:rsidRPr="00E044DB">
                        <w:rPr>
                          <w:rFonts w:eastAsia="Times New Roman" w:cstheme="minorHAnsi"/>
                          <w:b/>
                          <w:i/>
                          <w:szCs w:val="28"/>
                        </w:rPr>
                        <w:t>Zintegrowane zarządzanie granicą RP, w tym z</w:t>
                      </w:r>
                      <w:r w:rsidRPr="00E044DB">
                        <w:rPr>
                          <w:rFonts w:eastAsia="Times New Roman" w:cstheme="minorHAnsi"/>
                          <w:b/>
                          <w:i/>
                          <w:iCs/>
                          <w:szCs w:val="28"/>
                        </w:rPr>
                        <w:t>apewnienie bezpieczeństwa granicy UE/</w:t>
                      </w:r>
                      <w:proofErr w:type="spellStart"/>
                      <w:r w:rsidRPr="00E044DB">
                        <w:rPr>
                          <w:rFonts w:eastAsia="Times New Roman" w:cstheme="minorHAnsi"/>
                          <w:b/>
                          <w:i/>
                          <w:iCs/>
                          <w:szCs w:val="28"/>
                        </w:rPr>
                        <w:t>Schengen</w:t>
                      </w:r>
                      <w:proofErr w:type="spellEnd"/>
                      <w:r w:rsidRPr="00E044DB">
                        <w:rPr>
                          <w:rFonts w:cs="Helv"/>
                          <w:b/>
                          <w:bCs/>
                          <w:i/>
                          <w:color w:val="000000"/>
                          <w:lang w:eastAsia="en-GB"/>
                        </w:rPr>
                        <w:t>.</w:t>
                      </w:r>
                    </w:p>
                    <w:p w14:paraId="1BC254FC" w14:textId="77777777" w:rsidR="005D4C4C" w:rsidRDefault="005D4C4C" w:rsidP="00B53DEC">
                      <w:pPr>
                        <w:jc w:val="center"/>
                      </w:pPr>
                    </w:p>
                  </w:txbxContent>
                </v:textbox>
                <w10:wrap anchorx="margin"/>
              </v:roundrect>
            </w:pict>
          </mc:Fallback>
        </mc:AlternateContent>
      </w:r>
      <w:r w:rsidRPr="00F21196">
        <w:rPr>
          <w:rFonts w:eastAsia="Times New Roman" w:cs="Calibri"/>
          <w:b/>
          <w:noProof/>
          <w:color w:val="2F5496" w:themeColor="accent5" w:themeShade="BF"/>
          <w:lang w:eastAsia="pl-PL"/>
        </w:rPr>
        <mc:AlternateContent>
          <mc:Choice Requires="wps">
            <w:drawing>
              <wp:anchor distT="0" distB="0" distL="114300" distR="114300" simplePos="0" relativeHeight="252195840" behindDoc="0" locked="0" layoutInCell="1" allowOverlap="1" wp14:anchorId="7141D17C" wp14:editId="050E7AFC">
                <wp:simplePos x="0" y="0"/>
                <wp:positionH relativeFrom="margin">
                  <wp:posOffset>410048</wp:posOffset>
                </wp:positionH>
                <wp:positionV relativeFrom="paragraph">
                  <wp:posOffset>126542</wp:posOffset>
                </wp:positionV>
                <wp:extent cx="343965" cy="314325"/>
                <wp:effectExtent l="0" t="19050" r="37465" b="47625"/>
                <wp:wrapNone/>
                <wp:docPr id="165" name="Strzałka w prawo 165"/>
                <wp:cNvGraphicFramePr/>
                <a:graphic xmlns:a="http://schemas.openxmlformats.org/drawingml/2006/main">
                  <a:graphicData uri="http://schemas.microsoft.com/office/word/2010/wordprocessingShape">
                    <wps:wsp>
                      <wps:cNvSpPr/>
                      <wps:spPr>
                        <a:xfrm>
                          <a:off x="0" y="0"/>
                          <a:ext cx="343965" cy="314325"/>
                        </a:xfrm>
                        <a:prstGeom prst="rightArrow">
                          <a:avLst/>
                        </a:prstGeom>
                        <a:solidFill>
                          <a:srgbClr val="5B9BD5">
                            <a:lumMod val="40000"/>
                            <a:lumOff val="60000"/>
                          </a:srgbClr>
                        </a:solidFill>
                        <a:ln w="12700" cap="flat" cmpd="sng" algn="ctr">
                          <a:solidFill>
                            <a:schemeClr val="accent1">
                              <a:lumMod val="40000"/>
                              <a:lumOff val="6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74737" id="Strzałka w prawo 165" o:spid="_x0000_s1026" type="#_x0000_t13" style="position:absolute;margin-left:32.3pt;margin-top:9.95pt;width:27.1pt;height:24.75pt;z-index:25219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pmhpgIAAHkFAAAOAAAAZHJzL2Uyb0RvYy54bWysVMluGzEMvRfoPwi6N+M1ixE7cGKkKJAm&#10;BpwiZ1qj8QjVVkr2ODn23/pfpTS2s/UUdA4akZQexcfl/GJrNNtIDMrZMe8edTiTVrhS2dWY/7i/&#10;/nLKWYhgS9DOyjF/lIFfTD5/Om/8SPZc7XQpkRGIDaPGj3kdox8VRRC1NBCOnJeWjJVDA5FEXBUl&#10;QkPoRhe9Tue4aByWHp2QIZB21hr5JONXlRTxrqqCjEyPOb0t5hXzukxrMTmH0QrB10rsngEfeIUB&#10;ZcnpAWoGEdga1TsoowS64Kp4JJwpXFUpIXMMFE238yaaRQ1e5liInOAPNIX/BytuN3NkqqTcHQ85&#10;s2AoSYuIT/Dn909gDfPEqGPJSFQ1PozoxsLPcScF2qa4txWa9KeI2DbT+3igV24jE6TsD/pnyYkg&#10;U7876PcyZvF82WOIX6Uz5DRQplCt6jhFdE2mFjY3IZJburA/mDwGp1V5rbTOAq6WVxrZBijfw8uz&#10;y9kw39Vr892VrXrQoa9NPKmpPFr18V5N+KGFyb5e4WvLGqKqd0IITAAVbKUh0tZ4ojDYFWegV9QJ&#10;ImJ2/Op2rmp5eB8IIW3sfuiBqT8S0vsnJm5mEOo2quy/DdaoSK2mlRnz0xRr5oCC1TYxJ3Oz7BhO&#10;eW4zm3ZLVz5SkaBruyd4ca3IyQ2EOAekdiEuaATEO1oq7Yggt9txVjt8+pc+nacqJitnDbUfkfdr&#10;DSg5098s1fdZdzBI/ZqFwfCkRwK+tCxfWuzaXDnKeJeGjRd5m85Hvd9W6MwDTYpp8komsIJ8t2na&#10;CVexHQs0a4ScTvMx6lEP8cYuvEjgiadE7/32AdDvqjRSed+6favC6E2ZtmfTTeum6+gqlWv4mVfK&#10;YBKov3Mud7MoDZCXcj71PDEnfwEAAP//AwBQSwMEFAAGAAgAAAAhALVdP+ffAAAACAEAAA8AAABk&#10;cnMvZG93bnJldi54bWxMj8FOwzAQRO9I/IO1SNyoUxSiJsSpqiJAlahaChdubrwkUeN1FDtt4OvZ&#10;nuhx541mZ/L5aFtxxN43jhRMJxEIpNKZhioFnx/PdzMQPmgyunWECn7Qw7y4vsp1ZtyJ3vG4C5Xg&#10;EPKZVlCH0GVS+rJGq/3EdUjMvl1vdeCzr6Tp9YnDbSvvoyiRVjfEH2rd4bLG8rAbrIKnzcNg317i&#10;1cavhtfF1+96a8JaqdubcfEIIuAY/s1wrs/VoeBOezeQ8aJVkMQJO1lPUxBnPp3xlD2DNAZZ5PJy&#10;QPEHAAD//wMAUEsBAi0AFAAGAAgAAAAhALaDOJL+AAAA4QEAABMAAAAAAAAAAAAAAAAAAAAAAFtD&#10;b250ZW50X1R5cGVzXS54bWxQSwECLQAUAAYACAAAACEAOP0h/9YAAACUAQAACwAAAAAAAAAAAAAA&#10;AAAvAQAAX3JlbHMvLnJlbHNQSwECLQAUAAYACAAAACEAB5KZoaYCAAB5BQAADgAAAAAAAAAAAAAA&#10;AAAuAgAAZHJzL2Uyb0RvYy54bWxQSwECLQAUAAYACAAAACEAtV0/598AAAAIAQAADwAAAAAAAAAA&#10;AAAAAAAABQAAZHJzL2Rvd25yZXYueG1sUEsFBgAAAAAEAAQA8wAAAAwGAAAAAA==&#10;" adj="11731" fillcolor="#bdd7ee" strokecolor="#bdd6ee [1300]" strokeweight="1pt">
                <w10:wrap anchorx="margin"/>
              </v:shape>
            </w:pict>
          </mc:Fallback>
        </mc:AlternateContent>
      </w:r>
    </w:p>
    <w:p w14:paraId="6BAD9D7F" w14:textId="77777777" w:rsidR="00B53DEC" w:rsidRPr="00F21196" w:rsidRDefault="00B53DEC" w:rsidP="00B53DEC">
      <w:pPr>
        <w:spacing w:after="0"/>
        <w:rPr>
          <w:rFonts w:eastAsia="Times New Roman" w:cs="Calibri"/>
          <w:b/>
          <w:color w:val="2F5496" w:themeColor="accent5" w:themeShade="BF"/>
          <w:lang w:eastAsia="pl-PL"/>
        </w:rPr>
      </w:pPr>
    </w:p>
    <w:p w14:paraId="7E7FFB75" w14:textId="77777777" w:rsidR="00B53DEC" w:rsidRPr="00F21196" w:rsidRDefault="00B53DEC" w:rsidP="00B53DEC">
      <w:pPr>
        <w:spacing w:after="0"/>
        <w:rPr>
          <w:rFonts w:eastAsia="Times New Roman" w:cs="Calibri"/>
          <w:b/>
          <w:color w:val="2F5496" w:themeColor="accent5" w:themeShade="BF"/>
          <w:lang w:eastAsia="pl-PL"/>
        </w:rPr>
      </w:pPr>
    </w:p>
    <w:p w14:paraId="0EDEAE1E" w14:textId="77777777" w:rsidR="00B53DEC" w:rsidRPr="00F21196" w:rsidRDefault="00B53DEC" w:rsidP="00B53DEC">
      <w:pPr>
        <w:spacing w:after="0"/>
        <w:rPr>
          <w:rFonts w:eastAsia="Times New Roman" w:cs="Calibri"/>
          <w:b/>
          <w:color w:val="2F5496" w:themeColor="accent5" w:themeShade="BF"/>
          <w:lang w:eastAsia="pl-PL"/>
        </w:rPr>
      </w:pPr>
      <w:r w:rsidRPr="00F21196">
        <w:rPr>
          <w:rFonts w:eastAsia="Times New Roman" w:cs="Calibri"/>
          <w:b/>
          <w:noProof/>
          <w:color w:val="2F5496" w:themeColor="accent5" w:themeShade="BF"/>
          <w:lang w:eastAsia="pl-PL"/>
        </w:rPr>
        <mc:AlternateContent>
          <mc:Choice Requires="wps">
            <w:drawing>
              <wp:anchor distT="0" distB="0" distL="114300" distR="114300" simplePos="0" relativeHeight="252194816" behindDoc="0" locked="0" layoutInCell="1" allowOverlap="1" wp14:anchorId="1790CF9E" wp14:editId="2979B179">
                <wp:simplePos x="0" y="0"/>
                <wp:positionH relativeFrom="margin">
                  <wp:posOffset>750570</wp:posOffset>
                </wp:positionH>
                <wp:positionV relativeFrom="paragraph">
                  <wp:posOffset>130810</wp:posOffset>
                </wp:positionV>
                <wp:extent cx="5429250" cy="352425"/>
                <wp:effectExtent l="0" t="0" r="19050" b="28575"/>
                <wp:wrapNone/>
                <wp:docPr id="164" name="Prostokąt zaokrąglony 164"/>
                <wp:cNvGraphicFramePr/>
                <a:graphic xmlns:a="http://schemas.openxmlformats.org/drawingml/2006/main">
                  <a:graphicData uri="http://schemas.microsoft.com/office/word/2010/wordprocessingShape">
                    <wps:wsp>
                      <wps:cNvSpPr/>
                      <wps:spPr>
                        <a:xfrm>
                          <a:off x="0" y="0"/>
                          <a:ext cx="5429250" cy="352425"/>
                        </a:xfrm>
                        <a:prstGeom prst="round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430704" w14:textId="77777777" w:rsidR="005D4C4C" w:rsidRPr="00E044DB" w:rsidRDefault="005D4C4C" w:rsidP="00B53DEC">
                            <w:pPr>
                              <w:shd w:val="clear" w:color="auto" w:fill="D9D9D9" w:themeFill="background1" w:themeFillShade="D9"/>
                              <w:spacing w:line="276" w:lineRule="auto"/>
                              <w:jc w:val="both"/>
                              <w:rPr>
                                <w:rFonts w:eastAsia="Times New Roman" w:cstheme="minorHAnsi"/>
                                <w:i/>
                              </w:rPr>
                            </w:pPr>
                            <w:r>
                              <w:rPr>
                                <w:rFonts w:eastAsia="Times New Roman" w:cstheme="minorHAnsi"/>
                                <w:b/>
                              </w:rPr>
                              <w:t>6</w:t>
                            </w:r>
                            <w:r w:rsidRPr="00192300">
                              <w:rPr>
                                <w:rFonts w:eastAsia="Times New Roman" w:cstheme="minorHAnsi"/>
                                <w:b/>
                              </w:rPr>
                              <w:t xml:space="preserve">. </w:t>
                            </w:r>
                            <w:r w:rsidRPr="00E044DB">
                              <w:rPr>
                                <w:rFonts w:eastAsia="Times New Roman" w:cstheme="minorHAnsi"/>
                                <w:b/>
                                <w:i/>
                              </w:rPr>
                              <w:t xml:space="preserve">Wzmocnienie </w:t>
                            </w:r>
                            <w:r w:rsidRPr="00E044DB">
                              <w:rPr>
                                <w:rFonts w:cs="Helv"/>
                                <w:b/>
                                <w:bCs/>
                                <w:i/>
                                <w:color w:val="000000"/>
                                <w:lang w:eastAsia="en-GB"/>
                              </w:rPr>
                              <w:t>pozycji Polski w środowisku międzynarodowym.</w:t>
                            </w:r>
                          </w:p>
                          <w:p w14:paraId="6B70D228" w14:textId="77777777" w:rsidR="005D4C4C" w:rsidRDefault="005D4C4C" w:rsidP="00B53D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90CF9E" id="Prostokąt zaokrąglony 164" o:spid="_x0000_s1073" style="position:absolute;margin-left:59.1pt;margin-top:10.3pt;width:427.5pt;height:27.75pt;z-index:25219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I8rwAIAAB4GAAAOAAAAZHJzL2Uyb0RvYy54bWy0VEtv2zAMvg/YfxB0X514SR9BnSJo0WFA&#10;1wZth54VWY6NSqImKXHSe/9Zf1gpyXEfK3YYtostSuRH8uPj+GSjJFkL6xrQBR3uDSgRmkPZ6GVB&#10;f96efzmkxHmmSyZBi4JuhaMn08+fjlszETnUIEthCYJoN2lNQWvvzSTLHK+FYm4PjND4WIFVzKNo&#10;l1lpWYvoSmb5YLCftWBLY4EL5/D2LD3SacSvKsH9VVU54YksKMbm49fG7yJ8s+kxmywtM3XDuzDY&#10;X0ShWKPRaQ91xjwjK9v8BqUabsFB5fc4qAyqquEi5oDZDAfvsrmpmRExFyTHmZ4m9+9g+eV6bklT&#10;Yu32R5RoprBIcwzRw/3ToycPDO7t0+MSq7clQQUJa42boN2NmdtOcngM2W8qq8If8yKbSPK2J1ls&#10;POF4OR7lR/kYa8Hx7es4H+XjAJq9WBvr/DcBioRDQS2sdHmNlYwEs/WF80l/pxc8OpBNed5IGYXQ&#10;PeJUWrJmWPfFchhN5Ur9gDLdHY4Hg1h99BubLajHKN4gSf3fwNFxQM8Cm4m/ePJbKYJPqa9FhYVB&#10;xvIYfR9lSoBxLrRPibmalSJdh7Q+zisCBuQKWeqxO4C3hO2wE82dfjAVcaJ648GfAkvGvUX0DNr3&#10;xqrRYD8CkJhV5znp70hK1ASW/GaxiU07Otg15ALKLXayhTTizvDzBtvngjk/ZxZnGjsO95S/wk8l&#10;oS0odCdKarAPH90HfRw1fKWkxR1RUPdrxaygRH7XOIRHw9EoLJUojMYHOQr29cvi9YteqVPAdhzi&#10;RjQ8HoO+l7tjZUHd4TqbBa/4xDRH3wXl3u6EU592Fy5ELmazqIaLxDB/oW8MD+CB6DAZt5s7Zk03&#10;Qx6n7xJ2+4RN3k1R0g2WGmYrD1UTRyxQnXjtSoBLKM5ItzDDlnstR62XtT59BgAA//8DAFBLAwQU&#10;AAYACAAAACEA3jubI90AAAAJAQAADwAAAGRycy9kb3ducmV2LnhtbEyPTU/DMAyG70j8h8hI3Fja&#10;InWjNJ0QHydOWyfYMWvcpqJxqibbyr+fObHjaz96/bhcz24QJ5xC70lBukhAIDXe9NQp2NUfDysQ&#10;IWoyevCECn4xwLq6vSl1YfyZNnjaxk5wCYVCK7AxjoWUobHodFj4EYl3rZ+cjhynTppJn7ncDTJL&#10;klw63RNfsHrEV4vNz/boFGjjxrTd1++fod5/f7X0ZnemVur+bn55BhFxjv8w/OmzOlTsdPBHMkEM&#10;nNNVxqiCLMlBMPC0fOTBQcEyT0FWpbz+oLoAAAD//wMAUEsBAi0AFAAGAAgAAAAhALaDOJL+AAAA&#10;4QEAABMAAAAAAAAAAAAAAAAAAAAAAFtDb250ZW50X1R5cGVzXS54bWxQSwECLQAUAAYACAAAACEA&#10;OP0h/9YAAACUAQAACwAAAAAAAAAAAAAAAAAvAQAAX3JlbHMvLnJlbHNQSwECLQAUAAYACAAAACEA&#10;z+iPK8ACAAAeBgAADgAAAAAAAAAAAAAAAAAuAgAAZHJzL2Uyb0RvYy54bWxQSwECLQAUAAYACAAA&#10;ACEA3jubI90AAAAJAQAADwAAAAAAAAAAAAAAAAAaBQAAZHJzL2Rvd25yZXYueG1sUEsFBgAAAAAE&#10;AAQA8wAAACQGAAAAAA==&#10;" fillcolor="#d8d8d8 [2732]" strokecolor="#d8d8d8 [2732]" strokeweight="1pt">
                <v:stroke joinstyle="miter"/>
                <v:textbox>
                  <w:txbxContent>
                    <w:p w14:paraId="09430704" w14:textId="77777777" w:rsidR="005D4C4C" w:rsidRPr="00E044DB" w:rsidRDefault="005D4C4C" w:rsidP="00B53DEC">
                      <w:pPr>
                        <w:shd w:val="clear" w:color="auto" w:fill="D9D9D9" w:themeFill="background1" w:themeFillShade="D9"/>
                        <w:spacing w:line="276" w:lineRule="auto"/>
                        <w:jc w:val="both"/>
                        <w:rPr>
                          <w:rFonts w:eastAsia="Times New Roman" w:cstheme="minorHAnsi"/>
                          <w:i/>
                        </w:rPr>
                      </w:pPr>
                      <w:r>
                        <w:rPr>
                          <w:rFonts w:eastAsia="Times New Roman" w:cstheme="minorHAnsi"/>
                          <w:b/>
                        </w:rPr>
                        <w:t>6</w:t>
                      </w:r>
                      <w:r w:rsidRPr="00192300">
                        <w:rPr>
                          <w:rFonts w:eastAsia="Times New Roman" w:cstheme="minorHAnsi"/>
                          <w:b/>
                        </w:rPr>
                        <w:t xml:space="preserve">. </w:t>
                      </w:r>
                      <w:r w:rsidRPr="00E044DB">
                        <w:rPr>
                          <w:rFonts w:eastAsia="Times New Roman" w:cstheme="minorHAnsi"/>
                          <w:b/>
                          <w:i/>
                        </w:rPr>
                        <w:t xml:space="preserve">Wzmocnienie </w:t>
                      </w:r>
                      <w:r w:rsidRPr="00E044DB">
                        <w:rPr>
                          <w:rFonts w:cs="Helv"/>
                          <w:b/>
                          <w:bCs/>
                          <w:i/>
                          <w:color w:val="000000"/>
                          <w:lang w:eastAsia="en-GB"/>
                        </w:rPr>
                        <w:t>pozycji Polski w środowisku międzynarodowym.</w:t>
                      </w:r>
                    </w:p>
                    <w:p w14:paraId="6B70D228" w14:textId="77777777" w:rsidR="005D4C4C" w:rsidRDefault="005D4C4C" w:rsidP="00B53DEC">
                      <w:pPr>
                        <w:jc w:val="center"/>
                      </w:pPr>
                    </w:p>
                  </w:txbxContent>
                </v:textbox>
                <w10:wrap anchorx="margin"/>
              </v:roundrect>
            </w:pict>
          </mc:Fallback>
        </mc:AlternateContent>
      </w:r>
      <w:r w:rsidRPr="00F21196">
        <w:rPr>
          <w:rFonts w:eastAsia="Times New Roman" w:cs="Calibri"/>
          <w:b/>
          <w:noProof/>
          <w:color w:val="2F5496" w:themeColor="accent5" w:themeShade="BF"/>
          <w:lang w:eastAsia="pl-PL"/>
        </w:rPr>
        <mc:AlternateContent>
          <mc:Choice Requires="wps">
            <w:drawing>
              <wp:anchor distT="0" distB="0" distL="114300" distR="114300" simplePos="0" relativeHeight="252197888" behindDoc="0" locked="0" layoutInCell="1" allowOverlap="1" wp14:anchorId="3C9A36F7" wp14:editId="033B6A91">
                <wp:simplePos x="0" y="0"/>
                <wp:positionH relativeFrom="margin">
                  <wp:posOffset>399034</wp:posOffset>
                </wp:positionH>
                <wp:positionV relativeFrom="paragraph">
                  <wp:posOffset>128118</wp:posOffset>
                </wp:positionV>
                <wp:extent cx="343965" cy="314325"/>
                <wp:effectExtent l="0" t="19050" r="37465" b="47625"/>
                <wp:wrapNone/>
                <wp:docPr id="37" name="Strzałka w prawo 37"/>
                <wp:cNvGraphicFramePr/>
                <a:graphic xmlns:a="http://schemas.openxmlformats.org/drawingml/2006/main">
                  <a:graphicData uri="http://schemas.microsoft.com/office/word/2010/wordprocessingShape">
                    <wps:wsp>
                      <wps:cNvSpPr/>
                      <wps:spPr>
                        <a:xfrm>
                          <a:off x="0" y="0"/>
                          <a:ext cx="343965" cy="314325"/>
                        </a:xfrm>
                        <a:prstGeom prst="rightArrow">
                          <a:avLst/>
                        </a:prstGeom>
                        <a:solidFill>
                          <a:srgbClr val="5B9BD5">
                            <a:lumMod val="40000"/>
                            <a:lumOff val="60000"/>
                          </a:srgbClr>
                        </a:solidFill>
                        <a:ln w="12700" cap="flat" cmpd="sng" algn="ctr">
                          <a:solidFill>
                            <a:schemeClr val="accent1">
                              <a:lumMod val="40000"/>
                              <a:lumOff val="6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663F0" id="Strzałka w prawo 37" o:spid="_x0000_s1026" type="#_x0000_t13" style="position:absolute;margin-left:31.4pt;margin-top:10.1pt;width:27.1pt;height:24.75pt;z-index:25219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efMpgIAAHcFAAAOAAAAZHJzL2Uyb0RvYy54bWysVMlu2zAQvRfoPxC8N/KaxYgdODFSFEgT&#10;A06R85iiLKLcOqQtJ8f+W/+rQ8p2tp6C6kBxFs7yZjm/2BrNNhKDcnbMu0cdzqQVrlR2NeY/7q+/&#10;nHIWItgStLNyzB9l4BeTz5/OGz+SPVc7XUpkZMSGUePHvI7Rj4oiiFoaCEfOS0vCyqGBSCSuihKh&#10;IetGF71O57hoHJYenZAhEHfWCvkk268qKeJdVQUZmR5zii3mE/O5TGcxOYfRCsHXSuzCgA9EYUBZ&#10;cnowNYMIbI3qnSmjBLrgqngknClcVSkhcw6UTbfzJptFDV7mXAic4A8whf9nVtxu5shUOeb9E84s&#10;GKrRIuIT/Pn9E1jDPAHqGMkIqMaHEekv/Bx3VKBrynpboUl/yodtM7iPB3DlNjJBzP6gf3Y85EyQ&#10;qN8d9HvDZLN4fuwxxK/SGfIZqE6oVnWcIromAwubmxDbB3vF5DE4rcprpXUmcLW80sg2QNUeXp5d&#10;zob5rV6b765s2YMOfW3ZiU3N0bKP92wKKLRmcnCv7GvLGmry3glZYAKoXSsNka7GE4DBrjgDvaI5&#10;EBGz41evc0/LQ3wghLSx+6EA03QkS+9DTNjMINRtVtl/m6xRkQZNKzPmpynXjAElq21CTuZR2SGc&#10;6txWNt2WrnykFkHXzk7w4lqRkxsIcQ5Iw0JY0AKId3RU2hFAbnfjrHb49C9+0qceJilnDQ0fgfdr&#10;DSg5098sdfdZdzBI05qJwfCkRwS+lCxfSuzaXDmqeJdWjRf5mvSj3l8rdOaB9sQ0eSURWEG+2zLt&#10;iKvYLgXaNEJOp1mNJtRDvLELL5LxhFOC9377AOh3XRqpvW/dflBh9KZNW9300rrpOrpK5R5+xpUq&#10;mAia7lzL3SZK6+MlnbWe9+XkLwAAAP//AwBQSwMEFAAGAAgAAAAhAMzP5YPfAAAACAEAAA8AAABk&#10;cnMvZG93bnJldi54bWxMj0FLw0AQhe+C/2EZwZvdNGirMZNSFJWCpVq9eNtmxySYnQ3ZTRv99U5P&#10;ehy+4b3v5YvRtWpPfWg8I0wnCSji0tuGK4T3t4eLa1AhGram9UwI3xRgUZye5Caz/sCvtN/GSkkI&#10;h8wg1DF2mdahrMmZMPEdsbBP3zsT5ewrbXtzkHDX6jRJZtqZhqWhNh3d1VR+bQeHcL+5Gtzz4+Vq&#10;E1bD0/LjZ/1i4xrx/Gxc3oKKNMa/ZzjqizoU4rTzA9ugWoRZKuYRIU1SUEc+ncu2nYCbOegi1/8H&#10;FL8AAAD//wMAUEsBAi0AFAAGAAgAAAAhALaDOJL+AAAA4QEAABMAAAAAAAAAAAAAAAAAAAAAAFtD&#10;b250ZW50X1R5cGVzXS54bWxQSwECLQAUAAYACAAAACEAOP0h/9YAAACUAQAACwAAAAAAAAAAAAAA&#10;AAAvAQAAX3JlbHMvLnJlbHNQSwECLQAUAAYACAAAACEAm7nnzKYCAAB3BQAADgAAAAAAAAAAAAAA&#10;AAAuAgAAZHJzL2Uyb0RvYy54bWxQSwECLQAUAAYACAAAACEAzM/lg98AAAAIAQAADwAAAAAAAAAA&#10;AAAAAAAABQAAZHJzL2Rvd25yZXYueG1sUEsFBgAAAAAEAAQA8wAAAAwGAAAAAA==&#10;" adj="11731" fillcolor="#bdd7ee" strokecolor="#bdd6ee [1300]" strokeweight="1pt">
                <w10:wrap anchorx="margin"/>
              </v:shape>
            </w:pict>
          </mc:Fallback>
        </mc:AlternateContent>
      </w:r>
    </w:p>
    <w:p w14:paraId="0FCA7D0F" w14:textId="77777777" w:rsidR="00B53DEC" w:rsidRPr="00F21196" w:rsidRDefault="00B53DEC" w:rsidP="00B53DEC">
      <w:pPr>
        <w:spacing w:after="0"/>
        <w:rPr>
          <w:rFonts w:eastAsia="Times New Roman" w:cs="Calibri"/>
          <w:b/>
          <w:color w:val="2F5496" w:themeColor="accent5" w:themeShade="BF"/>
          <w:lang w:eastAsia="pl-PL"/>
        </w:rPr>
      </w:pPr>
    </w:p>
    <w:p w14:paraId="662C58DA" w14:textId="77777777" w:rsidR="00B53DEC" w:rsidRDefault="00B53DEC" w:rsidP="00B53DEC">
      <w:pPr>
        <w:rPr>
          <w:rFonts w:eastAsia="Times New Roman" w:cs="Arial"/>
          <w:b/>
          <w:lang w:eastAsia="pl-PL"/>
        </w:rPr>
      </w:pPr>
    </w:p>
    <w:p w14:paraId="4E598A12" w14:textId="77777777" w:rsidR="00B53DEC" w:rsidRDefault="00B53DEC" w:rsidP="00B53DEC">
      <w:pPr>
        <w:rPr>
          <w:rFonts w:eastAsia="Times New Roman" w:cs="Arial"/>
          <w:b/>
          <w:lang w:eastAsia="pl-PL"/>
        </w:rPr>
      </w:pPr>
    </w:p>
    <w:p w14:paraId="5C12BD70" w14:textId="77777777" w:rsidR="00B53DEC" w:rsidRDefault="00B53DEC" w:rsidP="00B53DEC">
      <w:pPr>
        <w:pStyle w:val="Tekstpodstawowywcity"/>
        <w:pBdr>
          <w:bottom w:val="single" w:sz="24" w:space="1" w:color="9CC2E5" w:themeColor="accent1" w:themeTint="99"/>
        </w:pBdr>
        <w:shd w:val="clear" w:color="auto" w:fill="D9D9D9" w:themeFill="background1" w:themeFillShade="D9"/>
        <w:spacing w:after="0"/>
        <w:ind w:left="0"/>
        <w:jc w:val="both"/>
        <w:rPr>
          <w:rFonts w:asciiTheme="minorHAnsi" w:hAnsiTheme="minorHAnsi" w:cs="Calibri,Bold"/>
          <w:b/>
          <w:bCs/>
          <w:sz w:val="22"/>
          <w:szCs w:val="22"/>
        </w:rPr>
      </w:pPr>
      <w:r w:rsidRPr="008357F6">
        <w:rPr>
          <w:rFonts w:asciiTheme="minorHAnsi" w:hAnsiTheme="minorHAnsi" w:cs="Arial"/>
          <w:b/>
          <w:sz w:val="22"/>
          <w:szCs w:val="22"/>
        </w:rPr>
        <w:t>Kierunki interwencji 1</w:t>
      </w:r>
      <w:r w:rsidRPr="008357F6">
        <w:rPr>
          <w:rFonts w:asciiTheme="minorHAnsi" w:hAnsiTheme="minorHAnsi" w:cs="Calibri,Bold"/>
          <w:b/>
          <w:bCs/>
          <w:sz w:val="22"/>
          <w:szCs w:val="22"/>
        </w:rPr>
        <w:t xml:space="preserve">. </w:t>
      </w:r>
    </w:p>
    <w:p w14:paraId="55FA56EA" w14:textId="77777777" w:rsidR="00B53DEC" w:rsidRPr="008357F6" w:rsidRDefault="00B53DEC" w:rsidP="00B53DEC">
      <w:pPr>
        <w:pStyle w:val="Tekstpodstawowywcity"/>
        <w:pBdr>
          <w:bottom w:val="single" w:sz="24" w:space="1" w:color="9CC2E5" w:themeColor="accent1" w:themeTint="99"/>
        </w:pBdr>
        <w:shd w:val="clear" w:color="auto" w:fill="D9D9D9" w:themeFill="background1" w:themeFillShade="D9"/>
        <w:spacing w:after="0"/>
        <w:ind w:left="0"/>
        <w:jc w:val="center"/>
        <w:rPr>
          <w:rFonts w:asciiTheme="minorHAnsi" w:hAnsiTheme="minorHAnsi" w:cs="Calibri"/>
          <w:b/>
          <w:i/>
          <w:sz w:val="22"/>
          <w:szCs w:val="22"/>
        </w:rPr>
      </w:pPr>
      <w:r w:rsidRPr="008357F6">
        <w:rPr>
          <w:rFonts w:asciiTheme="minorHAnsi" w:hAnsiTheme="minorHAnsi" w:cs="Calibri"/>
          <w:b/>
          <w:i/>
          <w:sz w:val="22"/>
          <w:szCs w:val="22"/>
        </w:rPr>
        <w:t>Zwiększenie potencjału Sił Zbrojnych RP</w:t>
      </w:r>
    </w:p>
    <w:p w14:paraId="7FE5380E" w14:textId="77777777" w:rsidR="00B53DEC" w:rsidRPr="005B067D" w:rsidRDefault="00B53DEC" w:rsidP="00B53DEC">
      <w:pPr>
        <w:spacing w:line="276" w:lineRule="auto"/>
        <w:jc w:val="both"/>
        <w:rPr>
          <w:rFonts w:ascii="Calibri" w:hAnsi="Calibri" w:cs="Calibri"/>
          <w:b/>
        </w:rPr>
      </w:pPr>
      <w:r w:rsidRPr="005B067D">
        <w:rPr>
          <w:rFonts w:ascii="Calibri" w:hAnsi="Calibri" w:cs="Calibri"/>
          <w:b/>
          <w:bCs/>
          <w:u w:val="single"/>
        </w:rPr>
        <w:t>1.1. Modernizacja i rozwój SZ RP</w:t>
      </w:r>
      <w:r w:rsidRPr="005B067D">
        <w:rPr>
          <w:rFonts w:ascii="Calibri" w:hAnsi="Calibri" w:cs="Calibri"/>
          <w:b/>
          <w:bCs/>
        </w:rPr>
        <w:t xml:space="preserve">. </w:t>
      </w:r>
      <w:r w:rsidRPr="005B067D">
        <w:rPr>
          <w:rFonts w:ascii="Calibri" w:hAnsi="Calibri" w:cs="Calibri"/>
        </w:rPr>
        <w:t xml:space="preserve">Zwiększone zostaną zdolności operacyjne Sił Zbrojnych RP </w:t>
      </w:r>
      <w:r w:rsidRPr="005B067D">
        <w:rPr>
          <w:rFonts w:ascii="Calibri" w:hAnsi="Calibri" w:cs="Calibri"/>
        </w:rPr>
        <w:br/>
        <w:t>do odstraszania i obrony przed zagrożeniami bezpieczeństwa. Kontynuowana będzie adaptacja struktury dowodzenia SZ RP do potrzeb związanych ze zmianami w środowisku bezpieczeństwa. Uzup</w:t>
      </w:r>
      <w:r>
        <w:rPr>
          <w:rFonts w:ascii="Calibri" w:hAnsi="Calibri" w:cs="Calibri"/>
        </w:rPr>
        <w:t>ełnione zostaną stany osobowe,</w:t>
      </w:r>
      <w:r w:rsidRPr="005B067D">
        <w:rPr>
          <w:rFonts w:ascii="Calibri" w:hAnsi="Calibri" w:cs="Calibri"/>
        </w:rPr>
        <w:t xml:space="preserve"> usprawnieniu ulegną procesy kwalifikacji i naboru oraz system kształcenia i doskonalenia zawodowego żołnierzy. W kontekście modernizacji technicznej ważne będzie uwzględnienie wyzwań współczesnego wielodomenowego środowiska operacyjnego, zdolności do asymetrycznego prowadzenia działań oraz konieczność budowy systemów antydostępowych. Zbudowany zostanie zintegrowany system świadomości sytuacyjnej, zapewnione zostaną zdolności państwa do skutecznej obrony powietrznej, w tym przeciwrakietowej, precyzyjnego rażenia celów na dalekiej odległości oraz obrony przeciwlotniczej i przeciwpancernej. Szczególny nacisk położony zostanie na rozwój wojsk specjalnych oraz zdolności do działań </w:t>
      </w:r>
      <w:r w:rsidRPr="005B067D">
        <w:rPr>
          <w:rFonts w:ascii="Calibri" w:hAnsi="Calibri" w:cs="Calibri"/>
        </w:rPr>
        <w:br/>
        <w:t>w cyberprzestrzeni i przestrzeni kosmicznej, jak również do działań informacyjnych.</w:t>
      </w:r>
    </w:p>
    <w:p w14:paraId="17A46441" w14:textId="77777777" w:rsidR="00B53DEC" w:rsidRPr="005B067D" w:rsidRDefault="00B53DEC" w:rsidP="00B53DEC">
      <w:pPr>
        <w:spacing w:line="276" w:lineRule="auto"/>
        <w:jc w:val="both"/>
        <w:rPr>
          <w:rFonts w:ascii="Calibri" w:hAnsi="Calibri" w:cs="Calibri"/>
        </w:rPr>
      </w:pPr>
      <w:r w:rsidRPr="005B067D">
        <w:rPr>
          <w:rFonts w:ascii="Calibri" w:hAnsi="Calibri" w:cs="Calibri"/>
          <w:b/>
          <w:bCs/>
          <w:u w:val="single"/>
        </w:rPr>
        <w:t>1.2. Wzrost finansowania Sił Zbrojnych RP</w:t>
      </w:r>
      <w:r w:rsidRPr="005B067D">
        <w:rPr>
          <w:rFonts w:ascii="Calibri" w:hAnsi="Calibri" w:cs="Calibri"/>
          <w:b/>
          <w:bCs/>
        </w:rPr>
        <w:t xml:space="preserve">. </w:t>
      </w:r>
      <w:r w:rsidRPr="005B067D">
        <w:rPr>
          <w:rFonts w:ascii="Calibri" w:hAnsi="Calibri" w:cs="Calibri"/>
        </w:rPr>
        <w:t xml:space="preserve">Podjęte zostanie wysiłek na rzecz zwiększenia dynamiki wzrostu wydatków na obronę w celu osiągnięcia poziomu 2,5% PKB w 2024 roku. </w:t>
      </w:r>
    </w:p>
    <w:p w14:paraId="18A6CC23" w14:textId="77777777" w:rsidR="00B53DEC" w:rsidRPr="005B067D" w:rsidRDefault="00B53DEC" w:rsidP="00B53DEC">
      <w:pPr>
        <w:spacing w:line="276" w:lineRule="auto"/>
        <w:jc w:val="both"/>
        <w:rPr>
          <w:rFonts w:ascii="Calibri" w:hAnsi="Calibri" w:cs="Calibri"/>
        </w:rPr>
      </w:pPr>
      <w:r w:rsidRPr="005B067D">
        <w:rPr>
          <w:rFonts w:ascii="Calibri" w:hAnsi="Calibri" w:cs="Calibri"/>
          <w:b/>
          <w:bCs/>
          <w:u w:val="single"/>
        </w:rPr>
        <w:t>1.3. Rozwój Wojsk Obrony Terytorialnej</w:t>
      </w:r>
      <w:r w:rsidRPr="005B067D">
        <w:rPr>
          <w:rFonts w:ascii="Calibri" w:hAnsi="Calibri" w:cs="Calibri"/>
          <w:b/>
          <w:bCs/>
        </w:rPr>
        <w:t xml:space="preserve">. </w:t>
      </w:r>
      <w:r w:rsidRPr="005B067D">
        <w:rPr>
          <w:rFonts w:ascii="Calibri" w:hAnsi="Calibri" w:cs="Calibri"/>
        </w:rPr>
        <w:t>Rozwijane będą Wojska Obrony Terytorialnej poprzez ich rozbudowę i doposażenie w nowoczesny sprzęt wojskowy w celu rozbudowy powszechnej gotowości obronnej na terytorium całego kraju.</w:t>
      </w:r>
    </w:p>
    <w:p w14:paraId="51F208DF" w14:textId="77777777" w:rsidR="00B53DEC" w:rsidRPr="005B067D" w:rsidRDefault="00B53DEC" w:rsidP="00B53DEC">
      <w:pPr>
        <w:spacing w:line="276" w:lineRule="auto"/>
        <w:jc w:val="both"/>
        <w:rPr>
          <w:rFonts w:ascii="Calibri" w:hAnsi="Calibri" w:cs="Calibri"/>
        </w:rPr>
      </w:pPr>
      <w:r w:rsidRPr="005B067D">
        <w:rPr>
          <w:rFonts w:ascii="Calibri" w:hAnsi="Calibri" w:cs="Calibri"/>
          <w:b/>
          <w:bCs/>
          <w:u w:val="single"/>
        </w:rPr>
        <w:t>1.4. Zwiększenie innowacyjności i konkurencyjności krajowego przemysłu obronnego</w:t>
      </w:r>
      <w:r w:rsidRPr="005B067D">
        <w:rPr>
          <w:rFonts w:ascii="Calibri" w:hAnsi="Calibri" w:cs="Calibri"/>
          <w:b/>
          <w:bCs/>
        </w:rPr>
        <w:t xml:space="preserve">. </w:t>
      </w:r>
      <w:r w:rsidRPr="005B067D">
        <w:rPr>
          <w:rFonts w:ascii="Calibri" w:hAnsi="Calibri" w:cs="Calibri"/>
        </w:rPr>
        <w:t>Innowacyjny i konkurencyjny przemysł obronny rozwijany będzie w oparciu o nowe rozwiązania formalno-prawne i organizacyjne obejmujące politykę międzynarodową, naukowo-badawczą, przemysłową i cykl życia sprzętu wojskowego. Stworzony będzie efektywny system pozyskiwania, eksploatacji i wycofywania sprzętu wojskowego.</w:t>
      </w:r>
    </w:p>
    <w:p w14:paraId="4D4B28A7" w14:textId="77777777" w:rsidR="00B53DEC" w:rsidRPr="005B067D" w:rsidRDefault="00B53DEC" w:rsidP="00B53DEC">
      <w:pPr>
        <w:spacing w:line="276" w:lineRule="auto"/>
        <w:jc w:val="both"/>
        <w:rPr>
          <w:rFonts w:ascii="Calibri" w:hAnsi="Calibri" w:cs="Calibri"/>
          <w:bCs/>
        </w:rPr>
      </w:pPr>
      <w:r w:rsidRPr="005B067D">
        <w:rPr>
          <w:rFonts w:ascii="Calibri" w:hAnsi="Calibri" w:cs="Calibri"/>
          <w:b/>
          <w:bCs/>
          <w:u w:val="single"/>
        </w:rPr>
        <w:t>1.5. Doskonalenie pozamilitarnych przygotowań obronnych</w:t>
      </w:r>
      <w:r w:rsidRPr="005B067D">
        <w:rPr>
          <w:rFonts w:ascii="Calibri" w:hAnsi="Calibri" w:cs="Calibri"/>
          <w:b/>
          <w:bCs/>
        </w:rPr>
        <w:t xml:space="preserve">. </w:t>
      </w:r>
      <w:r w:rsidRPr="005B067D">
        <w:rPr>
          <w:rFonts w:ascii="Calibri" w:hAnsi="Calibri" w:cs="Calibri"/>
          <w:bCs/>
        </w:rPr>
        <w:t>W celu podniesienia odporności państwa na zagrożenia budowany będzie system obrony powszechnej wykorzystujący potencjał instytucji państwowych i samorządów, podmiotów systemu edukacji i szkolnictwa wyższego, społeczności lokalnych, podmiotów gospodarczych, organizacji pozarządowych oraz obywateli. Działania te będą budować kompleksowa odporność państwa na zagrożenia niemilitarne i militarne. W tym kontekście szczególnie istotne jest budowanie odporności na zagrożenia o charakterze hybrydowym, rozwijanie systemu ochrony zdrowia i struktur administracji publicznej do zwalczania zagrożeń epidemicznych, czy też nadanie powszechnego charakteru obronie cywilnej i ochronie ludności.</w:t>
      </w:r>
    </w:p>
    <w:p w14:paraId="5763801C" w14:textId="77777777" w:rsidR="00B53DEC" w:rsidRDefault="00B53DEC" w:rsidP="00B53DEC">
      <w:pPr>
        <w:spacing w:line="276" w:lineRule="auto"/>
        <w:jc w:val="both"/>
        <w:rPr>
          <w:rFonts w:cs="Times New Roman"/>
          <w:szCs w:val="24"/>
        </w:rPr>
      </w:pPr>
      <w:r w:rsidRPr="005B067D">
        <w:rPr>
          <w:rFonts w:ascii="Calibri" w:hAnsi="Calibri" w:cs="Calibri"/>
          <w:b/>
          <w:bCs/>
          <w:u w:val="single"/>
        </w:rPr>
        <w:t>1.6. Umacnianie euroatlantyckiej wspólnoty bezpieczeństwa</w:t>
      </w:r>
      <w:r w:rsidRPr="005B067D">
        <w:rPr>
          <w:rFonts w:ascii="Calibri" w:hAnsi="Calibri" w:cs="Calibri"/>
          <w:b/>
          <w:bCs/>
        </w:rPr>
        <w:t xml:space="preserve">. </w:t>
      </w:r>
      <w:r w:rsidRPr="005B067D">
        <w:rPr>
          <w:rFonts w:ascii="Calibri" w:hAnsi="Calibri" w:cs="Calibri"/>
        </w:rPr>
        <w:t xml:space="preserve">Polska będzie dążyć do pogłębiania procesów integracyjnych w obszarze euroatlantyckim, zwłaszcza w ramach systemu kolektywnej obrony NATO, Wspólnej Polityki Bezpieczeństwa i Obrony UE oraz strategicznych partnerstw (głównie z USA). Wzmocniona współpraca wojskowa w regionie będzie się przejawiać w intensyfikacji ćwiczeń, a także - w miarę możliwości - wspólnym pozyskiwaniu wybranego sprzętu wojskowego. </w:t>
      </w:r>
      <w:r w:rsidRPr="00F21196">
        <w:rPr>
          <w:rFonts w:cs="Times New Roman"/>
          <w:szCs w:val="24"/>
        </w:rPr>
        <w:t xml:space="preserve">Kluczowe jest </w:t>
      </w:r>
      <w:r>
        <w:rPr>
          <w:rFonts w:cs="Times New Roman"/>
          <w:szCs w:val="24"/>
        </w:rPr>
        <w:t xml:space="preserve">dalsze umacnianie zaangażowania wojskowego </w:t>
      </w:r>
      <w:r w:rsidRPr="00F21196">
        <w:rPr>
          <w:rFonts w:cs="Times New Roman"/>
          <w:szCs w:val="24"/>
        </w:rPr>
        <w:t>USA na terytorium RP</w:t>
      </w:r>
      <w:r>
        <w:rPr>
          <w:rFonts w:cs="Times New Roman"/>
          <w:szCs w:val="24"/>
        </w:rPr>
        <w:t>.</w:t>
      </w:r>
    </w:p>
    <w:p w14:paraId="508839C6" w14:textId="77777777" w:rsidR="000973C0" w:rsidRPr="00F21196" w:rsidRDefault="000973C0" w:rsidP="00B53DEC">
      <w:pPr>
        <w:spacing w:line="276" w:lineRule="auto"/>
        <w:jc w:val="both"/>
        <w:rPr>
          <w:rFonts w:cs="Times New Roman"/>
          <w:szCs w:val="24"/>
        </w:rPr>
      </w:pPr>
    </w:p>
    <w:p w14:paraId="1F368C2A" w14:textId="77777777" w:rsidR="00B53DEC" w:rsidRPr="008357F6" w:rsidRDefault="00B53DEC" w:rsidP="00B53DEC">
      <w:pPr>
        <w:pStyle w:val="Tekstpodstawowywcity"/>
        <w:pBdr>
          <w:bottom w:val="single" w:sz="24" w:space="1" w:color="9CC2E5" w:themeColor="accent1" w:themeTint="99"/>
        </w:pBdr>
        <w:shd w:val="clear" w:color="auto" w:fill="D9D9D9" w:themeFill="background1" w:themeFillShade="D9"/>
        <w:spacing w:after="0"/>
        <w:ind w:left="0"/>
        <w:jc w:val="both"/>
        <w:rPr>
          <w:rFonts w:asciiTheme="minorHAnsi" w:hAnsiTheme="minorHAnsi" w:cs="Calibri,Bold"/>
          <w:b/>
          <w:bCs/>
          <w:sz w:val="22"/>
          <w:szCs w:val="22"/>
        </w:rPr>
      </w:pPr>
      <w:r w:rsidRPr="008357F6">
        <w:rPr>
          <w:rFonts w:asciiTheme="minorHAnsi" w:hAnsiTheme="minorHAnsi" w:cs="Arial"/>
          <w:b/>
          <w:sz w:val="22"/>
          <w:szCs w:val="22"/>
        </w:rPr>
        <w:t>Kierunki interwencji 2</w:t>
      </w:r>
      <w:r w:rsidRPr="008357F6">
        <w:rPr>
          <w:rFonts w:asciiTheme="minorHAnsi" w:hAnsiTheme="minorHAnsi" w:cs="Calibri,Bold"/>
          <w:b/>
          <w:bCs/>
          <w:sz w:val="22"/>
          <w:szCs w:val="22"/>
        </w:rPr>
        <w:t xml:space="preserve">. </w:t>
      </w:r>
    </w:p>
    <w:p w14:paraId="0AABE082" w14:textId="77777777" w:rsidR="00B53DEC" w:rsidRPr="008357F6" w:rsidRDefault="00B53DEC" w:rsidP="00B53DEC">
      <w:pPr>
        <w:pStyle w:val="Tekstpodstawowywcity"/>
        <w:pBdr>
          <w:bottom w:val="single" w:sz="24" w:space="1" w:color="9CC2E5" w:themeColor="accent1" w:themeTint="99"/>
        </w:pBdr>
        <w:shd w:val="clear" w:color="auto" w:fill="D9D9D9" w:themeFill="background1" w:themeFillShade="D9"/>
        <w:spacing w:after="0"/>
        <w:ind w:left="0"/>
        <w:jc w:val="center"/>
        <w:rPr>
          <w:rFonts w:asciiTheme="minorHAnsi" w:hAnsiTheme="minorHAnsi" w:cs="Calibri"/>
          <w:b/>
          <w:i/>
          <w:sz w:val="22"/>
          <w:szCs w:val="22"/>
        </w:rPr>
      </w:pPr>
      <w:r w:rsidRPr="008357F6">
        <w:rPr>
          <w:rFonts w:asciiTheme="minorHAnsi" w:hAnsiTheme="minorHAnsi" w:cs="Calibri"/>
          <w:b/>
          <w:i/>
          <w:sz w:val="22"/>
          <w:szCs w:val="22"/>
        </w:rPr>
        <w:t>Przeciwdziałanie i zwalczanie przestępczości oraz zagrożeń dla bezpieczeństwa i porządku publicznego</w:t>
      </w:r>
    </w:p>
    <w:p w14:paraId="7ED08602" w14:textId="77777777" w:rsidR="00B53DEC" w:rsidRPr="00F21196" w:rsidRDefault="00B53DEC" w:rsidP="00B53DEC">
      <w:pPr>
        <w:spacing w:after="0"/>
        <w:jc w:val="both"/>
        <w:rPr>
          <w:rFonts w:eastAsia="Times New Roman"/>
          <w:kern w:val="28"/>
          <w:lang w:eastAsia="pl-PL"/>
          <w14:cntxtAlts/>
        </w:rPr>
      </w:pPr>
      <w:r w:rsidRPr="00F21196">
        <w:rPr>
          <w:rFonts w:eastAsia="Times New Roman" w:cs="Calibri"/>
          <w:b/>
          <w:u w:val="single"/>
          <w:lang w:eastAsia="pl-PL"/>
        </w:rPr>
        <w:t>2. 1. Przeciwdziałanie i zwalczanie przestępczości kryminalnej (najbardziej dokuczliwej dla obywateli).</w:t>
      </w:r>
      <w:r>
        <w:rPr>
          <w:rFonts w:eastAsia="Times New Roman" w:cs="Calibri"/>
          <w:b/>
          <w:u w:val="single"/>
          <w:lang w:eastAsia="pl-PL"/>
        </w:rPr>
        <w:t xml:space="preserve"> </w:t>
      </w:r>
      <w:r>
        <w:rPr>
          <w:rFonts w:eastAsia="Times New Roman" w:cs="Calibri"/>
          <w:b/>
          <w:u w:val="single"/>
          <w:lang w:eastAsia="pl-PL"/>
        </w:rPr>
        <w:br/>
      </w:r>
      <w:r w:rsidRPr="00F21196">
        <w:rPr>
          <w:rFonts w:eastAsia="Times New Roman"/>
          <w:kern w:val="28"/>
          <w:lang w:eastAsia="pl-PL"/>
          <w14:cntxtAlts/>
        </w:rPr>
        <w:t xml:space="preserve">W dziedzinie bezpieczeństwa Polacy stawiają wysokie wymagania instytucjom państwowym, przede wszystkim Policji. </w:t>
      </w:r>
    </w:p>
    <w:p w14:paraId="0E62F961" w14:textId="77777777" w:rsidR="005A13D6" w:rsidRDefault="00B53DEC" w:rsidP="005A13D6">
      <w:pPr>
        <w:widowControl w:val="0"/>
        <w:spacing w:line="276" w:lineRule="auto"/>
        <w:jc w:val="both"/>
        <w:rPr>
          <w:rFonts w:eastAsia="Times New Roman"/>
          <w:kern w:val="28"/>
          <w:lang w:eastAsia="pl-PL"/>
        </w:rPr>
      </w:pPr>
      <w:r w:rsidRPr="00F21196">
        <w:rPr>
          <w:rFonts w:eastAsia="Times New Roman"/>
          <w:kern w:val="28"/>
          <w:lang w:eastAsia="pl-PL"/>
          <w14:cntxtAlts/>
        </w:rPr>
        <w:t xml:space="preserve">Wysoki stopień gotowości operacyjnej służb zależy od ich właściwej liczebności, skutecznego dowodzenia i ich rozlokowania, od poziomu wyszkolenia i wyposażenia. </w:t>
      </w:r>
      <w:r w:rsidR="005A13D6" w:rsidRPr="00284810">
        <w:rPr>
          <w:rFonts w:eastAsia="Times New Roman"/>
          <w:kern w:val="28"/>
          <w:lang w:eastAsia="pl-PL"/>
        </w:rPr>
        <w:t xml:space="preserve">Dlatego należy dostosowywać struktury organizacyjne Policji do zmieniających się wyzwań w zakresie bezpieczeństwa i porządku publicznego, </w:t>
      </w:r>
      <w:r w:rsidR="005A13D6">
        <w:rPr>
          <w:rFonts w:eastAsia="Times New Roman"/>
          <w:kern w:val="28"/>
          <w:lang w:eastAsia="pl-PL"/>
        </w:rPr>
        <w:t xml:space="preserve">w tym kontynuować proces odtwarzania zlikwidowanych w latach 2008-2015 posterunków Policji, </w:t>
      </w:r>
      <w:r w:rsidR="005A13D6" w:rsidRPr="00284810">
        <w:rPr>
          <w:rFonts w:eastAsia="Times New Roman"/>
          <w:kern w:val="28"/>
          <w:lang w:eastAsia="pl-PL"/>
        </w:rPr>
        <w:t>utrzymywać odpowiedni poziom zatrudnienia w Policji, usprawniać szkolnictwo policyjne, rozwijać nowoczesne narzędzia komunikacji ze społeczeństwem (m.in. Krajową Mapę Zagrożeń Bezpieczeństwa), dostosowywać do aktualnych potrzeb lokalizację siedzib Policji (w tym odtwarzać zlikwidowane w latach 2008-2015 posterunki Policji), skracać czas reakcji na zdarzenia, stosować rozwiązania adekwatne do lokalnych uwarunkowań.</w:t>
      </w:r>
    </w:p>
    <w:p w14:paraId="65538108" w14:textId="0605AEDF" w:rsidR="00B53DEC" w:rsidRPr="00F21196" w:rsidRDefault="00B53DEC" w:rsidP="005A13D6">
      <w:pPr>
        <w:widowControl w:val="0"/>
        <w:spacing w:line="276" w:lineRule="auto"/>
        <w:jc w:val="both"/>
        <w:rPr>
          <w:rFonts w:eastAsia="Times New Roman" w:cs="Calibri"/>
          <w:szCs w:val="20"/>
        </w:rPr>
      </w:pPr>
      <w:r w:rsidRPr="00F21196">
        <w:rPr>
          <w:rFonts w:eastAsia="Times New Roman" w:cs="Calibri"/>
          <w:b/>
          <w:u w:val="single"/>
          <w:lang w:eastAsia="pl-PL"/>
        </w:rPr>
        <w:t xml:space="preserve">2.2. </w:t>
      </w:r>
      <w:r w:rsidRPr="00F21196">
        <w:rPr>
          <w:rFonts w:cs="Calibri"/>
          <w:b/>
          <w:u w:val="single"/>
        </w:rPr>
        <w:t>Ograniczanie przestępczości gospodarczej, ograniczanie szarej strefy i odzyskiwanie mienia pochodzącego z przestępstw.</w:t>
      </w:r>
      <w:r>
        <w:rPr>
          <w:rFonts w:cs="Calibri"/>
          <w:b/>
          <w:u w:val="single"/>
        </w:rPr>
        <w:t xml:space="preserve"> </w:t>
      </w:r>
      <w:r w:rsidRPr="00F21196">
        <w:rPr>
          <w:rFonts w:eastAsia="Times New Roman" w:cs="Calibri"/>
        </w:rPr>
        <w:t>Przeciwdziałanie i zwalczanie przestępczości gospodarczej, ze względu na generowane przez nią wysokie straty budżetu państwa i sektora prywatnego oraz powiązanie z innymi szkodliwymi zjawiskami (korupcja, przestępczość zorganizowana), jest szczególnie istotne dla funkcjonowania państwa.</w:t>
      </w:r>
      <w:r w:rsidRPr="00F21196">
        <w:rPr>
          <w:rFonts w:eastAsia="Times New Roman" w:cs="Calibri"/>
          <w:szCs w:val="20"/>
        </w:rPr>
        <w:t xml:space="preserve"> </w:t>
      </w:r>
    </w:p>
    <w:p w14:paraId="4F8A0D56" w14:textId="77777777" w:rsidR="00B53DEC" w:rsidRPr="00F21196" w:rsidRDefault="00B53DEC" w:rsidP="00B53DEC">
      <w:pPr>
        <w:spacing w:line="276" w:lineRule="auto"/>
        <w:jc w:val="both"/>
        <w:rPr>
          <w:rFonts w:eastAsia="Times New Roman" w:cs="Calibri"/>
          <w:szCs w:val="20"/>
        </w:rPr>
      </w:pPr>
      <w:r w:rsidRPr="00F21196">
        <w:rPr>
          <w:rFonts w:eastAsia="Times New Roman" w:cs="Calibri"/>
          <w:szCs w:val="20"/>
        </w:rPr>
        <w:t>Stosunkowo niewielka liczba przestępców gospodarczych może działać na szkodę wielu pokrzywdzonych. Przestępcy dostosowują działalność do aktualnych uwarunkowań, dlatego skutecznym sposobem zwalczania tego typu przestępczości jest identyfikacja czynników kryminogennych i ich eliminacja przez wprowadzanie zmian prawnych i usprawnianie narzędzi administracyjnych.</w:t>
      </w:r>
    </w:p>
    <w:p w14:paraId="7E2E78A0" w14:textId="7A374BCB" w:rsidR="00B53DEC" w:rsidRPr="00F21196" w:rsidRDefault="00B53DEC" w:rsidP="00B53DEC">
      <w:pPr>
        <w:spacing w:line="276" w:lineRule="auto"/>
        <w:jc w:val="both"/>
        <w:rPr>
          <w:rFonts w:eastAsia="Times New Roman" w:cs="Calibri"/>
          <w:lang w:eastAsia="pl-PL"/>
        </w:rPr>
      </w:pPr>
      <w:r w:rsidRPr="00F21196">
        <w:rPr>
          <w:rFonts w:eastAsia="Times New Roman" w:cs="Calibri"/>
          <w:szCs w:val="20"/>
        </w:rPr>
        <w:t xml:space="preserve">Skuteczne przeciwdziałanie i zwalczanie tej przestępczości wymaga ścisłej współpracy organów ścigania z innymi organami administracji oraz </w:t>
      </w:r>
      <w:r w:rsidRPr="000973C0">
        <w:rPr>
          <w:rFonts w:eastAsia="Times New Roman" w:cs="Calibri"/>
        </w:rPr>
        <w:t>sektorem prywatnym, który ponosi straty w wyniku przestępstw gospodarczych</w:t>
      </w:r>
      <w:r w:rsidRPr="00F21196">
        <w:rPr>
          <w:rFonts w:eastAsia="Times New Roman" w:cs="Calibri"/>
          <w:szCs w:val="20"/>
        </w:rPr>
        <w:t xml:space="preserve">, a także bywa wykorzystywany w przestępczym procederze. </w:t>
      </w:r>
      <w:r w:rsidRPr="00F21196">
        <w:rPr>
          <w:rFonts w:eastAsia="Times New Roman" w:cs="Calibri"/>
          <w:lang w:eastAsia="pl-PL"/>
        </w:rPr>
        <w:t>Należy usprawniać</w:t>
      </w:r>
      <w:r>
        <w:rPr>
          <w:rFonts w:eastAsia="Times New Roman" w:cs="Calibri"/>
          <w:lang w:eastAsia="pl-PL"/>
        </w:rPr>
        <w:t xml:space="preserve"> również</w:t>
      </w:r>
      <w:r w:rsidRPr="00F21196">
        <w:rPr>
          <w:rFonts w:eastAsia="Times New Roman" w:cs="Calibri"/>
          <w:lang w:eastAsia="pl-PL"/>
        </w:rPr>
        <w:t xml:space="preserve"> proces odzyskiwania mienia pochodzącego z przestępstw. </w:t>
      </w:r>
    </w:p>
    <w:p w14:paraId="57D690E7" w14:textId="77777777" w:rsidR="00B53DEC" w:rsidRPr="00F21196" w:rsidRDefault="00B53DEC" w:rsidP="00B53DEC">
      <w:pPr>
        <w:spacing w:before="120" w:after="120" w:line="276" w:lineRule="auto"/>
        <w:jc w:val="both"/>
        <w:rPr>
          <w:rFonts w:cs="Arial"/>
          <w:szCs w:val="16"/>
        </w:rPr>
      </w:pPr>
      <w:r w:rsidRPr="00F21196">
        <w:rPr>
          <w:rFonts w:eastAsia="Times New Roman" w:cs="Calibri"/>
          <w:b/>
          <w:u w:val="single"/>
          <w:lang w:eastAsia="pl-PL"/>
        </w:rPr>
        <w:t>2.</w:t>
      </w:r>
      <w:r>
        <w:rPr>
          <w:rFonts w:eastAsia="Times New Roman" w:cs="Calibri"/>
          <w:b/>
          <w:u w:val="single"/>
          <w:lang w:eastAsia="pl-PL"/>
        </w:rPr>
        <w:t>3</w:t>
      </w:r>
      <w:r w:rsidRPr="00F21196">
        <w:rPr>
          <w:rFonts w:eastAsia="Times New Roman" w:cs="Calibri"/>
          <w:b/>
          <w:u w:val="single"/>
          <w:lang w:eastAsia="pl-PL"/>
        </w:rPr>
        <w:t xml:space="preserve">. </w:t>
      </w:r>
      <w:r w:rsidRPr="00F21196">
        <w:rPr>
          <w:rFonts w:cs="Calibri"/>
          <w:b/>
          <w:u w:val="single"/>
        </w:rPr>
        <w:t>Przeciwdziałanie i zwalczanie korupcji.</w:t>
      </w:r>
      <w:r>
        <w:rPr>
          <w:rFonts w:cs="Calibri"/>
          <w:b/>
          <w:u w:val="single"/>
        </w:rPr>
        <w:t xml:space="preserve"> </w:t>
      </w:r>
      <w:r w:rsidRPr="00F21196">
        <w:rPr>
          <w:rFonts w:cs="Arial"/>
          <w:szCs w:val="16"/>
        </w:rPr>
        <w:t>Pomimo rosnącej skuteczności służb państwowych w ściganiu tego rodzaju przestępczości, korupcja nadal jest poważnym problemem społecznym. Szczególnie groźne są zagrożenia korupcyjne w sektorze administracji państwowej i samorządowej oraz związane z działalnością gospodarczą.</w:t>
      </w:r>
    </w:p>
    <w:p w14:paraId="5D81D4A5" w14:textId="77777777" w:rsidR="00B53DEC" w:rsidRDefault="00B53DEC" w:rsidP="00B53DEC">
      <w:pPr>
        <w:autoSpaceDE w:val="0"/>
        <w:autoSpaceDN w:val="0"/>
        <w:adjustRightInd w:val="0"/>
        <w:spacing w:after="0" w:line="276" w:lineRule="auto"/>
        <w:jc w:val="both"/>
        <w:rPr>
          <w:rFonts w:cs="Arial"/>
          <w:szCs w:val="16"/>
        </w:rPr>
      </w:pPr>
      <w:r w:rsidRPr="00F21196">
        <w:rPr>
          <w:rFonts w:cs="Arial"/>
          <w:szCs w:val="16"/>
        </w:rPr>
        <w:t>Konieczne jest prowadzenie działań profilaktycznych, w tym edukacji antykorupcyjnej, skierowanej zarówno do ogółu społeczeństwa, jak i bezpośrednio do pracowników administracji publicznej oraz utrzymywanie i usprawnianie instrumentów prawnych umożliwiających skuteczne ściganie sprawców tego rodzaju przestępstw.</w:t>
      </w:r>
    </w:p>
    <w:p w14:paraId="58C798E7" w14:textId="77777777" w:rsidR="00B53DEC" w:rsidRPr="00F21196" w:rsidRDefault="00B53DEC" w:rsidP="00B53DEC">
      <w:pPr>
        <w:autoSpaceDE w:val="0"/>
        <w:autoSpaceDN w:val="0"/>
        <w:adjustRightInd w:val="0"/>
        <w:spacing w:after="0" w:line="276" w:lineRule="auto"/>
        <w:jc w:val="both"/>
        <w:rPr>
          <w:rFonts w:cs="Arial"/>
          <w:szCs w:val="16"/>
        </w:rPr>
      </w:pPr>
    </w:p>
    <w:p w14:paraId="7C41C363" w14:textId="77777777" w:rsidR="00B53DEC" w:rsidRPr="000C5BC9" w:rsidRDefault="00B53DEC" w:rsidP="00B53DEC">
      <w:pPr>
        <w:jc w:val="both"/>
      </w:pPr>
      <w:r w:rsidRPr="000C5BC9">
        <w:rPr>
          <w:b/>
          <w:u w:val="single"/>
        </w:rPr>
        <w:t>2.4. Przeciwdziałanie zagrożeniom w ruchu drogowym</w:t>
      </w:r>
      <w:r w:rsidRPr="000C5BC9">
        <w:rPr>
          <w:b/>
          <w:u w:val="single"/>
          <w:vertAlign w:val="superscript"/>
        </w:rPr>
        <w:footnoteReference w:id="117"/>
      </w:r>
      <w:r w:rsidRPr="000C5BC9">
        <w:rPr>
          <w:b/>
          <w:u w:val="single"/>
        </w:rPr>
        <w:t xml:space="preserve">. </w:t>
      </w:r>
      <w:r w:rsidRPr="000C5BC9">
        <w:t xml:space="preserve">Pomimo spadku liczby wypadków drogowych </w:t>
      </w:r>
      <w:r>
        <w:br/>
      </w:r>
      <w:r w:rsidRPr="000C5BC9">
        <w:t xml:space="preserve">i ich ofiar, zagrożenia w ruchu drogowym należą do najpoważniejszych i najbardziej zauważalnych dla Polaków. Zgodnie z wynikami </w:t>
      </w:r>
      <w:r w:rsidRPr="000C5BC9">
        <w:rPr>
          <w:i/>
        </w:rPr>
        <w:t>Polskiego Badania Przestępczości</w:t>
      </w:r>
      <w:r w:rsidRPr="000C5BC9">
        <w:t xml:space="preserve"> z ostatnich lat, wśród wszystkich definiowanych zagrożeń, brawurowo jeżdżący kierowcy zazwyczaj znajdowali się na pierwszym lub drugim miejscu</w:t>
      </w:r>
      <w:r w:rsidRPr="000C5BC9">
        <w:rPr>
          <w:vertAlign w:val="superscript"/>
        </w:rPr>
        <w:footnoteReference w:id="118"/>
      </w:r>
      <w:r w:rsidRPr="000C5BC9">
        <w:t>.</w:t>
      </w:r>
    </w:p>
    <w:p w14:paraId="01F19545" w14:textId="77777777" w:rsidR="00B53DEC" w:rsidRPr="000C5BC9" w:rsidRDefault="00B53DEC" w:rsidP="00B53DEC">
      <w:pPr>
        <w:jc w:val="both"/>
      </w:pPr>
      <w:r w:rsidRPr="000C5BC9">
        <w:t xml:space="preserve">W Polsce, gdzie liczba ofiar wypadków drogowych jest nadal stosunkowo wysoka, konieczne są szczególnie intensywne działania na rzecz poprawy bezpieczeństwa na drogach, z uwzględnieniem lokalnych uwarunkowań i zagrożeń. </w:t>
      </w:r>
    </w:p>
    <w:p w14:paraId="2BF8258D" w14:textId="77777777" w:rsidR="00B53DEC" w:rsidRPr="000C5BC9" w:rsidRDefault="00B53DEC" w:rsidP="00B53DEC">
      <w:pPr>
        <w:spacing w:after="0"/>
        <w:jc w:val="both"/>
      </w:pPr>
      <w:r>
        <w:t>Prowadzone</w:t>
      </w:r>
      <w:r w:rsidRPr="000C5BC9">
        <w:t xml:space="preserve"> </w:t>
      </w:r>
      <w:r>
        <w:t xml:space="preserve">są </w:t>
      </w:r>
      <w:r w:rsidRPr="000C5BC9">
        <w:t xml:space="preserve">działania w 5 płaszczyznach: bezpieczne zachowania uczestników ruchu, bezpieczna infrastruktura drogowa, bezpieczna prędkość, bezpieczne pojazdy, system ratownictwa i pomocy medycznej. Zamierzenia te obejmą: </w:t>
      </w:r>
    </w:p>
    <w:p w14:paraId="69C54F84" w14:textId="77777777" w:rsidR="00B53DEC" w:rsidRPr="000C5BC9" w:rsidRDefault="00B53DEC" w:rsidP="00723B3F">
      <w:pPr>
        <w:numPr>
          <w:ilvl w:val="0"/>
          <w:numId w:val="12"/>
        </w:numPr>
        <w:spacing w:after="0"/>
        <w:ind w:left="426"/>
        <w:jc w:val="both"/>
      </w:pPr>
      <w:r w:rsidRPr="000C5BC9">
        <w:t>inżynierię – rozwiązania techniczne zarówno sieci drogowej, które podnoszą bezpieczeństwo dróg i sprawiają, że drogi „wybaczają” ludzkie błędy, jak i pojazdów, które chronią kierowców, pasażerów i pozostałych uczestników ruchu oraz zmniejszają ewentualne szkody zdarzenia,</w:t>
      </w:r>
    </w:p>
    <w:p w14:paraId="51885BC2" w14:textId="77777777" w:rsidR="00B53DEC" w:rsidRPr="000C5BC9" w:rsidRDefault="00B53DEC" w:rsidP="00723B3F">
      <w:pPr>
        <w:numPr>
          <w:ilvl w:val="0"/>
          <w:numId w:val="12"/>
        </w:numPr>
        <w:spacing w:after="0"/>
        <w:ind w:left="426"/>
        <w:jc w:val="both"/>
      </w:pPr>
      <w:r w:rsidRPr="000C5BC9">
        <w:t>nadzór – mający na celu egzekwowanie przestrzegania przepisów,</w:t>
      </w:r>
    </w:p>
    <w:p w14:paraId="77351563" w14:textId="77777777" w:rsidR="00B53DEC" w:rsidRDefault="00B53DEC" w:rsidP="00723B3F">
      <w:pPr>
        <w:numPr>
          <w:ilvl w:val="0"/>
          <w:numId w:val="12"/>
        </w:numPr>
        <w:spacing w:after="0"/>
        <w:ind w:left="426"/>
        <w:jc w:val="both"/>
      </w:pPr>
      <w:r w:rsidRPr="000C5BC9">
        <w:t>edukację – podnoszenie świadomości bezpieczeństwa ruchu drogowego przez poznanie i  zrozumienie ryzyka, której celem jest zmiana postaw i zachowań.</w:t>
      </w:r>
    </w:p>
    <w:p w14:paraId="4A827718" w14:textId="77777777" w:rsidR="00B53DEC" w:rsidRPr="000C5BC9" w:rsidRDefault="00B53DEC" w:rsidP="00B53DEC">
      <w:pPr>
        <w:jc w:val="both"/>
      </w:pPr>
      <w:r w:rsidRPr="00E12665">
        <w:t xml:space="preserve">Należy zapewnić sprawność działań </w:t>
      </w:r>
      <w:r>
        <w:t xml:space="preserve">Policji </w:t>
      </w:r>
      <w:r w:rsidRPr="00E12665">
        <w:t xml:space="preserve">w zapobieganiu i egzekwowaniu naruszeń przepisów </w:t>
      </w:r>
      <w:r>
        <w:t>ruchu drogowego</w:t>
      </w:r>
      <w:r w:rsidRPr="00E12665">
        <w:t xml:space="preserve"> w obszarach o najwyższym </w:t>
      </w:r>
      <w:r>
        <w:t>stopniu zagrożenia</w:t>
      </w:r>
      <w:r w:rsidRPr="00E12665">
        <w:t xml:space="preserve"> utraty życia i zdrowia uczestników ruchu drogowego jak również utrzymywać właściwą liczbę policyjnych widocznych patroli na drogach, która zapewni odpowiednie odziaływanie prewencyjne na drogach. Ponadto, należy zapewnić odpowiednie wyposażenie Policji, szczególnie w nowoczesny sprzęt umożliwiający rejestrowanie zachowań kierujących pojazdami oraz zapewnić efektywne działanie baz zawiera</w:t>
      </w:r>
      <w:r>
        <w:t>jących dane na temat kierowców</w:t>
      </w:r>
      <w:r w:rsidRPr="00E12665">
        <w:t xml:space="preserve"> naruszających prawo. Należy usprawnić procedury</w:t>
      </w:r>
      <w:r>
        <w:t xml:space="preserve"> postepowania</w:t>
      </w:r>
      <w:r w:rsidRPr="00E12665">
        <w:t xml:space="preserve"> dotyczące rozliczania za popełnione naruszenia.</w:t>
      </w:r>
      <w:r>
        <w:t xml:space="preserve">   </w:t>
      </w:r>
    </w:p>
    <w:p w14:paraId="0A1F9E93" w14:textId="77777777" w:rsidR="00B53DEC" w:rsidRPr="00F21196" w:rsidRDefault="00B53DEC" w:rsidP="00B53DEC">
      <w:pPr>
        <w:spacing w:after="0" w:line="276" w:lineRule="auto"/>
        <w:rPr>
          <w:rFonts w:cs="Calibri"/>
          <w:b/>
          <w:u w:val="single"/>
        </w:rPr>
      </w:pPr>
      <w:r w:rsidRPr="00F21196">
        <w:rPr>
          <w:rFonts w:eastAsia="Times New Roman" w:cs="Calibri"/>
          <w:b/>
          <w:u w:val="single"/>
          <w:lang w:eastAsia="pl-PL"/>
        </w:rPr>
        <w:t>2.</w:t>
      </w:r>
      <w:r>
        <w:rPr>
          <w:rFonts w:eastAsia="Times New Roman" w:cs="Calibri"/>
          <w:b/>
          <w:u w:val="single"/>
          <w:lang w:eastAsia="pl-PL"/>
        </w:rPr>
        <w:t>5</w:t>
      </w:r>
      <w:r w:rsidRPr="00F21196">
        <w:rPr>
          <w:rFonts w:eastAsia="Times New Roman" w:cs="Calibri"/>
          <w:b/>
          <w:u w:val="single"/>
          <w:lang w:eastAsia="pl-PL"/>
        </w:rPr>
        <w:t xml:space="preserve">. </w:t>
      </w:r>
      <w:r w:rsidRPr="00F21196">
        <w:rPr>
          <w:rFonts w:cs="Calibri"/>
          <w:b/>
          <w:u w:val="single"/>
        </w:rPr>
        <w:t>Ograniczanie przestępczości narkotykowej.</w:t>
      </w:r>
    </w:p>
    <w:p w14:paraId="7A13327C" w14:textId="77777777" w:rsidR="00B53DEC" w:rsidRPr="00F21196" w:rsidRDefault="00B53DEC" w:rsidP="00B53DEC">
      <w:pPr>
        <w:spacing w:line="276" w:lineRule="auto"/>
        <w:jc w:val="both"/>
        <w:rPr>
          <w:rFonts w:eastAsia="Times New Roman" w:cs="Calibri"/>
        </w:rPr>
      </w:pPr>
      <w:r w:rsidRPr="00F21196">
        <w:rPr>
          <w:rFonts w:eastAsia="Times New Roman" w:cs="Calibri"/>
        </w:rPr>
        <w:t xml:space="preserve">Przestępczość narkotykowa przynosi negatywne skutki społeczne i stanowi poważne źródło dochodów przestępczości zorganizowanej. Działania </w:t>
      </w:r>
      <w:r w:rsidRPr="00F21196">
        <w:t xml:space="preserve">określone w SSP 2020/2030 są powiązane z </w:t>
      </w:r>
      <w:r w:rsidRPr="00F21196">
        <w:rPr>
          <w:rFonts w:eastAsia="Times New Roman" w:cs="Calibri"/>
        </w:rPr>
        <w:t>działaniami wynikającymi z aktualizowanej Strategii Rozwoju Kapitału Ludzkiego 2020.</w:t>
      </w:r>
    </w:p>
    <w:p w14:paraId="4D84AB05" w14:textId="77777777" w:rsidR="00B53DEC" w:rsidRPr="00F21196" w:rsidRDefault="00B53DEC" w:rsidP="00B53DEC">
      <w:pPr>
        <w:widowControl w:val="0"/>
        <w:spacing w:line="276" w:lineRule="auto"/>
        <w:jc w:val="both"/>
        <w:rPr>
          <w:rFonts w:eastAsia="Times New Roman" w:cs="Calibri"/>
        </w:rPr>
      </w:pPr>
      <w:r w:rsidRPr="00F21196">
        <w:rPr>
          <w:rFonts w:eastAsia="Times New Roman" w:cs="Calibri"/>
        </w:rPr>
        <w:t>Konieczne jest doskonalenie kwalifikacji funkcjonariuszy służb państwowych, skuteczne współdziałanie Policji i innych służb, Głównego Inspektora Sanitarnego oraz instytucji państwowych w zakresie zwalczania i przeciwdziałania przestępczości narkotykowej. Niezbędne jest prowadzenie efektywnych działań profilaktyczno-prewencyjnych, zwiększania świadomości społecznej w zakresie skutków prawnych i społecznych udziału w obrocie narkotykami oraz skutków zdrowotnych i psychologicznych związanych z używaniem substancji psychoaktywnych.</w:t>
      </w:r>
    </w:p>
    <w:p w14:paraId="75A1AEE9" w14:textId="77777777" w:rsidR="00B53DEC" w:rsidRPr="00F21196" w:rsidRDefault="00B53DEC" w:rsidP="00B53DEC">
      <w:pPr>
        <w:spacing w:after="0" w:line="276" w:lineRule="auto"/>
        <w:rPr>
          <w:rFonts w:cs="Arial,BoldItalic"/>
          <w:b/>
          <w:bCs/>
          <w:iCs/>
          <w:u w:val="single"/>
        </w:rPr>
      </w:pPr>
      <w:r w:rsidRPr="00F21196">
        <w:rPr>
          <w:rFonts w:eastAsia="Times New Roman" w:cs="Calibri"/>
          <w:b/>
          <w:u w:val="single"/>
          <w:lang w:eastAsia="pl-PL"/>
        </w:rPr>
        <w:t>2.</w:t>
      </w:r>
      <w:r>
        <w:rPr>
          <w:rFonts w:eastAsia="Times New Roman" w:cs="Calibri"/>
          <w:b/>
          <w:u w:val="single"/>
          <w:lang w:eastAsia="pl-PL"/>
        </w:rPr>
        <w:t>6</w:t>
      </w:r>
      <w:r w:rsidRPr="00F21196">
        <w:rPr>
          <w:rFonts w:eastAsia="Times New Roman" w:cs="Calibri"/>
          <w:b/>
          <w:u w:val="single"/>
          <w:lang w:eastAsia="pl-PL"/>
        </w:rPr>
        <w:t xml:space="preserve">. </w:t>
      </w:r>
      <w:r w:rsidRPr="00F21196">
        <w:rPr>
          <w:rFonts w:cs="Arial,BoldItalic"/>
          <w:b/>
          <w:bCs/>
          <w:iCs/>
          <w:u w:val="single"/>
        </w:rPr>
        <w:t>Zapewnienie bezpieczeństwa imprez masowych.</w:t>
      </w:r>
    </w:p>
    <w:p w14:paraId="56C02784" w14:textId="77777777" w:rsidR="00B53DEC" w:rsidRPr="00F21196" w:rsidRDefault="00B53DEC" w:rsidP="00B53DEC">
      <w:pPr>
        <w:spacing w:line="276" w:lineRule="auto"/>
        <w:jc w:val="both"/>
        <w:rPr>
          <w:rFonts w:cs="Arial,BoldItalic"/>
          <w:b/>
          <w:bCs/>
          <w:i/>
          <w:iCs/>
          <w:u w:val="single"/>
        </w:rPr>
      </w:pPr>
      <w:r w:rsidRPr="00F21196">
        <w:rPr>
          <w:rFonts w:eastAsia="Times New Roman"/>
          <w:kern w:val="28"/>
          <w:lang w:eastAsia="pl-PL"/>
          <w14:cntxtAlts/>
        </w:rPr>
        <w:t>Doświadczenia ostatnich lat wskazują na skuteczność stosowania tzw. zintegrowanego podejścia (czyli ciągłej współpracy organizatorów imprez, Policji i przedstawicieli administracji centralnej, terenowej i samorządowej). Jednym z efektów tej strategii jest systematyczne podnoszenie jakości pracy organizatorów imprez masowych.</w:t>
      </w:r>
    </w:p>
    <w:p w14:paraId="24B8CAFF" w14:textId="77777777" w:rsidR="00B53DEC" w:rsidRPr="00F21196" w:rsidRDefault="00B53DEC" w:rsidP="00B53DEC">
      <w:pPr>
        <w:widowControl w:val="0"/>
        <w:spacing w:line="276" w:lineRule="auto"/>
        <w:jc w:val="both"/>
        <w:rPr>
          <w:rFonts w:eastAsia="Times New Roman"/>
          <w:kern w:val="28"/>
          <w:lang w:eastAsia="pl-PL"/>
          <w14:cntxtAlts/>
        </w:rPr>
      </w:pPr>
      <w:r w:rsidRPr="00F21196">
        <w:rPr>
          <w:rFonts w:eastAsia="Times New Roman"/>
          <w:kern w:val="28"/>
          <w:lang w:eastAsia="pl-PL"/>
          <w14:cntxtAlts/>
        </w:rPr>
        <w:t>Większość kibiców nastawionych jest na bezpieczne i zgodne z prawem przeżywanie widowiska sportowego i emocji z tym związanych. Środowisko tzw. pseudokibiców, którzy zakłócają porządek podczas meczów piłkarskich stanowi jedynie margines, przy czym ich zachowania przyciągają uwagę opinii publicznej. Działania Policji skupiają się na identyfikowaniu i ściganiu takich osób, bez stygmatyzowania całości środowiska kibicowskiego.</w:t>
      </w:r>
    </w:p>
    <w:p w14:paraId="60505C85" w14:textId="77777777" w:rsidR="00B53DEC" w:rsidRPr="00F21196" w:rsidRDefault="00B53DEC" w:rsidP="00B53DEC">
      <w:pPr>
        <w:widowControl w:val="0"/>
        <w:spacing w:line="276" w:lineRule="auto"/>
        <w:jc w:val="both"/>
        <w:rPr>
          <w:rFonts w:eastAsia="Times New Roman"/>
          <w:kern w:val="28"/>
          <w:lang w:eastAsia="pl-PL"/>
          <w14:cntxtAlts/>
        </w:rPr>
      </w:pPr>
      <w:r w:rsidRPr="00F21196">
        <w:rPr>
          <w:rFonts w:eastAsia="Times New Roman"/>
          <w:kern w:val="28"/>
          <w:lang w:eastAsia="pl-PL"/>
          <w14:cntxtAlts/>
        </w:rPr>
        <w:t>Najistotniejszymi problemami w zakresie bezpieczeństwa imprez sportowych są naruszenia prawa na meczach niższych klas rozgrywkowych, terenach wokół stadionów piłkarskich oraz w miejscach, przez które prowadzą główne trasy przejścia lub przejazdu uczestników imprez.</w:t>
      </w:r>
    </w:p>
    <w:p w14:paraId="05FA49E3" w14:textId="77777777" w:rsidR="00B53DEC" w:rsidRPr="00F21196" w:rsidRDefault="00B53DEC" w:rsidP="00B53DEC">
      <w:pPr>
        <w:widowControl w:val="0"/>
        <w:spacing w:line="276" w:lineRule="auto"/>
        <w:jc w:val="both"/>
        <w:rPr>
          <w:rFonts w:cs="Arial"/>
          <w:szCs w:val="16"/>
        </w:rPr>
      </w:pPr>
      <w:r w:rsidRPr="00F21196">
        <w:rPr>
          <w:rFonts w:cs="Arial"/>
          <w:szCs w:val="16"/>
        </w:rPr>
        <w:t>Konieczne jest osiągnięcie takiego poziomu bezpieczeństwa, w którym przebieg widowisk sportowych, jak również imprez</w:t>
      </w:r>
      <w:r w:rsidRPr="00F21196">
        <w:rPr>
          <w:rFonts w:eastAsia="Times New Roman"/>
          <w:kern w:val="28"/>
          <w:sz w:val="32"/>
          <w:lang w:eastAsia="pl-PL"/>
          <w14:cntxtAlts/>
        </w:rPr>
        <w:t xml:space="preserve"> </w:t>
      </w:r>
      <w:r w:rsidRPr="00F21196">
        <w:rPr>
          <w:rFonts w:cs="Arial"/>
          <w:szCs w:val="16"/>
        </w:rPr>
        <w:t>artystyczno-rozrywkowych, umożliwi skupienie uwagi widzów wyłącznie na sportowej rywalizacji czy też wrażeniach</w:t>
      </w:r>
      <w:r w:rsidRPr="00F21196">
        <w:rPr>
          <w:rFonts w:eastAsia="Times New Roman"/>
          <w:kern w:val="28"/>
          <w:sz w:val="32"/>
          <w:lang w:eastAsia="pl-PL"/>
          <w14:cntxtAlts/>
        </w:rPr>
        <w:t xml:space="preserve"> </w:t>
      </w:r>
      <w:r w:rsidRPr="00F21196">
        <w:rPr>
          <w:rFonts w:cs="Arial"/>
          <w:szCs w:val="16"/>
        </w:rPr>
        <w:t>artystycznych.</w:t>
      </w:r>
      <w:r w:rsidRPr="00F21196">
        <w:rPr>
          <w:rFonts w:eastAsia="Times New Roman"/>
          <w:kern w:val="28"/>
          <w:sz w:val="32"/>
          <w:lang w:eastAsia="pl-PL"/>
          <w14:cntxtAlts/>
        </w:rPr>
        <w:t xml:space="preserve"> </w:t>
      </w:r>
      <w:r w:rsidRPr="00F21196">
        <w:rPr>
          <w:rFonts w:cs="Arial"/>
          <w:szCs w:val="16"/>
        </w:rPr>
        <w:t xml:space="preserve">Konieczne jest </w:t>
      </w:r>
      <w:r w:rsidRPr="00F21196">
        <w:rPr>
          <w:rFonts w:cs="Arial,Bold"/>
          <w:bCs/>
          <w:szCs w:val="16"/>
        </w:rPr>
        <w:t xml:space="preserve">podnoszenie kwalifikacji kadry policyjnej </w:t>
      </w:r>
      <w:r w:rsidRPr="00F21196">
        <w:rPr>
          <w:rFonts w:cs="Arial"/>
          <w:szCs w:val="16"/>
        </w:rPr>
        <w:t>w zakresie przygotowywania, realizacji akcji i operacji policyjnych, stałe szkolenie służb prewencji Policji na wypadek konieczności podjęcia działań wobec zakłóceń</w:t>
      </w:r>
      <w:r w:rsidRPr="00F21196">
        <w:rPr>
          <w:rFonts w:eastAsia="Times New Roman"/>
          <w:kern w:val="28"/>
          <w:sz w:val="32"/>
          <w:lang w:eastAsia="pl-PL"/>
          <w14:cntxtAlts/>
        </w:rPr>
        <w:t xml:space="preserve"> </w:t>
      </w:r>
      <w:r w:rsidRPr="00F21196">
        <w:rPr>
          <w:rFonts w:cs="Arial"/>
          <w:szCs w:val="16"/>
        </w:rPr>
        <w:t xml:space="preserve">porządku publicznego oraz racjonalizacja kosztów zabezpieczania imprez masowych. </w:t>
      </w:r>
    </w:p>
    <w:p w14:paraId="6DF14EB2" w14:textId="77777777" w:rsidR="00B53DEC" w:rsidRPr="00666C12" w:rsidRDefault="00B53DEC" w:rsidP="00B53DEC">
      <w:pPr>
        <w:spacing w:after="0" w:line="276" w:lineRule="auto"/>
        <w:jc w:val="both"/>
        <w:rPr>
          <w:rFonts w:eastAsia="Times New Roman" w:cs="Calibri"/>
          <w:lang w:eastAsia="pl-PL"/>
        </w:rPr>
      </w:pPr>
      <w:r w:rsidRPr="00F21196">
        <w:rPr>
          <w:rFonts w:eastAsia="Times New Roman" w:cs="Calibri"/>
          <w:b/>
          <w:u w:val="single"/>
          <w:lang w:eastAsia="pl-PL"/>
        </w:rPr>
        <w:t>2</w:t>
      </w:r>
      <w:r w:rsidRPr="00666C12">
        <w:rPr>
          <w:rFonts w:eastAsia="Times New Roman" w:cs="Calibri"/>
          <w:b/>
          <w:u w:val="single"/>
          <w:lang w:eastAsia="pl-PL"/>
        </w:rPr>
        <w:t xml:space="preserve">.7. Zwiększenie bezpieczeństwa jednostek penitencjarnych i efektywności oddziaływań resocjalizacyjnych oraz podniesienie profesjonalizmu kadry służby więziennej </w:t>
      </w:r>
      <w:r w:rsidRPr="001C1CBE">
        <w:rPr>
          <w:rFonts w:eastAsia="Times New Roman" w:cs="Calibri"/>
          <w:b/>
          <w:u w:val="single"/>
          <w:lang w:eastAsia="pl-PL"/>
        </w:rPr>
        <w:t xml:space="preserve">i </w:t>
      </w:r>
      <w:r w:rsidRPr="001C1CBE">
        <w:rPr>
          <w:rFonts w:eastAsia="Times New Roman" w:cs="Times New Roman"/>
          <w:b/>
          <w:u w:val="single"/>
        </w:rPr>
        <w:t>kuratorskiej służby sądowej</w:t>
      </w:r>
      <w:r w:rsidRPr="00666C12">
        <w:rPr>
          <w:rFonts w:eastAsia="Times New Roman" w:cs="Calibri"/>
          <w:b/>
          <w:u w:val="single"/>
          <w:lang w:eastAsia="pl-PL"/>
        </w:rPr>
        <w:t xml:space="preserve">. </w:t>
      </w:r>
      <w:r w:rsidRPr="00666C12">
        <w:rPr>
          <w:rFonts w:eastAsia="Times New Roman" w:cs="Calibri"/>
          <w:lang w:eastAsia="pl-PL"/>
        </w:rPr>
        <w:t xml:space="preserve">Nowoczesny system kształcenia funkcjonariuszy Służby Więziennej, obejmujący zagadnienia związane z bezpieczeństwem państwa oraz kształtowaniem sylwetki zawodowej funkcjonariusza, zostanie osiągnięty przez rozwój </w:t>
      </w:r>
      <w:r w:rsidRPr="007B5027">
        <w:rPr>
          <w:rFonts w:eastAsia="Times New Roman" w:cs="Calibri"/>
          <w:lang w:eastAsia="pl-PL"/>
        </w:rPr>
        <w:t>uczelni Służby Więziennej – Wyższej Szkoły Kryminologii i Penitencjarystyki w Warszawie</w:t>
      </w:r>
      <w:r w:rsidRPr="00666C12">
        <w:rPr>
          <w:rFonts w:eastAsia="Times New Roman" w:cs="Calibri"/>
          <w:lang w:eastAsia="pl-PL"/>
        </w:rPr>
        <w:t>, realizowany m.in. poprzez działalność badawczo-rozwojową oraz wymianę doświadczeń na polu edukacji penitencjarnej w drodze współpracy międzynarodowej. Podniesienie kompetencji zawodowych kadry uczelni przyczyni się do zwiększenia poziomu wyszkolenia funkcjonariuszy Służby Więziennej</w:t>
      </w:r>
      <w:r>
        <w:rPr>
          <w:rFonts w:eastAsia="Times New Roman" w:cs="Calibri"/>
          <w:lang w:eastAsia="pl-PL"/>
        </w:rPr>
        <w:t>,</w:t>
      </w:r>
      <w:r w:rsidRPr="00666C12">
        <w:rPr>
          <w:rFonts w:eastAsia="Times New Roman" w:cs="Calibri"/>
          <w:lang w:eastAsia="pl-PL"/>
        </w:rPr>
        <w:t xml:space="preserve"> co będzie miało wpływ na zmniejszenie wskaźnika powrotności do przestępstwa. Powołanie pierwszej uczelni zawodowej służb państwowych, utworzonej przez Ministra Sprawiedliwości umożliwi także określenie poziomu kształcenia mediatorów oraz standaryzację ich kwalifikacji.</w:t>
      </w:r>
    </w:p>
    <w:p w14:paraId="5D64FC92" w14:textId="77777777" w:rsidR="00B53DEC" w:rsidRPr="00666C12" w:rsidRDefault="00B53DEC" w:rsidP="00B53DEC">
      <w:pPr>
        <w:spacing w:after="120" w:line="276" w:lineRule="auto"/>
        <w:jc w:val="both"/>
        <w:rPr>
          <w:rFonts w:eastAsia="Times New Roman" w:cs="Calibri"/>
          <w:lang w:eastAsia="pl-PL"/>
        </w:rPr>
      </w:pPr>
      <w:r w:rsidRPr="00666C12">
        <w:rPr>
          <w:rFonts w:eastAsia="Times New Roman" w:cs="Calibri"/>
          <w:lang w:eastAsia="pl-PL"/>
        </w:rPr>
        <w:t xml:space="preserve">Stworzenie optymalnych warunków do realizacji zadań ustawowych oraz istotna poprawa sprawności i skuteczności działania przy wykonywaniu czynności administracyjnych związanych z pozbawieniem wolności, pozwoli na podniesienie poziomu bezpieczeństwa wewnętrznego państwa i ochrony obywateli oraz poprawę standardów wykonywania kary pozbawienia wolności i tymczasowego aresztowania. </w:t>
      </w:r>
    </w:p>
    <w:p w14:paraId="063A5B43" w14:textId="77777777" w:rsidR="00B53DEC" w:rsidRPr="00666C12" w:rsidRDefault="00B53DEC" w:rsidP="00B53DEC">
      <w:pPr>
        <w:spacing w:after="120" w:line="276" w:lineRule="auto"/>
        <w:jc w:val="both"/>
        <w:rPr>
          <w:rFonts w:eastAsia="Times New Roman" w:cs="Calibri"/>
          <w:lang w:eastAsia="pl-PL"/>
        </w:rPr>
      </w:pPr>
      <w:r w:rsidRPr="00666C12">
        <w:rPr>
          <w:rFonts w:eastAsia="Times New Roman" w:cs="Calibri"/>
          <w:lang w:eastAsia="pl-PL"/>
        </w:rPr>
        <w:t xml:space="preserve">Zwiększenie poziomu bezpieczeństwa zakładów karnych i aresztów śledczych nastąpi przez ich doposażenie w odpowiedni sprzęt oraz poprawę warunków pełnienia służby przez funkcjonariuszy Służby Więziennej. Dzięki modernizacji sprzętu informatycznego oraz przeszkoleniu pracowników możliwe będzie utrzymanie ciągłości pracy systemów informatycznych użytkowanych w Służbie Więziennej, z których zasobów korzystają również inne instytucje odpowiedzialne za utrzymanie porządku publicznego w kraju. Usprawnienie funkcjonowania jednostek organizacyjnych SW będzie następowało także przez modernizację i efektywniejsze wykorzystanie eksploatowanych aplikacji i systemów teleinformatycznych. </w:t>
      </w:r>
    </w:p>
    <w:p w14:paraId="07CBD43D" w14:textId="77777777" w:rsidR="00B53DEC" w:rsidRPr="00666C12" w:rsidRDefault="00B53DEC" w:rsidP="00B53DEC">
      <w:pPr>
        <w:spacing w:after="120" w:line="276" w:lineRule="auto"/>
        <w:jc w:val="both"/>
        <w:rPr>
          <w:rFonts w:eastAsia="Times New Roman" w:cs="Calibri"/>
          <w:lang w:eastAsia="pl-PL"/>
        </w:rPr>
      </w:pPr>
      <w:r w:rsidRPr="00666C12">
        <w:rPr>
          <w:rFonts w:eastAsia="Times New Roman" w:cs="Calibri"/>
          <w:lang w:eastAsia="pl-PL"/>
        </w:rPr>
        <w:t>Działania na rzecz skutecznej prokuratury spowodują usprawnienie zwalczania przestępczości kryminalnej poprzez rozbudowę systemów wspomagających prowadzenie analizy kryminalnej m.in. w sprawach gospodarczych i cyberprzestępczości, usprawnieniu wymiany danych poprzez zaprojektowanie i wdrożenie portalu wewnętrznego oraz mechanizmów umożliwiających udostępnianie zdigitalizowanych a</w:t>
      </w:r>
      <w:r>
        <w:rPr>
          <w:rFonts w:eastAsia="Times New Roman" w:cs="Calibri"/>
          <w:lang w:eastAsia="pl-PL"/>
        </w:rPr>
        <w:t>kt postępowań przygotowawczych s</w:t>
      </w:r>
      <w:r w:rsidRPr="00666C12">
        <w:rPr>
          <w:rFonts w:eastAsia="Times New Roman" w:cs="Calibri"/>
          <w:lang w:eastAsia="pl-PL"/>
        </w:rPr>
        <w:t>ądom, Policji i stronom postępowań dla podniesienia skuteczności prowadzonych przez prokuraturę postępowań przygotowawczych.</w:t>
      </w:r>
    </w:p>
    <w:p w14:paraId="3199D2CC" w14:textId="77777777" w:rsidR="00B53DEC" w:rsidRPr="00666C12" w:rsidRDefault="00B53DEC" w:rsidP="00B53DEC">
      <w:pPr>
        <w:spacing w:line="276" w:lineRule="auto"/>
        <w:jc w:val="both"/>
        <w:rPr>
          <w:rFonts w:eastAsia="Times New Roman" w:cs="Calibri"/>
          <w:strike/>
          <w:lang w:eastAsia="pl-PL"/>
        </w:rPr>
      </w:pPr>
      <w:r w:rsidRPr="00666C12">
        <w:rPr>
          <w:rFonts w:cs="Tahoma"/>
        </w:rPr>
        <w:t xml:space="preserve">Ponadto podejmowane w ramach kierunku interwencji 2.7 przedsięwzięcia będą ukierunkowane na zwiększenie skuteczności resocjalizacji osób poddanych oddziaływaniom probacyjnym. </w:t>
      </w:r>
    </w:p>
    <w:p w14:paraId="75389D25" w14:textId="77777777" w:rsidR="00B53DEC" w:rsidRDefault="00B53DEC" w:rsidP="00B53DEC">
      <w:pPr>
        <w:spacing w:line="276" w:lineRule="auto"/>
        <w:jc w:val="both"/>
        <w:rPr>
          <w:rFonts w:eastAsia="Times New Roman" w:cstheme="minorHAnsi"/>
        </w:rPr>
      </w:pPr>
      <w:r w:rsidRPr="00666C12">
        <w:rPr>
          <w:rFonts w:eastAsia="Times New Roman" w:cstheme="minorHAnsi"/>
        </w:rPr>
        <w:t xml:space="preserve">W stosunku do kuratorskiej służby sądowej będą inicjowane zmiany legislacyjne, które usprawnią funkcjonowanie kuratorskiej służby sądowej, a tym samym przyczynią się do podniesienia jakości i efektywności pracy kuratorów sądowych oraz zracjonalizowania kosztów funkcjonowania wymiaru sprawiedliwości w obszarze wykonywania orzeczeń karnych, rodzinnych i nieletnich. </w:t>
      </w:r>
    </w:p>
    <w:p w14:paraId="17F187C2" w14:textId="77777777" w:rsidR="00B53DEC" w:rsidRDefault="00B53DEC" w:rsidP="00B53DEC">
      <w:pPr>
        <w:spacing w:line="276" w:lineRule="auto"/>
        <w:jc w:val="both"/>
        <w:rPr>
          <w:rFonts w:eastAsia="Times New Roman" w:cstheme="minorHAnsi"/>
        </w:rPr>
      </w:pPr>
    </w:p>
    <w:p w14:paraId="27F1E5EF" w14:textId="77777777" w:rsidR="00B53DEC" w:rsidRPr="00404A84" w:rsidRDefault="00B53DEC" w:rsidP="00B53DEC">
      <w:pPr>
        <w:shd w:val="clear" w:color="auto" w:fill="D0CECE" w:themeFill="background2" w:themeFillShade="E6"/>
        <w:spacing w:after="0" w:line="276" w:lineRule="auto"/>
        <w:jc w:val="both"/>
        <w:rPr>
          <w:rFonts w:cs="Calibri"/>
          <w:b/>
        </w:rPr>
      </w:pPr>
      <w:r w:rsidRPr="00404A84">
        <w:rPr>
          <w:rFonts w:cs="Calibri"/>
          <w:b/>
        </w:rPr>
        <w:t xml:space="preserve">Kierunek interwencji 3. </w:t>
      </w:r>
    </w:p>
    <w:p w14:paraId="060ECE1B" w14:textId="77777777" w:rsidR="00B53DEC" w:rsidRPr="00404A84" w:rsidRDefault="00B53DEC" w:rsidP="00B53DEC">
      <w:pPr>
        <w:pStyle w:val="NormalnyGaramond"/>
        <w:pBdr>
          <w:bottom w:val="single" w:sz="24" w:space="1" w:color="9CC2E5" w:themeColor="accent1" w:themeTint="99"/>
        </w:pBdr>
        <w:shd w:val="clear" w:color="auto" w:fill="D0CECE" w:themeFill="background2" w:themeFillShade="E6"/>
        <w:spacing w:line="276" w:lineRule="auto"/>
        <w:ind w:firstLine="0"/>
        <w:jc w:val="center"/>
        <w:rPr>
          <w:rFonts w:asciiTheme="minorHAnsi" w:hAnsiTheme="minorHAnsi" w:cs="Calibri"/>
          <w:b/>
          <w:i/>
          <w:sz w:val="22"/>
          <w:szCs w:val="22"/>
        </w:rPr>
      </w:pPr>
      <w:r w:rsidRPr="00404A84">
        <w:rPr>
          <w:rFonts w:asciiTheme="minorHAnsi" w:hAnsiTheme="minorHAnsi" w:cs="Calibri"/>
          <w:b/>
          <w:i/>
          <w:sz w:val="22"/>
          <w:szCs w:val="22"/>
        </w:rPr>
        <w:t>Ratownictwo, ochrona ludności i zarządzanie kryzysowe</w:t>
      </w:r>
    </w:p>
    <w:p w14:paraId="010591D8" w14:textId="77777777" w:rsidR="00B53DEC" w:rsidRPr="001B5959" w:rsidRDefault="00B53DEC" w:rsidP="00B53DEC">
      <w:pPr>
        <w:spacing w:after="0" w:line="276" w:lineRule="auto"/>
        <w:jc w:val="both"/>
        <w:rPr>
          <w:rFonts w:cs="Arial"/>
        </w:rPr>
      </w:pPr>
      <w:r w:rsidRPr="001B5959">
        <w:rPr>
          <w:b/>
          <w:u w:val="single"/>
        </w:rPr>
        <w:t>3.1. Wprowadzenie nowych rozwiązań rangi ustawowej w zakresie integracji funkcjonujących systemów ratowniczych oraz ochrony ludności</w:t>
      </w:r>
      <w:r>
        <w:rPr>
          <w:b/>
          <w:u w:val="single"/>
        </w:rPr>
        <w:t xml:space="preserve">. </w:t>
      </w:r>
      <w:r w:rsidRPr="001B5959">
        <w:t xml:space="preserve">Współczesne wyzwania i zagrożenia bezpieczeństwa powszechnego dotyczą zarówno zagrożeń naturalnych (powodzie, huragany, itp.) oraz awarii technicznych i innych zdarzeń związanych z rozwojem cywilizacji. Służby ratownicze muszą być właściwie przygotowane do szybkiego i skutecznego reagowania w sytuacjach zagrożeń. Jednym z warunków ich profesjonalnego działania </w:t>
      </w:r>
      <w:r w:rsidRPr="001B5959">
        <w:rPr>
          <w:rFonts w:cs="Arial"/>
        </w:rPr>
        <w:t xml:space="preserve">jest ustawowe utworzenie </w:t>
      </w:r>
      <w:r>
        <w:rPr>
          <w:rFonts w:cs="Arial"/>
        </w:rPr>
        <w:t>k</w:t>
      </w:r>
      <w:r w:rsidRPr="001B5959">
        <w:rPr>
          <w:rFonts w:cs="Arial"/>
        </w:rPr>
        <w:t xml:space="preserve">rajowego </w:t>
      </w:r>
      <w:r>
        <w:rPr>
          <w:rFonts w:cs="Arial"/>
        </w:rPr>
        <w:t>s</w:t>
      </w:r>
      <w:r w:rsidRPr="001B5959">
        <w:rPr>
          <w:rFonts w:cs="Arial"/>
        </w:rPr>
        <w:t xml:space="preserve">ystemu </w:t>
      </w:r>
      <w:r>
        <w:rPr>
          <w:rFonts w:cs="Arial"/>
        </w:rPr>
        <w:t>r</w:t>
      </w:r>
      <w:r w:rsidRPr="001B5959">
        <w:rPr>
          <w:rFonts w:cs="Arial"/>
        </w:rPr>
        <w:t>atowniczego, który zintegruje dotychczasowe systemy ratownicze w celu zapewnienia sprawnego i efektywnego funkcjonowania ratownictwa. Istotne znaczenie będzie też miało uchwalenie i wejście w życie</w:t>
      </w:r>
      <w:r>
        <w:rPr>
          <w:rFonts w:cs="Arial"/>
        </w:rPr>
        <w:t xml:space="preserve"> regulacji dotyczącej problematyki ochrony ludności i obrony cywilnej</w:t>
      </w:r>
      <w:r w:rsidRPr="001B5959">
        <w:rPr>
          <w:rFonts w:cs="Arial"/>
        </w:rPr>
        <w:t>.</w:t>
      </w:r>
    </w:p>
    <w:p w14:paraId="4DB8A924" w14:textId="77777777" w:rsidR="00B53DEC" w:rsidRPr="00F21196" w:rsidRDefault="00B53DEC" w:rsidP="00B53DEC">
      <w:pPr>
        <w:spacing w:after="0" w:line="276" w:lineRule="auto"/>
        <w:jc w:val="both"/>
        <w:rPr>
          <w:rFonts w:cs="Arial"/>
        </w:rPr>
      </w:pPr>
    </w:p>
    <w:p w14:paraId="403DA139" w14:textId="77777777" w:rsidR="00B53DEC" w:rsidRPr="00F21196" w:rsidRDefault="00B53DEC" w:rsidP="00B53DEC">
      <w:pPr>
        <w:spacing w:after="0" w:line="276" w:lineRule="auto"/>
        <w:contextualSpacing/>
        <w:jc w:val="both"/>
        <w:rPr>
          <w:rFonts w:eastAsia="Times New Roman" w:cs="Calibri"/>
          <w:b/>
          <w:i/>
        </w:rPr>
      </w:pPr>
      <w:r w:rsidRPr="00F21196">
        <w:rPr>
          <w:b/>
          <w:u w:val="single"/>
        </w:rPr>
        <w:t>3.</w:t>
      </w:r>
      <w:r>
        <w:rPr>
          <w:b/>
          <w:u w:val="single"/>
        </w:rPr>
        <w:t>2</w:t>
      </w:r>
      <w:r w:rsidRPr="00F21196">
        <w:rPr>
          <w:b/>
          <w:u w:val="single"/>
        </w:rPr>
        <w:t>. Doskonalenie wiedzy, umiejętności i kompetencji ratowników.</w:t>
      </w:r>
      <w:r>
        <w:rPr>
          <w:b/>
          <w:u w:val="single"/>
        </w:rPr>
        <w:t xml:space="preserve"> </w:t>
      </w:r>
      <w:r w:rsidRPr="00F21196">
        <w:t>Służby i podmioty ratownicze muszą być odpowiednio przygotowane do skutecznej ochrony ludności i reagowania w obliczu współczesnych zagrożeń. Jednym z warunków ich sprawnego działania są adekwatne wobec współczesnych wyzwań szkolenia i doskonalenie umiejętności. Podnoszenie wiedzy z zakresu ochrony ludności i ratownictwa jest</w:t>
      </w:r>
      <w:r w:rsidRPr="00F21196">
        <w:rPr>
          <w:rFonts w:cs="Arial"/>
        </w:rPr>
        <w:t xml:space="preserve"> ważnym elementem projektowanych ustaw o ochronie ludności i obronie cywilnej oraz krajowym systemie ratowniczym. Wejście w życie ww. ustaw umożliwi bardziej efektywne szkolenie, doskonalenie służb i współdziałanie podmiotów ratowniczych</w:t>
      </w:r>
      <w:r>
        <w:rPr>
          <w:rFonts w:cs="Arial"/>
        </w:rPr>
        <w:t>,</w:t>
      </w:r>
      <w:r w:rsidRPr="00F21196">
        <w:rPr>
          <w:rFonts w:cs="Arial"/>
        </w:rPr>
        <w:t xml:space="preserve"> a tym samym wpłynie na skuteczne reagowanie i działania w sytuacjach zagrożeń. </w:t>
      </w:r>
    </w:p>
    <w:p w14:paraId="175ED02A" w14:textId="77777777" w:rsidR="00B53DEC" w:rsidRPr="003B1C9C" w:rsidRDefault="00B53DEC" w:rsidP="00B53DEC">
      <w:pPr>
        <w:spacing w:after="0" w:line="276" w:lineRule="auto"/>
        <w:contextualSpacing/>
        <w:jc w:val="both"/>
        <w:rPr>
          <w:b/>
          <w:i/>
          <w:color w:val="00B050"/>
          <w:u w:val="single"/>
        </w:rPr>
      </w:pPr>
    </w:p>
    <w:p w14:paraId="2B64A789" w14:textId="77777777" w:rsidR="00B53DEC" w:rsidRPr="003B1C9C" w:rsidRDefault="00B53DEC" w:rsidP="00B53DEC">
      <w:pPr>
        <w:spacing w:after="0" w:line="276" w:lineRule="auto"/>
        <w:contextualSpacing/>
        <w:jc w:val="both"/>
        <w:rPr>
          <w:b/>
          <w:bCs/>
          <w:u w:val="single"/>
        </w:rPr>
      </w:pPr>
      <w:r w:rsidRPr="003B1C9C">
        <w:rPr>
          <w:b/>
          <w:u w:val="single"/>
        </w:rPr>
        <w:t xml:space="preserve">3.3. </w:t>
      </w:r>
      <w:r w:rsidRPr="003B1C9C">
        <w:rPr>
          <w:b/>
          <w:bCs/>
          <w:u w:val="single"/>
        </w:rPr>
        <w:t>Zwiększenie świadomości społecznej z zakresu bezpiecznego zachowania się w obliczu zagrożeń ze szczególnym uwzględnieniem obszarów górskich, wodnych, obiektów mieszkalnych i terenów wypoczynku.</w:t>
      </w:r>
    </w:p>
    <w:p w14:paraId="4F7C0929" w14:textId="77777777" w:rsidR="00B53DEC" w:rsidRDefault="00B53DEC" w:rsidP="00B53DEC">
      <w:pPr>
        <w:spacing w:after="0" w:line="276" w:lineRule="auto"/>
        <w:jc w:val="both"/>
      </w:pPr>
      <w:r w:rsidRPr="009C73EF">
        <w:t xml:space="preserve">Edukacja to najlepsza droga do osiągnięcia odpowiedniego poziomu przygotowania obywateli na reagowanie w stanach zagrożenia lub niedopuszczenie do ich powstania. Szczególnie istotne jest prowadzenie skutecznych działań profilaktycznych i edukacyjnych, skierowanych do wszystkich grup wiekowych, ukierunkowanych na wykształcenie umiejętności właściwego zachowania się  w obliczu zagrożeń ze szczególnym uwzględnieniem obszarów górskich, wodnych, obiektów mieszkalnych i terenów wypoczynku. Na obszarach wodnych i górskich główną rolę w tym zakresie pełnią podmioty uprawnione do wykonywania ratownictwa wodnego i górskiego, których jednym z podstawowych obowiązków wynikających z obowiązującego prawodawstwa jest koordynowanie i przeprowadzenie działań uświadamiających zagrożenia płynące z aktywności nad wodami i w górach. Natomiast w zakresie obiektów mieszkalnych oraz innych terenów wypoczynku wiodącą rolę w zakresie edukacji społeczeństwa pełni administracja rządowa oraz służby państwowe odpowiedzialne za zapewnienie bezpieczeństwa powszechnego i publicznego w szczególności Państwowa Straż Pożarna, Policja oraz współpracujące organizacje pozarządowe. Konieczne jest zintensyfikowanie przez podmioty coraz bardziej widocznej współpracy ze środkami masowego przekazu w przedsięwzięciach profilaktycznych promujących bezpieczne zachowanie oraz nagłaśnianie przypadków negatywnych, pokazujących skrajnie nierozsądne postępowania. </w:t>
      </w:r>
    </w:p>
    <w:p w14:paraId="6478544A" w14:textId="77777777" w:rsidR="00B53DEC" w:rsidRPr="009C73EF" w:rsidRDefault="00B53DEC" w:rsidP="00B53DEC">
      <w:pPr>
        <w:spacing w:line="276" w:lineRule="auto"/>
        <w:jc w:val="both"/>
      </w:pPr>
      <w:r w:rsidRPr="009C73EF">
        <w:t>Ponadto kontynuowane będą przedsięwzięcia związane z rozwijaniem współpracy z podmiotami ratowniczymi w Ramach Rady do Spraw Ratownictwa.</w:t>
      </w:r>
    </w:p>
    <w:p w14:paraId="77469862" w14:textId="77777777" w:rsidR="00B53DEC" w:rsidRPr="00F21196" w:rsidRDefault="00B53DEC" w:rsidP="00B53DEC">
      <w:pPr>
        <w:spacing w:after="0" w:line="276" w:lineRule="auto"/>
        <w:jc w:val="both"/>
        <w:rPr>
          <w:rStyle w:val="Tekstpodstawowy2"/>
          <w:rFonts w:asciiTheme="minorHAnsi" w:hAnsiTheme="minorHAnsi" w:cs="Arial"/>
          <w:sz w:val="22"/>
          <w:szCs w:val="18"/>
          <w:u w:val="none"/>
        </w:rPr>
      </w:pPr>
      <w:r w:rsidRPr="00386244">
        <w:rPr>
          <w:b/>
          <w:u w:val="single"/>
        </w:rPr>
        <w:t>3.</w:t>
      </w:r>
      <w:r>
        <w:rPr>
          <w:b/>
          <w:u w:val="single"/>
        </w:rPr>
        <w:t>4</w:t>
      </w:r>
      <w:r w:rsidRPr="00386244">
        <w:rPr>
          <w:b/>
          <w:u w:val="single"/>
        </w:rPr>
        <w:t xml:space="preserve">. </w:t>
      </w:r>
      <w:r w:rsidRPr="00386244">
        <w:rPr>
          <w:rFonts w:cs="Arial"/>
          <w:b/>
          <w:iCs/>
          <w:spacing w:val="4"/>
          <w:u w:val="single"/>
        </w:rPr>
        <w:t xml:space="preserve">Zwiększenie potencjału operacyjnego oraz efektywności </w:t>
      </w:r>
      <w:bookmarkStart w:id="8" w:name="_Hlk497946344"/>
      <w:r w:rsidRPr="00386244">
        <w:rPr>
          <w:rFonts w:cs="Arial"/>
          <w:b/>
          <w:iCs/>
          <w:spacing w:val="4"/>
          <w:u w:val="single"/>
        </w:rPr>
        <w:t xml:space="preserve">jednostek organizacyjnych, w tym </w:t>
      </w:r>
      <w:r w:rsidRPr="00386244">
        <w:rPr>
          <w:rStyle w:val="Tekstpodstawowy2"/>
          <w:rFonts w:asciiTheme="minorHAnsi" w:hAnsiTheme="minorHAnsi" w:cs="Arial"/>
          <w:b/>
          <w:sz w:val="22"/>
          <w:szCs w:val="22"/>
        </w:rPr>
        <w:t>Morskiej Służby Poszukiwania i Ratownictwa</w:t>
      </w:r>
      <w:bookmarkEnd w:id="8"/>
      <w:r w:rsidRPr="00386244">
        <w:rPr>
          <w:rFonts w:cs="Arial"/>
          <w:b/>
          <w:iCs/>
          <w:spacing w:val="4"/>
          <w:u w:val="single"/>
        </w:rPr>
        <w:t>.</w:t>
      </w:r>
      <w:r>
        <w:rPr>
          <w:rFonts w:cs="Arial"/>
          <w:b/>
          <w:iCs/>
          <w:spacing w:val="4"/>
          <w:u w:val="single"/>
        </w:rPr>
        <w:t xml:space="preserve"> </w:t>
      </w:r>
      <w:r w:rsidRPr="00F21196">
        <w:rPr>
          <w:rStyle w:val="Tekstpodstawowy2"/>
          <w:rFonts w:asciiTheme="minorHAnsi" w:hAnsiTheme="minorHAnsi" w:cs="Arial"/>
          <w:sz w:val="22"/>
          <w:szCs w:val="18"/>
          <w:u w:val="none"/>
        </w:rPr>
        <w:t xml:space="preserve">Rozwój polskich portów morskich oraz intensyfikacja transportu drogą morską, związana z realizacją wielkoformatowych przedsięwzięć (np: budowa Terminalu LNG w Świnoujściu, budowa drogi wodnej łączącej Zalew Wiślany z Zatoką Gdańską, modernizacja toru wodnego między portami w Świnoujściu i w Szczecinie), wymuszają wprowadzenie odpowiednich zmian technicznych i organizacyjnych w polskim systemie ratownictwa morskiego. W realizacji zadań związanych z poszukiwaniem i ratowaniem życia na morzu oraz zwalczaniem zagrożeń i zanieczyszczeń środowiska morskiego, z Morską Służbą Poszukiwania i Ratownictwa (Służbą SAR) współdziałają jednostki organizacyjne Marynarki Wojennej, Państwowej Straży Pożarnej, Straży Granicznej, Policji, opieki zdrowotnej oraz inne jednostki będące w stanie udzielić pomocy. </w:t>
      </w:r>
      <w:r w:rsidRPr="00CE6B21">
        <w:rPr>
          <w:iCs/>
        </w:rPr>
        <w:t>Potencjał techniczny wymienionych powyżej służb i straży realizujących zadania ratownicze w morskiej części terytorium RP (morskie wody wewnętrzne, morze terytorialne), a także w wyłącznej strefie ekonomicznej musi zostać dostosowany do nowych wyzwań z zakresu bezpieczeństwa, związanych ze wzmożoną żeglugą na Morzu Bałtyckim.</w:t>
      </w:r>
      <w:r>
        <w:rPr>
          <w:rStyle w:val="Tekstpodstawowy2"/>
          <w:rFonts w:asciiTheme="minorHAnsi" w:hAnsiTheme="minorHAnsi" w:cs="Arial"/>
          <w:sz w:val="22"/>
          <w:szCs w:val="18"/>
          <w:u w:val="none"/>
        </w:rPr>
        <w:t xml:space="preserve"> W </w:t>
      </w:r>
      <w:r w:rsidRPr="00F21196">
        <w:rPr>
          <w:rStyle w:val="Tekstpodstawowy2"/>
          <w:rFonts w:asciiTheme="minorHAnsi" w:hAnsiTheme="minorHAnsi" w:cs="Arial"/>
          <w:sz w:val="22"/>
          <w:szCs w:val="18"/>
          <w:u w:val="none"/>
        </w:rPr>
        <w:t>tym celu należy zapewnić służb</w:t>
      </w:r>
      <w:r>
        <w:rPr>
          <w:rStyle w:val="Tekstpodstawowy2"/>
          <w:rFonts w:asciiTheme="minorHAnsi" w:hAnsiTheme="minorHAnsi" w:cs="Arial"/>
          <w:sz w:val="22"/>
          <w:szCs w:val="18"/>
          <w:u w:val="none"/>
        </w:rPr>
        <w:t xml:space="preserve">om ratowniczym odpowiednie siły </w:t>
      </w:r>
      <w:r w:rsidRPr="00F21196">
        <w:rPr>
          <w:rStyle w:val="Tekstpodstawowy2"/>
          <w:rFonts w:asciiTheme="minorHAnsi" w:hAnsiTheme="minorHAnsi" w:cs="Arial"/>
          <w:sz w:val="22"/>
          <w:szCs w:val="18"/>
          <w:u w:val="none"/>
        </w:rPr>
        <w:t>i środki, w szczególności do:</w:t>
      </w:r>
    </w:p>
    <w:p w14:paraId="6A50F151" w14:textId="77777777" w:rsidR="00B53DEC" w:rsidRPr="00F21196" w:rsidRDefault="00B53DEC" w:rsidP="00723B3F">
      <w:pPr>
        <w:pStyle w:val="Akapitzlist"/>
        <w:numPr>
          <w:ilvl w:val="0"/>
          <w:numId w:val="49"/>
        </w:numPr>
        <w:spacing w:line="276" w:lineRule="auto"/>
        <w:ind w:left="567"/>
        <w:jc w:val="both"/>
        <w:rPr>
          <w:rStyle w:val="Tekstpodstawowy2"/>
          <w:rFonts w:asciiTheme="minorHAnsi" w:hAnsiTheme="minorHAnsi" w:cs="Arial"/>
          <w:sz w:val="22"/>
          <w:szCs w:val="18"/>
          <w:u w:val="none"/>
        </w:rPr>
      </w:pPr>
      <w:r w:rsidRPr="00F21196">
        <w:rPr>
          <w:rStyle w:val="Tekstpodstawowy2"/>
          <w:rFonts w:asciiTheme="minorHAnsi" w:hAnsiTheme="minorHAnsi" w:cs="Arial"/>
          <w:sz w:val="22"/>
          <w:szCs w:val="18"/>
          <w:u w:val="none"/>
        </w:rPr>
        <w:t>realizacji zadań ratowniczych w środowisku skażonym chemicznie oraz w atmosferze wybuchowej,</w:t>
      </w:r>
    </w:p>
    <w:p w14:paraId="3E46AB3C" w14:textId="77777777" w:rsidR="00B53DEC" w:rsidRPr="00F21196" w:rsidRDefault="00B53DEC" w:rsidP="00723B3F">
      <w:pPr>
        <w:pStyle w:val="Akapitzlist"/>
        <w:numPr>
          <w:ilvl w:val="0"/>
          <w:numId w:val="49"/>
        </w:numPr>
        <w:spacing w:line="276" w:lineRule="auto"/>
        <w:ind w:left="567"/>
        <w:jc w:val="both"/>
        <w:rPr>
          <w:rStyle w:val="Tekstpodstawowy2"/>
          <w:rFonts w:asciiTheme="minorHAnsi" w:hAnsiTheme="minorHAnsi" w:cs="Arial"/>
          <w:sz w:val="22"/>
          <w:szCs w:val="18"/>
          <w:u w:val="none"/>
        </w:rPr>
      </w:pPr>
      <w:r w:rsidRPr="00F21196">
        <w:rPr>
          <w:rStyle w:val="Tekstpodstawowy2"/>
          <w:rFonts w:asciiTheme="minorHAnsi" w:hAnsiTheme="minorHAnsi" w:cs="Arial"/>
          <w:sz w:val="22"/>
          <w:szCs w:val="18"/>
          <w:u w:val="none"/>
        </w:rPr>
        <w:t>prowadzenia działań ratowniczych oraz zwalczania zanieczyszczeń na wodach płytkich i zalodzonych Zalewu Szczecińskiego i Zalewu Wiślanego (obszary Natura 2000), a także na wodach przybrzeżnych wchodzących w skład Słowińskiego Parku Narodowego i Wolińskiego Parku Narodowego,</w:t>
      </w:r>
    </w:p>
    <w:p w14:paraId="3823EB79" w14:textId="77777777" w:rsidR="00B53DEC" w:rsidRPr="00F21196" w:rsidRDefault="00B53DEC" w:rsidP="00723B3F">
      <w:pPr>
        <w:pStyle w:val="Akapitzlist"/>
        <w:numPr>
          <w:ilvl w:val="0"/>
          <w:numId w:val="49"/>
        </w:numPr>
        <w:spacing w:line="276" w:lineRule="auto"/>
        <w:ind w:left="567"/>
        <w:jc w:val="both"/>
        <w:rPr>
          <w:rStyle w:val="Tekstpodstawowy2"/>
          <w:rFonts w:asciiTheme="minorHAnsi" w:hAnsiTheme="minorHAnsi" w:cs="Arial"/>
          <w:sz w:val="22"/>
          <w:szCs w:val="18"/>
          <w:u w:val="none"/>
        </w:rPr>
      </w:pPr>
      <w:r w:rsidRPr="00F21196">
        <w:rPr>
          <w:rStyle w:val="Tekstpodstawowy2"/>
          <w:rFonts w:asciiTheme="minorHAnsi" w:hAnsiTheme="minorHAnsi" w:cs="Arial"/>
          <w:sz w:val="22"/>
          <w:szCs w:val="18"/>
          <w:u w:val="none"/>
        </w:rPr>
        <w:t xml:space="preserve">prowadzenia działań ratowniczych w rejonie podwodnych umocnień (sztucznych raf) utworzonych w ramach </w:t>
      </w:r>
      <w:r w:rsidRPr="00F21196">
        <w:rPr>
          <w:rStyle w:val="Tekstpodstawowy2"/>
          <w:rFonts w:asciiTheme="minorHAnsi" w:hAnsiTheme="minorHAnsi" w:cs="Arial"/>
          <w:i/>
          <w:sz w:val="22"/>
          <w:szCs w:val="18"/>
          <w:u w:val="none"/>
        </w:rPr>
        <w:t>Programu ochrony brzegów morskich</w:t>
      </w:r>
      <w:r w:rsidRPr="00F21196">
        <w:rPr>
          <w:rStyle w:val="Tekstpodstawowy2"/>
          <w:rFonts w:asciiTheme="minorHAnsi" w:hAnsiTheme="minorHAnsi" w:cs="Arial"/>
          <w:sz w:val="22"/>
          <w:szCs w:val="18"/>
          <w:u w:val="none"/>
        </w:rPr>
        <w:t xml:space="preserve"> w rejonie portów w Kołobrzegu, Darłowie, Ustce, Łebie i Władysławowie.</w:t>
      </w:r>
    </w:p>
    <w:p w14:paraId="550D5028" w14:textId="77777777" w:rsidR="00B53DEC" w:rsidRPr="00F21196" w:rsidRDefault="00B53DEC" w:rsidP="00B53DEC">
      <w:pPr>
        <w:spacing w:line="276" w:lineRule="auto"/>
        <w:ind w:left="30"/>
        <w:jc w:val="both"/>
        <w:rPr>
          <w:rStyle w:val="Tekstpodstawowy2"/>
          <w:rFonts w:asciiTheme="minorHAnsi" w:hAnsiTheme="minorHAnsi" w:cs="Arial"/>
          <w:sz w:val="28"/>
          <w:szCs w:val="18"/>
          <w:u w:val="none"/>
        </w:rPr>
      </w:pPr>
      <w:r w:rsidRPr="00F21196">
        <w:rPr>
          <w:rStyle w:val="Tekstpodstawowy2"/>
          <w:rFonts w:asciiTheme="minorHAnsi" w:hAnsiTheme="minorHAnsi" w:cs="Arial"/>
          <w:sz w:val="22"/>
          <w:szCs w:val="18"/>
          <w:u w:val="none"/>
        </w:rPr>
        <w:t>Niezbędne działania inwestycyjne mające na celu zwiększenie potencjału operacyjnego oraz efektywności polskiego systemu ratownictwa morskiego powinny zostać poparte odpowiednimi zmianami systemowymi i organizacyjnymi ukierunkowanymi na polepszenie współdziałania państwowych służb i straży. W tym kontekście konieczne jest zapewnienie wspomnianym podmiotom jednolitych lub kompatybilnych systemów łączności operacyjnej, jak również dążenie do wypracowania i regularnego ćwiczenia procedur reagowania na różnego rodzaju zagrożenia, związane z użytkowaniem Bałtyku.</w:t>
      </w:r>
    </w:p>
    <w:p w14:paraId="7AC8E824" w14:textId="77777777" w:rsidR="00B53DEC" w:rsidRPr="00F21196" w:rsidRDefault="00B53DEC" w:rsidP="00B53DEC">
      <w:pPr>
        <w:spacing w:after="0" w:line="276" w:lineRule="auto"/>
        <w:jc w:val="both"/>
        <w:rPr>
          <w:rFonts w:cs="Arial"/>
          <w:spacing w:val="4"/>
        </w:rPr>
      </w:pPr>
      <w:r w:rsidRPr="00F21196">
        <w:rPr>
          <w:rFonts w:cs="Arial"/>
          <w:b/>
          <w:spacing w:val="4"/>
          <w:u w:val="single"/>
        </w:rPr>
        <w:t>3.</w:t>
      </w:r>
      <w:r>
        <w:rPr>
          <w:rFonts w:cs="Arial"/>
          <w:b/>
          <w:spacing w:val="4"/>
          <w:u w:val="single"/>
        </w:rPr>
        <w:t>5</w:t>
      </w:r>
      <w:r w:rsidRPr="00F21196">
        <w:rPr>
          <w:rFonts w:cs="Arial"/>
          <w:b/>
          <w:spacing w:val="4"/>
          <w:u w:val="single"/>
        </w:rPr>
        <w:t>. Zwiększenie odporności infrastruktury krytycznej.</w:t>
      </w:r>
      <w:r>
        <w:rPr>
          <w:rFonts w:cs="Arial"/>
          <w:b/>
          <w:spacing w:val="4"/>
          <w:u w:val="single"/>
        </w:rPr>
        <w:t xml:space="preserve"> </w:t>
      </w:r>
      <w:r w:rsidRPr="00F21196">
        <w:rPr>
          <w:rFonts w:cs="Arial"/>
          <w:spacing w:val="4"/>
        </w:rPr>
        <w:t xml:space="preserve">Zachowanie wysokiego poziomu bezpieczeństwa i porządku publicznego, jako warunku koniecznego dla wzrostu </w:t>
      </w:r>
      <w:r w:rsidRPr="00F21196">
        <w:rPr>
          <w:rFonts w:cs="Calibri,Italic"/>
          <w:iCs/>
          <w:szCs w:val="20"/>
        </w:rPr>
        <w:t xml:space="preserve">bezpieczeństwa osobistego obywateli oraz </w:t>
      </w:r>
      <w:r w:rsidRPr="00F21196">
        <w:rPr>
          <w:rFonts w:cs="Arial"/>
          <w:spacing w:val="4"/>
        </w:rPr>
        <w:t>rozwoju kraju jest nierozerwalnie związane z niezakłóconym dostępem obywateli i przedsiębiorców do usług zapewniających utrzymanie określonego poziomu życia, a także umożliwiających właściwe relacje między państwem a obywatelem oraz prowadzenie działalności gospodarczej.</w:t>
      </w:r>
    </w:p>
    <w:p w14:paraId="087EB693" w14:textId="77777777" w:rsidR="00B53DEC" w:rsidRDefault="00B53DEC" w:rsidP="00B53DEC">
      <w:pPr>
        <w:spacing w:after="0" w:line="276" w:lineRule="auto"/>
        <w:jc w:val="both"/>
        <w:rPr>
          <w:rFonts w:cs="Arial"/>
          <w:spacing w:val="4"/>
        </w:rPr>
      </w:pPr>
      <w:r w:rsidRPr="00F21196">
        <w:rPr>
          <w:rFonts w:cs="Arial"/>
          <w:spacing w:val="4"/>
        </w:rPr>
        <w:t xml:space="preserve">Dostęp do tego rodzaju usług jest </w:t>
      </w:r>
      <w:r>
        <w:rPr>
          <w:rFonts w:cs="Arial"/>
          <w:spacing w:val="4"/>
        </w:rPr>
        <w:t>kluczowy</w:t>
      </w:r>
      <w:r w:rsidRPr="00F21196">
        <w:rPr>
          <w:rFonts w:cs="Arial"/>
          <w:spacing w:val="4"/>
        </w:rPr>
        <w:t xml:space="preserve"> z punktu widzenia sprawnego funkcjonowania i rozwoju nowoczesnego państwa, społeczeństwa i gospodarki. Usługi te oraz dostarczająca je infrastruktura zostały określone mianem infrastruktury krytycznej</w:t>
      </w:r>
      <w:r>
        <w:rPr>
          <w:rStyle w:val="Odwoanieprzypisudolnego"/>
          <w:rFonts w:cs="Arial"/>
          <w:spacing w:val="4"/>
        </w:rPr>
        <w:footnoteReference w:id="119"/>
      </w:r>
      <w:r w:rsidRPr="00F21196">
        <w:rPr>
          <w:rFonts w:cs="Arial"/>
          <w:spacing w:val="4"/>
        </w:rPr>
        <w:t xml:space="preserve"> (IK).</w:t>
      </w:r>
      <w:r>
        <w:rPr>
          <w:rFonts w:cs="Arial"/>
          <w:spacing w:val="4"/>
        </w:rPr>
        <w:t xml:space="preserve"> Dlatego też niezbędne jest poszukiwanie rozwiązań zapewniających ciągłość funkcjonowania infrastruktury krytycznej i możliwości wzmocnienia jej zabezpieczenia w przypadku wystąpienie zagrożenia. </w:t>
      </w:r>
    </w:p>
    <w:p w14:paraId="002EE4DF" w14:textId="77777777" w:rsidR="00B53DEC" w:rsidRPr="00F21196" w:rsidRDefault="00B53DEC" w:rsidP="00B53DEC">
      <w:pPr>
        <w:spacing w:after="0" w:line="276" w:lineRule="auto"/>
        <w:jc w:val="both"/>
        <w:rPr>
          <w:rFonts w:cs="Arial"/>
          <w:spacing w:val="4"/>
        </w:rPr>
      </w:pPr>
    </w:p>
    <w:p w14:paraId="220EECB8" w14:textId="77777777" w:rsidR="00B53DEC" w:rsidRPr="00C23414" w:rsidRDefault="00B53DEC" w:rsidP="00B53DEC">
      <w:pPr>
        <w:pBdr>
          <w:bottom w:val="single" w:sz="24" w:space="1" w:color="9CC2E5" w:themeColor="accent1" w:themeTint="99"/>
        </w:pBdr>
        <w:shd w:val="clear" w:color="auto" w:fill="D9D9D9" w:themeFill="background1" w:themeFillShade="D9"/>
        <w:spacing w:after="0"/>
        <w:rPr>
          <w:b/>
        </w:rPr>
      </w:pPr>
      <w:r w:rsidRPr="00C23414">
        <w:rPr>
          <w:b/>
        </w:rPr>
        <w:t xml:space="preserve">Kierunek interwencji 4. </w:t>
      </w:r>
    </w:p>
    <w:p w14:paraId="319C210B" w14:textId="77777777" w:rsidR="00B53DEC" w:rsidRPr="00C23414" w:rsidRDefault="00B53DEC" w:rsidP="00B53DEC">
      <w:pPr>
        <w:pBdr>
          <w:bottom w:val="single" w:sz="24" w:space="1" w:color="9CC2E5" w:themeColor="accent1" w:themeTint="99"/>
        </w:pBdr>
        <w:shd w:val="clear" w:color="auto" w:fill="D9D9D9" w:themeFill="background1" w:themeFillShade="D9"/>
        <w:jc w:val="center"/>
        <w:rPr>
          <w:rFonts w:cs="Calibri"/>
          <w:b/>
          <w:i/>
        </w:rPr>
      </w:pPr>
      <w:r w:rsidRPr="00C23414">
        <w:rPr>
          <w:rFonts w:cs="Calibri"/>
          <w:b/>
          <w:i/>
        </w:rPr>
        <w:t>Zapewnienie bezpieczeństwa migracyjnego.</w:t>
      </w:r>
    </w:p>
    <w:p w14:paraId="4DAC6ED3" w14:textId="77777777" w:rsidR="00B53DEC" w:rsidRPr="00F21196" w:rsidRDefault="00B53DEC" w:rsidP="00B53DEC">
      <w:pPr>
        <w:autoSpaceDE w:val="0"/>
        <w:autoSpaceDN w:val="0"/>
        <w:adjustRightInd w:val="0"/>
        <w:spacing w:after="0" w:line="276" w:lineRule="auto"/>
        <w:jc w:val="both"/>
        <w:rPr>
          <w:rFonts w:eastAsia="Times New Roman" w:cs="Calibri"/>
          <w:lang w:eastAsia="pl-PL"/>
        </w:rPr>
      </w:pPr>
      <w:r w:rsidRPr="00F21196">
        <w:t xml:space="preserve">Podejmowane będą przedsięwzięcia zmierzające do opracowania i wdrożenia skutecznych mechanizmów (procedur) weryfikacji i kontroli cudzoziemców zamierzających przekraczać zewnętrzne granice UE, zarówno pod kątem nielegalnej migracji, jak i zagrożeń terrorystycznych oraz porządku i bezpieczeństwa publicznego. </w:t>
      </w:r>
      <w:r w:rsidRPr="00F21196">
        <w:rPr>
          <w:rFonts w:eastAsia="Times New Roman" w:cs="Calibri"/>
          <w:lang w:eastAsia="pl-PL"/>
        </w:rPr>
        <w:t>Planowane jest zwiększenie bezpieczeństwa migracyjnego poprzez:</w:t>
      </w:r>
    </w:p>
    <w:p w14:paraId="6B246798" w14:textId="77777777" w:rsidR="00B53DEC" w:rsidRPr="00F21196" w:rsidRDefault="00B53DEC" w:rsidP="00723B3F">
      <w:pPr>
        <w:pStyle w:val="Akapitzlist"/>
        <w:numPr>
          <w:ilvl w:val="0"/>
          <w:numId w:val="17"/>
        </w:numPr>
        <w:shd w:val="clear" w:color="auto" w:fill="FFFFFF"/>
        <w:spacing w:line="276" w:lineRule="auto"/>
        <w:contextualSpacing w:val="0"/>
        <w:jc w:val="both"/>
        <w:rPr>
          <w:rFonts w:asciiTheme="minorHAnsi" w:hAnsiTheme="minorHAnsi"/>
          <w:sz w:val="22"/>
          <w:szCs w:val="22"/>
        </w:rPr>
      </w:pPr>
      <w:r w:rsidRPr="00F21196">
        <w:rPr>
          <w:rFonts w:asciiTheme="minorHAnsi" w:hAnsiTheme="minorHAnsi"/>
          <w:sz w:val="22"/>
          <w:szCs w:val="22"/>
        </w:rPr>
        <w:t xml:space="preserve">zainicjowanie niezbędnych zmian przepisów prawa oraz wszczęcie przygotowań organizacyjno-technicznych w polskich urzędach konsularnych celem wdrożenia procedury pobierania odcisków palców – jako drugiej cechy biometrycznej – w procesie rozpatrywania wniosków i wydawania wiz </w:t>
      </w:r>
      <w:r>
        <w:rPr>
          <w:rFonts w:asciiTheme="minorHAnsi" w:hAnsiTheme="minorHAnsi"/>
          <w:sz w:val="22"/>
          <w:szCs w:val="22"/>
        </w:rPr>
        <w:t>krajowych</w:t>
      </w:r>
      <w:r w:rsidRPr="00F21196">
        <w:rPr>
          <w:rFonts w:asciiTheme="minorHAnsi" w:hAnsiTheme="minorHAnsi"/>
          <w:sz w:val="22"/>
          <w:szCs w:val="22"/>
        </w:rPr>
        <w:t>,</w:t>
      </w:r>
    </w:p>
    <w:p w14:paraId="6EA73557" w14:textId="77777777" w:rsidR="00B53DEC" w:rsidRPr="00F21196" w:rsidRDefault="00B53DEC" w:rsidP="00723B3F">
      <w:pPr>
        <w:pStyle w:val="Akapitzlist"/>
        <w:numPr>
          <w:ilvl w:val="0"/>
          <w:numId w:val="17"/>
        </w:numPr>
        <w:shd w:val="clear" w:color="auto" w:fill="FFFFFF"/>
        <w:spacing w:line="276" w:lineRule="auto"/>
        <w:ind w:left="284" w:hanging="284"/>
        <w:contextualSpacing w:val="0"/>
        <w:jc w:val="both"/>
        <w:rPr>
          <w:rFonts w:asciiTheme="minorHAnsi" w:hAnsiTheme="minorHAnsi"/>
          <w:sz w:val="22"/>
          <w:szCs w:val="22"/>
        </w:rPr>
      </w:pPr>
      <w:r w:rsidRPr="00F21196">
        <w:rPr>
          <w:rFonts w:asciiTheme="minorHAnsi" w:hAnsiTheme="minorHAnsi"/>
          <w:sz w:val="22"/>
          <w:szCs w:val="22"/>
        </w:rPr>
        <w:t xml:space="preserve"> przeprowadzenie zmian przepisów prawa i dostosowanie do nowych regulacji prawnych działalności urzędów konsularnych i urzędów wojewódzkich w zakresie przyjmowania wniosków o zezwolenia na pobyt w Polsce od cudzoziemców legitymujących się wizami w celu przyjazdu do Polski </w:t>
      </w:r>
      <w:r>
        <w:rPr>
          <w:rFonts w:asciiTheme="minorHAnsi" w:hAnsiTheme="minorHAnsi"/>
          <w:sz w:val="22"/>
          <w:szCs w:val="22"/>
        </w:rPr>
        <w:t xml:space="preserve">wydanymi </w:t>
      </w:r>
      <w:r w:rsidRPr="00F21196">
        <w:rPr>
          <w:rFonts w:asciiTheme="minorHAnsi" w:hAnsiTheme="minorHAnsi"/>
          <w:sz w:val="22"/>
          <w:szCs w:val="22"/>
        </w:rPr>
        <w:t xml:space="preserve">przez konsula RP, </w:t>
      </w:r>
    </w:p>
    <w:p w14:paraId="1FB64604" w14:textId="77777777" w:rsidR="00B53DEC" w:rsidRPr="000B69B6" w:rsidRDefault="00B53DEC" w:rsidP="00723B3F">
      <w:pPr>
        <w:pStyle w:val="Akapitzlist"/>
        <w:numPr>
          <w:ilvl w:val="0"/>
          <w:numId w:val="17"/>
        </w:numPr>
        <w:shd w:val="clear" w:color="auto" w:fill="FFFFFF"/>
        <w:spacing w:line="276" w:lineRule="auto"/>
        <w:ind w:left="284" w:hanging="284"/>
        <w:contextualSpacing w:val="0"/>
        <w:jc w:val="both"/>
        <w:rPr>
          <w:rFonts w:ascii="Calibri" w:hAnsi="Calibri"/>
          <w:sz w:val="22"/>
          <w:szCs w:val="22"/>
        </w:rPr>
      </w:pPr>
      <w:r w:rsidRPr="000B69B6">
        <w:rPr>
          <w:rFonts w:ascii="Calibri" w:hAnsi="Calibri"/>
          <w:sz w:val="22"/>
          <w:szCs w:val="22"/>
        </w:rPr>
        <w:t>w przypadku wystąpienia nowych okoliczności stworzenie nowych lub nowelizację istniejących przepisów prawa, które zezwolą na skuteczny monitoring i eliminowanie nadużyć w:</w:t>
      </w:r>
    </w:p>
    <w:p w14:paraId="2EA8C139" w14:textId="77777777" w:rsidR="00B53DEC" w:rsidRPr="00947348" w:rsidRDefault="00B53DEC" w:rsidP="00723B3F">
      <w:pPr>
        <w:numPr>
          <w:ilvl w:val="0"/>
          <w:numId w:val="67"/>
        </w:numPr>
        <w:shd w:val="clear" w:color="auto" w:fill="FFFFFF"/>
        <w:spacing w:after="0" w:line="276" w:lineRule="auto"/>
        <w:jc w:val="both"/>
      </w:pPr>
      <w:r w:rsidRPr="00947348">
        <w:t>rejestracji działalności gospodarczej przez cudzoziemców w aspekcie zagrożeń migracyjnych,</w:t>
      </w:r>
    </w:p>
    <w:p w14:paraId="1B098346" w14:textId="77777777" w:rsidR="00B53DEC" w:rsidRPr="00947348" w:rsidRDefault="00B53DEC" w:rsidP="00723B3F">
      <w:pPr>
        <w:numPr>
          <w:ilvl w:val="0"/>
          <w:numId w:val="67"/>
        </w:numPr>
        <w:shd w:val="clear" w:color="auto" w:fill="FFFFFF"/>
        <w:spacing w:after="0" w:line="276" w:lineRule="auto"/>
        <w:jc w:val="both"/>
      </w:pPr>
      <w:r w:rsidRPr="00947348">
        <w:t>procedurze poświadczania zaproszeń w urzędach wojewódzkich,</w:t>
      </w:r>
    </w:p>
    <w:p w14:paraId="56FDC68E" w14:textId="77777777" w:rsidR="00B53DEC" w:rsidRPr="00947348" w:rsidRDefault="00B53DEC" w:rsidP="00723B3F">
      <w:pPr>
        <w:numPr>
          <w:ilvl w:val="0"/>
          <w:numId w:val="67"/>
        </w:numPr>
        <w:shd w:val="clear" w:color="auto" w:fill="FFFFFF"/>
        <w:spacing w:after="0" w:line="276" w:lineRule="auto"/>
        <w:jc w:val="both"/>
      </w:pPr>
      <w:r w:rsidRPr="00947348">
        <w:t>działalności podmiotów komercyjnych</w:t>
      </w:r>
      <w:r>
        <w:t xml:space="preserve"> </w:t>
      </w:r>
      <w:r w:rsidRPr="00AB5B6E">
        <w:t xml:space="preserve">(agencji zatrudnienia) </w:t>
      </w:r>
      <w:r w:rsidRPr="00947348">
        <w:t>w obszarze pośrednictwa pracy w Polsce dla cudzoziemców;</w:t>
      </w:r>
    </w:p>
    <w:p w14:paraId="60B72347" w14:textId="77777777" w:rsidR="00B53DEC" w:rsidRPr="00947348" w:rsidRDefault="00B53DEC" w:rsidP="00723B3F">
      <w:pPr>
        <w:numPr>
          <w:ilvl w:val="0"/>
          <w:numId w:val="67"/>
        </w:numPr>
        <w:shd w:val="clear" w:color="auto" w:fill="FFFFFF"/>
        <w:spacing w:after="0" w:line="276" w:lineRule="auto"/>
        <w:jc w:val="both"/>
      </w:pPr>
      <w:r w:rsidRPr="00947348">
        <w:t>prowadzeniu działalności gospodarczej w zakresie świadczenia usług pracy tymczasowej;</w:t>
      </w:r>
    </w:p>
    <w:p w14:paraId="6CD157FF" w14:textId="77777777" w:rsidR="00B53DEC" w:rsidRPr="000B69B6" w:rsidRDefault="00B53DEC" w:rsidP="00723B3F">
      <w:pPr>
        <w:pStyle w:val="Akapitzlist"/>
        <w:numPr>
          <w:ilvl w:val="0"/>
          <w:numId w:val="67"/>
        </w:numPr>
        <w:jc w:val="both"/>
        <w:rPr>
          <w:rFonts w:ascii="Calibri" w:hAnsi="Calibri"/>
          <w:sz w:val="22"/>
          <w:szCs w:val="22"/>
        </w:rPr>
      </w:pPr>
      <w:r w:rsidRPr="000B69B6">
        <w:rPr>
          <w:rFonts w:ascii="Calibri" w:hAnsi="Calibri" w:cs="Arial"/>
          <w:sz w:val="22"/>
          <w:szCs w:val="22"/>
        </w:rPr>
        <w:t>wypracowaniu kompleksowych instrumentów przeciwdziałania nielegalnemu zatrudnieniu poprzez koordynację działań różnych instytucji i organów.</w:t>
      </w:r>
    </w:p>
    <w:p w14:paraId="3629BF7C" w14:textId="77777777" w:rsidR="00B53DEC" w:rsidRPr="00F21196" w:rsidRDefault="00B53DEC" w:rsidP="00B53DEC">
      <w:pPr>
        <w:spacing w:before="120"/>
        <w:jc w:val="both"/>
      </w:pPr>
      <w:r w:rsidRPr="00F21196">
        <w:t>W celu zapewnienia bezpieczeństwa migracyjnego państwa niezbędne jest współ</w:t>
      </w:r>
      <w:r>
        <w:t>działanie wielu służb krajowych</w:t>
      </w:r>
      <w:r w:rsidRPr="00F21196">
        <w:t xml:space="preserve"> a także współpraca służb krajowych ze służbami innych państw oraz z instytucjami i organizacjami międzynarodowymi. Pierwszym etapem działań jest prowadzenie właściwej polityki wizowej, w tym przeprowadzanie efektywnych konsultacji wizowych przed wydaniem cudzoziemcowi wizy na wjazd i pobyt w naszym kraju. </w:t>
      </w:r>
    </w:p>
    <w:p w14:paraId="7AA3B69C" w14:textId="77777777" w:rsidR="00B53DEC" w:rsidRPr="00F21196" w:rsidRDefault="00B53DEC" w:rsidP="00B53DEC">
      <w:pPr>
        <w:spacing w:line="276" w:lineRule="auto"/>
        <w:jc w:val="both"/>
      </w:pPr>
      <w:r w:rsidRPr="00F21196">
        <w:t xml:space="preserve">Zakłada się wdrożenie systemu monitorowania i prognozowania procesów migracyjnych (emigrantów i imigrantów), poprzez zintegrowanie oraz przebudowę istniejących rejestrów publicznych (np. rynku pracy, </w:t>
      </w:r>
      <w:r>
        <w:t xml:space="preserve">zabezpieczenia społecznego, </w:t>
      </w:r>
      <w:r w:rsidRPr="00F21196">
        <w:t xml:space="preserve">szkolnictwa wyższego, </w:t>
      </w:r>
      <w:r>
        <w:t>jednostek samorządu terytorialnego</w:t>
      </w:r>
      <w:r w:rsidRPr="00F21196">
        <w:t>, służb bezpieczeństwa), pozwalającego m.in. na określanie kierunków i skali migracji, popytu na pracę migrantów zarobkowych, monitorowanie historii cudzoziemców w Polsce np. w celu realizacji ścieżek integracji.</w:t>
      </w:r>
    </w:p>
    <w:p w14:paraId="75A17235" w14:textId="77777777" w:rsidR="00B53DEC" w:rsidRPr="00453E71" w:rsidRDefault="00B53DEC" w:rsidP="00B53DEC">
      <w:pPr>
        <w:pStyle w:val="Akapitzlist"/>
        <w:spacing w:line="276" w:lineRule="auto"/>
        <w:ind w:left="0"/>
        <w:jc w:val="both"/>
        <w:rPr>
          <w:rFonts w:asciiTheme="minorHAnsi" w:hAnsiTheme="minorHAnsi"/>
          <w:sz w:val="22"/>
        </w:rPr>
      </w:pPr>
      <w:r w:rsidRPr="00453E71">
        <w:rPr>
          <w:rFonts w:asciiTheme="minorHAnsi" w:hAnsiTheme="minorHAnsi"/>
          <w:sz w:val="22"/>
        </w:rPr>
        <w:t>Dodatkowo planuje się wdrożenie granicznych procedur uchodźczych w odniesieniu do osób, które złożą wniosek w przejściu granicznym, nie spełniając warunków wjazdu na terytorium Rzeczypospolitej Polskiej i pobytu na tym terytorium oraz wskażą przyczyny kwalifikujące ich wniosek do rozpatrzenia w trybie przyspieszonym lub wniosek ten będzie niedopuszczalny. Powyższe rozwiązanie zaimplementowane do prawa krajowego ma również zahamować nielegalną migrację cudzoziemców, którzy porzucają procedurę azylową wkrótce po wystąpieniu z wnioskiem o udzielenie ochrony międzynarodowej na terytorium Rzeczypospolitej Polskiej. W istotny sposób zwiększy to bezpieczeństwo migracyjne i wyeliminuje nadużycia systemu azylowego.</w:t>
      </w:r>
    </w:p>
    <w:p w14:paraId="4DA75F0D" w14:textId="77777777" w:rsidR="00B53DEC" w:rsidRPr="00453E71" w:rsidRDefault="00B53DEC" w:rsidP="00B53DEC">
      <w:pPr>
        <w:pStyle w:val="Akapitzlist"/>
        <w:spacing w:after="120" w:line="276" w:lineRule="auto"/>
        <w:ind w:left="0"/>
        <w:jc w:val="both"/>
        <w:rPr>
          <w:rFonts w:asciiTheme="minorHAnsi" w:hAnsiTheme="minorHAnsi"/>
          <w:sz w:val="22"/>
        </w:rPr>
      </w:pPr>
      <w:r w:rsidRPr="00453E71">
        <w:rPr>
          <w:rFonts w:asciiTheme="minorHAnsi" w:hAnsiTheme="minorHAnsi"/>
          <w:sz w:val="22"/>
        </w:rPr>
        <w:t xml:space="preserve">Równocześnie zakłada się przyspieszenie rozpatrywania wniosków o udzielenie ochrony międzynarodowej oraz efektywne prowadzenie postępowań o pozbawienie ochrony, co powinno przyczynić się do skrócenia średniego okresu pobytu wnioskodawców w ośrodkach detencyjnych. Ponadto nastąpi poprawa bezpieczeństwa w ośrodkach recepcyjnych i pobytowych dla cudzoziemców dzięki usprawnieniu współpracy między Policją, Strażą Graniczną oraz z Agencją Bezpieczeństwa Wewnętrznego na temat ewentualnych kontaktów ze światem przestępczym lub grupami terrorystycznymi w krajach pochodzenia oraz zaobserwowanie niepokojących tendencji wśród cudzoziemców mieszkających w ośrodkach (np. radykalizacji) i przeciwdziałanie im na wczesnym etapie. Usprawnienie procedur i możliwości reagowania na sytuacje niebezpieczne oraz zapewnienie lepszej pomocy dla szczególnie wrażliwych grup cudzoziemców w istotny sposób zapobiegnie niepożądanym i niebezpiecznym zjawiskom w ośrodkach recepcyjnych lub pobytowych dla cudzoziemców. </w:t>
      </w:r>
    </w:p>
    <w:p w14:paraId="28F6630B" w14:textId="2C7BE645" w:rsidR="00B53DEC" w:rsidRPr="00F21196" w:rsidRDefault="00B53DEC" w:rsidP="00B53DEC">
      <w:pPr>
        <w:spacing w:after="120" w:line="276" w:lineRule="auto"/>
        <w:jc w:val="both"/>
      </w:pPr>
      <w:r>
        <w:t>K</w:t>
      </w:r>
      <w:r w:rsidRPr="00F21196">
        <w:t xml:space="preserve">ontynowane będą działania związane z przeciwdziałaniem nielegalnej migracji i zapobieganiem dostępowi do terytorium RP osób niespełniających warunków wjazdu i pobytu, jak również realizowane będą międzynarodowe zobowiązania Polski w zakresie stosowania ochrony międzynarodowej, łącznie z zasadą </w:t>
      </w:r>
      <w:r w:rsidRPr="00EE1A4C">
        <w:rPr>
          <w:i/>
        </w:rPr>
        <w:t>non-refoulement</w:t>
      </w:r>
      <w:r w:rsidRPr="00F21196">
        <w:t xml:space="preserve">. </w:t>
      </w:r>
    </w:p>
    <w:p w14:paraId="0F42775D" w14:textId="77777777" w:rsidR="00B53DEC" w:rsidRPr="00F21196" w:rsidRDefault="00B53DEC" w:rsidP="00B53DEC">
      <w:pPr>
        <w:spacing w:after="120" w:line="276" w:lineRule="auto"/>
        <w:jc w:val="both"/>
      </w:pPr>
      <w:r w:rsidRPr="00F21196">
        <w:t>Niezbędne jest</w:t>
      </w:r>
      <w:r>
        <w:t xml:space="preserve"> doskonalenie przepisów dot. zezwoleń na pracę i oświadczeń</w:t>
      </w:r>
      <w:r w:rsidRPr="00F21196">
        <w:t>, usprawniające zatrudnianie cudzoziemców w tym trybie i przeciwdziałające patologiom stwierdzonym w trakcie dotychczasowych kontroli i monitoringu. Rozwijana będzie w najbliższych latach działalność kontrolna w zakresie legalności pobytu i wykonywania pracy przez cudzoziemców.</w:t>
      </w:r>
    </w:p>
    <w:p w14:paraId="03E9E083" w14:textId="77777777" w:rsidR="00B53DEC" w:rsidRPr="00F21196" w:rsidRDefault="00B53DEC" w:rsidP="00B53DEC">
      <w:pPr>
        <w:spacing w:after="120" w:line="276" w:lineRule="auto"/>
        <w:jc w:val="both"/>
      </w:pPr>
      <w:r w:rsidRPr="00F21196">
        <w:t xml:space="preserve">Cudzoziemcom potrzebującym ochrony międzynarodowej musi zostać zapewniony dostęp do bezpiecznych i skutecznych, z prawnego punktu widzenia, procedur uchodźczych, zaś osoby nadużywające procedur i traktujące je instrumentalnie, wyłącznie w celu przekroczenia </w:t>
      </w:r>
      <w:r w:rsidRPr="00F24848">
        <w:rPr>
          <w:sz w:val="28"/>
          <w:szCs w:val="28"/>
        </w:rPr>
        <w:t>zewnętrznej</w:t>
      </w:r>
      <w:r>
        <w:t xml:space="preserve"> </w:t>
      </w:r>
      <w:r w:rsidRPr="00F21196">
        <w:t xml:space="preserve">granicy Schengen i dalszej nielegalnej migracji, nie powinny być wpuszczone na terytorium Rzeczypospolitej Polskiej. Brak procedur granicznych podwyższa ryzyko swobodnego podróżowania po terytorium Polski i UE osób, które nie powinny na to terytorium w ogóle wjechać. </w:t>
      </w:r>
    </w:p>
    <w:p w14:paraId="3E56BE22" w14:textId="2E403953" w:rsidR="00B53DEC" w:rsidRPr="000451DB" w:rsidRDefault="00B53DEC" w:rsidP="00B53DEC">
      <w:pPr>
        <w:shd w:val="clear" w:color="auto" w:fill="FFFFFF"/>
        <w:spacing w:after="120" w:line="276" w:lineRule="auto"/>
        <w:jc w:val="both"/>
        <w:rPr>
          <w:rFonts w:eastAsia="Times New Roman" w:cstheme="minorHAnsi"/>
          <w:lang w:eastAsia="pl-PL"/>
        </w:rPr>
      </w:pPr>
      <w:r w:rsidRPr="000451DB">
        <w:rPr>
          <w:rFonts w:eastAsia="Times New Roman" w:cstheme="minorHAnsi"/>
          <w:lang w:eastAsia="pl-PL"/>
        </w:rPr>
        <w:t>Organy KAS i SG w ramach swoich kompetencji na bieżąco podejmują stosowne działania w ramach wzajemnej współpracy w przypadku tymczasowego przywrócenia kontroli na granicy Schengen oraz mogą organizować wspólne działania w zakresie kontroli legalności pobytu cudzoziemców na terytorium RP. Realizowane przez organy KAS kontrole w obszarze legalności pobytu cudzoziemców mają miejsce w sytuacjach, w których w toku wykonywania innych czynności kontrolnych zostaną ujawnione okoliczności uzasadniające przeprowadzenie także kontroli legalności pobytu.</w:t>
      </w:r>
    </w:p>
    <w:p w14:paraId="20C8EF34" w14:textId="77777777" w:rsidR="00B53DEC" w:rsidRPr="00F21196" w:rsidRDefault="00B53DEC" w:rsidP="00B53DEC">
      <w:pPr>
        <w:spacing w:after="120" w:line="276" w:lineRule="auto"/>
        <w:jc w:val="both"/>
      </w:pPr>
      <w:r w:rsidRPr="00F21196">
        <w:t>Planuje się wprowadzenie odpowiednich zmian legislacyjnych, służących – między innymi - zwiększeniu bezpieczeństwa w postępowaniach wizowych, kontroli wjazdu i legalności pobytu cudzoziemców na terytorium Polski, przyznaniu inspektorom pracy uprawnienia do prowadzenia kontroli wyłącznie na podstawie legitymacji służbowej (likwidacja upoważnień do kontroli) i przyspieszeniu postępowań o udzielenie cudzoziemcom ochrony międzynarodowej.</w:t>
      </w:r>
    </w:p>
    <w:p w14:paraId="578D50FE" w14:textId="77777777" w:rsidR="00B53DEC" w:rsidRPr="000451DB" w:rsidRDefault="00B53DEC" w:rsidP="00B53DEC">
      <w:pPr>
        <w:jc w:val="both"/>
      </w:pPr>
      <w:r w:rsidRPr="000451DB">
        <w:t xml:space="preserve">Kontrola wjazdu i legalności pobytu cudzoziemców na terytorium Polski, w którą zaangażowane są także organy KAS, jest istotnym aspektem ochrony obszaru RP i UE. Oprócz działań kontrolnych ważną rolę pełnią rozwiązania typu administracyjnego, przewidziane w ustawie z dnia </w:t>
      </w:r>
      <w:r w:rsidRPr="000451DB">
        <w:rPr>
          <w:rFonts w:cstheme="minorHAnsi"/>
        </w:rPr>
        <w:t>12 grudnia 2013 r. o cudzoziemcach (Dz. U. z 2020 r. poz. 35),</w:t>
      </w:r>
      <w:r w:rsidRPr="000451DB">
        <w:rPr>
          <w:rFonts w:ascii="Times New Roman" w:hAnsi="Times New Roman"/>
        </w:rPr>
        <w:t xml:space="preserve"> </w:t>
      </w:r>
      <w:r w:rsidRPr="000451DB">
        <w:t xml:space="preserve">dotyczące </w:t>
      </w:r>
      <w:r w:rsidRPr="000451DB">
        <w:rPr>
          <w:rFonts w:cstheme="minorHAnsi"/>
        </w:rPr>
        <w:t xml:space="preserve">cudzoziemców podejmujących działania zagrażające porządkowi publicznemu oraz naruszające interes RP. Przepisy przedmiotowej ustawy dają możliwość dokonania wpisu danych cudzoziemca do wykazu cudzoziemców, których pobyt na terytorium RP jest niepożądany lub wydania decyzji o zobowiązaniu cudzoziemca do powrotu. </w:t>
      </w:r>
    </w:p>
    <w:p w14:paraId="6368F577" w14:textId="77777777" w:rsidR="00B53DEC" w:rsidRPr="00F21196" w:rsidRDefault="00B53DEC" w:rsidP="00B53DEC">
      <w:pPr>
        <w:spacing w:line="276" w:lineRule="auto"/>
        <w:jc w:val="both"/>
      </w:pPr>
      <w:r>
        <w:t xml:space="preserve">Prognoza demograficzna przygotowana przez GUS przewiduje w nadchodzących latach znaczny spadek ludności w wieku produkcyjnym. W 2019 r. łączna liczba mężczyzn w wieku 18-64 lata oraz kobiet w wieku 18-59 lat wyniosła 23 mln. Prognozowany jest jej spadek o 2% (do 22,6 mln) do 2030 r. oraz aż o 24% do 2050 r. </w:t>
      </w:r>
      <w:r>
        <w:br/>
        <w:t xml:space="preserve">(do 17,4 mln). Oznacza to, </w:t>
      </w:r>
      <w:r w:rsidRPr="00F21196">
        <w:t>że Polska w coraz większym stopniu może wymagać wsparcia ze strony cudzoziemskiej siły roboczej. Szybka aktualizacja przepisów prawa dotyczących imigrantów zarobkowych staje się więc koniecznością wobec wyzwań gospodarczych.</w:t>
      </w:r>
    </w:p>
    <w:p w14:paraId="4C9DC43A" w14:textId="77777777" w:rsidR="00B53DEC" w:rsidRPr="00F21196" w:rsidRDefault="00B53DEC" w:rsidP="00B53DEC">
      <w:pPr>
        <w:spacing w:line="276" w:lineRule="auto"/>
        <w:jc w:val="both"/>
      </w:pPr>
      <w:r w:rsidRPr="00F21196">
        <w:t>Integracja cudzoziemców pozyskiwanych przez polski rynek pracy lub znajdujących w Polsce schronienie przed prześladowaniem stanowi istotne wyzwanie dla polityki migracyjnej kraju. Właściwa integracja cudzoziemców jest ważnym elementem zapewniania bezpieczeństwa w kraju.</w:t>
      </w:r>
    </w:p>
    <w:p w14:paraId="5B7DB16C" w14:textId="77777777" w:rsidR="00B53DEC" w:rsidRPr="00F21196" w:rsidRDefault="00B53DEC" w:rsidP="00B53DEC">
      <w:pPr>
        <w:spacing w:line="276" w:lineRule="auto"/>
        <w:jc w:val="both"/>
      </w:pPr>
      <w:r w:rsidRPr="00F21196">
        <w:t>W przypadku migracji niedobrowolnych, do priorytetów należy poprawa bezpieczeństwa w ośrodkach recepcyjnych i pobytowych dla cudzoziemców oraz przyspieszenie postępowań o udzielenie ochrony międzynarodowej, wpływających na wydawanie i realizację decyzji powrotowych, a tym samym ograniczenie nadużywania procedur uchodźczych, a jednocześnie na skrócenie średniego okresu pobytu wnioskodawców w ośrodkach detencyjnych.</w:t>
      </w:r>
    </w:p>
    <w:p w14:paraId="000C5999" w14:textId="77777777" w:rsidR="00B53DEC" w:rsidRPr="00F21196" w:rsidRDefault="00B53DEC" w:rsidP="00B53DEC">
      <w:pPr>
        <w:spacing w:line="276" w:lineRule="auto"/>
        <w:jc w:val="both"/>
      </w:pPr>
      <w:r w:rsidRPr="00F21196">
        <w:t>Współpraca międzynarodowa odgrywa znaczącą rolę w rozwoju współczesnych krajowych systemów migracyjnych. W przypadku Polski do priorytetów w tym zakresie zalicza się kontynuowanie współpracy dwustronnej z odpowiednimi służbami ukraińskimi i prowadzenie aktywnej współprac</w:t>
      </w:r>
      <w:r>
        <w:t>y</w:t>
      </w:r>
      <w:r w:rsidRPr="00F21196">
        <w:t xml:space="preserve"> z Agencją FRONTEX, w szczególności w zakresie realizacji wspólnych operacji powrotowych. </w:t>
      </w:r>
    </w:p>
    <w:p w14:paraId="74D6027E" w14:textId="77777777" w:rsidR="00B53DEC" w:rsidRDefault="00B53DEC" w:rsidP="00B53DEC">
      <w:pPr>
        <w:jc w:val="both"/>
      </w:pPr>
      <w:r w:rsidRPr="00F21196">
        <w:t>Kontynuowane będą działania zmierzające do dalszej rozbudowy systemów informatycznych, adekwatnie  do obserwowanych zjawisk migracyjnych i identyfikowanych potrzeb w tym zakresie i zapewnienia stałego i na odpowiednim poziomie finansowania, utrzymywania oraz rozwoju systemu teleinformatycznego, w którym prowadzony jest krajowy zbiór rejestrów, ewidencji i wykazu w sprawach cudzoziemców. W szczególności niezbędne są zmiany zapewniające połączenia pomiędzy zaangażowanymi instytucjami, poprawę jakości dany</w:t>
      </w:r>
      <w:r>
        <w:t>ch oraz narzędzi do ich analizy,</w:t>
      </w:r>
      <w:r w:rsidRPr="00F21196">
        <w:t xml:space="preserve"> jak również zapewnienia wydolności systemów elektronicznych, stosownie do wzrostu liczby spraw i ich obsługi. </w:t>
      </w:r>
    </w:p>
    <w:p w14:paraId="512A99A7" w14:textId="77777777" w:rsidR="00B53DEC" w:rsidRPr="007D4C9B" w:rsidRDefault="00B53DEC" w:rsidP="00B53DEC">
      <w:pPr>
        <w:autoSpaceDE w:val="0"/>
        <w:autoSpaceDN w:val="0"/>
        <w:adjustRightInd w:val="0"/>
        <w:spacing w:after="0" w:line="240" w:lineRule="auto"/>
        <w:jc w:val="both"/>
      </w:pPr>
      <w:r w:rsidRPr="007D4C9B">
        <w:t xml:space="preserve">Przedsięwzięcia zapewniające bezpieczeństwo migracyjne będą spójne i skoordynowane z przedsięwzięciami podejmowanymi w celu zapewnienia bezpieczeństwa granicy państwowej RP, w tym zwłaszcza granicy zewnętrznej UE/Schengen (kierunek interwencji 5). </w:t>
      </w:r>
    </w:p>
    <w:p w14:paraId="6A558949" w14:textId="77777777" w:rsidR="00B53DEC" w:rsidRDefault="00B53DEC" w:rsidP="00B53DEC">
      <w:pPr>
        <w:jc w:val="both"/>
      </w:pPr>
    </w:p>
    <w:p w14:paraId="6E80ABC1" w14:textId="77777777" w:rsidR="00B53DEC" w:rsidRDefault="00B53DEC" w:rsidP="00B53DEC">
      <w:pPr>
        <w:jc w:val="both"/>
      </w:pPr>
    </w:p>
    <w:p w14:paraId="5949FD14" w14:textId="77777777" w:rsidR="00B53DEC" w:rsidRPr="00F21196" w:rsidRDefault="00B53DEC" w:rsidP="00B53DEC">
      <w:pPr>
        <w:jc w:val="both"/>
      </w:pPr>
    </w:p>
    <w:p w14:paraId="067ECCC0" w14:textId="77777777" w:rsidR="00B53DEC" w:rsidRDefault="00B53DEC" w:rsidP="00B53DEC">
      <w:pPr>
        <w:pBdr>
          <w:bottom w:val="single" w:sz="24" w:space="1" w:color="9CC2E5" w:themeColor="accent1" w:themeTint="99"/>
        </w:pBdr>
        <w:shd w:val="clear" w:color="auto" w:fill="D9D9D9" w:themeFill="background1" w:themeFillShade="D9"/>
        <w:spacing w:after="0"/>
        <w:rPr>
          <w:b/>
        </w:rPr>
      </w:pPr>
      <w:r w:rsidRPr="008357F6">
        <w:rPr>
          <w:b/>
        </w:rPr>
        <w:t xml:space="preserve">Kierunek interwencji 5. </w:t>
      </w:r>
    </w:p>
    <w:p w14:paraId="4981851E" w14:textId="77777777" w:rsidR="00B53DEC" w:rsidRPr="008357F6" w:rsidRDefault="00B53DEC" w:rsidP="00B53DEC">
      <w:pPr>
        <w:pBdr>
          <w:bottom w:val="single" w:sz="24" w:space="1" w:color="9CC2E5" w:themeColor="accent1" w:themeTint="99"/>
        </w:pBdr>
        <w:shd w:val="clear" w:color="auto" w:fill="D9D9D9" w:themeFill="background1" w:themeFillShade="D9"/>
        <w:spacing w:after="0"/>
        <w:jc w:val="center"/>
        <w:rPr>
          <w:rFonts w:cs="Calibri"/>
          <w:b/>
          <w:i/>
        </w:rPr>
      </w:pPr>
      <w:r w:rsidRPr="008357F6">
        <w:rPr>
          <w:b/>
          <w:i/>
        </w:rPr>
        <w:t>Zintegrowane zarządzanie granic</w:t>
      </w:r>
      <w:r>
        <w:rPr>
          <w:b/>
          <w:i/>
        </w:rPr>
        <w:t>ą</w:t>
      </w:r>
      <w:r w:rsidRPr="008357F6">
        <w:rPr>
          <w:b/>
          <w:i/>
        </w:rPr>
        <w:t xml:space="preserve"> RP, w tym zapewnienie bezpieczeństwa </w:t>
      </w:r>
      <w:r w:rsidRPr="008357F6">
        <w:rPr>
          <w:rFonts w:cs="Calibri"/>
          <w:b/>
          <w:i/>
        </w:rPr>
        <w:t>granicy UE/Schengen.</w:t>
      </w:r>
    </w:p>
    <w:p w14:paraId="08DC9F8D" w14:textId="77777777" w:rsidR="00B53DEC" w:rsidRPr="007D4C9B" w:rsidRDefault="00B53DEC" w:rsidP="00B53DEC">
      <w:pPr>
        <w:autoSpaceDE w:val="0"/>
        <w:autoSpaceDN w:val="0"/>
        <w:adjustRightInd w:val="0"/>
        <w:spacing w:after="0" w:line="276" w:lineRule="auto"/>
        <w:jc w:val="both"/>
      </w:pPr>
      <w:r w:rsidRPr="007D4C9B">
        <w:t xml:space="preserve">Podstawą dla przedsięwzięć ukierunkowanych na zapewnienie bezpieczeństwa granicy RP będzie </w:t>
      </w:r>
      <w:r w:rsidRPr="007B6B91">
        <w:rPr>
          <w:i/>
        </w:rPr>
        <w:t>Strategia Zintegrowanego Zarządzania Granicą Państwową RP,</w:t>
      </w:r>
      <w:r w:rsidRPr="007D4C9B">
        <w:t xml:space="preserve"> wpisana w system Europejskiego zintegrowanego zarządzania granicą</w:t>
      </w:r>
      <w:r>
        <w:rPr>
          <w:rStyle w:val="Odwoanieprzypisudolnego"/>
        </w:rPr>
        <w:footnoteReference w:id="120"/>
      </w:r>
      <w:r w:rsidRPr="007D4C9B">
        <w:t xml:space="preserve"> (</w:t>
      </w:r>
      <w:r w:rsidRPr="007D4C9B">
        <w:rPr>
          <w:i/>
        </w:rPr>
        <w:t>European integrated border management</w:t>
      </w:r>
      <w:r w:rsidRPr="007D4C9B">
        <w:t xml:space="preserve"> – EIBM). Strategia będzie miała charakter międzyresortowy, funkcjonalnie integrujący wszystkie właściwe służby, inspekcje i instytucje działające w obszarze szeroko rozumianych zagrożeń transgranicznych. Szczególna rolę w implementacji tej Strategii przypadnie Straży Granicznej, jako wiodącej polskiej służbie graniczno-migracyjnej a jednocześnie jednej z europejskich służb granicznych, które od 2016 r. współtworzą (wraz z Agencją FRONTEX) Europejską Straż Graniczną i Przybrzeżną (</w:t>
      </w:r>
      <w:r w:rsidRPr="007D4C9B">
        <w:rPr>
          <w:i/>
        </w:rPr>
        <w:t>European Border and Coast Guard</w:t>
      </w:r>
      <w:r w:rsidRPr="007D4C9B">
        <w:t xml:space="preserve"> – EBCG). Należy podkreślić, że w warunkach strefy Schengen Straż Graniczna nie jest w stanie samodzielnie wykonywać wszystkich obowiązków i zadań przewidzianych dla państw członkowskich w europejskim modelu zarządzania granicą UE. Aby je wykonać niezbędne jest spójne i skoordynowane (zintegrowane) współdziałanie wszystkich właściwych organów administracji.</w:t>
      </w:r>
    </w:p>
    <w:p w14:paraId="12E19AEC" w14:textId="77777777" w:rsidR="00B53DEC" w:rsidRPr="007D4C9B" w:rsidRDefault="00B53DEC" w:rsidP="00B53DEC">
      <w:pPr>
        <w:spacing w:after="0" w:line="276" w:lineRule="auto"/>
        <w:jc w:val="both"/>
        <w:rPr>
          <w:rFonts w:eastAsia="Times New Roman" w:cs="Calibri"/>
          <w:lang w:eastAsia="pl-PL"/>
        </w:rPr>
      </w:pPr>
      <w:r w:rsidRPr="007D4C9B">
        <w:t>Straż Graniczna dążąc do usprawnienia procedur związanych z obsługą ruchu granicznego, podejmuje działania zmierzające do poszukiwania optymalnych rozwiązań w różnych obszarach tematycznych, obejmujących procesy szeroko rozumianej kontroli granicznej. Należą do nich: pełne wykorzystanie możliwości obecnej infrastruktury przejść granicznych, zapewnienie odpowiednio wysokiego poziomu współpracy ze służbami realizującymi działania w przejściach granicznych, zarówno po stronie polskiej jak i państw sąsiednich, poszukiwanie nowych rozwiązań technologicznych i organizacyjnych, wprowadzenie niezbędnych zmian infrastrukturalnych w przejściach granicznych, jak również stałe podnoszenie poziomu doskonalenia zawodowego kadr.</w:t>
      </w:r>
      <w:r w:rsidRPr="007D4C9B">
        <w:rPr>
          <w:rFonts w:eastAsia="Times New Roman" w:cs="Calibri"/>
          <w:lang w:eastAsia="pl-PL"/>
        </w:rPr>
        <w:t xml:space="preserve"> </w:t>
      </w:r>
      <w:r w:rsidRPr="007D4C9B">
        <w:t>W celu realizacji powyższych zamierzeń zasadn</w:t>
      </w:r>
      <w:r>
        <w:t>e</w:t>
      </w:r>
      <w:r w:rsidRPr="007D4C9B">
        <w:t xml:space="preserve"> jest dążenie do:</w:t>
      </w:r>
      <w:r w:rsidRPr="007D4C9B">
        <w:rPr>
          <w:rFonts w:eastAsia="Times New Roman" w:cs="Calibri"/>
          <w:lang w:eastAsia="pl-PL"/>
        </w:rPr>
        <w:t xml:space="preserve"> </w:t>
      </w:r>
    </w:p>
    <w:p w14:paraId="74011A23" w14:textId="77777777" w:rsidR="00B53DEC" w:rsidRPr="007D4C9B" w:rsidRDefault="00B53DEC" w:rsidP="00723B3F">
      <w:pPr>
        <w:pStyle w:val="Akapitzlist"/>
        <w:numPr>
          <w:ilvl w:val="0"/>
          <w:numId w:val="44"/>
        </w:numPr>
        <w:spacing w:line="276" w:lineRule="auto"/>
        <w:ind w:left="426"/>
        <w:jc w:val="both"/>
        <w:rPr>
          <w:rFonts w:asciiTheme="minorHAnsi" w:eastAsia="Times New Roman" w:hAnsiTheme="minorHAnsi" w:cstheme="minorHAnsi"/>
          <w:sz w:val="22"/>
          <w:szCs w:val="22"/>
        </w:rPr>
      </w:pPr>
      <w:r w:rsidRPr="007D4C9B">
        <w:rPr>
          <w:rFonts w:asciiTheme="minorHAnsi" w:eastAsia="Times New Roman" w:hAnsiTheme="minorHAnsi" w:cstheme="minorHAnsi"/>
          <w:sz w:val="22"/>
          <w:szCs w:val="22"/>
        </w:rPr>
        <w:t>zabezpieczenia optymalnej liczby funkcjonariuszy wykonujących zadania na przejściach granicznych adekwatnie do skali ruchu granicznego i możliwości infrastruktury,</w:t>
      </w:r>
    </w:p>
    <w:p w14:paraId="695498B7" w14:textId="77777777" w:rsidR="00B53DEC" w:rsidRPr="007D4C9B" w:rsidRDefault="00B53DEC" w:rsidP="00723B3F">
      <w:pPr>
        <w:pStyle w:val="Akapitzlist"/>
        <w:numPr>
          <w:ilvl w:val="0"/>
          <w:numId w:val="68"/>
        </w:numPr>
        <w:spacing w:line="276" w:lineRule="auto"/>
        <w:ind w:left="426"/>
        <w:jc w:val="both"/>
        <w:rPr>
          <w:rFonts w:asciiTheme="minorHAnsi" w:eastAsia="Times New Roman" w:hAnsiTheme="minorHAnsi" w:cstheme="minorHAnsi"/>
          <w:sz w:val="22"/>
          <w:szCs w:val="22"/>
        </w:rPr>
      </w:pPr>
      <w:r w:rsidRPr="007D4C9B">
        <w:rPr>
          <w:rFonts w:asciiTheme="minorHAnsi" w:eastAsia="Times New Roman" w:hAnsiTheme="minorHAnsi" w:cstheme="minorHAnsi"/>
          <w:sz w:val="22"/>
          <w:szCs w:val="22"/>
        </w:rPr>
        <w:t>utrzymania wysokiej sprawności systemów teleinformatycznych, umożliwiających stały dostęp do baz danych, wykorzystywanych w odprawie granicznej,</w:t>
      </w:r>
    </w:p>
    <w:p w14:paraId="6D7382D0" w14:textId="77777777" w:rsidR="00B53DEC" w:rsidRPr="007D4C9B" w:rsidRDefault="00B53DEC" w:rsidP="00723B3F">
      <w:pPr>
        <w:pStyle w:val="Akapitzlist"/>
        <w:numPr>
          <w:ilvl w:val="0"/>
          <w:numId w:val="68"/>
        </w:numPr>
        <w:spacing w:line="276" w:lineRule="auto"/>
        <w:ind w:left="426"/>
        <w:jc w:val="both"/>
        <w:rPr>
          <w:rFonts w:asciiTheme="minorHAnsi" w:eastAsia="Times New Roman" w:hAnsiTheme="minorHAnsi" w:cstheme="minorHAnsi"/>
          <w:sz w:val="22"/>
          <w:szCs w:val="22"/>
        </w:rPr>
      </w:pPr>
      <w:r w:rsidRPr="007D4C9B">
        <w:rPr>
          <w:rFonts w:asciiTheme="minorHAnsi" w:eastAsia="Times New Roman" w:hAnsiTheme="minorHAnsi" w:cstheme="minorHAnsi"/>
          <w:sz w:val="22"/>
          <w:szCs w:val="22"/>
        </w:rPr>
        <w:t xml:space="preserve">wdrażania nowych technologii do odprawy granicznej (biometria, automatyzacja); </w:t>
      </w:r>
    </w:p>
    <w:p w14:paraId="036E59B5" w14:textId="77777777" w:rsidR="00B53DEC" w:rsidRPr="007D4C9B" w:rsidRDefault="00B53DEC" w:rsidP="00723B3F">
      <w:pPr>
        <w:pStyle w:val="Akapitzlist"/>
        <w:numPr>
          <w:ilvl w:val="0"/>
          <w:numId w:val="68"/>
        </w:numPr>
        <w:spacing w:line="276" w:lineRule="auto"/>
        <w:ind w:left="426"/>
        <w:jc w:val="both"/>
        <w:rPr>
          <w:rFonts w:asciiTheme="minorHAnsi" w:eastAsia="Times New Roman" w:hAnsiTheme="minorHAnsi" w:cstheme="minorHAnsi"/>
          <w:sz w:val="22"/>
          <w:szCs w:val="22"/>
        </w:rPr>
      </w:pPr>
      <w:r w:rsidRPr="007D4C9B">
        <w:rPr>
          <w:rFonts w:asciiTheme="minorHAnsi" w:eastAsia="Times New Roman" w:hAnsiTheme="minorHAnsi" w:cstheme="minorHAnsi"/>
          <w:sz w:val="22"/>
          <w:szCs w:val="22"/>
        </w:rPr>
        <w:t xml:space="preserve">modernizacji systemu kontroli radiometrycznej przejść granicznych w zakresie zapobiegania nielegalnemu wwozowi do RP materiałów promieniotwórczych, jądrowych i odpadów promieniotwórczych, </w:t>
      </w:r>
    </w:p>
    <w:p w14:paraId="3B7416D9" w14:textId="77777777" w:rsidR="00B53DEC" w:rsidRPr="007D4C9B" w:rsidRDefault="00B53DEC" w:rsidP="00723B3F">
      <w:pPr>
        <w:pStyle w:val="Akapitzlist"/>
        <w:numPr>
          <w:ilvl w:val="0"/>
          <w:numId w:val="68"/>
        </w:numPr>
        <w:spacing w:line="276" w:lineRule="auto"/>
        <w:ind w:left="426"/>
        <w:jc w:val="both"/>
        <w:rPr>
          <w:rFonts w:asciiTheme="minorHAnsi" w:eastAsia="Times New Roman" w:hAnsiTheme="minorHAnsi" w:cstheme="minorHAnsi"/>
          <w:sz w:val="22"/>
          <w:szCs w:val="22"/>
        </w:rPr>
      </w:pPr>
      <w:r w:rsidRPr="007D4C9B">
        <w:rPr>
          <w:rFonts w:asciiTheme="minorHAnsi" w:eastAsia="Times New Roman" w:hAnsiTheme="minorHAnsi" w:cstheme="minorHAnsi"/>
          <w:sz w:val="22"/>
          <w:szCs w:val="22"/>
        </w:rPr>
        <w:t xml:space="preserve">rozwijanie potencjału umożliwiającego wykrywanie materiałów wybuchowych i broni w drogowych, morskich i kolejowych przejściach granicznych, </w:t>
      </w:r>
    </w:p>
    <w:p w14:paraId="6F9D4F1B" w14:textId="77777777" w:rsidR="00B53DEC" w:rsidRPr="007D4C9B" w:rsidRDefault="00B53DEC" w:rsidP="00723B3F">
      <w:pPr>
        <w:pStyle w:val="Akapitzlist"/>
        <w:numPr>
          <w:ilvl w:val="0"/>
          <w:numId w:val="68"/>
        </w:numPr>
        <w:spacing w:line="276" w:lineRule="auto"/>
        <w:ind w:left="426"/>
        <w:jc w:val="both"/>
        <w:rPr>
          <w:rFonts w:asciiTheme="minorHAnsi" w:eastAsia="Times New Roman" w:hAnsiTheme="minorHAnsi" w:cstheme="minorHAnsi"/>
          <w:sz w:val="22"/>
          <w:szCs w:val="22"/>
        </w:rPr>
      </w:pPr>
      <w:r w:rsidRPr="007D4C9B">
        <w:rPr>
          <w:rFonts w:asciiTheme="minorHAnsi" w:eastAsia="Times New Roman" w:hAnsiTheme="minorHAnsi" w:cstheme="minorHAnsi"/>
          <w:sz w:val="22"/>
          <w:szCs w:val="22"/>
        </w:rPr>
        <w:t xml:space="preserve">utrzymania stałej gotowości do pełnienia wart ochronnych na pokładach statków powietrznych, </w:t>
      </w:r>
    </w:p>
    <w:p w14:paraId="00F0BB92" w14:textId="77777777" w:rsidR="00B53DEC" w:rsidRPr="007D4C9B" w:rsidRDefault="00B53DEC" w:rsidP="00723B3F">
      <w:pPr>
        <w:pStyle w:val="Akapitzlist"/>
        <w:numPr>
          <w:ilvl w:val="0"/>
          <w:numId w:val="68"/>
        </w:numPr>
        <w:spacing w:line="276" w:lineRule="auto"/>
        <w:ind w:left="426"/>
        <w:jc w:val="both"/>
        <w:rPr>
          <w:rFonts w:asciiTheme="minorHAnsi" w:eastAsia="Times New Roman" w:hAnsiTheme="minorHAnsi" w:cstheme="minorHAnsi"/>
          <w:sz w:val="22"/>
          <w:szCs w:val="22"/>
        </w:rPr>
      </w:pPr>
      <w:r w:rsidRPr="007D4C9B">
        <w:rPr>
          <w:rFonts w:asciiTheme="minorHAnsi" w:eastAsia="Times New Roman" w:hAnsiTheme="minorHAnsi" w:cstheme="minorHAnsi"/>
          <w:sz w:val="22"/>
          <w:szCs w:val="22"/>
        </w:rPr>
        <w:t xml:space="preserve">systematycznego szkolenia kadr, </w:t>
      </w:r>
    </w:p>
    <w:p w14:paraId="2E586DC9" w14:textId="77777777" w:rsidR="00B53DEC" w:rsidRPr="007D4C9B" w:rsidRDefault="00B53DEC" w:rsidP="00723B3F">
      <w:pPr>
        <w:pStyle w:val="Akapitzlist"/>
        <w:numPr>
          <w:ilvl w:val="0"/>
          <w:numId w:val="68"/>
        </w:numPr>
        <w:spacing w:line="276" w:lineRule="auto"/>
        <w:ind w:left="426"/>
        <w:jc w:val="both"/>
        <w:rPr>
          <w:rFonts w:asciiTheme="minorHAnsi" w:eastAsia="Times New Roman" w:hAnsiTheme="minorHAnsi" w:cstheme="minorHAnsi"/>
          <w:sz w:val="22"/>
          <w:szCs w:val="22"/>
        </w:rPr>
      </w:pPr>
      <w:r w:rsidRPr="007D4C9B">
        <w:rPr>
          <w:rFonts w:asciiTheme="minorHAnsi" w:eastAsia="Times New Roman" w:hAnsiTheme="minorHAnsi" w:cstheme="minorHAnsi"/>
          <w:sz w:val="22"/>
          <w:szCs w:val="22"/>
        </w:rPr>
        <w:t xml:space="preserve">rozbudowy/modernizacji istniejącej infrastruktury granicznej. </w:t>
      </w:r>
    </w:p>
    <w:p w14:paraId="11789622" w14:textId="77777777" w:rsidR="00B53DEC" w:rsidRPr="007D4C9B" w:rsidRDefault="00B53DEC" w:rsidP="00B53DEC">
      <w:pPr>
        <w:spacing w:after="120" w:line="276" w:lineRule="auto"/>
        <w:jc w:val="both"/>
        <w:rPr>
          <w:rFonts w:eastAsia="Times New Roman" w:cs="Calibri"/>
        </w:rPr>
      </w:pPr>
      <w:r w:rsidRPr="007D4C9B">
        <w:t>Efektem założonych działań będzie zaimplementowanie najlepszych rozwiązań usprawniających proces kontroli ruchu granicznego. Powyższe działania zapewnią osiągnięcie najwyższych standardów przekraczania granicy oraz maksymalne skrócenie czasu oczekiwania na odprawę graniczną, przy utrzymaniu wysokiej skuteczności formacji. Działania te przyczynią się również do poprawy poziomu bezpieczeństwa, w szczególności w zakresie migracji, kontroli bezpieczeństwa osób, przy przemieszczaniu materiałów promieniotwórczych, broni, amunicji, materiałów wybuchowych, przy rozpoznaniu i neutralizacji zagrożeń związanych z bezprawnym użyciem materiałów pirotechnicznych oraz działań w kontroli ruchu drogowego.</w:t>
      </w:r>
      <w:r w:rsidRPr="007D4C9B">
        <w:rPr>
          <w:rFonts w:eastAsia="Times New Roman" w:cs="Calibri"/>
        </w:rPr>
        <w:t xml:space="preserve"> </w:t>
      </w:r>
    </w:p>
    <w:p w14:paraId="5A245AB9" w14:textId="77777777" w:rsidR="00B53DEC" w:rsidRDefault="00B53DEC" w:rsidP="00B53DEC">
      <w:pPr>
        <w:spacing w:after="120" w:line="276" w:lineRule="auto"/>
        <w:jc w:val="both"/>
      </w:pPr>
      <w:r w:rsidRPr="00A72E09">
        <w:t>Implementacja Rozporządzenia Parlamentu europejskiego i Rady (UE) 2019/1157 z dnia 20 czerwca 2019 r. w sprawie poprawy zabezpieczeń dowodów osobistych obywateli Unii i dokumentów pobytowych wydawanych obywatelom Unii i członkom ich rodzin korzystającym z prawa do swobodnego przemieszczania się. Rozporządzenie nakłada obowiązek umieszczenia drugiej cechy biometrycznej (</w:t>
      </w:r>
      <w:r>
        <w:t xml:space="preserve">dwóch </w:t>
      </w:r>
      <w:r w:rsidRPr="00A72E09">
        <w:t>odcisk</w:t>
      </w:r>
      <w:r>
        <w:t>ów</w:t>
      </w:r>
      <w:r w:rsidRPr="00A72E09">
        <w:t xml:space="preserve"> palc</w:t>
      </w:r>
      <w:r>
        <w:t>ów</w:t>
      </w:r>
      <w:r w:rsidRPr="00A72E09">
        <w:t xml:space="preserve">) </w:t>
      </w:r>
      <w:r>
        <w:t>w warstwie elektronicznej</w:t>
      </w:r>
      <w:r w:rsidRPr="00A72E09">
        <w:t xml:space="preserve"> do dowodu osobistego.</w:t>
      </w:r>
    </w:p>
    <w:p w14:paraId="3FB94E86" w14:textId="77777777" w:rsidR="00B53DEC" w:rsidRPr="007D4C9B" w:rsidRDefault="00B53DEC" w:rsidP="00B53DEC">
      <w:pPr>
        <w:spacing w:after="0" w:line="276" w:lineRule="auto"/>
        <w:jc w:val="both"/>
      </w:pPr>
      <w:r w:rsidRPr="007D4C9B">
        <w:t xml:space="preserve">Straż Graniczna poddaje stałej analizie rozwiązania techniczne mogące służyć wsparciu działań w ochronie granicy państwowej oraz ograniczaniu zjawiska nielegalnej migracji oraz przemytu i zagrożeń z nimi związanych, poszukując optymalnych możliwości skutecznego zabezpieczenia granicy. </w:t>
      </w:r>
      <w:r>
        <w:t>Dlatego też</w:t>
      </w:r>
      <w:r w:rsidRPr="007D4C9B">
        <w:t xml:space="preserve"> dążyć </w:t>
      </w:r>
      <w:r>
        <w:t xml:space="preserve">się będzie </w:t>
      </w:r>
      <w:r w:rsidRPr="007D4C9B">
        <w:t xml:space="preserve">do: </w:t>
      </w:r>
    </w:p>
    <w:p w14:paraId="43064EA2" w14:textId="77777777" w:rsidR="00B53DEC" w:rsidRPr="007D4C9B" w:rsidRDefault="00B53DEC" w:rsidP="00723B3F">
      <w:pPr>
        <w:pStyle w:val="Akapitzlist"/>
        <w:numPr>
          <w:ilvl w:val="0"/>
          <w:numId w:val="69"/>
        </w:numPr>
        <w:spacing w:line="276" w:lineRule="auto"/>
        <w:ind w:left="567"/>
        <w:jc w:val="both"/>
        <w:rPr>
          <w:rFonts w:asciiTheme="minorHAnsi" w:eastAsia="Times New Roman" w:hAnsiTheme="minorHAnsi" w:cstheme="minorHAnsi"/>
          <w:sz w:val="22"/>
          <w:szCs w:val="22"/>
        </w:rPr>
      </w:pPr>
      <w:r w:rsidRPr="007D4C9B">
        <w:rPr>
          <w:rFonts w:asciiTheme="minorHAnsi" w:eastAsia="Times New Roman" w:hAnsiTheme="minorHAnsi" w:cstheme="minorHAnsi"/>
          <w:sz w:val="22"/>
          <w:szCs w:val="22"/>
        </w:rPr>
        <w:t>zabezpieczenia optymalnej liczby funkcjonariuszy wykonujących zadania na odcinku granicy zielonej,</w:t>
      </w:r>
    </w:p>
    <w:p w14:paraId="64038287" w14:textId="77777777" w:rsidR="00B53DEC" w:rsidRPr="007D4C9B" w:rsidRDefault="00B53DEC" w:rsidP="00723B3F">
      <w:pPr>
        <w:pStyle w:val="Akapitzlist"/>
        <w:numPr>
          <w:ilvl w:val="0"/>
          <w:numId w:val="69"/>
        </w:numPr>
        <w:spacing w:line="276" w:lineRule="auto"/>
        <w:ind w:left="567"/>
        <w:jc w:val="both"/>
        <w:rPr>
          <w:rFonts w:asciiTheme="minorHAnsi" w:eastAsia="Times New Roman" w:hAnsiTheme="minorHAnsi" w:cstheme="minorHAnsi"/>
          <w:sz w:val="22"/>
          <w:szCs w:val="22"/>
        </w:rPr>
      </w:pPr>
      <w:r w:rsidRPr="007D4C9B">
        <w:rPr>
          <w:rFonts w:asciiTheme="minorHAnsi" w:eastAsia="Times New Roman" w:hAnsiTheme="minorHAnsi" w:cstheme="minorHAnsi"/>
          <w:sz w:val="22"/>
          <w:szCs w:val="22"/>
        </w:rPr>
        <w:t>utrzymywania w ciągłej sprawności sprzętu specjalistycznego, transportowego, łączności,</w:t>
      </w:r>
    </w:p>
    <w:p w14:paraId="75B36189" w14:textId="77777777" w:rsidR="00B53DEC" w:rsidRPr="007D4C9B" w:rsidRDefault="00B53DEC" w:rsidP="00723B3F">
      <w:pPr>
        <w:pStyle w:val="Akapitzlist"/>
        <w:numPr>
          <w:ilvl w:val="0"/>
          <w:numId w:val="69"/>
        </w:numPr>
        <w:spacing w:line="276" w:lineRule="auto"/>
        <w:ind w:left="567"/>
        <w:jc w:val="both"/>
        <w:rPr>
          <w:rFonts w:asciiTheme="minorHAnsi" w:eastAsia="Times New Roman" w:hAnsiTheme="minorHAnsi" w:cstheme="minorHAnsi"/>
          <w:sz w:val="22"/>
          <w:szCs w:val="22"/>
        </w:rPr>
      </w:pPr>
      <w:r w:rsidRPr="007D4C9B">
        <w:rPr>
          <w:rFonts w:asciiTheme="minorHAnsi" w:eastAsia="Times New Roman" w:hAnsiTheme="minorHAnsi" w:cstheme="minorHAnsi"/>
          <w:sz w:val="22"/>
          <w:szCs w:val="22"/>
        </w:rPr>
        <w:t>utrzymania i modernizacji Zautomatyzowanego Systemu Radarowego Nadzoru (ZSRN) polskich obszarów morskich,</w:t>
      </w:r>
    </w:p>
    <w:p w14:paraId="7DB1C591" w14:textId="77777777" w:rsidR="00B53DEC" w:rsidRPr="00837310" w:rsidRDefault="00B53DEC" w:rsidP="00723B3F">
      <w:pPr>
        <w:pStyle w:val="Akapitzlist"/>
        <w:numPr>
          <w:ilvl w:val="0"/>
          <w:numId w:val="69"/>
        </w:numPr>
        <w:spacing w:line="276" w:lineRule="auto"/>
        <w:ind w:left="567"/>
        <w:jc w:val="both"/>
        <w:rPr>
          <w:rFonts w:asciiTheme="minorHAnsi" w:eastAsia="Times New Roman" w:hAnsiTheme="minorHAnsi" w:cstheme="minorHAnsi"/>
          <w:sz w:val="22"/>
          <w:szCs w:val="22"/>
        </w:rPr>
      </w:pPr>
      <w:r w:rsidRPr="007D4C9B">
        <w:rPr>
          <w:rFonts w:asciiTheme="minorHAnsi" w:eastAsia="Times New Roman" w:hAnsiTheme="minorHAnsi" w:cstheme="minorHAnsi"/>
          <w:sz w:val="22"/>
          <w:szCs w:val="22"/>
        </w:rPr>
        <w:t xml:space="preserve">zabezpieczenia lądowego odcinka granicy poprzez budowę zintegrowanego systemu ochrony perymetrycznej lub zastosowanie innych rozwiązań technologicznych, umożliwiających wykrywanie osób i nisko przelatujących obiektów (przy wsparciu Agencji </w:t>
      </w:r>
      <w:r w:rsidRPr="00837310">
        <w:rPr>
          <w:rFonts w:asciiTheme="minorHAnsi" w:eastAsia="Times New Roman" w:hAnsiTheme="minorHAnsi" w:cstheme="minorHAnsi"/>
          <w:sz w:val="22"/>
          <w:szCs w:val="22"/>
        </w:rPr>
        <w:t>FRONTEX),</w:t>
      </w:r>
    </w:p>
    <w:p w14:paraId="27F5552C" w14:textId="77777777" w:rsidR="00B53DEC" w:rsidRPr="007D4C9B" w:rsidRDefault="00B53DEC" w:rsidP="00723B3F">
      <w:pPr>
        <w:pStyle w:val="Akapitzlist"/>
        <w:numPr>
          <w:ilvl w:val="0"/>
          <w:numId w:val="69"/>
        </w:numPr>
        <w:spacing w:line="276" w:lineRule="auto"/>
        <w:ind w:left="567"/>
        <w:jc w:val="both"/>
        <w:rPr>
          <w:rFonts w:asciiTheme="minorHAnsi" w:eastAsia="Times New Roman" w:hAnsiTheme="minorHAnsi" w:cstheme="minorHAnsi"/>
          <w:sz w:val="22"/>
          <w:szCs w:val="22"/>
        </w:rPr>
      </w:pPr>
      <w:r w:rsidRPr="007D4C9B">
        <w:rPr>
          <w:rFonts w:asciiTheme="minorHAnsi" w:eastAsia="Times New Roman" w:hAnsiTheme="minorHAnsi" w:cstheme="minorHAnsi"/>
          <w:sz w:val="22"/>
          <w:szCs w:val="22"/>
        </w:rPr>
        <w:t>pozyskania technologii zabezpieczających rzeczne odcinki granicy przed ich nielegalnym przekraczaniem,</w:t>
      </w:r>
    </w:p>
    <w:p w14:paraId="09D13874" w14:textId="77777777" w:rsidR="00B53DEC" w:rsidRPr="007D4C9B" w:rsidRDefault="00B53DEC" w:rsidP="00723B3F">
      <w:pPr>
        <w:pStyle w:val="Akapitzlist"/>
        <w:numPr>
          <w:ilvl w:val="0"/>
          <w:numId w:val="69"/>
        </w:numPr>
        <w:spacing w:line="276" w:lineRule="auto"/>
        <w:ind w:left="567"/>
        <w:jc w:val="both"/>
        <w:rPr>
          <w:rFonts w:asciiTheme="minorHAnsi" w:eastAsia="Times New Roman" w:hAnsiTheme="minorHAnsi" w:cstheme="minorHAnsi"/>
          <w:sz w:val="22"/>
          <w:szCs w:val="22"/>
        </w:rPr>
      </w:pPr>
      <w:r w:rsidRPr="007D4C9B">
        <w:rPr>
          <w:rFonts w:asciiTheme="minorHAnsi" w:eastAsia="Times New Roman" w:hAnsiTheme="minorHAnsi" w:cstheme="minorHAnsi"/>
          <w:sz w:val="22"/>
          <w:szCs w:val="22"/>
        </w:rPr>
        <w:t>modernizacji Lotnictwa SG,</w:t>
      </w:r>
    </w:p>
    <w:p w14:paraId="3A6F67D9" w14:textId="77777777" w:rsidR="00B53DEC" w:rsidRPr="007D4C9B" w:rsidRDefault="00B53DEC" w:rsidP="00723B3F">
      <w:pPr>
        <w:pStyle w:val="Akapitzlist"/>
        <w:numPr>
          <w:ilvl w:val="0"/>
          <w:numId w:val="69"/>
        </w:numPr>
        <w:spacing w:line="276" w:lineRule="auto"/>
        <w:ind w:left="567"/>
        <w:jc w:val="both"/>
        <w:rPr>
          <w:rFonts w:asciiTheme="minorHAnsi" w:eastAsia="Times New Roman" w:hAnsiTheme="minorHAnsi" w:cstheme="minorHAnsi"/>
          <w:sz w:val="22"/>
          <w:szCs w:val="22"/>
        </w:rPr>
      </w:pPr>
      <w:r w:rsidRPr="007D4C9B">
        <w:rPr>
          <w:rFonts w:asciiTheme="minorHAnsi" w:eastAsia="Times New Roman" w:hAnsiTheme="minorHAnsi" w:cstheme="minorHAnsi"/>
          <w:sz w:val="22"/>
          <w:szCs w:val="22"/>
        </w:rPr>
        <w:t>modernizacji morskich jednostek pływających,</w:t>
      </w:r>
    </w:p>
    <w:p w14:paraId="5EEFC207" w14:textId="77777777" w:rsidR="00B53DEC" w:rsidRPr="007D4C9B" w:rsidRDefault="00B53DEC" w:rsidP="00723B3F">
      <w:pPr>
        <w:pStyle w:val="Akapitzlist"/>
        <w:numPr>
          <w:ilvl w:val="0"/>
          <w:numId w:val="69"/>
        </w:numPr>
        <w:spacing w:line="276" w:lineRule="auto"/>
        <w:ind w:left="567"/>
        <w:jc w:val="both"/>
        <w:rPr>
          <w:rFonts w:asciiTheme="minorHAnsi" w:eastAsia="Times New Roman" w:hAnsiTheme="minorHAnsi" w:cstheme="minorHAnsi"/>
          <w:sz w:val="22"/>
          <w:szCs w:val="22"/>
        </w:rPr>
      </w:pPr>
      <w:r w:rsidRPr="007D4C9B">
        <w:rPr>
          <w:rFonts w:asciiTheme="minorHAnsi" w:eastAsia="Times New Roman" w:hAnsiTheme="minorHAnsi" w:cstheme="minorHAnsi"/>
          <w:sz w:val="22"/>
          <w:szCs w:val="22"/>
        </w:rPr>
        <w:t>szerszego wykorzystania bezzałogowych statków powietrznych w ochronie granicy państwowej,</w:t>
      </w:r>
    </w:p>
    <w:p w14:paraId="2EF36A59" w14:textId="77777777" w:rsidR="00B53DEC" w:rsidRPr="007D4C9B" w:rsidRDefault="00B53DEC" w:rsidP="00723B3F">
      <w:pPr>
        <w:pStyle w:val="Akapitzlist"/>
        <w:numPr>
          <w:ilvl w:val="0"/>
          <w:numId w:val="69"/>
        </w:numPr>
        <w:spacing w:line="276" w:lineRule="auto"/>
        <w:ind w:left="567"/>
        <w:jc w:val="both"/>
        <w:rPr>
          <w:rFonts w:asciiTheme="minorHAnsi" w:eastAsia="Times New Roman" w:hAnsiTheme="minorHAnsi" w:cstheme="minorHAnsi"/>
          <w:sz w:val="22"/>
          <w:szCs w:val="22"/>
        </w:rPr>
      </w:pPr>
      <w:r w:rsidRPr="007D4C9B">
        <w:rPr>
          <w:rFonts w:asciiTheme="minorHAnsi" w:eastAsia="Times New Roman" w:hAnsiTheme="minorHAnsi" w:cstheme="minorHAnsi"/>
          <w:sz w:val="22"/>
          <w:szCs w:val="22"/>
        </w:rPr>
        <w:t>systematycznego szkolenia kadr. Efektem założonych działań będzie osiągnięcie wysokiego stopnia skuteczności i efektywności ochrony granicy państwowej poprzez ograniczenie nielegalnej migracji i przemytu. Doposażenie formacji w odpowiedni sprzęt techniczny i środki transportu, umożliwi wykonywanie zadań w najtrudniejszych warunkach terenowych i atmosferycznych w sposób ciągły.</w:t>
      </w:r>
    </w:p>
    <w:p w14:paraId="4B43B013" w14:textId="77777777" w:rsidR="00B53DEC" w:rsidRPr="002D59E5" w:rsidRDefault="00B53DEC" w:rsidP="00B53DEC">
      <w:pPr>
        <w:spacing w:after="0"/>
        <w:jc w:val="both"/>
        <w:rPr>
          <w:rFonts w:eastAsia="Times New Roman" w:cs="Calibri"/>
          <w:lang w:eastAsia="pl-PL"/>
        </w:rPr>
      </w:pPr>
    </w:p>
    <w:p w14:paraId="7EC69746" w14:textId="77777777" w:rsidR="00B53DEC" w:rsidRPr="002D59E5" w:rsidRDefault="00B53DEC" w:rsidP="00B53DEC">
      <w:pPr>
        <w:spacing w:after="0"/>
        <w:jc w:val="both"/>
        <w:rPr>
          <w:rFonts w:eastAsia="Times New Roman" w:cs="Calibri"/>
          <w:lang w:eastAsia="pl-PL"/>
        </w:rPr>
      </w:pPr>
      <w:r w:rsidRPr="002D59E5">
        <w:t xml:space="preserve">W celu zapewnienie bezpieczeństwa </w:t>
      </w:r>
      <w:r w:rsidRPr="002D59E5">
        <w:rPr>
          <w:rFonts w:cs="Calibri"/>
        </w:rPr>
        <w:t>granicy UE/Schengen</w:t>
      </w:r>
      <w:r w:rsidRPr="002D59E5">
        <w:rPr>
          <w:rFonts w:eastAsia="Times New Roman" w:cs="Calibri"/>
          <w:lang w:eastAsia="pl-PL"/>
        </w:rPr>
        <w:t xml:space="preserve"> działania Krajowej Administracji Skarbowej (dalej: KAS) będą koncentrowały się na zapewnieniu elektronicznego zintegrowanego systemu obsługi klienta w jednostkach KAS i na granicy przy jednoczesnym zapewnieniu ochrony zewnętrznej granicy UE oraz unijnego obszaru celnego przed przywozem towarów przemycanych lub podlegających zakazom i ograniczeniom. Będą odpowiadały na podstawowe potrzeby przedsiębiorców i obywateli jakimi są szybka i sprawna obsługa przy przekraczaniu granicy oraz zminimalizowanie obciążeń związanych z obsługą obrotu towarowego i przemieszczania wyrobów akcyzowych. Czynności realizowane przez KAS będą zmierzały do przeciwdziałania wprowadzaniu do UE towarów naruszających zakazy i ograniczenia, zwalczania przestępczości w tym obszarze oraz poprawę współpracy z innymi organami administracji publicznej biorącymi udział w obrocie towarowym z krajami trzecimi.</w:t>
      </w:r>
    </w:p>
    <w:p w14:paraId="23A6587C" w14:textId="77777777" w:rsidR="00B53DEC" w:rsidRPr="000451DB" w:rsidRDefault="00B53DEC" w:rsidP="00B53DEC">
      <w:pPr>
        <w:spacing w:after="0" w:line="276" w:lineRule="auto"/>
        <w:jc w:val="both"/>
        <w:rPr>
          <w:rFonts w:cs="Times New Roman"/>
          <w:bCs/>
        </w:rPr>
      </w:pPr>
      <w:r w:rsidRPr="000451DB">
        <w:t xml:space="preserve">Mając na uwadze konieczność zapewnienia skutecznej kontroli, przy stałym wzroście natężenia obrotu towarowego i ruchu osobowego, KAS będzie podejmowała szereg działań organizacyjno-technicznych zmierzających do usprawnienia kontroli granicznej. </w:t>
      </w:r>
      <w:r w:rsidRPr="000451DB">
        <w:rPr>
          <w:rFonts w:cs="Times New Roman"/>
          <w:bCs/>
        </w:rPr>
        <w:t xml:space="preserve">Niewątpliwym ułatwieniem obsługi obrotu granicznego będzie realizowany obecnie projekt – System Cyfrowa Granica, który zakłada </w:t>
      </w:r>
      <w:r w:rsidRPr="000451DB">
        <w:rPr>
          <w:rFonts w:cs="Times New Roman"/>
        </w:rPr>
        <w:t xml:space="preserve">znaczące udoskonalenie metod obsługi osób, pojazdów i towarów w obrębie drogowych i kolejowych przejść granicznych oraz poszerzenie możliwości wsparcia obsługi o nowe rodzaje ruchu (graniczny ruch lotniczy oraz morski ruch promowy). System Cyfrowa Granica stanowić ma sprawniejsze narzędzie wsparcia ich aktywności biznesowych związanych z przemieszczaniem towarów i osób przez zewnętrzną granicę Unii Europejskiej. </w:t>
      </w:r>
      <w:r w:rsidRPr="000451DB">
        <w:rPr>
          <w:rFonts w:cstheme="minorHAnsi"/>
        </w:rPr>
        <w:t>System ten ma umożliwić KAS i jej partnerom (m.in. Straży Granicznej, inspekcjom granicznym, zarządcom przejść granicznych) efektywniejsze wykonywanie i lepszą koordynację usług związanych z realizacją procesów obsługi klienta na przejściach granicznych. Dzięki zastosowaniu rozwiązań proponowanych w ramach Systemu Cyfrowa Granica KAS zarządzać będzie dostępną na przejściu infrastrukturą techniczną w sposób zharmonizowany z kolejnymi etapami obsługi klienta. System stanowić ma przy tym platformę integrującą wszelkie aspekty odprawy granicznej. Co istotne, platforma ta ma zostać zbudowana w sposób umożliwiający konfigurację i dostosowanie do specyfiki określonego rodzaju ruchu, typu przejścia granicznego, znajdującej się tam infrastruktury, stosowanej technologii odpraw i wynikającej z niej kolejności działań służb kontrolnych, co pozwoli na wyeliminowanie dublowania czynności kontrolnych.</w:t>
      </w:r>
    </w:p>
    <w:p w14:paraId="3F9D50DB" w14:textId="77777777" w:rsidR="00B53DEC" w:rsidRPr="000451DB" w:rsidRDefault="00B53DEC" w:rsidP="00B53DEC">
      <w:pPr>
        <w:autoSpaceDE w:val="0"/>
        <w:autoSpaceDN w:val="0"/>
        <w:adjustRightInd w:val="0"/>
        <w:spacing w:line="276" w:lineRule="auto"/>
        <w:jc w:val="both"/>
        <w:rPr>
          <w:bCs/>
          <w:i/>
        </w:rPr>
      </w:pPr>
      <w:r w:rsidRPr="000451DB">
        <w:t>W celu zapewnienia odpowiedniej przepustowości przejść granicznych oraz utrzymania  aktywnej współpracy i stałej wymiany informacji na temat sytuacji na granicy, w tym sytuacji kryzysowych wpływających na płynność ruchu granicznego, aktualizowane będą mechanizmy wdrożonych systemów wczesnego ostrzegania</w:t>
      </w:r>
      <w:r w:rsidRPr="000451DB">
        <w:rPr>
          <w:bCs/>
          <w:i/>
        </w:rPr>
        <w:t xml:space="preserve"> </w:t>
      </w:r>
      <w:r w:rsidRPr="000451DB">
        <w:rPr>
          <w:rFonts w:cs="Times New Roman"/>
          <w:bCs/>
        </w:rPr>
        <w:t>o zaistnieniu sytuacji nadzwyczajnych na lądowej granicy w celu utrzymania płynności jej przekraczania</w:t>
      </w:r>
      <w:r w:rsidRPr="000451DB">
        <w:rPr>
          <w:bCs/>
        </w:rPr>
        <w:t xml:space="preserve"> – SWO (podpisane z Ukrainą, Białorusią i Federacją Rosyjską). </w:t>
      </w:r>
      <w:r w:rsidRPr="000451DB">
        <w:rPr>
          <w:rFonts w:cstheme="minorHAnsi"/>
        </w:rPr>
        <w:t xml:space="preserve">W ramach SWO ustalone zostały minimalne dzienne limity odprawianych pojazdów na jednej zmianie, które są realizowane we wszystkich drogowych przejściach granicznych oraz przesłanki do uruchomienia Systemu, który </w:t>
      </w:r>
      <w:r w:rsidRPr="000451DB">
        <w:rPr>
          <w:rFonts w:eastAsia="Times New Roman" w:cstheme="minorHAnsi"/>
          <w:lang w:eastAsia="pl-PL"/>
        </w:rPr>
        <w:t>przewiduje szeroki wachlarz możliwych rozwiązań w przypadku wystąpienia utrudnień w ruchu granicznym. Prowadzone są prace nad u</w:t>
      </w:r>
      <w:r w:rsidRPr="000451DB">
        <w:t>aktualnieniem i weryfikacją postanowień SWO</w:t>
      </w:r>
      <w:r w:rsidRPr="000451DB">
        <w:rPr>
          <w:iCs/>
        </w:rPr>
        <w:t xml:space="preserve"> z Ukrainą</w:t>
      </w:r>
      <w:r w:rsidRPr="000451DB">
        <w:rPr>
          <w:i/>
          <w:iCs/>
        </w:rPr>
        <w:t xml:space="preserve"> </w:t>
      </w:r>
      <w:r w:rsidRPr="000451DB">
        <w:rPr>
          <w:iCs/>
        </w:rPr>
        <w:t xml:space="preserve">w związku ze zmianą </w:t>
      </w:r>
      <w:r w:rsidRPr="000451DB">
        <w:t>podejścia do funkcjonowania SWO w kontekście zmieniających się okoliczności funkcjonowania przejść granicznych oraz aktualnego natężenia ruchu pojazdów i zmianami organizacyjnymi w zakresie organów odpowiedzialnych za reagowanie w sytuacjach kryzysowych.</w:t>
      </w:r>
    </w:p>
    <w:p w14:paraId="1133CA29" w14:textId="77777777" w:rsidR="00B53DEC" w:rsidRPr="000451DB" w:rsidRDefault="00B53DEC" w:rsidP="00B53DEC">
      <w:pPr>
        <w:spacing w:line="276" w:lineRule="auto"/>
        <w:jc w:val="both"/>
      </w:pPr>
      <w:r w:rsidRPr="000451DB">
        <w:t xml:space="preserve">Kontynuowane będą działania zmierzające do zabezpieczenia optymalnych zasobów kadrowych związanych z priorytetowym charakterem zadań realizowanych na przejściach granicznych oraz całodobową obsługą przejść granicznych, w sposób umożliwiający sprawne wykonywanie czynności w ramach obsługi granicznej środków transportu i podróżnych oraz zapewniający utrzymanie płynności odpraw na przejściach granicznych. Istotne jest </w:t>
      </w:r>
      <w:r w:rsidRPr="000451DB">
        <w:rPr>
          <w:rFonts w:cstheme="minorHAnsi"/>
        </w:rPr>
        <w:t xml:space="preserve">zapewnienie właściwej obsługi stale zwiększającej się ilości sprzętu i urządzeń do przeprowadzania kontroli, w tym zabezpieczenia wszystkich przejść granicznych przeznaczonych do obsługi, w szczególności ruchu towarowego, w nowoczesne urządzenia RTG oraz szersze wykorzystanie psów służbowych. </w:t>
      </w:r>
      <w:r w:rsidRPr="000451DB">
        <w:rPr>
          <w:rFonts w:eastAsia="Tahoma" w:cstheme="minorHAnsi"/>
          <w:lang w:eastAsia="pl-PL"/>
        </w:rPr>
        <w:t xml:space="preserve">Wykorzystywanie stacjonarnych i mobilnych nieinwazyjnych urządzeń rentgenowskich od wielu lat stanowi ważny element w procesie kontroli celno-skarbowej. </w:t>
      </w:r>
      <w:r w:rsidRPr="000451DB">
        <w:t>Zastosowanie urządzeń RTG w łańcuchu czynności kontrolnych spełnia często postulowany przez środowiska gospodarcze wymóg redukcji czasu niezbędnego dla przeprowadzenia tej kontroli poprzez stworzenie możliwości zastąpienia kontroli fizycznej kilkuminutową analizą obrazu RTG środka transportu, przy jednoczesnym zapewnieniu wysokiego poziomu obsługi celnej i  skrócenia czasu obsługi. Priorytetem zatem jest zmniejszenie liczby przeprowadzanych kontroli fizycznych (kosztownych i uciążliwych dla podmiotów gospodarczych) na rzecz działań mniej inwazyjnych, z wykorzystaniem nowoczesnych urządzeń RTG.</w:t>
      </w:r>
    </w:p>
    <w:p w14:paraId="0ADF5041" w14:textId="77777777" w:rsidR="00B53DEC" w:rsidRPr="007D4C9B" w:rsidRDefault="00B53DEC" w:rsidP="00B53DEC">
      <w:pPr>
        <w:autoSpaceDE w:val="0"/>
        <w:autoSpaceDN w:val="0"/>
        <w:adjustRightInd w:val="0"/>
        <w:spacing w:after="0" w:line="276" w:lineRule="auto"/>
        <w:jc w:val="both"/>
      </w:pPr>
      <w:r w:rsidRPr="007D4C9B">
        <w:t>Przedsięwzięcia zapewniające bezpieczeństwa granicy państwowej RP, a zwłaszcza granicy zewnętrznej UE/Schengen będą spójne i skoordynowane z przedsięwzięciami podejmowanymi w celu zapewnienia bezpieczeństwa migracyjnego (kierunek interwencji 4).</w:t>
      </w:r>
    </w:p>
    <w:p w14:paraId="34167A6C" w14:textId="77777777" w:rsidR="00B53DEC" w:rsidRDefault="00B53DEC" w:rsidP="00B53DEC">
      <w:pPr>
        <w:spacing w:after="0"/>
        <w:jc w:val="both"/>
        <w:rPr>
          <w:rFonts w:eastAsia="Times New Roman" w:cs="Calibri"/>
          <w:lang w:eastAsia="pl-PL"/>
        </w:rPr>
      </w:pPr>
    </w:p>
    <w:p w14:paraId="5D634C89" w14:textId="77777777" w:rsidR="00B53DEC" w:rsidRPr="008357F6" w:rsidRDefault="00B53DEC" w:rsidP="00B53DEC">
      <w:pPr>
        <w:pBdr>
          <w:bottom w:val="single" w:sz="24" w:space="1" w:color="9CC2E5" w:themeColor="accent1" w:themeTint="99"/>
        </w:pBdr>
        <w:shd w:val="clear" w:color="auto" w:fill="D9D9D9" w:themeFill="background1" w:themeFillShade="D9"/>
        <w:spacing w:after="0"/>
        <w:rPr>
          <w:b/>
        </w:rPr>
      </w:pPr>
      <w:r w:rsidRPr="008357F6">
        <w:rPr>
          <w:b/>
        </w:rPr>
        <w:t xml:space="preserve">Kierunek interwencji 6. </w:t>
      </w:r>
    </w:p>
    <w:p w14:paraId="457C12AA" w14:textId="77777777" w:rsidR="00B53DEC" w:rsidRPr="008357F6" w:rsidRDefault="00B53DEC" w:rsidP="00B53DEC">
      <w:pPr>
        <w:pBdr>
          <w:bottom w:val="single" w:sz="24" w:space="1" w:color="9CC2E5" w:themeColor="accent1" w:themeTint="99"/>
        </w:pBdr>
        <w:shd w:val="clear" w:color="auto" w:fill="D9D9D9" w:themeFill="background1" w:themeFillShade="D9"/>
        <w:spacing w:after="0"/>
        <w:jc w:val="center"/>
        <w:rPr>
          <w:b/>
          <w:i/>
        </w:rPr>
      </w:pPr>
      <w:r>
        <w:rPr>
          <w:b/>
          <w:i/>
        </w:rPr>
        <w:t>Wzmocnienie</w:t>
      </w:r>
      <w:r w:rsidRPr="008357F6">
        <w:rPr>
          <w:b/>
          <w:i/>
        </w:rPr>
        <w:t xml:space="preserve"> pozycj</w:t>
      </w:r>
      <w:r>
        <w:rPr>
          <w:b/>
          <w:i/>
        </w:rPr>
        <w:t>i</w:t>
      </w:r>
      <w:r w:rsidRPr="008357F6">
        <w:rPr>
          <w:b/>
          <w:i/>
        </w:rPr>
        <w:t xml:space="preserve"> Polski w środowisku międzynarodowym.</w:t>
      </w:r>
    </w:p>
    <w:p w14:paraId="43E4D701" w14:textId="77777777" w:rsidR="00B53DEC" w:rsidRPr="00085294" w:rsidRDefault="00B53DEC" w:rsidP="00B53DEC">
      <w:pPr>
        <w:spacing w:line="276" w:lineRule="auto"/>
        <w:jc w:val="both"/>
      </w:pPr>
      <w:r w:rsidRPr="0069259A">
        <w:t>Dynamicznie zmieniające się otoczenie międzynarodowe i przemiany cywilizacyjne wymagają pogłębionej refleksji strat</w:t>
      </w:r>
      <w:r w:rsidRPr="00814B0D">
        <w:t xml:space="preserve">egicznej nad miejscem i rolą Polski we współczesnym świecie. Powinna stąd wynikać ambitna </w:t>
      </w:r>
      <w:r>
        <w:br/>
      </w:r>
      <w:r w:rsidRPr="00814B0D">
        <w:t>i zarazem realistyczna wizja celów i zadań polskiej polityki zagranicznej oraz narzędzi ich realizacji</w:t>
      </w:r>
      <w:r>
        <w:t>.</w:t>
      </w:r>
      <w:r w:rsidRPr="0069259A">
        <w:t xml:space="preserve"> Dlatego działania służące wzmocnieniu pozycji Polski na arenie międzynarodowej skupiać się będą między innymi </w:t>
      </w:r>
      <w:r>
        <w:br/>
      </w:r>
      <w:r w:rsidRPr="0069259A">
        <w:t xml:space="preserve">na </w:t>
      </w:r>
      <w:r w:rsidRPr="00085294">
        <w:rPr>
          <w:rFonts w:eastAsia="Calibri" w:cs="Times New Roman"/>
          <w:lang w:eastAsia="pl-PL"/>
        </w:rPr>
        <w:t>kształtowaniu stabilnego międzynarodowego środowiska bezpieczeństwa, obronie uniwersalnych wartości w połączeniu z tworzeniem pozytywnego wizerunku kraju.</w:t>
      </w:r>
    </w:p>
    <w:p w14:paraId="3D1913A3" w14:textId="77777777" w:rsidR="00B53DEC" w:rsidRPr="00F21196" w:rsidRDefault="00B53DEC" w:rsidP="00B53DEC">
      <w:pPr>
        <w:spacing w:line="276" w:lineRule="auto"/>
        <w:jc w:val="both"/>
      </w:pPr>
      <w:r w:rsidRPr="00CA0DF2">
        <w:t>Planowane jest wzmocnienie polskiej polityki zagranicznej</w:t>
      </w:r>
      <w:r>
        <w:t xml:space="preserve"> </w:t>
      </w:r>
      <w:r w:rsidRPr="00CA0DF2">
        <w:t xml:space="preserve">poprzez zwiększenie skuteczności polskiej dyplomacji, a także zapewnienie odpowiednich narzędzi niezbędnych do realizacji tych celów. Przeprowadzona zostanie m. in. </w:t>
      </w:r>
      <w:r w:rsidRPr="00B42962">
        <w:t>adaptacja</w:t>
      </w:r>
      <w:r w:rsidRPr="00CA0DF2">
        <w:t xml:space="preserve"> sieci placówek zagranicznych, polegająca na otwarciu placówek zagranicznych </w:t>
      </w:r>
      <w:r>
        <w:t xml:space="preserve">(przy założeniu dostępności środków budżetowych) </w:t>
      </w:r>
      <w:r w:rsidRPr="00CA0DF2">
        <w:t>w miejscach, gdzie wymagają tego polskie interesy.</w:t>
      </w:r>
    </w:p>
    <w:p w14:paraId="061318A1" w14:textId="283DAA87" w:rsidR="00B53DEC" w:rsidRPr="00F21196" w:rsidRDefault="00B53DEC" w:rsidP="00B53DEC">
      <w:pPr>
        <w:spacing w:after="120" w:line="276" w:lineRule="auto"/>
        <w:jc w:val="both"/>
      </w:pPr>
      <w:r>
        <w:t>Ponadto, umocnieniu</w:t>
      </w:r>
      <w:r w:rsidRPr="008C09E5">
        <w:t xml:space="preserve"> pozycji Polski</w:t>
      </w:r>
      <w:r>
        <w:t xml:space="preserve"> na poziomie europejskim, jak i międzynarodowym, służyć będzie polskie przewodnictwo w Radzie Unii Europejskiej w okresie styczeń – czerwiec 2025 r. Jako kraj sprawujący unijną prezydencję, Polska będzie miała istotny wpływ na kształtowanie agendy europejskiej, co z kolei będzie miało kluczowe znaczenie dla realizacji wyznaczonych na ten okres celów strategicznych.  Zadanie to wymagać będzie znacznego zaangażowania oraz wyposażenia struktur państwowych w odpowiednie narzędzia.</w:t>
      </w:r>
    </w:p>
    <w:p w14:paraId="25A485BF" w14:textId="77777777" w:rsidR="00B53DEC" w:rsidRDefault="00B53DEC" w:rsidP="00B53DEC">
      <w:pPr>
        <w:spacing w:before="120" w:after="0" w:line="276" w:lineRule="auto"/>
        <w:jc w:val="both"/>
        <w:rPr>
          <w:rFonts w:eastAsia="Calibri" w:cs="Times New Roman"/>
          <w:lang w:eastAsia="pl-PL"/>
        </w:rPr>
      </w:pPr>
      <w:r>
        <w:rPr>
          <w:rFonts w:eastAsia="Calibri" w:cs="Times New Roman"/>
          <w:b/>
          <w:u w:val="single"/>
          <w:lang w:eastAsia="pl-PL"/>
        </w:rPr>
        <w:t>6</w:t>
      </w:r>
      <w:r w:rsidRPr="00F21196">
        <w:rPr>
          <w:rFonts w:eastAsia="Calibri" w:cs="Times New Roman"/>
          <w:b/>
          <w:u w:val="single"/>
          <w:lang w:eastAsia="pl-PL"/>
        </w:rPr>
        <w:t>.1. Zwiększenie skuteczności mechanizmów koordynacji kierowania bezpieczeństwem narodowym, w tym obroną państwa – kształtowanie stabilnego międzynarodowego środowiska bezpieczeństwa.</w:t>
      </w:r>
      <w:r>
        <w:rPr>
          <w:rFonts w:eastAsia="Calibri" w:cs="Times New Roman"/>
          <w:b/>
          <w:u w:val="single"/>
          <w:lang w:eastAsia="pl-PL"/>
        </w:rPr>
        <w:t xml:space="preserve"> </w:t>
      </w:r>
      <w:r w:rsidRPr="00F21196">
        <w:rPr>
          <w:rFonts w:eastAsia="Calibri" w:cs="Times New Roman"/>
          <w:lang w:eastAsia="pl-PL"/>
        </w:rPr>
        <w:t>Kształtowanie stabilnego międzynarodowego środowiska bezpieczeństwa pozostaje strategicznym celem polskiej polityki zagranicznej, w tym polityki bezpieczeństwa. Służyć temu będą działania polskiej dyplomacji. Podstawowe znaczenie ma wzmocnienie zdolności kolektywnej obrony w ramach Sojuszu Północnoatlantyckiego, poprzez implementację decyzji szczytów NATO w Newport i Warszawie</w:t>
      </w:r>
      <w:r>
        <w:rPr>
          <w:rFonts w:eastAsia="Calibri" w:cs="Times New Roman"/>
          <w:lang w:eastAsia="pl-PL"/>
        </w:rPr>
        <w:t xml:space="preserve"> </w:t>
      </w:r>
      <w:r w:rsidRPr="00F21196">
        <w:rPr>
          <w:rFonts w:eastAsia="Calibri" w:cs="Times New Roman"/>
          <w:lang w:eastAsia="pl-PL"/>
        </w:rPr>
        <w:t>w</w:t>
      </w:r>
      <w:r>
        <w:rPr>
          <w:rFonts w:eastAsia="Calibri" w:cs="Times New Roman"/>
          <w:lang w:eastAsia="pl-PL"/>
        </w:rPr>
        <w:t xml:space="preserve"> </w:t>
      </w:r>
      <w:r w:rsidRPr="00F21196">
        <w:rPr>
          <w:rFonts w:eastAsia="Calibri" w:cs="Times New Roman"/>
          <w:lang w:eastAsia="pl-PL"/>
        </w:rPr>
        <w:t>s</w:t>
      </w:r>
      <w:r>
        <w:rPr>
          <w:rFonts w:eastAsia="Calibri" w:cs="Times New Roman"/>
          <w:lang w:eastAsia="pl-PL"/>
        </w:rPr>
        <w:t>prawie</w:t>
      </w:r>
      <w:r w:rsidRPr="00F21196">
        <w:rPr>
          <w:rFonts w:eastAsia="Calibri" w:cs="Times New Roman"/>
          <w:lang w:eastAsia="pl-PL"/>
        </w:rPr>
        <w:t xml:space="preserve"> wzmocnienia wschodniej flanki, a także decyzji szczytów</w:t>
      </w:r>
      <w:r w:rsidRPr="005660B6">
        <w:rPr>
          <w:rFonts w:eastAsia="Calibri" w:cs="Times New Roman"/>
          <w:lang w:eastAsia="pl-PL"/>
        </w:rPr>
        <w:t xml:space="preserve"> Sojuszu w lipcu 2018 r. w Brukseli i w grudniu 2019 </w:t>
      </w:r>
      <w:r>
        <w:rPr>
          <w:rFonts w:eastAsia="Calibri" w:cs="Times New Roman"/>
          <w:lang w:eastAsia="pl-PL"/>
        </w:rPr>
        <w:t xml:space="preserve">r. </w:t>
      </w:r>
      <w:r w:rsidRPr="005660B6">
        <w:rPr>
          <w:rFonts w:eastAsia="Calibri" w:cs="Times New Roman"/>
          <w:lang w:eastAsia="pl-PL"/>
        </w:rPr>
        <w:t>w Londynie.</w:t>
      </w:r>
      <w:r w:rsidRPr="00F21196">
        <w:rPr>
          <w:rFonts w:eastAsia="Calibri" w:cs="Times New Roman"/>
          <w:lang w:eastAsia="pl-PL"/>
        </w:rPr>
        <w:t xml:space="preserve"> Kluczową rolę ma spójność polityczna Sojuszu</w:t>
      </w:r>
      <w:r>
        <w:rPr>
          <w:rFonts w:eastAsia="Calibri" w:cs="Times New Roman"/>
          <w:lang w:eastAsia="pl-PL"/>
        </w:rPr>
        <w:t>,</w:t>
      </w:r>
      <w:r w:rsidRPr="00F21196">
        <w:rPr>
          <w:rFonts w:eastAsia="Calibri" w:cs="Times New Roman"/>
          <w:lang w:eastAsia="pl-PL"/>
        </w:rPr>
        <w:t xml:space="preserve"> a także utrzymanie silnej więzi transatlantyckiej jako czynnika zapewniającego trwałość i skuteczność NATO.</w:t>
      </w:r>
    </w:p>
    <w:p w14:paraId="33ABBF23" w14:textId="77777777" w:rsidR="00B53DEC" w:rsidRDefault="00B53DEC" w:rsidP="00B53DEC">
      <w:pPr>
        <w:spacing w:before="120" w:after="0" w:line="276" w:lineRule="auto"/>
        <w:jc w:val="both"/>
        <w:rPr>
          <w:rFonts w:eastAsia="Calibri" w:cs="Times New Roman"/>
          <w:lang w:eastAsia="pl-PL"/>
        </w:rPr>
      </w:pPr>
      <w:r w:rsidRPr="00F21196">
        <w:rPr>
          <w:rFonts w:eastAsia="Calibri" w:cs="Times New Roman"/>
          <w:lang w:eastAsia="pl-PL"/>
        </w:rPr>
        <w:t>Z punktu widzenia kształtowania stabilnego środowiska bezpieczeństwa strategiczny charakter ma współpraca dwustronna w dziedzinie bezpieczeństwa ze Stanami Zjednoczonymi</w:t>
      </w:r>
      <w:r>
        <w:rPr>
          <w:rFonts w:eastAsia="Calibri" w:cs="Times New Roman"/>
          <w:lang w:eastAsia="pl-PL"/>
        </w:rPr>
        <w:t xml:space="preserve">. </w:t>
      </w:r>
      <w:r w:rsidRPr="00F21196">
        <w:rPr>
          <w:rFonts w:eastAsia="Calibri" w:cs="Times New Roman"/>
          <w:lang w:eastAsia="pl-PL"/>
        </w:rPr>
        <w:t xml:space="preserve">W interesie Polski leży dalsze wzmocnienie </w:t>
      </w:r>
      <w:r>
        <w:rPr>
          <w:rFonts w:eastAsia="Calibri" w:cs="Times New Roman"/>
          <w:lang w:eastAsia="pl-PL"/>
        </w:rPr>
        <w:t xml:space="preserve">współpracy z tymi państwami </w:t>
      </w:r>
      <w:r w:rsidRPr="00F21196">
        <w:rPr>
          <w:rFonts w:eastAsia="Calibri" w:cs="Times New Roman"/>
          <w:lang w:eastAsia="pl-PL"/>
        </w:rPr>
        <w:t>poprzez utrzymanie dynamiki dialogu politycznego, koncentrację wysiłków na obszarach współpracy obronnej i praktycznej współpracy wojskowej, a także bezpieczeństwa energetycznego.</w:t>
      </w:r>
      <w:r w:rsidRPr="004D04B3">
        <w:rPr>
          <w:rFonts w:eastAsia="Calibri" w:cs="Times New Roman"/>
          <w:lang w:eastAsia="pl-PL"/>
        </w:rPr>
        <w:t xml:space="preserve"> </w:t>
      </w:r>
    </w:p>
    <w:p w14:paraId="5ED077E1" w14:textId="77777777" w:rsidR="00B53DEC" w:rsidRDefault="00B53DEC" w:rsidP="00B53DEC">
      <w:pPr>
        <w:spacing w:before="120" w:after="0" w:line="276" w:lineRule="auto"/>
        <w:jc w:val="both"/>
        <w:rPr>
          <w:rFonts w:eastAsia="Calibri" w:cs="Times New Roman"/>
          <w:lang w:eastAsia="pl-PL"/>
        </w:rPr>
      </w:pPr>
      <w:r w:rsidRPr="00F21196">
        <w:rPr>
          <w:rFonts w:eastAsia="Calibri" w:cs="Times New Roman"/>
          <w:lang w:eastAsia="pl-PL"/>
        </w:rPr>
        <w:t xml:space="preserve">Rola Unii Europejskiej w systemie bezpieczeństwa europejskiego rośnie. Proces wzmacniania Wspólnej Polityki Bezpieczeństwa i Obrony nabrał tempa, m.in. zapadła decyzja o ustanowieniu stałej współpracy strukturalnej (PESCO), do której dołączyła również Polska. </w:t>
      </w:r>
      <w:r>
        <w:rPr>
          <w:rFonts w:eastAsia="Calibri" w:cs="Times New Roman"/>
          <w:lang w:eastAsia="pl-PL"/>
        </w:rPr>
        <w:t xml:space="preserve">W 2021 r. uruchomiony zostanie Europejski Fundusz Obronny (EDF) będący </w:t>
      </w:r>
      <w:r w:rsidRPr="00947971">
        <w:t>narzędzi</w:t>
      </w:r>
      <w:r>
        <w:t>em</w:t>
      </w:r>
      <w:r w:rsidRPr="00947971">
        <w:t xml:space="preserve"> wspierając</w:t>
      </w:r>
      <w:r>
        <w:t xml:space="preserve">ym </w:t>
      </w:r>
      <w:r w:rsidRPr="00947971">
        <w:t>rozwój zdolności obronnych, współpracę państw członkowskich oraz rozwój europejskiego przemysłu</w:t>
      </w:r>
      <w:r>
        <w:t>.</w:t>
      </w:r>
      <w:r w:rsidRPr="00F21196">
        <w:rPr>
          <w:rFonts w:eastAsia="Calibri" w:cs="Times New Roman"/>
          <w:lang w:eastAsia="pl-PL"/>
        </w:rPr>
        <w:t xml:space="preserve"> Ważna jest kontynuacja zabiegów, by działania podejmowane przez UE uzupełniały działania NATO, wzajemnie się wzmacniając.</w:t>
      </w:r>
      <w:r w:rsidRPr="004D04B3">
        <w:rPr>
          <w:rFonts w:eastAsia="Calibri" w:cs="Times New Roman"/>
          <w:lang w:eastAsia="pl-PL"/>
        </w:rPr>
        <w:t xml:space="preserve"> </w:t>
      </w:r>
      <w:r>
        <w:rPr>
          <w:rFonts w:eastAsia="Calibri" w:cs="Times New Roman"/>
          <w:lang w:eastAsia="pl-PL"/>
        </w:rPr>
        <w:t>Duże znaczenie mieć będzie również współpraca w dziedzinie bezpieczeństwa i obrony ze Zjednoczonym Królestwem.</w:t>
      </w:r>
    </w:p>
    <w:p w14:paraId="7E93EE97" w14:textId="77777777" w:rsidR="00B53DEC" w:rsidRDefault="00B53DEC" w:rsidP="00B53DEC">
      <w:pPr>
        <w:spacing w:before="120" w:after="0" w:line="276" w:lineRule="auto"/>
        <w:jc w:val="both"/>
        <w:rPr>
          <w:rFonts w:eastAsia="Calibri" w:cs="Times New Roman"/>
          <w:lang w:eastAsia="pl-PL"/>
        </w:rPr>
      </w:pPr>
      <w:r w:rsidRPr="00F21196">
        <w:rPr>
          <w:rFonts w:eastAsia="Calibri" w:cs="Times New Roman"/>
          <w:lang w:eastAsia="pl-PL"/>
        </w:rPr>
        <w:t>Polska dyplomacja będzie również prowadzić działania mające na celu zachowanie wiarygodności Organizacji Bezpieczeństwa i Współpracy w Europie, a także zwiększenie zaangażowania OBWE w poszukiwanie rozwiązań konfliktu rosyjsko-ukraińskiego i zapobieganie niebezpiecznym incydentom wojskowym.</w:t>
      </w:r>
    </w:p>
    <w:p w14:paraId="0C3520BA" w14:textId="08E53D6F" w:rsidR="00B53DEC" w:rsidRPr="00FC6267" w:rsidRDefault="00B53DEC" w:rsidP="00B53DEC">
      <w:pPr>
        <w:spacing w:before="120" w:after="0" w:line="276" w:lineRule="auto"/>
        <w:jc w:val="both"/>
        <w:rPr>
          <w:rFonts w:ascii="Calibri" w:hAnsi="Calibri"/>
        </w:rPr>
      </w:pPr>
      <w:r w:rsidRPr="00F21196">
        <w:rPr>
          <w:rFonts w:eastAsia="Calibri" w:cs="Times New Roman"/>
          <w:lang w:eastAsia="pl-PL"/>
        </w:rPr>
        <w:t>Duże znaczenie dla kształtowania korzystnego środowiska bezpieczeństwa ma współpraca regionalna w dziedzinie bezpieczeństwa. Wsparcie sojuszników z regionu pozwala częstokroć wzmocnić siłę naszego głosu na forum instytucji międzynarodowych i przyczynić się do sukcesu podejmowanych działań. Istotne jest dalsze zaangażowanie w dialog strategiczny oraz współpracę dwu- i wielostronną w regionie.</w:t>
      </w:r>
      <w:r>
        <w:rPr>
          <w:rFonts w:eastAsia="Calibri" w:cs="Times New Roman"/>
          <w:lang w:eastAsia="pl-PL"/>
        </w:rPr>
        <w:t xml:space="preserve"> </w:t>
      </w:r>
      <w:r>
        <w:rPr>
          <w:rFonts w:ascii="Calibri" w:hAnsi="Calibri"/>
        </w:rPr>
        <w:t xml:space="preserve">Dlatego rozwijane będą zarówno dwustronne jak i wielostronne formuły współpracy z partnerami europejskimi, w tym z sąsiadami. </w:t>
      </w:r>
      <w:r w:rsidRPr="00FC6267">
        <w:rPr>
          <w:rFonts w:ascii="Calibri" w:hAnsi="Calibri"/>
        </w:rPr>
        <w:t xml:space="preserve">Wielką wagę przywiązujemy do współpracy regionalnej. Dużą rolę w tym kontekście odgrywa współpraca w ramach „Dziewiątki Bukareszteńskiej”, ważne jest utrzymanie jej znaczenia w artykułowaniu wspólnego stanowiska regionu na forum NATO, a także zwiększaniu interoperacyjności i koordynacji działań państw wschodniej flanki NATO, przy stałym zaangażowaniu USA. Prowadzimy ponadto dwu- i wielostronne konsultacje na tematy związane z bezpieczeństwem z państwami regionu, w tym dialog strategiczny z partnerami nordyckimi i bałtyckimi oraz Rumunią (formuła „małej kwadrygi” – wiceministrów SZ i ON) czy w ramach Grupy Wyszehradzkiej. Kontynuujemy cykliczne konsultacje w dziedzinie bezpieczeństwa w ramach trójkąta Polska – Rumunia – Turcja (Trilog), m.in. w oparciu o przyjętą przez ministrów spraw zagranicznych trzech krajów </w:t>
      </w:r>
      <w:r w:rsidR="005D4C4C">
        <w:rPr>
          <w:rFonts w:ascii="Calibri" w:hAnsi="Calibri"/>
        </w:rPr>
        <w:br/>
      </w:r>
      <w:r w:rsidRPr="00FC6267">
        <w:rPr>
          <w:rFonts w:ascii="Calibri" w:hAnsi="Calibri"/>
        </w:rPr>
        <w:t>w 2020</w:t>
      </w:r>
      <w:r w:rsidR="005D4C4C">
        <w:rPr>
          <w:rFonts w:ascii="Calibri" w:hAnsi="Calibri"/>
        </w:rPr>
        <w:t xml:space="preserve"> </w:t>
      </w:r>
      <w:r w:rsidRPr="00FC6267">
        <w:rPr>
          <w:rFonts w:ascii="Calibri" w:hAnsi="Calibri"/>
        </w:rPr>
        <w:t>r. listę wybranych projektów.</w:t>
      </w:r>
    </w:p>
    <w:p w14:paraId="6D353B70" w14:textId="77777777" w:rsidR="00B53DEC" w:rsidRPr="00FC6267" w:rsidRDefault="00B53DEC" w:rsidP="00B53DEC">
      <w:pPr>
        <w:spacing w:before="120" w:after="0" w:line="276" w:lineRule="auto"/>
        <w:jc w:val="both"/>
        <w:rPr>
          <w:rFonts w:eastAsia="Calibri" w:cs="Times New Roman"/>
          <w:lang w:eastAsia="pl-PL"/>
        </w:rPr>
      </w:pPr>
      <w:r w:rsidRPr="00FC6267">
        <w:rPr>
          <w:rFonts w:eastAsia="Calibri" w:cs="Times New Roman"/>
          <w:lang w:eastAsia="pl-PL"/>
        </w:rPr>
        <w:t>Istotne znaczenie ponadregionalne mają działania na rzecz nieproliferacji broni masowego rażenia, a także redukcji zagrożeń związanych z jej rozprzestrzenianiem, poprzez aktywność na forum instytucji i reżimów nieproliferacji BMR (w tym np. w ramach NPT (Non Proliferation Treaty) – Traktatu o Nierozprzestrzenianiu Broni Jądrowej czy OPCW) (Organizacja ds. Zakazu Broni Chemicznej – Organisation for the Prohibition of Chemical Weapons), której silnym wsparciem będzie m.in. nasze zaangażowanie w konferencję przeglądową NPT i członkostwo w Radzie Wykonawczej OPCW). Ważny jest przy tym kontekst natowski i natowskiej polityki nuklearnej i odstraszania.</w:t>
      </w:r>
    </w:p>
    <w:p w14:paraId="2E36168C" w14:textId="77777777" w:rsidR="00B53DEC" w:rsidRPr="00FC6267" w:rsidRDefault="00B53DEC" w:rsidP="00B53DEC">
      <w:pPr>
        <w:spacing w:before="120" w:after="0" w:line="276" w:lineRule="auto"/>
        <w:jc w:val="both"/>
        <w:rPr>
          <w:rFonts w:eastAsia="Calibri" w:cs="Times New Roman"/>
          <w:lang w:eastAsia="pl-PL"/>
        </w:rPr>
      </w:pPr>
      <w:r w:rsidRPr="00FC6267">
        <w:rPr>
          <w:rFonts w:eastAsia="Calibri" w:cs="Times New Roman"/>
          <w:lang w:eastAsia="pl-PL"/>
        </w:rPr>
        <w:t>Istotne pozostanie zaangażowanie RP we współpracę multilateralną na rzecz zwalczania terroryzmu, w tym udział w stosownych pracach ONZ, NATO i UE oraz inicjatywach ponadregionalnych, takich jak Globalna Koalicja przeciwko Daesh.</w:t>
      </w:r>
    </w:p>
    <w:p w14:paraId="6C0BD133" w14:textId="77777777" w:rsidR="00B53DEC" w:rsidRPr="00FC6267" w:rsidRDefault="00B53DEC" w:rsidP="00B53DEC">
      <w:pPr>
        <w:spacing w:before="120" w:after="0" w:line="276" w:lineRule="auto"/>
        <w:jc w:val="both"/>
        <w:rPr>
          <w:rFonts w:ascii="Calibri" w:hAnsi="Calibri"/>
        </w:rPr>
      </w:pPr>
      <w:r w:rsidRPr="00FC6267">
        <w:rPr>
          <w:rFonts w:ascii="Calibri" w:hAnsi="Calibri"/>
        </w:rPr>
        <w:t xml:space="preserve">Ważnym elementem wzmacniania bezpieczeństwa w naszym regionie jest rozwijanie zaangażowania UE i NATO w kontekście wschodnim, przeciwdziałając jednocześnie dążeniom wybranych państw do koncentrowania uwagi tych organizacji przede wszystkim na zagrożeniach płynących z kierunku południowego. </w:t>
      </w:r>
    </w:p>
    <w:p w14:paraId="1C65714A" w14:textId="77777777" w:rsidR="00B53DEC" w:rsidRPr="00FC6267" w:rsidRDefault="00B53DEC" w:rsidP="00B53DEC">
      <w:pPr>
        <w:spacing w:before="120" w:after="0" w:line="276" w:lineRule="auto"/>
        <w:jc w:val="both"/>
        <w:rPr>
          <w:rFonts w:ascii="Calibri" w:hAnsi="Calibri"/>
        </w:rPr>
      </w:pPr>
      <w:r w:rsidRPr="00FC6267">
        <w:rPr>
          <w:rFonts w:ascii="Calibri" w:hAnsi="Calibri"/>
        </w:rPr>
        <w:t>W świetle pojawienia się nowych typów zagrożeń, w tym hybrydowych, Polska będzie kontynuować swoje aktywne angażowanie na forum międzynarodowym w celu poprawy przygotowania struktur państwowych i międzynarodowych na nowe wyzwania, wzmocnienia odporności państw i społeczeństw oraz zwiększenia skuteczniejszości prewencji i reagowania kryzysowego. Szczególnie istotne w tym kontekście są prace prowadzone na forum UE i NATO.</w:t>
      </w:r>
    </w:p>
    <w:p w14:paraId="7AB7DCC0" w14:textId="77777777" w:rsidR="00B53DEC" w:rsidRDefault="00B53DEC" w:rsidP="00B53DEC">
      <w:pPr>
        <w:spacing w:after="0" w:line="276" w:lineRule="auto"/>
        <w:jc w:val="both"/>
        <w:rPr>
          <w:rFonts w:eastAsia="Calibri" w:cs="Times New Roman"/>
          <w:lang w:eastAsia="pl-PL"/>
        </w:rPr>
      </w:pPr>
    </w:p>
    <w:p w14:paraId="7A9CACC7" w14:textId="77777777" w:rsidR="00B53DEC" w:rsidRPr="00085294" w:rsidRDefault="00B53DEC" w:rsidP="00B53DEC">
      <w:pPr>
        <w:spacing w:after="0" w:line="276" w:lineRule="auto"/>
        <w:jc w:val="both"/>
        <w:rPr>
          <w:rFonts w:eastAsia="Calibri" w:cs="Times New Roman"/>
          <w:b/>
          <w:u w:val="single"/>
          <w:lang w:eastAsia="pl-PL"/>
        </w:rPr>
      </w:pPr>
      <w:r w:rsidRPr="00085294">
        <w:rPr>
          <w:rFonts w:eastAsia="Calibri" w:cs="Times New Roman"/>
          <w:b/>
          <w:u w:val="single"/>
          <w:lang w:eastAsia="pl-PL"/>
        </w:rPr>
        <w:t>6.2. Promocja wartości w środowisku międzynarodowym</w:t>
      </w:r>
    </w:p>
    <w:p w14:paraId="679D5862" w14:textId="77777777" w:rsidR="00B53DEC" w:rsidRPr="00F21196" w:rsidRDefault="00B53DEC" w:rsidP="00B53DEC">
      <w:pPr>
        <w:spacing w:line="276" w:lineRule="auto"/>
        <w:jc w:val="both"/>
      </w:pPr>
      <w:r w:rsidRPr="00F21196">
        <w:t xml:space="preserve">Podstawową przesłanką </w:t>
      </w:r>
      <w:r>
        <w:t xml:space="preserve">polskiej racji stanu </w:t>
      </w:r>
      <w:r w:rsidRPr="00F21196">
        <w:t>jest założenie, że stosunki międzynarodowe są sferą działania suwerennych państw. Niezależnie od współpracy w różnych formach</w:t>
      </w:r>
      <w:r>
        <w:t>,</w:t>
      </w:r>
      <w:r w:rsidRPr="00F21196">
        <w:t xml:space="preserve"> państwa zachowują swoją podmiotowość. Jednocześnie jednak towarzyszy temu przeświadczenie, że w dzisiejszym, złożonym świecie żaden kraj, nawet najpotężniejszy, nie jest w stanie skutecznie prowadzić polityki w pojedynkę. Wynika stąd imperatyw działania wspólnego, zwłaszcza tam, gdzie oparte jest ono na wspólnocie interesów osadzonej na mocnym fundamencie solidarności i wspólnoty wartości, odzwierciedlonej w Karcie Atlantyckiej</w:t>
      </w:r>
      <w:r>
        <w:t xml:space="preserve">, Karcie Narodów Zjednoczonych </w:t>
      </w:r>
      <w:r w:rsidRPr="00F21196">
        <w:t>i Akcie Końcowym KBWE. Filozofii tej towarzyszy odrzucenie wszelkich prób rewizji ładu ukształtowanego po zimnej wojnie, budowy sfer wpływu i traktowania wojny, jako przedłużenia działań dyplomatycznych.</w:t>
      </w:r>
    </w:p>
    <w:p w14:paraId="1A549ED1" w14:textId="77777777" w:rsidR="00B53DEC" w:rsidRDefault="00B53DEC" w:rsidP="00B53DEC">
      <w:pPr>
        <w:spacing w:line="276" w:lineRule="auto"/>
        <w:jc w:val="both"/>
      </w:pPr>
      <w:r>
        <w:t>Dlatego Polska jest aktywnym członkiem ONZ, który poprzez swoje działania daje wyraz przywiązaniu do multilateralizmu i ładu międzynarodowego opartego na przestrzeganiu zasad i norm międzynarodowych.</w:t>
      </w:r>
      <w:r w:rsidRPr="008C09E5">
        <w:t xml:space="preserve"> </w:t>
      </w:r>
      <w:r>
        <w:t xml:space="preserve">W ramach systemu ONZ Polska buduje swoją pozycję międzynarodową zarówno w oparciu o prezentowanie własnych interesów i angażowanie się w obszarach priorytetowych, jak również poprzez udział w dyskusji nad rozwiązaniami problemów istotnych z punktu widzenia społeczności międzynarodowej, jako całości. Takie podejście ma na celu </w:t>
      </w:r>
      <w:r w:rsidRPr="008C09E5">
        <w:t>ugruntowani</w:t>
      </w:r>
      <w:r>
        <w:t>e</w:t>
      </w:r>
      <w:r w:rsidRPr="008C09E5">
        <w:t xml:space="preserve"> pozycji Polski</w:t>
      </w:r>
      <w:r>
        <w:t xml:space="preserve"> na forum międzynarodowym, jak również zwiększenie zrozumienia dla naszych interesów przez partnerów z innych regionów.  Wyrazem gotowości Polski do włączania się w międzynarodowe wysiłki na rzecz rozwiązywania problemów globalnych było członkostwo w Radzie Bezpieczeństwa ONZ w latach 2018-2019, które przyczyniło się także do zacieśnienia współpracy z najbliższymi sojusznikami, zwłaszcza ze Stanami Zjednoczonymi i europejskimi członkami RB.</w:t>
      </w:r>
    </w:p>
    <w:p w14:paraId="3B5D6B07" w14:textId="77777777" w:rsidR="00B53DEC" w:rsidRDefault="00B53DEC" w:rsidP="00B53DEC">
      <w:pPr>
        <w:spacing w:line="276" w:lineRule="auto"/>
        <w:jc w:val="both"/>
        <w:rPr>
          <w:rFonts w:eastAsia="Calibri" w:cs="Times New Roman"/>
          <w:b/>
          <w:u w:val="single"/>
        </w:rPr>
      </w:pPr>
      <w:r>
        <w:t xml:space="preserve">Pomimo zakończenia członkostwa w Radzie Bezpieczeństwa ambicją Polski jest utrzymanie wysokiego poziomu zaangażowania na forum ONZ. Od 1 stycznia 2020 r. do 31 grudnia 2022 r. Polska jest członkiem Rady Praw Człowieka. Dzięki członkostwu w tym gremium polskie działania na rzecz promocji praw człowieka na forum międzynarodowym mogą stać się bardziej widoczne i wzmocnić postrzeganie Polski, jako państwa zaangażowanego w kwestie ochrony praw człowieka i promocji demokracji na świecie. </w:t>
      </w:r>
      <w:r w:rsidRPr="00E71F56">
        <w:t xml:space="preserve">W ostatnich latach znacznemu wzmocnieniu uległa też pozycja Polski w Organizacji  </w:t>
      </w:r>
      <w:r>
        <w:t>NZ ds. Oświaty, Nauki i Kultury</w:t>
      </w:r>
      <w:r w:rsidRPr="00E71F56">
        <w:t>, największej agencji wyspecjalizowanej systemu Narodów Zjednoczonych. Kontynuacją tej tendencji jest rozpoczynające się w 2020 r. czteroletnie członkostwo Polski w Radzie Wykonawczej Organizacji, jak również zaangażowanie Polski (do roku 2021)</w:t>
      </w:r>
      <w:r>
        <w:t>,</w:t>
      </w:r>
      <w:r w:rsidRPr="00E71F56">
        <w:t xml:space="preserve"> jako członka Międzyrządowego Komitetu ds. Niematerialnego Dziedzictwa Kulturowego. Zabiegamy również o wejście do </w:t>
      </w:r>
      <w:r>
        <w:t>Rady Gospodarczej i Społecznej w 2024 roku.</w:t>
      </w:r>
      <w:r w:rsidRPr="00AB2E95">
        <w:t xml:space="preserve"> </w:t>
      </w:r>
      <w:r>
        <w:t>Intensyfikacja działań polskiej dyplomacji będzie się także wiązać z powrotem do Rady Wykonawczej OPCW oraz pełnieniem funkcji przewodnictwa OBWE w 2022 r.</w:t>
      </w:r>
      <w:r>
        <w:rPr>
          <w:rFonts w:ascii="Calibri" w:hAnsi="Calibri"/>
        </w:rPr>
        <w:t>, które pozwoli na jeszcze aktywniejsze zaangażowanie się w sprawy regionu.  Niezmiennym priorytetem Polski w OBWE jest m.in. kwestia przestrzegania przez wszystkie kraje zobowiązań OBWE).</w:t>
      </w:r>
    </w:p>
    <w:p w14:paraId="09DFC0BD" w14:textId="77777777" w:rsidR="00B53DEC" w:rsidRPr="00FA5CD1" w:rsidRDefault="00B53DEC" w:rsidP="00B53DEC">
      <w:pPr>
        <w:pStyle w:val="Tekstkomentarza"/>
        <w:spacing w:line="276" w:lineRule="auto"/>
        <w:jc w:val="both"/>
        <w:rPr>
          <w:rFonts w:eastAsia="Calibri" w:cs="Times New Roman"/>
          <w:iCs/>
          <w:sz w:val="22"/>
          <w:szCs w:val="22"/>
        </w:rPr>
      </w:pPr>
      <w:r w:rsidRPr="00FA5CD1">
        <w:rPr>
          <w:rFonts w:eastAsia="Calibri" w:cs="Times New Roman"/>
          <w:b/>
          <w:sz w:val="22"/>
          <w:szCs w:val="22"/>
          <w:u w:val="single"/>
        </w:rPr>
        <w:t xml:space="preserve">6.3. Wzmocnienie pozytywnego wizerunku Polski. </w:t>
      </w:r>
      <w:r w:rsidRPr="00FA5CD1">
        <w:rPr>
          <w:rFonts w:eastAsia="Calibri" w:cs="Times New Roman"/>
          <w:iCs/>
          <w:sz w:val="22"/>
          <w:szCs w:val="22"/>
        </w:rPr>
        <w:t xml:space="preserve">Pozytywny wizerunek Polski za granicą ma kluczowe znaczenie dla realizacji celów międzynarodowych, zarówno w sferze bezpieczeństwa jak i rozwoju gospodarczego. </w:t>
      </w:r>
      <w:r w:rsidRPr="00FA5CD1">
        <w:rPr>
          <w:sz w:val="22"/>
          <w:szCs w:val="22"/>
        </w:rPr>
        <w:t xml:space="preserve">Do jego osiągniecia potrzebne są: spójność przekazu, koordynacja działań, odpowiednie narzędzia komunikacyjne, udział instytucji publicznych i pozarządowych. Dlatego istnieje potrzeba opracowania i wdrożenia kierunków promocji Polski </w:t>
      </w:r>
      <w:r w:rsidRPr="00FA5CD1">
        <w:rPr>
          <w:rFonts w:eastAsia="Calibri" w:cs="Times New Roman"/>
          <w:iCs/>
          <w:sz w:val="22"/>
          <w:szCs w:val="22"/>
        </w:rPr>
        <w:t>w dłuższej perspektywie czasowej, ze szczególnym uwzględnieniem przeciwdziałania fałszowaniu historii najnowszej i wadliwym kodom pamięci oraz relacji polsko-żydowskich.</w:t>
      </w:r>
    </w:p>
    <w:p w14:paraId="67F1DA4A" w14:textId="77777777" w:rsidR="00B53DEC" w:rsidRPr="00FA5CD1" w:rsidRDefault="00B53DEC" w:rsidP="00B53DEC">
      <w:pPr>
        <w:spacing w:after="0" w:line="276" w:lineRule="auto"/>
        <w:jc w:val="both"/>
        <w:rPr>
          <w:rFonts w:eastAsia="Calibri" w:cs="Times New Roman"/>
          <w:iCs/>
        </w:rPr>
      </w:pPr>
      <w:r w:rsidRPr="00FA5CD1">
        <w:rPr>
          <w:rFonts w:eastAsia="Calibri" w:cs="Times New Roman"/>
          <w:iCs/>
        </w:rPr>
        <w:t xml:space="preserve">Wzmocnienie wizerunku dokonywane będzie przede wszystkim poprzez ukazywanie zgodnego ze stanem rzeczywistym obrazu Polski wśród społeczeństw i elit państw kluczowych. Polska przedstawiana będzie jako bezpieczny, duży, stabilny i atrakcyjny kraj w centrum Europy. Dysponujący nowoczesną gospodarkę odporną na kryzysy oraz oferujący produkty i usługi o przewidywalnej wysokiej jakości. Polacy są narodem inteligentnym, przedsiębiorczym , konsekwentnym, otwartym na innowacje. Jednocześnie wyróżnia ich wierność wyznawanym wartościom i zasadom i są gotowi do ich obrony. Równocześnie otwarci i tolerancyjni wspierający pokojowe współistnienie narodów i kultur. </w:t>
      </w:r>
    </w:p>
    <w:p w14:paraId="44503B99" w14:textId="77777777" w:rsidR="00B53DEC" w:rsidRPr="00FA5CD1" w:rsidRDefault="00B53DEC" w:rsidP="00B53DEC">
      <w:pPr>
        <w:spacing w:after="0" w:line="276" w:lineRule="auto"/>
        <w:jc w:val="both"/>
        <w:rPr>
          <w:rFonts w:eastAsia="Calibri" w:cs="Times New Roman"/>
        </w:rPr>
      </w:pPr>
    </w:p>
    <w:p w14:paraId="550B39F1" w14:textId="77777777" w:rsidR="00B53DEC" w:rsidRPr="00FA5CD1" w:rsidRDefault="00B53DEC" w:rsidP="00B53DEC">
      <w:pPr>
        <w:pStyle w:val="Akapitzlist"/>
        <w:spacing w:line="276" w:lineRule="auto"/>
        <w:ind w:left="0"/>
        <w:jc w:val="both"/>
        <w:rPr>
          <w:rFonts w:asciiTheme="minorHAnsi" w:hAnsiTheme="minorHAnsi" w:cstheme="minorHAnsi"/>
          <w:sz w:val="22"/>
          <w:szCs w:val="22"/>
        </w:rPr>
      </w:pPr>
      <w:r w:rsidRPr="00FA5CD1">
        <w:rPr>
          <w:rFonts w:asciiTheme="minorHAnsi" w:eastAsia="Calibri" w:hAnsiTheme="minorHAnsi" w:cstheme="minorHAnsi"/>
          <w:iCs/>
          <w:sz w:val="22"/>
          <w:szCs w:val="22"/>
        </w:rPr>
        <w:t xml:space="preserve">Osiągnięcie tego celu  jest uwarunkowane spójnością przekazu, wiarygodnego, opartego o fakty . Treść przekazu będzie aktualna, atrakcyjna, prawdziwa i podana w przystępnej formie. Istotne będzie użycie właściwych narzędzi komunikacyjnych, uwzględniających lokalne uwarunkowania, w tym sanitarne. </w:t>
      </w:r>
      <w:r w:rsidRPr="00FA5CD1">
        <w:rPr>
          <w:rFonts w:asciiTheme="minorHAnsi" w:hAnsiTheme="minorHAnsi" w:cstheme="minorHAnsi"/>
          <w:sz w:val="22"/>
          <w:szCs w:val="22"/>
        </w:rPr>
        <w:t xml:space="preserve">W związku z pandemią COVID-19 warto w działaniach dot. wizerunku zwiększyć wysiłki w obszarze dyplomacji cyfrowej i działaniach online. Aktywna promocja w mediach społecznościowych i dotarcie do szerokiego grona odbiorców może w znacznym stopniu wzmocnić wizerunek kraju np. poprzez odpowiednio przygotowany przekaz dot. działań pomocowych. Dlatego </w:t>
      </w:r>
      <w:r w:rsidRPr="00FA5CD1">
        <w:rPr>
          <w:rFonts w:asciiTheme="minorHAnsi" w:eastAsia="Calibri" w:hAnsiTheme="minorHAnsi" w:cstheme="minorHAnsi"/>
          <w:iCs/>
          <w:sz w:val="22"/>
          <w:szCs w:val="22"/>
        </w:rPr>
        <w:t xml:space="preserve">poza wizytami studyjnymi, spotkaniami z liderami opinii, wystawami, poszerzać będziemy kampanie w mediach społecznościowych, reklamy w mediach tradycyjnych. </w:t>
      </w:r>
    </w:p>
    <w:p w14:paraId="2ABAB8D4" w14:textId="77777777" w:rsidR="00B53DEC" w:rsidRPr="00FA5CD1" w:rsidRDefault="00B53DEC" w:rsidP="00B53DEC">
      <w:pPr>
        <w:spacing w:after="0" w:line="276" w:lineRule="auto"/>
        <w:jc w:val="both"/>
        <w:rPr>
          <w:rFonts w:eastAsia="Calibri" w:cs="Times New Roman"/>
          <w:iCs/>
        </w:rPr>
      </w:pPr>
    </w:p>
    <w:p w14:paraId="58517488" w14:textId="77777777" w:rsidR="00B53DEC" w:rsidRPr="00FA5CD1" w:rsidRDefault="00B53DEC" w:rsidP="00B53DEC">
      <w:pPr>
        <w:spacing w:line="276" w:lineRule="auto"/>
        <w:ind w:left="34"/>
        <w:jc w:val="both"/>
        <w:rPr>
          <w:rFonts w:eastAsia="Calibri" w:cs="Times New Roman"/>
          <w:iCs/>
        </w:rPr>
      </w:pPr>
      <w:r w:rsidRPr="00FA5CD1">
        <w:rPr>
          <w:rFonts w:eastAsia="Calibri" w:cs="Times New Roman"/>
          <w:iCs/>
        </w:rPr>
        <w:t>Istotnym elementem polskiej aktywności za granicą jest również przeciwdziałanie dezinformacji i fałszowaniu historii najnowszej i wadliwym kodom pamięci. Przeciwdziałanie tym zjawiskom polega na poszerzeniu naszej polityki informacyjnej, wykorzystanie dostępnego instrumentarium i narzędzi, w celu szybkiego reagowania na pojawiające się nieprawdziwe informacje oraz propagowania rzetelnej wiedzy o Polsce, w szczególności o wkładzie w zwycięstwo nad nazizmem i komunizmem oraz o stratach, jakie poniosła Polska, pierwsza ofiara II wojny światowej. Ważnym zadaniem wizerunkowym polskiej polityki zagranicznej jest zła</w:t>
      </w:r>
      <w:r>
        <w:rPr>
          <w:rFonts w:eastAsia="Calibri" w:cs="Times New Roman"/>
          <w:iCs/>
        </w:rPr>
        <w:t>manie fałszywego kodu myślowego</w:t>
      </w:r>
      <w:r w:rsidRPr="00FA5CD1">
        <w:rPr>
          <w:rFonts w:eastAsia="Calibri" w:cs="Times New Roman"/>
          <w:iCs/>
        </w:rPr>
        <w:t xml:space="preserve"> o Polakach, jako biernych obserwatorach, a wręcz współsprawcach i osobach, które w wyniku działań wojennych skorzystały materialnie na krzywdach innych, w szczególności  ofiar Holokaustu.</w:t>
      </w:r>
    </w:p>
    <w:p w14:paraId="47F0653D" w14:textId="25622450" w:rsidR="00B53DEC" w:rsidRPr="00FA5CD1" w:rsidRDefault="00B53DEC" w:rsidP="00B53DEC">
      <w:pPr>
        <w:spacing w:line="276" w:lineRule="auto"/>
        <w:ind w:left="34"/>
        <w:jc w:val="both"/>
        <w:rPr>
          <w:rFonts w:eastAsia="Calibri"/>
        </w:rPr>
      </w:pPr>
      <w:r w:rsidRPr="00FA5CD1">
        <w:rPr>
          <w:rFonts w:eastAsia="Calibri" w:cs="Times New Roman"/>
        </w:rPr>
        <w:t xml:space="preserve">Jednym z najważniejszych szczegółowych aspektów polityki wizerunkowej Polski jest sfera relacji polsko-żydowskich. W celu zapewnienia skuteczności dyplomacji publicznej w tym zakresie należy uwzględniać fakt istnienia różnych perspektyw pamięci o Holocauście w Izraelu i wśród diaspory żydowskiej w świecie. Po drugie, trzeba podejmować dyskusję naukową z badaczami Holocaustu w Polsce, Izraelu, Ameryce Północnej i innych częściach świata, w celu przeciwdziałania utrwalaniu negatywnych dla Polski i Polaków stereotypów oraz uproszczeń w spojrzeniu na historię naszego kraju, ze szczególnym uwzględnieniem okresu II wojny światowej. Po trzecie, potrzebne jest podkreślanie, że Polska, nie zapominając o historii i godnie dbając o pamięć, jest zainteresowana przyszłością stosunków polsko-żydowskich. Należy przypominać, że chronimy i promujemy dziedzictwo Żydów Polskich, jako trwały i ważny składnik dziedzictwa kulturowego polskiego państwa poprzez inicjatywy muzealne jak </w:t>
      </w:r>
      <w:r>
        <w:rPr>
          <w:rFonts w:eastAsia="Calibri" w:cs="Times New Roman"/>
        </w:rPr>
        <w:t xml:space="preserve">Muzeum Historii Żydów Polskich </w:t>
      </w:r>
      <w:r w:rsidRPr="00FA5CD1">
        <w:rPr>
          <w:rFonts w:eastAsia="Calibri" w:cs="Times New Roman"/>
        </w:rPr>
        <w:t xml:space="preserve">POLIN, Muzeum Żydów Polskich czy rozwój badań judaistycznych i dialog wyznaniowy. Z satysfakcją odnotowujemy i sprzyjamy procesowi odnowy życia </w:t>
      </w:r>
      <w:r>
        <w:rPr>
          <w:rFonts w:eastAsia="Calibri" w:cs="Times New Roman"/>
        </w:rPr>
        <w:t>żydowskiego w Polsce po 1989 r.</w:t>
      </w:r>
      <w:r w:rsidRPr="00FA5CD1">
        <w:rPr>
          <w:rFonts w:eastAsia="Calibri" w:cs="Times New Roman"/>
        </w:rPr>
        <w:t xml:space="preserve"> </w:t>
      </w:r>
      <w:r w:rsidRPr="00FA5CD1">
        <w:rPr>
          <w:rFonts w:eastAsia="Calibri"/>
        </w:rPr>
        <w:t xml:space="preserve">Wizerunek Polski jest ściśle związany z pozycją gospodarczą kraju. Dlatego konieczna będzie zmiana narracji promocji państwa na narrację dotyczącą kreatywności i otwartości społeczeństwa oraz innowacyjności technologicznej i zdolności do adaptacji do szybkich zmian gospodarczych. Spojrzenie w przód jest gwarancją skuteczności promocji, a zarazem magnesem dla przyciągania najbardziej kreatywnych jednostek czy inwestycji z zewnątrz. </w:t>
      </w:r>
    </w:p>
    <w:p w14:paraId="6C68BB36" w14:textId="77777777" w:rsidR="00B53DEC" w:rsidRPr="00B434C4" w:rsidRDefault="00B53DEC" w:rsidP="00B53DEC">
      <w:pPr>
        <w:spacing w:line="276" w:lineRule="auto"/>
        <w:jc w:val="both"/>
        <w:rPr>
          <w:rFonts w:eastAsia="Calibri" w:cstheme="minorHAnsi"/>
        </w:rPr>
      </w:pPr>
      <w:r w:rsidRPr="00B434C4">
        <w:rPr>
          <w:rFonts w:eastAsia="Calibri" w:cstheme="minorHAnsi"/>
          <w:b/>
          <w:u w:val="single"/>
        </w:rPr>
        <w:t xml:space="preserve">6.4. Dostosowanie sieci placówek zagranicznych do potrzeb polskiej polityki zagranicznej. </w:t>
      </w:r>
      <w:r w:rsidRPr="00B434C4">
        <w:rPr>
          <w:rFonts w:eastAsia="Calibri" w:cstheme="minorHAnsi"/>
        </w:rPr>
        <w:t>Rozmieszczenie placówek zagranicznych jest podstawowym instrumentem realizacji polskiej polityki zagranicznej. Adekwatna sieć placówek zagranicznych odpowiadająca na współczesne wyzwania oraz oczekiwania obywateli RP pozwala wzmacniać współpracę międzynarodową, kształtować pozytywny wizerunek kraju, zapewnić dostępność usług konsularnych i współpracy z Polonią i Polakami za granicą, co w efekcie służy rozwojowi i bezpieczeństwu Polski. Utrzymanie adekwatnej do potrzeb sieci placówek zagranicznych wymaga stałego analizowania i monitorowania. Istotnym elementem działań jest określenie relacji priorytetów i zadań do środków koniecznych do ich realizacji w celu podjęcia decyzji w zakresie powoływania lub likwidacji placówki.</w:t>
      </w:r>
    </w:p>
    <w:p w14:paraId="62E1C90F" w14:textId="7BF865A5" w:rsidR="008C0141" w:rsidRPr="00F21196" w:rsidRDefault="008C0141" w:rsidP="00FA5CD1">
      <w:pPr>
        <w:spacing w:after="0" w:line="276" w:lineRule="auto"/>
        <w:jc w:val="both"/>
        <w:rPr>
          <w:rFonts w:eastAsia="Calibri" w:cs="Times New Roman"/>
        </w:rPr>
      </w:pPr>
    </w:p>
    <w:p w14:paraId="0983BF24" w14:textId="77777777" w:rsidR="005D39BA" w:rsidRPr="00F21196" w:rsidRDefault="00260709" w:rsidP="00833970">
      <w:pPr>
        <w:pBdr>
          <w:bottom w:val="single" w:sz="24" w:space="1" w:color="9CC2E5" w:themeColor="accent1" w:themeTint="99"/>
        </w:pBdr>
        <w:shd w:val="clear" w:color="auto" w:fill="DEEAF6" w:themeFill="accent1" w:themeFillTint="33"/>
        <w:spacing w:after="0"/>
        <w:rPr>
          <w:rFonts w:eastAsia="Times New Roman" w:cs="Calibri"/>
          <w:b/>
          <w:sz w:val="24"/>
          <w:lang w:eastAsia="pl-PL"/>
        </w:rPr>
      </w:pPr>
      <w:r w:rsidRPr="00F21196">
        <w:rPr>
          <w:rFonts w:eastAsia="Times New Roman" w:cs="Calibri"/>
          <w:b/>
          <w:sz w:val="24"/>
          <w:lang w:eastAsia="pl-PL"/>
        </w:rPr>
        <w:t>V.</w:t>
      </w:r>
      <w:r w:rsidR="005D39BA" w:rsidRPr="00F21196">
        <w:rPr>
          <w:rFonts w:eastAsia="Times New Roman" w:cs="Calibri"/>
          <w:b/>
          <w:sz w:val="24"/>
          <w:lang w:eastAsia="pl-PL"/>
        </w:rPr>
        <w:t>5.</w:t>
      </w:r>
      <w:r w:rsidR="00DF044E" w:rsidRPr="00F21196">
        <w:rPr>
          <w:rFonts w:eastAsia="Times New Roman" w:cs="Calibri"/>
          <w:b/>
          <w:sz w:val="24"/>
          <w:lang w:eastAsia="pl-PL"/>
        </w:rPr>
        <w:t xml:space="preserve"> </w:t>
      </w:r>
      <w:r w:rsidR="002A3972" w:rsidRPr="00F21196">
        <w:rPr>
          <w:rFonts w:eastAsia="Times New Roman" w:cs="Calibri"/>
          <w:b/>
          <w:sz w:val="24"/>
          <w:lang w:eastAsia="pl-PL"/>
        </w:rPr>
        <w:t>Wykaz p</w:t>
      </w:r>
      <w:r w:rsidR="005D39BA" w:rsidRPr="00F21196">
        <w:rPr>
          <w:rFonts w:eastAsia="Times New Roman" w:cs="Calibri"/>
          <w:b/>
          <w:sz w:val="24"/>
          <w:lang w:eastAsia="pl-PL"/>
        </w:rPr>
        <w:t>rojekt</w:t>
      </w:r>
      <w:r w:rsidR="002A3972" w:rsidRPr="00F21196">
        <w:rPr>
          <w:rFonts w:eastAsia="Times New Roman" w:cs="Calibri"/>
          <w:b/>
          <w:sz w:val="24"/>
          <w:lang w:eastAsia="pl-PL"/>
        </w:rPr>
        <w:t>ów</w:t>
      </w:r>
      <w:r w:rsidR="005D39BA" w:rsidRPr="00F21196">
        <w:rPr>
          <w:rFonts w:eastAsia="Times New Roman" w:cs="Calibri"/>
          <w:b/>
          <w:sz w:val="24"/>
          <w:lang w:eastAsia="pl-PL"/>
        </w:rPr>
        <w:t xml:space="preserve"> </w:t>
      </w:r>
      <w:r w:rsidR="006E1EC6" w:rsidRPr="00F21196">
        <w:rPr>
          <w:rFonts w:eastAsia="Times New Roman" w:cs="Calibri"/>
          <w:b/>
          <w:sz w:val="24"/>
          <w:lang w:eastAsia="pl-PL"/>
        </w:rPr>
        <w:t>strategiczn</w:t>
      </w:r>
      <w:r w:rsidR="002A3972" w:rsidRPr="00F21196">
        <w:rPr>
          <w:rFonts w:eastAsia="Times New Roman" w:cs="Calibri"/>
          <w:b/>
          <w:sz w:val="24"/>
          <w:lang w:eastAsia="pl-PL"/>
        </w:rPr>
        <w:t>ych</w:t>
      </w:r>
      <w:r w:rsidR="006E1EC6" w:rsidRPr="00F21196">
        <w:rPr>
          <w:rFonts w:eastAsia="Times New Roman" w:cs="Calibri"/>
          <w:b/>
          <w:sz w:val="24"/>
          <w:lang w:eastAsia="pl-PL"/>
        </w:rPr>
        <w:t xml:space="preserve"> </w:t>
      </w:r>
    </w:p>
    <w:p w14:paraId="1E487CC1" w14:textId="77777777" w:rsidR="00D10A96" w:rsidRPr="00F21196" w:rsidRDefault="00D10A96" w:rsidP="006E1EC6">
      <w:pPr>
        <w:spacing w:after="0"/>
        <w:rPr>
          <w:b/>
          <w:bCs/>
        </w:rPr>
      </w:pPr>
    </w:p>
    <w:tbl>
      <w:tblPr>
        <w:tblStyle w:val="Tabela-Siatka"/>
        <w:tblW w:w="9913" w:type="dxa"/>
        <w:tblBorders>
          <w:top w:val="single" w:sz="8" w:space="0" w:color="2F5496" w:themeColor="accent5" w:themeShade="BF"/>
          <w:left w:val="single" w:sz="8" w:space="0" w:color="2F5496" w:themeColor="accent5" w:themeShade="BF"/>
          <w:bottom w:val="single" w:sz="8" w:space="0" w:color="2F5496" w:themeColor="accent5" w:themeShade="BF"/>
          <w:right w:val="single" w:sz="8" w:space="0" w:color="2F5496" w:themeColor="accent5" w:themeShade="BF"/>
          <w:insideH w:val="single" w:sz="8" w:space="0" w:color="2F5496" w:themeColor="accent5" w:themeShade="BF"/>
          <w:insideV w:val="single" w:sz="8" w:space="0" w:color="2F5496" w:themeColor="accent5" w:themeShade="BF"/>
        </w:tblBorders>
        <w:tblLayout w:type="fixed"/>
        <w:tblLook w:val="04A0" w:firstRow="1" w:lastRow="0" w:firstColumn="1" w:lastColumn="0" w:noHBand="0" w:noVBand="1"/>
      </w:tblPr>
      <w:tblGrid>
        <w:gridCol w:w="2258"/>
        <w:gridCol w:w="993"/>
        <w:gridCol w:w="1276"/>
        <w:gridCol w:w="3827"/>
        <w:gridCol w:w="1559"/>
      </w:tblGrid>
      <w:tr w:rsidR="008C0141" w:rsidRPr="00F21196" w14:paraId="0F5C7BBD" w14:textId="44E187F1" w:rsidTr="00C23414">
        <w:tc>
          <w:tcPr>
            <w:tcW w:w="2258" w:type="dxa"/>
            <w:shd w:val="clear" w:color="auto" w:fill="BDD6EE" w:themeFill="accent1" w:themeFillTint="66"/>
          </w:tcPr>
          <w:p w14:paraId="5DE6C630" w14:textId="77777777" w:rsidR="008C0141" w:rsidRPr="00F21196" w:rsidRDefault="008C0141" w:rsidP="008C0141">
            <w:pPr>
              <w:jc w:val="center"/>
              <w:rPr>
                <w:rFonts w:eastAsia="Times New Roman" w:cs="Calibri"/>
                <w:b/>
                <w:sz w:val="20"/>
                <w:szCs w:val="20"/>
                <w:lang w:eastAsia="pl-PL"/>
              </w:rPr>
            </w:pPr>
            <w:r w:rsidRPr="00F21196">
              <w:rPr>
                <w:rFonts w:eastAsia="Times New Roman" w:cs="Calibri"/>
                <w:b/>
                <w:sz w:val="20"/>
                <w:szCs w:val="20"/>
                <w:lang w:eastAsia="pl-PL"/>
              </w:rPr>
              <w:t>Inicjatywa</w:t>
            </w:r>
          </w:p>
        </w:tc>
        <w:tc>
          <w:tcPr>
            <w:tcW w:w="993" w:type="dxa"/>
            <w:shd w:val="clear" w:color="auto" w:fill="BDD6EE" w:themeFill="accent1" w:themeFillTint="66"/>
          </w:tcPr>
          <w:p w14:paraId="794E039D" w14:textId="08B6A6D1" w:rsidR="008C0141" w:rsidRPr="00F21196" w:rsidRDefault="008C0141" w:rsidP="008C0141">
            <w:pPr>
              <w:jc w:val="center"/>
              <w:rPr>
                <w:rFonts w:eastAsia="Times New Roman" w:cs="Calibri"/>
                <w:b/>
                <w:sz w:val="20"/>
                <w:szCs w:val="20"/>
                <w:lang w:eastAsia="pl-PL"/>
              </w:rPr>
            </w:pPr>
            <w:r w:rsidRPr="00F21196">
              <w:rPr>
                <w:rFonts w:eastAsia="Times New Roman" w:cs="Calibri"/>
                <w:b/>
                <w:sz w:val="20"/>
                <w:szCs w:val="20"/>
                <w:lang w:eastAsia="pl-PL"/>
              </w:rPr>
              <w:t>Podmiot</w:t>
            </w:r>
          </w:p>
          <w:p w14:paraId="40ED989E" w14:textId="77777777" w:rsidR="008C0141" w:rsidRPr="00F21196" w:rsidRDefault="008C0141" w:rsidP="008C0141">
            <w:pPr>
              <w:jc w:val="center"/>
              <w:rPr>
                <w:rFonts w:eastAsia="Times New Roman" w:cs="Calibri"/>
                <w:b/>
                <w:sz w:val="20"/>
                <w:szCs w:val="20"/>
                <w:lang w:eastAsia="pl-PL"/>
              </w:rPr>
            </w:pPr>
            <w:r w:rsidRPr="00F21196">
              <w:rPr>
                <w:rFonts w:eastAsia="Times New Roman" w:cs="Calibri"/>
                <w:b/>
                <w:sz w:val="20"/>
                <w:szCs w:val="20"/>
                <w:lang w:eastAsia="pl-PL"/>
              </w:rPr>
              <w:t>wiodący</w:t>
            </w:r>
          </w:p>
        </w:tc>
        <w:tc>
          <w:tcPr>
            <w:tcW w:w="1276" w:type="dxa"/>
            <w:shd w:val="clear" w:color="auto" w:fill="BDD6EE" w:themeFill="accent1" w:themeFillTint="66"/>
          </w:tcPr>
          <w:p w14:paraId="7604C587" w14:textId="77777777" w:rsidR="008C0141" w:rsidRPr="00F21196" w:rsidRDefault="008C0141" w:rsidP="008C0141">
            <w:pPr>
              <w:jc w:val="center"/>
              <w:rPr>
                <w:rFonts w:eastAsia="Times New Roman" w:cs="Calibri"/>
                <w:b/>
                <w:sz w:val="20"/>
                <w:szCs w:val="20"/>
                <w:lang w:eastAsia="pl-PL"/>
              </w:rPr>
            </w:pPr>
            <w:r w:rsidRPr="00F21196">
              <w:rPr>
                <w:rFonts w:eastAsia="Times New Roman" w:cs="Calibri"/>
                <w:b/>
                <w:sz w:val="20"/>
                <w:szCs w:val="20"/>
                <w:lang w:eastAsia="pl-PL"/>
              </w:rPr>
              <w:t>Planowany przedział czasowy na realizację</w:t>
            </w:r>
          </w:p>
        </w:tc>
        <w:tc>
          <w:tcPr>
            <w:tcW w:w="3827" w:type="dxa"/>
            <w:shd w:val="clear" w:color="auto" w:fill="BDD6EE" w:themeFill="accent1" w:themeFillTint="66"/>
          </w:tcPr>
          <w:p w14:paraId="301ACDF8" w14:textId="77777777" w:rsidR="008C0141" w:rsidRPr="00F21196" w:rsidRDefault="008C0141" w:rsidP="008C0141">
            <w:pPr>
              <w:jc w:val="center"/>
              <w:rPr>
                <w:rFonts w:eastAsia="Times New Roman" w:cs="Calibri"/>
                <w:b/>
                <w:sz w:val="20"/>
                <w:szCs w:val="20"/>
                <w:lang w:eastAsia="pl-PL"/>
              </w:rPr>
            </w:pPr>
            <w:r w:rsidRPr="00F21196">
              <w:rPr>
                <w:rFonts w:eastAsia="Times New Roman" w:cs="Calibri"/>
                <w:b/>
                <w:sz w:val="20"/>
                <w:szCs w:val="20"/>
                <w:lang w:eastAsia="pl-PL"/>
              </w:rPr>
              <w:t>Syntetyczny opis</w:t>
            </w:r>
          </w:p>
        </w:tc>
        <w:tc>
          <w:tcPr>
            <w:tcW w:w="1559" w:type="dxa"/>
            <w:shd w:val="clear" w:color="auto" w:fill="BDD6EE" w:themeFill="accent1" w:themeFillTint="66"/>
          </w:tcPr>
          <w:p w14:paraId="1B29077D" w14:textId="6C65AF03" w:rsidR="008C0141" w:rsidRPr="00F21196" w:rsidRDefault="008C0141" w:rsidP="008C0141">
            <w:pPr>
              <w:ind w:right="-108"/>
              <w:jc w:val="center"/>
              <w:rPr>
                <w:rFonts w:eastAsia="Times New Roman" w:cs="Calibri"/>
                <w:b/>
                <w:sz w:val="20"/>
                <w:szCs w:val="20"/>
                <w:lang w:eastAsia="pl-PL"/>
              </w:rPr>
            </w:pPr>
            <w:r>
              <w:rPr>
                <w:rFonts w:eastAsia="Times New Roman" w:cs="Calibri"/>
                <w:b/>
                <w:sz w:val="20"/>
                <w:szCs w:val="20"/>
                <w:lang w:eastAsia="pl-PL"/>
              </w:rPr>
              <w:t>Kierunek interwencji</w:t>
            </w:r>
          </w:p>
        </w:tc>
      </w:tr>
      <w:tr w:rsidR="008C0141" w:rsidRPr="00F21196" w14:paraId="14C8F3C4" w14:textId="1010FF36" w:rsidTr="00C23414">
        <w:tc>
          <w:tcPr>
            <w:tcW w:w="2258" w:type="dxa"/>
            <w:shd w:val="clear" w:color="auto" w:fill="auto"/>
          </w:tcPr>
          <w:p w14:paraId="6A03B090" w14:textId="77777777" w:rsidR="008C0141" w:rsidRPr="00D247D0" w:rsidRDefault="008C0141" w:rsidP="00DC33C4">
            <w:pPr>
              <w:rPr>
                <w:rFonts w:eastAsia="Times New Roman" w:cs="Calibri"/>
                <w:b/>
                <w:sz w:val="18"/>
                <w:szCs w:val="18"/>
                <w:lang w:eastAsia="pl-PL"/>
              </w:rPr>
            </w:pPr>
            <w:r w:rsidRPr="00D247D0">
              <w:rPr>
                <w:rFonts w:cs="Times New Roman"/>
                <w:b/>
                <w:sz w:val="18"/>
                <w:szCs w:val="18"/>
              </w:rPr>
              <w:t>Organizacja łączności na potrzeby systemu kierowania bezpieczeństwem państwa</w:t>
            </w:r>
          </w:p>
        </w:tc>
        <w:tc>
          <w:tcPr>
            <w:tcW w:w="993" w:type="dxa"/>
            <w:shd w:val="clear" w:color="auto" w:fill="auto"/>
          </w:tcPr>
          <w:p w14:paraId="2A997947" w14:textId="77777777" w:rsidR="008C0141" w:rsidRPr="00F21196" w:rsidRDefault="008C0141" w:rsidP="00DC33C4">
            <w:pPr>
              <w:jc w:val="center"/>
              <w:rPr>
                <w:rFonts w:eastAsia="Times New Roman" w:cs="Calibri"/>
                <w:b/>
                <w:sz w:val="20"/>
                <w:szCs w:val="20"/>
                <w:lang w:eastAsia="pl-PL"/>
              </w:rPr>
            </w:pPr>
            <w:r w:rsidRPr="00F21196">
              <w:rPr>
                <w:rFonts w:cs="Times New Roman"/>
                <w:sz w:val="20"/>
                <w:szCs w:val="20"/>
              </w:rPr>
              <w:t>MON</w:t>
            </w:r>
          </w:p>
        </w:tc>
        <w:tc>
          <w:tcPr>
            <w:tcW w:w="1276" w:type="dxa"/>
            <w:shd w:val="clear" w:color="auto" w:fill="FFFFFF" w:themeFill="background1"/>
          </w:tcPr>
          <w:p w14:paraId="5CCE6106" w14:textId="77777777" w:rsidR="008C0141" w:rsidRPr="00F21196" w:rsidRDefault="008C0141" w:rsidP="007C4267">
            <w:pPr>
              <w:rPr>
                <w:rFonts w:eastAsia="Times New Roman" w:cs="Calibri"/>
                <w:sz w:val="20"/>
                <w:szCs w:val="20"/>
                <w:lang w:eastAsia="pl-PL"/>
              </w:rPr>
            </w:pPr>
          </w:p>
        </w:tc>
        <w:tc>
          <w:tcPr>
            <w:tcW w:w="3827" w:type="dxa"/>
          </w:tcPr>
          <w:p w14:paraId="746D00E9" w14:textId="77777777" w:rsidR="008C0141" w:rsidRPr="00F21196" w:rsidRDefault="008C0141" w:rsidP="00C65680">
            <w:pPr>
              <w:autoSpaceDE w:val="0"/>
              <w:autoSpaceDN w:val="0"/>
              <w:adjustRightInd w:val="0"/>
              <w:jc w:val="both"/>
              <w:rPr>
                <w:rFonts w:eastAsia="Times New Roman" w:cs="Calibri"/>
                <w:b/>
                <w:sz w:val="18"/>
                <w:szCs w:val="18"/>
                <w:lang w:eastAsia="pl-PL"/>
              </w:rPr>
            </w:pPr>
            <w:r w:rsidRPr="00F21196">
              <w:rPr>
                <w:rFonts w:cs="Calibri"/>
                <w:sz w:val="18"/>
                <w:szCs w:val="18"/>
              </w:rPr>
              <w:t>Stworzenie homogenicznego systemu łączności jawnej i niejawnej całej administracji rządowej na potrzeby systemu kierowania bezpieczeństwem narodowym. System łączności po wdrożeniu będzie integrował istniejące zasoby teleinformatyczne państwa i zapewniał dostęp do danych podmiotom wykonującym zadania związane z bezpieczeństwem narodowym.</w:t>
            </w:r>
          </w:p>
        </w:tc>
        <w:tc>
          <w:tcPr>
            <w:tcW w:w="1559" w:type="dxa"/>
          </w:tcPr>
          <w:p w14:paraId="771B61F4" w14:textId="028FD50D" w:rsidR="008C0141" w:rsidRPr="00B116CB" w:rsidRDefault="00B116CB" w:rsidP="005D7781">
            <w:pPr>
              <w:pStyle w:val="Tekstpodstawowywcity"/>
              <w:spacing w:after="0"/>
              <w:ind w:left="0" w:right="33"/>
              <w:rPr>
                <w:rFonts w:asciiTheme="minorHAnsi" w:hAnsiTheme="minorHAnsi" w:cs="Calibri"/>
                <w:sz w:val="18"/>
                <w:szCs w:val="18"/>
              </w:rPr>
            </w:pPr>
            <w:r w:rsidRPr="005D7781">
              <w:rPr>
                <w:rFonts w:asciiTheme="minorHAnsi" w:hAnsiTheme="minorHAnsi" w:cs="Calibri"/>
                <w:b/>
                <w:sz w:val="18"/>
                <w:szCs w:val="18"/>
              </w:rPr>
              <w:t>1.</w:t>
            </w:r>
            <w:r w:rsidRPr="00B116CB">
              <w:rPr>
                <w:rFonts w:asciiTheme="minorHAnsi" w:hAnsiTheme="minorHAnsi" w:cs="Calibri"/>
                <w:sz w:val="18"/>
                <w:szCs w:val="18"/>
              </w:rPr>
              <w:t xml:space="preserve"> Zwiększenie potencjału Sił Zbrojnych RP</w:t>
            </w:r>
          </w:p>
        </w:tc>
      </w:tr>
      <w:tr w:rsidR="008C0141" w:rsidRPr="00F21196" w14:paraId="71AA5848" w14:textId="7089B557" w:rsidTr="00C23414">
        <w:tc>
          <w:tcPr>
            <w:tcW w:w="2258" w:type="dxa"/>
            <w:shd w:val="clear" w:color="auto" w:fill="auto"/>
          </w:tcPr>
          <w:p w14:paraId="7C3C6943" w14:textId="77777777" w:rsidR="008C0141" w:rsidRPr="00D247D0" w:rsidRDefault="008C0141" w:rsidP="00874635">
            <w:pPr>
              <w:rPr>
                <w:rFonts w:cs="Times New Roman"/>
                <w:b/>
                <w:sz w:val="18"/>
                <w:szCs w:val="18"/>
              </w:rPr>
            </w:pPr>
            <w:r>
              <w:rPr>
                <w:rFonts w:cs="Times New Roman"/>
                <w:b/>
                <w:sz w:val="18"/>
                <w:szCs w:val="18"/>
              </w:rPr>
              <w:t>Plan Modernizacji Technicznej SZ RP na lata 2021-2035</w:t>
            </w:r>
          </w:p>
        </w:tc>
        <w:tc>
          <w:tcPr>
            <w:tcW w:w="993" w:type="dxa"/>
            <w:shd w:val="clear" w:color="auto" w:fill="auto"/>
          </w:tcPr>
          <w:p w14:paraId="349F1EFC" w14:textId="77777777" w:rsidR="008C0141" w:rsidRPr="00F21196" w:rsidRDefault="008C0141" w:rsidP="00874635">
            <w:pPr>
              <w:jc w:val="center"/>
              <w:rPr>
                <w:rFonts w:cs="Times New Roman"/>
                <w:sz w:val="20"/>
                <w:szCs w:val="20"/>
              </w:rPr>
            </w:pPr>
            <w:r>
              <w:rPr>
                <w:rFonts w:cs="Times New Roman"/>
                <w:sz w:val="20"/>
                <w:szCs w:val="20"/>
              </w:rPr>
              <w:t>MON</w:t>
            </w:r>
          </w:p>
        </w:tc>
        <w:tc>
          <w:tcPr>
            <w:tcW w:w="1276" w:type="dxa"/>
          </w:tcPr>
          <w:p w14:paraId="577475E6" w14:textId="77777777" w:rsidR="008C0141" w:rsidRPr="00F21196" w:rsidRDefault="008C0141" w:rsidP="00874635">
            <w:pPr>
              <w:rPr>
                <w:rFonts w:eastAsia="Times New Roman" w:cs="Calibri"/>
                <w:sz w:val="20"/>
                <w:szCs w:val="20"/>
                <w:lang w:eastAsia="pl-PL"/>
              </w:rPr>
            </w:pPr>
            <w:r>
              <w:rPr>
                <w:rFonts w:eastAsia="Times New Roman" w:cs="Calibri"/>
                <w:sz w:val="20"/>
                <w:szCs w:val="20"/>
                <w:lang w:eastAsia="pl-PL"/>
              </w:rPr>
              <w:t>2020-2035</w:t>
            </w:r>
          </w:p>
        </w:tc>
        <w:tc>
          <w:tcPr>
            <w:tcW w:w="3827" w:type="dxa"/>
          </w:tcPr>
          <w:p w14:paraId="29DBD5EB" w14:textId="77777777" w:rsidR="008C0141" w:rsidRPr="00F21196" w:rsidRDefault="008C0141" w:rsidP="00874635">
            <w:pPr>
              <w:autoSpaceDE w:val="0"/>
              <w:autoSpaceDN w:val="0"/>
              <w:adjustRightInd w:val="0"/>
              <w:jc w:val="both"/>
              <w:rPr>
                <w:rFonts w:cs="Calibri"/>
                <w:sz w:val="18"/>
                <w:szCs w:val="18"/>
              </w:rPr>
            </w:pPr>
            <w:r>
              <w:rPr>
                <w:rFonts w:cs="Calibri"/>
                <w:sz w:val="18"/>
                <w:szCs w:val="18"/>
              </w:rPr>
              <w:t>Modernizacja techniczna SZ RP jest kluczowa dla wzmocnienia narodowych zdolności obronnych.</w:t>
            </w:r>
          </w:p>
        </w:tc>
        <w:tc>
          <w:tcPr>
            <w:tcW w:w="1559" w:type="dxa"/>
          </w:tcPr>
          <w:p w14:paraId="6DFEB36D" w14:textId="7FC717B8" w:rsidR="008C0141" w:rsidRPr="00B116CB" w:rsidRDefault="00B116CB" w:rsidP="005D7781">
            <w:pPr>
              <w:autoSpaceDE w:val="0"/>
              <w:autoSpaceDN w:val="0"/>
              <w:adjustRightInd w:val="0"/>
              <w:ind w:left="33" w:right="33"/>
              <w:rPr>
                <w:rFonts w:cs="Calibri"/>
                <w:sz w:val="18"/>
                <w:szCs w:val="18"/>
              </w:rPr>
            </w:pPr>
            <w:r w:rsidRPr="00C23414">
              <w:rPr>
                <w:rFonts w:cs="Calibri"/>
                <w:sz w:val="18"/>
                <w:szCs w:val="18"/>
              </w:rPr>
              <w:t>1.</w:t>
            </w:r>
            <w:r w:rsidRPr="00B116CB">
              <w:rPr>
                <w:rFonts w:cs="Calibri"/>
                <w:sz w:val="18"/>
                <w:szCs w:val="18"/>
              </w:rPr>
              <w:t xml:space="preserve"> Zwiększenie potencjału Sił Zbrojnych RP</w:t>
            </w:r>
          </w:p>
        </w:tc>
      </w:tr>
      <w:tr w:rsidR="008C0141" w:rsidRPr="00F21196" w14:paraId="4084EB72" w14:textId="5F36614B" w:rsidTr="00C23414">
        <w:tc>
          <w:tcPr>
            <w:tcW w:w="2258" w:type="dxa"/>
            <w:shd w:val="clear" w:color="auto" w:fill="auto"/>
          </w:tcPr>
          <w:p w14:paraId="2F09C00A" w14:textId="77777777" w:rsidR="008C0141" w:rsidRPr="00D247D0" w:rsidRDefault="008C0141" w:rsidP="00874635">
            <w:pPr>
              <w:rPr>
                <w:rFonts w:eastAsia="Times New Roman" w:cs="Calibri"/>
                <w:b/>
                <w:sz w:val="18"/>
                <w:szCs w:val="18"/>
                <w:lang w:eastAsia="pl-PL"/>
              </w:rPr>
            </w:pPr>
            <w:r w:rsidRPr="00D247D0">
              <w:rPr>
                <w:rFonts w:eastAsia="Times New Roman" w:cs="Calibri"/>
                <w:b/>
                <w:bCs/>
                <w:sz w:val="18"/>
                <w:szCs w:val="18"/>
                <w:lang w:eastAsia="pl-PL"/>
              </w:rPr>
              <w:t>Wojska Obrony Terytorialnej</w:t>
            </w:r>
          </w:p>
        </w:tc>
        <w:tc>
          <w:tcPr>
            <w:tcW w:w="993" w:type="dxa"/>
            <w:shd w:val="clear" w:color="auto" w:fill="auto"/>
          </w:tcPr>
          <w:p w14:paraId="2418F91B" w14:textId="77777777" w:rsidR="008C0141" w:rsidRPr="00F21196" w:rsidRDefault="008C0141" w:rsidP="00874635">
            <w:pPr>
              <w:jc w:val="center"/>
              <w:rPr>
                <w:rFonts w:eastAsia="Times New Roman" w:cs="Calibri"/>
                <w:b/>
                <w:sz w:val="20"/>
                <w:szCs w:val="20"/>
                <w:lang w:eastAsia="pl-PL"/>
              </w:rPr>
            </w:pPr>
            <w:r w:rsidRPr="00F21196">
              <w:rPr>
                <w:rFonts w:eastAsia="Times New Roman" w:cs="Calibri"/>
                <w:sz w:val="20"/>
                <w:szCs w:val="20"/>
                <w:lang w:eastAsia="pl-PL"/>
              </w:rPr>
              <w:t>MON</w:t>
            </w:r>
          </w:p>
        </w:tc>
        <w:tc>
          <w:tcPr>
            <w:tcW w:w="1276" w:type="dxa"/>
            <w:shd w:val="clear" w:color="auto" w:fill="auto"/>
          </w:tcPr>
          <w:p w14:paraId="6D19407F" w14:textId="77777777" w:rsidR="008C0141" w:rsidRPr="00F21196" w:rsidRDefault="008C0141" w:rsidP="00874635">
            <w:pPr>
              <w:rPr>
                <w:rFonts w:eastAsia="Times New Roman" w:cs="Calibri"/>
                <w:sz w:val="20"/>
                <w:szCs w:val="20"/>
                <w:lang w:eastAsia="pl-PL"/>
              </w:rPr>
            </w:pPr>
            <w:r w:rsidRPr="00C65680">
              <w:rPr>
                <w:rFonts w:eastAsia="Times New Roman" w:cs="Calibri"/>
                <w:sz w:val="20"/>
                <w:szCs w:val="20"/>
                <w:lang w:eastAsia="pl-PL"/>
              </w:rPr>
              <w:t>2016-20</w:t>
            </w:r>
            <w:r>
              <w:rPr>
                <w:rFonts w:eastAsia="Times New Roman" w:cs="Calibri"/>
                <w:sz w:val="20"/>
                <w:szCs w:val="20"/>
                <w:lang w:eastAsia="pl-PL"/>
              </w:rPr>
              <w:t>21</w:t>
            </w:r>
          </w:p>
        </w:tc>
        <w:tc>
          <w:tcPr>
            <w:tcW w:w="3827" w:type="dxa"/>
            <w:shd w:val="clear" w:color="auto" w:fill="auto"/>
          </w:tcPr>
          <w:p w14:paraId="7CCC311C" w14:textId="77777777" w:rsidR="008C0141" w:rsidRPr="00F21196" w:rsidRDefault="008C0141" w:rsidP="00874635">
            <w:pPr>
              <w:jc w:val="both"/>
              <w:rPr>
                <w:rFonts w:eastAsia="Times New Roman" w:cs="Calibri"/>
                <w:b/>
                <w:sz w:val="18"/>
                <w:szCs w:val="18"/>
                <w:lang w:eastAsia="pl-PL"/>
              </w:rPr>
            </w:pPr>
            <w:r w:rsidRPr="00F21196">
              <w:rPr>
                <w:rFonts w:cs="Times New Roman"/>
                <w:sz w:val="18"/>
                <w:szCs w:val="18"/>
              </w:rPr>
              <w:t>Utworzenie Wojsk Obrony Terytorialnej i ich zintegrowanie z pozostałymi rodzajami sił zbrojnych na poziomie strategicznym i operacyjnym oraz układem pozamilitarnym, zarówno w czasie pokoju, kryzysu i wojny.</w:t>
            </w:r>
          </w:p>
        </w:tc>
        <w:tc>
          <w:tcPr>
            <w:tcW w:w="1559" w:type="dxa"/>
          </w:tcPr>
          <w:p w14:paraId="443F6E76" w14:textId="62ED0613" w:rsidR="008C0141" w:rsidRPr="00B116CB" w:rsidRDefault="00B116CB" w:rsidP="005D7781">
            <w:pPr>
              <w:ind w:left="33" w:right="33"/>
              <w:rPr>
                <w:rFonts w:cs="Times New Roman"/>
                <w:sz w:val="18"/>
                <w:szCs w:val="18"/>
              </w:rPr>
            </w:pPr>
            <w:r w:rsidRPr="00C23414">
              <w:rPr>
                <w:rFonts w:cs="Calibri"/>
                <w:sz w:val="18"/>
                <w:szCs w:val="18"/>
              </w:rPr>
              <w:t>1.</w:t>
            </w:r>
            <w:r w:rsidRPr="00B116CB">
              <w:rPr>
                <w:rFonts w:cs="Calibri"/>
                <w:sz w:val="18"/>
                <w:szCs w:val="18"/>
              </w:rPr>
              <w:t xml:space="preserve"> Zwiększenie potencjału Sił Zbrojnych RP</w:t>
            </w:r>
          </w:p>
        </w:tc>
      </w:tr>
      <w:tr w:rsidR="008C0141" w:rsidRPr="00F21196" w14:paraId="1D79EA9D" w14:textId="507D7424" w:rsidTr="00C23414">
        <w:tc>
          <w:tcPr>
            <w:tcW w:w="2258" w:type="dxa"/>
            <w:shd w:val="clear" w:color="auto" w:fill="auto"/>
          </w:tcPr>
          <w:p w14:paraId="46493A06" w14:textId="77777777" w:rsidR="008C0141" w:rsidRPr="00D247D0" w:rsidRDefault="008C0141" w:rsidP="00874635">
            <w:pPr>
              <w:rPr>
                <w:rFonts w:eastAsia="Times New Roman" w:cs="Calibri"/>
                <w:b/>
                <w:i/>
                <w:sz w:val="18"/>
                <w:szCs w:val="18"/>
                <w:lang w:eastAsia="pl-PL"/>
              </w:rPr>
            </w:pPr>
            <w:r w:rsidRPr="00D247D0">
              <w:rPr>
                <w:b/>
                <w:sz w:val="18"/>
                <w:szCs w:val="18"/>
              </w:rPr>
              <w:t>Polityka Migracyjna Polski</w:t>
            </w:r>
            <w:r w:rsidRPr="00D247D0">
              <w:rPr>
                <w:rFonts w:eastAsia="Times New Roman" w:cs="Calibri"/>
                <w:b/>
                <w:i/>
                <w:sz w:val="18"/>
                <w:szCs w:val="18"/>
                <w:lang w:eastAsia="pl-PL"/>
              </w:rPr>
              <w:t xml:space="preserve"> </w:t>
            </w:r>
          </w:p>
          <w:p w14:paraId="0243C835" w14:textId="77777777" w:rsidR="008C0141" w:rsidRPr="00D247D0" w:rsidRDefault="008C0141" w:rsidP="00874635">
            <w:pPr>
              <w:rPr>
                <w:rFonts w:eastAsia="Times New Roman" w:cs="Calibri"/>
                <w:b/>
                <w:sz w:val="18"/>
                <w:szCs w:val="18"/>
                <w:lang w:eastAsia="pl-PL"/>
              </w:rPr>
            </w:pPr>
          </w:p>
        </w:tc>
        <w:tc>
          <w:tcPr>
            <w:tcW w:w="993" w:type="dxa"/>
            <w:shd w:val="clear" w:color="auto" w:fill="auto"/>
          </w:tcPr>
          <w:p w14:paraId="7D644C6D" w14:textId="77777777" w:rsidR="008C0141" w:rsidRPr="00F21196" w:rsidRDefault="008C0141" w:rsidP="00874635">
            <w:pPr>
              <w:jc w:val="center"/>
              <w:rPr>
                <w:rFonts w:eastAsia="Times New Roman" w:cs="Calibri"/>
                <w:sz w:val="20"/>
                <w:szCs w:val="20"/>
                <w:lang w:eastAsia="pl-PL"/>
              </w:rPr>
            </w:pPr>
            <w:r w:rsidRPr="00F21196">
              <w:rPr>
                <w:sz w:val="20"/>
                <w:szCs w:val="20"/>
              </w:rPr>
              <w:t>MSWiA</w:t>
            </w:r>
          </w:p>
        </w:tc>
        <w:tc>
          <w:tcPr>
            <w:tcW w:w="1276" w:type="dxa"/>
          </w:tcPr>
          <w:p w14:paraId="0BD4F421" w14:textId="77777777" w:rsidR="008C0141" w:rsidRPr="00F21196" w:rsidRDefault="008C0141" w:rsidP="00874635">
            <w:pPr>
              <w:rPr>
                <w:rFonts w:eastAsia="Times New Roman" w:cs="Calibri"/>
                <w:b/>
                <w:sz w:val="20"/>
                <w:szCs w:val="20"/>
                <w:lang w:eastAsia="pl-PL"/>
              </w:rPr>
            </w:pPr>
            <w:r w:rsidRPr="00F21196">
              <w:rPr>
                <w:sz w:val="20"/>
                <w:szCs w:val="20"/>
              </w:rPr>
              <w:t>od 2017</w:t>
            </w:r>
          </w:p>
        </w:tc>
        <w:tc>
          <w:tcPr>
            <w:tcW w:w="3827" w:type="dxa"/>
          </w:tcPr>
          <w:p w14:paraId="03A64A38" w14:textId="77777777" w:rsidR="008C0141" w:rsidRPr="00F21196" w:rsidRDefault="008C0141" w:rsidP="00874635">
            <w:pPr>
              <w:autoSpaceDE w:val="0"/>
              <w:autoSpaceDN w:val="0"/>
              <w:adjustRightInd w:val="0"/>
              <w:jc w:val="both"/>
              <w:rPr>
                <w:rFonts w:eastAsia="Times New Roman" w:cs="Calibri"/>
                <w:b/>
                <w:sz w:val="18"/>
                <w:szCs w:val="18"/>
                <w:lang w:eastAsia="pl-PL"/>
              </w:rPr>
            </w:pPr>
            <w:r w:rsidRPr="00F21196">
              <w:rPr>
                <w:rFonts w:cs="Calibri"/>
                <w:sz w:val="18"/>
                <w:szCs w:val="18"/>
              </w:rPr>
              <w:t xml:space="preserve">Opracowanie kompleksowego dokumentu przedstawiającego polski model aktywnej polityki migracyjnej, zakładającej m.in. usprawnienie zarządzania procesami emigracyjnymi, imigracyjnymi, integracji cudzoziemców </w:t>
            </w:r>
            <w:r w:rsidRPr="008B54D1">
              <w:rPr>
                <w:sz w:val="18"/>
                <w:szCs w:val="18"/>
              </w:rPr>
              <w:t>oraz uwarunkowań ich osiedlania się w Polsce</w:t>
            </w:r>
            <w:r w:rsidRPr="008B54D1">
              <w:rPr>
                <w:rFonts w:cs="Calibri"/>
                <w:sz w:val="18"/>
                <w:szCs w:val="18"/>
              </w:rPr>
              <w:t xml:space="preserve">, </w:t>
            </w:r>
            <w:r w:rsidRPr="00F21196">
              <w:rPr>
                <w:rFonts w:cs="Calibri"/>
                <w:sz w:val="18"/>
                <w:szCs w:val="18"/>
              </w:rPr>
              <w:t>z uwzględnieniem bezpieczeństwa państwa. Dokument stanowić będzie odpowiedź m.in. na potrzeby polityki gospodarczej w zakresie pozyskiwania pracowników cudzoziemskich o odpowiednich kompetencjach dla uzupełniania zasobów ludzkich na rynku pracy, wynikające z występujących trendów demograficznych</w:t>
            </w:r>
            <w:r w:rsidRPr="00234174">
              <w:rPr>
                <w:rFonts w:cs="Calibri"/>
                <w:sz w:val="18"/>
                <w:szCs w:val="18"/>
              </w:rPr>
              <w:t>. Dokument będzie komplementarny ze Strategią Zintegrowanego Zarządzania Granicą Państwową RP  na lata 2019-2022.</w:t>
            </w:r>
            <w:r>
              <w:rPr>
                <w:rFonts w:cs="Calibri"/>
                <w:sz w:val="18"/>
                <w:szCs w:val="18"/>
              </w:rPr>
              <w:t xml:space="preserve">  </w:t>
            </w:r>
          </w:p>
        </w:tc>
        <w:tc>
          <w:tcPr>
            <w:tcW w:w="1559" w:type="dxa"/>
          </w:tcPr>
          <w:p w14:paraId="12B91CCA" w14:textId="77777777" w:rsidR="00F45028" w:rsidRPr="00F21196" w:rsidRDefault="00F45028" w:rsidP="005D7781">
            <w:pPr>
              <w:ind w:left="33"/>
              <w:rPr>
                <w:rFonts w:cs="Calibri"/>
                <w:sz w:val="18"/>
                <w:szCs w:val="20"/>
              </w:rPr>
            </w:pPr>
            <w:r w:rsidRPr="00C23414">
              <w:rPr>
                <w:rFonts w:cs="Calibri,Bold"/>
                <w:bCs/>
                <w:sz w:val="18"/>
                <w:szCs w:val="20"/>
              </w:rPr>
              <w:t>4.</w:t>
            </w:r>
            <w:r w:rsidRPr="00F21196">
              <w:rPr>
                <w:rFonts w:cs="Calibri,Bold"/>
                <w:bCs/>
                <w:sz w:val="18"/>
                <w:szCs w:val="20"/>
              </w:rPr>
              <w:t xml:space="preserve"> </w:t>
            </w:r>
            <w:r w:rsidRPr="00F21196">
              <w:rPr>
                <w:rFonts w:cs="Calibri"/>
                <w:sz w:val="18"/>
                <w:szCs w:val="20"/>
              </w:rPr>
              <w:t>Zapewnienie bezpieczeństwa migracyjnego.</w:t>
            </w:r>
          </w:p>
          <w:p w14:paraId="77DD69A8" w14:textId="77777777" w:rsidR="008C0141" w:rsidRPr="00F21196" w:rsidRDefault="008C0141" w:rsidP="00874635">
            <w:pPr>
              <w:autoSpaceDE w:val="0"/>
              <w:autoSpaceDN w:val="0"/>
              <w:adjustRightInd w:val="0"/>
              <w:jc w:val="both"/>
              <w:rPr>
                <w:rFonts w:cs="Calibri"/>
                <w:sz w:val="18"/>
                <w:szCs w:val="18"/>
              </w:rPr>
            </w:pPr>
          </w:p>
        </w:tc>
      </w:tr>
      <w:tr w:rsidR="008C0141" w:rsidRPr="00F21196" w14:paraId="70636669" w14:textId="042B5768" w:rsidTr="00C23414">
        <w:tc>
          <w:tcPr>
            <w:tcW w:w="2258" w:type="dxa"/>
            <w:shd w:val="clear" w:color="auto" w:fill="auto"/>
          </w:tcPr>
          <w:p w14:paraId="692A3936" w14:textId="77777777" w:rsidR="008C0141" w:rsidRPr="00234174" w:rsidRDefault="008C0141" w:rsidP="00874635">
            <w:pPr>
              <w:rPr>
                <w:b/>
                <w:sz w:val="18"/>
                <w:szCs w:val="18"/>
              </w:rPr>
            </w:pPr>
            <w:r w:rsidRPr="00234174">
              <w:rPr>
                <w:b/>
                <w:sz w:val="18"/>
                <w:szCs w:val="18"/>
              </w:rPr>
              <w:t>Strategia Zintegrowanego Zarządzania Granicą Państwową RP na lata 2019-2022</w:t>
            </w:r>
          </w:p>
        </w:tc>
        <w:tc>
          <w:tcPr>
            <w:tcW w:w="993" w:type="dxa"/>
            <w:shd w:val="clear" w:color="auto" w:fill="auto"/>
          </w:tcPr>
          <w:p w14:paraId="13E1C4F4" w14:textId="77777777" w:rsidR="008C0141" w:rsidRPr="00234174" w:rsidRDefault="008C0141" w:rsidP="00874635">
            <w:pPr>
              <w:jc w:val="center"/>
              <w:rPr>
                <w:sz w:val="18"/>
                <w:szCs w:val="18"/>
              </w:rPr>
            </w:pPr>
            <w:r w:rsidRPr="00234174">
              <w:rPr>
                <w:sz w:val="18"/>
                <w:szCs w:val="18"/>
              </w:rPr>
              <w:t>MSWiA</w:t>
            </w:r>
          </w:p>
        </w:tc>
        <w:tc>
          <w:tcPr>
            <w:tcW w:w="1276" w:type="dxa"/>
            <w:shd w:val="clear" w:color="auto" w:fill="auto"/>
          </w:tcPr>
          <w:p w14:paraId="574D938A" w14:textId="77777777" w:rsidR="008C0141" w:rsidRPr="00234174" w:rsidRDefault="008C0141" w:rsidP="00874635">
            <w:pPr>
              <w:rPr>
                <w:sz w:val="18"/>
                <w:szCs w:val="18"/>
              </w:rPr>
            </w:pPr>
            <w:r w:rsidRPr="00234174">
              <w:rPr>
                <w:sz w:val="18"/>
                <w:szCs w:val="18"/>
              </w:rPr>
              <w:t xml:space="preserve">od 2019 </w:t>
            </w:r>
          </w:p>
        </w:tc>
        <w:tc>
          <w:tcPr>
            <w:tcW w:w="3827" w:type="dxa"/>
            <w:shd w:val="clear" w:color="auto" w:fill="auto"/>
          </w:tcPr>
          <w:p w14:paraId="5621F93C" w14:textId="5C9167F1" w:rsidR="008C0141" w:rsidRPr="00234174" w:rsidRDefault="008C0141" w:rsidP="00F45028">
            <w:pPr>
              <w:autoSpaceDE w:val="0"/>
              <w:autoSpaceDN w:val="0"/>
              <w:adjustRightInd w:val="0"/>
              <w:jc w:val="both"/>
              <w:rPr>
                <w:rFonts w:cs="Calibri"/>
                <w:sz w:val="18"/>
                <w:szCs w:val="18"/>
              </w:rPr>
            </w:pPr>
            <w:r w:rsidRPr="00234174">
              <w:rPr>
                <w:rFonts w:cs="Calibri"/>
                <w:sz w:val="18"/>
                <w:szCs w:val="18"/>
              </w:rPr>
              <w:t>Opracowanie</w:t>
            </w:r>
            <w:r w:rsidR="00F45028">
              <w:rPr>
                <w:rFonts w:cs="Calibri"/>
                <w:sz w:val="18"/>
                <w:szCs w:val="18"/>
              </w:rPr>
              <w:t xml:space="preserve"> </w:t>
            </w:r>
            <w:r w:rsidRPr="00234174">
              <w:rPr>
                <w:rFonts w:cs="Calibri"/>
                <w:sz w:val="18"/>
                <w:szCs w:val="18"/>
              </w:rPr>
              <w:t>kompleksowego, międzyresorto</w:t>
            </w:r>
            <w:r w:rsidR="00F45028">
              <w:rPr>
                <w:rFonts w:cs="Calibri"/>
                <w:sz w:val="18"/>
                <w:szCs w:val="18"/>
              </w:rPr>
              <w:t>-</w:t>
            </w:r>
            <w:r w:rsidRPr="00234174">
              <w:rPr>
                <w:rFonts w:cs="Calibri"/>
                <w:sz w:val="18"/>
                <w:szCs w:val="18"/>
              </w:rPr>
              <w:t>wego dokumentu, który zapewni zintegrowane zarządzanie granicą państwową RP (ze szczególnym uwzględnieniem odcinków będących granicą zewnętrzną UE/Schengen), jako komponentu Europejskiego zintegrowanego zarządzania granicami. Dokument umożliwi realizację zintegrowanych (międzyresortowych) przedsięwzięć w ramach czteropoziomowego modelu kontroli dostępu, które zwiększą odporność granicy RP na zagrożenia dla jej bezpieczeństwa oraz zwiększą potencjał ochronny RP. Dokument będzie komplementarny z Polityką Migracyjną Polski oraz Projektem</w:t>
            </w:r>
            <w:r w:rsidRPr="00234174">
              <w:rPr>
                <w:rFonts w:eastAsia="Times New Roman" w:cs="Calibri"/>
                <w:bCs/>
                <w:sz w:val="18"/>
                <w:szCs w:val="18"/>
                <w:lang w:eastAsia="pl-PL"/>
              </w:rPr>
              <w:t xml:space="preserve"> modernizacji Policji, Straży Granicznej, Państwowej Straży Pożarnej i </w:t>
            </w:r>
            <w:r>
              <w:rPr>
                <w:rFonts w:eastAsia="Times New Roman" w:cs="Calibri"/>
                <w:bCs/>
                <w:sz w:val="18"/>
                <w:szCs w:val="18"/>
                <w:lang w:eastAsia="pl-PL"/>
              </w:rPr>
              <w:t>Służby Ochrony Państwa</w:t>
            </w:r>
            <w:r w:rsidRPr="00234174">
              <w:rPr>
                <w:rFonts w:eastAsia="Times New Roman" w:cs="Calibri"/>
                <w:bCs/>
                <w:sz w:val="18"/>
                <w:szCs w:val="18"/>
                <w:lang w:eastAsia="pl-PL"/>
              </w:rPr>
              <w:t xml:space="preserve"> w latach 2017-2020</w:t>
            </w:r>
            <w:r w:rsidRPr="00234174">
              <w:rPr>
                <w:rFonts w:cs="Calibri"/>
                <w:sz w:val="18"/>
                <w:szCs w:val="18"/>
              </w:rPr>
              <w:t xml:space="preserve">.  </w:t>
            </w:r>
          </w:p>
        </w:tc>
        <w:tc>
          <w:tcPr>
            <w:tcW w:w="1559" w:type="dxa"/>
          </w:tcPr>
          <w:p w14:paraId="0DC4F08C" w14:textId="1AA88897" w:rsidR="008C0141" w:rsidRPr="00234174" w:rsidRDefault="00F45028" w:rsidP="005E1723">
            <w:pPr>
              <w:autoSpaceDE w:val="0"/>
              <w:autoSpaceDN w:val="0"/>
              <w:adjustRightInd w:val="0"/>
              <w:rPr>
                <w:rFonts w:cs="Calibri"/>
                <w:sz w:val="18"/>
                <w:szCs w:val="18"/>
              </w:rPr>
            </w:pPr>
            <w:r w:rsidRPr="00C23414">
              <w:rPr>
                <w:rFonts w:cs="Calibri,Bold"/>
                <w:bCs/>
                <w:sz w:val="18"/>
                <w:szCs w:val="20"/>
              </w:rPr>
              <w:t>5.</w:t>
            </w:r>
            <w:r w:rsidRPr="00F21196">
              <w:rPr>
                <w:rFonts w:cs="Calibri"/>
                <w:sz w:val="18"/>
                <w:szCs w:val="20"/>
              </w:rPr>
              <w:t xml:space="preserve"> </w:t>
            </w:r>
            <w:r w:rsidRPr="00B96807">
              <w:rPr>
                <w:rFonts w:cs="Calibri"/>
                <w:sz w:val="18"/>
                <w:szCs w:val="20"/>
              </w:rPr>
              <w:t xml:space="preserve">Zintegrowane zarządzanie granicą państwową RP, w tym </w:t>
            </w:r>
            <w:r>
              <w:rPr>
                <w:rFonts w:cs="Calibri"/>
                <w:sz w:val="18"/>
                <w:szCs w:val="20"/>
              </w:rPr>
              <w:t>z</w:t>
            </w:r>
            <w:r w:rsidRPr="00F21196">
              <w:rPr>
                <w:rFonts w:cs="Calibri"/>
                <w:sz w:val="18"/>
                <w:szCs w:val="20"/>
              </w:rPr>
              <w:t>apewnienie bezpieczeństwa granicy UE/Schengen.</w:t>
            </w:r>
          </w:p>
        </w:tc>
      </w:tr>
      <w:tr w:rsidR="008C0141" w:rsidRPr="00F21196" w14:paraId="44F210B0" w14:textId="06920C4A" w:rsidTr="00C23414">
        <w:tc>
          <w:tcPr>
            <w:tcW w:w="2258" w:type="dxa"/>
          </w:tcPr>
          <w:p w14:paraId="4FABAE5E" w14:textId="77777777" w:rsidR="008C0141" w:rsidRPr="00D247D0" w:rsidRDefault="008C0141" w:rsidP="00874635">
            <w:pPr>
              <w:rPr>
                <w:rFonts w:eastAsia="Times New Roman" w:cs="Calibri"/>
                <w:b/>
                <w:bCs/>
                <w:sz w:val="18"/>
                <w:szCs w:val="18"/>
                <w:lang w:eastAsia="pl-PL"/>
              </w:rPr>
            </w:pPr>
            <w:r w:rsidRPr="00D247D0">
              <w:rPr>
                <w:rFonts w:eastAsia="Times New Roman" w:cs="Calibri"/>
                <w:b/>
                <w:bCs/>
                <w:sz w:val="18"/>
                <w:szCs w:val="18"/>
                <w:lang w:eastAsia="pl-PL"/>
              </w:rPr>
              <w:t>Rozwój Systemu Dozoru Elektronicznego</w:t>
            </w:r>
            <w:r>
              <w:rPr>
                <w:rFonts w:eastAsia="Times New Roman" w:cs="Calibri"/>
                <w:b/>
                <w:bCs/>
                <w:sz w:val="18"/>
                <w:szCs w:val="18"/>
                <w:lang w:eastAsia="pl-PL"/>
              </w:rPr>
              <w:t xml:space="preserve"> (SDE3) </w:t>
            </w:r>
          </w:p>
        </w:tc>
        <w:tc>
          <w:tcPr>
            <w:tcW w:w="993" w:type="dxa"/>
          </w:tcPr>
          <w:p w14:paraId="084D33C7" w14:textId="77777777" w:rsidR="008C0141" w:rsidRPr="00F21196" w:rsidRDefault="008C0141" w:rsidP="00874635">
            <w:pPr>
              <w:jc w:val="center"/>
              <w:rPr>
                <w:rFonts w:eastAsia="Times New Roman" w:cs="Calibri"/>
                <w:sz w:val="18"/>
                <w:szCs w:val="24"/>
                <w:lang w:eastAsia="pl-PL"/>
              </w:rPr>
            </w:pPr>
            <w:r w:rsidRPr="00F21196">
              <w:rPr>
                <w:rFonts w:eastAsia="Times New Roman" w:cs="Calibri"/>
                <w:sz w:val="18"/>
                <w:szCs w:val="24"/>
                <w:lang w:eastAsia="pl-PL"/>
              </w:rPr>
              <w:t>SW</w:t>
            </w:r>
          </w:p>
          <w:p w14:paraId="14C814CA" w14:textId="77777777" w:rsidR="008C0141" w:rsidRPr="00F21196" w:rsidRDefault="008C0141" w:rsidP="00874635">
            <w:pPr>
              <w:jc w:val="center"/>
              <w:rPr>
                <w:rFonts w:eastAsia="Times New Roman" w:cs="Calibri"/>
                <w:sz w:val="20"/>
                <w:szCs w:val="20"/>
                <w:lang w:eastAsia="pl-PL"/>
              </w:rPr>
            </w:pPr>
          </w:p>
        </w:tc>
        <w:tc>
          <w:tcPr>
            <w:tcW w:w="1276" w:type="dxa"/>
          </w:tcPr>
          <w:p w14:paraId="5AD24566" w14:textId="77777777" w:rsidR="008C0141" w:rsidRPr="00F21196" w:rsidRDefault="008C0141" w:rsidP="00874635">
            <w:pPr>
              <w:jc w:val="center"/>
              <w:rPr>
                <w:rFonts w:eastAsia="Times New Roman" w:cs="Calibri"/>
                <w:b/>
                <w:sz w:val="20"/>
                <w:szCs w:val="20"/>
                <w:lang w:eastAsia="pl-PL"/>
              </w:rPr>
            </w:pPr>
            <w:r w:rsidRPr="00CD6623">
              <w:rPr>
                <w:rFonts w:eastAsia="Times New Roman" w:cs="Calibri"/>
                <w:sz w:val="20"/>
                <w:szCs w:val="20"/>
                <w:lang w:eastAsia="pl-PL"/>
              </w:rPr>
              <w:t>2018-2022</w:t>
            </w:r>
          </w:p>
        </w:tc>
        <w:tc>
          <w:tcPr>
            <w:tcW w:w="3827" w:type="dxa"/>
          </w:tcPr>
          <w:p w14:paraId="4FBD46DA" w14:textId="77777777" w:rsidR="008C0141" w:rsidRDefault="008C0141" w:rsidP="00874635">
            <w:pPr>
              <w:ind w:left="175" w:hanging="175"/>
              <w:jc w:val="both"/>
              <w:rPr>
                <w:sz w:val="18"/>
                <w:szCs w:val="24"/>
              </w:rPr>
            </w:pPr>
            <w:r>
              <w:rPr>
                <w:sz w:val="18"/>
                <w:szCs w:val="24"/>
              </w:rPr>
              <w:t>Oczekiwanymi rezultatami realizacji projektu będą m.in.:</w:t>
            </w:r>
          </w:p>
          <w:p w14:paraId="2B53E925" w14:textId="77777777" w:rsidR="008C0141" w:rsidRDefault="008C0141" w:rsidP="00874635">
            <w:pPr>
              <w:ind w:left="175" w:hanging="175"/>
              <w:jc w:val="both"/>
              <w:rPr>
                <w:sz w:val="18"/>
                <w:szCs w:val="24"/>
              </w:rPr>
            </w:pPr>
            <w:r>
              <w:rPr>
                <w:sz w:val="18"/>
                <w:szCs w:val="24"/>
              </w:rPr>
              <w:t>- rozbudowa i wdrożenie nowych standardów technicznych i informatycznych SDE;</w:t>
            </w:r>
          </w:p>
          <w:p w14:paraId="4D240303" w14:textId="77777777" w:rsidR="008C0141" w:rsidRDefault="008C0141" w:rsidP="00874635">
            <w:pPr>
              <w:ind w:left="175" w:hanging="175"/>
              <w:jc w:val="both"/>
              <w:rPr>
                <w:sz w:val="18"/>
                <w:szCs w:val="24"/>
              </w:rPr>
            </w:pPr>
            <w:r>
              <w:rPr>
                <w:sz w:val="18"/>
                <w:szCs w:val="24"/>
              </w:rPr>
              <w:t>- zmniejszenie stopnia zaludnienia zakładów karnych;</w:t>
            </w:r>
          </w:p>
          <w:p w14:paraId="79946A5F" w14:textId="77777777" w:rsidR="008C0141" w:rsidRDefault="008C0141" w:rsidP="00874635">
            <w:pPr>
              <w:ind w:left="175" w:hanging="175"/>
              <w:jc w:val="both"/>
              <w:rPr>
                <w:sz w:val="18"/>
                <w:szCs w:val="24"/>
              </w:rPr>
            </w:pPr>
            <w:r>
              <w:rPr>
                <w:sz w:val="18"/>
                <w:szCs w:val="24"/>
              </w:rPr>
              <w:t>- możliwość wykonywania kary przez skazanego w systemie nie izolacyjnym z zachowaniem kontroli wykonywania obowiązków nałożonych przez sąd;</w:t>
            </w:r>
          </w:p>
          <w:p w14:paraId="4DC1A803" w14:textId="77777777" w:rsidR="008C0141" w:rsidRDefault="008C0141" w:rsidP="00874635">
            <w:pPr>
              <w:ind w:left="175" w:hanging="175"/>
              <w:jc w:val="both"/>
              <w:rPr>
                <w:sz w:val="18"/>
                <w:szCs w:val="24"/>
              </w:rPr>
            </w:pPr>
            <w:r>
              <w:rPr>
                <w:sz w:val="18"/>
                <w:szCs w:val="24"/>
              </w:rPr>
              <w:t>- możliwość wzmocnienia procesu resocjalizacji i reintegracji społecznej;</w:t>
            </w:r>
          </w:p>
          <w:p w14:paraId="19574B57" w14:textId="77777777" w:rsidR="008C0141" w:rsidRPr="00F21196" w:rsidRDefault="008C0141" w:rsidP="00874635">
            <w:pPr>
              <w:ind w:left="175" w:hanging="175"/>
              <w:jc w:val="both"/>
              <w:rPr>
                <w:rFonts w:eastAsia="Times New Roman" w:cs="Calibri"/>
                <w:sz w:val="18"/>
                <w:szCs w:val="18"/>
                <w:lang w:eastAsia="pl-PL"/>
              </w:rPr>
            </w:pPr>
            <w:r>
              <w:rPr>
                <w:sz w:val="18"/>
                <w:szCs w:val="24"/>
              </w:rPr>
              <w:t>- znacząca niższe koszty odbywania kary w SDE od kosztów pobytu skazanego w zakładzie karnym, redukcja populacji więziennej.</w:t>
            </w:r>
          </w:p>
        </w:tc>
        <w:tc>
          <w:tcPr>
            <w:tcW w:w="1559" w:type="dxa"/>
          </w:tcPr>
          <w:p w14:paraId="4FC1907A" w14:textId="77777777" w:rsidR="005E1723" w:rsidRDefault="005E1723" w:rsidP="005E1723">
            <w:pPr>
              <w:ind w:right="-108"/>
              <w:rPr>
                <w:rFonts w:cs="Calibri"/>
                <w:sz w:val="18"/>
                <w:szCs w:val="20"/>
              </w:rPr>
            </w:pPr>
            <w:r w:rsidRPr="00C23414">
              <w:rPr>
                <w:rFonts w:cs="Calibri,Bold"/>
                <w:bCs/>
                <w:sz w:val="18"/>
                <w:szCs w:val="20"/>
              </w:rPr>
              <w:t>2.</w:t>
            </w:r>
            <w:r w:rsidRPr="00F21196">
              <w:rPr>
                <w:rFonts w:cs="Calibri,Bold"/>
                <w:bCs/>
                <w:sz w:val="18"/>
                <w:szCs w:val="20"/>
              </w:rPr>
              <w:t xml:space="preserve"> </w:t>
            </w:r>
            <w:r w:rsidRPr="00F21196">
              <w:rPr>
                <w:rFonts w:cs="Calibri"/>
                <w:sz w:val="18"/>
                <w:szCs w:val="20"/>
              </w:rPr>
              <w:t>Przeciwdziałanie</w:t>
            </w:r>
          </w:p>
          <w:p w14:paraId="4FD0790D" w14:textId="77777777" w:rsidR="005E1723" w:rsidRPr="00F21196" w:rsidRDefault="005E1723" w:rsidP="005E1723">
            <w:pPr>
              <w:ind w:right="-108"/>
              <w:rPr>
                <w:rFonts w:cs="Calibri,Bold"/>
                <w:bCs/>
                <w:sz w:val="18"/>
                <w:szCs w:val="20"/>
              </w:rPr>
            </w:pPr>
            <w:r w:rsidRPr="00F21196">
              <w:rPr>
                <w:rFonts w:cs="Calibri"/>
                <w:sz w:val="18"/>
                <w:szCs w:val="20"/>
              </w:rPr>
              <w:t>i zwalczanie przestępczości oraz zagrożeń dla bezpieczeństwa i porządku publicznego.</w:t>
            </w:r>
            <w:r w:rsidRPr="00F21196">
              <w:rPr>
                <w:rFonts w:cs="Calibri"/>
                <w:b/>
                <w:i/>
                <w:sz w:val="18"/>
                <w:szCs w:val="20"/>
              </w:rPr>
              <w:t xml:space="preserve"> </w:t>
            </w:r>
          </w:p>
          <w:p w14:paraId="2BEE18A6" w14:textId="77777777" w:rsidR="008C0141" w:rsidRDefault="008C0141" w:rsidP="00874635">
            <w:pPr>
              <w:ind w:left="175" w:hanging="175"/>
              <w:jc w:val="both"/>
              <w:rPr>
                <w:sz w:val="18"/>
                <w:szCs w:val="24"/>
              </w:rPr>
            </w:pPr>
          </w:p>
        </w:tc>
      </w:tr>
    </w:tbl>
    <w:p w14:paraId="33F075EE" w14:textId="77777777" w:rsidR="00C23414" w:rsidRDefault="00C23414">
      <w:r>
        <w:br w:type="page"/>
      </w:r>
    </w:p>
    <w:tbl>
      <w:tblPr>
        <w:tblStyle w:val="Tabela-Siatka"/>
        <w:tblW w:w="9913" w:type="dxa"/>
        <w:tblBorders>
          <w:top w:val="single" w:sz="8" w:space="0" w:color="2F5496" w:themeColor="accent5" w:themeShade="BF"/>
          <w:left w:val="single" w:sz="8" w:space="0" w:color="2F5496" w:themeColor="accent5" w:themeShade="BF"/>
          <w:bottom w:val="single" w:sz="8" w:space="0" w:color="2F5496" w:themeColor="accent5" w:themeShade="BF"/>
          <w:right w:val="single" w:sz="8" w:space="0" w:color="2F5496" w:themeColor="accent5" w:themeShade="BF"/>
          <w:insideH w:val="single" w:sz="8" w:space="0" w:color="2F5496" w:themeColor="accent5" w:themeShade="BF"/>
          <w:insideV w:val="single" w:sz="8" w:space="0" w:color="2F5496" w:themeColor="accent5" w:themeShade="BF"/>
        </w:tblBorders>
        <w:tblLayout w:type="fixed"/>
        <w:tblLook w:val="04A0" w:firstRow="1" w:lastRow="0" w:firstColumn="1" w:lastColumn="0" w:noHBand="0" w:noVBand="1"/>
      </w:tblPr>
      <w:tblGrid>
        <w:gridCol w:w="2258"/>
        <w:gridCol w:w="993"/>
        <w:gridCol w:w="1276"/>
        <w:gridCol w:w="3827"/>
        <w:gridCol w:w="1559"/>
      </w:tblGrid>
      <w:tr w:rsidR="008C0141" w:rsidRPr="00F21196" w14:paraId="37EB17FC" w14:textId="683460C2" w:rsidTr="00C23414">
        <w:tc>
          <w:tcPr>
            <w:tcW w:w="2258" w:type="dxa"/>
          </w:tcPr>
          <w:p w14:paraId="1576FFBD" w14:textId="502EF16B" w:rsidR="008C0141" w:rsidRPr="00F21196" w:rsidRDefault="008C0141" w:rsidP="006B7384">
            <w:pPr>
              <w:rPr>
                <w:rFonts w:eastAsia="Times New Roman" w:cs="Calibri"/>
                <w:b/>
                <w:bCs/>
                <w:sz w:val="18"/>
                <w:szCs w:val="24"/>
                <w:lang w:eastAsia="pl-PL"/>
              </w:rPr>
            </w:pPr>
            <w:r w:rsidRPr="005C1133">
              <w:rPr>
                <w:b/>
                <w:bCs/>
                <w:sz w:val="18"/>
                <w:szCs w:val="18"/>
                <w:lang w:eastAsia="pl-PL"/>
              </w:rPr>
              <w:t>Modernizacja uczelni Służby Więziennej – Wyższej Szkoły Kryminologii i Penitencjarystyki w Warszawie</w:t>
            </w:r>
          </w:p>
        </w:tc>
        <w:tc>
          <w:tcPr>
            <w:tcW w:w="993" w:type="dxa"/>
          </w:tcPr>
          <w:p w14:paraId="113DBA4C" w14:textId="77777777" w:rsidR="008C0141" w:rsidRPr="00F21196" w:rsidRDefault="008C0141" w:rsidP="006B7384">
            <w:pPr>
              <w:jc w:val="center"/>
              <w:rPr>
                <w:rFonts w:eastAsia="Times New Roman" w:cs="Calibri"/>
                <w:sz w:val="18"/>
                <w:szCs w:val="24"/>
                <w:lang w:eastAsia="pl-PL"/>
              </w:rPr>
            </w:pPr>
            <w:r>
              <w:rPr>
                <w:rFonts w:eastAsia="Times New Roman" w:cs="Calibri"/>
                <w:sz w:val="18"/>
                <w:szCs w:val="24"/>
                <w:lang w:eastAsia="pl-PL"/>
              </w:rPr>
              <w:t>SW</w:t>
            </w:r>
          </w:p>
        </w:tc>
        <w:tc>
          <w:tcPr>
            <w:tcW w:w="1276" w:type="dxa"/>
          </w:tcPr>
          <w:p w14:paraId="0820B7C6" w14:textId="77777777" w:rsidR="008C0141" w:rsidRPr="000D6DA8" w:rsidRDefault="008C0141" w:rsidP="006B7384">
            <w:pPr>
              <w:jc w:val="center"/>
              <w:rPr>
                <w:rFonts w:eastAsia="Times New Roman" w:cs="Calibri"/>
                <w:sz w:val="20"/>
                <w:szCs w:val="20"/>
                <w:lang w:eastAsia="pl-PL"/>
              </w:rPr>
            </w:pPr>
            <w:r>
              <w:rPr>
                <w:rFonts w:eastAsia="Times New Roman" w:cs="Calibri"/>
                <w:sz w:val="20"/>
                <w:szCs w:val="20"/>
                <w:lang w:eastAsia="pl-PL"/>
              </w:rPr>
              <w:t>2020-2024</w:t>
            </w:r>
          </w:p>
        </w:tc>
        <w:tc>
          <w:tcPr>
            <w:tcW w:w="3827" w:type="dxa"/>
          </w:tcPr>
          <w:p w14:paraId="6A36E950" w14:textId="77777777" w:rsidR="008C0141" w:rsidRDefault="008C0141" w:rsidP="006B7384">
            <w:pPr>
              <w:rPr>
                <w:sz w:val="18"/>
                <w:szCs w:val="18"/>
              </w:rPr>
            </w:pPr>
            <w:r>
              <w:rPr>
                <w:sz w:val="18"/>
                <w:szCs w:val="18"/>
              </w:rPr>
              <w:t>W ramach projektu zostanie zmodernizowana baza dydaktyczno- edukacyjna do realizacji nowoczesnych modeli kształcenia i doskonalenia kadry Służby Więziennej.</w:t>
            </w:r>
          </w:p>
          <w:p w14:paraId="57A19FB7" w14:textId="77777777" w:rsidR="008C0141" w:rsidRDefault="008C0141" w:rsidP="006B7384">
            <w:pPr>
              <w:rPr>
                <w:sz w:val="18"/>
                <w:szCs w:val="18"/>
              </w:rPr>
            </w:pPr>
            <w:r>
              <w:rPr>
                <w:sz w:val="18"/>
                <w:szCs w:val="18"/>
              </w:rPr>
              <w:t xml:space="preserve">Powstanie również biblioteka cyfrowa oraz czytelnie zewnętrzne. </w:t>
            </w:r>
          </w:p>
          <w:p w14:paraId="6E7920C5" w14:textId="77777777" w:rsidR="008C0141" w:rsidRPr="00F21196" w:rsidRDefault="008C0141" w:rsidP="006B7384">
            <w:pPr>
              <w:jc w:val="both"/>
              <w:rPr>
                <w:sz w:val="18"/>
                <w:szCs w:val="24"/>
              </w:rPr>
            </w:pPr>
          </w:p>
        </w:tc>
        <w:tc>
          <w:tcPr>
            <w:tcW w:w="1559" w:type="dxa"/>
          </w:tcPr>
          <w:p w14:paraId="3608B959" w14:textId="77777777" w:rsidR="005E1723" w:rsidRDefault="00F45028" w:rsidP="005E1723">
            <w:pPr>
              <w:ind w:right="-108"/>
              <w:rPr>
                <w:rFonts w:cs="Calibri"/>
                <w:sz w:val="18"/>
                <w:szCs w:val="20"/>
              </w:rPr>
            </w:pPr>
            <w:r w:rsidRPr="00F21196">
              <w:rPr>
                <w:rFonts w:cs="Calibri,Bold"/>
                <w:b/>
                <w:bCs/>
                <w:sz w:val="18"/>
                <w:szCs w:val="20"/>
              </w:rPr>
              <w:t>2.</w:t>
            </w:r>
            <w:r w:rsidRPr="00F21196">
              <w:rPr>
                <w:rFonts w:cs="Calibri,Bold"/>
                <w:bCs/>
                <w:sz w:val="18"/>
                <w:szCs w:val="20"/>
              </w:rPr>
              <w:t xml:space="preserve"> </w:t>
            </w:r>
            <w:r w:rsidRPr="00F21196">
              <w:rPr>
                <w:rFonts w:cs="Calibri"/>
                <w:sz w:val="18"/>
                <w:szCs w:val="20"/>
              </w:rPr>
              <w:t>Przeciwdziałanie</w:t>
            </w:r>
          </w:p>
          <w:p w14:paraId="6807C0E2" w14:textId="3B5E9812" w:rsidR="00F45028" w:rsidRPr="00F21196" w:rsidRDefault="00F45028" w:rsidP="005E1723">
            <w:pPr>
              <w:ind w:right="-108"/>
              <w:rPr>
                <w:rFonts w:cs="Calibri,Bold"/>
                <w:bCs/>
                <w:sz w:val="18"/>
                <w:szCs w:val="20"/>
              </w:rPr>
            </w:pPr>
            <w:r w:rsidRPr="00F21196">
              <w:rPr>
                <w:rFonts w:cs="Calibri"/>
                <w:sz w:val="18"/>
                <w:szCs w:val="20"/>
              </w:rPr>
              <w:t>i zwalczanie przestępczości oraz zagrożeń dla bezpieczeństwa i porządku publicznego.</w:t>
            </w:r>
            <w:r w:rsidRPr="00F21196">
              <w:rPr>
                <w:rFonts w:cs="Calibri"/>
                <w:b/>
                <w:i/>
                <w:sz w:val="18"/>
                <w:szCs w:val="20"/>
              </w:rPr>
              <w:t xml:space="preserve"> </w:t>
            </w:r>
          </w:p>
          <w:p w14:paraId="3C70E51E" w14:textId="77777777" w:rsidR="008C0141" w:rsidRDefault="008C0141" w:rsidP="006B7384">
            <w:pPr>
              <w:rPr>
                <w:sz w:val="18"/>
                <w:szCs w:val="18"/>
              </w:rPr>
            </w:pPr>
          </w:p>
        </w:tc>
      </w:tr>
      <w:tr w:rsidR="008C0141" w:rsidRPr="00F21196" w14:paraId="7FD158F7" w14:textId="5212864A" w:rsidTr="00C23414">
        <w:tc>
          <w:tcPr>
            <w:tcW w:w="2258" w:type="dxa"/>
          </w:tcPr>
          <w:p w14:paraId="5103E01C" w14:textId="77777777" w:rsidR="008C0141" w:rsidRPr="00F21196" w:rsidRDefault="008C0141" w:rsidP="006B7384">
            <w:pPr>
              <w:rPr>
                <w:rFonts w:eastAsia="Times New Roman" w:cs="Calibri"/>
                <w:b/>
                <w:bCs/>
                <w:sz w:val="20"/>
                <w:szCs w:val="20"/>
                <w:lang w:eastAsia="pl-PL"/>
              </w:rPr>
            </w:pPr>
            <w:r w:rsidRPr="00F21196">
              <w:rPr>
                <w:rFonts w:eastAsia="Times New Roman" w:cs="Calibri"/>
                <w:b/>
                <w:bCs/>
                <w:sz w:val="18"/>
                <w:szCs w:val="24"/>
                <w:lang w:eastAsia="pl-PL"/>
              </w:rPr>
              <w:t>Budowa nowoczesnych jednostek penitencjarnych oraz rozbudowa istniejących poprzez tworzenie nowoczesnych pawilonów mieszkalnych i hal produkcyjnych</w:t>
            </w:r>
          </w:p>
        </w:tc>
        <w:tc>
          <w:tcPr>
            <w:tcW w:w="993" w:type="dxa"/>
          </w:tcPr>
          <w:p w14:paraId="1CB9698A" w14:textId="77777777" w:rsidR="008C0141" w:rsidRPr="00F21196" w:rsidRDefault="008C0141" w:rsidP="006B7384">
            <w:pPr>
              <w:jc w:val="center"/>
              <w:rPr>
                <w:rFonts w:eastAsia="Times New Roman" w:cs="Calibri"/>
                <w:sz w:val="20"/>
                <w:szCs w:val="20"/>
                <w:lang w:eastAsia="pl-PL"/>
              </w:rPr>
            </w:pPr>
            <w:r w:rsidRPr="00F21196">
              <w:rPr>
                <w:rFonts w:eastAsia="Times New Roman" w:cs="Calibri"/>
                <w:sz w:val="18"/>
                <w:szCs w:val="24"/>
                <w:lang w:eastAsia="pl-PL"/>
              </w:rPr>
              <w:t>SW</w:t>
            </w:r>
          </w:p>
        </w:tc>
        <w:tc>
          <w:tcPr>
            <w:tcW w:w="1276" w:type="dxa"/>
          </w:tcPr>
          <w:p w14:paraId="1012A508" w14:textId="77777777" w:rsidR="008C0141" w:rsidRPr="00F21196" w:rsidRDefault="008C0141" w:rsidP="006B7384">
            <w:pPr>
              <w:jc w:val="center"/>
              <w:rPr>
                <w:rFonts w:eastAsia="Times New Roman" w:cs="Calibri"/>
                <w:b/>
                <w:sz w:val="20"/>
                <w:szCs w:val="20"/>
                <w:lang w:eastAsia="pl-PL"/>
              </w:rPr>
            </w:pPr>
            <w:r w:rsidRPr="000D6DA8">
              <w:rPr>
                <w:rFonts w:eastAsia="Times New Roman" w:cs="Calibri"/>
                <w:sz w:val="20"/>
                <w:szCs w:val="20"/>
                <w:lang w:eastAsia="pl-PL"/>
              </w:rPr>
              <w:t>2020-2030</w:t>
            </w:r>
          </w:p>
        </w:tc>
        <w:tc>
          <w:tcPr>
            <w:tcW w:w="3827" w:type="dxa"/>
          </w:tcPr>
          <w:p w14:paraId="3651EBD7" w14:textId="77777777" w:rsidR="008C0141" w:rsidRPr="00F21196" w:rsidRDefault="008C0141" w:rsidP="006B7384">
            <w:pPr>
              <w:jc w:val="both"/>
              <w:rPr>
                <w:rFonts w:eastAsia="Times New Roman" w:cs="Calibri"/>
                <w:sz w:val="18"/>
                <w:szCs w:val="18"/>
                <w:lang w:eastAsia="pl-PL"/>
              </w:rPr>
            </w:pPr>
            <w:r w:rsidRPr="00F21196">
              <w:rPr>
                <w:sz w:val="18"/>
                <w:szCs w:val="24"/>
              </w:rPr>
              <w:t>W ramach projektu zostaną wybudowane nowe jednostki penitencjarne. Wybudowane zostaną nowoczesne pawilony mieszkalne, w których osadzeni będą więźniowie. Zostaną także wybudowane nowoczesne hale produkcyjne, w którym zatrudnienie znajda więźniowie. Zostanie zakupiony sprzęt kwaterunkowo-techniczny stanowiący wyposażenie wyżej wskazanych obiektów.</w:t>
            </w:r>
          </w:p>
        </w:tc>
        <w:tc>
          <w:tcPr>
            <w:tcW w:w="1559" w:type="dxa"/>
          </w:tcPr>
          <w:p w14:paraId="3C0A28DE" w14:textId="77777777" w:rsidR="005E1723" w:rsidRDefault="005E1723" w:rsidP="005E1723">
            <w:pPr>
              <w:ind w:right="-108"/>
              <w:rPr>
                <w:rFonts w:cs="Calibri"/>
                <w:sz w:val="18"/>
                <w:szCs w:val="20"/>
              </w:rPr>
            </w:pPr>
            <w:r w:rsidRPr="00F21196">
              <w:rPr>
                <w:rFonts w:cs="Calibri,Bold"/>
                <w:b/>
                <w:bCs/>
                <w:sz w:val="18"/>
                <w:szCs w:val="20"/>
              </w:rPr>
              <w:t>2.</w:t>
            </w:r>
            <w:r w:rsidRPr="00F21196">
              <w:rPr>
                <w:rFonts w:cs="Calibri,Bold"/>
                <w:bCs/>
                <w:sz w:val="18"/>
                <w:szCs w:val="20"/>
              </w:rPr>
              <w:t xml:space="preserve"> </w:t>
            </w:r>
            <w:r w:rsidRPr="00F21196">
              <w:rPr>
                <w:rFonts w:cs="Calibri"/>
                <w:sz w:val="18"/>
                <w:szCs w:val="20"/>
              </w:rPr>
              <w:t>Przeciwdziałanie</w:t>
            </w:r>
          </w:p>
          <w:p w14:paraId="6CCEACA1" w14:textId="77777777" w:rsidR="005E1723" w:rsidRPr="00F21196" w:rsidRDefault="005E1723" w:rsidP="005E1723">
            <w:pPr>
              <w:ind w:right="-108"/>
              <w:rPr>
                <w:rFonts w:cs="Calibri,Bold"/>
                <w:bCs/>
                <w:sz w:val="18"/>
                <w:szCs w:val="20"/>
              </w:rPr>
            </w:pPr>
            <w:r w:rsidRPr="00F21196">
              <w:rPr>
                <w:rFonts w:cs="Calibri"/>
                <w:sz w:val="18"/>
                <w:szCs w:val="20"/>
              </w:rPr>
              <w:t>i zwalczanie przestępczości oraz zagrożeń dla bezpieczeństwa i porządku publicznego.</w:t>
            </w:r>
            <w:r w:rsidRPr="00F21196">
              <w:rPr>
                <w:rFonts w:cs="Calibri"/>
                <w:b/>
                <w:i/>
                <w:sz w:val="18"/>
                <w:szCs w:val="20"/>
              </w:rPr>
              <w:t xml:space="preserve"> </w:t>
            </w:r>
          </w:p>
          <w:p w14:paraId="2BB6AF48" w14:textId="77777777" w:rsidR="008C0141" w:rsidRPr="00F21196" w:rsidRDefault="008C0141" w:rsidP="006B7384">
            <w:pPr>
              <w:jc w:val="both"/>
              <w:rPr>
                <w:sz w:val="18"/>
                <w:szCs w:val="24"/>
              </w:rPr>
            </w:pPr>
          </w:p>
        </w:tc>
      </w:tr>
    </w:tbl>
    <w:p w14:paraId="1D4EEEF9" w14:textId="77777777" w:rsidR="00FA038A" w:rsidRPr="00F21196" w:rsidRDefault="00FA038A">
      <w:pPr>
        <w:rPr>
          <w:rFonts w:eastAsia="Times New Roman" w:cs="Calibri"/>
          <w:b/>
          <w:bCs/>
          <w:sz w:val="24"/>
          <w:lang w:eastAsia="pl-PL"/>
        </w:rPr>
      </w:pPr>
    </w:p>
    <w:p w14:paraId="78328804" w14:textId="77777777" w:rsidR="00805321" w:rsidRDefault="00805321">
      <w:pPr>
        <w:rPr>
          <w:b/>
          <w:sz w:val="24"/>
        </w:rPr>
      </w:pPr>
      <w:r>
        <w:rPr>
          <w:b/>
          <w:sz w:val="24"/>
        </w:rPr>
        <w:br w:type="page"/>
      </w:r>
    </w:p>
    <w:p w14:paraId="4598FF2F" w14:textId="77777777" w:rsidR="00E013EB" w:rsidRPr="004755D1" w:rsidRDefault="00004AA4" w:rsidP="00E013EB">
      <w:pPr>
        <w:shd w:val="clear" w:color="auto" w:fill="DEEAF6" w:themeFill="accent1" w:themeFillTint="33"/>
        <w:rPr>
          <w:b/>
          <w:sz w:val="28"/>
          <w:szCs w:val="28"/>
        </w:rPr>
      </w:pPr>
      <w:r w:rsidRPr="004755D1">
        <w:rPr>
          <w:b/>
          <w:sz w:val="28"/>
          <w:szCs w:val="28"/>
        </w:rPr>
        <w:t>IV</w:t>
      </w:r>
      <w:r w:rsidR="007732D1" w:rsidRPr="004755D1">
        <w:rPr>
          <w:b/>
          <w:sz w:val="28"/>
          <w:szCs w:val="28"/>
        </w:rPr>
        <w:t xml:space="preserve">. PRZEDSIĘWZIĘCIA PRZEWIDZIANE NA OBSZARACH STRATEGICZNEJ INTERWENCJI  </w:t>
      </w:r>
    </w:p>
    <w:p w14:paraId="5022106C" w14:textId="464A45DF" w:rsidR="00AA17F4" w:rsidRPr="00301A7C" w:rsidRDefault="00AA17F4" w:rsidP="00AA17F4">
      <w:pPr>
        <w:spacing w:after="0" w:line="276" w:lineRule="auto"/>
        <w:jc w:val="both"/>
      </w:pPr>
      <w:r>
        <w:t xml:space="preserve">Inicjatywy </w:t>
      </w:r>
      <w:r w:rsidRPr="00301A7C">
        <w:t xml:space="preserve">podejmowane w ramach SNP </w:t>
      </w:r>
      <w:r>
        <w:t xml:space="preserve">będą </w:t>
      </w:r>
      <w:r w:rsidRPr="00301A7C">
        <w:t>oddział</w:t>
      </w:r>
      <w:r>
        <w:t>ywać</w:t>
      </w:r>
      <w:r w:rsidRPr="00301A7C">
        <w:t xml:space="preserve"> na </w:t>
      </w:r>
      <w:r>
        <w:t>zrównoważony rozwój całego</w:t>
      </w:r>
      <w:r w:rsidRPr="00301A7C">
        <w:t xml:space="preserve"> terytorium Polski zarówno </w:t>
      </w:r>
      <w:r w:rsidR="003706CE">
        <w:t xml:space="preserve">w skali makro, jak i mikro. </w:t>
      </w:r>
      <w:r>
        <w:t xml:space="preserve">Planowane działania mają charakter horyzontalny, zatem obejmują różnego rodzaju obszary, m.in. miasta, </w:t>
      </w:r>
      <w:r w:rsidRPr="00301A7C">
        <w:t>obszary wiejskie</w:t>
      </w:r>
      <w:r>
        <w:t xml:space="preserve">, </w:t>
      </w:r>
      <w:r w:rsidRPr="00301A7C">
        <w:t xml:space="preserve">obszary </w:t>
      </w:r>
      <w:r>
        <w:t xml:space="preserve">o lepszym lub słabszym poziomie rozwoju społeczno-gospodarczego. </w:t>
      </w:r>
      <w:r w:rsidRPr="00301A7C">
        <w:t xml:space="preserve"> . SNP koncentruje się na stworzeniu ogólnych zasad czy regulacji obejmujących całe terytorium państwa, które przyczynią się do </w:t>
      </w:r>
      <w:r>
        <w:t xml:space="preserve">zrównoważonego </w:t>
      </w:r>
      <w:r w:rsidRPr="00301A7C">
        <w:t xml:space="preserve">rozwoju </w:t>
      </w:r>
      <w:r>
        <w:t>kraju</w:t>
      </w:r>
      <w:r w:rsidRPr="00301A7C">
        <w:t xml:space="preserve"> i przyniosą wymierne korzyści społecznościom lokalnym. Do </w:t>
      </w:r>
      <w:r>
        <w:t>tego typu</w:t>
      </w:r>
      <w:r w:rsidRPr="00301A7C">
        <w:t xml:space="preserve"> </w:t>
      </w:r>
      <w:r>
        <w:t>interwencji należy zaliczyć:</w:t>
      </w:r>
      <w:r w:rsidRPr="00301A7C">
        <w:t xml:space="preserve"> </w:t>
      </w:r>
    </w:p>
    <w:p w14:paraId="45DCE1FD" w14:textId="77777777" w:rsidR="00AA17F4" w:rsidRPr="00D51AD3" w:rsidRDefault="00AA17F4" w:rsidP="00723B3F">
      <w:pPr>
        <w:pStyle w:val="Akapitzlist"/>
        <w:numPr>
          <w:ilvl w:val="0"/>
          <w:numId w:val="61"/>
        </w:numPr>
        <w:spacing w:line="276" w:lineRule="auto"/>
        <w:ind w:left="426"/>
        <w:jc w:val="both"/>
        <w:rPr>
          <w:rFonts w:asciiTheme="minorHAnsi" w:hAnsiTheme="minorHAnsi"/>
          <w:sz w:val="22"/>
        </w:rPr>
      </w:pPr>
      <w:r w:rsidRPr="00D51AD3">
        <w:rPr>
          <w:rFonts w:asciiTheme="minorHAnsi" w:hAnsiTheme="minorHAnsi"/>
          <w:sz w:val="22"/>
        </w:rPr>
        <w:t>wzmocnienie systemu zarządzania rozwojem,</w:t>
      </w:r>
    </w:p>
    <w:p w14:paraId="45D6902F" w14:textId="77777777" w:rsidR="00AA17F4" w:rsidRPr="00D51AD3" w:rsidRDefault="00AA17F4" w:rsidP="00723B3F">
      <w:pPr>
        <w:pStyle w:val="Akapitzlist"/>
        <w:numPr>
          <w:ilvl w:val="0"/>
          <w:numId w:val="61"/>
        </w:numPr>
        <w:spacing w:line="276" w:lineRule="auto"/>
        <w:ind w:left="426"/>
        <w:jc w:val="both"/>
        <w:rPr>
          <w:rFonts w:asciiTheme="minorHAnsi" w:hAnsiTheme="minorHAnsi"/>
          <w:sz w:val="22"/>
        </w:rPr>
      </w:pPr>
      <w:r w:rsidRPr="00D51AD3">
        <w:rPr>
          <w:rFonts w:asciiTheme="minorHAnsi" w:hAnsiTheme="minorHAnsi"/>
          <w:sz w:val="22"/>
        </w:rPr>
        <w:t>zwiększenie efektywności realizacji zadań publicznych,</w:t>
      </w:r>
    </w:p>
    <w:p w14:paraId="53663CC8" w14:textId="77777777" w:rsidR="00AA17F4" w:rsidRPr="00D51AD3" w:rsidRDefault="00AA17F4" w:rsidP="00723B3F">
      <w:pPr>
        <w:pStyle w:val="Akapitzlist"/>
        <w:numPr>
          <w:ilvl w:val="0"/>
          <w:numId w:val="61"/>
        </w:numPr>
        <w:spacing w:line="276" w:lineRule="auto"/>
        <w:ind w:left="426"/>
        <w:jc w:val="both"/>
        <w:rPr>
          <w:rFonts w:asciiTheme="minorHAnsi" w:hAnsiTheme="minorHAnsi"/>
          <w:sz w:val="22"/>
        </w:rPr>
      </w:pPr>
      <w:r w:rsidRPr="00D51AD3">
        <w:rPr>
          <w:rFonts w:asciiTheme="minorHAnsi" w:hAnsiTheme="minorHAnsi"/>
          <w:sz w:val="22"/>
        </w:rPr>
        <w:t>kompleksowe podejście do zarządzania finansami publicznymi uwzględniające niezbędne kierunki reform, a także synchronizację procesu programowania strategicznego z planowaniem budżetowym poprzez ujęcie celów rozwojowych w dokumentach budżetowych,</w:t>
      </w:r>
    </w:p>
    <w:p w14:paraId="1436991A" w14:textId="77777777" w:rsidR="00AA17F4" w:rsidRPr="00D51AD3" w:rsidRDefault="00AA17F4" w:rsidP="00723B3F">
      <w:pPr>
        <w:pStyle w:val="Akapitzlist"/>
        <w:numPr>
          <w:ilvl w:val="0"/>
          <w:numId w:val="61"/>
        </w:numPr>
        <w:spacing w:line="276" w:lineRule="auto"/>
        <w:ind w:left="426"/>
        <w:jc w:val="both"/>
        <w:rPr>
          <w:rFonts w:asciiTheme="minorHAnsi" w:hAnsiTheme="minorHAnsi"/>
          <w:sz w:val="22"/>
        </w:rPr>
      </w:pPr>
      <w:r w:rsidRPr="00D51AD3">
        <w:rPr>
          <w:rFonts w:asciiTheme="minorHAnsi" w:hAnsiTheme="minorHAnsi"/>
          <w:sz w:val="22"/>
        </w:rPr>
        <w:t>standaryzacja usług publicznych,</w:t>
      </w:r>
    </w:p>
    <w:p w14:paraId="0D9C4920" w14:textId="77777777" w:rsidR="00AA17F4" w:rsidRPr="00D51AD3" w:rsidRDefault="00AA17F4" w:rsidP="00723B3F">
      <w:pPr>
        <w:pStyle w:val="Akapitzlist"/>
        <w:numPr>
          <w:ilvl w:val="0"/>
          <w:numId w:val="61"/>
        </w:numPr>
        <w:spacing w:line="276" w:lineRule="auto"/>
        <w:ind w:left="426"/>
        <w:jc w:val="both"/>
        <w:rPr>
          <w:rFonts w:asciiTheme="minorHAnsi" w:hAnsiTheme="minorHAnsi"/>
          <w:sz w:val="22"/>
        </w:rPr>
      </w:pPr>
      <w:r w:rsidRPr="00D51AD3">
        <w:rPr>
          <w:rFonts w:asciiTheme="minorHAnsi" w:hAnsiTheme="minorHAnsi"/>
          <w:sz w:val="22"/>
        </w:rPr>
        <w:t>kompleksowe podejście do zarządzania finansami publicznymi uwzględniające niezbędne kierunki reform,</w:t>
      </w:r>
    </w:p>
    <w:p w14:paraId="3FADF976" w14:textId="77777777" w:rsidR="00AA17F4" w:rsidRDefault="00AA17F4" w:rsidP="00723B3F">
      <w:pPr>
        <w:pStyle w:val="Akapitzlist"/>
        <w:numPr>
          <w:ilvl w:val="0"/>
          <w:numId w:val="61"/>
        </w:numPr>
        <w:ind w:left="426"/>
        <w:jc w:val="both"/>
        <w:rPr>
          <w:rFonts w:asciiTheme="minorHAnsi" w:hAnsiTheme="minorHAnsi"/>
          <w:sz w:val="22"/>
          <w:szCs w:val="22"/>
        </w:rPr>
      </w:pPr>
      <w:r w:rsidRPr="00D51AD3">
        <w:rPr>
          <w:rFonts w:asciiTheme="minorHAnsi" w:hAnsiTheme="minorHAnsi"/>
          <w:sz w:val="22"/>
          <w:szCs w:val="22"/>
        </w:rPr>
        <w:t>integracja funkcjonujących systemów ratowniczych.</w:t>
      </w:r>
    </w:p>
    <w:p w14:paraId="1047FD7C" w14:textId="77777777" w:rsidR="00AA17F4" w:rsidRPr="00D51AD3" w:rsidRDefault="00AA17F4" w:rsidP="00AA17F4">
      <w:pPr>
        <w:pStyle w:val="Akapitzlist"/>
        <w:ind w:left="426"/>
        <w:jc w:val="both"/>
        <w:rPr>
          <w:rFonts w:asciiTheme="minorHAnsi" w:hAnsiTheme="minorHAnsi"/>
          <w:sz w:val="22"/>
          <w:szCs w:val="22"/>
        </w:rPr>
      </w:pPr>
    </w:p>
    <w:p w14:paraId="34D43AD1" w14:textId="77777777" w:rsidR="00AA17F4" w:rsidRPr="00301A7C" w:rsidRDefault="00AA17F4" w:rsidP="00AA17F4">
      <w:pPr>
        <w:jc w:val="both"/>
      </w:pPr>
      <w:r>
        <w:t>P</w:t>
      </w:r>
      <w:r w:rsidRPr="00301A7C">
        <w:t>rzy podejmowaniu interwencji wynikających z SNP</w:t>
      </w:r>
      <w:r>
        <w:t xml:space="preserve"> dążyć </w:t>
      </w:r>
      <w:r w:rsidRPr="00301A7C">
        <w:t>się będzie do uwzględniana różnorodności terytorialnej i ekonomicznej kraju, tak by w wymiarze terytorialnym pomoc i wsparcie udzielane przez państwo były dostosowane do potrzeb i potencjału regionów, powiatów oraz gmin i najlepiej wspierały potrzeby społeczności lokalnych</w:t>
      </w:r>
      <w:r>
        <w:t xml:space="preserve"> </w:t>
      </w:r>
      <w:r w:rsidRPr="00301A7C">
        <w:t xml:space="preserve">. </w:t>
      </w:r>
    </w:p>
    <w:p w14:paraId="4CE12351" w14:textId="77777777" w:rsidR="00AA17F4" w:rsidRPr="00301A7C" w:rsidRDefault="00AA17F4" w:rsidP="00AA17F4">
      <w:pPr>
        <w:spacing w:after="0" w:line="276" w:lineRule="auto"/>
        <w:jc w:val="both"/>
      </w:pPr>
      <w:r w:rsidRPr="00301A7C">
        <w:t xml:space="preserve">Część interwencji SNP można uznać za ukierunkowane </w:t>
      </w:r>
      <w:r>
        <w:t xml:space="preserve">wprost </w:t>
      </w:r>
      <w:r w:rsidRPr="00301A7C">
        <w:t>na obszary strategicznej interwencji</w:t>
      </w:r>
      <w:r w:rsidRPr="00301A7C">
        <w:rPr>
          <w:rStyle w:val="Odwoanieprzypisudolnego"/>
        </w:rPr>
        <w:footnoteReference w:id="121"/>
      </w:r>
      <w:r w:rsidRPr="00301A7C">
        <w:t>, bowiem</w:t>
      </w:r>
      <w:r w:rsidRPr="00301A7C">
        <w:br/>
        <w:t xml:space="preserve">będą wpływać na </w:t>
      </w:r>
      <w:r>
        <w:t xml:space="preserve">wzmocnienie sprawności administracyjnej władz samorządowych, zwłaszcza tych o niższych zdolnościach w zakresie planowania strategicznego i realizacji projektów rozwojowych. </w:t>
      </w:r>
    </w:p>
    <w:p w14:paraId="7414A786" w14:textId="77777777" w:rsidR="00AA17F4" w:rsidRPr="00F21196" w:rsidRDefault="00AA17F4" w:rsidP="00AA17F4">
      <w:pPr>
        <w:jc w:val="both"/>
      </w:pPr>
      <w:r>
        <w:t xml:space="preserve">Realizowane działania będą służyć </w:t>
      </w:r>
      <w:r w:rsidRPr="00301A7C">
        <w:t>poprawie zdolności lokalnej administracji do skutecznego zarządzania procesami rozwojowymi, a także poprawie dostępu mieszkańców</w:t>
      </w:r>
      <w:r w:rsidRPr="00F21196">
        <w:t xml:space="preserve"> do usług publicznych</w:t>
      </w:r>
      <w:r>
        <w:t>, w szczególności na obszarach zmarginalizowanych</w:t>
      </w:r>
      <w:r w:rsidRPr="00F21196">
        <w:t>.</w:t>
      </w:r>
      <w:r>
        <w:t xml:space="preserve"> </w:t>
      </w:r>
      <w:r w:rsidRPr="00D60898">
        <w:t>Interwencje w zakresie zespolonej administracji rządowej będą skierowane na miasta wojewódzkie.</w:t>
      </w:r>
      <w:r>
        <w:t xml:space="preserve"> Podjęte zostaną działania związane ze </w:t>
      </w:r>
      <w:r w:rsidRPr="00F21196">
        <w:t>zwiększeni</w:t>
      </w:r>
      <w:r>
        <w:t>em</w:t>
      </w:r>
      <w:r w:rsidRPr="00F21196">
        <w:t xml:space="preserve"> roli delegatur urzędów wojewódzkich oraz delegatur jednostek organizacyjnych zespolonych służb, inspekcji i straży, z uwzględnieniem analiz odnoszących się do wpływu ewentualnie proponowanych zmian na dostęp obywateli do usług świadczonych przez administrację. </w:t>
      </w:r>
    </w:p>
    <w:p w14:paraId="34B5ED7B" w14:textId="77777777" w:rsidR="005C3502" w:rsidRPr="003F33CE" w:rsidRDefault="00D77326" w:rsidP="00D60898">
      <w:pPr>
        <w:pStyle w:val="Akapitzlist"/>
        <w:spacing w:after="120" w:line="276" w:lineRule="auto"/>
        <w:ind w:left="0"/>
        <w:jc w:val="both"/>
        <w:rPr>
          <w:rFonts w:ascii="Calibri" w:hAnsi="Calibri"/>
          <w:sz w:val="22"/>
          <w:szCs w:val="22"/>
        </w:rPr>
      </w:pPr>
      <w:r>
        <w:rPr>
          <w:rFonts w:ascii="Calibri" w:hAnsi="Calibri"/>
          <w:sz w:val="22"/>
          <w:szCs w:val="22"/>
        </w:rPr>
        <w:t>W</w:t>
      </w:r>
      <w:r w:rsidR="005C3502" w:rsidRPr="003F33CE">
        <w:rPr>
          <w:rFonts w:ascii="Calibri" w:hAnsi="Calibri"/>
          <w:sz w:val="22"/>
          <w:szCs w:val="22"/>
        </w:rPr>
        <w:t xml:space="preserve"> celu zapewnienia bezpieczeństwa i porządku publicznego </w:t>
      </w:r>
      <w:r>
        <w:rPr>
          <w:rFonts w:ascii="Calibri" w:hAnsi="Calibri"/>
          <w:sz w:val="22"/>
          <w:szCs w:val="22"/>
        </w:rPr>
        <w:t>podejmowane będą działania zmierzające do</w:t>
      </w:r>
      <w:r w:rsidR="005C3502" w:rsidRPr="003F33CE">
        <w:rPr>
          <w:rFonts w:ascii="Calibri" w:hAnsi="Calibri"/>
          <w:sz w:val="22"/>
          <w:szCs w:val="22"/>
        </w:rPr>
        <w:t xml:space="preserve"> relokacji służb patrolowych i ruchu drogowego, której podstawą jest stały monitoring aktualnej sytuacji na terenie podległym każdej jednostce Policji. </w:t>
      </w:r>
      <w:r>
        <w:rPr>
          <w:rFonts w:ascii="Calibri" w:hAnsi="Calibri"/>
          <w:sz w:val="22"/>
          <w:szCs w:val="22"/>
        </w:rPr>
        <w:t>Ponadto będzie kontynuowana inicjatywa o</w:t>
      </w:r>
      <w:r w:rsidR="005C3502" w:rsidRPr="003F33CE">
        <w:rPr>
          <w:rFonts w:ascii="Calibri" w:hAnsi="Calibri"/>
          <w:sz w:val="22"/>
          <w:szCs w:val="22"/>
        </w:rPr>
        <w:t>dtwarzani</w:t>
      </w:r>
      <w:r>
        <w:rPr>
          <w:rFonts w:ascii="Calibri" w:hAnsi="Calibri"/>
          <w:sz w:val="22"/>
          <w:szCs w:val="22"/>
        </w:rPr>
        <w:t>a</w:t>
      </w:r>
      <w:r w:rsidR="005C3502" w:rsidRPr="003F33CE">
        <w:rPr>
          <w:rFonts w:ascii="Calibri" w:hAnsi="Calibri"/>
          <w:sz w:val="22"/>
          <w:szCs w:val="22"/>
        </w:rPr>
        <w:t xml:space="preserve"> posterunków Policji</w:t>
      </w:r>
      <w:r>
        <w:rPr>
          <w:rFonts w:ascii="Calibri" w:hAnsi="Calibri"/>
          <w:sz w:val="22"/>
          <w:szCs w:val="22"/>
        </w:rPr>
        <w:t xml:space="preserve">, co </w:t>
      </w:r>
      <w:r w:rsidR="005C3502" w:rsidRPr="003F33CE">
        <w:rPr>
          <w:rFonts w:ascii="Calibri" w:hAnsi="Calibri"/>
          <w:sz w:val="22"/>
          <w:szCs w:val="22"/>
        </w:rPr>
        <w:t>jest uwarunkowane lokalnymi potrzebami i możliwościami.</w:t>
      </w:r>
    </w:p>
    <w:p w14:paraId="19CCD984" w14:textId="7BC74045" w:rsidR="00AA17F4" w:rsidRPr="003E0876" w:rsidRDefault="00AA17F4" w:rsidP="00AA17F4">
      <w:pPr>
        <w:spacing w:after="120" w:line="276" w:lineRule="auto"/>
        <w:jc w:val="both"/>
        <w:rPr>
          <w:rFonts w:cs="Times New Roman"/>
        </w:rPr>
      </w:pPr>
      <w:r w:rsidRPr="00F21196">
        <w:rPr>
          <w:rFonts w:cs="Times New Roman"/>
        </w:rPr>
        <w:t xml:space="preserve">Na rozwój gmin i powiatów będą </w:t>
      </w:r>
      <w:r>
        <w:rPr>
          <w:rFonts w:cs="Times New Roman"/>
        </w:rPr>
        <w:t xml:space="preserve">- </w:t>
      </w:r>
      <w:r w:rsidRPr="00F21196">
        <w:rPr>
          <w:rFonts w:cs="Times New Roman"/>
        </w:rPr>
        <w:t xml:space="preserve">w sposób pośredni </w:t>
      </w:r>
      <w:r>
        <w:rPr>
          <w:rFonts w:cs="Times New Roman"/>
        </w:rPr>
        <w:t xml:space="preserve">- </w:t>
      </w:r>
      <w:r w:rsidRPr="00F21196">
        <w:rPr>
          <w:rFonts w:cs="Times New Roman"/>
        </w:rPr>
        <w:t xml:space="preserve">wpływać przedsięwzięcia podejmowane w ramach projektu strategicznego pn. </w:t>
      </w:r>
      <w:r w:rsidRPr="00F21196">
        <w:rPr>
          <w:rFonts w:cs="Times New Roman"/>
          <w:i/>
        </w:rPr>
        <w:t>Wojska Obrony Terytorialnej</w:t>
      </w:r>
      <w:r w:rsidRPr="00F21196">
        <w:rPr>
          <w:rFonts w:cs="Times New Roman"/>
        </w:rPr>
        <w:t xml:space="preserve"> (WOT). Utworzenie WOT przyczyni się nie tylko do wzrostu poziomu bezpieczeństwa państwa, ale stanie się motorem napędowym lokalnego rynku produkcji usług. Stałe dochody związane ze służbą będą skutkować zwiększeniem konsumpcji, co w konsekwencji przyczyni się do wzrostu poziomu życia mieszkańców regionów, w których rozmieszczone będą jednostki WOT. Efekt ten będzie szczególnie widoczny </w:t>
      </w:r>
      <w:r>
        <w:rPr>
          <w:rFonts w:cs="Times New Roman"/>
        </w:rPr>
        <w:t xml:space="preserve">na obszarach słabszych gospodarczo. </w:t>
      </w:r>
      <w:r w:rsidRPr="00F21196">
        <w:rPr>
          <w:rFonts w:cs="Times New Roman"/>
        </w:rPr>
        <w:t xml:space="preserve"> Ponadto przedsięwzięcie to będzie sprzyjać zrównoważonemu rozwojowi </w:t>
      </w:r>
      <w:r>
        <w:rPr>
          <w:rFonts w:cs="Times New Roman"/>
        </w:rPr>
        <w:t>kraju i zwiększeniu spójności w wymiarze społecznym, gospodarczym i przestrzennym poprzez</w:t>
      </w:r>
      <w:r w:rsidRPr="00F21196">
        <w:rPr>
          <w:rFonts w:cs="Times New Roman"/>
        </w:rPr>
        <w:t xml:space="preserve"> przeciwdziałani</w:t>
      </w:r>
      <w:r>
        <w:rPr>
          <w:rFonts w:cs="Times New Roman"/>
        </w:rPr>
        <w:t>e</w:t>
      </w:r>
      <w:r w:rsidRPr="00F21196">
        <w:rPr>
          <w:rFonts w:cs="Times New Roman"/>
        </w:rPr>
        <w:t xml:space="preserve"> wykluczeniu</w:t>
      </w:r>
      <w:r>
        <w:rPr>
          <w:rFonts w:cs="Times New Roman"/>
        </w:rPr>
        <w:t xml:space="preserve"> </w:t>
      </w:r>
      <w:r w:rsidRPr="00F21196">
        <w:rPr>
          <w:rFonts w:cs="Times New Roman"/>
        </w:rPr>
        <w:t>obszarów</w:t>
      </w:r>
      <w:r>
        <w:rPr>
          <w:rFonts w:cs="Times New Roman"/>
        </w:rPr>
        <w:t xml:space="preserve"> zagrożonych trwałą marginalizacją</w:t>
      </w:r>
      <w:r w:rsidRPr="00F21196">
        <w:rPr>
          <w:rFonts w:cs="Times New Roman"/>
        </w:rPr>
        <w:t>, ożywieni</w:t>
      </w:r>
      <w:r>
        <w:rPr>
          <w:rFonts w:cs="Times New Roman"/>
        </w:rPr>
        <w:t>e</w:t>
      </w:r>
      <w:r w:rsidRPr="00F21196">
        <w:rPr>
          <w:rFonts w:cs="Times New Roman"/>
        </w:rPr>
        <w:t xml:space="preserve"> małych ośrodków, popraw</w:t>
      </w:r>
      <w:r>
        <w:rPr>
          <w:rFonts w:cs="Times New Roman"/>
        </w:rPr>
        <w:t>ę</w:t>
      </w:r>
      <w:r w:rsidRPr="00F21196">
        <w:rPr>
          <w:rFonts w:cs="Times New Roman"/>
        </w:rPr>
        <w:t xml:space="preserve"> rozwoju ich lokalnej infrastruktury. Jednostki WOT w pierwszej kolejności tworzone są na terenach Polski wschodniej, która charakteryzuje się niższym poziomem rozwoju</w:t>
      </w:r>
      <w:r w:rsidRPr="003E0876">
        <w:rPr>
          <w:rFonts w:cs="Times New Roman"/>
          <w:b/>
        </w:rPr>
        <w:t xml:space="preserve">. </w:t>
      </w:r>
      <w:r w:rsidRPr="003E0876">
        <w:rPr>
          <w:rFonts w:cs="Times New Roman"/>
        </w:rPr>
        <w:t>Zacieśnianie współpracy jednostek WOT ze Straż Graniczną przyczyni się do zwiększenia odporności RP na zagrożenia dla jej bezpieczeństwa</w:t>
      </w:r>
      <w:r>
        <w:rPr>
          <w:rFonts w:cs="Times New Roman"/>
        </w:rPr>
        <w:t>, w tym hybrydowe</w:t>
      </w:r>
      <w:r w:rsidRPr="003E0876">
        <w:rPr>
          <w:rFonts w:cs="Times New Roman"/>
        </w:rPr>
        <w:t xml:space="preserve">.   </w:t>
      </w:r>
    </w:p>
    <w:p w14:paraId="62C16EEC" w14:textId="77777777" w:rsidR="00AA17F4" w:rsidRPr="00F21196" w:rsidRDefault="00AA17F4" w:rsidP="00AA17F4">
      <w:pPr>
        <w:spacing w:after="120" w:line="276" w:lineRule="auto"/>
        <w:jc w:val="both"/>
        <w:rPr>
          <w:rFonts w:eastAsia="Times New Roman" w:cstheme="minorHAnsi"/>
        </w:rPr>
      </w:pPr>
      <w:r>
        <w:rPr>
          <w:rFonts w:eastAsia="Times New Roman" w:cstheme="minorHAnsi"/>
        </w:rPr>
        <w:t xml:space="preserve">Z kolei </w:t>
      </w:r>
      <w:r w:rsidRPr="00F21196">
        <w:rPr>
          <w:rFonts w:eastAsia="Times New Roman" w:cstheme="minorHAnsi"/>
        </w:rPr>
        <w:t>projektem strategicznym oddziaływujący na cyfrowy rozwoju kraju jest nowoczesna edukacja. Ogólnopolska Sieć Edukacyjna (dalej: OSE) jest odpowiedzią na potrzebę zintegrowanego działania na rzecz cyfryzacji polskich szkół. OSE jest publiczną siecią telekomunikacyjną, za pomocą której operator tej sieci dostarcza szkołom podstawowym i ponadpodstawowym usługi szerokopasmowego dostępu do Internetu wraz z usługami szeroko pojętego bezpieczeństwa teleinformatycznego oraz udostępnia cyfrowe treści i multimedialne narzędzia edukacyjne. Pełne wdrożenie OSE w Polsce planowane jest do końca 2020 roku.</w:t>
      </w:r>
    </w:p>
    <w:p w14:paraId="31C94900" w14:textId="77777777" w:rsidR="00AA17F4" w:rsidRPr="00F21196" w:rsidRDefault="00AA17F4" w:rsidP="00AA17F4">
      <w:pPr>
        <w:spacing w:after="120" w:line="276" w:lineRule="auto"/>
        <w:jc w:val="both"/>
        <w:rPr>
          <w:rFonts w:eastAsia="Times New Roman" w:cstheme="minorHAnsi"/>
        </w:rPr>
      </w:pPr>
      <w:r w:rsidRPr="00F21196">
        <w:rPr>
          <w:rFonts w:eastAsia="Times New Roman" w:cstheme="minorHAnsi"/>
        </w:rPr>
        <w:t xml:space="preserve">Z kolei przedsięwzięcia podejmowane w obszarze infrastruktury szerokopasmowej </w:t>
      </w:r>
      <w:r w:rsidRPr="00F21196">
        <w:rPr>
          <w:rFonts w:eastAsia="Times New Roman" w:cstheme="minorHAnsi"/>
          <w:lang w:eastAsia="pl-PL"/>
        </w:rPr>
        <w:t xml:space="preserve">pn. </w:t>
      </w:r>
      <w:r w:rsidRPr="005F6F1F">
        <w:rPr>
          <w:rFonts w:eastAsia="Times New Roman" w:cstheme="minorHAnsi"/>
          <w:i/>
        </w:rPr>
        <w:t>Narodowy Plan Szerokopasmowy</w:t>
      </w:r>
      <w:r w:rsidRPr="00F21196">
        <w:rPr>
          <w:rFonts w:eastAsia="Times New Roman" w:cstheme="minorHAnsi"/>
        </w:rPr>
        <w:t xml:space="preserve"> będą wpływać </w:t>
      </w:r>
      <w:r w:rsidRPr="00F21196">
        <w:rPr>
          <w:rFonts w:eastAsia="Times New Roman" w:cstheme="minorHAnsi"/>
          <w:lang w:eastAsia="pl-PL"/>
        </w:rPr>
        <w:t>na rozwój obszarów wiejskich, jak i miejskich</w:t>
      </w:r>
      <w:r>
        <w:rPr>
          <w:rFonts w:eastAsia="Times New Roman" w:cstheme="minorHAnsi"/>
          <w:lang w:eastAsia="pl-PL"/>
        </w:rPr>
        <w:t xml:space="preserve"> oraz zapobiegać wykluczeniu cyfrowemu obszarów słabiej rozwiniętych</w:t>
      </w:r>
      <w:r w:rsidRPr="00F21196">
        <w:rPr>
          <w:rFonts w:eastAsia="Times New Roman" w:cstheme="minorHAnsi"/>
          <w:lang w:eastAsia="pl-PL"/>
        </w:rPr>
        <w:t>.</w:t>
      </w:r>
      <w:r w:rsidRPr="00F21196">
        <w:rPr>
          <w:rFonts w:eastAsia="Times New Roman" w:cstheme="minorHAnsi"/>
        </w:rPr>
        <w:t xml:space="preserve"> Stworzenie spójnego systemu informacyjnego państwa zapewniającego efektywną komunikację drogą elektroniczną będzie w dużej części uzależniona od możliwości uzyskania przez obywateli dostępu do szerokopasmowego Internetu. Prowadzone będą działania wspierające rozwój sieci i infrastruktury szerokopasmowej oraz pobudzające popyt na usługi dostępowe o wysokich przepływnościach. </w:t>
      </w:r>
    </w:p>
    <w:p w14:paraId="27A2493E" w14:textId="77777777" w:rsidR="00DA6FA7" w:rsidRPr="00F21196" w:rsidRDefault="00DA6FA7">
      <w:pPr>
        <w:rPr>
          <w:rFonts w:eastAsia="Times New Roman" w:cs="Calibri"/>
          <w:b/>
          <w:bCs/>
          <w:sz w:val="28"/>
          <w:lang w:eastAsia="pl-PL"/>
        </w:rPr>
      </w:pPr>
      <w:r w:rsidRPr="00F21196">
        <w:br w:type="page"/>
      </w:r>
    </w:p>
    <w:p w14:paraId="17E09835" w14:textId="77777777" w:rsidR="00FA038A" w:rsidRPr="005F031E" w:rsidRDefault="00A13885" w:rsidP="000E63C1">
      <w:pPr>
        <w:pStyle w:val="Spistreci1"/>
      </w:pPr>
      <w:r w:rsidRPr="005F031E">
        <w:t>V</w:t>
      </w:r>
      <w:r w:rsidR="00124940" w:rsidRPr="005F031E">
        <w:t xml:space="preserve">. </w:t>
      </w:r>
      <w:r w:rsidR="002C4D88" w:rsidRPr="005F031E">
        <w:t>RAMY FINANSOWE</w:t>
      </w:r>
      <w:r w:rsidR="00124940" w:rsidRPr="005F031E">
        <w:t xml:space="preserve"> </w:t>
      </w:r>
    </w:p>
    <w:p w14:paraId="1E3BE413" w14:textId="3D28FCD1" w:rsidR="00F90B49" w:rsidRPr="00951AB9" w:rsidRDefault="00F90B49" w:rsidP="001836A8">
      <w:pPr>
        <w:pStyle w:val="Zwykytekst"/>
        <w:spacing w:before="120" w:line="276" w:lineRule="auto"/>
        <w:jc w:val="both"/>
        <w:rPr>
          <w:rFonts w:asciiTheme="minorHAnsi" w:hAnsiTheme="minorHAnsi"/>
          <w:szCs w:val="22"/>
        </w:rPr>
      </w:pPr>
      <w:r w:rsidRPr="00951AB9">
        <w:rPr>
          <w:rFonts w:asciiTheme="minorHAnsi" w:hAnsiTheme="minorHAnsi"/>
          <w:szCs w:val="22"/>
        </w:rPr>
        <w:t xml:space="preserve">Ramy finansowe zostały opracowane w oparciu o klasyfikację wydatków rozwojowych </w:t>
      </w:r>
      <w:r w:rsidR="007732D1" w:rsidRPr="00951AB9">
        <w:rPr>
          <w:rFonts w:asciiTheme="minorHAnsi" w:hAnsiTheme="minorHAnsi"/>
          <w:szCs w:val="22"/>
        </w:rPr>
        <w:t>sektora instytucji</w:t>
      </w:r>
      <w:r w:rsidR="003F2978" w:rsidRPr="00951AB9">
        <w:rPr>
          <w:rFonts w:asciiTheme="minorHAnsi" w:hAnsiTheme="minorHAnsi"/>
          <w:szCs w:val="22"/>
        </w:rPr>
        <w:t xml:space="preserve"> rządowych i samorządowych</w:t>
      </w:r>
      <w:r w:rsidR="001836A8">
        <w:rPr>
          <w:rFonts w:asciiTheme="minorHAnsi" w:hAnsiTheme="minorHAnsi"/>
          <w:szCs w:val="22"/>
        </w:rPr>
        <w:t xml:space="preserve"> </w:t>
      </w:r>
      <w:r w:rsidR="001836A8" w:rsidRPr="00951AB9">
        <w:rPr>
          <w:rFonts w:asciiTheme="minorHAnsi" w:hAnsiTheme="minorHAnsi"/>
          <w:szCs w:val="22"/>
        </w:rPr>
        <w:t>(KWR</w:t>
      </w:r>
      <w:r w:rsidR="001836A8" w:rsidRPr="00951AB9">
        <w:rPr>
          <w:rStyle w:val="Odwoanieprzypisudolnego"/>
          <w:rFonts w:asciiTheme="minorHAnsi" w:hAnsiTheme="minorHAnsi"/>
          <w:szCs w:val="22"/>
        </w:rPr>
        <w:footnoteReference w:id="122"/>
      </w:r>
      <w:r w:rsidR="001836A8" w:rsidRPr="00951AB9">
        <w:rPr>
          <w:rFonts w:asciiTheme="minorHAnsi" w:hAnsiTheme="minorHAnsi"/>
          <w:szCs w:val="22"/>
        </w:rPr>
        <w:t>)</w:t>
      </w:r>
      <w:r w:rsidR="003F2978" w:rsidRPr="00951AB9">
        <w:rPr>
          <w:rFonts w:asciiTheme="minorHAnsi" w:hAnsiTheme="minorHAnsi"/>
          <w:szCs w:val="22"/>
        </w:rPr>
        <w:t>, zgodnie z którą</w:t>
      </w:r>
      <w:r w:rsidR="008A7BBF">
        <w:rPr>
          <w:rFonts w:asciiTheme="minorHAnsi" w:hAnsiTheme="minorHAnsi"/>
          <w:szCs w:val="22"/>
        </w:rPr>
        <w:t xml:space="preserve">, </w:t>
      </w:r>
      <w:r w:rsidRPr="00951AB9">
        <w:rPr>
          <w:rFonts w:asciiTheme="minorHAnsi" w:hAnsiTheme="minorHAnsi"/>
          <w:szCs w:val="22"/>
        </w:rPr>
        <w:t>wydatki rozwojowe to środki pieniężne wydatkowane w ramach polityki rozwoju państwa przez jednostki sektora instytucji rządowych i samorządowych na rzecz jednostek nienależących do tego sektora, prowadzące do pozytywnych przemian społeczno-gospodarczych, w szczególności wzrostu konkurencyjności, produktywności, oraz zwiększenia spójności społecznej i gospodarczej.</w:t>
      </w:r>
    </w:p>
    <w:p w14:paraId="6137FBC5" w14:textId="5999DFE5" w:rsidR="009F6566" w:rsidRDefault="001836A8" w:rsidP="008A7BBF">
      <w:pPr>
        <w:autoSpaceDE w:val="0"/>
        <w:autoSpaceDN w:val="0"/>
        <w:adjustRightInd w:val="0"/>
        <w:spacing w:before="120" w:after="0" w:line="276" w:lineRule="auto"/>
        <w:jc w:val="both"/>
        <w:rPr>
          <w:rFonts w:cs="Calibri"/>
          <w:b/>
          <w:color w:val="000000"/>
          <w:lang w:bidi="pl-PL"/>
        </w:rPr>
      </w:pPr>
      <w:r w:rsidRPr="00951AB9">
        <w:rPr>
          <w:rFonts w:cs="ArialMT"/>
        </w:rPr>
        <w:t xml:space="preserve">Ramy finansowe SNP </w:t>
      </w:r>
      <w:r w:rsidR="005F6F1F">
        <w:rPr>
          <w:rFonts w:cs="ArialMT"/>
        </w:rPr>
        <w:t>prezentują</w:t>
      </w:r>
      <w:r w:rsidRPr="00951AB9">
        <w:rPr>
          <w:rFonts w:cs="ArialMT"/>
        </w:rPr>
        <w:t xml:space="preserve"> szacunki dotyczące wydatków rozwojowych, które nie wywołują żadnych skutków prawnych</w:t>
      </w:r>
      <w:r w:rsidRPr="001836A8">
        <w:rPr>
          <w:rFonts w:cs="ArialMT"/>
          <w:lang w:eastAsia="pl-PL"/>
        </w:rPr>
        <w:t xml:space="preserve">. </w:t>
      </w:r>
      <w:r>
        <w:rPr>
          <w:rFonts w:cs="ArialMT"/>
          <w:lang w:eastAsia="pl-PL"/>
        </w:rPr>
        <w:t>Jednakże p</w:t>
      </w:r>
      <w:r w:rsidRPr="00951AB9">
        <w:rPr>
          <w:rFonts w:eastAsia="Times New Roman" w:cs="Times New Roman"/>
          <w:color w:val="000000"/>
          <w:lang w:eastAsia="pl-PL" w:bidi="pl-PL"/>
        </w:rPr>
        <w:t xml:space="preserve">rzy zgłaszaniu inicjatyw generujących nowe wydatki jednostek sektora finansów publicznych </w:t>
      </w:r>
      <w:r>
        <w:rPr>
          <w:rFonts w:eastAsia="Times New Roman" w:cs="Times New Roman"/>
          <w:color w:val="000000"/>
          <w:lang w:eastAsia="pl-PL" w:bidi="pl-PL"/>
        </w:rPr>
        <w:t>istotne będzie zwrócenie</w:t>
      </w:r>
      <w:r w:rsidRPr="00951AB9">
        <w:rPr>
          <w:rFonts w:eastAsia="Times New Roman" w:cs="Times New Roman"/>
          <w:color w:val="000000"/>
          <w:lang w:eastAsia="pl-PL" w:bidi="pl-PL"/>
        </w:rPr>
        <w:t xml:space="preserve"> uwa</w:t>
      </w:r>
      <w:r>
        <w:rPr>
          <w:rFonts w:eastAsia="Times New Roman" w:cs="Times New Roman"/>
          <w:color w:val="000000"/>
          <w:lang w:eastAsia="pl-PL" w:bidi="pl-PL"/>
        </w:rPr>
        <w:t>gi</w:t>
      </w:r>
      <w:r w:rsidRPr="00951AB9">
        <w:rPr>
          <w:rFonts w:eastAsia="Times New Roman" w:cs="Times New Roman"/>
          <w:color w:val="000000"/>
          <w:lang w:eastAsia="pl-PL" w:bidi="pl-PL"/>
        </w:rPr>
        <w:t xml:space="preserve">, aby mieściły się one w ogólnej puli wydatków budżetu </w:t>
      </w:r>
      <w:r w:rsidR="00FF52B4" w:rsidRPr="00951AB9">
        <w:rPr>
          <w:rFonts w:eastAsia="Times New Roman" w:cs="Times New Roman"/>
          <w:color w:val="000000"/>
          <w:lang w:eastAsia="pl-PL" w:bidi="pl-PL"/>
        </w:rPr>
        <w:t>państwa wyliczonego</w:t>
      </w:r>
      <w:r w:rsidRPr="00951AB9">
        <w:rPr>
          <w:rFonts w:eastAsia="Times New Roman" w:cs="Times New Roman"/>
          <w:color w:val="000000"/>
          <w:lang w:eastAsia="pl-PL" w:bidi="pl-PL"/>
        </w:rPr>
        <w:t xml:space="preserve"> przy zastosowaniu stabilizującej reguły wydatkowej. Biorąc pod uwagę </w:t>
      </w:r>
      <w:r w:rsidRPr="00DC0DFB">
        <w:rPr>
          <w:rFonts w:eastAsia="Times New Roman" w:cs="Times New Roman"/>
          <w:color w:val="000000"/>
          <w:lang w:eastAsia="pl-PL" w:bidi="pl-PL"/>
        </w:rPr>
        <w:t xml:space="preserve">konieczność nieprzekraczania wiążącego prawnie limitu wydatków, wynikającego z ww. reguły wydatkowej, w celu sfinansowania nowych wydatków, wynikających z przedmiotowych propozycji, konieczna będzie odpowiednia realokacja środków. </w:t>
      </w:r>
      <w:r>
        <w:rPr>
          <w:rFonts w:eastAsia="Times New Roman" w:cs="Times New Roman"/>
          <w:color w:val="000000"/>
          <w:lang w:eastAsia="pl-PL" w:bidi="pl-PL"/>
        </w:rPr>
        <w:t xml:space="preserve">Dążyć się będzie </w:t>
      </w:r>
      <w:r w:rsidRPr="00DC0DFB">
        <w:rPr>
          <w:rFonts w:eastAsia="Times New Roman" w:cs="Times New Roman"/>
          <w:color w:val="000000"/>
          <w:lang w:eastAsia="pl-PL" w:bidi="pl-PL"/>
        </w:rPr>
        <w:t xml:space="preserve">do tego, aby realizowanie tych zadań odbywało się w ramach posiadanych zasobów finansowych poszczególnych instytucji i budżetów dysponentów części budżetowych, jednocześnie nie rezygnując przy tym z wprowadzania nowych zadań istotnych społecznie i gospodarczo, czy też wynikających z dostosowania prawa do przepisów UE. </w:t>
      </w:r>
      <w:r w:rsidR="008A7BBF">
        <w:rPr>
          <w:rFonts w:eastAsia="Times New Roman" w:cs="Times New Roman"/>
          <w:color w:val="000000"/>
          <w:lang w:eastAsia="pl-PL" w:bidi="pl-PL"/>
        </w:rPr>
        <w:t xml:space="preserve">Ponadto zakłada się, że </w:t>
      </w:r>
      <w:r w:rsidR="009F6566" w:rsidRPr="008A7BBF">
        <w:rPr>
          <w:rFonts w:ascii="Calibri" w:hAnsi="Calibri" w:cs="Calibri"/>
          <w:color w:val="000000"/>
          <w:lang w:bidi="pl-PL"/>
        </w:rPr>
        <w:t>część działań rozwojowych określonych w strategii, w trym realizacja programów rozwoju, będzie mogła być finansowana między innymi z limitów wydatków odpowiednich części budżetowych oraz z rezerw celowych.</w:t>
      </w:r>
      <w:r w:rsidR="009F6566" w:rsidRPr="00CB1976">
        <w:rPr>
          <w:rFonts w:ascii="Calibri" w:hAnsi="Calibri" w:cs="Calibri"/>
          <w:color w:val="000000"/>
          <w:lang w:bidi="pl-PL"/>
        </w:rPr>
        <w:t xml:space="preserve"> </w:t>
      </w:r>
    </w:p>
    <w:p w14:paraId="524473FB" w14:textId="3BC28DBB" w:rsidR="001836A8" w:rsidRPr="00951AB9" w:rsidRDefault="001836A8" w:rsidP="009F6566">
      <w:pPr>
        <w:pStyle w:val="Zwykytekst"/>
        <w:spacing w:before="120" w:line="276" w:lineRule="auto"/>
        <w:jc w:val="both"/>
        <w:rPr>
          <w:rFonts w:asciiTheme="minorHAnsi" w:hAnsiTheme="minorHAnsi"/>
          <w:szCs w:val="22"/>
        </w:rPr>
      </w:pPr>
      <w:r w:rsidRPr="00951AB9">
        <w:rPr>
          <w:rFonts w:asciiTheme="minorHAnsi" w:hAnsiTheme="minorHAnsi"/>
          <w:szCs w:val="22"/>
        </w:rPr>
        <w:t xml:space="preserve">Zgodnie z przyjętą konwencją, ramy finansowe SNP określają środki finansowe nie tylko na finansowanie przewidzianych do realizacji nowych przedsięwzięć, ale wszystkie środki o charakterze rozwojowym, które wpisują się swoim zakresem w SNP. Dodatkowo, uwzględniono wydatki pośrednio wspierające działania rozwojowe określone w KWR. </w:t>
      </w:r>
    </w:p>
    <w:p w14:paraId="4C111470" w14:textId="40E69225" w:rsidR="00B0118C" w:rsidRPr="00951AB9" w:rsidRDefault="00951AB9" w:rsidP="00B0118C">
      <w:pPr>
        <w:pStyle w:val="Zwykytekst"/>
        <w:spacing w:before="120" w:line="276" w:lineRule="auto"/>
        <w:jc w:val="both"/>
        <w:rPr>
          <w:rFonts w:asciiTheme="minorHAnsi" w:hAnsiTheme="minorHAnsi"/>
          <w:szCs w:val="22"/>
        </w:rPr>
      </w:pPr>
      <w:r w:rsidRPr="00951AB9">
        <w:rPr>
          <w:rFonts w:asciiTheme="minorHAnsi" w:hAnsiTheme="minorHAnsi" w:cs="ArialMT"/>
          <w:szCs w:val="22"/>
          <w:lang w:eastAsia="pl-PL"/>
        </w:rPr>
        <w:t xml:space="preserve">Ramy finansowe </w:t>
      </w:r>
      <w:r w:rsidR="001836A8">
        <w:rPr>
          <w:rFonts w:asciiTheme="minorHAnsi" w:hAnsiTheme="minorHAnsi" w:cs="ArialMT"/>
          <w:szCs w:val="22"/>
          <w:lang w:eastAsia="pl-PL"/>
        </w:rPr>
        <w:t xml:space="preserve">przedstawiają w zarysie </w:t>
      </w:r>
      <w:r w:rsidRPr="00951AB9">
        <w:rPr>
          <w:rFonts w:asciiTheme="minorHAnsi" w:hAnsiTheme="minorHAnsi" w:cs="ArialMT"/>
          <w:szCs w:val="22"/>
          <w:lang w:eastAsia="pl-PL"/>
        </w:rPr>
        <w:t xml:space="preserve">ogólną wielkość wszystkich środków publicznych o charakterze rozwojowym, przeznaczonych na realizację </w:t>
      </w:r>
      <w:r w:rsidRPr="00951AB9">
        <w:rPr>
          <w:rFonts w:asciiTheme="minorHAnsi" w:hAnsiTheme="minorHAnsi"/>
          <w:szCs w:val="22"/>
        </w:rPr>
        <w:t>SNP</w:t>
      </w:r>
      <w:r w:rsidRPr="00951AB9">
        <w:rPr>
          <w:rFonts w:asciiTheme="minorHAnsi" w:hAnsiTheme="minorHAnsi" w:cs="ArialMT"/>
          <w:szCs w:val="22"/>
          <w:lang w:eastAsia="pl-PL"/>
        </w:rPr>
        <w:t xml:space="preserve"> w okresie jej obowiązywania, tj. wraz z ekstrapolacją wydatków rozwojowych na lata 2018-2020, 2020-2025 i 2026-2030.</w:t>
      </w:r>
      <w:r w:rsidR="001836A8" w:rsidRPr="001836A8">
        <w:rPr>
          <w:rFonts w:asciiTheme="minorHAnsi" w:hAnsiTheme="minorHAnsi"/>
          <w:szCs w:val="22"/>
        </w:rPr>
        <w:t xml:space="preserve"> </w:t>
      </w:r>
      <w:r w:rsidR="001836A8" w:rsidRPr="00951AB9">
        <w:rPr>
          <w:rFonts w:asciiTheme="minorHAnsi" w:hAnsiTheme="minorHAnsi"/>
          <w:szCs w:val="22"/>
        </w:rPr>
        <w:t xml:space="preserve">Podstawowymi źródłami finansowania </w:t>
      </w:r>
      <w:r w:rsidR="00D338D7">
        <w:rPr>
          <w:rFonts w:asciiTheme="minorHAnsi" w:hAnsiTheme="minorHAnsi"/>
          <w:szCs w:val="22"/>
        </w:rPr>
        <w:t xml:space="preserve">inicjatyw wpisujących się w </w:t>
      </w:r>
      <w:r w:rsidR="001836A8" w:rsidRPr="00951AB9">
        <w:rPr>
          <w:rFonts w:asciiTheme="minorHAnsi" w:hAnsiTheme="minorHAnsi"/>
          <w:szCs w:val="22"/>
        </w:rPr>
        <w:t>strategi</w:t>
      </w:r>
      <w:r w:rsidR="00D338D7">
        <w:rPr>
          <w:rFonts w:asciiTheme="minorHAnsi" w:hAnsiTheme="minorHAnsi"/>
          <w:szCs w:val="22"/>
        </w:rPr>
        <w:t>ę</w:t>
      </w:r>
      <w:r w:rsidR="001836A8" w:rsidRPr="00951AB9">
        <w:rPr>
          <w:rFonts w:asciiTheme="minorHAnsi" w:hAnsiTheme="minorHAnsi"/>
          <w:szCs w:val="22"/>
        </w:rPr>
        <w:t xml:space="preserve"> </w:t>
      </w:r>
      <w:r w:rsidR="001836A8">
        <w:rPr>
          <w:rFonts w:asciiTheme="minorHAnsi" w:hAnsiTheme="minorHAnsi"/>
          <w:szCs w:val="22"/>
        </w:rPr>
        <w:t>będą</w:t>
      </w:r>
      <w:r w:rsidR="001836A8" w:rsidRPr="00951AB9">
        <w:rPr>
          <w:rFonts w:asciiTheme="minorHAnsi" w:hAnsiTheme="minorHAnsi"/>
          <w:szCs w:val="22"/>
        </w:rPr>
        <w:t>:</w:t>
      </w:r>
      <w:r w:rsidR="001836A8">
        <w:rPr>
          <w:rFonts w:asciiTheme="minorHAnsi" w:hAnsiTheme="minorHAnsi"/>
          <w:szCs w:val="22"/>
        </w:rPr>
        <w:t xml:space="preserve"> </w:t>
      </w:r>
      <w:r w:rsidR="001836A8" w:rsidRPr="00951AB9">
        <w:rPr>
          <w:rFonts w:asciiTheme="minorHAnsi" w:hAnsiTheme="minorHAnsi"/>
          <w:szCs w:val="22"/>
        </w:rPr>
        <w:t>rozwojowe wydatki budżetu państwa, zgodnie z definicją KWR (skonsolidowane, za wyjątkiem dotacji dla JST</w:t>
      </w:r>
      <w:r w:rsidR="001836A8">
        <w:rPr>
          <w:rFonts w:asciiTheme="minorHAnsi" w:hAnsiTheme="minorHAnsi"/>
          <w:szCs w:val="22"/>
        </w:rPr>
        <w:t>),</w:t>
      </w:r>
      <w:r w:rsidR="001836A8" w:rsidRPr="00951AB9">
        <w:rPr>
          <w:rFonts w:asciiTheme="minorHAnsi" w:hAnsiTheme="minorHAnsi"/>
          <w:szCs w:val="22"/>
        </w:rPr>
        <w:t xml:space="preserve"> wydatki budżetu państwa wspierające rozwój, nie objęte KWR, unijne fundusze strukturalne i inwestycyjne (polityka spójno</w:t>
      </w:r>
      <w:r w:rsidR="001836A8">
        <w:rPr>
          <w:rFonts w:asciiTheme="minorHAnsi" w:hAnsiTheme="minorHAnsi"/>
          <w:szCs w:val="22"/>
        </w:rPr>
        <w:t>ści) wraz ze współfinansowaniem,</w:t>
      </w:r>
      <w:r w:rsidR="001836A8" w:rsidRPr="00951AB9">
        <w:rPr>
          <w:rFonts w:asciiTheme="minorHAnsi" w:hAnsiTheme="minorHAnsi"/>
          <w:szCs w:val="22"/>
        </w:rPr>
        <w:t xml:space="preserve"> wydatki w ramach innych instrumentów i funduszy zagranicznych.</w:t>
      </w:r>
      <w:r w:rsidR="00B0118C" w:rsidRPr="00B0118C">
        <w:rPr>
          <w:rFonts w:asciiTheme="minorHAnsi" w:hAnsiTheme="minorHAnsi"/>
          <w:szCs w:val="22"/>
        </w:rPr>
        <w:t xml:space="preserve"> </w:t>
      </w:r>
      <w:r w:rsidR="00B0118C">
        <w:rPr>
          <w:rFonts w:asciiTheme="minorHAnsi" w:hAnsiTheme="minorHAnsi"/>
          <w:szCs w:val="22"/>
        </w:rPr>
        <w:t>Cele SNP realizowane będą także przez państwowe fundusze celowe</w:t>
      </w:r>
      <w:r w:rsidR="00E653C5">
        <w:rPr>
          <w:rStyle w:val="Odwoanieprzypisudolnego"/>
          <w:rFonts w:asciiTheme="minorHAnsi" w:hAnsiTheme="minorHAnsi"/>
          <w:szCs w:val="22"/>
        </w:rPr>
        <w:footnoteReference w:id="123"/>
      </w:r>
      <w:r w:rsidR="00B0118C">
        <w:rPr>
          <w:rFonts w:asciiTheme="minorHAnsi" w:hAnsiTheme="minorHAnsi"/>
          <w:szCs w:val="22"/>
        </w:rPr>
        <w:t xml:space="preserve"> (np. Fundusz Szerokopasmowy).</w:t>
      </w:r>
    </w:p>
    <w:p w14:paraId="7866A8D8" w14:textId="77777777" w:rsidR="0018547B" w:rsidRPr="00F21196" w:rsidRDefault="00CF4B45" w:rsidP="00951AB9">
      <w:pPr>
        <w:autoSpaceDE w:val="0"/>
        <w:autoSpaceDN w:val="0"/>
        <w:adjustRightInd w:val="0"/>
        <w:spacing w:after="120" w:line="276" w:lineRule="auto"/>
        <w:jc w:val="both"/>
        <w:rPr>
          <w:rFonts w:cs="Calibri,Bold"/>
          <w:bCs/>
          <w:color w:val="000000" w:themeColor="text1"/>
        </w:rPr>
      </w:pPr>
      <w:r w:rsidRPr="00951AB9">
        <w:rPr>
          <w:rFonts w:cs="ArialMT"/>
          <w:lang w:eastAsia="pl-PL"/>
        </w:rPr>
        <w:t>Wyodrębnienie wydatków o charakterze rozwojowym</w:t>
      </w:r>
      <w:r w:rsidR="0018547B" w:rsidRPr="00951AB9">
        <w:rPr>
          <w:rStyle w:val="Odwoanieprzypisudolnego"/>
          <w:rFonts w:cs="ArialMT"/>
          <w:lang w:eastAsia="pl-PL"/>
        </w:rPr>
        <w:footnoteReference w:id="124"/>
      </w:r>
      <w:r w:rsidRPr="00951AB9">
        <w:rPr>
          <w:rFonts w:cs="ArialMT"/>
          <w:lang w:eastAsia="pl-PL"/>
        </w:rPr>
        <w:t xml:space="preserve"> w ramach wszystkich wydatków budżetu państwa dokonywan</w:t>
      </w:r>
      <w:r w:rsidR="0083442F" w:rsidRPr="00951AB9">
        <w:rPr>
          <w:rFonts w:cs="ArialMT"/>
          <w:lang w:eastAsia="pl-PL"/>
        </w:rPr>
        <w:t>o</w:t>
      </w:r>
      <w:r w:rsidRPr="00951AB9">
        <w:rPr>
          <w:rFonts w:cs="ArialMT"/>
          <w:lang w:eastAsia="pl-PL"/>
        </w:rPr>
        <w:t xml:space="preserve"> w oparciu o klasyfikację budżetową.</w:t>
      </w:r>
      <w:r w:rsidR="0083442F" w:rsidRPr="00951AB9">
        <w:rPr>
          <w:rFonts w:cs="ArialMT"/>
          <w:lang w:eastAsia="pl-PL"/>
        </w:rPr>
        <w:t xml:space="preserve"> </w:t>
      </w:r>
      <w:r w:rsidRPr="00951AB9">
        <w:rPr>
          <w:rFonts w:cs="ArialMT"/>
          <w:lang w:eastAsia="pl-PL"/>
        </w:rPr>
        <w:t>Na poziomie poszczególnych części, działów, rozdziałów i paragrafów budżetowych oznaczone zostały wydatki</w:t>
      </w:r>
      <w:r w:rsidR="0018547B" w:rsidRPr="00951AB9">
        <w:rPr>
          <w:rFonts w:cs="ArialMT"/>
          <w:lang w:eastAsia="pl-PL"/>
        </w:rPr>
        <w:t xml:space="preserve"> rozwojowe</w:t>
      </w:r>
      <w:r w:rsidR="00F4797D">
        <w:rPr>
          <w:rFonts w:cs="ArialMT"/>
          <w:lang w:eastAsia="pl-PL"/>
        </w:rPr>
        <w:t xml:space="preserve">. </w:t>
      </w:r>
    </w:p>
    <w:p w14:paraId="156865ED" w14:textId="77777777" w:rsidR="00457E31" w:rsidRPr="00F21196" w:rsidRDefault="00F4797D" w:rsidP="00137505">
      <w:pPr>
        <w:autoSpaceDE w:val="0"/>
        <w:autoSpaceDN w:val="0"/>
        <w:adjustRightInd w:val="0"/>
        <w:spacing w:after="120" w:line="276" w:lineRule="auto"/>
        <w:jc w:val="both"/>
        <w:rPr>
          <w:rFonts w:cs="Calibri"/>
        </w:rPr>
      </w:pPr>
      <w:r>
        <w:t xml:space="preserve">Dodatkowo SNP jest jednym z </w:t>
      </w:r>
      <w:r w:rsidRPr="00137505">
        <w:t>dokumentów - z</w:t>
      </w:r>
      <w:r w:rsidR="00457E31" w:rsidRPr="00137505">
        <w:t xml:space="preserve">godnie z obowiązującym porządkiem planowania strategicznego </w:t>
      </w:r>
      <w:r w:rsidRPr="00137505">
        <w:t>- r</w:t>
      </w:r>
      <w:r w:rsidR="00457E31" w:rsidRPr="00137505">
        <w:t>amowo wypełniający</w:t>
      </w:r>
      <w:r w:rsidRPr="00137505">
        <w:t>m</w:t>
      </w:r>
      <w:r w:rsidR="00457E31" w:rsidRPr="00137505">
        <w:t xml:space="preserve"> warunki związane z możliwością wykorzystania funduszy UE w perspektywie 2021 – 2027 (tzw. </w:t>
      </w:r>
      <w:r w:rsidR="00457E31" w:rsidRPr="00137505">
        <w:rPr>
          <w:rFonts w:cs="Calibri"/>
          <w:i/>
          <w:iCs/>
        </w:rPr>
        <w:t>enabling conditions</w:t>
      </w:r>
      <w:r w:rsidR="00457E31" w:rsidRPr="00137505">
        <w:rPr>
          <w:rFonts w:cs="Calibri"/>
        </w:rPr>
        <w:t xml:space="preserve">), określone w </w:t>
      </w:r>
      <w:r w:rsidR="00137505" w:rsidRPr="00137505">
        <w:rPr>
          <w:rFonts w:cs="Calibri"/>
        </w:rPr>
        <w:t>projekcie r</w:t>
      </w:r>
      <w:r w:rsidR="00137505" w:rsidRPr="00137505">
        <w:rPr>
          <w:rFonts w:cs="Arial"/>
        </w:rPr>
        <w:t>ozporządzenia ogólnego dla polityki spójności na lata 2021-2027 czyli projekcie</w:t>
      </w:r>
      <w:r w:rsidR="00137505" w:rsidRPr="00137505">
        <w:rPr>
          <w:rFonts w:cs="Arial"/>
          <w:i/>
          <w:iCs/>
        </w:rPr>
        <w:t xml:space="preserve"> rozporządzenia Parlamentu Europejskiego i Rady ustanawiające wspólne przepisy dotyczące Europejskiego Funduszu Rozwoju Regionalnego, Europejskiego Funduszu Społecznego Plus, Funduszu Spójności i Europejskiego Funduszu Morskiego i Rybackiego, a także przepisy finansowe na potrzeby tych funduszy oraz na potrzeby Funduszu Azylu i Migracji, Funduszu Bezpieczeństwa Wewnętrznego i Instrumentu na rzecz Zarządzania Granicami i Wiz COM(2018)375). </w:t>
      </w:r>
      <w:r w:rsidR="00457E31" w:rsidRPr="00137505">
        <w:rPr>
          <w:rFonts w:cs="Calibri"/>
        </w:rPr>
        <w:t xml:space="preserve">Odpowiadają one warunkom wstępnym tzw. </w:t>
      </w:r>
      <w:r w:rsidR="00457E31" w:rsidRPr="00137505">
        <w:rPr>
          <w:rFonts w:cs="Calibri"/>
          <w:i/>
          <w:iCs/>
        </w:rPr>
        <w:t xml:space="preserve">ex-ante conditions </w:t>
      </w:r>
      <w:r w:rsidR="00457E31" w:rsidRPr="00137505">
        <w:rPr>
          <w:rFonts w:cs="Calibri"/>
        </w:rPr>
        <w:t>z okresu programowania</w:t>
      </w:r>
      <w:r w:rsidR="00457E31" w:rsidRPr="00F21196">
        <w:rPr>
          <w:rFonts w:cs="Calibri"/>
        </w:rPr>
        <w:t xml:space="preserve"> 2014-2020. </w:t>
      </w:r>
    </w:p>
    <w:p w14:paraId="611AE786" w14:textId="77777777" w:rsidR="00FF52B4" w:rsidRPr="00DC0DFB" w:rsidRDefault="00FF52B4" w:rsidP="00F070C2">
      <w:pPr>
        <w:spacing w:after="120" w:line="317" w:lineRule="exact"/>
        <w:jc w:val="both"/>
      </w:pPr>
      <w:r w:rsidRPr="00DC0DFB">
        <w:rPr>
          <w:rFonts w:eastAsia="Times New Roman" w:cs="Times New Roman"/>
          <w:color w:val="000000"/>
          <w:lang w:eastAsia="pl-PL" w:bidi="pl-PL"/>
        </w:rPr>
        <w:t>Skutki finansowe dla budżetu państwa z tytułu działań rozwojowych zostaną sfinansowane w ramach limitu wydatków zaplanowanych we właściwych częściach budżetu państwa, z których będą ponoszone wydatki na wykonywanie nowych regulacji, w tym w ramach limitów wynagrodzeń, bez konieczności ich dodatkowego zwiększania, a wejście wżycie projektowanej regulacji nie będzie podstawą do ubiegania się o dodatkowe środki z budżetu państwa na ten cel.</w:t>
      </w:r>
    </w:p>
    <w:p w14:paraId="6030E2E2" w14:textId="728ECFE1" w:rsidR="0088495B" w:rsidRPr="00A94B2F" w:rsidRDefault="00077668" w:rsidP="00C23414">
      <w:pPr>
        <w:autoSpaceDE w:val="0"/>
        <w:autoSpaceDN w:val="0"/>
        <w:adjustRightInd w:val="0"/>
        <w:spacing w:after="0" w:line="276" w:lineRule="auto"/>
        <w:jc w:val="both"/>
        <w:rPr>
          <w:rFonts w:cs="ArialMT"/>
          <w:lang w:eastAsia="pl-PL"/>
        </w:rPr>
      </w:pPr>
      <w:r w:rsidRPr="00F21196">
        <w:rPr>
          <w:rFonts w:cs="ArialMT"/>
          <w:lang w:eastAsia="pl-PL"/>
        </w:rPr>
        <w:t>P</w:t>
      </w:r>
      <w:r w:rsidR="00312379" w:rsidRPr="00F21196">
        <w:rPr>
          <w:rFonts w:cs="ArialMT"/>
          <w:lang w:eastAsia="pl-PL"/>
        </w:rPr>
        <w:t>oniższa tabela przedstawia w ramach wydatków o charakterze rozwojowym</w:t>
      </w:r>
      <w:r w:rsidR="00312379" w:rsidRPr="00F21196">
        <w:rPr>
          <w:rStyle w:val="Odwoanieprzypisudolnego"/>
          <w:rFonts w:cs="ArialMT"/>
          <w:lang w:eastAsia="pl-PL"/>
        </w:rPr>
        <w:footnoteReference w:id="125"/>
      </w:r>
      <w:r w:rsidR="00312379" w:rsidRPr="00F21196">
        <w:rPr>
          <w:rFonts w:cs="ArialMT"/>
          <w:lang w:eastAsia="pl-PL"/>
        </w:rPr>
        <w:t xml:space="preserve"> zidentyfikowane wydatki w oparciu o klasyfikację budżetową. </w:t>
      </w:r>
      <w:r w:rsidR="00312379" w:rsidRPr="00F21196">
        <w:rPr>
          <w:rFonts w:cs="ArialMT"/>
          <w:i/>
          <w:lang w:eastAsia="pl-PL"/>
        </w:rPr>
        <w:t xml:space="preserve"> </w:t>
      </w:r>
      <w:r w:rsidR="0088495B" w:rsidRPr="0088495B">
        <w:rPr>
          <w:rFonts w:cs="ArialMT"/>
          <w:lang w:eastAsia="pl-PL"/>
        </w:rPr>
        <w:t>Szacuje się</w:t>
      </w:r>
      <w:r w:rsidR="00366C6B">
        <w:rPr>
          <w:rFonts w:cs="ArialMT"/>
          <w:lang w:eastAsia="pl-PL"/>
        </w:rPr>
        <w:t xml:space="preserve"> </w:t>
      </w:r>
      <w:r w:rsidR="0088495B" w:rsidRPr="00A94B2F">
        <w:rPr>
          <w:rFonts w:cs="ArialMT"/>
          <w:lang w:eastAsia="pl-PL"/>
        </w:rPr>
        <w:t xml:space="preserve">wydatki rozwojowe </w:t>
      </w:r>
      <w:r w:rsidR="0088495B">
        <w:rPr>
          <w:rFonts w:cs="ArialMT"/>
          <w:lang w:eastAsia="pl-PL"/>
        </w:rPr>
        <w:t>na</w:t>
      </w:r>
      <w:r w:rsidR="0088495B" w:rsidRPr="00A94B2F">
        <w:rPr>
          <w:rFonts w:cs="ArialMT"/>
          <w:lang w:eastAsia="pl-PL"/>
        </w:rPr>
        <w:t xml:space="preserve"> planowane inicjatywy o charakterze rozwojowym </w:t>
      </w:r>
      <w:r w:rsidR="0088495B">
        <w:rPr>
          <w:rFonts w:cs="ArialMT"/>
          <w:lang w:eastAsia="pl-PL"/>
        </w:rPr>
        <w:t xml:space="preserve">w latach </w:t>
      </w:r>
      <w:r w:rsidR="0088495B" w:rsidRPr="00A94B2F">
        <w:rPr>
          <w:rFonts w:cs="ArialMT"/>
          <w:lang w:eastAsia="pl-PL"/>
        </w:rPr>
        <w:t>2018-20</w:t>
      </w:r>
      <w:r w:rsidR="0088495B">
        <w:rPr>
          <w:rFonts w:cs="ArialMT"/>
          <w:lang w:eastAsia="pl-PL"/>
        </w:rPr>
        <w:t>25</w:t>
      </w:r>
      <w:r w:rsidR="0088495B" w:rsidRPr="00A94B2F">
        <w:rPr>
          <w:rFonts w:cs="ArialMT"/>
          <w:lang w:eastAsia="pl-PL"/>
        </w:rPr>
        <w:t xml:space="preserve"> na poziomie </w:t>
      </w:r>
      <w:r w:rsidR="008F77F4">
        <w:rPr>
          <w:rFonts w:cs="ArialMT"/>
          <w:lang w:eastAsia="pl-PL"/>
        </w:rPr>
        <w:t>68 814,35</w:t>
      </w:r>
      <w:r w:rsidR="0088495B" w:rsidRPr="00A94B2F">
        <w:rPr>
          <w:rFonts w:cs="ArialMT"/>
          <w:lang w:eastAsia="pl-PL"/>
        </w:rPr>
        <w:t xml:space="preserve"> mln zł.</w:t>
      </w:r>
    </w:p>
    <w:p w14:paraId="4E7CE4D2" w14:textId="5B676F86" w:rsidR="00A47A05" w:rsidRDefault="00A47A05" w:rsidP="00C23414">
      <w:pPr>
        <w:spacing w:before="120" w:after="0"/>
        <w:jc w:val="both"/>
        <w:rPr>
          <w:rFonts w:cs="ArialMT"/>
          <w:b/>
          <w:sz w:val="20"/>
          <w:lang w:eastAsia="pl-PL"/>
        </w:rPr>
      </w:pPr>
      <w:r w:rsidRPr="00A47A05">
        <w:rPr>
          <w:rFonts w:cs="ArialMT"/>
          <w:b/>
          <w:sz w:val="20"/>
          <w:lang w:eastAsia="pl-PL"/>
        </w:rPr>
        <w:t>Tabel</w:t>
      </w:r>
      <w:r w:rsidR="005F031E">
        <w:rPr>
          <w:rFonts w:cs="ArialMT"/>
          <w:b/>
          <w:sz w:val="20"/>
          <w:lang w:eastAsia="pl-PL"/>
        </w:rPr>
        <w:t>a 3</w:t>
      </w:r>
      <w:r w:rsidRPr="00A47A05">
        <w:rPr>
          <w:rFonts w:cs="ArialMT"/>
          <w:b/>
          <w:sz w:val="20"/>
          <w:lang w:eastAsia="pl-PL"/>
        </w:rPr>
        <w:t xml:space="preserve">. Zidentyfikowane wydatki </w:t>
      </w:r>
      <w:r>
        <w:rPr>
          <w:rFonts w:cs="ArialMT"/>
          <w:b/>
          <w:sz w:val="20"/>
          <w:lang w:eastAsia="pl-PL"/>
        </w:rPr>
        <w:t xml:space="preserve">rozwojowe </w:t>
      </w:r>
      <w:r w:rsidRPr="00A47A05">
        <w:rPr>
          <w:rFonts w:cs="ArialMT"/>
          <w:b/>
          <w:sz w:val="20"/>
          <w:lang w:eastAsia="pl-PL"/>
        </w:rPr>
        <w:t>w oparciu o klasyfikację budżetową</w:t>
      </w:r>
      <w:r w:rsidR="0041583D">
        <w:rPr>
          <w:rFonts w:cs="ArialMT"/>
          <w:b/>
          <w:sz w:val="20"/>
          <w:lang w:eastAsia="pl-PL"/>
        </w:rPr>
        <w:t xml:space="preserve"> </w:t>
      </w:r>
      <w:r w:rsidR="0041583D" w:rsidRPr="00C23414">
        <w:rPr>
          <w:rFonts w:cs="ArialMT"/>
          <w:b/>
          <w:sz w:val="20"/>
          <w:lang w:eastAsia="pl-PL"/>
        </w:rPr>
        <w:t>wg stanu na październik 2018 r.</w:t>
      </w:r>
      <w:r w:rsidRPr="00A47A05">
        <w:rPr>
          <w:rFonts w:cs="ArialMT"/>
          <w:b/>
          <w:sz w:val="20"/>
          <w:lang w:eastAsia="pl-PL"/>
        </w:rPr>
        <w:t xml:space="preserve"> </w:t>
      </w:r>
    </w:p>
    <w:tbl>
      <w:tblPr>
        <w:tblStyle w:val="Tabela-Siatka"/>
        <w:tblW w:w="9923" w:type="dxa"/>
        <w:tblInd w:w="-5" w:type="dxa"/>
        <w:tblLayout w:type="fixed"/>
        <w:tblLook w:val="04A0" w:firstRow="1" w:lastRow="0" w:firstColumn="1" w:lastColumn="0" w:noHBand="0" w:noVBand="1"/>
      </w:tblPr>
      <w:tblGrid>
        <w:gridCol w:w="4536"/>
        <w:gridCol w:w="1134"/>
        <w:gridCol w:w="1134"/>
        <w:gridCol w:w="1559"/>
        <w:gridCol w:w="1560"/>
      </w:tblGrid>
      <w:tr w:rsidR="002633A2" w:rsidRPr="00D96E89" w14:paraId="0AABF801" w14:textId="77777777" w:rsidTr="00C54024">
        <w:trPr>
          <w:trHeight w:val="300"/>
        </w:trPr>
        <w:tc>
          <w:tcPr>
            <w:tcW w:w="4536" w:type="dxa"/>
            <w:shd w:val="clear" w:color="auto" w:fill="9CC2E5" w:themeFill="accent1" w:themeFillTint="99"/>
            <w:noWrap/>
            <w:hideMark/>
          </w:tcPr>
          <w:p w14:paraId="28633BA2" w14:textId="77777777" w:rsidR="002633A2" w:rsidRPr="00D96E89" w:rsidRDefault="003C7171" w:rsidP="003C7171">
            <w:pPr>
              <w:jc w:val="center"/>
              <w:rPr>
                <w:b/>
                <w:bCs/>
                <w:sz w:val="20"/>
                <w:szCs w:val="20"/>
              </w:rPr>
            </w:pPr>
            <w:r>
              <w:rPr>
                <w:b/>
                <w:bCs/>
                <w:sz w:val="20"/>
                <w:szCs w:val="20"/>
              </w:rPr>
              <w:t>STRATEGIA Sprawne i Nowoczesne Państwo 2030</w:t>
            </w:r>
            <w:r w:rsidR="002633A2" w:rsidRPr="00D96E89">
              <w:rPr>
                <w:b/>
                <w:bCs/>
                <w:sz w:val="20"/>
                <w:szCs w:val="20"/>
              </w:rPr>
              <w:t xml:space="preserve"> (mln zł)</w:t>
            </w:r>
          </w:p>
        </w:tc>
        <w:tc>
          <w:tcPr>
            <w:tcW w:w="1134" w:type="dxa"/>
            <w:shd w:val="clear" w:color="auto" w:fill="9CC2E5" w:themeFill="accent1" w:themeFillTint="99"/>
            <w:noWrap/>
            <w:hideMark/>
          </w:tcPr>
          <w:p w14:paraId="01F38C8C" w14:textId="77777777" w:rsidR="002633A2" w:rsidRPr="00D96E89" w:rsidRDefault="002633A2" w:rsidP="002633A2">
            <w:pPr>
              <w:jc w:val="center"/>
              <w:rPr>
                <w:b/>
                <w:bCs/>
                <w:sz w:val="20"/>
                <w:szCs w:val="20"/>
              </w:rPr>
            </w:pPr>
            <w:r w:rsidRPr="00D96E89">
              <w:rPr>
                <w:b/>
                <w:bCs/>
                <w:sz w:val="20"/>
                <w:szCs w:val="20"/>
              </w:rPr>
              <w:t>rok 2016</w:t>
            </w:r>
          </w:p>
        </w:tc>
        <w:tc>
          <w:tcPr>
            <w:tcW w:w="1134" w:type="dxa"/>
            <w:shd w:val="clear" w:color="auto" w:fill="9CC2E5" w:themeFill="accent1" w:themeFillTint="99"/>
            <w:noWrap/>
            <w:hideMark/>
          </w:tcPr>
          <w:p w14:paraId="77639067" w14:textId="77777777" w:rsidR="002633A2" w:rsidRPr="00D96E89" w:rsidRDefault="002633A2" w:rsidP="002633A2">
            <w:pPr>
              <w:jc w:val="center"/>
              <w:rPr>
                <w:b/>
                <w:bCs/>
                <w:sz w:val="20"/>
                <w:szCs w:val="20"/>
              </w:rPr>
            </w:pPr>
            <w:r w:rsidRPr="00D96E89">
              <w:rPr>
                <w:b/>
                <w:bCs/>
                <w:sz w:val="20"/>
                <w:szCs w:val="20"/>
              </w:rPr>
              <w:t>rok 2017</w:t>
            </w:r>
          </w:p>
        </w:tc>
        <w:tc>
          <w:tcPr>
            <w:tcW w:w="1559" w:type="dxa"/>
            <w:shd w:val="clear" w:color="auto" w:fill="9CC2E5" w:themeFill="accent1" w:themeFillTint="99"/>
            <w:noWrap/>
            <w:hideMark/>
          </w:tcPr>
          <w:p w14:paraId="41A7AC71" w14:textId="77777777" w:rsidR="002633A2" w:rsidRPr="00D96E89" w:rsidRDefault="002633A2" w:rsidP="002633A2">
            <w:pPr>
              <w:jc w:val="center"/>
              <w:rPr>
                <w:b/>
                <w:bCs/>
                <w:sz w:val="20"/>
                <w:szCs w:val="20"/>
              </w:rPr>
            </w:pPr>
            <w:r w:rsidRPr="00D96E89">
              <w:rPr>
                <w:b/>
                <w:bCs/>
                <w:sz w:val="20"/>
                <w:szCs w:val="20"/>
              </w:rPr>
              <w:t>lata 2018-2020</w:t>
            </w:r>
          </w:p>
        </w:tc>
        <w:tc>
          <w:tcPr>
            <w:tcW w:w="1560" w:type="dxa"/>
            <w:shd w:val="clear" w:color="auto" w:fill="9CC2E5" w:themeFill="accent1" w:themeFillTint="99"/>
            <w:noWrap/>
            <w:hideMark/>
          </w:tcPr>
          <w:p w14:paraId="588F408B" w14:textId="77777777" w:rsidR="002633A2" w:rsidRPr="00D96E89" w:rsidRDefault="002633A2" w:rsidP="002633A2">
            <w:pPr>
              <w:jc w:val="center"/>
              <w:rPr>
                <w:b/>
                <w:bCs/>
                <w:sz w:val="20"/>
                <w:szCs w:val="20"/>
              </w:rPr>
            </w:pPr>
            <w:r w:rsidRPr="00D96E89">
              <w:rPr>
                <w:b/>
                <w:bCs/>
                <w:sz w:val="20"/>
                <w:szCs w:val="20"/>
              </w:rPr>
              <w:t>lata 2021-2025</w:t>
            </w:r>
          </w:p>
        </w:tc>
      </w:tr>
      <w:tr w:rsidR="002633A2" w:rsidRPr="00D96E89" w14:paraId="376D884B" w14:textId="77777777" w:rsidTr="00C54024">
        <w:trPr>
          <w:trHeight w:val="559"/>
        </w:trPr>
        <w:tc>
          <w:tcPr>
            <w:tcW w:w="9923" w:type="dxa"/>
            <w:gridSpan w:val="5"/>
            <w:shd w:val="clear" w:color="auto" w:fill="DEEAF6" w:themeFill="accent1" w:themeFillTint="33"/>
            <w:noWrap/>
            <w:vAlign w:val="center"/>
            <w:hideMark/>
          </w:tcPr>
          <w:p w14:paraId="0255FA3C" w14:textId="77777777" w:rsidR="002633A2" w:rsidRPr="00D96E89" w:rsidRDefault="003C7171" w:rsidP="003C7171">
            <w:pPr>
              <w:jc w:val="center"/>
              <w:rPr>
                <w:b/>
                <w:bCs/>
                <w:sz w:val="20"/>
                <w:szCs w:val="20"/>
              </w:rPr>
            </w:pPr>
            <w:r w:rsidRPr="003C7171">
              <w:rPr>
                <w:b/>
                <w:bCs/>
                <w:sz w:val="20"/>
                <w:szCs w:val="20"/>
              </w:rPr>
              <w:t>wydatki rozwojowe budżetu państwa zgodnie z definicją KWR (skonsolidowane, za wyjątkiem dotacji dla JST)</w:t>
            </w:r>
          </w:p>
        </w:tc>
      </w:tr>
      <w:tr w:rsidR="002633A2" w:rsidRPr="00D96E89" w14:paraId="1AEB92D1" w14:textId="77777777" w:rsidTr="00C54024">
        <w:trPr>
          <w:trHeight w:val="300"/>
        </w:trPr>
        <w:tc>
          <w:tcPr>
            <w:tcW w:w="4536" w:type="dxa"/>
            <w:noWrap/>
            <w:hideMark/>
          </w:tcPr>
          <w:p w14:paraId="00127D71" w14:textId="77777777" w:rsidR="002633A2" w:rsidRPr="00D96E89" w:rsidRDefault="002633A2" w:rsidP="002633A2">
            <w:pPr>
              <w:rPr>
                <w:b/>
                <w:bCs/>
                <w:sz w:val="20"/>
                <w:szCs w:val="20"/>
              </w:rPr>
            </w:pPr>
            <w:r w:rsidRPr="00D96E89">
              <w:rPr>
                <w:b/>
                <w:bCs/>
                <w:sz w:val="20"/>
                <w:szCs w:val="20"/>
              </w:rPr>
              <w:t>18. Budownictwo, planowanie i zagospodarowanie przestrzenne oraz mieszkalnictwo</w:t>
            </w:r>
          </w:p>
        </w:tc>
        <w:tc>
          <w:tcPr>
            <w:tcW w:w="1134" w:type="dxa"/>
            <w:noWrap/>
            <w:hideMark/>
          </w:tcPr>
          <w:p w14:paraId="60631A83" w14:textId="77777777" w:rsidR="002633A2" w:rsidRPr="00D96E89" w:rsidRDefault="002633A2" w:rsidP="002633A2">
            <w:pPr>
              <w:jc w:val="right"/>
              <w:rPr>
                <w:b/>
                <w:bCs/>
                <w:sz w:val="20"/>
                <w:szCs w:val="20"/>
              </w:rPr>
            </w:pPr>
            <w:r w:rsidRPr="00D96E89">
              <w:rPr>
                <w:b/>
                <w:bCs/>
                <w:sz w:val="20"/>
                <w:szCs w:val="20"/>
              </w:rPr>
              <w:t>8,96</w:t>
            </w:r>
          </w:p>
        </w:tc>
        <w:tc>
          <w:tcPr>
            <w:tcW w:w="1134" w:type="dxa"/>
            <w:noWrap/>
            <w:hideMark/>
          </w:tcPr>
          <w:p w14:paraId="54FCF1DA" w14:textId="77777777" w:rsidR="002633A2" w:rsidRPr="00D96E89" w:rsidRDefault="002633A2" w:rsidP="002633A2">
            <w:pPr>
              <w:jc w:val="right"/>
              <w:rPr>
                <w:b/>
                <w:bCs/>
                <w:sz w:val="20"/>
                <w:szCs w:val="20"/>
              </w:rPr>
            </w:pPr>
            <w:r w:rsidRPr="00D96E89">
              <w:rPr>
                <w:b/>
                <w:bCs/>
                <w:sz w:val="20"/>
                <w:szCs w:val="20"/>
              </w:rPr>
              <w:t>0,00</w:t>
            </w:r>
          </w:p>
        </w:tc>
        <w:tc>
          <w:tcPr>
            <w:tcW w:w="1559" w:type="dxa"/>
            <w:noWrap/>
            <w:hideMark/>
          </w:tcPr>
          <w:p w14:paraId="06D70CA5" w14:textId="77777777" w:rsidR="002633A2" w:rsidRPr="00D96E89" w:rsidRDefault="002633A2" w:rsidP="002633A2">
            <w:pPr>
              <w:jc w:val="right"/>
              <w:rPr>
                <w:b/>
                <w:bCs/>
                <w:sz w:val="20"/>
                <w:szCs w:val="20"/>
              </w:rPr>
            </w:pPr>
            <w:r w:rsidRPr="00D96E89">
              <w:rPr>
                <w:b/>
                <w:bCs/>
                <w:sz w:val="20"/>
                <w:szCs w:val="20"/>
              </w:rPr>
              <w:t>13,43</w:t>
            </w:r>
          </w:p>
        </w:tc>
        <w:tc>
          <w:tcPr>
            <w:tcW w:w="1560" w:type="dxa"/>
            <w:noWrap/>
            <w:hideMark/>
          </w:tcPr>
          <w:p w14:paraId="030CBE42" w14:textId="77777777" w:rsidR="002633A2" w:rsidRPr="00D96E89" w:rsidRDefault="002633A2" w:rsidP="002633A2">
            <w:pPr>
              <w:jc w:val="right"/>
              <w:rPr>
                <w:b/>
                <w:bCs/>
                <w:sz w:val="20"/>
                <w:szCs w:val="20"/>
              </w:rPr>
            </w:pPr>
            <w:r w:rsidRPr="00D96E89">
              <w:rPr>
                <w:b/>
                <w:bCs/>
                <w:sz w:val="20"/>
                <w:szCs w:val="20"/>
              </w:rPr>
              <w:t>22,39</w:t>
            </w:r>
          </w:p>
        </w:tc>
      </w:tr>
      <w:tr w:rsidR="002633A2" w:rsidRPr="00D96E89" w14:paraId="15ADC2D1" w14:textId="77777777" w:rsidTr="00C54024">
        <w:trPr>
          <w:trHeight w:val="300"/>
        </w:trPr>
        <w:tc>
          <w:tcPr>
            <w:tcW w:w="4536" w:type="dxa"/>
            <w:noWrap/>
            <w:hideMark/>
          </w:tcPr>
          <w:p w14:paraId="5A6C0F2E" w14:textId="77777777" w:rsidR="002633A2" w:rsidRPr="00D96E89" w:rsidRDefault="002633A2" w:rsidP="002633A2">
            <w:pPr>
              <w:rPr>
                <w:sz w:val="20"/>
                <w:szCs w:val="20"/>
              </w:rPr>
            </w:pPr>
            <w:r w:rsidRPr="00D96E89">
              <w:rPr>
                <w:sz w:val="20"/>
                <w:szCs w:val="20"/>
              </w:rPr>
              <w:t>710 Działalność usługowa</w:t>
            </w:r>
          </w:p>
        </w:tc>
        <w:tc>
          <w:tcPr>
            <w:tcW w:w="1134" w:type="dxa"/>
            <w:noWrap/>
            <w:hideMark/>
          </w:tcPr>
          <w:p w14:paraId="7E8F2B7A" w14:textId="77777777" w:rsidR="002633A2" w:rsidRPr="00D96E89" w:rsidRDefault="002633A2" w:rsidP="002633A2">
            <w:pPr>
              <w:jc w:val="right"/>
              <w:rPr>
                <w:sz w:val="20"/>
                <w:szCs w:val="20"/>
              </w:rPr>
            </w:pPr>
            <w:r w:rsidRPr="00D96E89">
              <w:rPr>
                <w:sz w:val="20"/>
                <w:szCs w:val="20"/>
              </w:rPr>
              <w:t>8,96</w:t>
            </w:r>
          </w:p>
        </w:tc>
        <w:tc>
          <w:tcPr>
            <w:tcW w:w="1134" w:type="dxa"/>
            <w:noWrap/>
            <w:hideMark/>
          </w:tcPr>
          <w:p w14:paraId="5583EA5E" w14:textId="77777777" w:rsidR="002633A2" w:rsidRPr="00D96E89" w:rsidRDefault="002633A2" w:rsidP="002633A2">
            <w:pPr>
              <w:jc w:val="right"/>
              <w:rPr>
                <w:sz w:val="20"/>
                <w:szCs w:val="20"/>
              </w:rPr>
            </w:pPr>
            <w:r w:rsidRPr="00D96E89">
              <w:rPr>
                <w:sz w:val="20"/>
                <w:szCs w:val="20"/>
              </w:rPr>
              <w:t>0,00</w:t>
            </w:r>
          </w:p>
        </w:tc>
        <w:tc>
          <w:tcPr>
            <w:tcW w:w="1559" w:type="dxa"/>
            <w:noWrap/>
            <w:hideMark/>
          </w:tcPr>
          <w:p w14:paraId="40C30C83" w14:textId="77777777" w:rsidR="002633A2" w:rsidRPr="00D96E89" w:rsidRDefault="002633A2" w:rsidP="002633A2">
            <w:pPr>
              <w:jc w:val="right"/>
              <w:rPr>
                <w:sz w:val="20"/>
                <w:szCs w:val="20"/>
              </w:rPr>
            </w:pPr>
            <w:r w:rsidRPr="00D96E89">
              <w:rPr>
                <w:sz w:val="20"/>
                <w:szCs w:val="20"/>
              </w:rPr>
              <w:t>13,43</w:t>
            </w:r>
          </w:p>
        </w:tc>
        <w:tc>
          <w:tcPr>
            <w:tcW w:w="1560" w:type="dxa"/>
            <w:noWrap/>
            <w:hideMark/>
          </w:tcPr>
          <w:p w14:paraId="15C3DACE" w14:textId="77777777" w:rsidR="002633A2" w:rsidRPr="00D96E89" w:rsidRDefault="002633A2" w:rsidP="002633A2">
            <w:pPr>
              <w:jc w:val="right"/>
              <w:rPr>
                <w:sz w:val="20"/>
                <w:szCs w:val="20"/>
              </w:rPr>
            </w:pPr>
            <w:r w:rsidRPr="00D96E89">
              <w:rPr>
                <w:sz w:val="20"/>
                <w:szCs w:val="20"/>
              </w:rPr>
              <w:t>22,39</w:t>
            </w:r>
          </w:p>
        </w:tc>
      </w:tr>
      <w:tr w:rsidR="002633A2" w:rsidRPr="00D96E89" w14:paraId="193D30F9" w14:textId="77777777" w:rsidTr="00C54024">
        <w:trPr>
          <w:trHeight w:val="300"/>
        </w:trPr>
        <w:tc>
          <w:tcPr>
            <w:tcW w:w="4536" w:type="dxa"/>
            <w:noWrap/>
            <w:hideMark/>
          </w:tcPr>
          <w:p w14:paraId="46178552" w14:textId="77777777" w:rsidR="002633A2" w:rsidRPr="00D96E89" w:rsidRDefault="002633A2" w:rsidP="002633A2">
            <w:pPr>
              <w:rPr>
                <w:b/>
                <w:bCs/>
                <w:sz w:val="20"/>
                <w:szCs w:val="20"/>
              </w:rPr>
            </w:pPr>
            <w:r w:rsidRPr="00D96E89">
              <w:rPr>
                <w:b/>
                <w:bCs/>
                <w:sz w:val="20"/>
                <w:szCs w:val="20"/>
              </w:rPr>
              <w:t>21. Gospodarka morska</w:t>
            </w:r>
          </w:p>
        </w:tc>
        <w:tc>
          <w:tcPr>
            <w:tcW w:w="1134" w:type="dxa"/>
            <w:noWrap/>
            <w:hideMark/>
          </w:tcPr>
          <w:p w14:paraId="0F6279E0" w14:textId="77777777" w:rsidR="002633A2" w:rsidRPr="00D96E89" w:rsidRDefault="002633A2" w:rsidP="002633A2">
            <w:pPr>
              <w:jc w:val="right"/>
              <w:rPr>
                <w:b/>
                <w:bCs/>
                <w:sz w:val="20"/>
                <w:szCs w:val="20"/>
              </w:rPr>
            </w:pPr>
            <w:r w:rsidRPr="00D96E89">
              <w:rPr>
                <w:b/>
                <w:bCs/>
                <w:sz w:val="20"/>
                <w:szCs w:val="20"/>
              </w:rPr>
              <w:t>15,73</w:t>
            </w:r>
          </w:p>
        </w:tc>
        <w:tc>
          <w:tcPr>
            <w:tcW w:w="1134" w:type="dxa"/>
            <w:noWrap/>
            <w:hideMark/>
          </w:tcPr>
          <w:p w14:paraId="4FEA4D1B" w14:textId="77777777" w:rsidR="002633A2" w:rsidRPr="00D96E89" w:rsidRDefault="002633A2" w:rsidP="002633A2">
            <w:pPr>
              <w:jc w:val="right"/>
              <w:rPr>
                <w:b/>
                <w:bCs/>
                <w:sz w:val="20"/>
                <w:szCs w:val="20"/>
              </w:rPr>
            </w:pPr>
            <w:r w:rsidRPr="00D96E89">
              <w:rPr>
                <w:b/>
                <w:bCs/>
                <w:sz w:val="20"/>
                <w:szCs w:val="20"/>
              </w:rPr>
              <w:t>17,50</w:t>
            </w:r>
          </w:p>
        </w:tc>
        <w:tc>
          <w:tcPr>
            <w:tcW w:w="1559" w:type="dxa"/>
            <w:noWrap/>
            <w:hideMark/>
          </w:tcPr>
          <w:p w14:paraId="6A9CF0A1" w14:textId="77777777" w:rsidR="002633A2" w:rsidRPr="00D96E89" w:rsidRDefault="002633A2" w:rsidP="002633A2">
            <w:pPr>
              <w:jc w:val="right"/>
              <w:rPr>
                <w:b/>
                <w:bCs/>
                <w:sz w:val="20"/>
                <w:szCs w:val="20"/>
              </w:rPr>
            </w:pPr>
            <w:r w:rsidRPr="00D96E89">
              <w:rPr>
                <w:b/>
                <w:bCs/>
                <w:sz w:val="20"/>
                <w:szCs w:val="20"/>
              </w:rPr>
              <w:t>49,84</w:t>
            </w:r>
          </w:p>
        </w:tc>
        <w:tc>
          <w:tcPr>
            <w:tcW w:w="1560" w:type="dxa"/>
            <w:noWrap/>
            <w:hideMark/>
          </w:tcPr>
          <w:p w14:paraId="21C838F1" w14:textId="77777777" w:rsidR="002633A2" w:rsidRPr="00D96E89" w:rsidRDefault="002633A2" w:rsidP="002633A2">
            <w:pPr>
              <w:jc w:val="right"/>
              <w:rPr>
                <w:b/>
                <w:bCs/>
                <w:sz w:val="20"/>
                <w:szCs w:val="20"/>
              </w:rPr>
            </w:pPr>
            <w:r w:rsidRPr="00D96E89">
              <w:rPr>
                <w:b/>
                <w:bCs/>
                <w:sz w:val="20"/>
                <w:szCs w:val="20"/>
              </w:rPr>
              <w:t>83,07</w:t>
            </w:r>
          </w:p>
        </w:tc>
      </w:tr>
      <w:tr w:rsidR="002633A2" w:rsidRPr="00D96E89" w14:paraId="2F5C4A4E" w14:textId="77777777" w:rsidTr="00C54024">
        <w:trPr>
          <w:trHeight w:val="300"/>
        </w:trPr>
        <w:tc>
          <w:tcPr>
            <w:tcW w:w="4536" w:type="dxa"/>
            <w:noWrap/>
            <w:hideMark/>
          </w:tcPr>
          <w:p w14:paraId="5B8C7581" w14:textId="77777777" w:rsidR="002633A2" w:rsidRPr="00D96E89" w:rsidRDefault="002633A2" w:rsidP="002633A2">
            <w:pPr>
              <w:rPr>
                <w:sz w:val="20"/>
                <w:szCs w:val="20"/>
              </w:rPr>
            </w:pPr>
            <w:r w:rsidRPr="00D96E89">
              <w:rPr>
                <w:sz w:val="20"/>
                <w:szCs w:val="20"/>
              </w:rPr>
              <w:t>600 Transport i łączność</w:t>
            </w:r>
          </w:p>
        </w:tc>
        <w:tc>
          <w:tcPr>
            <w:tcW w:w="1134" w:type="dxa"/>
            <w:noWrap/>
            <w:hideMark/>
          </w:tcPr>
          <w:p w14:paraId="3684C6C8" w14:textId="77777777" w:rsidR="002633A2" w:rsidRPr="00D96E89" w:rsidRDefault="002633A2" w:rsidP="002633A2">
            <w:pPr>
              <w:jc w:val="right"/>
              <w:rPr>
                <w:sz w:val="20"/>
                <w:szCs w:val="20"/>
              </w:rPr>
            </w:pPr>
            <w:r w:rsidRPr="00D96E89">
              <w:rPr>
                <w:sz w:val="20"/>
                <w:szCs w:val="20"/>
              </w:rPr>
              <w:t>15,73</w:t>
            </w:r>
          </w:p>
        </w:tc>
        <w:tc>
          <w:tcPr>
            <w:tcW w:w="1134" w:type="dxa"/>
            <w:noWrap/>
            <w:hideMark/>
          </w:tcPr>
          <w:p w14:paraId="1ECAB63C" w14:textId="77777777" w:rsidR="002633A2" w:rsidRPr="00D96E89" w:rsidRDefault="002633A2" w:rsidP="002633A2">
            <w:pPr>
              <w:jc w:val="right"/>
              <w:rPr>
                <w:sz w:val="20"/>
                <w:szCs w:val="20"/>
              </w:rPr>
            </w:pPr>
            <w:r w:rsidRPr="00D96E89">
              <w:rPr>
                <w:sz w:val="20"/>
                <w:szCs w:val="20"/>
              </w:rPr>
              <w:t>17,50</w:t>
            </w:r>
          </w:p>
        </w:tc>
        <w:tc>
          <w:tcPr>
            <w:tcW w:w="1559" w:type="dxa"/>
            <w:noWrap/>
            <w:hideMark/>
          </w:tcPr>
          <w:p w14:paraId="61BDCB86" w14:textId="77777777" w:rsidR="002633A2" w:rsidRPr="00D96E89" w:rsidRDefault="002633A2" w:rsidP="002633A2">
            <w:pPr>
              <w:jc w:val="right"/>
              <w:rPr>
                <w:sz w:val="20"/>
                <w:szCs w:val="20"/>
              </w:rPr>
            </w:pPr>
            <w:r w:rsidRPr="00D96E89">
              <w:rPr>
                <w:sz w:val="20"/>
                <w:szCs w:val="20"/>
              </w:rPr>
              <w:t>49,84</w:t>
            </w:r>
          </w:p>
        </w:tc>
        <w:tc>
          <w:tcPr>
            <w:tcW w:w="1560" w:type="dxa"/>
            <w:noWrap/>
            <w:hideMark/>
          </w:tcPr>
          <w:p w14:paraId="4935C891" w14:textId="77777777" w:rsidR="002633A2" w:rsidRPr="00D96E89" w:rsidRDefault="002633A2" w:rsidP="002633A2">
            <w:pPr>
              <w:jc w:val="right"/>
              <w:rPr>
                <w:sz w:val="20"/>
                <w:szCs w:val="20"/>
              </w:rPr>
            </w:pPr>
            <w:r w:rsidRPr="00D96E89">
              <w:rPr>
                <w:sz w:val="20"/>
                <w:szCs w:val="20"/>
              </w:rPr>
              <w:t>83,07</w:t>
            </w:r>
          </w:p>
        </w:tc>
      </w:tr>
      <w:tr w:rsidR="002633A2" w:rsidRPr="00D96E89" w14:paraId="12EF49FE" w14:textId="77777777" w:rsidTr="00C54024">
        <w:trPr>
          <w:trHeight w:val="300"/>
        </w:trPr>
        <w:tc>
          <w:tcPr>
            <w:tcW w:w="4536" w:type="dxa"/>
            <w:noWrap/>
            <w:hideMark/>
          </w:tcPr>
          <w:p w14:paraId="029B4DD5" w14:textId="77777777" w:rsidR="002633A2" w:rsidRPr="00D96E89" w:rsidRDefault="002633A2" w:rsidP="002633A2">
            <w:pPr>
              <w:rPr>
                <w:b/>
                <w:bCs/>
                <w:sz w:val="20"/>
                <w:szCs w:val="20"/>
              </w:rPr>
            </w:pPr>
            <w:r w:rsidRPr="00D96E89">
              <w:rPr>
                <w:b/>
                <w:bCs/>
                <w:sz w:val="20"/>
                <w:szCs w:val="20"/>
              </w:rPr>
              <w:t>37. Sprawiedliwość</w:t>
            </w:r>
          </w:p>
        </w:tc>
        <w:tc>
          <w:tcPr>
            <w:tcW w:w="1134" w:type="dxa"/>
            <w:noWrap/>
            <w:hideMark/>
          </w:tcPr>
          <w:p w14:paraId="1B05A066" w14:textId="77777777" w:rsidR="002633A2" w:rsidRPr="00D96E89" w:rsidRDefault="002633A2" w:rsidP="002633A2">
            <w:pPr>
              <w:jc w:val="right"/>
              <w:rPr>
                <w:b/>
                <w:bCs/>
                <w:sz w:val="20"/>
                <w:szCs w:val="20"/>
              </w:rPr>
            </w:pPr>
            <w:r w:rsidRPr="00D96E89">
              <w:rPr>
                <w:b/>
                <w:bCs/>
                <w:sz w:val="20"/>
                <w:szCs w:val="20"/>
              </w:rPr>
              <w:t>121,21</w:t>
            </w:r>
          </w:p>
        </w:tc>
        <w:tc>
          <w:tcPr>
            <w:tcW w:w="1134" w:type="dxa"/>
            <w:noWrap/>
            <w:hideMark/>
          </w:tcPr>
          <w:p w14:paraId="41E72F7D" w14:textId="77777777" w:rsidR="002633A2" w:rsidRPr="00D96E89" w:rsidRDefault="002633A2" w:rsidP="002633A2">
            <w:pPr>
              <w:jc w:val="right"/>
              <w:rPr>
                <w:b/>
                <w:bCs/>
                <w:sz w:val="20"/>
                <w:szCs w:val="20"/>
              </w:rPr>
            </w:pPr>
            <w:r w:rsidRPr="00D96E89">
              <w:rPr>
                <w:b/>
                <w:bCs/>
                <w:sz w:val="20"/>
                <w:szCs w:val="20"/>
              </w:rPr>
              <w:t>122,35</w:t>
            </w:r>
          </w:p>
        </w:tc>
        <w:tc>
          <w:tcPr>
            <w:tcW w:w="1559" w:type="dxa"/>
            <w:noWrap/>
            <w:hideMark/>
          </w:tcPr>
          <w:p w14:paraId="5D15B55C" w14:textId="77777777" w:rsidR="002633A2" w:rsidRPr="00D96E89" w:rsidRDefault="002633A2" w:rsidP="002633A2">
            <w:pPr>
              <w:jc w:val="right"/>
              <w:rPr>
                <w:b/>
                <w:bCs/>
                <w:sz w:val="20"/>
                <w:szCs w:val="20"/>
              </w:rPr>
            </w:pPr>
            <w:r w:rsidRPr="00D96E89">
              <w:rPr>
                <w:b/>
                <w:bCs/>
                <w:sz w:val="20"/>
                <w:szCs w:val="20"/>
              </w:rPr>
              <w:t>365,35</w:t>
            </w:r>
          </w:p>
        </w:tc>
        <w:tc>
          <w:tcPr>
            <w:tcW w:w="1560" w:type="dxa"/>
            <w:noWrap/>
            <w:hideMark/>
          </w:tcPr>
          <w:p w14:paraId="24DB7A4B" w14:textId="77777777" w:rsidR="002633A2" w:rsidRPr="00D96E89" w:rsidRDefault="002633A2" w:rsidP="002633A2">
            <w:pPr>
              <w:jc w:val="right"/>
              <w:rPr>
                <w:b/>
                <w:bCs/>
                <w:sz w:val="20"/>
                <w:szCs w:val="20"/>
              </w:rPr>
            </w:pPr>
            <w:r w:rsidRPr="00D96E89">
              <w:rPr>
                <w:b/>
                <w:bCs/>
                <w:sz w:val="20"/>
                <w:szCs w:val="20"/>
              </w:rPr>
              <w:t>608,91</w:t>
            </w:r>
          </w:p>
        </w:tc>
      </w:tr>
      <w:tr w:rsidR="002633A2" w:rsidRPr="00D96E89" w14:paraId="3CB4F0E7" w14:textId="77777777" w:rsidTr="00C54024">
        <w:trPr>
          <w:trHeight w:val="300"/>
        </w:trPr>
        <w:tc>
          <w:tcPr>
            <w:tcW w:w="4536" w:type="dxa"/>
            <w:noWrap/>
            <w:hideMark/>
          </w:tcPr>
          <w:p w14:paraId="00F65857" w14:textId="77777777" w:rsidR="002633A2" w:rsidRPr="00D96E89" w:rsidRDefault="002633A2" w:rsidP="002633A2">
            <w:pPr>
              <w:rPr>
                <w:sz w:val="20"/>
                <w:szCs w:val="20"/>
              </w:rPr>
            </w:pPr>
            <w:r w:rsidRPr="00D96E89">
              <w:rPr>
                <w:sz w:val="20"/>
                <w:szCs w:val="20"/>
              </w:rPr>
              <w:t>755 Wymiar sprawiedliwości</w:t>
            </w:r>
          </w:p>
        </w:tc>
        <w:tc>
          <w:tcPr>
            <w:tcW w:w="1134" w:type="dxa"/>
            <w:noWrap/>
            <w:hideMark/>
          </w:tcPr>
          <w:p w14:paraId="05A7A487" w14:textId="77777777" w:rsidR="002633A2" w:rsidRPr="00D96E89" w:rsidRDefault="002633A2" w:rsidP="002633A2">
            <w:pPr>
              <w:jc w:val="right"/>
              <w:rPr>
                <w:sz w:val="20"/>
                <w:szCs w:val="20"/>
              </w:rPr>
            </w:pPr>
            <w:r w:rsidRPr="00D96E89">
              <w:rPr>
                <w:sz w:val="20"/>
                <w:szCs w:val="20"/>
              </w:rPr>
              <w:t>20,99</w:t>
            </w:r>
          </w:p>
        </w:tc>
        <w:tc>
          <w:tcPr>
            <w:tcW w:w="1134" w:type="dxa"/>
            <w:noWrap/>
            <w:hideMark/>
          </w:tcPr>
          <w:p w14:paraId="0B5F74E3" w14:textId="77777777" w:rsidR="002633A2" w:rsidRPr="00D96E89" w:rsidRDefault="002633A2" w:rsidP="002633A2">
            <w:pPr>
              <w:jc w:val="right"/>
              <w:rPr>
                <w:sz w:val="20"/>
                <w:szCs w:val="20"/>
              </w:rPr>
            </w:pPr>
            <w:r w:rsidRPr="00D96E89">
              <w:rPr>
                <w:sz w:val="20"/>
                <w:szCs w:val="20"/>
              </w:rPr>
              <w:t>23,01</w:t>
            </w:r>
          </w:p>
        </w:tc>
        <w:tc>
          <w:tcPr>
            <w:tcW w:w="1559" w:type="dxa"/>
            <w:noWrap/>
            <w:hideMark/>
          </w:tcPr>
          <w:p w14:paraId="6813DD05" w14:textId="77777777" w:rsidR="002633A2" w:rsidRPr="00D96E89" w:rsidRDefault="002633A2" w:rsidP="002633A2">
            <w:pPr>
              <w:jc w:val="right"/>
              <w:rPr>
                <w:sz w:val="20"/>
                <w:szCs w:val="20"/>
              </w:rPr>
            </w:pPr>
            <w:r w:rsidRPr="00D96E89">
              <w:rPr>
                <w:sz w:val="20"/>
                <w:szCs w:val="20"/>
              </w:rPr>
              <w:t>66,01</w:t>
            </w:r>
          </w:p>
        </w:tc>
        <w:tc>
          <w:tcPr>
            <w:tcW w:w="1560" w:type="dxa"/>
            <w:noWrap/>
            <w:hideMark/>
          </w:tcPr>
          <w:p w14:paraId="5D12FE5C" w14:textId="77777777" w:rsidR="002633A2" w:rsidRPr="00D96E89" w:rsidRDefault="002633A2" w:rsidP="002633A2">
            <w:pPr>
              <w:jc w:val="right"/>
              <w:rPr>
                <w:sz w:val="20"/>
                <w:szCs w:val="20"/>
              </w:rPr>
            </w:pPr>
            <w:r w:rsidRPr="00D96E89">
              <w:rPr>
                <w:sz w:val="20"/>
                <w:szCs w:val="20"/>
              </w:rPr>
              <w:t>110,02</w:t>
            </w:r>
          </w:p>
        </w:tc>
      </w:tr>
      <w:tr w:rsidR="002633A2" w:rsidRPr="00D96E89" w14:paraId="3517CF8B" w14:textId="77777777" w:rsidTr="00C54024">
        <w:trPr>
          <w:trHeight w:val="300"/>
        </w:trPr>
        <w:tc>
          <w:tcPr>
            <w:tcW w:w="4536" w:type="dxa"/>
            <w:noWrap/>
            <w:hideMark/>
          </w:tcPr>
          <w:p w14:paraId="048AB3D3" w14:textId="77777777" w:rsidR="002633A2" w:rsidRPr="00D96E89" w:rsidRDefault="002633A2" w:rsidP="002633A2">
            <w:pPr>
              <w:rPr>
                <w:sz w:val="20"/>
                <w:szCs w:val="20"/>
              </w:rPr>
            </w:pPr>
            <w:r w:rsidRPr="00D96E89">
              <w:rPr>
                <w:sz w:val="20"/>
                <w:szCs w:val="20"/>
              </w:rPr>
              <w:t>801 Oświata i wychowanie</w:t>
            </w:r>
          </w:p>
        </w:tc>
        <w:tc>
          <w:tcPr>
            <w:tcW w:w="1134" w:type="dxa"/>
            <w:noWrap/>
            <w:hideMark/>
          </w:tcPr>
          <w:p w14:paraId="58215A53" w14:textId="77777777" w:rsidR="002633A2" w:rsidRPr="00D96E89" w:rsidRDefault="002633A2" w:rsidP="002633A2">
            <w:pPr>
              <w:jc w:val="right"/>
              <w:rPr>
                <w:sz w:val="20"/>
                <w:szCs w:val="20"/>
              </w:rPr>
            </w:pPr>
            <w:r w:rsidRPr="00D96E89">
              <w:rPr>
                <w:sz w:val="20"/>
                <w:szCs w:val="20"/>
              </w:rPr>
              <w:t>100,22</w:t>
            </w:r>
          </w:p>
        </w:tc>
        <w:tc>
          <w:tcPr>
            <w:tcW w:w="1134" w:type="dxa"/>
            <w:noWrap/>
            <w:hideMark/>
          </w:tcPr>
          <w:p w14:paraId="12931698" w14:textId="77777777" w:rsidR="002633A2" w:rsidRPr="00D96E89" w:rsidRDefault="002633A2" w:rsidP="002633A2">
            <w:pPr>
              <w:jc w:val="right"/>
              <w:rPr>
                <w:sz w:val="20"/>
                <w:szCs w:val="20"/>
              </w:rPr>
            </w:pPr>
            <w:r w:rsidRPr="00D96E89">
              <w:rPr>
                <w:sz w:val="20"/>
                <w:szCs w:val="20"/>
              </w:rPr>
              <w:t>99,33</w:t>
            </w:r>
          </w:p>
        </w:tc>
        <w:tc>
          <w:tcPr>
            <w:tcW w:w="1559" w:type="dxa"/>
            <w:noWrap/>
            <w:hideMark/>
          </w:tcPr>
          <w:p w14:paraId="2FD68309" w14:textId="77777777" w:rsidR="002633A2" w:rsidRPr="00D96E89" w:rsidRDefault="002633A2" w:rsidP="002633A2">
            <w:pPr>
              <w:jc w:val="right"/>
              <w:rPr>
                <w:sz w:val="20"/>
                <w:szCs w:val="20"/>
              </w:rPr>
            </w:pPr>
            <w:r w:rsidRPr="00D96E89">
              <w:rPr>
                <w:sz w:val="20"/>
                <w:szCs w:val="20"/>
              </w:rPr>
              <w:t>299,33</w:t>
            </w:r>
          </w:p>
        </w:tc>
        <w:tc>
          <w:tcPr>
            <w:tcW w:w="1560" w:type="dxa"/>
            <w:noWrap/>
            <w:hideMark/>
          </w:tcPr>
          <w:p w14:paraId="536DC47D" w14:textId="77777777" w:rsidR="002633A2" w:rsidRPr="00D96E89" w:rsidRDefault="002633A2" w:rsidP="002633A2">
            <w:pPr>
              <w:jc w:val="right"/>
              <w:rPr>
                <w:sz w:val="20"/>
                <w:szCs w:val="20"/>
              </w:rPr>
            </w:pPr>
            <w:r w:rsidRPr="00D96E89">
              <w:rPr>
                <w:sz w:val="20"/>
                <w:szCs w:val="20"/>
              </w:rPr>
              <w:t>498,89</w:t>
            </w:r>
          </w:p>
        </w:tc>
      </w:tr>
      <w:tr w:rsidR="002633A2" w:rsidRPr="00D96E89" w14:paraId="23050CC0" w14:textId="77777777" w:rsidTr="00C54024">
        <w:trPr>
          <w:trHeight w:val="300"/>
        </w:trPr>
        <w:tc>
          <w:tcPr>
            <w:tcW w:w="4536" w:type="dxa"/>
            <w:noWrap/>
            <w:hideMark/>
          </w:tcPr>
          <w:p w14:paraId="6D81E30E" w14:textId="77777777" w:rsidR="002633A2" w:rsidRPr="00D96E89" w:rsidRDefault="002633A2" w:rsidP="002633A2">
            <w:pPr>
              <w:rPr>
                <w:b/>
                <w:bCs/>
                <w:sz w:val="20"/>
                <w:szCs w:val="20"/>
              </w:rPr>
            </w:pPr>
            <w:r w:rsidRPr="00D96E89">
              <w:rPr>
                <w:b/>
                <w:bCs/>
                <w:sz w:val="20"/>
                <w:szCs w:val="20"/>
              </w:rPr>
              <w:t>42. Sprawy wewnętrzne</w:t>
            </w:r>
          </w:p>
        </w:tc>
        <w:tc>
          <w:tcPr>
            <w:tcW w:w="1134" w:type="dxa"/>
            <w:noWrap/>
            <w:hideMark/>
          </w:tcPr>
          <w:p w14:paraId="2AF08EF1" w14:textId="77777777" w:rsidR="002633A2" w:rsidRPr="00D96E89" w:rsidRDefault="002633A2" w:rsidP="002633A2">
            <w:pPr>
              <w:jc w:val="right"/>
              <w:rPr>
                <w:b/>
                <w:bCs/>
                <w:sz w:val="20"/>
                <w:szCs w:val="20"/>
              </w:rPr>
            </w:pPr>
            <w:r w:rsidRPr="00D96E89">
              <w:rPr>
                <w:b/>
                <w:bCs/>
                <w:sz w:val="20"/>
                <w:szCs w:val="20"/>
              </w:rPr>
              <w:t>0,04</w:t>
            </w:r>
          </w:p>
        </w:tc>
        <w:tc>
          <w:tcPr>
            <w:tcW w:w="1134" w:type="dxa"/>
            <w:noWrap/>
            <w:hideMark/>
          </w:tcPr>
          <w:p w14:paraId="69A87AF5" w14:textId="77777777" w:rsidR="002633A2" w:rsidRPr="00D96E89" w:rsidRDefault="002633A2" w:rsidP="002633A2">
            <w:pPr>
              <w:jc w:val="right"/>
              <w:rPr>
                <w:b/>
                <w:bCs/>
                <w:sz w:val="20"/>
                <w:szCs w:val="20"/>
              </w:rPr>
            </w:pPr>
            <w:r w:rsidRPr="00D96E89">
              <w:rPr>
                <w:b/>
                <w:bCs/>
                <w:sz w:val="20"/>
                <w:szCs w:val="20"/>
              </w:rPr>
              <w:t>0,02</w:t>
            </w:r>
          </w:p>
        </w:tc>
        <w:tc>
          <w:tcPr>
            <w:tcW w:w="1559" w:type="dxa"/>
            <w:noWrap/>
            <w:hideMark/>
          </w:tcPr>
          <w:p w14:paraId="7F81E6D0" w14:textId="77777777" w:rsidR="002633A2" w:rsidRPr="00D96E89" w:rsidRDefault="002633A2" w:rsidP="002633A2">
            <w:pPr>
              <w:jc w:val="right"/>
              <w:rPr>
                <w:b/>
                <w:bCs/>
                <w:sz w:val="20"/>
                <w:szCs w:val="20"/>
              </w:rPr>
            </w:pPr>
            <w:r w:rsidRPr="00D96E89">
              <w:rPr>
                <w:b/>
                <w:bCs/>
                <w:sz w:val="20"/>
                <w:szCs w:val="20"/>
              </w:rPr>
              <w:t>0,08</w:t>
            </w:r>
          </w:p>
        </w:tc>
        <w:tc>
          <w:tcPr>
            <w:tcW w:w="1560" w:type="dxa"/>
            <w:noWrap/>
            <w:hideMark/>
          </w:tcPr>
          <w:p w14:paraId="3580A34A" w14:textId="77777777" w:rsidR="002633A2" w:rsidRPr="00D96E89" w:rsidRDefault="002633A2" w:rsidP="002633A2">
            <w:pPr>
              <w:jc w:val="right"/>
              <w:rPr>
                <w:b/>
                <w:bCs/>
                <w:sz w:val="20"/>
                <w:szCs w:val="20"/>
              </w:rPr>
            </w:pPr>
            <w:r w:rsidRPr="00D96E89">
              <w:rPr>
                <w:b/>
                <w:bCs/>
                <w:sz w:val="20"/>
                <w:szCs w:val="20"/>
              </w:rPr>
              <w:t>0,13</w:t>
            </w:r>
          </w:p>
        </w:tc>
      </w:tr>
      <w:tr w:rsidR="002633A2" w:rsidRPr="00D96E89" w14:paraId="418901B5" w14:textId="77777777" w:rsidTr="00C54024">
        <w:trPr>
          <w:trHeight w:val="300"/>
        </w:trPr>
        <w:tc>
          <w:tcPr>
            <w:tcW w:w="4536" w:type="dxa"/>
            <w:noWrap/>
            <w:hideMark/>
          </w:tcPr>
          <w:p w14:paraId="13C6E470" w14:textId="7F1224E7" w:rsidR="002633A2" w:rsidRPr="0041583D" w:rsidRDefault="002633A2" w:rsidP="002633A2">
            <w:pPr>
              <w:rPr>
                <w:sz w:val="20"/>
                <w:szCs w:val="20"/>
                <w:highlight w:val="green"/>
              </w:rPr>
            </w:pPr>
            <w:r w:rsidRPr="008A7BBF">
              <w:rPr>
                <w:sz w:val="20"/>
                <w:szCs w:val="20"/>
              </w:rPr>
              <w:t>803 Szkolnictwo wyższe</w:t>
            </w:r>
            <w:r w:rsidR="0041583D" w:rsidRPr="008A7BBF">
              <w:rPr>
                <w:rStyle w:val="Odwoanieprzypisudolnego"/>
                <w:sz w:val="20"/>
                <w:szCs w:val="20"/>
              </w:rPr>
              <w:footnoteReference w:id="126"/>
            </w:r>
          </w:p>
        </w:tc>
        <w:tc>
          <w:tcPr>
            <w:tcW w:w="1134" w:type="dxa"/>
            <w:noWrap/>
            <w:hideMark/>
          </w:tcPr>
          <w:p w14:paraId="5036697D" w14:textId="77777777" w:rsidR="002633A2" w:rsidRPr="00D96E89" w:rsidRDefault="002633A2" w:rsidP="002633A2">
            <w:pPr>
              <w:jc w:val="right"/>
              <w:rPr>
                <w:sz w:val="20"/>
                <w:szCs w:val="20"/>
              </w:rPr>
            </w:pPr>
            <w:r w:rsidRPr="00D96E89">
              <w:rPr>
                <w:sz w:val="20"/>
                <w:szCs w:val="20"/>
              </w:rPr>
              <w:t>0,04</w:t>
            </w:r>
          </w:p>
        </w:tc>
        <w:tc>
          <w:tcPr>
            <w:tcW w:w="1134" w:type="dxa"/>
            <w:noWrap/>
            <w:hideMark/>
          </w:tcPr>
          <w:p w14:paraId="5279C137" w14:textId="77777777" w:rsidR="002633A2" w:rsidRPr="00D96E89" w:rsidRDefault="002633A2" w:rsidP="002633A2">
            <w:pPr>
              <w:jc w:val="right"/>
              <w:rPr>
                <w:sz w:val="20"/>
                <w:szCs w:val="20"/>
              </w:rPr>
            </w:pPr>
            <w:r w:rsidRPr="00D96E89">
              <w:rPr>
                <w:sz w:val="20"/>
                <w:szCs w:val="20"/>
              </w:rPr>
              <w:t>0,02</w:t>
            </w:r>
          </w:p>
        </w:tc>
        <w:tc>
          <w:tcPr>
            <w:tcW w:w="1559" w:type="dxa"/>
            <w:noWrap/>
            <w:hideMark/>
          </w:tcPr>
          <w:p w14:paraId="23F64EE6" w14:textId="77777777" w:rsidR="002633A2" w:rsidRPr="00D96E89" w:rsidRDefault="002633A2" w:rsidP="002633A2">
            <w:pPr>
              <w:jc w:val="right"/>
              <w:rPr>
                <w:sz w:val="20"/>
                <w:szCs w:val="20"/>
              </w:rPr>
            </w:pPr>
            <w:r w:rsidRPr="00D96E89">
              <w:rPr>
                <w:sz w:val="20"/>
                <w:szCs w:val="20"/>
              </w:rPr>
              <w:t>0,08</w:t>
            </w:r>
          </w:p>
        </w:tc>
        <w:tc>
          <w:tcPr>
            <w:tcW w:w="1560" w:type="dxa"/>
            <w:noWrap/>
            <w:hideMark/>
          </w:tcPr>
          <w:p w14:paraId="3B3D80F5" w14:textId="77777777" w:rsidR="002633A2" w:rsidRPr="00D96E89" w:rsidRDefault="002633A2" w:rsidP="002633A2">
            <w:pPr>
              <w:jc w:val="right"/>
              <w:rPr>
                <w:sz w:val="20"/>
                <w:szCs w:val="20"/>
              </w:rPr>
            </w:pPr>
            <w:r w:rsidRPr="00D96E89">
              <w:rPr>
                <w:sz w:val="20"/>
                <w:szCs w:val="20"/>
              </w:rPr>
              <w:t>0,13</w:t>
            </w:r>
          </w:p>
        </w:tc>
      </w:tr>
      <w:tr w:rsidR="002633A2" w:rsidRPr="00D96E89" w14:paraId="31BD8E24" w14:textId="77777777" w:rsidTr="00C54024">
        <w:trPr>
          <w:trHeight w:val="300"/>
        </w:trPr>
        <w:tc>
          <w:tcPr>
            <w:tcW w:w="4536" w:type="dxa"/>
            <w:noWrap/>
            <w:hideMark/>
          </w:tcPr>
          <w:p w14:paraId="40135A44" w14:textId="77777777" w:rsidR="002633A2" w:rsidRPr="00D96E89" w:rsidRDefault="002633A2" w:rsidP="002633A2">
            <w:pPr>
              <w:rPr>
                <w:b/>
                <w:bCs/>
                <w:sz w:val="20"/>
                <w:szCs w:val="20"/>
              </w:rPr>
            </w:pPr>
            <w:r w:rsidRPr="00D96E89">
              <w:rPr>
                <w:b/>
                <w:bCs/>
                <w:sz w:val="20"/>
                <w:szCs w:val="20"/>
              </w:rPr>
              <w:t>58. Główny Urząd Statystyczny</w:t>
            </w:r>
          </w:p>
        </w:tc>
        <w:tc>
          <w:tcPr>
            <w:tcW w:w="1134" w:type="dxa"/>
            <w:noWrap/>
            <w:hideMark/>
          </w:tcPr>
          <w:p w14:paraId="417AB08E" w14:textId="77777777" w:rsidR="002633A2" w:rsidRPr="00D96E89" w:rsidRDefault="002633A2" w:rsidP="002633A2">
            <w:pPr>
              <w:jc w:val="right"/>
              <w:rPr>
                <w:b/>
                <w:bCs/>
                <w:sz w:val="20"/>
                <w:szCs w:val="20"/>
              </w:rPr>
            </w:pPr>
            <w:r w:rsidRPr="00D96E89">
              <w:rPr>
                <w:b/>
                <w:bCs/>
                <w:sz w:val="20"/>
                <w:szCs w:val="20"/>
              </w:rPr>
              <w:t>157,86</w:t>
            </w:r>
          </w:p>
        </w:tc>
        <w:tc>
          <w:tcPr>
            <w:tcW w:w="1134" w:type="dxa"/>
            <w:noWrap/>
            <w:hideMark/>
          </w:tcPr>
          <w:p w14:paraId="1AD406DD" w14:textId="77777777" w:rsidR="002633A2" w:rsidRPr="00D96E89" w:rsidRDefault="002633A2" w:rsidP="002633A2">
            <w:pPr>
              <w:jc w:val="right"/>
              <w:rPr>
                <w:b/>
                <w:bCs/>
                <w:sz w:val="20"/>
                <w:szCs w:val="20"/>
              </w:rPr>
            </w:pPr>
            <w:r w:rsidRPr="00D96E89">
              <w:rPr>
                <w:b/>
                <w:bCs/>
                <w:sz w:val="20"/>
                <w:szCs w:val="20"/>
              </w:rPr>
              <w:t>163,47</w:t>
            </w:r>
          </w:p>
        </w:tc>
        <w:tc>
          <w:tcPr>
            <w:tcW w:w="1559" w:type="dxa"/>
            <w:noWrap/>
            <w:hideMark/>
          </w:tcPr>
          <w:p w14:paraId="53180681" w14:textId="77777777" w:rsidR="002633A2" w:rsidRPr="00D96E89" w:rsidRDefault="002633A2" w:rsidP="002633A2">
            <w:pPr>
              <w:jc w:val="right"/>
              <w:rPr>
                <w:b/>
                <w:bCs/>
                <w:sz w:val="20"/>
                <w:szCs w:val="20"/>
              </w:rPr>
            </w:pPr>
            <w:r w:rsidRPr="00D96E89">
              <w:rPr>
                <w:b/>
                <w:bCs/>
                <w:sz w:val="20"/>
                <w:szCs w:val="20"/>
              </w:rPr>
              <w:t>482,00</w:t>
            </w:r>
          </w:p>
        </w:tc>
        <w:tc>
          <w:tcPr>
            <w:tcW w:w="1560" w:type="dxa"/>
            <w:noWrap/>
            <w:hideMark/>
          </w:tcPr>
          <w:p w14:paraId="5BBE61DF" w14:textId="77777777" w:rsidR="002633A2" w:rsidRPr="00D96E89" w:rsidRDefault="002633A2" w:rsidP="002633A2">
            <w:pPr>
              <w:jc w:val="right"/>
              <w:rPr>
                <w:b/>
                <w:bCs/>
                <w:sz w:val="20"/>
                <w:szCs w:val="20"/>
              </w:rPr>
            </w:pPr>
            <w:r w:rsidRPr="00D96E89">
              <w:rPr>
                <w:b/>
                <w:bCs/>
                <w:sz w:val="20"/>
                <w:szCs w:val="20"/>
              </w:rPr>
              <w:t>803,33</w:t>
            </w:r>
          </w:p>
        </w:tc>
      </w:tr>
      <w:tr w:rsidR="002633A2" w:rsidRPr="00D96E89" w14:paraId="0862EFDF" w14:textId="77777777" w:rsidTr="00C54024">
        <w:trPr>
          <w:trHeight w:val="300"/>
        </w:trPr>
        <w:tc>
          <w:tcPr>
            <w:tcW w:w="4536" w:type="dxa"/>
            <w:noWrap/>
            <w:hideMark/>
          </w:tcPr>
          <w:p w14:paraId="5002C4A8" w14:textId="77777777" w:rsidR="002633A2" w:rsidRPr="00D96E89" w:rsidRDefault="002633A2" w:rsidP="002633A2">
            <w:pPr>
              <w:rPr>
                <w:sz w:val="20"/>
                <w:szCs w:val="20"/>
              </w:rPr>
            </w:pPr>
            <w:r w:rsidRPr="00D96E89">
              <w:rPr>
                <w:sz w:val="20"/>
                <w:szCs w:val="20"/>
              </w:rPr>
              <w:t>720 Informatyka</w:t>
            </w:r>
          </w:p>
        </w:tc>
        <w:tc>
          <w:tcPr>
            <w:tcW w:w="1134" w:type="dxa"/>
            <w:noWrap/>
            <w:hideMark/>
          </w:tcPr>
          <w:p w14:paraId="153F491C" w14:textId="77777777" w:rsidR="002633A2" w:rsidRPr="00D96E89" w:rsidRDefault="002633A2" w:rsidP="002633A2">
            <w:pPr>
              <w:jc w:val="right"/>
              <w:rPr>
                <w:sz w:val="20"/>
                <w:szCs w:val="20"/>
              </w:rPr>
            </w:pPr>
            <w:r w:rsidRPr="00D96E89">
              <w:rPr>
                <w:sz w:val="20"/>
                <w:szCs w:val="20"/>
              </w:rPr>
              <w:t>157,86</w:t>
            </w:r>
          </w:p>
        </w:tc>
        <w:tc>
          <w:tcPr>
            <w:tcW w:w="1134" w:type="dxa"/>
            <w:noWrap/>
            <w:hideMark/>
          </w:tcPr>
          <w:p w14:paraId="37E4761D" w14:textId="77777777" w:rsidR="002633A2" w:rsidRPr="00D96E89" w:rsidRDefault="002633A2" w:rsidP="002633A2">
            <w:pPr>
              <w:jc w:val="right"/>
              <w:rPr>
                <w:sz w:val="20"/>
                <w:szCs w:val="20"/>
              </w:rPr>
            </w:pPr>
            <w:r w:rsidRPr="00D96E89">
              <w:rPr>
                <w:sz w:val="20"/>
                <w:szCs w:val="20"/>
              </w:rPr>
              <w:t>163,47</w:t>
            </w:r>
          </w:p>
        </w:tc>
        <w:tc>
          <w:tcPr>
            <w:tcW w:w="1559" w:type="dxa"/>
            <w:noWrap/>
            <w:hideMark/>
          </w:tcPr>
          <w:p w14:paraId="52940030" w14:textId="77777777" w:rsidR="002633A2" w:rsidRPr="00D96E89" w:rsidRDefault="002633A2" w:rsidP="002633A2">
            <w:pPr>
              <w:jc w:val="right"/>
              <w:rPr>
                <w:sz w:val="20"/>
                <w:szCs w:val="20"/>
              </w:rPr>
            </w:pPr>
            <w:r w:rsidRPr="00D96E89">
              <w:rPr>
                <w:sz w:val="20"/>
                <w:szCs w:val="20"/>
              </w:rPr>
              <w:t>482,00</w:t>
            </w:r>
          </w:p>
        </w:tc>
        <w:tc>
          <w:tcPr>
            <w:tcW w:w="1560" w:type="dxa"/>
            <w:noWrap/>
            <w:hideMark/>
          </w:tcPr>
          <w:p w14:paraId="12D8207C" w14:textId="77777777" w:rsidR="002633A2" w:rsidRPr="00D96E89" w:rsidRDefault="002633A2" w:rsidP="002633A2">
            <w:pPr>
              <w:jc w:val="right"/>
              <w:rPr>
                <w:sz w:val="20"/>
                <w:szCs w:val="20"/>
              </w:rPr>
            </w:pPr>
            <w:r w:rsidRPr="00D96E89">
              <w:rPr>
                <w:sz w:val="20"/>
                <w:szCs w:val="20"/>
              </w:rPr>
              <w:t>803,33</w:t>
            </w:r>
          </w:p>
        </w:tc>
      </w:tr>
      <w:tr w:rsidR="002633A2" w:rsidRPr="00D96E89" w14:paraId="0DFB0C58" w14:textId="77777777" w:rsidTr="00C54024">
        <w:trPr>
          <w:trHeight w:val="300"/>
        </w:trPr>
        <w:tc>
          <w:tcPr>
            <w:tcW w:w="4536" w:type="dxa"/>
            <w:noWrap/>
            <w:hideMark/>
          </w:tcPr>
          <w:p w14:paraId="5698E1AD" w14:textId="77777777" w:rsidR="002633A2" w:rsidRPr="00D96E89" w:rsidRDefault="002633A2" w:rsidP="002633A2">
            <w:pPr>
              <w:rPr>
                <w:b/>
                <w:bCs/>
                <w:sz w:val="20"/>
                <w:szCs w:val="20"/>
              </w:rPr>
            </w:pPr>
            <w:r w:rsidRPr="00D96E89">
              <w:rPr>
                <w:b/>
                <w:bCs/>
                <w:sz w:val="20"/>
                <w:szCs w:val="20"/>
              </w:rPr>
              <w:t>85. Wojewodowie</w:t>
            </w:r>
          </w:p>
        </w:tc>
        <w:tc>
          <w:tcPr>
            <w:tcW w:w="1134" w:type="dxa"/>
            <w:noWrap/>
            <w:hideMark/>
          </w:tcPr>
          <w:p w14:paraId="4216955F" w14:textId="77777777" w:rsidR="002633A2" w:rsidRPr="00D96E89" w:rsidRDefault="002633A2" w:rsidP="002633A2">
            <w:pPr>
              <w:jc w:val="right"/>
              <w:rPr>
                <w:b/>
                <w:bCs/>
                <w:sz w:val="20"/>
                <w:szCs w:val="20"/>
              </w:rPr>
            </w:pPr>
            <w:r w:rsidRPr="00D96E89">
              <w:rPr>
                <w:b/>
                <w:bCs/>
                <w:sz w:val="20"/>
                <w:szCs w:val="20"/>
              </w:rPr>
              <w:t>112,35</w:t>
            </w:r>
          </w:p>
        </w:tc>
        <w:tc>
          <w:tcPr>
            <w:tcW w:w="1134" w:type="dxa"/>
            <w:noWrap/>
            <w:hideMark/>
          </w:tcPr>
          <w:p w14:paraId="776D2A16" w14:textId="77777777" w:rsidR="002633A2" w:rsidRPr="00D96E89" w:rsidRDefault="002633A2" w:rsidP="002633A2">
            <w:pPr>
              <w:jc w:val="right"/>
              <w:rPr>
                <w:b/>
                <w:bCs/>
                <w:sz w:val="20"/>
                <w:szCs w:val="20"/>
              </w:rPr>
            </w:pPr>
            <w:r w:rsidRPr="00D96E89">
              <w:rPr>
                <w:b/>
                <w:bCs/>
                <w:sz w:val="20"/>
                <w:szCs w:val="20"/>
              </w:rPr>
              <w:t>0,00</w:t>
            </w:r>
          </w:p>
        </w:tc>
        <w:tc>
          <w:tcPr>
            <w:tcW w:w="1559" w:type="dxa"/>
            <w:noWrap/>
            <w:hideMark/>
          </w:tcPr>
          <w:p w14:paraId="31F48042" w14:textId="77777777" w:rsidR="002633A2" w:rsidRPr="00D96E89" w:rsidRDefault="002633A2" w:rsidP="002633A2">
            <w:pPr>
              <w:jc w:val="right"/>
              <w:rPr>
                <w:b/>
                <w:bCs/>
                <w:sz w:val="20"/>
                <w:szCs w:val="20"/>
              </w:rPr>
            </w:pPr>
            <w:r w:rsidRPr="00D96E89">
              <w:rPr>
                <w:b/>
                <w:bCs/>
                <w:sz w:val="20"/>
                <w:szCs w:val="20"/>
              </w:rPr>
              <w:t>168,53</w:t>
            </w:r>
          </w:p>
        </w:tc>
        <w:tc>
          <w:tcPr>
            <w:tcW w:w="1560" w:type="dxa"/>
            <w:noWrap/>
            <w:hideMark/>
          </w:tcPr>
          <w:p w14:paraId="0BE93DF8" w14:textId="77777777" w:rsidR="002633A2" w:rsidRPr="00D96E89" w:rsidRDefault="002633A2" w:rsidP="002633A2">
            <w:pPr>
              <w:jc w:val="right"/>
              <w:rPr>
                <w:b/>
                <w:bCs/>
                <w:sz w:val="20"/>
                <w:szCs w:val="20"/>
              </w:rPr>
            </w:pPr>
            <w:r w:rsidRPr="00D96E89">
              <w:rPr>
                <w:b/>
                <w:bCs/>
                <w:sz w:val="20"/>
                <w:szCs w:val="20"/>
              </w:rPr>
              <w:t>280,88</w:t>
            </w:r>
          </w:p>
        </w:tc>
      </w:tr>
      <w:tr w:rsidR="002633A2" w:rsidRPr="00D96E89" w14:paraId="4C63788B" w14:textId="77777777" w:rsidTr="00C54024">
        <w:trPr>
          <w:trHeight w:val="300"/>
        </w:trPr>
        <w:tc>
          <w:tcPr>
            <w:tcW w:w="4536" w:type="dxa"/>
            <w:noWrap/>
            <w:hideMark/>
          </w:tcPr>
          <w:p w14:paraId="731536C0" w14:textId="77777777" w:rsidR="002633A2" w:rsidRPr="00D96E89" w:rsidRDefault="002633A2" w:rsidP="002633A2">
            <w:pPr>
              <w:rPr>
                <w:sz w:val="20"/>
                <w:szCs w:val="20"/>
              </w:rPr>
            </w:pPr>
            <w:r w:rsidRPr="00D96E89">
              <w:rPr>
                <w:sz w:val="20"/>
                <w:szCs w:val="20"/>
              </w:rPr>
              <w:t>710 Działalność usługowa</w:t>
            </w:r>
          </w:p>
        </w:tc>
        <w:tc>
          <w:tcPr>
            <w:tcW w:w="1134" w:type="dxa"/>
            <w:noWrap/>
            <w:hideMark/>
          </w:tcPr>
          <w:p w14:paraId="0FE25917" w14:textId="77777777" w:rsidR="002633A2" w:rsidRPr="00D96E89" w:rsidRDefault="002633A2" w:rsidP="002633A2">
            <w:pPr>
              <w:jc w:val="right"/>
              <w:rPr>
                <w:sz w:val="20"/>
                <w:szCs w:val="20"/>
              </w:rPr>
            </w:pPr>
            <w:r w:rsidRPr="00D96E89">
              <w:rPr>
                <w:sz w:val="20"/>
                <w:szCs w:val="20"/>
              </w:rPr>
              <w:t>112,35</w:t>
            </w:r>
          </w:p>
        </w:tc>
        <w:tc>
          <w:tcPr>
            <w:tcW w:w="1134" w:type="dxa"/>
            <w:noWrap/>
            <w:hideMark/>
          </w:tcPr>
          <w:p w14:paraId="79808C36" w14:textId="77777777" w:rsidR="002633A2" w:rsidRPr="00D96E89" w:rsidRDefault="002633A2" w:rsidP="002633A2">
            <w:pPr>
              <w:jc w:val="right"/>
              <w:rPr>
                <w:sz w:val="20"/>
                <w:szCs w:val="20"/>
              </w:rPr>
            </w:pPr>
            <w:r w:rsidRPr="00D96E89">
              <w:rPr>
                <w:sz w:val="20"/>
                <w:szCs w:val="20"/>
              </w:rPr>
              <w:t>0,00</w:t>
            </w:r>
          </w:p>
        </w:tc>
        <w:tc>
          <w:tcPr>
            <w:tcW w:w="1559" w:type="dxa"/>
            <w:noWrap/>
            <w:hideMark/>
          </w:tcPr>
          <w:p w14:paraId="538FF10C" w14:textId="77777777" w:rsidR="002633A2" w:rsidRPr="00D96E89" w:rsidRDefault="002633A2" w:rsidP="002633A2">
            <w:pPr>
              <w:jc w:val="right"/>
              <w:rPr>
                <w:sz w:val="20"/>
                <w:szCs w:val="20"/>
              </w:rPr>
            </w:pPr>
            <w:r w:rsidRPr="00D96E89">
              <w:rPr>
                <w:sz w:val="20"/>
                <w:szCs w:val="20"/>
              </w:rPr>
              <w:t>168,53</w:t>
            </w:r>
          </w:p>
        </w:tc>
        <w:tc>
          <w:tcPr>
            <w:tcW w:w="1560" w:type="dxa"/>
            <w:noWrap/>
            <w:hideMark/>
          </w:tcPr>
          <w:p w14:paraId="541F35E5" w14:textId="77777777" w:rsidR="002633A2" w:rsidRPr="00D96E89" w:rsidRDefault="002633A2" w:rsidP="002633A2">
            <w:pPr>
              <w:jc w:val="right"/>
              <w:rPr>
                <w:sz w:val="20"/>
                <w:szCs w:val="20"/>
              </w:rPr>
            </w:pPr>
            <w:r w:rsidRPr="00D96E89">
              <w:rPr>
                <w:sz w:val="20"/>
                <w:szCs w:val="20"/>
              </w:rPr>
              <w:t>280,88</w:t>
            </w:r>
          </w:p>
        </w:tc>
      </w:tr>
      <w:tr w:rsidR="002633A2" w:rsidRPr="00D96E89" w14:paraId="34006ED2" w14:textId="77777777" w:rsidTr="00C54024">
        <w:trPr>
          <w:trHeight w:val="300"/>
        </w:trPr>
        <w:tc>
          <w:tcPr>
            <w:tcW w:w="4536" w:type="dxa"/>
            <w:shd w:val="clear" w:color="auto" w:fill="FFF2CC" w:themeFill="accent4" w:themeFillTint="33"/>
            <w:noWrap/>
            <w:hideMark/>
          </w:tcPr>
          <w:p w14:paraId="1F144AFC" w14:textId="77777777" w:rsidR="002633A2" w:rsidRPr="00D96E89" w:rsidRDefault="002633A2" w:rsidP="002633A2">
            <w:pPr>
              <w:rPr>
                <w:b/>
                <w:bCs/>
                <w:sz w:val="20"/>
                <w:szCs w:val="20"/>
              </w:rPr>
            </w:pPr>
            <w:r w:rsidRPr="00D96E89">
              <w:rPr>
                <w:b/>
                <w:bCs/>
                <w:sz w:val="20"/>
                <w:szCs w:val="20"/>
              </w:rPr>
              <w:t>Razem</w:t>
            </w:r>
          </w:p>
        </w:tc>
        <w:tc>
          <w:tcPr>
            <w:tcW w:w="1134" w:type="dxa"/>
            <w:shd w:val="clear" w:color="auto" w:fill="FFF2CC" w:themeFill="accent4" w:themeFillTint="33"/>
            <w:noWrap/>
            <w:hideMark/>
          </w:tcPr>
          <w:p w14:paraId="688D5AE5" w14:textId="77777777" w:rsidR="002633A2" w:rsidRPr="00D96E89" w:rsidRDefault="002633A2" w:rsidP="002633A2">
            <w:pPr>
              <w:jc w:val="right"/>
              <w:rPr>
                <w:b/>
                <w:bCs/>
                <w:sz w:val="20"/>
                <w:szCs w:val="20"/>
              </w:rPr>
            </w:pPr>
            <w:r w:rsidRPr="00D96E89">
              <w:rPr>
                <w:b/>
                <w:bCs/>
                <w:sz w:val="20"/>
                <w:szCs w:val="20"/>
              </w:rPr>
              <w:t>416,15</w:t>
            </w:r>
          </w:p>
        </w:tc>
        <w:tc>
          <w:tcPr>
            <w:tcW w:w="1134" w:type="dxa"/>
            <w:shd w:val="clear" w:color="auto" w:fill="FFF2CC" w:themeFill="accent4" w:themeFillTint="33"/>
            <w:noWrap/>
            <w:hideMark/>
          </w:tcPr>
          <w:p w14:paraId="11E4E99F" w14:textId="77777777" w:rsidR="002633A2" w:rsidRPr="00D96E89" w:rsidRDefault="002633A2" w:rsidP="002633A2">
            <w:pPr>
              <w:jc w:val="right"/>
              <w:rPr>
                <w:b/>
                <w:bCs/>
                <w:sz w:val="20"/>
                <w:szCs w:val="20"/>
              </w:rPr>
            </w:pPr>
            <w:r w:rsidRPr="00D96E89">
              <w:rPr>
                <w:b/>
                <w:bCs/>
                <w:sz w:val="20"/>
                <w:szCs w:val="20"/>
              </w:rPr>
              <w:t>303,33</w:t>
            </w:r>
          </w:p>
        </w:tc>
        <w:tc>
          <w:tcPr>
            <w:tcW w:w="1559" w:type="dxa"/>
            <w:shd w:val="clear" w:color="auto" w:fill="FFF2CC" w:themeFill="accent4" w:themeFillTint="33"/>
            <w:noWrap/>
            <w:hideMark/>
          </w:tcPr>
          <w:p w14:paraId="15E337DB" w14:textId="77777777" w:rsidR="002633A2" w:rsidRPr="00D96E89" w:rsidRDefault="002633A2" w:rsidP="002633A2">
            <w:pPr>
              <w:jc w:val="right"/>
              <w:rPr>
                <w:b/>
                <w:bCs/>
                <w:sz w:val="20"/>
                <w:szCs w:val="20"/>
              </w:rPr>
            </w:pPr>
            <w:r w:rsidRPr="00D96E89">
              <w:rPr>
                <w:b/>
                <w:bCs/>
                <w:sz w:val="20"/>
                <w:szCs w:val="20"/>
              </w:rPr>
              <w:t>1 079,23</w:t>
            </w:r>
          </w:p>
        </w:tc>
        <w:tc>
          <w:tcPr>
            <w:tcW w:w="1560" w:type="dxa"/>
            <w:shd w:val="clear" w:color="auto" w:fill="FFF2CC" w:themeFill="accent4" w:themeFillTint="33"/>
            <w:noWrap/>
            <w:hideMark/>
          </w:tcPr>
          <w:p w14:paraId="48E27DC9" w14:textId="77777777" w:rsidR="002633A2" w:rsidRPr="00D96E89" w:rsidRDefault="002633A2" w:rsidP="002633A2">
            <w:pPr>
              <w:jc w:val="right"/>
              <w:rPr>
                <w:b/>
                <w:bCs/>
                <w:sz w:val="20"/>
                <w:szCs w:val="20"/>
              </w:rPr>
            </w:pPr>
            <w:r w:rsidRPr="00D96E89">
              <w:rPr>
                <w:b/>
                <w:bCs/>
                <w:sz w:val="20"/>
                <w:szCs w:val="20"/>
              </w:rPr>
              <w:t>1 798,71</w:t>
            </w:r>
          </w:p>
        </w:tc>
      </w:tr>
      <w:tr w:rsidR="002633A2" w:rsidRPr="00D96E89" w14:paraId="471A5DB1" w14:textId="77777777" w:rsidTr="00C54024">
        <w:trPr>
          <w:trHeight w:val="300"/>
        </w:trPr>
        <w:tc>
          <w:tcPr>
            <w:tcW w:w="9923" w:type="dxa"/>
            <w:gridSpan w:val="5"/>
            <w:shd w:val="clear" w:color="auto" w:fill="DEEAF6" w:themeFill="accent1" w:themeFillTint="33"/>
            <w:noWrap/>
            <w:hideMark/>
          </w:tcPr>
          <w:p w14:paraId="0FA85039" w14:textId="376AE922" w:rsidR="002633A2" w:rsidRPr="00D96E89" w:rsidRDefault="00035967" w:rsidP="003C7171">
            <w:pPr>
              <w:jc w:val="center"/>
              <w:rPr>
                <w:b/>
                <w:bCs/>
                <w:sz w:val="20"/>
                <w:szCs w:val="20"/>
              </w:rPr>
            </w:pPr>
            <w:r w:rsidRPr="00D96E89">
              <w:rPr>
                <w:b/>
                <w:bCs/>
                <w:sz w:val="20"/>
                <w:szCs w:val="20"/>
              </w:rPr>
              <w:t>Wydatki</w:t>
            </w:r>
            <w:r w:rsidR="003C7171" w:rsidRPr="00D96E89">
              <w:rPr>
                <w:b/>
                <w:bCs/>
                <w:sz w:val="20"/>
                <w:szCs w:val="20"/>
              </w:rPr>
              <w:t xml:space="preserve"> wspierające rozwój, </w:t>
            </w:r>
            <w:r w:rsidRPr="00D96E89">
              <w:rPr>
                <w:b/>
                <w:bCs/>
                <w:sz w:val="20"/>
                <w:szCs w:val="20"/>
              </w:rPr>
              <w:t>nieobjęte</w:t>
            </w:r>
            <w:r w:rsidR="003C7171" w:rsidRPr="00D96E89">
              <w:rPr>
                <w:b/>
                <w:bCs/>
                <w:sz w:val="20"/>
                <w:szCs w:val="20"/>
              </w:rPr>
              <w:t xml:space="preserve"> KWR</w:t>
            </w:r>
          </w:p>
        </w:tc>
      </w:tr>
      <w:tr w:rsidR="002633A2" w:rsidRPr="00D96E89" w14:paraId="17446A08" w14:textId="77777777" w:rsidTr="00C54024">
        <w:trPr>
          <w:trHeight w:val="300"/>
        </w:trPr>
        <w:tc>
          <w:tcPr>
            <w:tcW w:w="4536" w:type="dxa"/>
            <w:noWrap/>
            <w:hideMark/>
          </w:tcPr>
          <w:p w14:paraId="598937F9" w14:textId="77777777" w:rsidR="002633A2" w:rsidRPr="00D96E89" w:rsidRDefault="002633A2" w:rsidP="002633A2">
            <w:pPr>
              <w:rPr>
                <w:b/>
                <w:bCs/>
                <w:sz w:val="20"/>
                <w:szCs w:val="20"/>
              </w:rPr>
            </w:pPr>
            <w:r w:rsidRPr="00D96E89">
              <w:rPr>
                <w:b/>
                <w:bCs/>
                <w:sz w:val="20"/>
                <w:szCs w:val="20"/>
              </w:rPr>
              <w:t>16. Kancelaria Prezesa Rady Ministrów</w:t>
            </w:r>
          </w:p>
        </w:tc>
        <w:tc>
          <w:tcPr>
            <w:tcW w:w="1134" w:type="dxa"/>
            <w:noWrap/>
            <w:hideMark/>
          </w:tcPr>
          <w:p w14:paraId="00354226" w14:textId="77777777" w:rsidR="002633A2" w:rsidRPr="00D96E89" w:rsidRDefault="002633A2" w:rsidP="002633A2">
            <w:pPr>
              <w:jc w:val="right"/>
              <w:rPr>
                <w:b/>
                <w:bCs/>
                <w:sz w:val="20"/>
                <w:szCs w:val="20"/>
              </w:rPr>
            </w:pPr>
            <w:r w:rsidRPr="00D96E89">
              <w:rPr>
                <w:b/>
                <w:bCs/>
                <w:sz w:val="20"/>
                <w:szCs w:val="20"/>
              </w:rPr>
              <w:t>120,49</w:t>
            </w:r>
          </w:p>
        </w:tc>
        <w:tc>
          <w:tcPr>
            <w:tcW w:w="1134" w:type="dxa"/>
            <w:noWrap/>
            <w:hideMark/>
          </w:tcPr>
          <w:p w14:paraId="1637547E" w14:textId="77777777" w:rsidR="002633A2" w:rsidRPr="00D96E89" w:rsidRDefault="002633A2" w:rsidP="002633A2">
            <w:pPr>
              <w:jc w:val="right"/>
              <w:rPr>
                <w:b/>
                <w:bCs/>
                <w:sz w:val="20"/>
                <w:szCs w:val="20"/>
              </w:rPr>
            </w:pPr>
            <w:r w:rsidRPr="00D96E89">
              <w:rPr>
                <w:b/>
                <w:bCs/>
                <w:sz w:val="20"/>
                <w:szCs w:val="20"/>
              </w:rPr>
              <w:t>156,58</w:t>
            </w:r>
          </w:p>
        </w:tc>
        <w:tc>
          <w:tcPr>
            <w:tcW w:w="1559" w:type="dxa"/>
            <w:noWrap/>
            <w:hideMark/>
          </w:tcPr>
          <w:p w14:paraId="63B13173" w14:textId="77777777" w:rsidR="002633A2" w:rsidRPr="00D96E89" w:rsidRDefault="002633A2" w:rsidP="002633A2">
            <w:pPr>
              <w:jc w:val="right"/>
              <w:rPr>
                <w:b/>
                <w:bCs/>
                <w:sz w:val="20"/>
                <w:szCs w:val="20"/>
              </w:rPr>
            </w:pPr>
            <w:r w:rsidRPr="00D96E89">
              <w:rPr>
                <w:b/>
                <w:bCs/>
                <w:sz w:val="20"/>
                <w:szCs w:val="20"/>
              </w:rPr>
              <w:t>415,61</w:t>
            </w:r>
          </w:p>
        </w:tc>
        <w:tc>
          <w:tcPr>
            <w:tcW w:w="1560" w:type="dxa"/>
            <w:noWrap/>
            <w:hideMark/>
          </w:tcPr>
          <w:p w14:paraId="1FC30285" w14:textId="77777777" w:rsidR="002633A2" w:rsidRPr="00D96E89" w:rsidRDefault="002633A2" w:rsidP="002633A2">
            <w:pPr>
              <w:jc w:val="right"/>
              <w:rPr>
                <w:b/>
                <w:bCs/>
                <w:sz w:val="20"/>
                <w:szCs w:val="20"/>
              </w:rPr>
            </w:pPr>
            <w:r w:rsidRPr="00D96E89">
              <w:rPr>
                <w:b/>
                <w:bCs/>
                <w:sz w:val="20"/>
                <w:szCs w:val="20"/>
              </w:rPr>
              <w:t>692,68</w:t>
            </w:r>
          </w:p>
        </w:tc>
      </w:tr>
      <w:tr w:rsidR="002633A2" w:rsidRPr="00D96E89" w14:paraId="49F28C6B" w14:textId="77777777" w:rsidTr="00C54024">
        <w:trPr>
          <w:trHeight w:val="300"/>
        </w:trPr>
        <w:tc>
          <w:tcPr>
            <w:tcW w:w="4536" w:type="dxa"/>
            <w:noWrap/>
            <w:hideMark/>
          </w:tcPr>
          <w:p w14:paraId="36A473D9" w14:textId="77777777" w:rsidR="002633A2" w:rsidRPr="00D96E89" w:rsidRDefault="002633A2" w:rsidP="002633A2">
            <w:pPr>
              <w:rPr>
                <w:sz w:val="20"/>
                <w:szCs w:val="20"/>
              </w:rPr>
            </w:pPr>
            <w:r w:rsidRPr="00D96E89">
              <w:rPr>
                <w:sz w:val="20"/>
                <w:szCs w:val="20"/>
              </w:rPr>
              <w:t>750 Administracja publiczna</w:t>
            </w:r>
          </w:p>
        </w:tc>
        <w:tc>
          <w:tcPr>
            <w:tcW w:w="1134" w:type="dxa"/>
            <w:noWrap/>
            <w:hideMark/>
          </w:tcPr>
          <w:p w14:paraId="5DFD157C" w14:textId="77777777" w:rsidR="002633A2" w:rsidRPr="00D96E89" w:rsidRDefault="002633A2" w:rsidP="002633A2">
            <w:pPr>
              <w:jc w:val="right"/>
              <w:rPr>
                <w:sz w:val="20"/>
                <w:szCs w:val="20"/>
              </w:rPr>
            </w:pPr>
            <w:r w:rsidRPr="00D96E89">
              <w:rPr>
                <w:sz w:val="20"/>
                <w:szCs w:val="20"/>
              </w:rPr>
              <w:t>120,49</w:t>
            </w:r>
          </w:p>
        </w:tc>
        <w:tc>
          <w:tcPr>
            <w:tcW w:w="1134" w:type="dxa"/>
            <w:noWrap/>
            <w:hideMark/>
          </w:tcPr>
          <w:p w14:paraId="512E2517" w14:textId="77777777" w:rsidR="002633A2" w:rsidRPr="00D96E89" w:rsidRDefault="002633A2" w:rsidP="002633A2">
            <w:pPr>
              <w:jc w:val="right"/>
              <w:rPr>
                <w:sz w:val="20"/>
                <w:szCs w:val="20"/>
              </w:rPr>
            </w:pPr>
            <w:r w:rsidRPr="00D96E89">
              <w:rPr>
                <w:sz w:val="20"/>
                <w:szCs w:val="20"/>
              </w:rPr>
              <w:t>156,58</w:t>
            </w:r>
          </w:p>
        </w:tc>
        <w:tc>
          <w:tcPr>
            <w:tcW w:w="1559" w:type="dxa"/>
            <w:noWrap/>
            <w:hideMark/>
          </w:tcPr>
          <w:p w14:paraId="7251C489" w14:textId="77777777" w:rsidR="002633A2" w:rsidRPr="00D96E89" w:rsidRDefault="002633A2" w:rsidP="002633A2">
            <w:pPr>
              <w:jc w:val="right"/>
              <w:rPr>
                <w:sz w:val="20"/>
                <w:szCs w:val="20"/>
              </w:rPr>
            </w:pPr>
            <w:r w:rsidRPr="00D96E89">
              <w:rPr>
                <w:sz w:val="20"/>
                <w:szCs w:val="20"/>
              </w:rPr>
              <w:t>415,61</w:t>
            </w:r>
          </w:p>
        </w:tc>
        <w:tc>
          <w:tcPr>
            <w:tcW w:w="1560" w:type="dxa"/>
            <w:noWrap/>
            <w:hideMark/>
          </w:tcPr>
          <w:p w14:paraId="45EDAC29" w14:textId="77777777" w:rsidR="002633A2" w:rsidRPr="00D96E89" w:rsidRDefault="002633A2" w:rsidP="002633A2">
            <w:pPr>
              <w:jc w:val="right"/>
              <w:rPr>
                <w:sz w:val="20"/>
                <w:szCs w:val="20"/>
              </w:rPr>
            </w:pPr>
            <w:r w:rsidRPr="00D96E89">
              <w:rPr>
                <w:sz w:val="20"/>
                <w:szCs w:val="20"/>
              </w:rPr>
              <w:t>692,68</w:t>
            </w:r>
          </w:p>
        </w:tc>
      </w:tr>
      <w:tr w:rsidR="002633A2" w:rsidRPr="00D96E89" w14:paraId="76533942" w14:textId="77777777" w:rsidTr="00C54024">
        <w:trPr>
          <w:trHeight w:val="300"/>
        </w:trPr>
        <w:tc>
          <w:tcPr>
            <w:tcW w:w="4536" w:type="dxa"/>
            <w:noWrap/>
            <w:hideMark/>
          </w:tcPr>
          <w:p w14:paraId="7901B172" w14:textId="77777777" w:rsidR="002633A2" w:rsidRPr="00D96E89" w:rsidRDefault="002633A2" w:rsidP="002633A2">
            <w:pPr>
              <w:rPr>
                <w:b/>
                <w:bCs/>
                <w:sz w:val="20"/>
                <w:szCs w:val="20"/>
              </w:rPr>
            </w:pPr>
            <w:r w:rsidRPr="00D96E89">
              <w:rPr>
                <w:b/>
                <w:bCs/>
                <w:sz w:val="20"/>
                <w:szCs w:val="20"/>
              </w:rPr>
              <w:t>17. Administracja publiczna</w:t>
            </w:r>
          </w:p>
        </w:tc>
        <w:tc>
          <w:tcPr>
            <w:tcW w:w="1134" w:type="dxa"/>
            <w:noWrap/>
            <w:hideMark/>
          </w:tcPr>
          <w:p w14:paraId="510154AE" w14:textId="77777777" w:rsidR="002633A2" w:rsidRPr="00D96E89" w:rsidRDefault="002633A2" w:rsidP="002633A2">
            <w:pPr>
              <w:jc w:val="right"/>
              <w:rPr>
                <w:b/>
                <w:bCs/>
                <w:sz w:val="20"/>
                <w:szCs w:val="20"/>
              </w:rPr>
            </w:pPr>
            <w:r w:rsidRPr="00D96E89">
              <w:rPr>
                <w:b/>
                <w:bCs/>
                <w:sz w:val="20"/>
                <w:szCs w:val="20"/>
              </w:rPr>
              <w:t>18,82</w:t>
            </w:r>
          </w:p>
        </w:tc>
        <w:tc>
          <w:tcPr>
            <w:tcW w:w="1134" w:type="dxa"/>
            <w:noWrap/>
            <w:hideMark/>
          </w:tcPr>
          <w:p w14:paraId="3B1A7133" w14:textId="77777777" w:rsidR="002633A2" w:rsidRPr="00D96E89" w:rsidRDefault="002633A2" w:rsidP="002633A2">
            <w:pPr>
              <w:jc w:val="right"/>
              <w:rPr>
                <w:b/>
                <w:bCs/>
                <w:sz w:val="20"/>
                <w:szCs w:val="20"/>
              </w:rPr>
            </w:pPr>
            <w:r w:rsidRPr="00D96E89">
              <w:rPr>
                <w:b/>
                <w:bCs/>
                <w:sz w:val="20"/>
                <w:szCs w:val="20"/>
              </w:rPr>
              <w:t>22,01</w:t>
            </w:r>
          </w:p>
        </w:tc>
        <w:tc>
          <w:tcPr>
            <w:tcW w:w="1559" w:type="dxa"/>
            <w:noWrap/>
            <w:hideMark/>
          </w:tcPr>
          <w:p w14:paraId="00759124" w14:textId="77777777" w:rsidR="002633A2" w:rsidRPr="00D96E89" w:rsidRDefault="002633A2" w:rsidP="002633A2">
            <w:pPr>
              <w:jc w:val="right"/>
              <w:rPr>
                <w:b/>
                <w:bCs/>
                <w:sz w:val="20"/>
                <w:szCs w:val="20"/>
              </w:rPr>
            </w:pPr>
            <w:r w:rsidRPr="00D96E89">
              <w:rPr>
                <w:b/>
                <w:bCs/>
                <w:sz w:val="20"/>
                <w:szCs w:val="20"/>
              </w:rPr>
              <w:t>61,23</w:t>
            </w:r>
          </w:p>
        </w:tc>
        <w:tc>
          <w:tcPr>
            <w:tcW w:w="1560" w:type="dxa"/>
            <w:noWrap/>
            <w:hideMark/>
          </w:tcPr>
          <w:p w14:paraId="394DBCDD" w14:textId="77777777" w:rsidR="002633A2" w:rsidRPr="00D96E89" w:rsidRDefault="002633A2" w:rsidP="002633A2">
            <w:pPr>
              <w:jc w:val="right"/>
              <w:rPr>
                <w:b/>
                <w:bCs/>
                <w:sz w:val="20"/>
                <w:szCs w:val="20"/>
              </w:rPr>
            </w:pPr>
            <w:r w:rsidRPr="00D96E89">
              <w:rPr>
                <w:b/>
                <w:bCs/>
                <w:sz w:val="20"/>
                <w:szCs w:val="20"/>
              </w:rPr>
              <w:t>102,06</w:t>
            </w:r>
          </w:p>
        </w:tc>
      </w:tr>
      <w:tr w:rsidR="002633A2" w:rsidRPr="00D96E89" w14:paraId="64D9D499" w14:textId="77777777" w:rsidTr="00C54024">
        <w:trPr>
          <w:trHeight w:val="300"/>
        </w:trPr>
        <w:tc>
          <w:tcPr>
            <w:tcW w:w="4536" w:type="dxa"/>
            <w:noWrap/>
            <w:hideMark/>
          </w:tcPr>
          <w:p w14:paraId="71C88F83" w14:textId="77777777" w:rsidR="002633A2" w:rsidRPr="00D96E89" w:rsidRDefault="002633A2" w:rsidP="002633A2">
            <w:pPr>
              <w:rPr>
                <w:sz w:val="20"/>
                <w:szCs w:val="20"/>
              </w:rPr>
            </w:pPr>
            <w:r w:rsidRPr="00D96E89">
              <w:rPr>
                <w:sz w:val="20"/>
                <w:szCs w:val="20"/>
              </w:rPr>
              <w:t>750 Administracja publiczna</w:t>
            </w:r>
          </w:p>
        </w:tc>
        <w:tc>
          <w:tcPr>
            <w:tcW w:w="1134" w:type="dxa"/>
            <w:noWrap/>
            <w:hideMark/>
          </w:tcPr>
          <w:p w14:paraId="36367C37" w14:textId="77777777" w:rsidR="002633A2" w:rsidRPr="00D96E89" w:rsidRDefault="002633A2" w:rsidP="002633A2">
            <w:pPr>
              <w:jc w:val="right"/>
              <w:rPr>
                <w:sz w:val="20"/>
                <w:szCs w:val="20"/>
              </w:rPr>
            </w:pPr>
            <w:r w:rsidRPr="00D96E89">
              <w:rPr>
                <w:sz w:val="20"/>
                <w:szCs w:val="20"/>
              </w:rPr>
              <w:t>18,82</w:t>
            </w:r>
          </w:p>
        </w:tc>
        <w:tc>
          <w:tcPr>
            <w:tcW w:w="1134" w:type="dxa"/>
            <w:noWrap/>
            <w:hideMark/>
          </w:tcPr>
          <w:p w14:paraId="63482BE9" w14:textId="77777777" w:rsidR="002633A2" w:rsidRPr="00D96E89" w:rsidRDefault="002633A2" w:rsidP="002633A2">
            <w:pPr>
              <w:jc w:val="right"/>
              <w:rPr>
                <w:sz w:val="20"/>
                <w:szCs w:val="20"/>
              </w:rPr>
            </w:pPr>
            <w:r w:rsidRPr="00D96E89">
              <w:rPr>
                <w:sz w:val="20"/>
                <w:szCs w:val="20"/>
              </w:rPr>
              <w:t>22,01</w:t>
            </w:r>
          </w:p>
        </w:tc>
        <w:tc>
          <w:tcPr>
            <w:tcW w:w="1559" w:type="dxa"/>
            <w:noWrap/>
            <w:hideMark/>
          </w:tcPr>
          <w:p w14:paraId="62C972FE" w14:textId="77777777" w:rsidR="002633A2" w:rsidRPr="00D96E89" w:rsidRDefault="002633A2" w:rsidP="002633A2">
            <w:pPr>
              <w:jc w:val="right"/>
              <w:rPr>
                <w:sz w:val="20"/>
                <w:szCs w:val="20"/>
              </w:rPr>
            </w:pPr>
            <w:r w:rsidRPr="00D96E89">
              <w:rPr>
                <w:sz w:val="20"/>
                <w:szCs w:val="20"/>
              </w:rPr>
              <w:t>61,23</w:t>
            </w:r>
          </w:p>
        </w:tc>
        <w:tc>
          <w:tcPr>
            <w:tcW w:w="1560" w:type="dxa"/>
            <w:noWrap/>
            <w:hideMark/>
          </w:tcPr>
          <w:p w14:paraId="654D62F2" w14:textId="77777777" w:rsidR="002633A2" w:rsidRPr="00D96E89" w:rsidRDefault="002633A2" w:rsidP="002633A2">
            <w:pPr>
              <w:jc w:val="right"/>
              <w:rPr>
                <w:sz w:val="20"/>
                <w:szCs w:val="20"/>
              </w:rPr>
            </w:pPr>
            <w:r w:rsidRPr="00D96E89">
              <w:rPr>
                <w:sz w:val="20"/>
                <w:szCs w:val="20"/>
              </w:rPr>
              <w:t>102,06</w:t>
            </w:r>
          </w:p>
        </w:tc>
      </w:tr>
      <w:tr w:rsidR="002633A2" w:rsidRPr="00D96E89" w14:paraId="36232F73" w14:textId="77777777" w:rsidTr="00C54024">
        <w:trPr>
          <w:trHeight w:val="300"/>
        </w:trPr>
        <w:tc>
          <w:tcPr>
            <w:tcW w:w="4536" w:type="dxa"/>
            <w:noWrap/>
            <w:hideMark/>
          </w:tcPr>
          <w:p w14:paraId="13BDE6FF" w14:textId="77777777" w:rsidR="002633A2" w:rsidRPr="00D96E89" w:rsidRDefault="002633A2" w:rsidP="002633A2">
            <w:pPr>
              <w:rPr>
                <w:b/>
                <w:bCs/>
                <w:sz w:val="20"/>
                <w:szCs w:val="20"/>
              </w:rPr>
            </w:pPr>
            <w:r w:rsidRPr="00D96E89">
              <w:rPr>
                <w:b/>
                <w:bCs/>
                <w:sz w:val="20"/>
                <w:szCs w:val="20"/>
              </w:rPr>
              <w:t>19. Budżet, finanse publiczne i instytucje finansowe</w:t>
            </w:r>
          </w:p>
        </w:tc>
        <w:tc>
          <w:tcPr>
            <w:tcW w:w="1134" w:type="dxa"/>
            <w:noWrap/>
            <w:hideMark/>
          </w:tcPr>
          <w:p w14:paraId="77539050" w14:textId="77777777" w:rsidR="002633A2" w:rsidRPr="00D96E89" w:rsidRDefault="002633A2" w:rsidP="002633A2">
            <w:pPr>
              <w:jc w:val="right"/>
              <w:rPr>
                <w:b/>
                <w:bCs/>
                <w:sz w:val="20"/>
                <w:szCs w:val="20"/>
              </w:rPr>
            </w:pPr>
            <w:r w:rsidRPr="00D96E89">
              <w:rPr>
                <w:b/>
                <w:bCs/>
                <w:sz w:val="20"/>
                <w:szCs w:val="20"/>
              </w:rPr>
              <w:t>439,52</w:t>
            </w:r>
          </w:p>
        </w:tc>
        <w:tc>
          <w:tcPr>
            <w:tcW w:w="1134" w:type="dxa"/>
            <w:noWrap/>
            <w:hideMark/>
          </w:tcPr>
          <w:p w14:paraId="5BD4386F" w14:textId="77777777" w:rsidR="002633A2" w:rsidRPr="00D96E89" w:rsidRDefault="002633A2" w:rsidP="002633A2">
            <w:pPr>
              <w:jc w:val="right"/>
              <w:rPr>
                <w:b/>
                <w:bCs/>
                <w:sz w:val="20"/>
                <w:szCs w:val="20"/>
              </w:rPr>
            </w:pPr>
            <w:r w:rsidRPr="00D96E89">
              <w:rPr>
                <w:b/>
                <w:bCs/>
                <w:sz w:val="20"/>
                <w:szCs w:val="20"/>
              </w:rPr>
              <w:t>487,10</w:t>
            </w:r>
          </w:p>
        </w:tc>
        <w:tc>
          <w:tcPr>
            <w:tcW w:w="1559" w:type="dxa"/>
            <w:noWrap/>
            <w:hideMark/>
          </w:tcPr>
          <w:p w14:paraId="7785DF66" w14:textId="77777777" w:rsidR="002633A2" w:rsidRPr="00D96E89" w:rsidRDefault="002633A2" w:rsidP="002633A2">
            <w:pPr>
              <w:jc w:val="right"/>
              <w:rPr>
                <w:b/>
                <w:bCs/>
                <w:sz w:val="20"/>
                <w:szCs w:val="20"/>
              </w:rPr>
            </w:pPr>
            <w:r w:rsidRPr="00D96E89">
              <w:rPr>
                <w:b/>
                <w:bCs/>
                <w:sz w:val="20"/>
                <w:szCs w:val="20"/>
              </w:rPr>
              <w:t>1 389,93</w:t>
            </w:r>
          </w:p>
        </w:tc>
        <w:tc>
          <w:tcPr>
            <w:tcW w:w="1560" w:type="dxa"/>
            <w:noWrap/>
            <w:hideMark/>
          </w:tcPr>
          <w:p w14:paraId="65D84D87" w14:textId="77777777" w:rsidR="002633A2" w:rsidRPr="00D96E89" w:rsidRDefault="002633A2" w:rsidP="002633A2">
            <w:pPr>
              <w:jc w:val="right"/>
              <w:rPr>
                <w:b/>
                <w:bCs/>
                <w:sz w:val="20"/>
                <w:szCs w:val="20"/>
              </w:rPr>
            </w:pPr>
            <w:r w:rsidRPr="00D96E89">
              <w:rPr>
                <w:b/>
                <w:bCs/>
                <w:sz w:val="20"/>
                <w:szCs w:val="20"/>
              </w:rPr>
              <w:t>2 316,54</w:t>
            </w:r>
          </w:p>
        </w:tc>
      </w:tr>
      <w:tr w:rsidR="002633A2" w:rsidRPr="00D96E89" w14:paraId="14D4029C" w14:textId="77777777" w:rsidTr="00C54024">
        <w:trPr>
          <w:trHeight w:val="300"/>
        </w:trPr>
        <w:tc>
          <w:tcPr>
            <w:tcW w:w="4536" w:type="dxa"/>
            <w:noWrap/>
            <w:hideMark/>
          </w:tcPr>
          <w:p w14:paraId="7EE02ED5" w14:textId="77777777" w:rsidR="002633A2" w:rsidRPr="00D96E89" w:rsidRDefault="002633A2" w:rsidP="002633A2">
            <w:pPr>
              <w:rPr>
                <w:sz w:val="20"/>
                <w:szCs w:val="20"/>
              </w:rPr>
            </w:pPr>
            <w:r w:rsidRPr="00D96E89">
              <w:rPr>
                <w:sz w:val="20"/>
                <w:szCs w:val="20"/>
              </w:rPr>
              <w:t>750 Administracja publiczna</w:t>
            </w:r>
          </w:p>
        </w:tc>
        <w:tc>
          <w:tcPr>
            <w:tcW w:w="1134" w:type="dxa"/>
            <w:noWrap/>
            <w:hideMark/>
          </w:tcPr>
          <w:p w14:paraId="79719C55" w14:textId="77777777" w:rsidR="002633A2" w:rsidRPr="00D96E89" w:rsidRDefault="002633A2" w:rsidP="002633A2">
            <w:pPr>
              <w:jc w:val="right"/>
              <w:rPr>
                <w:sz w:val="20"/>
                <w:szCs w:val="20"/>
              </w:rPr>
            </w:pPr>
            <w:r w:rsidRPr="00D96E89">
              <w:rPr>
                <w:sz w:val="20"/>
                <w:szCs w:val="20"/>
              </w:rPr>
              <w:t>439,52</w:t>
            </w:r>
          </w:p>
        </w:tc>
        <w:tc>
          <w:tcPr>
            <w:tcW w:w="1134" w:type="dxa"/>
            <w:noWrap/>
            <w:hideMark/>
          </w:tcPr>
          <w:p w14:paraId="16876BEE" w14:textId="77777777" w:rsidR="002633A2" w:rsidRPr="00D96E89" w:rsidRDefault="002633A2" w:rsidP="002633A2">
            <w:pPr>
              <w:jc w:val="right"/>
              <w:rPr>
                <w:sz w:val="20"/>
                <w:szCs w:val="20"/>
              </w:rPr>
            </w:pPr>
            <w:r w:rsidRPr="00D96E89">
              <w:rPr>
                <w:sz w:val="20"/>
                <w:szCs w:val="20"/>
              </w:rPr>
              <w:t>487,10</w:t>
            </w:r>
          </w:p>
        </w:tc>
        <w:tc>
          <w:tcPr>
            <w:tcW w:w="1559" w:type="dxa"/>
            <w:noWrap/>
            <w:hideMark/>
          </w:tcPr>
          <w:p w14:paraId="64445776" w14:textId="77777777" w:rsidR="002633A2" w:rsidRPr="00D96E89" w:rsidRDefault="002633A2" w:rsidP="002633A2">
            <w:pPr>
              <w:jc w:val="right"/>
              <w:rPr>
                <w:sz w:val="20"/>
                <w:szCs w:val="20"/>
              </w:rPr>
            </w:pPr>
            <w:r w:rsidRPr="00D96E89">
              <w:rPr>
                <w:sz w:val="20"/>
                <w:szCs w:val="20"/>
              </w:rPr>
              <w:t>1 389,93</w:t>
            </w:r>
          </w:p>
        </w:tc>
        <w:tc>
          <w:tcPr>
            <w:tcW w:w="1560" w:type="dxa"/>
            <w:noWrap/>
            <w:hideMark/>
          </w:tcPr>
          <w:p w14:paraId="2CDC2714" w14:textId="77777777" w:rsidR="002633A2" w:rsidRPr="00D96E89" w:rsidRDefault="002633A2" w:rsidP="002633A2">
            <w:pPr>
              <w:jc w:val="right"/>
              <w:rPr>
                <w:sz w:val="20"/>
                <w:szCs w:val="20"/>
              </w:rPr>
            </w:pPr>
            <w:r w:rsidRPr="00D96E89">
              <w:rPr>
                <w:sz w:val="20"/>
                <w:szCs w:val="20"/>
              </w:rPr>
              <w:t>2 316,54</w:t>
            </w:r>
          </w:p>
        </w:tc>
      </w:tr>
      <w:tr w:rsidR="002633A2" w:rsidRPr="00D96E89" w14:paraId="00455BCC" w14:textId="77777777" w:rsidTr="00C54024">
        <w:trPr>
          <w:trHeight w:val="300"/>
        </w:trPr>
        <w:tc>
          <w:tcPr>
            <w:tcW w:w="4536" w:type="dxa"/>
            <w:noWrap/>
            <w:hideMark/>
          </w:tcPr>
          <w:p w14:paraId="2474D412" w14:textId="77777777" w:rsidR="002633A2" w:rsidRPr="00D96E89" w:rsidRDefault="002633A2" w:rsidP="002633A2">
            <w:pPr>
              <w:rPr>
                <w:b/>
                <w:bCs/>
                <w:sz w:val="20"/>
                <w:szCs w:val="20"/>
              </w:rPr>
            </w:pPr>
            <w:r w:rsidRPr="00D96E89">
              <w:rPr>
                <w:b/>
                <w:bCs/>
                <w:sz w:val="20"/>
                <w:szCs w:val="20"/>
              </w:rPr>
              <w:t>21. Gospodarka morska</w:t>
            </w:r>
          </w:p>
        </w:tc>
        <w:tc>
          <w:tcPr>
            <w:tcW w:w="1134" w:type="dxa"/>
            <w:noWrap/>
            <w:hideMark/>
          </w:tcPr>
          <w:p w14:paraId="30F86F43" w14:textId="77777777" w:rsidR="002633A2" w:rsidRPr="00D96E89" w:rsidRDefault="002633A2" w:rsidP="002633A2">
            <w:pPr>
              <w:jc w:val="right"/>
              <w:rPr>
                <w:b/>
                <w:bCs/>
                <w:sz w:val="20"/>
                <w:szCs w:val="20"/>
              </w:rPr>
            </w:pPr>
            <w:r w:rsidRPr="00D96E89">
              <w:rPr>
                <w:b/>
                <w:bCs/>
                <w:sz w:val="20"/>
                <w:szCs w:val="20"/>
              </w:rPr>
              <w:t>95,33</w:t>
            </w:r>
          </w:p>
        </w:tc>
        <w:tc>
          <w:tcPr>
            <w:tcW w:w="1134" w:type="dxa"/>
            <w:noWrap/>
            <w:hideMark/>
          </w:tcPr>
          <w:p w14:paraId="45D12412" w14:textId="77777777" w:rsidR="002633A2" w:rsidRPr="00D96E89" w:rsidRDefault="002633A2" w:rsidP="002633A2">
            <w:pPr>
              <w:jc w:val="right"/>
              <w:rPr>
                <w:b/>
                <w:bCs/>
                <w:sz w:val="20"/>
                <w:szCs w:val="20"/>
              </w:rPr>
            </w:pPr>
            <w:r w:rsidRPr="00D96E89">
              <w:rPr>
                <w:b/>
                <w:bCs/>
                <w:sz w:val="20"/>
                <w:szCs w:val="20"/>
              </w:rPr>
              <w:t>84,69</w:t>
            </w:r>
          </w:p>
        </w:tc>
        <w:tc>
          <w:tcPr>
            <w:tcW w:w="1559" w:type="dxa"/>
            <w:noWrap/>
            <w:hideMark/>
          </w:tcPr>
          <w:p w14:paraId="0361B25D" w14:textId="77777777" w:rsidR="002633A2" w:rsidRPr="00D96E89" w:rsidRDefault="002633A2" w:rsidP="002633A2">
            <w:pPr>
              <w:jc w:val="right"/>
              <w:rPr>
                <w:b/>
                <w:bCs/>
                <w:sz w:val="20"/>
                <w:szCs w:val="20"/>
              </w:rPr>
            </w:pPr>
            <w:r w:rsidRPr="00D96E89">
              <w:rPr>
                <w:b/>
                <w:bCs/>
                <w:sz w:val="20"/>
                <w:szCs w:val="20"/>
              </w:rPr>
              <w:t>270,02</w:t>
            </w:r>
          </w:p>
        </w:tc>
        <w:tc>
          <w:tcPr>
            <w:tcW w:w="1560" w:type="dxa"/>
            <w:noWrap/>
            <w:hideMark/>
          </w:tcPr>
          <w:p w14:paraId="56045BDF" w14:textId="77777777" w:rsidR="002633A2" w:rsidRPr="00D96E89" w:rsidRDefault="002633A2" w:rsidP="002633A2">
            <w:pPr>
              <w:jc w:val="right"/>
              <w:rPr>
                <w:b/>
                <w:bCs/>
                <w:sz w:val="20"/>
                <w:szCs w:val="20"/>
              </w:rPr>
            </w:pPr>
            <w:r w:rsidRPr="00D96E89">
              <w:rPr>
                <w:b/>
                <w:bCs/>
                <w:sz w:val="20"/>
                <w:szCs w:val="20"/>
              </w:rPr>
              <w:t>450,04</w:t>
            </w:r>
          </w:p>
        </w:tc>
      </w:tr>
      <w:tr w:rsidR="002633A2" w:rsidRPr="00D96E89" w14:paraId="421B600B" w14:textId="77777777" w:rsidTr="00C54024">
        <w:trPr>
          <w:trHeight w:val="300"/>
        </w:trPr>
        <w:tc>
          <w:tcPr>
            <w:tcW w:w="4536" w:type="dxa"/>
            <w:noWrap/>
            <w:hideMark/>
          </w:tcPr>
          <w:p w14:paraId="7FDF5628" w14:textId="77777777" w:rsidR="002633A2" w:rsidRPr="00D96E89" w:rsidRDefault="002633A2" w:rsidP="002633A2">
            <w:pPr>
              <w:rPr>
                <w:sz w:val="20"/>
                <w:szCs w:val="20"/>
              </w:rPr>
            </w:pPr>
            <w:r w:rsidRPr="00D96E89">
              <w:rPr>
                <w:sz w:val="20"/>
                <w:szCs w:val="20"/>
              </w:rPr>
              <w:t>600 Transport</w:t>
            </w:r>
          </w:p>
        </w:tc>
        <w:tc>
          <w:tcPr>
            <w:tcW w:w="1134" w:type="dxa"/>
            <w:noWrap/>
            <w:hideMark/>
          </w:tcPr>
          <w:p w14:paraId="35F92D73" w14:textId="77777777" w:rsidR="002633A2" w:rsidRPr="00D96E89" w:rsidRDefault="002633A2" w:rsidP="002633A2">
            <w:pPr>
              <w:jc w:val="right"/>
              <w:rPr>
                <w:sz w:val="20"/>
                <w:szCs w:val="20"/>
              </w:rPr>
            </w:pPr>
            <w:r w:rsidRPr="00D96E89">
              <w:rPr>
                <w:sz w:val="20"/>
                <w:szCs w:val="20"/>
              </w:rPr>
              <w:t>95,33</w:t>
            </w:r>
          </w:p>
        </w:tc>
        <w:tc>
          <w:tcPr>
            <w:tcW w:w="1134" w:type="dxa"/>
            <w:noWrap/>
            <w:hideMark/>
          </w:tcPr>
          <w:p w14:paraId="335172D0" w14:textId="77777777" w:rsidR="002633A2" w:rsidRPr="00D96E89" w:rsidRDefault="002633A2" w:rsidP="002633A2">
            <w:pPr>
              <w:jc w:val="right"/>
              <w:rPr>
                <w:sz w:val="20"/>
                <w:szCs w:val="20"/>
              </w:rPr>
            </w:pPr>
            <w:r w:rsidRPr="00D96E89">
              <w:rPr>
                <w:sz w:val="20"/>
                <w:szCs w:val="20"/>
              </w:rPr>
              <w:t>84,69</w:t>
            </w:r>
          </w:p>
        </w:tc>
        <w:tc>
          <w:tcPr>
            <w:tcW w:w="1559" w:type="dxa"/>
            <w:noWrap/>
            <w:hideMark/>
          </w:tcPr>
          <w:p w14:paraId="56AE6DD4" w14:textId="77777777" w:rsidR="002633A2" w:rsidRPr="00D96E89" w:rsidRDefault="002633A2" w:rsidP="002633A2">
            <w:pPr>
              <w:jc w:val="right"/>
              <w:rPr>
                <w:sz w:val="20"/>
                <w:szCs w:val="20"/>
              </w:rPr>
            </w:pPr>
            <w:r w:rsidRPr="00D96E89">
              <w:rPr>
                <w:sz w:val="20"/>
                <w:szCs w:val="20"/>
              </w:rPr>
              <w:t>270,02</w:t>
            </w:r>
          </w:p>
        </w:tc>
        <w:tc>
          <w:tcPr>
            <w:tcW w:w="1560" w:type="dxa"/>
            <w:noWrap/>
            <w:hideMark/>
          </w:tcPr>
          <w:p w14:paraId="7CB836CD" w14:textId="77777777" w:rsidR="002633A2" w:rsidRPr="00D96E89" w:rsidRDefault="002633A2" w:rsidP="002633A2">
            <w:pPr>
              <w:jc w:val="right"/>
              <w:rPr>
                <w:sz w:val="20"/>
                <w:szCs w:val="20"/>
              </w:rPr>
            </w:pPr>
            <w:r w:rsidRPr="00D96E89">
              <w:rPr>
                <w:sz w:val="20"/>
                <w:szCs w:val="20"/>
              </w:rPr>
              <w:t>450,04</w:t>
            </w:r>
          </w:p>
        </w:tc>
      </w:tr>
      <w:tr w:rsidR="002633A2" w:rsidRPr="00D96E89" w14:paraId="53EDE272" w14:textId="77777777" w:rsidTr="00C54024">
        <w:trPr>
          <w:trHeight w:val="300"/>
        </w:trPr>
        <w:tc>
          <w:tcPr>
            <w:tcW w:w="4536" w:type="dxa"/>
            <w:noWrap/>
            <w:hideMark/>
          </w:tcPr>
          <w:p w14:paraId="2F404C5B" w14:textId="77777777" w:rsidR="002633A2" w:rsidRPr="00D96E89" w:rsidRDefault="002633A2" w:rsidP="002633A2">
            <w:pPr>
              <w:rPr>
                <w:b/>
                <w:bCs/>
                <w:sz w:val="20"/>
                <w:szCs w:val="20"/>
              </w:rPr>
            </w:pPr>
            <w:r w:rsidRPr="00D96E89">
              <w:rPr>
                <w:b/>
                <w:bCs/>
                <w:sz w:val="20"/>
                <w:szCs w:val="20"/>
              </w:rPr>
              <w:t>26. Łączność</w:t>
            </w:r>
          </w:p>
        </w:tc>
        <w:tc>
          <w:tcPr>
            <w:tcW w:w="1134" w:type="dxa"/>
            <w:noWrap/>
            <w:hideMark/>
          </w:tcPr>
          <w:p w14:paraId="50BE080A" w14:textId="77777777" w:rsidR="002633A2" w:rsidRPr="00D96E89" w:rsidRDefault="002633A2" w:rsidP="002633A2">
            <w:pPr>
              <w:jc w:val="right"/>
              <w:rPr>
                <w:b/>
                <w:bCs/>
                <w:sz w:val="20"/>
                <w:szCs w:val="20"/>
              </w:rPr>
            </w:pPr>
            <w:r w:rsidRPr="00D96E89">
              <w:rPr>
                <w:b/>
                <w:bCs/>
                <w:sz w:val="20"/>
                <w:szCs w:val="20"/>
              </w:rPr>
              <w:t>4,02</w:t>
            </w:r>
          </w:p>
        </w:tc>
        <w:tc>
          <w:tcPr>
            <w:tcW w:w="1134" w:type="dxa"/>
            <w:noWrap/>
            <w:hideMark/>
          </w:tcPr>
          <w:p w14:paraId="25473E54" w14:textId="77777777" w:rsidR="002633A2" w:rsidRPr="00D96E89" w:rsidRDefault="002633A2" w:rsidP="002633A2">
            <w:pPr>
              <w:jc w:val="right"/>
              <w:rPr>
                <w:b/>
                <w:bCs/>
                <w:sz w:val="20"/>
                <w:szCs w:val="20"/>
              </w:rPr>
            </w:pPr>
            <w:r w:rsidRPr="00D96E89">
              <w:rPr>
                <w:b/>
                <w:bCs/>
                <w:sz w:val="20"/>
                <w:szCs w:val="20"/>
              </w:rPr>
              <w:t>4,55</w:t>
            </w:r>
          </w:p>
        </w:tc>
        <w:tc>
          <w:tcPr>
            <w:tcW w:w="1559" w:type="dxa"/>
            <w:noWrap/>
            <w:hideMark/>
          </w:tcPr>
          <w:p w14:paraId="392ED610" w14:textId="77777777" w:rsidR="002633A2" w:rsidRPr="00D96E89" w:rsidRDefault="002633A2" w:rsidP="002633A2">
            <w:pPr>
              <w:jc w:val="right"/>
              <w:rPr>
                <w:b/>
                <w:bCs/>
                <w:sz w:val="20"/>
                <w:szCs w:val="20"/>
              </w:rPr>
            </w:pPr>
            <w:r w:rsidRPr="00D96E89">
              <w:rPr>
                <w:b/>
                <w:bCs/>
                <w:sz w:val="20"/>
                <w:szCs w:val="20"/>
              </w:rPr>
              <w:t>12,84</w:t>
            </w:r>
          </w:p>
        </w:tc>
        <w:tc>
          <w:tcPr>
            <w:tcW w:w="1560" w:type="dxa"/>
            <w:noWrap/>
            <w:hideMark/>
          </w:tcPr>
          <w:p w14:paraId="54D6EA78" w14:textId="77777777" w:rsidR="002633A2" w:rsidRPr="00D96E89" w:rsidRDefault="002633A2" w:rsidP="002633A2">
            <w:pPr>
              <w:jc w:val="right"/>
              <w:rPr>
                <w:b/>
                <w:bCs/>
                <w:sz w:val="20"/>
                <w:szCs w:val="20"/>
              </w:rPr>
            </w:pPr>
            <w:r w:rsidRPr="00D96E89">
              <w:rPr>
                <w:b/>
                <w:bCs/>
                <w:sz w:val="20"/>
                <w:szCs w:val="20"/>
              </w:rPr>
              <w:t>21,40</w:t>
            </w:r>
          </w:p>
        </w:tc>
      </w:tr>
      <w:tr w:rsidR="002633A2" w:rsidRPr="00D96E89" w14:paraId="2AB25889" w14:textId="77777777" w:rsidTr="00C54024">
        <w:trPr>
          <w:trHeight w:val="300"/>
        </w:trPr>
        <w:tc>
          <w:tcPr>
            <w:tcW w:w="4536" w:type="dxa"/>
            <w:noWrap/>
            <w:hideMark/>
          </w:tcPr>
          <w:p w14:paraId="68151BFC" w14:textId="77777777" w:rsidR="002633A2" w:rsidRPr="00D96E89" w:rsidRDefault="002633A2" w:rsidP="002633A2">
            <w:pPr>
              <w:rPr>
                <w:sz w:val="20"/>
                <w:szCs w:val="20"/>
              </w:rPr>
            </w:pPr>
            <w:r w:rsidRPr="00D96E89">
              <w:rPr>
                <w:sz w:val="20"/>
                <w:szCs w:val="20"/>
              </w:rPr>
              <w:t>750 Administracja publiczna</w:t>
            </w:r>
          </w:p>
        </w:tc>
        <w:tc>
          <w:tcPr>
            <w:tcW w:w="1134" w:type="dxa"/>
            <w:noWrap/>
            <w:hideMark/>
          </w:tcPr>
          <w:p w14:paraId="0CDF73F5" w14:textId="77777777" w:rsidR="002633A2" w:rsidRPr="00D96E89" w:rsidRDefault="002633A2" w:rsidP="002633A2">
            <w:pPr>
              <w:jc w:val="right"/>
              <w:rPr>
                <w:sz w:val="20"/>
                <w:szCs w:val="20"/>
              </w:rPr>
            </w:pPr>
            <w:r w:rsidRPr="00D96E89">
              <w:rPr>
                <w:sz w:val="20"/>
                <w:szCs w:val="20"/>
              </w:rPr>
              <w:t>4,02</w:t>
            </w:r>
          </w:p>
        </w:tc>
        <w:tc>
          <w:tcPr>
            <w:tcW w:w="1134" w:type="dxa"/>
            <w:noWrap/>
            <w:hideMark/>
          </w:tcPr>
          <w:p w14:paraId="73703692" w14:textId="77777777" w:rsidR="002633A2" w:rsidRPr="00D96E89" w:rsidRDefault="002633A2" w:rsidP="002633A2">
            <w:pPr>
              <w:jc w:val="right"/>
              <w:rPr>
                <w:sz w:val="20"/>
                <w:szCs w:val="20"/>
              </w:rPr>
            </w:pPr>
            <w:r w:rsidRPr="00D96E89">
              <w:rPr>
                <w:sz w:val="20"/>
                <w:szCs w:val="20"/>
              </w:rPr>
              <w:t>4,55</w:t>
            </w:r>
          </w:p>
        </w:tc>
        <w:tc>
          <w:tcPr>
            <w:tcW w:w="1559" w:type="dxa"/>
            <w:noWrap/>
            <w:hideMark/>
          </w:tcPr>
          <w:p w14:paraId="32EA8490" w14:textId="77777777" w:rsidR="002633A2" w:rsidRPr="00D96E89" w:rsidRDefault="002633A2" w:rsidP="002633A2">
            <w:pPr>
              <w:jc w:val="right"/>
              <w:rPr>
                <w:sz w:val="20"/>
                <w:szCs w:val="20"/>
              </w:rPr>
            </w:pPr>
            <w:r w:rsidRPr="00D96E89">
              <w:rPr>
                <w:sz w:val="20"/>
                <w:szCs w:val="20"/>
              </w:rPr>
              <w:t>12,84</w:t>
            </w:r>
          </w:p>
        </w:tc>
        <w:tc>
          <w:tcPr>
            <w:tcW w:w="1560" w:type="dxa"/>
            <w:noWrap/>
            <w:hideMark/>
          </w:tcPr>
          <w:p w14:paraId="69EC5629" w14:textId="77777777" w:rsidR="002633A2" w:rsidRPr="00D96E89" w:rsidRDefault="002633A2" w:rsidP="002633A2">
            <w:pPr>
              <w:jc w:val="right"/>
              <w:rPr>
                <w:sz w:val="20"/>
                <w:szCs w:val="20"/>
              </w:rPr>
            </w:pPr>
            <w:r w:rsidRPr="00D96E89">
              <w:rPr>
                <w:sz w:val="20"/>
                <w:szCs w:val="20"/>
              </w:rPr>
              <w:t>21,40</w:t>
            </w:r>
          </w:p>
        </w:tc>
      </w:tr>
      <w:tr w:rsidR="002633A2" w:rsidRPr="00D96E89" w14:paraId="65522FE8" w14:textId="77777777" w:rsidTr="00C54024">
        <w:trPr>
          <w:trHeight w:val="300"/>
        </w:trPr>
        <w:tc>
          <w:tcPr>
            <w:tcW w:w="4536" w:type="dxa"/>
            <w:noWrap/>
            <w:hideMark/>
          </w:tcPr>
          <w:p w14:paraId="16FB39FE" w14:textId="77777777" w:rsidR="002633A2" w:rsidRPr="00D96E89" w:rsidRDefault="002633A2" w:rsidP="002633A2">
            <w:pPr>
              <w:rPr>
                <w:b/>
                <w:bCs/>
                <w:sz w:val="20"/>
                <w:szCs w:val="20"/>
              </w:rPr>
            </w:pPr>
            <w:r w:rsidRPr="00D96E89">
              <w:rPr>
                <w:b/>
                <w:bCs/>
                <w:sz w:val="20"/>
                <w:szCs w:val="20"/>
              </w:rPr>
              <w:t>27. Informatyzacja</w:t>
            </w:r>
          </w:p>
        </w:tc>
        <w:tc>
          <w:tcPr>
            <w:tcW w:w="1134" w:type="dxa"/>
            <w:noWrap/>
            <w:hideMark/>
          </w:tcPr>
          <w:p w14:paraId="3EEC7DEB" w14:textId="77777777" w:rsidR="002633A2" w:rsidRPr="00D96E89" w:rsidRDefault="002633A2" w:rsidP="002633A2">
            <w:pPr>
              <w:jc w:val="right"/>
              <w:rPr>
                <w:b/>
                <w:bCs/>
                <w:sz w:val="20"/>
                <w:szCs w:val="20"/>
              </w:rPr>
            </w:pPr>
            <w:r w:rsidRPr="00D96E89">
              <w:rPr>
                <w:b/>
                <w:bCs/>
                <w:sz w:val="20"/>
                <w:szCs w:val="20"/>
              </w:rPr>
              <w:t>107,95</w:t>
            </w:r>
          </w:p>
        </w:tc>
        <w:tc>
          <w:tcPr>
            <w:tcW w:w="1134" w:type="dxa"/>
            <w:noWrap/>
            <w:hideMark/>
          </w:tcPr>
          <w:p w14:paraId="11A78680" w14:textId="77777777" w:rsidR="002633A2" w:rsidRPr="00D96E89" w:rsidRDefault="002633A2" w:rsidP="002633A2">
            <w:pPr>
              <w:jc w:val="right"/>
              <w:rPr>
                <w:b/>
                <w:bCs/>
                <w:sz w:val="20"/>
                <w:szCs w:val="20"/>
              </w:rPr>
            </w:pPr>
            <w:r w:rsidRPr="00D96E89">
              <w:rPr>
                <w:b/>
                <w:bCs/>
                <w:sz w:val="20"/>
                <w:szCs w:val="20"/>
              </w:rPr>
              <w:t>129,58</w:t>
            </w:r>
          </w:p>
        </w:tc>
        <w:tc>
          <w:tcPr>
            <w:tcW w:w="1559" w:type="dxa"/>
            <w:noWrap/>
            <w:hideMark/>
          </w:tcPr>
          <w:p w14:paraId="62DFA614" w14:textId="77777777" w:rsidR="002633A2" w:rsidRPr="00D96E89" w:rsidRDefault="002633A2" w:rsidP="002633A2">
            <w:pPr>
              <w:jc w:val="right"/>
              <w:rPr>
                <w:b/>
                <w:bCs/>
                <w:sz w:val="20"/>
                <w:szCs w:val="20"/>
              </w:rPr>
            </w:pPr>
            <w:r w:rsidRPr="00D96E89">
              <w:rPr>
                <w:b/>
                <w:bCs/>
                <w:sz w:val="20"/>
                <w:szCs w:val="20"/>
              </w:rPr>
              <w:t>356,28</w:t>
            </w:r>
          </w:p>
        </w:tc>
        <w:tc>
          <w:tcPr>
            <w:tcW w:w="1560" w:type="dxa"/>
            <w:noWrap/>
            <w:hideMark/>
          </w:tcPr>
          <w:p w14:paraId="38F33557" w14:textId="77777777" w:rsidR="002633A2" w:rsidRPr="00D96E89" w:rsidRDefault="002633A2" w:rsidP="002633A2">
            <w:pPr>
              <w:jc w:val="right"/>
              <w:rPr>
                <w:b/>
                <w:bCs/>
                <w:sz w:val="20"/>
                <w:szCs w:val="20"/>
              </w:rPr>
            </w:pPr>
            <w:r w:rsidRPr="00D96E89">
              <w:rPr>
                <w:b/>
                <w:bCs/>
                <w:sz w:val="20"/>
                <w:szCs w:val="20"/>
              </w:rPr>
              <w:t>593,80</w:t>
            </w:r>
          </w:p>
        </w:tc>
      </w:tr>
      <w:tr w:rsidR="002633A2" w:rsidRPr="00D96E89" w14:paraId="25160F03" w14:textId="77777777" w:rsidTr="00C54024">
        <w:trPr>
          <w:trHeight w:val="300"/>
        </w:trPr>
        <w:tc>
          <w:tcPr>
            <w:tcW w:w="4536" w:type="dxa"/>
            <w:noWrap/>
            <w:hideMark/>
          </w:tcPr>
          <w:p w14:paraId="1D04C74D" w14:textId="77777777" w:rsidR="002633A2" w:rsidRPr="00D96E89" w:rsidRDefault="002633A2" w:rsidP="002633A2">
            <w:pPr>
              <w:rPr>
                <w:b/>
                <w:bCs/>
                <w:sz w:val="20"/>
                <w:szCs w:val="20"/>
              </w:rPr>
            </w:pPr>
            <w:r w:rsidRPr="00D96E89">
              <w:rPr>
                <w:b/>
                <w:bCs/>
                <w:sz w:val="20"/>
                <w:szCs w:val="20"/>
              </w:rPr>
              <w:t>29. Obrona narodowa</w:t>
            </w:r>
          </w:p>
        </w:tc>
        <w:tc>
          <w:tcPr>
            <w:tcW w:w="1134" w:type="dxa"/>
            <w:noWrap/>
            <w:hideMark/>
          </w:tcPr>
          <w:p w14:paraId="5B5E9DA7" w14:textId="77777777" w:rsidR="002633A2" w:rsidRPr="00D96E89" w:rsidRDefault="002633A2" w:rsidP="002633A2">
            <w:pPr>
              <w:jc w:val="right"/>
              <w:rPr>
                <w:b/>
                <w:bCs/>
                <w:sz w:val="20"/>
                <w:szCs w:val="20"/>
              </w:rPr>
            </w:pPr>
            <w:r w:rsidRPr="00D96E89">
              <w:rPr>
                <w:b/>
                <w:bCs/>
                <w:sz w:val="20"/>
                <w:szCs w:val="20"/>
              </w:rPr>
              <w:t>1 672,63</w:t>
            </w:r>
          </w:p>
        </w:tc>
        <w:tc>
          <w:tcPr>
            <w:tcW w:w="1134" w:type="dxa"/>
            <w:noWrap/>
            <w:hideMark/>
          </w:tcPr>
          <w:p w14:paraId="57D2F0D9" w14:textId="77777777" w:rsidR="002633A2" w:rsidRPr="00D96E89" w:rsidRDefault="002633A2" w:rsidP="002633A2">
            <w:pPr>
              <w:jc w:val="right"/>
              <w:rPr>
                <w:b/>
                <w:bCs/>
                <w:sz w:val="20"/>
                <w:szCs w:val="20"/>
              </w:rPr>
            </w:pPr>
            <w:r w:rsidRPr="00D96E89">
              <w:rPr>
                <w:b/>
                <w:bCs/>
                <w:sz w:val="20"/>
                <w:szCs w:val="20"/>
              </w:rPr>
              <w:t>2 050,27</w:t>
            </w:r>
          </w:p>
        </w:tc>
        <w:tc>
          <w:tcPr>
            <w:tcW w:w="1559" w:type="dxa"/>
            <w:noWrap/>
            <w:hideMark/>
          </w:tcPr>
          <w:p w14:paraId="526EA539" w14:textId="77777777" w:rsidR="002633A2" w:rsidRPr="00D96E89" w:rsidRDefault="002633A2" w:rsidP="002633A2">
            <w:pPr>
              <w:jc w:val="right"/>
              <w:rPr>
                <w:b/>
                <w:bCs/>
                <w:sz w:val="20"/>
                <w:szCs w:val="20"/>
              </w:rPr>
            </w:pPr>
            <w:r w:rsidRPr="00D96E89">
              <w:rPr>
                <w:b/>
                <w:bCs/>
                <w:sz w:val="20"/>
                <w:szCs w:val="20"/>
              </w:rPr>
              <w:t>5 584,36</w:t>
            </w:r>
          </w:p>
        </w:tc>
        <w:tc>
          <w:tcPr>
            <w:tcW w:w="1560" w:type="dxa"/>
            <w:noWrap/>
            <w:hideMark/>
          </w:tcPr>
          <w:p w14:paraId="79C5673A" w14:textId="77777777" w:rsidR="002633A2" w:rsidRPr="00D96E89" w:rsidRDefault="002633A2" w:rsidP="002633A2">
            <w:pPr>
              <w:jc w:val="right"/>
              <w:rPr>
                <w:b/>
                <w:bCs/>
                <w:sz w:val="20"/>
                <w:szCs w:val="20"/>
              </w:rPr>
            </w:pPr>
            <w:r w:rsidRPr="00D96E89">
              <w:rPr>
                <w:b/>
                <w:bCs/>
                <w:sz w:val="20"/>
                <w:szCs w:val="20"/>
              </w:rPr>
              <w:t>9 307,26</w:t>
            </w:r>
          </w:p>
        </w:tc>
      </w:tr>
      <w:tr w:rsidR="002633A2" w:rsidRPr="00D96E89" w14:paraId="200CCDD6" w14:textId="77777777" w:rsidTr="00C54024">
        <w:trPr>
          <w:trHeight w:val="300"/>
        </w:trPr>
        <w:tc>
          <w:tcPr>
            <w:tcW w:w="4536" w:type="dxa"/>
            <w:noWrap/>
            <w:hideMark/>
          </w:tcPr>
          <w:p w14:paraId="5A4AB224" w14:textId="77777777" w:rsidR="002633A2" w:rsidRPr="00D96E89" w:rsidRDefault="002633A2" w:rsidP="002633A2">
            <w:pPr>
              <w:rPr>
                <w:sz w:val="20"/>
                <w:szCs w:val="20"/>
              </w:rPr>
            </w:pPr>
            <w:r w:rsidRPr="00D96E89">
              <w:rPr>
                <w:sz w:val="20"/>
                <w:szCs w:val="20"/>
              </w:rPr>
              <w:t>750 Administracja publiczna</w:t>
            </w:r>
          </w:p>
        </w:tc>
        <w:tc>
          <w:tcPr>
            <w:tcW w:w="1134" w:type="dxa"/>
            <w:noWrap/>
            <w:hideMark/>
          </w:tcPr>
          <w:p w14:paraId="7EA0F6ED" w14:textId="77777777" w:rsidR="002633A2" w:rsidRPr="00D96E89" w:rsidRDefault="002633A2" w:rsidP="002633A2">
            <w:pPr>
              <w:jc w:val="right"/>
              <w:rPr>
                <w:sz w:val="20"/>
                <w:szCs w:val="20"/>
              </w:rPr>
            </w:pPr>
            <w:r w:rsidRPr="00D96E89">
              <w:rPr>
                <w:sz w:val="20"/>
                <w:szCs w:val="20"/>
              </w:rPr>
              <w:t>203,30</w:t>
            </w:r>
          </w:p>
        </w:tc>
        <w:tc>
          <w:tcPr>
            <w:tcW w:w="1134" w:type="dxa"/>
            <w:noWrap/>
            <w:hideMark/>
          </w:tcPr>
          <w:p w14:paraId="002DD8DD" w14:textId="77777777" w:rsidR="002633A2" w:rsidRPr="00D96E89" w:rsidRDefault="002633A2" w:rsidP="002633A2">
            <w:pPr>
              <w:jc w:val="right"/>
              <w:rPr>
                <w:sz w:val="20"/>
                <w:szCs w:val="20"/>
              </w:rPr>
            </w:pPr>
            <w:r w:rsidRPr="00D96E89">
              <w:rPr>
                <w:sz w:val="20"/>
                <w:szCs w:val="20"/>
              </w:rPr>
              <w:t>200,73</w:t>
            </w:r>
          </w:p>
        </w:tc>
        <w:tc>
          <w:tcPr>
            <w:tcW w:w="1559" w:type="dxa"/>
            <w:noWrap/>
            <w:hideMark/>
          </w:tcPr>
          <w:p w14:paraId="79E54603" w14:textId="77777777" w:rsidR="002633A2" w:rsidRPr="00D96E89" w:rsidRDefault="002633A2" w:rsidP="002633A2">
            <w:pPr>
              <w:jc w:val="right"/>
              <w:rPr>
                <w:sz w:val="20"/>
                <w:szCs w:val="20"/>
              </w:rPr>
            </w:pPr>
            <w:r w:rsidRPr="00D96E89">
              <w:rPr>
                <w:sz w:val="20"/>
                <w:szCs w:val="20"/>
              </w:rPr>
              <w:t>606,04</w:t>
            </w:r>
          </w:p>
        </w:tc>
        <w:tc>
          <w:tcPr>
            <w:tcW w:w="1560" w:type="dxa"/>
            <w:noWrap/>
            <w:hideMark/>
          </w:tcPr>
          <w:p w14:paraId="6BBBD5FA" w14:textId="77777777" w:rsidR="002633A2" w:rsidRPr="00D96E89" w:rsidRDefault="002633A2" w:rsidP="002633A2">
            <w:pPr>
              <w:jc w:val="right"/>
              <w:rPr>
                <w:sz w:val="20"/>
                <w:szCs w:val="20"/>
              </w:rPr>
            </w:pPr>
            <w:r w:rsidRPr="00D96E89">
              <w:rPr>
                <w:sz w:val="20"/>
                <w:szCs w:val="20"/>
              </w:rPr>
              <w:t>1 010,07</w:t>
            </w:r>
          </w:p>
        </w:tc>
      </w:tr>
      <w:tr w:rsidR="002633A2" w:rsidRPr="00D96E89" w14:paraId="251745BA" w14:textId="77777777" w:rsidTr="00C54024">
        <w:trPr>
          <w:trHeight w:val="300"/>
        </w:trPr>
        <w:tc>
          <w:tcPr>
            <w:tcW w:w="4536" w:type="dxa"/>
            <w:noWrap/>
            <w:hideMark/>
          </w:tcPr>
          <w:p w14:paraId="26414184" w14:textId="77777777" w:rsidR="002633A2" w:rsidRPr="00D96E89" w:rsidRDefault="002633A2" w:rsidP="002633A2">
            <w:pPr>
              <w:rPr>
                <w:sz w:val="20"/>
                <w:szCs w:val="20"/>
              </w:rPr>
            </w:pPr>
            <w:r w:rsidRPr="00D96E89">
              <w:rPr>
                <w:sz w:val="20"/>
                <w:szCs w:val="20"/>
              </w:rPr>
              <w:t>752 Obrona narodowa</w:t>
            </w:r>
          </w:p>
        </w:tc>
        <w:tc>
          <w:tcPr>
            <w:tcW w:w="1134" w:type="dxa"/>
            <w:noWrap/>
            <w:hideMark/>
          </w:tcPr>
          <w:p w14:paraId="307B3654" w14:textId="77777777" w:rsidR="002633A2" w:rsidRPr="00D96E89" w:rsidRDefault="002633A2" w:rsidP="002633A2">
            <w:pPr>
              <w:jc w:val="right"/>
              <w:rPr>
                <w:sz w:val="20"/>
                <w:szCs w:val="20"/>
              </w:rPr>
            </w:pPr>
            <w:r w:rsidRPr="00D96E89">
              <w:rPr>
                <w:sz w:val="20"/>
                <w:szCs w:val="20"/>
              </w:rPr>
              <w:t>1 469,33</w:t>
            </w:r>
          </w:p>
        </w:tc>
        <w:tc>
          <w:tcPr>
            <w:tcW w:w="1134" w:type="dxa"/>
            <w:noWrap/>
            <w:hideMark/>
          </w:tcPr>
          <w:p w14:paraId="01DFF209" w14:textId="77777777" w:rsidR="002633A2" w:rsidRPr="00D96E89" w:rsidRDefault="002633A2" w:rsidP="002633A2">
            <w:pPr>
              <w:jc w:val="right"/>
              <w:rPr>
                <w:sz w:val="20"/>
                <w:szCs w:val="20"/>
              </w:rPr>
            </w:pPr>
            <w:r w:rsidRPr="00D96E89">
              <w:rPr>
                <w:sz w:val="20"/>
                <w:szCs w:val="20"/>
              </w:rPr>
              <w:t>1 849,55</w:t>
            </w:r>
          </w:p>
        </w:tc>
        <w:tc>
          <w:tcPr>
            <w:tcW w:w="1559" w:type="dxa"/>
            <w:noWrap/>
            <w:hideMark/>
          </w:tcPr>
          <w:p w14:paraId="0754FB9F" w14:textId="77777777" w:rsidR="002633A2" w:rsidRPr="00D96E89" w:rsidRDefault="002633A2" w:rsidP="002633A2">
            <w:pPr>
              <w:jc w:val="right"/>
              <w:rPr>
                <w:sz w:val="20"/>
                <w:szCs w:val="20"/>
              </w:rPr>
            </w:pPr>
            <w:r w:rsidRPr="00D96E89">
              <w:rPr>
                <w:sz w:val="20"/>
                <w:szCs w:val="20"/>
              </w:rPr>
              <w:t>4 978,31</w:t>
            </w:r>
          </w:p>
        </w:tc>
        <w:tc>
          <w:tcPr>
            <w:tcW w:w="1560" w:type="dxa"/>
            <w:noWrap/>
            <w:hideMark/>
          </w:tcPr>
          <w:p w14:paraId="6245A6A7" w14:textId="77777777" w:rsidR="002633A2" w:rsidRPr="00D96E89" w:rsidRDefault="002633A2" w:rsidP="002633A2">
            <w:pPr>
              <w:jc w:val="right"/>
              <w:rPr>
                <w:sz w:val="20"/>
                <w:szCs w:val="20"/>
              </w:rPr>
            </w:pPr>
            <w:r w:rsidRPr="00D96E89">
              <w:rPr>
                <w:sz w:val="20"/>
                <w:szCs w:val="20"/>
              </w:rPr>
              <w:t>8 297,19</w:t>
            </w:r>
          </w:p>
        </w:tc>
      </w:tr>
      <w:tr w:rsidR="002633A2" w:rsidRPr="00D96E89" w14:paraId="2301F1B7" w14:textId="77777777" w:rsidTr="00C54024">
        <w:trPr>
          <w:trHeight w:val="300"/>
        </w:trPr>
        <w:tc>
          <w:tcPr>
            <w:tcW w:w="4536" w:type="dxa"/>
            <w:noWrap/>
            <w:hideMark/>
          </w:tcPr>
          <w:p w14:paraId="08DABECD" w14:textId="77777777" w:rsidR="002633A2" w:rsidRPr="00D96E89" w:rsidRDefault="002633A2" w:rsidP="002633A2">
            <w:pPr>
              <w:rPr>
                <w:b/>
                <w:bCs/>
                <w:sz w:val="20"/>
                <w:szCs w:val="20"/>
              </w:rPr>
            </w:pPr>
            <w:r w:rsidRPr="00D96E89">
              <w:rPr>
                <w:b/>
                <w:bCs/>
                <w:sz w:val="20"/>
                <w:szCs w:val="20"/>
              </w:rPr>
              <w:t>34. Rozwój regionalny</w:t>
            </w:r>
          </w:p>
        </w:tc>
        <w:tc>
          <w:tcPr>
            <w:tcW w:w="1134" w:type="dxa"/>
            <w:noWrap/>
            <w:hideMark/>
          </w:tcPr>
          <w:p w14:paraId="4AD663DD" w14:textId="77777777" w:rsidR="002633A2" w:rsidRPr="00D96E89" w:rsidRDefault="002633A2" w:rsidP="002633A2">
            <w:pPr>
              <w:jc w:val="right"/>
              <w:rPr>
                <w:b/>
                <w:bCs/>
                <w:sz w:val="20"/>
                <w:szCs w:val="20"/>
              </w:rPr>
            </w:pPr>
            <w:r w:rsidRPr="00D96E89">
              <w:rPr>
                <w:b/>
                <w:bCs/>
                <w:sz w:val="20"/>
                <w:szCs w:val="20"/>
              </w:rPr>
              <w:t>32,19</w:t>
            </w:r>
          </w:p>
        </w:tc>
        <w:tc>
          <w:tcPr>
            <w:tcW w:w="1134" w:type="dxa"/>
            <w:noWrap/>
            <w:hideMark/>
          </w:tcPr>
          <w:p w14:paraId="1DC1E144" w14:textId="77777777" w:rsidR="002633A2" w:rsidRPr="00D96E89" w:rsidRDefault="002633A2" w:rsidP="002633A2">
            <w:pPr>
              <w:jc w:val="right"/>
              <w:rPr>
                <w:b/>
                <w:bCs/>
                <w:sz w:val="20"/>
                <w:szCs w:val="20"/>
              </w:rPr>
            </w:pPr>
            <w:r w:rsidRPr="00D96E89">
              <w:rPr>
                <w:b/>
                <w:bCs/>
                <w:sz w:val="20"/>
                <w:szCs w:val="20"/>
              </w:rPr>
              <w:t>36,22</w:t>
            </w:r>
          </w:p>
        </w:tc>
        <w:tc>
          <w:tcPr>
            <w:tcW w:w="1559" w:type="dxa"/>
            <w:noWrap/>
            <w:hideMark/>
          </w:tcPr>
          <w:p w14:paraId="31EBA839" w14:textId="77777777" w:rsidR="002633A2" w:rsidRPr="00D96E89" w:rsidRDefault="002633A2" w:rsidP="002633A2">
            <w:pPr>
              <w:jc w:val="right"/>
              <w:rPr>
                <w:b/>
                <w:bCs/>
                <w:sz w:val="20"/>
                <w:szCs w:val="20"/>
              </w:rPr>
            </w:pPr>
            <w:r w:rsidRPr="00D96E89">
              <w:rPr>
                <w:b/>
                <w:bCs/>
                <w:sz w:val="20"/>
                <w:szCs w:val="20"/>
              </w:rPr>
              <w:t>102,61</w:t>
            </w:r>
          </w:p>
        </w:tc>
        <w:tc>
          <w:tcPr>
            <w:tcW w:w="1560" w:type="dxa"/>
            <w:noWrap/>
            <w:hideMark/>
          </w:tcPr>
          <w:p w14:paraId="38A1673A" w14:textId="77777777" w:rsidR="002633A2" w:rsidRPr="00D96E89" w:rsidRDefault="002633A2" w:rsidP="002633A2">
            <w:pPr>
              <w:jc w:val="right"/>
              <w:rPr>
                <w:b/>
                <w:bCs/>
                <w:sz w:val="20"/>
                <w:szCs w:val="20"/>
              </w:rPr>
            </w:pPr>
            <w:r w:rsidRPr="00D96E89">
              <w:rPr>
                <w:b/>
                <w:bCs/>
                <w:sz w:val="20"/>
                <w:szCs w:val="20"/>
              </w:rPr>
              <w:t>171,02</w:t>
            </w:r>
          </w:p>
        </w:tc>
      </w:tr>
      <w:tr w:rsidR="002633A2" w:rsidRPr="00D96E89" w14:paraId="30573339" w14:textId="77777777" w:rsidTr="00C54024">
        <w:trPr>
          <w:trHeight w:val="300"/>
        </w:trPr>
        <w:tc>
          <w:tcPr>
            <w:tcW w:w="4536" w:type="dxa"/>
            <w:noWrap/>
            <w:hideMark/>
          </w:tcPr>
          <w:p w14:paraId="1CA2C490" w14:textId="77777777" w:rsidR="002633A2" w:rsidRPr="00D96E89" w:rsidRDefault="002633A2" w:rsidP="002633A2">
            <w:pPr>
              <w:rPr>
                <w:sz w:val="20"/>
                <w:szCs w:val="20"/>
              </w:rPr>
            </w:pPr>
            <w:r w:rsidRPr="00D96E89">
              <w:rPr>
                <w:sz w:val="20"/>
                <w:szCs w:val="20"/>
              </w:rPr>
              <w:t>750 Administracja publiczna</w:t>
            </w:r>
          </w:p>
        </w:tc>
        <w:tc>
          <w:tcPr>
            <w:tcW w:w="1134" w:type="dxa"/>
            <w:noWrap/>
            <w:hideMark/>
          </w:tcPr>
          <w:p w14:paraId="2B5B7BF1" w14:textId="77777777" w:rsidR="002633A2" w:rsidRPr="00D96E89" w:rsidRDefault="002633A2" w:rsidP="002633A2">
            <w:pPr>
              <w:jc w:val="right"/>
              <w:rPr>
                <w:sz w:val="20"/>
                <w:szCs w:val="20"/>
              </w:rPr>
            </w:pPr>
            <w:r w:rsidRPr="00D96E89">
              <w:rPr>
                <w:sz w:val="20"/>
                <w:szCs w:val="20"/>
              </w:rPr>
              <w:t>32,19</w:t>
            </w:r>
          </w:p>
        </w:tc>
        <w:tc>
          <w:tcPr>
            <w:tcW w:w="1134" w:type="dxa"/>
            <w:noWrap/>
            <w:hideMark/>
          </w:tcPr>
          <w:p w14:paraId="6FAE85CB" w14:textId="77777777" w:rsidR="002633A2" w:rsidRPr="00D96E89" w:rsidRDefault="002633A2" w:rsidP="002633A2">
            <w:pPr>
              <w:jc w:val="right"/>
              <w:rPr>
                <w:sz w:val="20"/>
                <w:szCs w:val="20"/>
              </w:rPr>
            </w:pPr>
            <w:r w:rsidRPr="00D96E89">
              <w:rPr>
                <w:sz w:val="20"/>
                <w:szCs w:val="20"/>
              </w:rPr>
              <w:t>36,22</w:t>
            </w:r>
          </w:p>
        </w:tc>
        <w:tc>
          <w:tcPr>
            <w:tcW w:w="1559" w:type="dxa"/>
            <w:noWrap/>
            <w:hideMark/>
          </w:tcPr>
          <w:p w14:paraId="154FB442" w14:textId="77777777" w:rsidR="002633A2" w:rsidRPr="00D96E89" w:rsidRDefault="002633A2" w:rsidP="002633A2">
            <w:pPr>
              <w:jc w:val="right"/>
              <w:rPr>
                <w:sz w:val="20"/>
                <w:szCs w:val="20"/>
              </w:rPr>
            </w:pPr>
            <w:r w:rsidRPr="00D96E89">
              <w:rPr>
                <w:sz w:val="20"/>
                <w:szCs w:val="20"/>
              </w:rPr>
              <w:t>102,61</w:t>
            </w:r>
          </w:p>
        </w:tc>
        <w:tc>
          <w:tcPr>
            <w:tcW w:w="1560" w:type="dxa"/>
            <w:noWrap/>
            <w:hideMark/>
          </w:tcPr>
          <w:p w14:paraId="2DC31707" w14:textId="77777777" w:rsidR="002633A2" w:rsidRPr="00D96E89" w:rsidRDefault="002633A2" w:rsidP="002633A2">
            <w:pPr>
              <w:jc w:val="right"/>
              <w:rPr>
                <w:sz w:val="20"/>
                <w:szCs w:val="20"/>
              </w:rPr>
            </w:pPr>
            <w:r w:rsidRPr="00D96E89">
              <w:rPr>
                <w:sz w:val="20"/>
                <w:szCs w:val="20"/>
              </w:rPr>
              <w:t>171,02</w:t>
            </w:r>
          </w:p>
        </w:tc>
      </w:tr>
      <w:tr w:rsidR="002633A2" w:rsidRPr="00D96E89" w14:paraId="69597762" w14:textId="77777777" w:rsidTr="00C54024">
        <w:trPr>
          <w:trHeight w:val="300"/>
        </w:trPr>
        <w:tc>
          <w:tcPr>
            <w:tcW w:w="4536" w:type="dxa"/>
            <w:noWrap/>
            <w:hideMark/>
          </w:tcPr>
          <w:p w14:paraId="1C54D6B8" w14:textId="77777777" w:rsidR="002633A2" w:rsidRPr="00D96E89" w:rsidRDefault="002633A2" w:rsidP="002633A2">
            <w:pPr>
              <w:rPr>
                <w:b/>
                <w:bCs/>
                <w:sz w:val="20"/>
                <w:szCs w:val="20"/>
              </w:rPr>
            </w:pPr>
            <w:r w:rsidRPr="00D96E89">
              <w:rPr>
                <w:b/>
                <w:bCs/>
                <w:sz w:val="20"/>
                <w:szCs w:val="20"/>
              </w:rPr>
              <w:t>37. Sprawiedliwość</w:t>
            </w:r>
          </w:p>
        </w:tc>
        <w:tc>
          <w:tcPr>
            <w:tcW w:w="1134" w:type="dxa"/>
            <w:noWrap/>
            <w:hideMark/>
          </w:tcPr>
          <w:p w14:paraId="7DBE0F7B" w14:textId="77777777" w:rsidR="002633A2" w:rsidRPr="00D96E89" w:rsidRDefault="002633A2" w:rsidP="002633A2">
            <w:pPr>
              <w:jc w:val="right"/>
              <w:rPr>
                <w:b/>
                <w:bCs/>
                <w:sz w:val="20"/>
                <w:szCs w:val="20"/>
              </w:rPr>
            </w:pPr>
            <w:r w:rsidRPr="00D96E89">
              <w:rPr>
                <w:b/>
                <w:bCs/>
                <w:sz w:val="20"/>
                <w:szCs w:val="20"/>
              </w:rPr>
              <w:t>72,10</w:t>
            </w:r>
          </w:p>
        </w:tc>
        <w:tc>
          <w:tcPr>
            <w:tcW w:w="1134" w:type="dxa"/>
            <w:noWrap/>
            <w:hideMark/>
          </w:tcPr>
          <w:p w14:paraId="7F64DC30" w14:textId="77777777" w:rsidR="002633A2" w:rsidRPr="00D96E89" w:rsidRDefault="002633A2" w:rsidP="002633A2">
            <w:pPr>
              <w:jc w:val="right"/>
              <w:rPr>
                <w:b/>
                <w:bCs/>
                <w:sz w:val="20"/>
                <w:szCs w:val="20"/>
              </w:rPr>
            </w:pPr>
            <w:r w:rsidRPr="00D96E89">
              <w:rPr>
                <w:b/>
                <w:bCs/>
                <w:sz w:val="20"/>
                <w:szCs w:val="20"/>
              </w:rPr>
              <w:t>76,32</w:t>
            </w:r>
          </w:p>
        </w:tc>
        <w:tc>
          <w:tcPr>
            <w:tcW w:w="1559" w:type="dxa"/>
            <w:noWrap/>
            <w:hideMark/>
          </w:tcPr>
          <w:p w14:paraId="5B601D0A" w14:textId="77777777" w:rsidR="002633A2" w:rsidRPr="00D96E89" w:rsidRDefault="002633A2" w:rsidP="002633A2">
            <w:pPr>
              <w:jc w:val="right"/>
              <w:rPr>
                <w:b/>
                <w:bCs/>
                <w:sz w:val="20"/>
                <w:szCs w:val="20"/>
              </w:rPr>
            </w:pPr>
            <w:r w:rsidRPr="00D96E89">
              <w:rPr>
                <w:b/>
                <w:bCs/>
                <w:sz w:val="20"/>
                <w:szCs w:val="20"/>
              </w:rPr>
              <w:t>222,63</w:t>
            </w:r>
          </w:p>
        </w:tc>
        <w:tc>
          <w:tcPr>
            <w:tcW w:w="1560" w:type="dxa"/>
            <w:noWrap/>
            <w:hideMark/>
          </w:tcPr>
          <w:p w14:paraId="1146EF5D" w14:textId="77777777" w:rsidR="002633A2" w:rsidRPr="00D96E89" w:rsidRDefault="002633A2" w:rsidP="002633A2">
            <w:pPr>
              <w:jc w:val="right"/>
              <w:rPr>
                <w:b/>
                <w:bCs/>
                <w:sz w:val="20"/>
                <w:szCs w:val="20"/>
              </w:rPr>
            </w:pPr>
            <w:r w:rsidRPr="00D96E89">
              <w:rPr>
                <w:b/>
                <w:bCs/>
                <w:sz w:val="20"/>
                <w:szCs w:val="20"/>
              </w:rPr>
              <w:t>371,04</w:t>
            </w:r>
          </w:p>
        </w:tc>
      </w:tr>
      <w:tr w:rsidR="002633A2" w:rsidRPr="00D96E89" w14:paraId="30AC471B" w14:textId="77777777" w:rsidTr="00C54024">
        <w:trPr>
          <w:trHeight w:val="300"/>
        </w:trPr>
        <w:tc>
          <w:tcPr>
            <w:tcW w:w="4536" w:type="dxa"/>
            <w:noWrap/>
            <w:hideMark/>
          </w:tcPr>
          <w:p w14:paraId="2845D813" w14:textId="77777777" w:rsidR="002633A2" w:rsidRPr="00D96E89" w:rsidRDefault="002633A2" w:rsidP="002633A2">
            <w:pPr>
              <w:rPr>
                <w:sz w:val="20"/>
                <w:szCs w:val="20"/>
              </w:rPr>
            </w:pPr>
            <w:r w:rsidRPr="00D96E89">
              <w:rPr>
                <w:sz w:val="20"/>
                <w:szCs w:val="20"/>
              </w:rPr>
              <w:t>750 Administracja publiczna</w:t>
            </w:r>
          </w:p>
        </w:tc>
        <w:tc>
          <w:tcPr>
            <w:tcW w:w="1134" w:type="dxa"/>
            <w:noWrap/>
            <w:hideMark/>
          </w:tcPr>
          <w:p w14:paraId="1A7F12D8" w14:textId="77777777" w:rsidR="002633A2" w:rsidRPr="00D96E89" w:rsidRDefault="002633A2" w:rsidP="002633A2">
            <w:pPr>
              <w:jc w:val="right"/>
              <w:rPr>
                <w:sz w:val="20"/>
                <w:szCs w:val="20"/>
              </w:rPr>
            </w:pPr>
            <w:r w:rsidRPr="00D96E89">
              <w:rPr>
                <w:sz w:val="20"/>
                <w:szCs w:val="20"/>
              </w:rPr>
              <w:t>72,10</w:t>
            </w:r>
          </w:p>
        </w:tc>
        <w:tc>
          <w:tcPr>
            <w:tcW w:w="1134" w:type="dxa"/>
            <w:noWrap/>
            <w:hideMark/>
          </w:tcPr>
          <w:p w14:paraId="180295F4" w14:textId="77777777" w:rsidR="002633A2" w:rsidRPr="00D96E89" w:rsidRDefault="002633A2" w:rsidP="002633A2">
            <w:pPr>
              <w:jc w:val="right"/>
              <w:rPr>
                <w:sz w:val="20"/>
                <w:szCs w:val="20"/>
              </w:rPr>
            </w:pPr>
            <w:r w:rsidRPr="00D96E89">
              <w:rPr>
                <w:sz w:val="20"/>
                <w:szCs w:val="20"/>
              </w:rPr>
              <w:t>76,32</w:t>
            </w:r>
          </w:p>
        </w:tc>
        <w:tc>
          <w:tcPr>
            <w:tcW w:w="1559" w:type="dxa"/>
            <w:noWrap/>
            <w:hideMark/>
          </w:tcPr>
          <w:p w14:paraId="363F6EEF" w14:textId="77777777" w:rsidR="002633A2" w:rsidRPr="00D96E89" w:rsidRDefault="002633A2" w:rsidP="002633A2">
            <w:pPr>
              <w:jc w:val="right"/>
              <w:rPr>
                <w:sz w:val="20"/>
                <w:szCs w:val="20"/>
              </w:rPr>
            </w:pPr>
            <w:r w:rsidRPr="00D96E89">
              <w:rPr>
                <w:sz w:val="20"/>
                <w:szCs w:val="20"/>
              </w:rPr>
              <w:t>222,63</w:t>
            </w:r>
          </w:p>
        </w:tc>
        <w:tc>
          <w:tcPr>
            <w:tcW w:w="1560" w:type="dxa"/>
            <w:noWrap/>
            <w:hideMark/>
          </w:tcPr>
          <w:p w14:paraId="3A8F90A1" w14:textId="77777777" w:rsidR="002633A2" w:rsidRPr="00D96E89" w:rsidRDefault="002633A2" w:rsidP="00366C6B">
            <w:pPr>
              <w:ind w:right="-243"/>
              <w:jc w:val="right"/>
              <w:rPr>
                <w:sz w:val="20"/>
                <w:szCs w:val="20"/>
              </w:rPr>
            </w:pPr>
            <w:r w:rsidRPr="00D96E89">
              <w:rPr>
                <w:sz w:val="20"/>
                <w:szCs w:val="20"/>
              </w:rPr>
              <w:t>371,04</w:t>
            </w:r>
          </w:p>
        </w:tc>
      </w:tr>
      <w:tr w:rsidR="002633A2" w:rsidRPr="00D96E89" w14:paraId="4A3243CF" w14:textId="77777777" w:rsidTr="00C54024">
        <w:trPr>
          <w:trHeight w:val="300"/>
        </w:trPr>
        <w:tc>
          <w:tcPr>
            <w:tcW w:w="4536" w:type="dxa"/>
            <w:noWrap/>
            <w:hideMark/>
          </w:tcPr>
          <w:p w14:paraId="5C30AFBF" w14:textId="77777777" w:rsidR="002633A2" w:rsidRPr="00D96E89" w:rsidRDefault="002633A2" w:rsidP="002633A2">
            <w:pPr>
              <w:rPr>
                <w:b/>
                <w:bCs/>
                <w:sz w:val="20"/>
                <w:szCs w:val="20"/>
              </w:rPr>
            </w:pPr>
            <w:r w:rsidRPr="00D96E89">
              <w:rPr>
                <w:b/>
                <w:bCs/>
                <w:sz w:val="20"/>
                <w:szCs w:val="20"/>
              </w:rPr>
              <w:t>42. Sprawy wewnętrzne</w:t>
            </w:r>
          </w:p>
        </w:tc>
        <w:tc>
          <w:tcPr>
            <w:tcW w:w="1134" w:type="dxa"/>
            <w:noWrap/>
            <w:hideMark/>
          </w:tcPr>
          <w:p w14:paraId="52D32387" w14:textId="77777777" w:rsidR="002633A2" w:rsidRPr="00D96E89" w:rsidRDefault="002633A2" w:rsidP="002633A2">
            <w:pPr>
              <w:jc w:val="right"/>
              <w:rPr>
                <w:b/>
                <w:bCs/>
                <w:sz w:val="20"/>
                <w:szCs w:val="20"/>
              </w:rPr>
            </w:pPr>
            <w:r w:rsidRPr="00D96E89">
              <w:rPr>
                <w:b/>
                <w:bCs/>
                <w:sz w:val="20"/>
                <w:szCs w:val="20"/>
              </w:rPr>
              <w:t>156,58</w:t>
            </w:r>
          </w:p>
        </w:tc>
        <w:tc>
          <w:tcPr>
            <w:tcW w:w="1134" w:type="dxa"/>
            <w:noWrap/>
            <w:hideMark/>
          </w:tcPr>
          <w:p w14:paraId="0906D687" w14:textId="77777777" w:rsidR="002633A2" w:rsidRPr="00D96E89" w:rsidRDefault="002633A2" w:rsidP="002633A2">
            <w:pPr>
              <w:jc w:val="right"/>
              <w:rPr>
                <w:b/>
                <w:bCs/>
                <w:sz w:val="20"/>
                <w:szCs w:val="20"/>
              </w:rPr>
            </w:pPr>
            <w:r w:rsidRPr="00D96E89">
              <w:rPr>
                <w:b/>
                <w:bCs/>
                <w:sz w:val="20"/>
                <w:szCs w:val="20"/>
              </w:rPr>
              <w:t>173,14</w:t>
            </w:r>
          </w:p>
        </w:tc>
        <w:tc>
          <w:tcPr>
            <w:tcW w:w="1559" w:type="dxa"/>
            <w:noWrap/>
            <w:hideMark/>
          </w:tcPr>
          <w:p w14:paraId="66609C68" w14:textId="77777777" w:rsidR="002633A2" w:rsidRPr="00D96E89" w:rsidRDefault="002633A2" w:rsidP="002633A2">
            <w:pPr>
              <w:jc w:val="right"/>
              <w:rPr>
                <w:b/>
                <w:bCs/>
                <w:sz w:val="20"/>
                <w:szCs w:val="20"/>
              </w:rPr>
            </w:pPr>
            <w:r w:rsidRPr="00D96E89">
              <w:rPr>
                <w:b/>
                <w:bCs/>
                <w:sz w:val="20"/>
                <w:szCs w:val="20"/>
              </w:rPr>
              <w:t>494,58</w:t>
            </w:r>
          </w:p>
        </w:tc>
        <w:tc>
          <w:tcPr>
            <w:tcW w:w="1560" w:type="dxa"/>
            <w:noWrap/>
            <w:hideMark/>
          </w:tcPr>
          <w:p w14:paraId="235D37CC" w14:textId="77777777" w:rsidR="002633A2" w:rsidRPr="00D96E89" w:rsidRDefault="002633A2" w:rsidP="002633A2">
            <w:pPr>
              <w:jc w:val="right"/>
              <w:rPr>
                <w:b/>
                <w:bCs/>
                <w:sz w:val="20"/>
                <w:szCs w:val="20"/>
              </w:rPr>
            </w:pPr>
            <w:r w:rsidRPr="00D96E89">
              <w:rPr>
                <w:b/>
                <w:bCs/>
                <w:sz w:val="20"/>
                <w:szCs w:val="20"/>
              </w:rPr>
              <w:t>824,30</w:t>
            </w:r>
          </w:p>
        </w:tc>
      </w:tr>
      <w:tr w:rsidR="002633A2" w:rsidRPr="00D96E89" w14:paraId="019F7D9D" w14:textId="77777777" w:rsidTr="00C54024">
        <w:trPr>
          <w:trHeight w:val="300"/>
        </w:trPr>
        <w:tc>
          <w:tcPr>
            <w:tcW w:w="4536" w:type="dxa"/>
            <w:noWrap/>
            <w:hideMark/>
          </w:tcPr>
          <w:p w14:paraId="0560269B" w14:textId="77777777" w:rsidR="002633A2" w:rsidRPr="00D96E89" w:rsidRDefault="002633A2" w:rsidP="002633A2">
            <w:pPr>
              <w:rPr>
                <w:sz w:val="20"/>
                <w:szCs w:val="20"/>
              </w:rPr>
            </w:pPr>
            <w:r w:rsidRPr="00D96E89">
              <w:rPr>
                <w:sz w:val="20"/>
                <w:szCs w:val="20"/>
              </w:rPr>
              <w:t>750 Administracja publiczna</w:t>
            </w:r>
          </w:p>
        </w:tc>
        <w:tc>
          <w:tcPr>
            <w:tcW w:w="1134" w:type="dxa"/>
            <w:noWrap/>
            <w:hideMark/>
          </w:tcPr>
          <w:p w14:paraId="54B5C9F2" w14:textId="77777777" w:rsidR="002633A2" w:rsidRPr="00D96E89" w:rsidRDefault="002633A2" w:rsidP="002633A2">
            <w:pPr>
              <w:jc w:val="right"/>
              <w:rPr>
                <w:sz w:val="20"/>
                <w:szCs w:val="20"/>
              </w:rPr>
            </w:pPr>
            <w:r w:rsidRPr="00D96E89">
              <w:rPr>
                <w:sz w:val="20"/>
                <w:szCs w:val="20"/>
              </w:rPr>
              <w:t>156,53</w:t>
            </w:r>
          </w:p>
        </w:tc>
        <w:tc>
          <w:tcPr>
            <w:tcW w:w="1134" w:type="dxa"/>
            <w:noWrap/>
            <w:hideMark/>
          </w:tcPr>
          <w:p w14:paraId="5D11273F" w14:textId="77777777" w:rsidR="002633A2" w:rsidRPr="00D96E89" w:rsidRDefault="002633A2" w:rsidP="002633A2">
            <w:pPr>
              <w:jc w:val="right"/>
              <w:rPr>
                <w:sz w:val="20"/>
                <w:szCs w:val="20"/>
              </w:rPr>
            </w:pPr>
            <w:r w:rsidRPr="00D96E89">
              <w:rPr>
                <w:sz w:val="20"/>
                <w:szCs w:val="20"/>
              </w:rPr>
              <w:t>173,09</w:t>
            </w:r>
          </w:p>
        </w:tc>
        <w:tc>
          <w:tcPr>
            <w:tcW w:w="1559" w:type="dxa"/>
            <w:noWrap/>
            <w:hideMark/>
          </w:tcPr>
          <w:p w14:paraId="761B9006" w14:textId="77777777" w:rsidR="002633A2" w:rsidRPr="00D96E89" w:rsidRDefault="002633A2" w:rsidP="002633A2">
            <w:pPr>
              <w:jc w:val="right"/>
              <w:rPr>
                <w:sz w:val="20"/>
                <w:szCs w:val="20"/>
              </w:rPr>
            </w:pPr>
            <w:r w:rsidRPr="00D96E89">
              <w:rPr>
                <w:sz w:val="20"/>
                <w:szCs w:val="20"/>
              </w:rPr>
              <w:t>494,43</w:t>
            </w:r>
          </w:p>
        </w:tc>
        <w:tc>
          <w:tcPr>
            <w:tcW w:w="1560" w:type="dxa"/>
            <w:noWrap/>
            <w:hideMark/>
          </w:tcPr>
          <w:p w14:paraId="1A7124DA" w14:textId="77777777" w:rsidR="002633A2" w:rsidRPr="00D96E89" w:rsidRDefault="002633A2" w:rsidP="002633A2">
            <w:pPr>
              <w:jc w:val="right"/>
              <w:rPr>
                <w:sz w:val="20"/>
                <w:szCs w:val="20"/>
              </w:rPr>
            </w:pPr>
            <w:r w:rsidRPr="00D96E89">
              <w:rPr>
                <w:sz w:val="20"/>
                <w:szCs w:val="20"/>
              </w:rPr>
              <w:t>824,04</w:t>
            </w:r>
          </w:p>
        </w:tc>
      </w:tr>
      <w:tr w:rsidR="002633A2" w:rsidRPr="00D96E89" w14:paraId="2F5E809E" w14:textId="77777777" w:rsidTr="00C54024">
        <w:trPr>
          <w:trHeight w:val="300"/>
        </w:trPr>
        <w:tc>
          <w:tcPr>
            <w:tcW w:w="4536" w:type="dxa"/>
            <w:noWrap/>
            <w:hideMark/>
          </w:tcPr>
          <w:p w14:paraId="5EA2AF46" w14:textId="77777777" w:rsidR="002633A2" w:rsidRPr="00D96E89" w:rsidRDefault="002633A2" w:rsidP="002633A2">
            <w:pPr>
              <w:rPr>
                <w:sz w:val="20"/>
                <w:szCs w:val="20"/>
              </w:rPr>
            </w:pPr>
            <w:r w:rsidRPr="00D96E89">
              <w:rPr>
                <w:sz w:val="20"/>
                <w:szCs w:val="20"/>
              </w:rPr>
              <w:t>803 Szkolnictwo wyższe</w:t>
            </w:r>
          </w:p>
        </w:tc>
        <w:tc>
          <w:tcPr>
            <w:tcW w:w="1134" w:type="dxa"/>
            <w:noWrap/>
            <w:hideMark/>
          </w:tcPr>
          <w:p w14:paraId="222AF5F6" w14:textId="77777777" w:rsidR="002633A2" w:rsidRPr="00D96E89" w:rsidRDefault="002633A2" w:rsidP="002633A2">
            <w:pPr>
              <w:jc w:val="right"/>
              <w:rPr>
                <w:sz w:val="20"/>
                <w:szCs w:val="20"/>
              </w:rPr>
            </w:pPr>
            <w:r w:rsidRPr="00D96E89">
              <w:rPr>
                <w:sz w:val="20"/>
                <w:szCs w:val="20"/>
              </w:rPr>
              <w:t>0,05</w:t>
            </w:r>
          </w:p>
        </w:tc>
        <w:tc>
          <w:tcPr>
            <w:tcW w:w="1134" w:type="dxa"/>
            <w:noWrap/>
            <w:hideMark/>
          </w:tcPr>
          <w:p w14:paraId="652AA207" w14:textId="77777777" w:rsidR="002633A2" w:rsidRPr="00D96E89" w:rsidRDefault="002633A2" w:rsidP="002633A2">
            <w:pPr>
              <w:jc w:val="right"/>
              <w:rPr>
                <w:sz w:val="20"/>
                <w:szCs w:val="20"/>
              </w:rPr>
            </w:pPr>
            <w:r w:rsidRPr="00D96E89">
              <w:rPr>
                <w:sz w:val="20"/>
                <w:szCs w:val="20"/>
              </w:rPr>
              <w:t>0,05</w:t>
            </w:r>
          </w:p>
        </w:tc>
        <w:tc>
          <w:tcPr>
            <w:tcW w:w="1559" w:type="dxa"/>
            <w:noWrap/>
            <w:hideMark/>
          </w:tcPr>
          <w:p w14:paraId="2F96C135" w14:textId="77777777" w:rsidR="002633A2" w:rsidRPr="00D96E89" w:rsidRDefault="002633A2" w:rsidP="002633A2">
            <w:pPr>
              <w:jc w:val="right"/>
              <w:rPr>
                <w:sz w:val="20"/>
                <w:szCs w:val="20"/>
              </w:rPr>
            </w:pPr>
            <w:r w:rsidRPr="00D96E89">
              <w:rPr>
                <w:sz w:val="20"/>
                <w:szCs w:val="20"/>
              </w:rPr>
              <w:t>0,15</w:t>
            </w:r>
          </w:p>
        </w:tc>
        <w:tc>
          <w:tcPr>
            <w:tcW w:w="1560" w:type="dxa"/>
            <w:noWrap/>
            <w:hideMark/>
          </w:tcPr>
          <w:p w14:paraId="457EDFDA" w14:textId="77777777" w:rsidR="002633A2" w:rsidRPr="00D96E89" w:rsidRDefault="002633A2" w:rsidP="002633A2">
            <w:pPr>
              <w:jc w:val="right"/>
              <w:rPr>
                <w:sz w:val="20"/>
                <w:szCs w:val="20"/>
              </w:rPr>
            </w:pPr>
            <w:r w:rsidRPr="00D96E89">
              <w:rPr>
                <w:sz w:val="20"/>
                <w:szCs w:val="20"/>
              </w:rPr>
              <w:t>0,26</w:t>
            </w:r>
          </w:p>
        </w:tc>
      </w:tr>
      <w:tr w:rsidR="002633A2" w:rsidRPr="00D96E89" w14:paraId="5A3C51D5" w14:textId="77777777" w:rsidTr="00C54024">
        <w:trPr>
          <w:trHeight w:val="300"/>
        </w:trPr>
        <w:tc>
          <w:tcPr>
            <w:tcW w:w="4536" w:type="dxa"/>
            <w:noWrap/>
            <w:hideMark/>
          </w:tcPr>
          <w:p w14:paraId="5778FFBE" w14:textId="77777777" w:rsidR="002633A2" w:rsidRPr="00D96E89" w:rsidRDefault="002633A2" w:rsidP="002633A2">
            <w:pPr>
              <w:rPr>
                <w:b/>
                <w:bCs/>
                <w:sz w:val="20"/>
                <w:szCs w:val="20"/>
              </w:rPr>
            </w:pPr>
            <w:r w:rsidRPr="00D96E89">
              <w:rPr>
                <w:b/>
                <w:bCs/>
                <w:sz w:val="20"/>
                <w:szCs w:val="20"/>
              </w:rPr>
              <w:t>45. Sprawy zagraniczne</w:t>
            </w:r>
          </w:p>
        </w:tc>
        <w:tc>
          <w:tcPr>
            <w:tcW w:w="1134" w:type="dxa"/>
            <w:noWrap/>
            <w:hideMark/>
          </w:tcPr>
          <w:p w14:paraId="57F80DC3" w14:textId="77777777" w:rsidR="002633A2" w:rsidRPr="00D96E89" w:rsidRDefault="002633A2" w:rsidP="002633A2">
            <w:pPr>
              <w:jc w:val="right"/>
              <w:rPr>
                <w:b/>
                <w:bCs/>
                <w:sz w:val="20"/>
                <w:szCs w:val="20"/>
              </w:rPr>
            </w:pPr>
            <w:r w:rsidRPr="00D96E89">
              <w:rPr>
                <w:b/>
                <w:bCs/>
                <w:sz w:val="20"/>
                <w:szCs w:val="20"/>
              </w:rPr>
              <w:t>942,22</w:t>
            </w:r>
          </w:p>
        </w:tc>
        <w:tc>
          <w:tcPr>
            <w:tcW w:w="1134" w:type="dxa"/>
            <w:noWrap/>
            <w:hideMark/>
          </w:tcPr>
          <w:p w14:paraId="6234E7B3" w14:textId="77777777" w:rsidR="002633A2" w:rsidRPr="00D96E89" w:rsidRDefault="002633A2" w:rsidP="002633A2">
            <w:pPr>
              <w:jc w:val="right"/>
              <w:rPr>
                <w:b/>
                <w:bCs/>
                <w:sz w:val="20"/>
                <w:szCs w:val="20"/>
              </w:rPr>
            </w:pPr>
            <w:r w:rsidRPr="00D96E89">
              <w:rPr>
                <w:b/>
                <w:bCs/>
                <w:sz w:val="20"/>
                <w:szCs w:val="20"/>
              </w:rPr>
              <w:t>1 066,63</w:t>
            </w:r>
          </w:p>
        </w:tc>
        <w:tc>
          <w:tcPr>
            <w:tcW w:w="1559" w:type="dxa"/>
            <w:noWrap/>
            <w:hideMark/>
          </w:tcPr>
          <w:p w14:paraId="22A9B384" w14:textId="77777777" w:rsidR="002633A2" w:rsidRPr="00D96E89" w:rsidRDefault="002633A2" w:rsidP="002633A2">
            <w:pPr>
              <w:jc w:val="right"/>
              <w:rPr>
                <w:b/>
                <w:bCs/>
                <w:sz w:val="20"/>
                <w:szCs w:val="20"/>
              </w:rPr>
            </w:pPr>
            <w:r w:rsidRPr="00D96E89">
              <w:rPr>
                <w:b/>
                <w:bCs/>
                <w:sz w:val="20"/>
                <w:szCs w:val="20"/>
              </w:rPr>
              <w:t>3 013,29</w:t>
            </w:r>
          </w:p>
        </w:tc>
        <w:tc>
          <w:tcPr>
            <w:tcW w:w="1560" w:type="dxa"/>
            <w:noWrap/>
            <w:hideMark/>
          </w:tcPr>
          <w:p w14:paraId="6358A199" w14:textId="77777777" w:rsidR="002633A2" w:rsidRPr="00D96E89" w:rsidRDefault="002633A2" w:rsidP="002633A2">
            <w:pPr>
              <w:jc w:val="right"/>
              <w:rPr>
                <w:b/>
                <w:bCs/>
                <w:sz w:val="20"/>
                <w:szCs w:val="20"/>
              </w:rPr>
            </w:pPr>
            <w:r w:rsidRPr="00D96E89">
              <w:rPr>
                <w:b/>
                <w:bCs/>
                <w:sz w:val="20"/>
                <w:szCs w:val="20"/>
              </w:rPr>
              <w:t>5 022,15</w:t>
            </w:r>
          </w:p>
        </w:tc>
      </w:tr>
      <w:tr w:rsidR="002633A2" w:rsidRPr="00D96E89" w14:paraId="0D351C34" w14:textId="77777777" w:rsidTr="00C54024">
        <w:trPr>
          <w:trHeight w:val="300"/>
        </w:trPr>
        <w:tc>
          <w:tcPr>
            <w:tcW w:w="4536" w:type="dxa"/>
            <w:noWrap/>
            <w:hideMark/>
          </w:tcPr>
          <w:p w14:paraId="571C3DC1" w14:textId="77777777" w:rsidR="002633A2" w:rsidRPr="00D96E89" w:rsidRDefault="002633A2" w:rsidP="002633A2">
            <w:pPr>
              <w:rPr>
                <w:sz w:val="20"/>
                <w:szCs w:val="20"/>
              </w:rPr>
            </w:pPr>
            <w:r w:rsidRPr="00D96E89">
              <w:rPr>
                <w:sz w:val="20"/>
                <w:szCs w:val="20"/>
              </w:rPr>
              <w:t>750 Administracja publiczna</w:t>
            </w:r>
          </w:p>
        </w:tc>
        <w:tc>
          <w:tcPr>
            <w:tcW w:w="1134" w:type="dxa"/>
            <w:noWrap/>
            <w:hideMark/>
          </w:tcPr>
          <w:p w14:paraId="717A0C19" w14:textId="77777777" w:rsidR="002633A2" w:rsidRPr="00D96E89" w:rsidRDefault="002633A2" w:rsidP="002633A2">
            <w:pPr>
              <w:jc w:val="right"/>
              <w:rPr>
                <w:sz w:val="20"/>
                <w:szCs w:val="20"/>
              </w:rPr>
            </w:pPr>
            <w:r w:rsidRPr="00D96E89">
              <w:rPr>
                <w:sz w:val="20"/>
                <w:szCs w:val="20"/>
              </w:rPr>
              <w:t>942,22</w:t>
            </w:r>
          </w:p>
        </w:tc>
        <w:tc>
          <w:tcPr>
            <w:tcW w:w="1134" w:type="dxa"/>
            <w:noWrap/>
            <w:hideMark/>
          </w:tcPr>
          <w:p w14:paraId="722F0601" w14:textId="77777777" w:rsidR="002633A2" w:rsidRPr="00D96E89" w:rsidRDefault="002633A2" w:rsidP="002633A2">
            <w:pPr>
              <w:jc w:val="right"/>
              <w:rPr>
                <w:sz w:val="20"/>
                <w:szCs w:val="20"/>
              </w:rPr>
            </w:pPr>
            <w:r w:rsidRPr="00D96E89">
              <w:rPr>
                <w:sz w:val="20"/>
                <w:szCs w:val="20"/>
              </w:rPr>
              <w:t>1 066,63</w:t>
            </w:r>
          </w:p>
        </w:tc>
        <w:tc>
          <w:tcPr>
            <w:tcW w:w="1559" w:type="dxa"/>
            <w:noWrap/>
            <w:hideMark/>
          </w:tcPr>
          <w:p w14:paraId="110635FF" w14:textId="77777777" w:rsidR="002633A2" w:rsidRPr="00D96E89" w:rsidRDefault="002633A2" w:rsidP="002633A2">
            <w:pPr>
              <w:jc w:val="right"/>
              <w:rPr>
                <w:sz w:val="20"/>
                <w:szCs w:val="20"/>
              </w:rPr>
            </w:pPr>
            <w:r w:rsidRPr="00D96E89">
              <w:rPr>
                <w:sz w:val="20"/>
                <w:szCs w:val="20"/>
              </w:rPr>
              <w:t>3 013,29</w:t>
            </w:r>
          </w:p>
        </w:tc>
        <w:tc>
          <w:tcPr>
            <w:tcW w:w="1560" w:type="dxa"/>
            <w:noWrap/>
            <w:hideMark/>
          </w:tcPr>
          <w:p w14:paraId="36524530" w14:textId="77777777" w:rsidR="002633A2" w:rsidRPr="00D96E89" w:rsidRDefault="002633A2" w:rsidP="002633A2">
            <w:pPr>
              <w:jc w:val="right"/>
              <w:rPr>
                <w:sz w:val="20"/>
                <w:szCs w:val="20"/>
              </w:rPr>
            </w:pPr>
            <w:r w:rsidRPr="00D96E89">
              <w:rPr>
                <w:sz w:val="20"/>
                <w:szCs w:val="20"/>
              </w:rPr>
              <w:t>5 022,15</w:t>
            </w:r>
          </w:p>
        </w:tc>
      </w:tr>
      <w:tr w:rsidR="002633A2" w:rsidRPr="00D96E89" w14:paraId="551124EA" w14:textId="77777777" w:rsidTr="00C54024">
        <w:trPr>
          <w:trHeight w:val="300"/>
        </w:trPr>
        <w:tc>
          <w:tcPr>
            <w:tcW w:w="4536" w:type="dxa"/>
            <w:noWrap/>
            <w:hideMark/>
          </w:tcPr>
          <w:p w14:paraId="4987C198" w14:textId="77777777" w:rsidR="002633A2" w:rsidRPr="00D96E89" w:rsidRDefault="002633A2" w:rsidP="002633A2">
            <w:pPr>
              <w:rPr>
                <w:b/>
                <w:bCs/>
                <w:sz w:val="20"/>
                <w:szCs w:val="20"/>
              </w:rPr>
            </w:pPr>
            <w:r w:rsidRPr="00D96E89">
              <w:rPr>
                <w:b/>
                <w:bCs/>
                <w:sz w:val="20"/>
                <w:szCs w:val="20"/>
              </w:rPr>
              <w:t>58. Główny Urząd Statystyczny</w:t>
            </w:r>
          </w:p>
        </w:tc>
        <w:tc>
          <w:tcPr>
            <w:tcW w:w="1134" w:type="dxa"/>
            <w:noWrap/>
            <w:hideMark/>
          </w:tcPr>
          <w:p w14:paraId="781AC1BA" w14:textId="77777777" w:rsidR="002633A2" w:rsidRPr="00D96E89" w:rsidRDefault="002633A2" w:rsidP="002633A2">
            <w:pPr>
              <w:jc w:val="right"/>
              <w:rPr>
                <w:b/>
                <w:bCs/>
                <w:sz w:val="20"/>
                <w:szCs w:val="20"/>
              </w:rPr>
            </w:pPr>
            <w:r w:rsidRPr="00D96E89">
              <w:rPr>
                <w:b/>
                <w:bCs/>
                <w:sz w:val="20"/>
                <w:szCs w:val="20"/>
              </w:rPr>
              <w:t>121,82</w:t>
            </w:r>
          </w:p>
        </w:tc>
        <w:tc>
          <w:tcPr>
            <w:tcW w:w="1134" w:type="dxa"/>
            <w:noWrap/>
            <w:hideMark/>
          </w:tcPr>
          <w:p w14:paraId="3586F0C9" w14:textId="77777777" w:rsidR="002633A2" w:rsidRPr="00D96E89" w:rsidRDefault="002633A2" w:rsidP="002633A2">
            <w:pPr>
              <w:jc w:val="right"/>
              <w:rPr>
                <w:b/>
                <w:bCs/>
                <w:sz w:val="20"/>
                <w:szCs w:val="20"/>
              </w:rPr>
            </w:pPr>
            <w:r w:rsidRPr="00D96E89">
              <w:rPr>
                <w:b/>
                <w:bCs/>
                <w:sz w:val="20"/>
                <w:szCs w:val="20"/>
              </w:rPr>
              <w:t>125,66</w:t>
            </w:r>
          </w:p>
        </w:tc>
        <w:tc>
          <w:tcPr>
            <w:tcW w:w="1559" w:type="dxa"/>
            <w:noWrap/>
            <w:hideMark/>
          </w:tcPr>
          <w:p w14:paraId="14D01E5F" w14:textId="77777777" w:rsidR="002633A2" w:rsidRPr="00D96E89" w:rsidRDefault="002633A2" w:rsidP="002633A2">
            <w:pPr>
              <w:jc w:val="right"/>
              <w:rPr>
                <w:b/>
                <w:bCs/>
                <w:sz w:val="20"/>
                <w:szCs w:val="20"/>
              </w:rPr>
            </w:pPr>
            <w:r w:rsidRPr="00D96E89">
              <w:rPr>
                <w:b/>
                <w:bCs/>
                <w:sz w:val="20"/>
                <w:szCs w:val="20"/>
              </w:rPr>
              <w:t>371,22</w:t>
            </w:r>
          </w:p>
        </w:tc>
        <w:tc>
          <w:tcPr>
            <w:tcW w:w="1560" w:type="dxa"/>
            <w:noWrap/>
            <w:hideMark/>
          </w:tcPr>
          <w:p w14:paraId="0F29E3B4" w14:textId="77777777" w:rsidR="002633A2" w:rsidRPr="00D96E89" w:rsidRDefault="002633A2" w:rsidP="002633A2">
            <w:pPr>
              <w:jc w:val="right"/>
              <w:rPr>
                <w:b/>
                <w:bCs/>
                <w:sz w:val="20"/>
                <w:szCs w:val="20"/>
              </w:rPr>
            </w:pPr>
            <w:r w:rsidRPr="00D96E89">
              <w:rPr>
                <w:b/>
                <w:bCs/>
                <w:sz w:val="20"/>
                <w:szCs w:val="20"/>
              </w:rPr>
              <w:t>618,70</w:t>
            </w:r>
          </w:p>
        </w:tc>
      </w:tr>
      <w:tr w:rsidR="002633A2" w:rsidRPr="00D96E89" w14:paraId="2D1C6B17" w14:textId="77777777" w:rsidTr="00C54024">
        <w:trPr>
          <w:trHeight w:val="300"/>
        </w:trPr>
        <w:tc>
          <w:tcPr>
            <w:tcW w:w="4536" w:type="dxa"/>
            <w:noWrap/>
            <w:hideMark/>
          </w:tcPr>
          <w:p w14:paraId="0DC20B83" w14:textId="77777777" w:rsidR="002633A2" w:rsidRPr="00D96E89" w:rsidRDefault="002633A2" w:rsidP="002633A2">
            <w:pPr>
              <w:rPr>
                <w:sz w:val="20"/>
                <w:szCs w:val="20"/>
              </w:rPr>
            </w:pPr>
            <w:r w:rsidRPr="00D96E89">
              <w:rPr>
                <w:sz w:val="20"/>
                <w:szCs w:val="20"/>
              </w:rPr>
              <w:t>750 Administracja publiczna</w:t>
            </w:r>
          </w:p>
        </w:tc>
        <w:tc>
          <w:tcPr>
            <w:tcW w:w="1134" w:type="dxa"/>
            <w:noWrap/>
            <w:hideMark/>
          </w:tcPr>
          <w:p w14:paraId="684066A5" w14:textId="77777777" w:rsidR="002633A2" w:rsidRPr="00D96E89" w:rsidRDefault="002633A2" w:rsidP="002633A2">
            <w:pPr>
              <w:jc w:val="right"/>
              <w:rPr>
                <w:sz w:val="20"/>
                <w:szCs w:val="20"/>
              </w:rPr>
            </w:pPr>
            <w:r w:rsidRPr="00D96E89">
              <w:rPr>
                <w:sz w:val="20"/>
                <w:szCs w:val="20"/>
              </w:rPr>
              <w:t>121,82</w:t>
            </w:r>
          </w:p>
        </w:tc>
        <w:tc>
          <w:tcPr>
            <w:tcW w:w="1134" w:type="dxa"/>
            <w:noWrap/>
            <w:hideMark/>
          </w:tcPr>
          <w:p w14:paraId="09AEC1C7" w14:textId="77777777" w:rsidR="002633A2" w:rsidRPr="00D96E89" w:rsidRDefault="002633A2" w:rsidP="002633A2">
            <w:pPr>
              <w:jc w:val="right"/>
              <w:rPr>
                <w:sz w:val="20"/>
                <w:szCs w:val="20"/>
              </w:rPr>
            </w:pPr>
            <w:r w:rsidRPr="00D96E89">
              <w:rPr>
                <w:sz w:val="20"/>
                <w:szCs w:val="20"/>
              </w:rPr>
              <w:t>125,66</w:t>
            </w:r>
          </w:p>
        </w:tc>
        <w:tc>
          <w:tcPr>
            <w:tcW w:w="1559" w:type="dxa"/>
            <w:noWrap/>
            <w:hideMark/>
          </w:tcPr>
          <w:p w14:paraId="104CB01C" w14:textId="77777777" w:rsidR="002633A2" w:rsidRPr="00D96E89" w:rsidRDefault="002633A2" w:rsidP="002633A2">
            <w:pPr>
              <w:jc w:val="right"/>
              <w:rPr>
                <w:sz w:val="20"/>
                <w:szCs w:val="20"/>
              </w:rPr>
            </w:pPr>
            <w:r w:rsidRPr="00D96E89">
              <w:rPr>
                <w:sz w:val="20"/>
                <w:szCs w:val="20"/>
              </w:rPr>
              <w:t>371,22</w:t>
            </w:r>
          </w:p>
        </w:tc>
        <w:tc>
          <w:tcPr>
            <w:tcW w:w="1560" w:type="dxa"/>
            <w:noWrap/>
            <w:hideMark/>
          </w:tcPr>
          <w:p w14:paraId="690CDA37" w14:textId="77777777" w:rsidR="002633A2" w:rsidRPr="00D96E89" w:rsidRDefault="002633A2" w:rsidP="002633A2">
            <w:pPr>
              <w:jc w:val="right"/>
              <w:rPr>
                <w:sz w:val="20"/>
                <w:szCs w:val="20"/>
              </w:rPr>
            </w:pPr>
            <w:r w:rsidRPr="00D96E89">
              <w:rPr>
                <w:sz w:val="20"/>
                <w:szCs w:val="20"/>
              </w:rPr>
              <w:t>618,70</w:t>
            </w:r>
          </w:p>
        </w:tc>
      </w:tr>
      <w:tr w:rsidR="002633A2" w:rsidRPr="00D96E89" w14:paraId="39A82255" w14:textId="77777777" w:rsidTr="00C54024">
        <w:trPr>
          <w:trHeight w:val="300"/>
        </w:trPr>
        <w:tc>
          <w:tcPr>
            <w:tcW w:w="4536" w:type="dxa"/>
            <w:noWrap/>
            <w:hideMark/>
          </w:tcPr>
          <w:p w14:paraId="3645158B" w14:textId="77777777" w:rsidR="002633A2" w:rsidRPr="00D96E89" w:rsidRDefault="002633A2" w:rsidP="002633A2">
            <w:pPr>
              <w:rPr>
                <w:b/>
                <w:bCs/>
                <w:sz w:val="20"/>
                <w:szCs w:val="20"/>
              </w:rPr>
            </w:pPr>
            <w:r w:rsidRPr="00D96E89">
              <w:rPr>
                <w:b/>
                <w:bCs/>
                <w:sz w:val="20"/>
                <w:szCs w:val="20"/>
              </w:rPr>
              <w:t>85. Wojewodowie</w:t>
            </w:r>
          </w:p>
        </w:tc>
        <w:tc>
          <w:tcPr>
            <w:tcW w:w="1134" w:type="dxa"/>
            <w:noWrap/>
            <w:hideMark/>
          </w:tcPr>
          <w:p w14:paraId="13583437" w14:textId="77777777" w:rsidR="002633A2" w:rsidRPr="00D96E89" w:rsidRDefault="002633A2" w:rsidP="002633A2">
            <w:pPr>
              <w:jc w:val="right"/>
              <w:rPr>
                <w:b/>
                <w:bCs/>
                <w:sz w:val="20"/>
                <w:szCs w:val="20"/>
              </w:rPr>
            </w:pPr>
            <w:r w:rsidRPr="00D96E89">
              <w:rPr>
                <w:b/>
                <w:bCs/>
                <w:sz w:val="20"/>
                <w:szCs w:val="20"/>
              </w:rPr>
              <w:t>38,73</w:t>
            </w:r>
          </w:p>
        </w:tc>
        <w:tc>
          <w:tcPr>
            <w:tcW w:w="1134" w:type="dxa"/>
            <w:noWrap/>
            <w:hideMark/>
          </w:tcPr>
          <w:p w14:paraId="39D7D6BB" w14:textId="77777777" w:rsidR="002633A2" w:rsidRPr="00D96E89" w:rsidRDefault="002633A2" w:rsidP="002633A2">
            <w:pPr>
              <w:jc w:val="right"/>
              <w:rPr>
                <w:b/>
                <w:bCs/>
                <w:sz w:val="20"/>
                <w:szCs w:val="20"/>
              </w:rPr>
            </w:pPr>
            <w:r w:rsidRPr="00D96E89">
              <w:rPr>
                <w:b/>
                <w:bCs/>
                <w:sz w:val="20"/>
                <w:szCs w:val="20"/>
              </w:rPr>
              <w:t>8,83</w:t>
            </w:r>
          </w:p>
        </w:tc>
        <w:tc>
          <w:tcPr>
            <w:tcW w:w="1559" w:type="dxa"/>
            <w:noWrap/>
            <w:hideMark/>
          </w:tcPr>
          <w:p w14:paraId="285598FB" w14:textId="77777777" w:rsidR="002633A2" w:rsidRPr="00D96E89" w:rsidRDefault="002633A2" w:rsidP="002633A2">
            <w:pPr>
              <w:jc w:val="right"/>
              <w:rPr>
                <w:b/>
                <w:bCs/>
                <w:sz w:val="20"/>
                <w:szCs w:val="20"/>
              </w:rPr>
            </w:pPr>
            <w:r w:rsidRPr="00D96E89">
              <w:rPr>
                <w:b/>
                <w:bCs/>
                <w:sz w:val="20"/>
                <w:szCs w:val="20"/>
              </w:rPr>
              <w:t>71,34</w:t>
            </w:r>
          </w:p>
        </w:tc>
        <w:tc>
          <w:tcPr>
            <w:tcW w:w="1560" w:type="dxa"/>
            <w:noWrap/>
            <w:hideMark/>
          </w:tcPr>
          <w:p w14:paraId="76DA8EE0" w14:textId="77777777" w:rsidR="002633A2" w:rsidRPr="00D96E89" w:rsidRDefault="002633A2" w:rsidP="002633A2">
            <w:pPr>
              <w:jc w:val="right"/>
              <w:rPr>
                <w:sz w:val="20"/>
                <w:szCs w:val="20"/>
              </w:rPr>
            </w:pPr>
            <w:r w:rsidRPr="00D96E89">
              <w:rPr>
                <w:sz w:val="20"/>
                <w:szCs w:val="20"/>
              </w:rPr>
              <w:t>118,90</w:t>
            </w:r>
          </w:p>
        </w:tc>
      </w:tr>
      <w:tr w:rsidR="002633A2" w:rsidRPr="00D96E89" w14:paraId="3EAED8E9" w14:textId="77777777" w:rsidTr="00C54024">
        <w:trPr>
          <w:trHeight w:val="300"/>
        </w:trPr>
        <w:tc>
          <w:tcPr>
            <w:tcW w:w="4536" w:type="dxa"/>
            <w:noWrap/>
            <w:hideMark/>
          </w:tcPr>
          <w:p w14:paraId="0239F392" w14:textId="77777777" w:rsidR="002633A2" w:rsidRPr="00D96E89" w:rsidRDefault="002633A2" w:rsidP="002633A2">
            <w:pPr>
              <w:rPr>
                <w:sz w:val="20"/>
                <w:szCs w:val="20"/>
              </w:rPr>
            </w:pPr>
            <w:r w:rsidRPr="00D96E89">
              <w:rPr>
                <w:sz w:val="20"/>
                <w:szCs w:val="20"/>
              </w:rPr>
              <w:t>710 Działalność usługowa</w:t>
            </w:r>
          </w:p>
        </w:tc>
        <w:tc>
          <w:tcPr>
            <w:tcW w:w="1134" w:type="dxa"/>
            <w:noWrap/>
            <w:hideMark/>
          </w:tcPr>
          <w:p w14:paraId="0441CF9B" w14:textId="77777777" w:rsidR="002633A2" w:rsidRPr="00D96E89" w:rsidRDefault="002633A2" w:rsidP="002633A2">
            <w:pPr>
              <w:jc w:val="right"/>
              <w:rPr>
                <w:sz w:val="20"/>
                <w:szCs w:val="20"/>
              </w:rPr>
            </w:pPr>
            <w:r w:rsidRPr="00D96E89">
              <w:rPr>
                <w:sz w:val="20"/>
                <w:szCs w:val="20"/>
              </w:rPr>
              <w:t>2,09</w:t>
            </w:r>
          </w:p>
        </w:tc>
        <w:tc>
          <w:tcPr>
            <w:tcW w:w="1134" w:type="dxa"/>
            <w:noWrap/>
            <w:hideMark/>
          </w:tcPr>
          <w:p w14:paraId="6BC61D30" w14:textId="77777777" w:rsidR="002633A2" w:rsidRPr="00D96E89" w:rsidRDefault="002633A2" w:rsidP="002633A2">
            <w:pPr>
              <w:jc w:val="right"/>
              <w:rPr>
                <w:sz w:val="20"/>
                <w:szCs w:val="20"/>
              </w:rPr>
            </w:pPr>
            <w:r w:rsidRPr="00D96E89">
              <w:rPr>
                <w:sz w:val="20"/>
                <w:szCs w:val="20"/>
              </w:rPr>
              <w:t>2,20</w:t>
            </w:r>
          </w:p>
        </w:tc>
        <w:tc>
          <w:tcPr>
            <w:tcW w:w="1559" w:type="dxa"/>
            <w:noWrap/>
            <w:hideMark/>
          </w:tcPr>
          <w:p w14:paraId="2A5AADE5" w14:textId="77777777" w:rsidR="002633A2" w:rsidRPr="00D96E89" w:rsidRDefault="002633A2" w:rsidP="002633A2">
            <w:pPr>
              <w:jc w:val="right"/>
              <w:rPr>
                <w:sz w:val="20"/>
                <w:szCs w:val="20"/>
              </w:rPr>
            </w:pPr>
            <w:r w:rsidRPr="00D96E89">
              <w:rPr>
                <w:sz w:val="20"/>
                <w:szCs w:val="20"/>
              </w:rPr>
              <w:t>6,43</w:t>
            </w:r>
          </w:p>
        </w:tc>
        <w:tc>
          <w:tcPr>
            <w:tcW w:w="1560" w:type="dxa"/>
            <w:noWrap/>
            <w:hideMark/>
          </w:tcPr>
          <w:p w14:paraId="73CDF14C" w14:textId="77777777" w:rsidR="002633A2" w:rsidRPr="00D96E89" w:rsidRDefault="002633A2" w:rsidP="002633A2">
            <w:pPr>
              <w:jc w:val="right"/>
              <w:rPr>
                <w:sz w:val="20"/>
                <w:szCs w:val="20"/>
              </w:rPr>
            </w:pPr>
            <w:r w:rsidRPr="00D96E89">
              <w:rPr>
                <w:sz w:val="20"/>
                <w:szCs w:val="20"/>
              </w:rPr>
              <w:t>10,72</w:t>
            </w:r>
          </w:p>
        </w:tc>
      </w:tr>
      <w:tr w:rsidR="002633A2" w:rsidRPr="00D96E89" w14:paraId="6BC61B5C" w14:textId="77777777" w:rsidTr="00C54024">
        <w:trPr>
          <w:trHeight w:val="300"/>
        </w:trPr>
        <w:tc>
          <w:tcPr>
            <w:tcW w:w="4536" w:type="dxa"/>
            <w:noWrap/>
            <w:hideMark/>
          </w:tcPr>
          <w:p w14:paraId="54C4367D" w14:textId="77777777" w:rsidR="002633A2" w:rsidRPr="00D96E89" w:rsidRDefault="002633A2" w:rsidP="002633A2">
            <w:pPr>
              <w:rPr>
                <w:sz w:val="20"/>
                <w:szCs w:val="20"/>
              </w:rPr>
            </w:pPr>
            <w:r w:rsidRPr="00D96E89">
              <w:rPr>
                <w:sz w:val="20"/>
                <w:szCs w:val="20"/>
              </w:rPr>
              <w:t>750 Administracja publiczna</w:t>
            </w:r>
          </w:p>
        </w:tc>
        <w:tc>
          <w:tcPr>
            <w:tcW w:w="1134" w:type="dxa"/>
            <w:noWrap/>
            <w:hideMark/>
          </w:tcPr>
          <w:p w14:paraId="066B3D12" w14:textId="77777777" w:rsidR="002633A2" w:rsidRPr="00D96E89" w:rsidRDefault="002633A2" w:rsidP="002633A2">
            <w:pPr>
              <w:jc w:val="right"/>
              <w:rPr>
                <w:sz w:val="20"/>
                <w:szCs w:val="20"/>
              </w:rPr>
            </w:pPr>
            <w:r w:rsidRPr="00D96E89">
              <w:rPr>
                <w:sz w:val="20"/>
                <w:szCs w:val="20"/>
              </w:rPr>
              <w:t>4,17</w:t>
            </w:r>
          </w:p>
        </w:tc>
        <w:tc>
          <w:tcPr>
            <w:tcW w:w="1134" w:type="dxa"/>
            <w:noWrap/>
            <w:hideMark/>
          </w:tcPr>
          <w:p w14:paraId="5B127EFB" w14:textId="77777777" w:rsidR="002633A2" w:rsidRPr="00D96E89" w:rsidRDefault="002633A2" w:rsidP="002633A2">
            <w:pPr>
              <w:jc w:val="right"/>
              <w:rPr>
                <w:sz w:val="20"/>
                <w:szCs w:val="20"/>
              </w:rPr>
            </w:pPr>
            <w:r w:rsidRPr="00D96E89">
              <w:rPr>
                <w:sz w:val="20"/>
                <w:szCs w:val="20"/>
              </w:rPr>
              <w:t>1,27</w:t>
            </w:r>
          </w:p>
        </w:tc>
        <w:tc>
          <w:tcPr>
            <w:tcW w:w="1559" w:type="dxa"/>
            <w:noWrap/>
            <w:hideMark/>
          </w:tcPr>
          <w:p w14:paraId="6F9E39CC" w14:textId="77777777" w:rsidR="002633A2" w:rsidRPr="00D96E89" w:rsidRDefault="002633A2" w:rsidP="002633A2">
            <w:pPr>
              <w:jc w:val="right"/>
              <w:rPr>
                <w:sz w:val="20"/>
                <w:szCs w:val="20"/>
              </w:rPr>
            </w:pPr>
            <w:r w:rsidRPr="00D96E89">
              <w:rPr>
                <w:sz w:val="20"/>
                <w:szCs w:val="20"/>
              </w:rPr>
              <w:t>8,16</w:t>
            </w:r>
          </w:p>
        </w:tc>
        <w:tc>
          <w:tcPr>
            <w:tcW w:w="1560" w:type="dxa"/>
            <w:noWrap/>
            <w:hideMark/>
          </w:tcPr>
          <w:p w14:paraId="241C466A" w14:textId="77777777" w:rsidR="002633A2" w:rsidRPr="00D96E89" w:rsidRDefault="002633A2" w:rsidP="002633A2">
            <w:pPr>
              <w:jc w:val="right"/>
              <w:rPr>
                <w:sz w:val="20"/>
                <w:szCs w:val="20"/>
              </w:rPr>
            </w:pPr>
            <w:r w:rsidRPr="00D96E89">
              <w:rPr>
                <w:sz w:val="20"/>
                <w:szCs w:val="20"/>
              </w:rPr>
              <w:t>13,59</w:t>
            </w:r>
          </w:p>
        </w:tc>
      </w:tr>
      <w:tr w:rsidR="002633A2" w:rsidRPr="00D96E89" w14:paraId="626ADE90" w14:textId="77777777" w:rsidTr="00C54024">
        <w:trPr>
          <w:trHeight w:val="300"/>
        </w:trPr>
        <w:tc>
          <w:tcPr>
            <w:tcW w:w="4536" w:type="dxa"/>
            <w:noWrap/>
            <w:hideMark/>
          </w:tcPr>
          <w:p w14:paraId="2A1483DF" w14:textId="77777777" w:rsidR="002633A2" w:rsidRPr="00D96E89" w:rsidRDefault="002633A2" w:rsidP="002633A2">
            <w:pPr>
              <w:rPr>
                <w:sz w:val="20"/>
                <w:szCs w:val="20"/>
              </w:rPr>
            </w:pPr>
            <w:r w:rsidRPr="00D96E89">
              <w:rPr>
                <w:sz w:val="20"/>
                <w:szCs w:val="20"/>
              </w:rPr>
              <w:t>754 Bezpieczeństwo publiczne i ochrona przeciwpożarowa</w:t>
            </w:r>
          </w:p>
        </w:tc>
        <w:tc>
          <w:tcPr>
            <w:tcW w:w="1134" w:type="dxa"/>
            <w:noWrap/>
            <w:hideMark/>
          </w:tcPr>
          <w:p w14:paraId="7013C7C4" w14:textId="77777777" w:rsidR="002633A2" w:rsidRPr="00D96E89" w:rsidRDefault="002633A2" w:rsidP="002633A2">
            <w:pPr>
              <w:jc w:val="right"/>
              <w:rPr>
                <w:sz w:val="20"/>
                <w:szCs w:val="20"/>
              </w:rPr>
            </w:pPr>
            <w:r w:rsidRPr="00D96E89">
              <w:rPr>
                <w:sz w:val="20"/>
                <w:szCs w:val="20"/>
              </w:rPr>
              <w:t>32,47</w:t>
            </w:r>
          </w:p>
        </w:tc>
        <w:tc>
          <w:tcPr>
            <w:tcW w:w="1134" w:type="dxa"/>
            <w:noWrap/>
            <w:hideMark/>
          </w:tcPr>
          <w:p w14:paraId="41E3AE87" w14:textId="77777777" w:rsidR="002633A2" w:rsidRPr="00D96E89" w:rsidRDefault="002633A2" w:rsidP="002633A2">
            <w:pPr>
              <w:jc w:val="right"/>
              <w:rPr>
                <w:sz w:val="20"/>
                <w:szCs w:val="20"/>
              </w:rPr>
            </w:pPr>
            <w:r w:rsidRPr="00D96E89">
              <w:rPr>
                <w:sz w:val="20"/>
                <w:szCs w:val="20"/>
              </w:rPr>
              <w:t>5,36</w:t>
            </w:r>
          </w:p>
        </w:tc>
        <w:tc>
          <w:tcPr>
            <w:tcW w:w="1559" w:type="dxa"/>
            <w:noWrap/>
            <w:hideMark/>
          </w:tcPr>
          <w:p w14:paraId="56AB427D" w14:textId="77777777" w:rsidR="002633A2" w:rsidRPr="00D96E89" w:rsidRDefault="002633A2" w:rsidP="002633A2">
            <w:pPr>
              <w:jc w:val="right"/>
              <w:rPr>
                <w:sz w:val="20"/>
                <w:szCs w:val="20"/>
              </w:rPr>
            </w:pPr>
            <w:r w:rsidRPr="00D96E89">
              <w:rPr>
                <w:sz w:val="20"/>
                <w:szCs w:val="20"/>
              </w:rPr>
              <w:t>56,75</w:t>
            </w:r>
          </w:p>
        </w:tc>
        <w:tc>
          <w:tcPr>
            <w:tcW w:w="1560" w:type="dxa"/>
            <w:noWrap/>
            <w:hideMark/>
          </w:tcPr>
          <w:p w14:paraId="0322A043" w14:textId="77777777" w:rsidR="002633A2" w:rsidRPr="00D96E89" w:rsidRDefault="002633A2" w:rsidP="002633A2">
            <w:pPr>
              <w:jc w:val="right"/>
              <w:rPr>
                <w:sz w:val="20"/>
                <w:szCs w:val="20"/>
              </w:rPr>
            </w:pPr>
            <w:r w:rsidRPr="00D96E89">
              <w:rPr>
                <w:sz w:val="20"/>
                <w:szCs w:val="20"/>
              </w:rPr>
              <w:t>94,59</w:t>
            </w:r>
          </w:p>
        </w:tc>
      </w:tr>
      <w:tr w:rsidR="002633A2" w:rsidRPr="00D96E89" w14:paraId="27C3607D" w14:textId="77777777" w:rsidTr="00C54024">
        <w:trPr>
          <w:trHeight w:val="300"/>
        </w:trPr>
        <w:tc>
          <w:tcPr>
            <w:tcW w:w="4536" w:type="dxa"/>
            <w:shd w:val="clear" w:color="auto" w:fill="FFF2CC" w:themeFill="accent4" w:themeFillTint="33"/>
            <w:noWrap/>
            <w:hideMark/>
          </w:tcPr>
          <w:p w14:paraId="38E92B4F" w14:textId="77777777" w:rsidR="002633A2" w:rsidRPr="00D96E89" w:rsidRDefault="002633A2" w:rsidP="002633A2">
            <w:pPr>
              <w:rPr>
                <w:b/>
                <w:bCs/>
                <w:sz w:val="20"/>
                <w:szCs w:val="20"/>
              </w:rPr>
            </w:pPr>
            <w:r w:rsidRPr="00D96E89">
              <w:rPr>
                <w:b/>
                <w:bCs/>
                <w:sz w:val="20"/>
                <w:szCs w:val="20"/>
              </w:rPr>
              <w:t>Razem</w:t>
            </w:r>
          </w:p>
        </w:tc>
        <w:tc>
          <w:tcPr>
            <w:tcW w:w="1134" w:type="dxa"/>
            <w:shd w:val="clear" w:color="auto" w:fill="FFF2CC" w:themeFill="accent4" w:themeFillTint="33"/>
            <w:noWrap/>
            <w:hideMark/>
          </w:tcPr>
          <w:p w14:paraId="642F3CE1" w14:textId="77777777" w:rsidR="002633A2" w:rsidRPr="00D96E89" w:rsidRDefault="002633A2" w:rsidP="002633A2">
            <w:pPr>
              <w:jc w:val="right"/>
              <w:rPr>
                <w:b/>
                <w:bCs/>
                <w:sz w:val="20"/>
                <w:szCs w:val="20"/>
              </w:rPr>
            </w:pPr>
            <w:r w:rsidRPr="00D96E89">
              <w:rPr>
                <w:b/>
                <w:bCs/>
                <w:sz w:val="20"/>
                <w:szCs w:val="20"/>
              </w:rPr>
              <w:t>3 822,40</w:t>
            </w:r>
          </w:p>
        </w:tc>
        <w:tc>
          <w:tcPr>
            <w:tcW w:w="1134" w:type="dxa"/>
            <w:shd w:val="clear" w:color="auto" w:fill="FFF2CC" w:themeFill="accent4" w:themeFillTint="33"/>
            <w:noWrap/>
            <w:hideMark/>
          </w:tcPr>
          <w:p w14:paraId="033F7303" w14:textId="77777777" w:rsidR="002633A2" w:rsidRPr="00D96E89" w:rsidRDefault="002633A2" w:rsidP="002633A2">
            <w:pPr>
              <w:jc w:val="right"/>
              <w:rPr>
                <w:b/>
                <w:bCs/>
                <w:sz w:val="20"/>
                <w:szCs w:val="20"/>
              </w:rPr>
            </w:pPr>
            <w:r w:rsidRPr="00D96E89">
              <w:rPr>
                <w:b/>
                <w:bCs/>
                <w:sz w:val="20"/>
                <w:szCs w:val="20"/>
              </w:rPr>
              <w:t>4 421,58</w:t>
            </w:r>
          </w:p>
        </w:tc>
        <w:tc>
          <w:tcPr>
            <w:tcW w:w="1559" w:type="dxa"/>
            <w:shd w:val="clear" w:color="auto" w:fill="FFF2CC" w:themeFill="accent4" w:themeFillTint="33"/>
            <w:noWrap/>
            <w:hideMark/>
          </w:tcPr>
          <w:p w14:paraId="342BE374" w14:textId="77777777" w:rsidR="002633A2" w:rsidRPr="00D96E89" w:rsidRDefault="002633A2" w:rsidP="002633A2">
            <w:pPr>
              <w:jc w:val="right"/>
              <w:rPr>
                <w:b/>
                <w:bCs/>
                <w:sz w:val="20"/>
                <w:szCs w:val="20"/>
              </w:rPr>
            </w:pPr>
            <w:r w:rsidRPr="00D96E89">
              <w:rPr>
                <w:b/>
                <w:bCs/>
                <w:sz w:val="20"/>
                <w:szCs w:val="20"/>
              </w:rPr>
              <w:t>12 365,94</w:t>
            </w:r>
          </w:p>
        </w:tc>
        <w:tc>
          <w:tcPr>
            <w:tcW w:w="1560" w:type="dxa"/>
            <w:shd w:val="clear" w:color="auto" w:fill="FFF2CC" w:themeFill="accent4" w:themeFillTint="33"/>
            <w:noWrap/>
            <w:hideMark/>
          </w:tcPr>
          <w:p w14:paraId="12C196D0" w14:textId="77777777" w:rsidR="002633A2" w:rsidRPr="00D96E89" w:rsidRDefault="002633A2" w:rsidP="002633A2">
            <w:pPr>
              <w:jc w:val="right"/>
              <w:rPr>
                <w:b/>
                <w:bCs/>
                <w:sz w:val="20"/>
                <w:szCs w:val="20"/>
              </w:rPr>
            </w:pPr>
            <w:r w:rsidRPr="00D96E89">
              <w:rPr>
                <w:b/>
                <w:bCs/>
                <w:sz w:val="20"/>
                <w:szCs w:val="20"/>
              </w:rPr>
              <w:t>20 609,89</w:t>
            </w:r>
          </w:p>
        </w:tc>
      </w:tr>
      <w:tr w:rsidR="002633A2" w:rsidRPr="00D96E89" w14:paraId="370602B2" w14:textId="77777777" w:rsidTr="00C54024">
        <w:trPr>
          <w:trHeight w:val="600"/>
        </w:trPr>
        <w:tc>
          <w:tcPr>
            <w:tcW w:w="9923" w:type="dxa"/>
            <w:gridSpan w:val="5"/>
            <w:shd w:val="clear" w:color="auto" w:fill="DEEAF6" w:themeFill="accent1" w:themeFillTint="33"/>
            <w:hideMark/>
          </w:tcPr>
          <w:p w14:paraId="0D59545C" w14:textId="77777777" w:rsidR="002633A2" w:rsidRPr="00D96E89" w:rsidRDefault="00C54024" w:rsidP="00C54024">
            <w:pPr>
              <w:jc w:val="center"/>
              <w:rPr>
                <w:b/>
                <w:bCs/>
                <w:sz w:val="20"/>
                <w:szCs w:val="20"/>
              </w:rPr>
            </w:pPr>
            <w:r w:rsidRPr="00D96E89">
              <w:rPr>
                <w:b/>
                <w:bCs/>
                <w:sz w:val="20"/>
                <w:szCs w:val="20"/>
              </w:rPr>
              <w:t xml:space="preserve">wydatki pozostałych jednostek sektora instytucji rządowych i samorządowych (w przypadku braku danych o ostatecznych wydatkach jest to kwota dotacji z </w:t>
            </w:r>
            <w:r>
              <w:rPr>
                <w:b/>
                <w:bCs/>
                <w:sz w:val="20"/>
                <w:szCs w:val="20"/>
              </w:rPr>
              <w:t>budżetu Państwa</w:t>
            </w:r>
            <w:r w:rsidRPr="00D96E89">
              <w:rPr>
                <w:b/>
                <w:bCs/>
                <w:sz w:val="20"/>
                <w:szCs w:val="20"/>
              </w:rPr>
              <w:t xml:space="preserve"> dla jednostki) </w:t>
            </w:r>
          </w:p>
        </w:tc>
      </w:tr>
      <w:tr w:rsidR="002633A2" w:rsidRPr="00D96E89" w14:paraId="27299C61" w14:textId="77777777" w:rsidTr="00C54024">
        <w:trPr>
          <w:trHeight w:val="300"/>
        </w:trPr>
        <w:tc>
          <w:tcPr>
            <w:tcW w:w="4536" w:type="dxa"/>
            <w:noWrap/>
            <w:hideMark/>
          </w:tcPr>
          <w:p w14:paraId="7CA2461F" w14:textId="77777777" w:rsidR="002633A2" w:rsidRPr="00D96E89" w:rsidRDefault="002633A2" w:rsidP="002633A2">
            <w:pPr>
              <w:rPr>
                <w:sz w:val="20"/>
                <w:szCs w:val="20"/>
              </w:rPr>
            </w:pPr>
            <w:r w:rsidRPr="00D96E89">
              <w:rPr>
                <w:sz w:val="20"/>
                <w:szCs w:val="20"/>
              </w:rPr>
              <w:t>Wydatki pozostałych jednostek</w:t>
            </w:r>
            <w:r w:rsidR="00951AB9">
              <w:rPr>
                <w:rStyle w:val="Odwoanieprzypisudolnego"/>
                <w:sz w:val="20"/>
                <w:szCs w:val="20"/>
              </w:rPr>
              <w:footnoteReference w:id="127"/>
            </w:r>
          </w:p>
        </w:tc>
        <w:tc>
          <w:tcPr>
            <w:tcW w:w="1134" w:type="dxa"/>
            <w:noWrap/>
            <w:hideMark/>
          </w:tcPr>
          <w:p w14:paraId="7868FCD5" w14:textId="77777777" w:rsidR="002633A2" w:rsidRPr="00D96E89" w:rsidRDefault="002633A2" w:rsidP="002633A2">
            <w:pPr>
              <w:jc w:val="right"/>
              <w:rPr>
                <w:sz w:val="20"/>
                <w:szCs w:val="20"/>
              </w:rPr>
            </w:pPr>
            <w:r w:rsidRPr="00D96E89">
              <w:rPr>
                <w:sz w:val="20"/>
                <w:szCs w:val="20"/>
              </w:rPr>
              <w:t>703,31</w:t>
            </w:r>
          </w:p>
        </w:tc>
        <w:tc>
          <w:tcPr>
            <w:tcW w:w="1134" w:type="dxa"/>
            <w:noWrap/>
            <w:hideMark/>
          </w:tcPr>
          <w:p w14:paraId="6EB87508" w14:textId="77777777" w:rsidR="002633A2" w:rsidRPr="00D96E89" w:rsidRDefault="002633A2" w:rsidP="002633A2">
            <w:pPr>
              <w:jc w:val="right"/>
              <w:rPr>
                <w:sz w:val="20"/>
                <w:szCs w:val="20"/>
              </w:rPr>
            </w:pPr>
            <w:r w:rsidRPr="00D96E89">
              <w:rPr>
                <w:sz w:val="20"/>
                <w:szCs w:val="20"/>
              </w:rPr>
              <w:t>656,61</w:t>
            </w:r>
          </w:p>
        </w:tc>
        <w:tc>
          <w:tcPr>
            <w:tcW w:w="1559" w:type="dxa"/>
            <w:noWrap/>
            <w:hideMark/>
          </w:tcPr>
          <w:p w14:paraId="356EA546" w14:textId="77777777" w:rsidR="002633A2" w:rsidRPr="00D96E89" w:rsidRDefault="002633A2" w:rsidP="002633A2">
            <w:pPr>
              <w:jc w:val="right"/>
              <w:rPr>
                <w:sz w:val="20"/>
                <w:szCs w:val="20"/>
              </w:rPr>
            </w:pPr>
            <w:r w:rsidRPr="00D96E89">
              <w:rPr>
                <w:sz w:val="20"/>
                <w:szCs w:val="20"/>
              </w:rPr>
              <w:t>2 039,87</w:t>
            </w:r>
          </w:p>
        </w:tc>
        <w:tc>
          <w:tcPr>
            <w:tcW w:w="1560" w:type="dxa"/>
            <w:noWrap/>
            <w:hideMark/>
          </w:tcPr>
          <w:p w14:paraId="70C74186" w14:textId="77777777" w:rsidR="002633A2" w:rsidRPr="00D96E89" w:rsidRDefault="002633A2" w:rsidP="002633A2">
            <w:pPr>
              <w:jc w:val="right"/>
              <w:rPr>
                <w:sz w:val="20"/>
                <w:szCs w:val="20"/>
              </w:rPr>
            </w:pPr>
            <w:r w:rsidRPr="00D96E89">
              <w:rPr>
                <w:sz w:val="20"/>
                <w:szCs w:val="20"/>
              </w:rPr>
              <w:t>3 399,78</w:t>
            </w:r>
          </w:p>
        </w:tc>
      </w:tr>
      <w:tr w:rsidR="002633A2" w:rsidRPr="00D96E89" w14:paraId="2404976C" w14:textId="77777777" w:rsidTr="00C54024">
        <w:trPr>
          <w:trHeight w:val="300"/>
        </w:trPr>
        <w:tc>
          <w:tcPr>
            <w:tcW w:w="4536" w:type="dxa"/>
            <w:shd w:val="clear" w:color="auto" w:fill="FFF2CC" w:themeFill="accent4" w:themeFillTint="33"/>
            <w:noWrap/>
            <w:hideMark/>
          </w:tcPr>
          <w:p w14:paraId="026101E5" w14:textId="77777777" w:rsidR="002633A2" w:rsidRPr="00D96E89" w:rsidRDefault="002633A2" w:rsidP="002633A2">
            <w:pPr>
              <w:rPr>
                <w:b/>
                <w:bCs/>
                <w:sz w:val="20"/>
                <w:szCs w:val="20"/>
              </w:rPr>
            </w:pPr>
            <w:r w:rsidRPr="00D96E89">
              <w:rPr>
                <w:b/>
                <w:bCs/>
                <w:sz w:val="20"/>
                <w:szCs w:val="20"/>
              </w:rPr>
              <w:t>Razem</w:t>
            </w:r>
          </w:p>
        </w:tc>
        <w:tc>
          <w:tcPr>
            <w:tcW w:w="1134" w:type="dxa"/>
            <w:shd w:val="clear" w:color="auto" w:fill="FFF2CC" w:themeFill="accent4" w:themeFillTint="33"/>
            <w:noWrap/>
            <w:hideMark/>
          </w:tcPr>
          <w:p w14:paraId="5E925AB3" w14:textId="77777777" w:rsidR="002633A2" w:rsidRPr="00D96E89" w:rsidRDefault="002633A2" w:rsidP="002633A2">
            <w:pPr>
              <w:jc w:val="right"/>
              <w:rPr>
                <w:b/>
                <w:bCs/>
                <w:sz w:val="20"/>
                <w:szCs w:val="20"/>
              </w:rPr>
            </w:pPr>
            <w:r w:rsidRPr="00D96E89">
              <w:rPr>
                <w:b/>
                <w:bCs/>
                <w:sz w:val="20"/>
                <w:szCs w:val="20"/>
              </w:rPr>
              <w:t>703,31</w:t>
            </w:r>
          </w:p>
        </w:tc>
        <w:tc>
          <w:tcPr>
            <w:tcW w:w="1134" w:type="dxa"/>
            <w:shd w:val="clear" w:color="auto" w:fill="FFF2CC" w:themeFill="accent4" w:themeFillTint="33"/>
            <w:noWrap/>
            <w:hideMark/>
          </w:tcPr>
          <w:p w14:paraId="2FAE5AD3" w14:textId="77777777" w:rsidR="002633A2" w:rsidRPr="00D96E89" w:rsidRDefault="002633A2" w:rsidP="002633A2">
            <w:pPr>
              <w:jc w:val="right"/>
              <w:rPr>
                <w:b/>
                <w:bCs/>
                <w:sz w:val="20"/>
                <w:szCs w:val="20"/>
              </w:rPr>
            </w:pPr>
            <w:r w:rsidRPr="00D96E89">
              <w:rPr>
                <w:b/>
                <w:bCs/>
                <w:sz w:val="20"/>
                <w:szCs w:val="20"/>
              </w:rPr>
              <w:t>656,61</w:t>
            </w:r>
          </w:p>
        </w:tc>
        <w:tc>
          <w:tcPr>
            <w:tcW w:w="1559" w:type="dxa"/>
            <w:shd w:val="clear" w:color="auto" w:fill="FFF2CC" w:themeFill="accent4" w:themeFillTint="33"/>
            <w:noWrap/>
            <w:hideMark/>
          </w:tcPr>
          <w:p w14:paraId="4EDF1A4E" w14:textId="77777777" w:rsidR="002633A2" w:rsidRPr="00D96E89" w:rsidRDefault="002633A2" w:rsidP="002633A2">
            <w:pPr>
              <w:jc w:val="right"/>
              <w:rPr>
                <w:b/>
                <w:bCs/>
                <w:sz w:val="20"/>
                <w:szCs w:val="20"/>
              </w:rPr>
            </w:pPr>
            <w:r w:rsidRPr="00D96E89">
              <w:rPr>
                <w:b/>
                <w:bCs/>
                <w:sz w:val="20"/>
                <w:szCs w:val="20"/>
              </w:rPr>
              <w:t>2 039,87</w:t>
            </w:r>
          </w:p>
        </w:tc>
        <w:tc>
          <w:tcPr>
            <w:tcW w:w="1560" w:type="dxa"/>
            <w:shd w:val="clear" w:color="auto" w:fill="FFF2CC" w:themeFill="accent4" w:themeFillTint="33"/>
            <w:noWrap/>
            <w:hideMark/>
          </w:tcPr>
          <w:p w14:paraId="60011161" w14:textId="77777777" w:rsidR="002633A2" w:rsidRPr="00D96E89" w:rsidRDefault="002633A2" w:rsidP="002633A2">
            <w:pPr>
              <w:jc w:val="right"/>
              <w:rPr>
                <w:b/>
                <w:bCs/>
                <w:sz w:val="20"/>
                <w:szCs w:val="20"/>
              </w:rPr>
            </w:pPr>
            <w:r w:rsidRPr="00D96E89">
              <w:rPr>
                <w:b/>
                <w:bCs/>
                <w:sz w:val="20"/>
                <w:szCs w:val="20"/>
              </w:rPr>
              <w:t>3 399,78</w:t>
            </w:r>
          </w:p>
        </w:tc>
      </w:tr>
      <w:tr w:rsidR="002633A2" w:rsidRPr="00D96E89" w14:paraId="15A8F9DD" w14:textId="77777777" w:rsidTr="00C54024">
        <w:trPr>
          <w:trHeight w:val="300"/>
        </w:trPr>
        <w:tc>
          <w:tcPr>
            <w:tcW w:w="9923" w:type="dxa"/>
            <w:gridSpan w:val="5"/>
            <w:shd w:val="clear" w:color="auto" w:fill="DEEAF6" w:themeFill="accent1" w:themeFillTint="33"/>
            <w:noWrap/>
            <w:hideMark/>
          </w:tcPr>
          <w:p w14:paraId="5F31D443" w14:textId="77777777" w:rsidR="002633A2" w:rsidRPr="00D96E89" w:rsidRDefault="00C54024" w:rsidP="003C7171">
            <w:pPr>
              <w:jc w:val="center"/>
              <w:rPr>
                <w:b/>
                <w:bCs/>
                <w:sz w:val="20"/>
                <w:szCs w:val="20"/>
              </w:rPr>
            </w:pPr>
            <w:r w:rsidRPr="00D96E89">
              <w:rPr>
                <w:b/>
                <w:bCs/>
                <w:sz w:val="20"/>
                <w:szCs w:val="20"/>
              </w:rPr>
              <w:t>wydatki w ramach polityki spójności i współfinansowanie </w:t>
            </w:r>
          </w:p>
        </w:tc>
      </w:tr>
      <w:tr w:rsidR="002633A2" w:rsidRPr="00D96E89" w14:paraId="44FE3931" w14:textId="77777777" w:rsidTr="00C54024">
        <w:trPr>
          <w:trHeight w:val="300"/>
        </w:trPr>
        <w:tc>
          <w:tcPr>
            <w:tcW w:w="4536" w:type="dxa"/>
            <w:noWrap/>
            <w:hideMark/>
          </w:tcPr>
          <w:p w14:paraId="0E865FDD" w14:textId="77777777" w:rsidR="002633A2" w:rsidRPr="00D96E89" w:rsidRDefault="002633A2" w:rsidP="002633A2">
            <w:pPr>
              <w:rPr>
                <w:sz w:val="20"/>
                <w:szCs w:val="20"/>
              </w:rPr>
            </w:pPr>
            <w:r w:rsidRPr="00D96E89">
              <w:rPr>
                <w:sz w:val="20"/>
                <w:szCs w:val="20"/>
              </w:rPr>
              <w:t>Społeczeństwo informacyjne</w:t>
            </w:r>
          </w:p>
        </w:tc>
        <w:tc>
          <w:tcPr>
            <w:tcW w:w="1134" w:type="dxa"/>
            <w:noWrap/>
            <w:hideMark/>
          </w:tcPr>
          <w:p w14:paraId="54186D30" w14:textId="77777777" w:rsidR="002633A2" w:rsidRPr="00D96E89" w:rsidRDefault="002633A2" w:rsidP="002633A2">
            <w:pPr>
              <w:jc w:val="right"/>
              <w:rPr>
                <w:sz w:val="20"/>
                <w:szCs w:val="20"/>
              </w:rPr>
            </w:pPr>
            <w:r w:rsidRPr="00D96E89">
              <w:rPr>
                <w:sz w:val="20"/>
                <w:szCs w:val="20"/>
              </w:rPr>
              <w:t>47,08</w:t>
            </w:r>
          </w:p>
        </w:tc>
        <w:tc>
          <w:tcPr>
            <w:tcW w:w="1134" w:type="dxa"/>
            <w:noWrap/>
            <w:hideMark/>
          </w:tcPr>
          <w:p w14:paraId="4821A45A" w14:textId="77777777" w:rsidR="002633A2" w:rsidRPr="00D96E89" w:rsidRDefault="002633A2" w:rsidP="002633A2">
            <w:pPr>
              <w:jc w:val="right"/>
              <w:rPr>
                <w:sz w:val="20"/>
                <w:szCs w:val="20"/>
              </w:rPr>
            </w:pPr>
            <w:r w:rsidRPr="00D96E89">
              <w:rPr>
                <w:sz w:val="20"/>
                <w:szCs w:val="20"/>
              </w:rPr>
              <w:t>739,39</w:t>
            </w:r>
          </w:p>
        </w:tc>
        <w:tc>
          <w:tcPr>
            <w:tcW w:w="1559" w:type="dxa"/>
            <w:noWrap/>
            <w:hideMark/>
          </w:tcPr>
          <w:p w14:paraId="4DAAE956" w14:textId="77777777" w:rsidR="002633A2" w:rsidRPr="00D96E89" w:rsidRDefault="002633A2" w:rsidP="002633A2">
            <w:pPr>
              <w:jc w:val="right"/>
              <w:rPr>
                <w:sz w:val="20"/>
                <w:szCs w:val="20"/>
              </w:rPr>
            </w:pPr>
            <w:r w:rsidRPr="00D96E89">
              <w:rPr>
                <w:sz w:val="20"/>
                <w:szCs w:val="20"/>
              </w:rPr>
              <w:t>3 051,52</w:t>
            </w:r>
          </w:p>
        </w:tc>
        <w:tc>
          <w:tcPr>
            <w:tcW w:w="1560" w:type="dxa"/>
            <w:noWrap/>
            <w:hideMark/>
          </w:tcPr>
          <w:p w14:paraId="30C65D83" w14:textId="77777777" w:rsidR="002633A2" w:rsidRPr="00D96E89" w:rsidRDefault="002633A2" w:rsidP="002633A2">
            <w:pPr>
              <w:jc w:val="right"/>
              <w:rPr>
                <w:sz w:val="20"/>
                <w:szCs w:val="20"/>
              </w:rPr>
            </w:pPr>
            <w:r w:rsidRPr="00D96E89">
              <w:rPr>
                <w:sz w:val="20"/>
                <w:szCs w:val="20"/>
              </w:rPr>
              <w:t>2 705,47</w:t>
            </w:r>
          </w:p>
        </w:tc>
      </w:tr>
      <w:tr w:rsidR="002633A2" w:rsidRPr="00D96E89" w14:paraId="17415FC5" w14:textId="77777777" w:rsidTr="00C54024">
        <w:trPr>
          <w:trHeight w:val="300"/>
        </w:trPr>
        <w:tc>
          <w:tcPr>
            <w:tcW w:w="4536" w:type="dxa"/>
            <w:hideMark/>
          </w:tcPr>
          <w:p w14:paraId="67E4D508" w14:textId="77777777" w:rsidR="002633A2" w:rsidRPr="00D96E89" w:rsidRDefault="002633A2" w:rsidP="002633A2">
            <w:pPr>
              <w:rPr>
                <w:sz w:val="20"/>
                <w:szCs w:val="20"/>
              </w:rPr>
            </w:pPr>
            <w:r w:rsidRPr="00D96E89">
              <w:rPr>
                <w:sz w:val="20"/>
                <w:szCs w:val="20"/>
              </w:rPr>
              <w:t>Rozwój zasobów ludzkich</w:t>
            </w:r>
          </w:p>
        </w:tc>
        <w:tc>
          <w:tcPr>
            <w:tcW w:w="1134" w:type="dxa"/>
            <w:noWrap/>
            <w:hideMark/>
          </w:tcPr>
          <w:p w14:paraId="50CD71A4" w14:textId="77777777" w:rsidR="002633A2" w:rsidRPr="00D96E89" w:rsidRDefault="002633A2" w:rsidP="002633A2">
            <w:pPr>
              <w:jc w:val="right"/>
              <w:rPr>
                <w:sz w:val="20"/>
                <w:szCs w:val="20"/>
              </w:rPr>
            </w:pPr>
            <w:r w:rsidRPr="00D96E89">
              <w:rPr>
                <w:sz w:val="20"/>
                <w:szCs w:val="20"/>
              </w:rPr>
              <w:t>1 134,85</w:t>
            </w:r>
          </w:p>
        </w:tc>
        <w:tc>
          <w:tcPr>
            <w:tcW w:w="1134" w:type="dxa"/>
            <w:noWrap/>
            <w:hideMark/>
          </w:tcPr>
          <w:p w14:paraId="748D8355" w14:textId="77777777" w:rsidR="002633A2" w:rsidRPr="00D96E89" w:rsidRDefault="002633A2" w:rsidP="002633A2">
            <w:pPr>
              <w:jc w:val="right"/>
              <w:rPr>
                <w:sz w:val="20"/>
                <w:szCs w:val="20"/>
              </w:rPr>
            </w:pPr>
            <w:r w:rsidRPr="00D96E89">
              <w:rPr>
                <w:sz w:val="20"/>
                <w:szCs w:val="20"/>
              </w:rPr>
              <w:t>1 794,89</w:t>
            </w:r>
          </w:p>
        </w:tc>
        <w:tc>
          <w:tcPr>
            <w:tcW w:w="1559" w:type="dxa"/>
            <w:noWrap/>
            <w:hideMark/>
          </w:tcPr>
          <w:p w14:paraId="73F43D26" w14:textId="77777777" w:rsidR="002633A2" w:rsidRPr="00D96E89" w:rsidRDefault="002633A2" w:rsidP="002633A2">
            <w:pPr>
              <w:jc w:val="right"/>
              <w:rPr>
                <w:sz w:val="20"/>
                <w:szCs w:val="20"/>
              </w:rPr>
            </w:pPr>
            <w:r w:rsidRPr="00D96E89">
              <w:rPr>
                <w:sz w:val="20"/>
                <w:szCs w:val="20"/>
              </w:rPr>
              <w:t>11 367,37</w:t>
            </w:r>
          </w:p>
        </w:tc>
        <w:tc>
          <w:tcPr>
            <w:tcW w:w="1560" w:type="dxa"/>
            <w:noWrap/>
            <w:hideMark/>
          </w:tcPr>
          <w:p w14:paraId="7BDAE2F2" w14:textId="77777777" w:rsidR="002633A2" w:rsidRPr="00D96E89" w:rsidRDefault="002633A2" w:rsidP="002633A2">
            <w:pPr>
              <w:jc w:val="right"/>
              <w:rPr>
                <w:sz w:val="20"/>
                <w:szCs w:val="20"/>
              </w:rPr>
            </w:pPr>
            <w:r w:rsidRPr="00D96E89">
              <w:rPr>
                <w:sz w:val="20"/>
                <w:szCs w:val="20"/>
              </w:rPr>
              <w:t>10 078,29</w:t>
            </w:r>
          </w:p>
        </w:tc>
      </w:tr>
      <w:tr w:rsidR="002633A2" w:rsidRPr="00D96E89" w14:paraId="37725F7B" w14:textId="77777777" w:rsidTr="00C54024">
        <w:trPr>
          <w:trHeight w:val="300"/>
        </w:trPr>
        <w:tc>
          <w:tcPr>
            <w:tcW w:w="4536" w:type="dxa"/>
            <w:noWrap/>
            <w:hideMark/>
          </w:tcPr>
          <w:p w14:paraId="4203B3CD" w14:textId="77777777" w:rsidR="002633A2" w:rsidRPr="00D96E89" w:rsidRDefault="002633A2" w:rsidP="002633A2">
            <w:pPr>
              <w:rPr>
                <w:b/>
                <w:bCs/>
                <w:sz w:val="20"/>
                <w:szCs w:val="20"/>
              </w:rPr>
            </w:pPr>
            <w:r w:rsidRPr="00D96E89">
              <w:rPr>
                <w:b/>
                <w:bCs/>
                <w:sz w:val="20"/>
                <w:szCs w:val="20"/>
              </w:rPr>
              <w:t>Razem</w:t>
            </w:r>
          </w:p>
        </w:tc>
        <w:tc>
          <w:tcPr>
            <w:tcW w:w="1134" w:type="dxa"/>
            <w:noWrap/>
            <w:hideMark/>
          </w:tcPr>
          <w:p w14:paraId="231591E5" w14:textId="77777777" w:rsidR="002633A2" w:rsidRPr="00D96E89" w:rsidRDefault="002633A2" w:rsidP="002633A2">
            <w:pPr>
              <w:jc w:val="right"/>
              <w:rPr>
                <w:b/>
                <w:bCs/>
                <w:sz w:val="20"/>
                <w:szCs w:val="20"/>
              </w:rPr>
            </w:pPr>
            <w:r w:rsidRPr="00D96E89">
              <w:rPr>
                <w:b/>
                <w:bCs/>
                <w:sz w:val="20"/>
                <w:szCs w:val="20"/>
              </w:rPr>
              <w:t>1 181,93</w:t>
            </w:r>
          </w:p>
        </w:tc>
        <w:tc>
          <w:tcPr>
            <w:tcW w:w="1134" w:type="dxa"/>
            <w:noWrap/>
            <w:hideMark/>
          </w:tcPr>
          <w:p w14:paraId="0D8AD08A" w14:textId="77777777" w:rsidR="002633A2" w:rsidRPr="00D96E89" w:rsidRDefault="002633A2" w:rsidP="002633A2">
            <w:pPr>
              <w:jc w:val="right"/>
              <w:rPr>
                <w:b/>
                <w:bCs/>
                <w:sz w:val="20"/>
                <w:szCs w:val="20"/>
              </w:rPr>
            </w:pPr>
            <w:r w:rsidRPr="00D96E89">
              <w:rPr>
                <w:b/>
                <w:bCs/>
                <w:sz w:val="20"/>
                <w:szCs w:val="20"/>
              </w:rPr>
              <w:t>2 534,28</w:t>
            </w:r>
          </w:p>
        </w:tc>
        <w:tc>
          <w:tcPr>
            <w:tcW w:w="1559" w:type="dxa"/>
            <w:noWrap/>
            <w:hideMark/>
          </w:tcPr>
          <w:p w14:paraId="216F0983" w14:textId="77777777" w:rsidR="002633A2" w:rsidRPr="00D96E89" w:rsidRDefault="002633A2" w:rsidP="002633A2">
            <w:pPr>
              <w:jc w:val="right"/>
              <w:rPr>
                <w:b/>
                <w:bCs/>
                <w:sz w:val="20"/>
                <w:szCs w:val="20"/>
              </w:rPr>
            </w:pPr>
            <w:r w:rsidRPr="00D96E89">
              <w:rPr>
                <w:b/>
                <w:bCs/>
                <w:sz w:val="20"/>
                <w:szCs w:val="20"/>
              </w:rPr>
              <w:t>14 418,89</w:t>
            </w:r>
          </w:p>
        </w:tc>
        <w:tc>
          <w:tcPr>
            <w:tcW w:w="1560" w:type="dxa"/>
            <w:noWrap/>
            <w:hideMark/>
          </w:tcPr>
          <w:p w14:paraId="3BCCB617" w14:textId="77777777" w:rsidR="002633A2" w:rsidRPr="00D96E89" w:rsidRDefault="002633A2" w:rsidP="002633A2">
            <w:pPr>
              <w:jc w:val="right"/>
              <w:rPr>
                <w:b/>
                <w:bCs/>
                <w:sz w:val="20"/>
                <w:szCs w:val="20"/>
              </w:rPr>
            </w:pPr>
            <w:r w:rsidRPr="00D96E89">
              <w:rPr>
                <w:b/>
                <w:bCs/>
                <w:sz w:val="20"/>
                <w:szCs w:val="20"/>
              </w:rPr>
              <w:t>12 783,75</w:t>
            </w:r>
          </w:p>
        </w:tc>
      </w:tr>
      <w:tr w:rsidR="002633A2" w:rsidRPr="00D96E89" w14:paraId="7309B1C4" w14:textId="77777777" w:rsidTr="00C54024">
        <w:trPr>
          <w:trHeight w:val="300"/>
        </w:trPr>
        <w:tc>
          <w:tcPr>
            <w:tcW w:w="9923" w:type="dxa"/>
            <w:gridSpan w:val="5"/>
            <w:shd w:val="clear" w:color="auto" w:fill="DEEAF6" w:themeFill="accent1" w:themeFillTint="33"/>
            <w:noWrap/>
            <w:hideMark/>
          </w:tcPr>
          <w:p w14:paraId="39C5C455" w14:textId="77777777" w:rsidR="002633A2" w:rsidRPr="00D96E89" w:rsidRDefault="00C54024" w:rsidP="003C7171">
            <w:pPr>
              <w:jc w:val="center"/>
              <w:rPr>
                <w:b/>
                <w:bCs/>
                <w:sz w:val="20"/>
                <w:szCs w:val="20"/>
              </w:rPr>
            </w:pPr>
            <w:r w:rsidRPr="00D96E89">
              <w:rPr>
                <w:b/>
                <w:bCs/>
                <w:sz w:val="20"/>
                <w:szCs w:val="20"/>
              </w:rPr>
              <w:t>wydatki w ramach innych instrumentów i funduszy zagranicznych </w:t>
            </w:r>
          </w:p>
        </w:tc>
      </w:tr>
      <w:tr w:rsidR="002633A2" w:rsidRPr="00D96E89" w14:paraId="3AB83826" w14:textId="77777777" w:rsidTr="00C54024">
        <w:trPr>
          <w:trHeight w:val="300"/>
        </w:trPr>
        <w:tc>
          <w:tcPr>
            <w:tcW w:w="4536" w:type="dxa"/>
            <w:noWrap/>
            <w:hideMark/>
          </w:tcPr>
          <w:p w14:paraId="55F59195" w14:textId="77777777" w:rsidR="002633A2" w:rsidRPr="007F683B" w:rsidRDefault="002633A2" w:rsidP="002633A2">
            <w:pPr>
              <w:rPr>
                <w:sz w:val="20"/>
                <w:szCs w:val="20"/>
                <w:lang w:val="en-US"/>
              </w:rPr>
            </w:pPr>
            <w:r w:rsidRPr="007F683B">
              <w:rPr>
                <w:sz w:val="20"/>
                <w:szCs w:val="20"/>
                <w:lang w:val="en-US"/>
              </w:rPr>
              <w:t>CEF</w:t>
            </w:r>
            <w:r w:rsidR="007F683B" w:rsidRPr="007F683B">
              <w:rPr>
                <w:lang w:val="en-US"/>
              </w:rPr>
              <w:t xml:space="preserve"> </w:t>
            </w:r>
            <w:r w:rsidR="007F683B" w:rsidRPr="007F683B">
              <w:rPr>
                <w:sz w:val="20"/>
                <w:szCs w:val="20"/>
                <w:lang w:val="en-US"/>
              </w:rPr>
              <w:t>CEF (Informations and Communications Technology)</w:t>
            </w:r>
          </w:p>
        </w:tc>
        <w:tc>
          <w:tcPr>
            <w:tcW w:w="1134" w:type="dxa"/>
            <w:noWrap/>
            <w:hideMark/>
          </w:tcPr>
          <w:p w14:paraId="48DED1D4" w14:textId="77777777" w:rsidR="002633A2" w:rsidRPr="00D96E89" w:rsidRDefault="002633A2" w:rsidP="002633A2">
            <w:pPr>
              <w:jc w:val="right"/>
              <w:rPr>
                <w:sz w:val="20"/>
                <w:szCs w:val="20"/>
              </w:rPr>
            </w:pPr>
            <w:r w:rsidRPr="00D96E89">
              <w:rPr>
                <w:sz w:val="20"/>
                <w:szCs w:val="20"/>
              </w:rPr>
              <w:t>2,50</w:t>
            </w:r>
          </w:p>
        </w:tc>
        <w:tc>
          <w:tcPr>
            <w:tcW w:w="1134" w:type="dxa"/>
            <w:noWrap/>
            <w:hideMark/>
          </w:tcPr>
          <w:p w14:paraId="27247D8C" w14:textId="77777777" w:rsidR="002633A2" w:rsidRPr="00D96E89" w:rsidRDefault="002633A2" w:rsidP="002633A2">
            <w:pPr>
              <w:jc w:val="right"/>
              <w:rPr>
                <w:sz w:val="20"/>
                <w:szCs w:val="20"/>
              </w:rPr>
            </w:pPr>
            <w:r w:rsidRPr="00D96E89">
              <w:rPr>
                <w:sz w:val="20"/>
                <w:szCs w:val="20"/>
              </w:rPr>
              <w:t>5,60</w:t>
            </w:r>
          </w:p>
        </w:tc>
        <w:tc>
          <w:tcPr>
            <w:tcW w:w="1559" w:type="dxa"/>
            <w:noWrap/>
            <w:hideMark/>
          </w:tcPr>
          <w:p w14:paraId="3DF11AEF" w14:textId="77777777" w:rsidR="002633A2" w:rsidRPr="00D96E89" w:rsidRDefault="002633A2" w:rsidP="002633A2">
            <w:pPr>
              <w:jc w:val="right"/>
              <w:rPr>
                <w:sz w:val="20"/>
                <w:szCs w:val="20"/>
              </w:rPr>
            </w:pPr>
            <w:r w:rsidRPr="00D96E89">
              <w:rPr>
                <w:sz w:val="20"/>
                <w:szCs w:val="20"/>
              </w:rPr>
              <w:t>12,14</w:t>
            </w:r>
          </w:p>
        </w:tc>
        <w:tc>
          <w:tcPr>
            <w:tcW w:w="1560" w:type="dxa"/>
            <w:noWrap/>
            <w:hideMark/>
          </w:tcPr>
          <w:p w14:paraId="65A309B4" w14:textId="77777777" w:rsidR="002633A2" w:rsidRPr="00D96E89" w:rsidRDefault="002633A2" w:rsidP="002633A2">
            <w:pPr>
              <w:jc w:val="right"/>
              <w:rPr>
                <w:sz w:val="20"/>
                <w:szCs w:val="20"/>
              </w:rPr>
            </w:pPr>
            <w:r w:rsidRPr="00D96E89">
              <w:rPr>
                <w:sz w:val="20"/>
                <w:szCs w:val="20"/>
              </w:rPr>
              <w:t>20,24</w:t>
            </w:r>
          </w:p>
        </w:tc>
      </w:tr>
      <w:tr w:rsidR="002633A2" w:rsidRPr="00D96E89" w14:paraId="66AC17CE" w14:textId="77777777" w:rsidTr="00C54024">
        <w:trPr>
          <w:trHeight w:val="300"/>
        </w:trPr>
        <w:tc>
          <w:tcPr>
            <w:tcW w:w="4536" w:type="dxa"/>
            <w:noWrap/>
            <w:hideMark/>
          </w:tcPr>
          <w:p w14:paraId="484EEA03" w14:textId="77777777" w:rsidR="002633A2" w:rsidRPr="00D96E89" w:rsidRDefault="002633A2" w:rsidP="002633A2">
            <w:pPr>
              <w:rPr>
                <w:sz w:val="20"/>
                <w:szCs w:val="20"/>
              </w:rPr>
            </w:pPr>
            <w:r w:rsidRPr="00D96E89">
              <w:rPr>
                <w:sz w:val="20"/>
                <w:szCs w:val="20"/>
              </w:rPr>
              <w:t>Norweski Mechanizm Finansowy, Mechanizm Finansowy EOG</w:t>
            </w:r>
          </w:p>
        </w:tc>
        <w:tc>
          <w:tcPr>
            <w:tcW w:w="1134" w:type="dxa"/>
            <w:noWrap/>
            <w:hideMark/>
          </w:tcPr>
          <w:p w14:paraId="167457A0" w14:textId="77777777" w:rsidR="002633A2" w:rsidRPr="00D96E89" w:rsidRDefault="002633A2" w:rsidP="002633A2">
            <w:pPr>
              <w:jc w:val="right"/>
              <w:rPr>
                <w:sz w:val="20"/>
                <w:szCs w:val="20"/>
              </w:rPr>
            </w:pPr>
            <w:r w:rsidRPr="00D96E89">
              <w:rPr>
                <w:sz w:val="20"/>
                <w:szCs w:val="20"/>
              </w:rPr>
              <w:t>55,77</w:t>
            </w:r>
          </w:p>
        </w:tc>
        <w:tc>
          <w:tcPr>
            <w:tcW w:w="1134" w:type="dxa"/>
            <w:noWrap/>
            <w:hideMark/>
          </w:tcPr>
          <w:p w14:paraId="08524322" w14:textId="77777777" w:rsidR="002633A2" w:rsidRPr="00D96E89" w:rsidRDefault="002633A2" w:rsidP="002633A2">
            <w:pPr>
              <w:jc w:val="right"/>
              <w:rPr>
                <w:sz w:val="20"/>
                <w:szCs w:val="20"/>
              </w:rPr>
            </w:pPr>
            <w:r w:rsidRPr="00D96E89">
              <w:rPr>
                <w:sz w:val="20"/>
                <w:szCs w:val="20"/>
              </w:rPr>
              <w:t>15,70</w:t>
            </w:r>
          </w:p>
        </w:tc>
        <w:tc>
          <w:tcPr>
            <w:tcW w:w="1559" w:type="dxa"/>
            <w:noWrap/>
            <w:hideMark/>
          </w:tcPr>
          <w:p w14:paraId="56E6370F" w14:textId="77777777" w:rsidR="002633A2" w:rsidRPr="00D96E89" w:rsidRDefault="002633A2" w:rsidP="002633A2">
            <w:pPr>
              <w:jc w:val="right"/>
              <w:rPr>
                <w:sz w:val="20"/>
                <w:szCs w:val="20"/>
              </w:rPr>
            </w:pPr>
            <w:r w:rsidRPr="00D96E89">
              <w:rPr>
                <w:sz w:val="20"/>
                <w:szCs w:val="20"/>
              </w:rPr>
              <w:t>107,21</w:t>
            </w:r>
          </w:p>
        </w:tc>
        <w:tc>
          <w:tcPr>
            <w:tcW w:w="1560" w:type="dxa"/>
            <w:noWrap/>
            <w:hideMark/>
          </w:tcPr>
          <w:p w14:paraId="58DB0DC5" w14:textId="77777777" w:rsidR="002633A2" w:rsidRPr="00D96E89" w:rsidRDefault="002633A2" w:rsidP="002633A2">
            <w:pPr>
              <w:jc w:val="right"/>
              <w:rPr>
                <w:sz w:val="20"/>
                <w:szCs w:val="20"/>
              </w:rPr>
            </w:pPr>
            <w:r w:rsidRPr="00D96E89">
              <w:rPr>
                <w:sz w:val="20"/>
                <w:szCs w:val="20"/>
              </w:rPr>
              <w:t>178,69</w:t>
            </w:r>
          </w:p>
        </w:tc>
      </w:tr>
      <w:tr w:rsidR="002633A2" w:rsidRPr="00D96E89" w14:paraId="3F243972" w14:textId="77777777" w:rsidTr="00C54024">
        <w:trPr>
          <w:trHeight w:val="300"/>
        </w:trPr>
        <w:tc>
          <w:tcPr>
            <w:tcW w:w="4536" w:type="dxa"/>
            <w:shd w:val="clear" w:color="auto" w:fill="FFF2CC" w:themeFill="accent4" w:themeFillTint="33"/>
            <w:noWrap/>
            <w:hideMark/>
          </w:tcPr>
          <w:p w14:paraId="731A207C" w14:textId="77777777" w:rsidR="002633A2" w:rsidRPr="00D96E89" w:rsidRDefault="002633A2" w:rsidP="002633A2">
            <w:pPr>
              <w:rPr>
                <w:b/>
                <w:bCs/>
                <w:sz w:val="20"/>
                <w:szCs w:val="20"/>
              </w:rPr>
            </w:pPr>
            <w:r w:rsidRPr="00D96E89">
              <w:rPr>
                <w:b/>
                <w:bCs/>
                <w:sz w:val="20"/>
                <w:szCs w:val="20"/>
              </w:rPr>
              <w:t>Razem</w:t>
            </w:r>
          </w:p>
        </w:tc>
        <w:tc>
          <w:tcPr>
            <w:tcW w:w="1134" w:type="dxa"/>
            <w:shd w:val="clear" w:color="auto" w:fill="FFF2CC" w:themeFill="accent4" w:themeFillTint="33"/>
            <w:noWrap/>
            <w:hideMark/>
          </w:tcPr>
          <w:p w14:paraId="4C5D2F68" w14:textId="77777777" w:rsidR="002633A2" w:rsidRPr="00D96E89" w:rsidRDefault="002633A2" w:rsidP="002633A2">
            <w:pPr>
              <w:jc w:val="right"/>
              <w:rPr>
                <w:b/>
                <w:bCs/>
                <w:sz w:val="20"/>
                <w:szCs w:val="20"/>
              </w:rPr>
            </w:pPr>
            <w:r w:rsidRPr="00D96E89">
              <w:rPr>
                <w:b/>
                <w:bCs/>
                <w:sz w:val="20"/>
                <w:szCs w:val="20"/>
              </w:rPr>
              <w:t>58,27</w:t>
            </w:r>
          </w:p>
        </w:tc>
        <w:tc>
          <w:tcPr>
            <w:tcW w:w="1134" w:type="dxa"/>
            <w:shd w:val="clear" w:color="auto" w:fill="FFF2CC" w:themeFill="accent4" w:themeFillTint="33"/>
            <w:noWrap/>
            <w:hideMark/>
          </w:tcPr>
          <w:p w14:paraId="2DF07416" w14:textId="77777777" w:rsidR="002633A2" w:rsidRPr="00D96E89" w:rsidRDefault="002633A2" w:rsidP="002633A2">
            <w:pPr>
              <w:jc w:val="right"/>
              <w:rPr>
                <w:b/>
                <w:bCs/>
                <w:sz w:val="20"/>
                <w:szCs w:val="20"/>
              </w:rPr>
            </w:pPr>
            <w:r w:rsidRPr="00D96E89">
              <w:rPr>
                <w:b/>
                <w:bCs/>
                <w:sz w:val="20"/>
                <w:szCs w:val="20"/>
              </w:rPr>
              <w:t>21,30</w:t>
            </w:r>
          </w:p>
        </w:tc>
        <w:tc>
          <w:tcPr>
            <w:tcW w:w="1559" w:type="dxa"/>
            <w:shd w:val="clear" w:color="auto" w:fill="FFF2CC" w:themeFill="accent4" w:themeFillTint="33"/>
            <w:noWrap/>
            <w:hideMark/>
          </w:tcPr>
          <w:p w14:paraId="7CA23885" w14:textId="77777777" w:rsidR="002633A2" w:rsidRPr="00D96E89" w:rsidRDefault="002633A2" w:rsidP="002633A2">
            <w:pPr>
              <w:jc w:val="right"/>
              <w:rPr>
                <w:b/>
                <w:bCs/>
                <w:sz w:val="20"/>
                <w:szCs w:val="20"/>
              </w:rPr>
            </w:pPr>
            <w:r w:rsidRPr="00D96E89">
              <w:rPr>
                <w:b/>
                <w:bCs/>
                <w:sz w:val="20"/>
                <w:szCs w:val="20"/>
              </w:rPr>
              <w:t>119,35</w:t>
            </w:r>
          </w:p>
        </w:tc>
        <w:tc>
          <w:tcPr>
            <w:tcW w:w="1560" w:type="dxa"/>
            <w:shd w:val="clear" w:color="auto" w:fill="FFF2CC" w:themeFill="accent4" w:themeFillTint="33"/>
            <w:noWrap/>
            <w:hideMark/>
          </w:tcPr>
          <w:p w14:paraId="765F3FEC" w14:textId="77777777" w:rsidR="002633A2" w:rsidRPr="00D96E89" w:rsidRDefault="002633A2" w:rsidP="002633A2">
            <w:pPr>
              <w:jc w:val="right"/>
              <w:rPr>
                <w:b/>
                <w:bCs/>
                <w:sz w:val="20"/>
                <w:szCs w:val="20"/>
              </w:rPr>
            </w:pPr>
            <w:r w:rsidRPr="00D96E89">
              <w:rPr>
                <w:b/>
                <w:bCs/>
                <w:sz w:val="20"/>
                <w:szCs w:val="20"/>
              </w:rPr>
              <w:t>198,93</w:t>
            </w:r>
          </w:p>
        </w:tc>
      </w:tr>
      <w:tr w:rsidR="002633A2" w:rsidRPr="00D96E89" w14:paraId="02B4338E" w14:textId="77777777" w:rsidTr="00C54024">
        <w:trPr>
          <w:trHeight w:val="300"/>
        </w:trPr>
        <w:tc>
          <w:tcPr>
            <w:tcW w:w="4536" w:type="dxa"/>
            <w:shd w:val="clear" w:color="auto" w:fill="F7CAAC" w:themeFill="accent2" w:themeFillTint="66"/>
            <w:noWrap/>
            <w:hideMark/>
          </w:tcPr>
          <w:p w14:paraId="6BBC95DD" w14:textId="77777777" w:rsidR="002633A2" w:rsidRPr="00D96E89" w:rsidRDefault="002633A2" w:rsidP="002633A2">
            <w:pPr>
              <w:rPr>
                <w:b/>
                <w:bCs/>
                <w:sz w:val="20"/>
                <w:szCs w:val="20"/>
              </w:rPr>
            </w:pPr>
            <w:r w:rsidRPr="00D96E89">
              <w:rPr>
                <w:b/>
                <w:bCs/>
                <w:sz w:val="20"/>
                <w:szCs w:val="20"/>
              </w:rPr>
              <w:t xml:space="preserve">SUMA </w:t>
            </w:r>
            <w:r>
              <w:rPr>
                <w:b/>
                <w:bCs/>
                <w:sz w:val="20"/>
                <w:szCs w:val="20"/>
              </w:rPr>
              <w:t xml:space="preserve">szacowanych wydatków </w:t>
            </w:r>
          </w:p>
        </w:tc>
        <w:tc>
          <w:tcPr>
            <w:tcW w:w="1134" w:type="dxa"/>
            <w:shd w:val="clear" w:color="auto" w:fill="F7CAAC" w:themeFill="accent2" w:themeFillTint="66"/>
            <w:noWrap/>
            <w:hideMark/>
          </w:tcPr>
          <w:p w14:paraId="3CCE3C1E" w14:textId="77777777" w:rsidR="002633A2" w:rsidRPr="00D96E89" w:rsidRDefault="002633A2" w:rsidP="002633A2">
            <w:pPr>
              <w:jc w:val="right"/>
              <w:rPr>
                <w:b/>
                <w:bCs/>
                <w:sz w:val="20"/>
                <w:szCs w:val="20"/>
              </w:rPr>
            </w:pPr>
            <w:r w:rsidRPr="00D96E89">
              <w:rPr>
                <w:b/>
                <w:bCs/>
                <w:sz w:val="20"/>
                <w:szCs w:val="20"/>
              </w:rPr>
              <w:t>6 182,06</w:t>
            </w:r>
          </w:p>
        </w:tc>
        <w:tc>
          <w:tcPr>
            <w:tcW w:w="1134" w:type="dxa"/>
            <w:shd w:val="clear" w:color="auto" w:fill="F7CAAC" w:themeFill="accent2" w:themeFillTint="66"/>
            <w:noWrap/>
            <w:hideMark/>
          </w:tcPr>
          <w:p w14:paraId="4EE5160D" w14:textId="77777777" w:rsidR="002633A2" w:rsidRPr="00D96E89" w:rsidRDefault="002633A2" w:rsidP="002633A2">
            <w:pPr>
              <w:jc w:val="right"/>
              <w:rPr>
                <w:b/>
                <w:bCs/>
                <w:sz w:val="20"/>
                <w:szCs w:val="20"/>
              </w:rPr>
            </w:pPr>
            <w:r w:rsidRPr="00D96E89">
              <w:rPr>
                <w:b/>
                <w:bCs/>
                <w:sz w:val="20"/>
                <w:szCs w:val="20"/>
              </w:rPr>
              <w:t>7 937,10</w:t>
            </w:r>
          </w:p>
        </w:tc>
        <w:tc>
          <w:tcPr>
            <w:tcW w:w="1559" w:type="dxa"/>
            <w:shd w:val="clear" w:color="auto" w:fill="F7CAAC" w:themeFill="accent2" w:themeFillTint="66"/>
            <w:noWrap/>
            <w:hideMark/>
          </w:tcPr>
          <w:p w14:paraId="458BD1AE" w14:textId="77777777" w:rsidR="002633A2" w:rsidRPr="00D96E89" w:rsidRDefault="002633A2" w:rsidP="002633A2">
            <w:pPr>
              <w:jc w:val="right"/>
              <w:rPr>
                <w:b/>
                <w:bCs/>
                <w:sz w:val="20"/>
                <w:szCs w:val="20"/>
              </w:rPr>
            </w:pPr>
            <w:r w:rsidRPr="00D96E89">
              <w:rPr>
                <w:b/>
                <w:bCs/>
                <w:sz w:val="20"/>
                <w:szCs w:val="20"/>
              </w:rPr>
              <w:t>30 023,28</w:t>
            </w:r>
          </w:p>
        </w:tc>
        <w:tc>
          <w:tcPr>
            <w:tcW w:w="1560" w:type="dxa"/>
            <w:shd w:val="clear" w:color="auto" w:fill="F7CAAC" w:themeFill="accent2" w:themeFillTint="66"/>
            <w:noWrap/>
            <w:hideMark/>
          </w:tcPr>
          <w:p w14:paraId="1FF7DBB3" w14:textId="77777777" w:rsidR="002633A2" w:rsidRPr="00D96E89" w:rsidRDefault="002633A2" w:rsidP="002633A2">
            <w:pPr>
              <w:jc w:val="right"/>
              <w:rPr>
                <w:b/>
                <w:bCs/>
                <w:sz w:val="20"/>
                <w:szCs w:val="20"/>
              </w:rPr>
            </w:pPr>
            <w:r w:rsidRPr="00D96E89">
              <w:rPr>
                <w:b/>
                <w:bCs/>
                <w:sz w:val="20"/>
                <w:szCs w:val="20"/>
              </w:rPr>
              <w:t>38 791,07</w:t>
            </w:r>
          </w:p>
        </w:tc>
      </w:tr>
    </w:tbl>
    <w:p w14:paraId="562A73AD" w14:textId="2F4D0ACF" w:rsidR="006B3391" w:rsidRPr="00CC179F" w:rsidRDefault="00FD727A" w:rsidP="00E21005">
      <w:pPr>
        <w:ind w:left="426"/>
        <w:rPr>
          <w:i/>
          <w:sz w:val="20"/>
        </w:rPr>
      </w:pPr>
      <w:r w:rsidRPr="00CC179F">
        <w:rPr>
          <w:i/>
          <w:sz w:val="20"/>
        </w:rPr>
        <w:t xml:space="preserve">Opracowanie: Ministerstwo </w:t>
      </w:r>
      <w:r w:rsidR="005C66BF">
        <w:rPr>
          <w:i/>
          <w:sz w:val="20"/>
        </w:rPr>
        <w:t>Funduszy i Polityki Regionalnej</w:t>
      </w:r>
    </w:p>
    <w:p w14:paraId="045B2770" w14:textId="07FF5F0D" w:rsidR="003C1E14" w:rsidRPr="007F4F53" w:rsidRDefault="003C1E14" w:rsidP="003C1E14">
      <w:pPr>
        <w:autoSpaceDE w:val="0"/>
        <w:autoSpaceDN w:val="0"/>
        <w:adjustRightInd w:val="0"/>
        <w:spacing w:line="300" w:lineRule="auto"/>
        <w:jc w:val="both"/>
        <w:rPr>
          <w:rFonts w:cs="Arial"/>
        </w:rPr>
      </w:pPr>
      <w:r w:rsidRPr="00F21196">
        <w:rPr>
          <w:rFonts w:cs="Arial"/>
          <w:szCs w:val="18"/>
        </w:rPr>
        <w:t xml:space="preserve">Finansowanie przedsięwzięć rozwojowych będzie mogło być wspierane </w:t>
      </w:r>
      <w:r w:rsidR="00E21005">
        <w:rPr>
          <w:rFonts w:cs="Arial"/>
          <w:szCs w:val="18"/>
        </w:rPr>
        <w:t>z</w:t>
      </w:r>
      <w:r w:rsidRPr="00F21196">
        <w:rPr>
          <w:rFonts w:cs="Arial"/>
          <w:szCs w:val="18"/>
        </w:rPr>
        <w:t xml:space="preserve"> budżetów jednostek samorządu terytorialnego, mechanizmów partnerstwa publiczno-prywatnego czy partnerstwa publiczno-społecznego. Ponadto istotne znaczenie będą odgrywały środki funduszy europejskich nowej perspektywy finansowej obejmującej lata 2021-2027, a także środki otrzymane w ramach programów UE wspierających realizacj</w:t>
      </w:r>
      <w:r w:rsidR="007F4F53">
        <w:rPr>
          <w:rFonts w:cs="Arial"/>
          <w:szCs w:val="18"/>
        </w:rPr>
        <w:t>ę</w:t>
      </w:r>
      <w:r w:rsidRPr="00F21196">
        <w:rPr>
          <w:rFonts w:cs="Arial"/>
          <w:szCs w:val="18"/>
        </w:rPr>
        <w:t xml:space="preserve"> </w:t>
      </w:r>
      <w:r w:rsidR="007F4F53">
        <w:rPr>
          <w:rFonts w:cs="Arial"/>
          <w:szCs w:val="18"/>
        </w:rPr>
        <w:t>różnych inicjatyw</w:t>
      </w:r>
      <w:r w:rsidRPr="00F21196">
        <w:rPr>
          <w:rFonts w:cs="Arial"/>
          <w:szCs w:val="18"/>
        </w:rPr>
        <w:t xml:space="preserve"> </w:t>
      </w:r>
      <w:r w:rsidRPr="00F21196">
        <w:rPr>
          <w:rFonts w:cs="Arial"/>
        </w:rPr>
        <w:t>(</w:t>
      </w:r>
      <w:r w:rsidRPr="007F4F53">
        <w:rPr>
          <w:rFonts w:cs="Arial"/>
        </w:rPr>
        <w:t xml:space="preserve">np. </w:t>
      </w:r>
      <w:r w:rsidR="00CB3342" w:rsidRPr="007F4F53">
        <w:t xml:space="preserve">Program </w:t>
      </w:r>
      <w:r w:rsidR="007F4F53" w:rsidRPr="007F4F53">
        <w:t>W</w:t>
      </w:r>
      <w:r w:rsidR="00CB3342" w:rsidRPr="007F4F53">
        <w:t xml:space="preserve">spierania </w:t>
      </w:r>
      <w:r w:rsidR="007F4F53" w:rsidRPr="007F4F53">
        <w:t>R</w:t>
      </w:r>
      <w:r w:rsidR="00CB3342" w:rsidRPr="007F4F53">
        <w:t xml:space="preserve">eform </w:t>
      </w:r>
      <w:r w:rsidR="007F4F53" w:rsidRPr="007F4F53">
        <w:t>S</w:t>
      </w:r>
      <w:r w:rsidR="00CB3342" w:rsidRPr="007F4F53">
        <w:t>trukturalnych</w:t>
      </w:r>
      <w:r w:rsidR="007F4F53" w:rsidRPr="007F4F53">
        <w:rPr>
          <w:rStyle w:val="Odwoanieprzypisudolnego"/>
        </w:rPr>
        <w:footnoteReference w:id="128"/>
      </w:r>
      <w:r w:rsidR="00CB3342" w:rsidRPr="007F4F53">
        <w:t>)</w:t>
      </w:r>
      <w:r w:rsidRPr="007F4F53">
        <w:rPr>
          <w:rFonts w:cs="Arial"/>
        </w:rPr>
        <w:t xml:space="preserve">. </w:t>
      </w:r>
    </w:p>
    <w:p w14:paraId="38049747" w14:textId="77777777" w:rsidR="00AE62B2" w:rsidRPr="00C54024" w:rsidRDefault="00AE62B2" w:rsidP="00F4797D">
      <w:pPr>
        <w:pStyle w:val="Nagwek1"/>
        <w:spacing w:before="0" w:line="276" w:lineRule="auto"/>
        <w:jc w:val="both"/>
        <w:rPr>
          <w:rFonts w:asciiTheme="minorHAnsi" w:hAnsiTheme="minorHAnsi" w:cs="Arial"/>
          <w:i/>
          <w:sz w:val="22"/>
          <w:szCs w:val="20"/>
        </w:rPr>
      </w:pPr>
      <w:r w:rsidRPr="00C54024">
        <w:rPr>
          <w:rFonts w:asciiTheme="minorHAnsi" w:hAnsiTheme="minorHAnsi" w:cs="Arial"/>
          <w:i/>
          <w:sz w:val="22"/>
          <w:szCs w:val="20"/>
        </w:rPr>
        <w:t xml:space="preserve">Ramy finansowe </w:t>
      </w:r>
      <w:r w:rsidR="00E21005" w:rsidRPr="00C54024">
        <w:rPr>
          <w:rFonts w:asciiTheme="minorHAnsi" w:hAnsiTheme="minorHAnsi" w:cs="Arial"/>
          <w:i/>
          <w:sz w:val="22"/>
          <w:szCs w:val="20"/>
        </w:rPr>
        <w:t xml:space="preserve">SNP </w:t>
      </w:r>
      <w:r w:rsidRPr="00C54024">
        <w:rPr>
          <w:rFonts w:asciiTheme="minorHAnsi" w:hAnsiTheme="minorHAnsi" w:cs="Arial"/>
          <w:i/>
          <w:sz w:val="22"/>
          <w:szCs w:val="20"/>
        </w:rPr>
        <w:t>na lata 2026-2030</w:t>
      </w:r>
      <w:r w:rsidR="00E21005" w:rsidRPr="00C54024">
        <w:rPr>
          <w:rFonts w:asciiTheme="minorHAnsi" w:hAnsiTheme="minorHAnsi" w:cs="Arial"/>
          <w:i/>
          <w:sz w:val="22"/>
          <w:szCs w:val="20"/>
        </w:rPr>
        <w:t xml:space="preserve"> - założenia</w:t>
      </w:r>
    </w:p>
    <w:p w14:paraId="232C6359" w14:textId="77777777" w:rsidR="00AE21B7" w:rsidRPr="009B263B" w:rsidRDefault="00AE21B7" w:rsidP="00F4797D">
      <w:pPr>
        <w:autoSpaceDE w:val="0"/>
        <w:autoSpaceDN w:val="0"/>
        <w:adjustRightInd w:val="0"/>
        <w:spacing w:after="0" w:line="276" w:lineRule="auto"/>
        <w:jc w:val="both"/>
        <w:rPr>
          <w:rFonts w:cs="Calibri"/>
        </w:rPr>
      </w:pPr>
      <w:r w:rsidRPr="009B263B">
        <w:rPr>
          <w:rFonts w:cs="Calibri"/>
        </w:rPr>
        <w:t xml:space="preserve">Zapisy SOR oraz obecne przewidywania dotyczące struktury potencjalnych źródeł finansowania działań rozwojowych wskazują, że po 2020 r. ciężar finansowania inwestycji rozwojowych będzie przenoszony w większym stopniu na środki krajowe (zarówno publiczne, jak i prywatne). Znaczenie środków UE będzie relatywnie mniejsze, choć nadal istotne. </w:t>
      </w:r>
    </w:p>
    <w:p w14:paraId="78EC1E07" w14:textId="77777777" w:rsidR="00AE21B7" w:rsidRPr="009B263B" w:rsidRDefault="00AE21B7" w:rsidP="00AE21B7">
      <w:pPr>
        <w:autoSpaceDE w:val="0"/>
        <w:autoSpaceDN w:val="0"/>
        <w:adjustRightInd w:val="0"/>
        <w:spacing w:after="120" w:line="276" w:lineRule="auto"/>
        <w:jc w:val="both"/>
        <w:rPr>
          <w:rFonts w:cs="Calibri"/>
        </w:rPr>
      </w:pPr>
      <w:r w:rsidRPr="009B263B">
        <w:rPr>
          <w:rFonts w:cs="Calibri"/>
        </w:rPr>
        <w:t xml:space="preserve">Zadania sektora publicznego, które dotychczas realizowane były w znacznym stopniu przy współfinansowaniu z UE, będą w większym stopniu finansowane w oparciu o krajowe środki publiczne. Środki te pochodzić będą z budżetu centralnego oraz z budżetów samorządowych, które nabiorą większego znaczenia w finansowaniu wysiłku rozwojowego. Powodem tego jest spodziewane zmniejszenie puli środków dla Polski w ramach polityki spójności i Wspólnej Polityki Rolnej w perspektywie finansowej 2021-2027. </w:t>
      </w:r>
    </w:p>
    <w:p w14:paraId="1548E470" w14:textId="77777777" w:rsidR="00AE21B7" w:rsidRPr="009B263B" w:rsidRDefault="00AE21B7" w:rsidP="00AE21B7">
      <w:pPr>
        <w:autoSpaceDE w:val="0"/>
        <w:autoSpaceDN w:val="0"/>
        <w:adjustRightInd w:val="0"/>
        <w:spacing w:after="120" w:line="276" w:lineRule="auto"/>
        <w:jc w:val="both"/>
        <w:rPr>
          <w:rFonts w:cs="Calibri"/>
        </w:rPr>
      </w:pPr>
      <w:r w:rsidRPr="009B263B">
        <w:rPr>
          <w:rFonts w:cs="Calibri"/>
        </w:rPr>
        <w:t>R</w:t>
      </w:r>
      <w:r w:rsidR="00AE62B2" w:rsidRPr="009B263B">
        <w:rPr>
          <w:rFonts w:cs="Calibri"/>
        </w:rPr>
        <w:t>ealizacja</w:t>
      </w:r>
      <w:r w:rsidRPr="009B263B">
        <w:rPr>
          <w:rFonts w:cs="Calibri"/>
        </w:rPr>
        <w:t xml:space="preserve"> przedsięwzięć rozwojowych musi odbywać się przy zachowaniu stabilności makroekonomicznej, w tym w szczególności sektora finansów publicznych. Prowadzona polityka budżetowa musi uwzględniać ograniczenia związane z obowiązującymi regułami finansowymi oraz dążenie do stopniowego dochodzenia do średniookresowego celu budżetowego, którego realizacja umożliwi wejście na ścieżkę stabilnej równowagi długu publicznego. </w:t>
      </w:r>
    </w:p>
    <w:p w14:paraId="287053C3" w14:textId="77777777" w:rsidR="00AE21B7" w:rsidRPr="009B263B" w:rsidRDefault="00AE21B7" w:rsidP="00AE21B7">
      <w:pPr>
        <w:autoSpaceDE w:val="0"/>
        <w:autoSpaceDN w:val="0"/>
        <w:adjustRightInd w:val="0"/>
        <w:spacing w:after="120" w:line="276" w:lineRule="auto"/>
        <w:jc w:val="both"/>
        <w:rPr>
          <w:rFonts w:cs="Calibri"/>
        </w:rPr>
      </w:pPr>
      <w:r w:rsidRPr="009B263B">
        <w:rPr>
          <w:rFonts w:cs="Calibri"/>
        </w:rPr>
        <w:t xml:space="preserve">Wskazuje to na konieczność efektywnego stymulowania inwestycji sektora prywatnego (ze środków krajowych oraz zagranicznych) oraz dalszego podnoszenia efektywności wydatków rozwojowych sektora publicznego. Wykorzystanie środków UE należy skoncentrować na projektach o najwyższej wartości dodanej i pozytywnych efektach zewnętrznych. </w:t>
      </w:r>
    </w:p>
    <w:p w14:paraId="784A26B8" w14:textId="6AEE33D6" w:rsidR="00AE21B7" w:rsidRPr="009B263B" w:rsidRDefault="00AE21B7" w:rsidP="00AE21B7">
      <w:pPr>
        <w:spacing w:after="120" w:line="276" w:lineRule="auto"/>
        <w:jc w:val="both"/>
        <w:rPr>
          <w:rFonts w:cs="Calibri"/>
        </w:rPr>
      </w:pPr>
      <w:r w:rsidRPr="009B263B">
        <w:rPr>
          <w:rFonts w:cs="Calibri"/>
        </w:rPr>
        <w:t>Oceniając warunki prowadzenia polityki gospodarczej (w tym przede wszystkim polityki inwestycyjnej) w nadchodzących latach zakłada się również, że działania wdrażane w  ramach SOR przyniosą pozytywne impulsy w  postaci mobilizowania kapitału prywatnego (krajowego i  zagranicznego). Doprowadzą one do zwiększenia jego aktywności inwestycyjnej. Ze względu na potrzebę zapewnienia stabilności finansów publicznych to właśnie kapitał prywatny będzie odgrywał kluczową rolę w osiągnięciu planowanej stopy inwestycji w gospodarce.</w:t>
      </w:r>
    </w:p>
    <w:p w14:paraId="4FBC5A9A" w14:textId="77777777" w:rsidR="00AE21B7" w:rsidRPr="009B263B" w:rsidRDefault="00AE21B7" w:rsidP="00AE21B7">
      <w:pPr>
        <w:spacing w:after="120" w:line="276" w:lineRule="auto"/>
        <w:jc w:val="both"/>
        <w:rPr>
          <w:rFonts w:cs="Calibri"/>
        </w:rPr>
      </w:pPr>
      <w:r w:rsidRPr="009B263B">
        <w:rPr>
          <w:rFonts w:cs="Calibri"/>
        </w:rPr>
        <w:t xml:space="preserve">Z drugiej strony należy również pamiętać, że to właśnie działania realizowane przez sektor publiczny (zarówno inwestycyjne, jak i regulacyjne) sprzyjają poprawie „warunków brzegowych” determinujących ekonomiczną racjonalność i rentowność działalności podmiotów sektora prywatnego. Przyczyniają się one do kreowania atrakcyjnych warunków sprzyjających prowadzeniu działalności gospodarczej oraz podnoszeniu jej wydajności (m.in. poprzez rozbudowę niezbędnej dla działalności podmiotów gospodarczych infrastruktury oraz tworzenie efektywnie wspierających wzrost gospodarczy ram instytucjonalnych). </w:t>
      </w:r>
    </w:p>
    <w:p w14:paraId="07ECA63B" w14:textId="77777777" w:rsidR="00AE21B7" w:rsidRPr="009B263B" w:rsidRDefault="00AE21B7" w:rsidP="00AE21B7">
      <w:pPr>
        <w:spacing w:after="120" w:line="276" w:lineRule="auto"/>
        <w:jc w:val="both"/>
        <w:rPr>
          <w:rFonts w:cs="Calibri"/>
        </w:rPr>
      </w:pPr>
      <w:r w:rsidRPr="009B263B">
        <w:rPr>
          <w:rFonts w:cs="Calibri"/>
        </w:rPr>
        <w:t xml:space="preserve">Dynamiczny rozwój sektora prywatnego przekładający się na wzrost jego przychodów i zysków przy równoczesnym wzroście wynagrodzeń czynnika pracy (możliwym dzięki rosnącej wydajności) będzie z kolei prowadzić do poszerzenia bazy podatkowej. Przyczyni się to tym samym do wzrostu dochodów sektora instytucji rządowych i samorządowych, zapewniając możliwość finansowania zadań wynikających z funkcji państwa. </w:t>
      </w:r>
    </w:p>
    <w:p w14:paraId="1CB1E892" w14:textId="77777777" w:rsidR="00AE21B7" w:rsidRPr="00C847E9" w:rsidRDefault="00AE21B7" w:rsidP="00AE21B7">
      <w:pPr>
        <w:autoSpaceDE w:val="0"/>
        <w:autoSpaceDN w:val="0"/>
        <w:adjustRightInd w:val="0"/>
        <w:spacing w:after="120" w:line="276" w:lineRule="auto"/>
        <w:jc w:val="both"/>
        <w:rPr>
          <w:rFonts w:eastAsia="Times New Roman" w:cs="Calibri"/>
          <w:lang w:eastAsia="pl-PL"/>
        </w:rPr>
      </w:pPr>
      <w:r w:rsidRPr="00C847E9">
        <w:rPr>
          <w:rFonts w:eastAsia="Times New Roman" w:cs="Calibri"/>
          <w:lang w:eastAsia="pl-PL"/>
        </w:rPr>
        <w:t xml:space="preserve">Zakłada się, że dzięki </w:t>
      </w:r>
      <w:r w:rsidR="00C54024" w:rsidRPr="00C847E9">
        <w:rPr>
          <w:rFonts w:eastAsia="Times New Roman" w:cs="Calibri"/>
          <w:lang w:eastAsia="pl-PL"/>
        </w:rPr>
        <w:t xml:space="preserve">powyżej </w:t>
      </w:r>
      <w:r w:rsidRPr="00C847E9">
        <w:rPr>
          <w:rFonts w:eastAsia="Times New Roman" w:cs="Calibri"/>
          <w:lang w:eastAsia="pl-PL"/>
        </w:rPr>
        <w:t xml:space="preserve">przedstawionym kierunkom zmian struktury środków rozwojowych wydatkowanych na realizację celów strategii, udział tych środków w PKB będzie odpowiednio wysoki dla zapewnienia efektywnej realizacji strategicznych zadań. </w:t>
      </w:r>
    </w:p>
    <w:p w14:paraId="26C13F15" w14:textId="151ACD11" w:rsidR="00B57BD8" w:rsidRDefault="00B57BD8" w:rsidP="0071627F">
      <w:pPr>
        <w:pStyle w:val="tekstprzypisudolnego0"/>
        <w:spacing w:line="276" w:lineRule="auto"/>
        <w:jc w:val="both"/>
      </w:pPr>
      <w:r>
        <w:t xml:space="preserve">Wytyczne dotyczące stosowania jednolitych wskaźników makroekonomicznych będących podstawą oszacowania skutków finansowych projektowanych ustaw, Aktualizacja – lipiec 2020 r. </w:t>
      </w:r>
      <w:r w:rsidR="0071627F">
        <w:t>dostępne są na stronie internetowej Ministerstwa Finansów po adresem:</w:t>
      </w:r>
    </w:p>
    <w:p w14:paraId="5E9DE025" w14:textId="634D4794" w:rsidR="00B57BD8" w:rsidRDefault="00B57BD8" w:rsidP="008A7BBF">
      <w:pPr>
        <w:pStyle w:val="tekstprzypisudolnego0"/>
        <w:jc w:val="both"/>
      </w:pPr>
      <w:r w:rsidRPr="0071627F">
        <w:rPr>
          <w:rStyle w:val="Hipercze"/>
        </w:rPr>
        <w:t>https://www.gov.pl/web/finanse/wytyczne-sytuacja-makroekonomiczna</w:t>
      </w:r>
      <w:r>
        <w:t xml:space="preserve"> </w:t>
      </w:r>
    </w:p>
    <w:p w14:paraId="14EF53F8" w14:textId="77777777" w:rsidR="000E181D" w:rsidRPr="004C2719" w:rsidRDefault="000E181D">
      <w:pPr>
        <w:rPr>
          <w:i/>
        </w:rPr>
      </w:pPr>
      <w:r w:rsidRPr="004C2719">
        <w:rPr>
          <w:i/>
        </w:rPr>
        <w:br w:type="page"/>
      </w:r>
    </w:p>
    <w:p w14:paraId="3C74FAAE" w14:textId="2B65CF91" w:rsidR="006B07D5" w:rsidRPr="00342691" w:rsidRDefault="00F64D28" w:rsidP="000E63C1">
      <w:pPr>
        <w:pStyle w:val="Spistreci1"/>
        <w:rPr>
          <w:color w:val="000000"/>
        </w:rPr>
      </w:pPr>
      <w:r w:rsidRPr="00342691">
        <w:t>VI</w:t>
      </w:r>
      <w:r w:rsidR="008F2B25" w:rsidRPr="00342691">
        <w:t>.</w:t>
      </w:r>
      <w:r w:rsidR="00B40D41" w:rsidRPr="00342691">
        <w:t xml:space="preserve"> </w:t>
      </w:r>
      <w:r w:rsidR="00150B04">
        <w:t xml:space="preserve">SYSTEM REALIZACJI </w:t>
      </w:r>
      <w:r w:rsidR="003D5AA8">
        <w:t>I</w:t>
      </w:r>
      <w:r w:rsidR="00090A1C">
        <w:t xml:space="preserve"> MONITOROWANIA</w:t>
      </w:r>
    </w:p>
    <w:p w14:paraId="6EC1B7C8" w14:textId="180F54DC" w:rsidR="00A80E7A" w:rsidRPr="00E050F8" w:rsidRDefault="00667BDC" w:rsidP="00E050F8">
      <w:pPr>
        <w:spacing w:before="120" w:after="0" w:line="276" w:lineRule="auto"/>
        <w:jc w:val="both"/>
        <w:rPr>
          <w:strike/>
        </w:rPr>
      </w:pPr>
      <w:r w:rsidRPr="00F21196">
        <w:t>SNP</w:t>
      </w:r>
      <w:r w:rsidRPr="00F21196">
        <w:rPr>
          <w:rFonts w:cs="Myriad Pro"/>
          <w:color w:val="000000"/>
          <w:szCs w:val="20"/>
        </w:rPr>
        <w:t xml:space="preserve"> </w:t>
      </w:r>
      <w:r w:rsidR="00C54024">
        <w:rPr>
          <w:rFonts w:cs="Myriad Pro"/>
          <w:color w:val="000000"/>
          <w:szCs w:val="20"/>
        </w:rPr>
        <w:t>przyjmowana jest w drodze uchwały Rady Ministrów na okres do 2030</w:t>
      </w:r>
      <w:r w:rsidR="00090A1C">
        <w:rPr>
          <w:rFonts w:cs="Myriad Pro"/>
          <w:color w:val="000000"/>
          <w:szCs w:val="20"/>
        </w:rPr>
        <w:t xml:space="preserve"> roku, mającą </w:t>
      </w:r>
      <w:r w:rsidR="00745292">
        <w:rPr>
          <w:rFonts w:cs="Myriad Pro"/>
          <w:color w:val="000000"/>
          <w:szCs w:val="20"/>
        </w:rPr>
        <w:t xml:space="preserve">charakter horyzontalny i </w:t>
      </w:r>
      <w:r w:rsidR="00FB27CE" w:rsidRPr="00F21196">
        <w:rPr>
          <w:rFonts w:cs="Myriad Pro"/>
          <w:color w:val="000000"/>
          <w:szCs w:val="20"/>
        </w:rPr>
        <w:t xml:space="preserve">wymagającą współpracy </w:t>
      </w:r>
      <w:r w:rsidR="00745292">
        <w:rPr>
          <w:rFonts w:cs="Myriad Pro"/>
          <w:color w:val="000000"/>
          <w:szCs w:val="20"/>
        </w:rPr>
        <w:t>oraz</w:t>
      </w:r>
      <w:r w:rsidR="00FB27CE" w:rsidRPr="00F21196">
        <w:rPr>
          <w:rFonts w:cs="Myriad Pro"/>
          <w:color w:val="000000"/>
          <w:szCs w:val="20"/>
        </w:rPr>
        <w:t xml:space="preserve"> zaangażowania wielu </w:t>
      </w:r>
      <w:r w:rsidR="00C01955" w:rsidRPr="00F21196">
        <w:rPr>
          <w:rFonts w:cs="Myriad Pro"/>
          <w:color w:val="000000"/>
          <w:szCs w:val="20"/>
        </w:rPr>
        <w:t>instytucji</w:t>
      </w:r>
      <w:r w:rsidR="00745292">
        <w:rPr>
          <w:rFonts w:cs="Myriad Pro"/>
          <w:color w:val="000000"/>
          <w:szCs w:val="20"/>
        </w:rPr>
        <w:t xml:space="preserve"> działających autonomicznie</w:t>
      </w:r>
      <w:r w:rsidR="00FB27CE" w:rsidRPr="00F21196">
        <w:rPr>
          <w:rFonts w:cs="Myriad Pro"/>
          <w:color w:val="000000"/>
          <w:szCs w:val="20"/>
        </w:rPr>
        <w:t>.</w:t>
      </w:r>
      <w:r w:rsidR="001D49F5" w:rsidRPr="00F21196">
        <w:rPr>
          <w:rFonts w:cs="Myriad Pro"/>
          <w:color w:val="000000"/>
          <w:szCs w:val="20"/>
        </w:rPr>
        <w:t xml:space="preserve"> </w:t>
      </w:r>
      <w:r w:rsidR="00745292" w:rsidRPr="00A80E7A">
        <w:rPr>
          <w:rFonts w:cs="Myriad Pro"/>
          <w:color w:val="000000"/>
        </w:rPr>
        <w:t>W</w:t>
      </w:r>
      <w:r w:rsidR="00745292" w:rsidRPr="00A80E7A">
        <w:t>spółpraca</w:t>
      </w:r>
      <w:r w:rsidR="00A80E7A" w:rsidRPr="00A80E7A">
        <w:t>, współzależność</w:t>
      </w:r>
      <w:r w:rsidR="00745292" w:rsidRPr="00A80E7A">
        <w:t xml:space="preserve"> i współodpowiedzialność za osiągane wyniki</w:t>
      </w:r>
      <w:r w:rsidR="00A80E7A" w:rsidRPr="00A80E7A">
        <w:t xml:space="preserve"> stanowić będą podstawę wzajemnych korelacji przy równoczesnym zachowaniu </w:t>
      </w:r>
      <w:r w:rsidR="00745292" w:rsidRPr="00A80E7A">
        <w:t xml:space="preserve">niezależności poszczególnych podmiotów w </w:t>
      </w:r>
      <w:r w:rsidR="00A80E7A" w:rsidRPr="00A80E7A">
        <w:t>wykonywaniu</w:t>
      </w:r>
      <w:r w:rsidR="00745292" w:rsidRPr="00A80E7A">
        <w:t xml:space="preserve"> ich ustawowych zadań</w:t>
      </w:r>
      <w:r w:rsidR="00090A1C">
        <w:t xml:space="preserve">. Strategia w sposób ogólny odnosi się do zagadnień mających wpływ na wzrost poprawy funkcjonowania państwa. Zapisy strategii będą wdrażane w aktach rangi ustawowej, projektach strategicznych czy programach rozwoju, w których uwidoczniona zostanie rola poszczególnych organów administracji publicznej, w tym jednostek samorządu terytorialnego. </w:t>
      </w:r>
    </w:p>
    <w:p w14:paraId="18B453F1" w14:textId="1F372F53" w:rsidR="00CE3724" w:rsidRDefault="00EF7FBC" w:rsidP="00CE3724">
      <w:pPr>
        <w:spacing w:before="120" w:after="0" w:line="276" w:lineRule="auto"/>
        <w:jc w:val="both"/>
        <w:rPr>
          <w:rFonts w:cs="Myriad Pro"/>
          <w:color w:val="000000"/>
          <w:szCs w:val="20"/>
        </w:rPr>
      </w:pPr>
      <w:r>
        <w:rPr>
          <w:rFonts w:cs="Myriad Pro"/>
          <w:color w:val="000000"/>
          <w:szCs w:val="20"/>
        </w:rPr>
        <w:t xml:space="preserve">Realizacja podejmowanych inicjatyw będzie wymagać zaangażowania instrumentów i środków o charakterze prawnym, instytucjonalnym, finansowym oraz koordynacyjno-organizacyjnym. </w:t>
      </w:r>
      <w:r w:rsidR="001D49F5" w:rsidRPr="00F21196">
        <w:rPr>
          <w:rFonts w:cs="Myriad Pro"/>
          <w:color w:val="000000"/>
          <w:szCs w:val="20"/>
        </w:rPr>
        <w:t>Nakreślone kierunki interwencji</w:t>
      </w:r>
      <w:r w:rsidR="00E050F8">
        <w:rPr>
          <w:rFonts w:cs="Myriad Pro"/>
          <w:color w:val="000000"/>
          <w:szCs w:val="20"/>
        </w:rPr>
        <w:t xml:space="preserve"> oraz</w:t>
      </w:r>
      <w:r w:rsidR="001D49F5" w:rsidRPr="00F21196">
        <w:rPr>
          <w:rFonts w:cs="Myriad Pro"/>
          <w:color w:val="000000"/>
          <w:szCs w:val="20"/>
        </w:rPr>
        <w:t xml:space="preserve"> wskazane projekty strategiczne </w:t>
      </w:r>
      <w:r w:rsidR="00FB27CE" w:rsidRPr="00F21196">
        <w:rPr>
          <w:rFonts w:cs="Myriad Pro"/>
          <w:color w:val="000000"/>
          <w:szCs w:val="20"/>
        </w:rPr>
        <w:t xml:space="preserve">stanowią podstawę do </w:t>
      </w:r>
      <w:r w:rsidR="00E050F8">
        <w:rPr>
          <w:rFonts w:cs="Myriad Pro"/>
          <w:color w:val="000000"/>
          <w:szCs w:val="20"/>
        </w:rPr>
        <w:t xml:space="preserve">podjęcia zintensyfikowanych </w:t>
      </w:r>
      <w:r w:rsidR="00C01955" w:rsidRPr="00F21196">
        <w:rPr>
          <w:rFonts w:cs="Myriad Pro"/>
          <w:color w:val="000000"/>
          <w:szCs w:val="20"/>
        </w:rPr>
        <w:t>prac w danym obszarze</w:t>
      </w:r>
      <w:r w:rsidR="00FB27CE" w:rsidRPr="00F21196">
        <w:rPr>
          <w:rFonts w:cs="Myriad Pro"/>
          <w:color w:val="000000"/>
          <w:szCs w:val="20"/>
        </w:rPr>
        <w:t xml:space="preserve">. </w:t>
      </w:r>
      <w:r>
        <w:rPr>
          <w:rFonts w:cs="Myriad Pro"/>
          <w:color w:val="000000"/>
          <w:szCs w:val="20"/>
        </w:rPr>
        <w:t>SNP</w:t>
      </w:r>
      <w:r w:rsidR="00CE3724" w:rsidRPr="00F21196">
        <w:rPr>
          <w:rFonts w:cs="Myriad Pro"/>
          <w:color w:val="000000"/>
          <w:szCs w:val="20"/>
        </w:rPr>
        <w:t xml:space="preserve"> nie zawiera wyczerpującej propozycji wszystkich projektów strategicznych. Nowe inicjatywy będą podejmowane przez właściwe merytorycznie ministerstwa lub urzędy centralne</w:t>
      </w:r>
      <w:r w:rsidR="00CE3724">
        <w:rPr>
          <w:rFonts w:cs="Myriad Pro"/>
          <w:color w:val="000000"/>
          <w:szCs w:val="20"/>
        </w:rPr>
        <w:t xml:space="preserve"> i zgłaszane bezpośrednio do Rady Monitorowania Portfela Projektów Strategicznych</w:t>
      </w:r>
      <w:r w:rsidR="00CE3724" w:rsidRPr="00F21196">
        <w:rPr>
          <w:rStyle w:val="Odwoanieprzypisudolnego"/>
          <w:rFonts w:cs="Calibri"/>
          <w:color w:val="000000"/>
        </w:rPr>
        <w:footnoteReference w:id="129"/>
      </w:r>
      <w:r w:rsidR="00CE3724">
        <w:rPr>
          <w:rFonts w:cs="Myriad Pro"/>
          <w:color w:val="000000"/>
          <w:szCs w:val="20"/>
        </w:rPr>
        <w:t xml:space="preserve">. </w:t>
      </w:r>
      <w:r w:rsidR="00CE3724" w:rsidRPr="00F21196">
        <w:rPr>
          <w:rFonts w:cs="Myriad Pro"/>
          <w:color w:val="000000"/>
          <w:szCs w:val="20"/>
        </w:rPr>
        <w:t xml:space="preserve"> </w:t>
      </w:r>
    </w:p>
    <w:p w14:paraId="590507C3" w14:textId="77777777" w:rsidR="00CE3724" w:rsidRPr="00CE3724" w:rsidRDefault="00B40D41" w:rsidP="00F5172E">
      <w:pPr>
        <w:spacing w:before="120" w:after="0" w:line="276" w:lineRule="auto"/>
        <w:jc w:val="both"/>
        <w:rPr>
          <w:rFonts w:cs="Myriad Pro"/>
          <w:color w:val="000000"/>
        </w:rPr>
      </w:pPr>
      <w:bookmarkStart w:id="9" w:name="__RefHeading__26283_36043823"/>
      <w:bookmarkEnd w:id="9"/>
      <w:r w:rsidRPr="00F21196">
        <w:rPr>
          <w:rFonts w:cs="Calibri"/>
          <w:color w:val="000000"/>
        </w:rPr>
        <w:t xml:space="preserve">Minister właściwy do spraw administracji publicznej będzie odpowiedzialny za koordynację </w:t>
      </w:r>
      <w:r w:rsidR="00A653E4">
        <w:rPr>
          <w:rFonts w:cs="Calibri"/>
          <w:color w:val="000000"/>
        </w:rPr>
        <w:t xml:space="preserve">wykonywania </w:t>
      </w:r>
      <w:r w:rsidRPr="00F21196">
        <w:rPr>
          <w:rFonts w:cs="Calibri"/>
          <w:color w:val="000000"/>
        </w:rPr>
        <w:t>strategii.</w:t>
      </w:r>
      <w:r w:rsidR="00A653E4">
        <w:rPr>
          <w:rFonts w:cs="Calibri"/>
          <w:color w:val="000000"/>
        </w:rPr>
        <w:t xml:space="preserve"> </w:t>
      </w:r>
      <w:r w:rsidR="00A653E4" w:rsidRPr="00CE3724">
        <w:rPr>
          <w:rFonts w:cs="Calibri"/>
          <w:color w:val="000000"/>
        </w:rPr>
        <w:t xml:space="preserve">W ramach pełnionej funkcji </w:t>
      </w:r>
      <w:r w:rsidR="00A653E4" w:rsidRPr="00CE3724">
        <w:rPr>
          <w:rFonts w:cs="Myriad Pro"/>
          <w:color w:val="000000"/>
        </w:rPr>
        <w:t>będzie</w:t>
      </w:r>
      <w:r w:rsidR="00CE3724" w:rsidRPr="00CE3724">
        <w:rPr>
          <w:rFonts w:cs="Myriad Pro"/>
          <w:color w:val="000000"/>
        </w:rPr>
        <w:t>:</w:t>
      </w:r>
    </w:p>
    <w:p w14:paraId="31079B0F" w14:textId="77777777" w:rsidR="00CE3724" w:rsidRPr="00CE3724" w:rsidRDefault="00A653E4" w:rsidP="00723B3F">
      <w:pPr>
        <w:pStyle w:val="Akapitzlist"/>
        <w:numPr>
          <w:ilvl w:val="0"/>
          <w:numId w:val="45"/>
        </w:numPr>
        <w:spacing w:line="276" w:lineRule="auto"/>
        <w:ind w:left="426" w:hanging="357"/>
        <w:jc w:val="both"/>
        <w:rPr>
          <w:rFonts w:asciiTheme="minorHAnsi" w:hAnsiTheme="minorHAnsi" w:cs="Myriad Pro"/>
          <w:color w:val="000000"/>
          <w:sz w:val="22"/>
          <w:szCs w:val="22"/>
        </w:rPr>
      </w:pPr>
      <w:r w:rsidRPr="00CE3724">
        <w:rPr>
          <w:rFonts w:asciiTheme="minorHAnsi" w:hAnsiTheme="minorHAnsi" w:cs="Myriad Pro"/>
          <w:color w:val="000000"/>
          <w:sz w:val="22"/>
          <w:szCs w:val="22"/>
        </w:rPr>
        <w:t>współpracował z R</w:t>
      </w:r>
      <w:r w:rsidR="00CE3724" w:rsidRPr="00CE3724">
        <w:rPr>
          <w:rFonts w:asciiTheme="minorHAnsi" w:hAnsiTheme="minorHAnsi" w:cs="Myriad Pro"/>
          <w:color w:val="000000"/>
          <w:sz w:val="22"/>
          <w:szCs w:val="22"/>
        </w:rPr>
        <w:t>ządowym Biurem Monitorowania Projektów</w:t>
      </w:r>
      <w:r w:rsidRPr="00CE3724">
        <w:rPr>
          <w:rFonts w:asciiTheme="minorHAnsi" w:hAnsiTheme="minorHAnsi" w:cs="Myriad Pro"/>
          <w:color w:val="000000"/>
          <w:sz w:val="22"/>
          <w:szCs w:val="22"/>
        </w:rPr>
        <w:t xml:space="preserve"> w celu pozyskiwania informacji o realizowanych </w:t>
      </w:r>
      <w:r w:rsidR="00CE3724" w:rsidRPr="00CE3724">
        <w:rPr>
          <w:rFonts w:asciiTheme="minorHAnsi" w:hAnsiTheme="minorHAnsi" w:cs="Myriad Pro"/>
          <w:color w:val="000000"/>
          <w:sz w:val="22"/>
          <w:szCs w:val="22"/>
        </w:rPr>
        <w:t xml:space="preserve">lub zakończonych </w:t>
      </w:r>
      <w:r w:rsidRPr="00CE3724">
        <w:rPr>
          <w:rFonts w:asciiTheme="minorHAnsi" w:hAnsiTheme="minorHAnsi" w:cs="Myriad Pro"/>
          <w:color w:val="000000"/>
          <w:sz w:val="22"/>
          <w:szCs w:val="22"/>
        </w:rPr>
        <w:t>projektach strategicznych wdrażających SNP</w:t>
      </w:r>
      <w:r w:rsidR="00CE3724" w:rsidRPr="00CE3724">
        <w:rPr>
          <w:rFonts w:asciiTheme="minorHAnsi" w:hAnsiTheme="minorHAnsi" w:cs="Myriad Pro"/>
          <w:color w:val="000000"/>
          <w:sz w:val="22"/>
          <w:szCs w:val="22"/>
        </w:rPr>
        <w:t>,</w:t>
      </w:r>
    </w:p>
    <w:p w14:paraId="0BD4526A" w14:textId="77777777" w:rsidR="00CE3724" w:rsidRPr="0003115A" w:rsidRDefault="00A653E4" w:rsidP="00723B3F">
      <w:pPr>
        <w:pStyle w:val="Akapitzlist"/>
        <w:numPr>
          <w:ilvl w:val="0"/>
          <w:numId w:val="45"/>
        </w:numPr>
        <w:spacing w:before="120" w:line="276" w:lineRule="auto"/>
        <w:ind w:left="426"/>
        <w:jc w:val="both"/>
        <w:rPr>
          <w:rFonts w:asciiTheme="minorHAnsi" w:hAnsiTheme="minorHAnsi" w:cs="Myriad Pro"/>
          <w:color w:val="000000"/>
          <w:sz w:val="22"/>
          <w:szCs w:val="22"/>
        </w:rPr>
      </w:pPr>
      <w:r w:rsidRPr="0003115A">
        <w:rPr>
          <w:rFonts w:asciiTheme="minorHAnsi" w:hAnsiTheme="minorHAnsi" w:cs="Myriad Pro"/>
          <w:color w:val="000000"/>
          <w:sz w:val="22"/>
          <w:szCs w:val="22"/>
        </w:rPr>
        <w:t xml:space="preserve">przedstawiał </w:t>
      </w:r>
      <w:r w:rsidR="008E60A4" w:rsidRPr="0003115A">
        <w:rPr>
          <w:rFonts w:asciiTheme="minorHAnsi" w:hAnsiTheme="minorHAnsi" w:cs="Myriad Pro"/>
          <w:color w:val="000000"/>
          <w:sz w:val="22"/>
          <w:szCs w:val="22"/>
        </w:rPr>
        <w:t>podczas posiedzeń KKPR informacje wskazujące na wdrażanie SNP</w:t>
      </w:r>
      <w:r w:rsidR="00CE3724" w:rsidRPr="0003115A">
        <w:rPr>
          <w:rFonts w:asciiTheme="minorHAnsi" w:hAnsiTheme="minorHAnsi" w:cs="Myriad Pro"/>
          <w:color w:val="000000"/>
          <w:sz w:val="22"/>
          <w:szCs w:val="22"/>
        </w:rPr>
        <w:t>,</w:t>
      </w:r>
    </w:p>
    <w:p w14:paraId="6B6A5651" w14:textId="45E21410" w:rsidR="00CE3724" w:rsidRPr="0003115A" w:rsidRDefault="008E60A4" w:rsidP="00723B3F">
      <w:pPr>
        <w:pStyle w:val="Akapitzlist"/>
        <w:numPr>
          <w:ilvl w:val="0"/>
          <w:numId w:val="45"/>
        </w:numPr>
        <w:spacing w:before="120" w:line="276" w:lineRule="auto"/>
        <w:ind w:left="426"/>
        <w:jc w:val="both"/>
        <w:rPr>
          <w:rFonts w:asciiTheme="minorHAnsi" w:hAnsiTheme="minorHAnsi" w:cs="Myriad Pro"/>
          <w:color w:val="000000"/>
          <w:sz w:val="22"/>
          <w:szCs w:val="22"/>
        </w:rPr>
      </w:pPr>
      <w:r w:rsidRPr="0003115A">
        <w:rPr>
          <w:rFonts w:asciiTheme="minorHAnsi" w:hAnsiTheme="minorHAnsi" w:cs="Myriad Pro"/>
          <w:color w:val="000000"/>
          <w:sz w:val="22"/>
          <w:szCs w:val="22"/>
        </w:rPr>
        <w:t xml:space="preserve">kierował pracami </w:t>
      </w:r>
      <w:r w:rsidRPr="0003115A">
        <w:rPr>
          <w:rFonts w:asciiTheme="minorHAnsi" w:eastAsia="Calibri" w:hAnsiTheme="minorHAnsi"/>
          <w:sz w:val="22"/>
          <w:szCs w:val="22"/>
        </w:rPr>
        <w:t xml:space="preserve">Zespołu międzyresortowego ds. aktualizacji i monitorowania strategii </w:t>
      </w:r>
      <w:r w:rsidR="00E0717D">
        <w:rPr>
          <w:rFonts w:asciiTheme="minorHAnsi" w:eastAsia="Calibri" w:hAnsiTheme="minorHAnsi"/>
          <w:sz w:val="22"/>
          <w:szCs w:val="22"/>
        </w:rPr>
        <w:t>s</w:t>
      </w:r>
      <w:r w:rsidRPr="0003115A">
        <w:rPr>
          <w:rFonts w:asciiTheme="minorHAnsi" w:eastAsia="Calibri" w:hAnsiTheme="minorHAnsi"/>
          <w:sz w:val="22"/>
          <w:szCs w:val="22"/>
        </w:rPr>
        <w:t xml:space="preserve">prawne </w:t>
      </w:r>
      <w:r w:rsidR="00E0717D">
        <w:rPr>
          <w:rFonts w:asciiTheme="minorHAnsi" w:eastAsia="Calibri" w:hAnsiTheme="minorHAnsi"/>
          <w:sz w:val="22"/>
          <w:szCs w:val="22"/>
        </w:rPr>
        <w:t>p</w:t>
      </w:r>
      <w:r w:rsidRPr="0003115A">
        <w:rPr>
          <w:rFonts w:asciiTheme="minorHAnsi" w:eastAsia="Calibri" w:hAnsiTheme="minorHAnsi"/>
          <w:sz w:val="22"/>
          <w:szCs w:val="22"/>
        </w:rPr>
        <w:t>aństwo powołanego przy Komitecie Koordynacyjnym ds. Polityki Rozwoju</w:t>
      </w:r>
      <w:r w:rsidRPr="0003115A">
        <w:rPr>
          <w:rFonts w:asciiTheme="minorHAnsi" w:hAnsiTheme="minorHAnsi"/>
          <w:sz w:val="22"/>
          <w:szCs w:val="22"/>
          <w:vertAlign w:val="superscript"/>
        </w:rPr>
        <w:footnoteReference w:id="130"/>
      </w:r>
      <w:r w:rsidR="0006375D">
        <w:rPr>
          <w:rFonts w:asciiTheme="minorHAnsi" w:hAnsiTheme="minorHAnsi" w:cs="Myriad Pro"/>
          <w:color w:val="000000"/>
          <w:sz w:val="22"/>
          <w:szCs w:val="22"/>
        </w:rPr>
        <w:t xml:space="preserve"> (zakłada się, iż Zespół będzie przynajmniej raz do roku obradował na posiedzeniach, podczas których omawiane byłyby plany czy problemy związane z wdrażaniem SNP),</w:t>
      </w:r>
    </w:p>
    <w:p w14:paraId="697E48E6" w14:textId="13872203" w:rsidR="00A653E4" w:rsidRPr="0003115A" w:rsidRDefault="008E60A4" w:rsidP="00723B3F">
      <w:pPr>
        <w:pStyle w:val="Akapitzlist"/>
        <w:numPr>
          <w:ilvl w:val="0"/>
          <w:numId w:val="45"/>
        </w:numPr>
        <w:spacing w:before="120" w:line="276" w:lineRule="auto"/>
        <w:ind w:left="426"/>
        <w:jc w:val="both"/>
        <w:rPr>
          <w:rFonts w:asciiTheme="minorHAnsi" w:hAnsiTheme="minorHAnsi" w:cs="Myriad Pro"/>
          <w:color w:val="000000"/>
          <w:sz w:val="22"/>
          <w:szCs w:val="22"/>
        </w:rPr>
      </w:pPr>
      <w:r w:rsidRPr="0003115A">
        <w:rPr>
          <w:rFonts w:asciiTheme="minorHAnsi" w:hAnsiTheme="minorHAnsi" w:cs="Myriad Pro"/>
          <w:color w:val="000000"/>
          <w:sz w:val="22"/>
          <w:szCs w:val="22"/>
        </w:rPr>
        <w:t>współpracował z M</w:t>
      </w:r>
      <w:r w:rsidR="00FC131B">
        <w:rPr>
          <w:rFonts w:asciiTheme="minorHAnsi" w:hAnsiTheme="minorHAnsi" w:cs="Myriad Pro"/>
          <w:color w:val="000000"/>
          <w:sz w:val="22"/>
          <w:szCs w:val="22"/>
        </w:rPr>
        <w:t>FiPR</w:t>
      </w:r>
      <w:r w:rsidRPr="0003115A">
        <w:rPr>
          <w:rFonts w:asciiTheme="minorHAnsi" w:hAnsiTheme="minorHAnsi" w:cs="Myriad Pro"/>
          <w:color w:val="000000"/>
          <w:sz w:val="22"/>
          <w:szCs w:val="22"/>
        </w:rPr>
        <w:t xml:space="preserve"> w zakresie przedkładania materiałów do opracowania sprawozdania z wdrażani</w:t>
      </w:r>
      <w:r w:rsidR="00CE3724" w:rsidRPr="0003115A">
        <w:rPr>
          <w:rFonts w:asciiTheme="minorHAnsi" w:hAnsiTheme="minorHAnsi" w:cs="Myriad Pro"/>
          <w:color w:val="000000"/>
          <w:sz w:val="22"/>
          <w:szCs w:val="22"/>
        </w:rPr>
        <w:t>a SOR za dany rok kalendarzowy,</w:t>
      </w:r>
    </w:p>
    <w:p w14:paraId="2CBF99EA" w14:textId="23030019" w:rsidR="00CE3724" w:rsidRPr="0003115A" w:rsidRDefault="00CE3724" w:rsidP="00723B3F">
      <w:pPr>
        <w:pStyle w:val="Akapitzlist"/>
        <w:numPr>
          <w:ilvl w:val="0"/>
          <w:numId w:val="45"/>
        </w:numPr>
        <w:spacing w:before="120" w:line="276" w:lineRule="auto"/>
        <w:ind w:left="426"/>
        <w:jc w:val="both"/>
        <w:rPr>
          <w:rFonts w:asciiTheme="minorHAnsi" w:hAnsiTheme="minorHAnsi" w:cs="Myriad Pro"/>
          <w:color w:val="000000"/>
          <w:sz w:val="22"/>
          <w:szCs w:val="22"/>
        </w:rPr>
      </w:pPr>
      <w:r w:rsidRPr="006A59AC">
        <w:rPr>
          <w:rFonts w:asciiTheme="minorHAnsi" w:hAnsiTheme="minorHAnsi" w:cs="Myriad Pro"/>
          <w:color w:val="000000"/>
          <w:sz w:val="22"/>
          <w:szCs w:val="22"/>
        </w:rPr>
        <w:t xml:space="preserve">przedkładał na wniosek </w:t>
      </w:r>
      <w:r w:rsidR="0077530F">
        <w:rPr>
          <w:rFonts w:asciiTheme="minorHAnsi" w:eastAsia="Times New Roman" w:hAnsiTheme="minorHAnsi" w:cstheme="minorHAnsi"/>
          <w:sz w:val="22"/>
          <w:szCs w:val="22"/>
        </w:rPr>
        <w:t>M</w:t>
      </w:r>
      <w:r w:rsidR="00704B6C">
        <w:rPr>
          <w:rFonts w:asciiTheme="minorHAnsi" w:eastAsia="Times New Roman" w:hAnsiTheme="minorHAnsi" w:cstheme="minorHAnsi"/>
          <w:sz w:val="22"/>
          <w:szCs w:val="22"/>
        </w:rPr>
        <w:t>F</w:t>
      </w:r>
      <w:r w:rsidR="00FC131B" w:rsidRPr="006A59AC">
        <w:rPr>
          <w:rFonts w:asciiTheme="minorHAnsi" w:eastAsia="Times New Roman" w:hAnsiTheme="minorHAnsi" w:cstheme="minorHAnsi"/>
          <w:sz w:val="22"/>
          <w:szCs w:val="22"/>
        </w:rPr>
        <w:t>iPR</w:t>
      </w:r>
      <w:r w:rsidRPr="006A59AC">
        <w:rPr>
          <w:rFonts w:asciiTheme="minorHAnsi" w:hAnsiTheme="minorHAnsi" w:cs="Myriad Pro"/>
          <w:color w:val="000000"/>
          <w:sz w:val="22"/>
          <w:szCs w:val="22"/>
        </w:rPr>
        <w:t xml:space="preserve"> informacje o realizacji</w:t>
      </w:r>
      <w:r w:rsidRPr="0003115A">
        <w:rPr>
          <w:rFonts w:asciiTheme="minorHAnsi" w:hAnsiTheme="minorHAnsi" w:cs="Myriad Pro"/>
          <w:color w:val="000000"/>
          <w:sz w:val="22"/>
          <w:szCs w:val="22"/>
        </w:rPr>
        <w:t xml:space="preserve"> polityki rozwoju w ramach SNP,</w:t>
      </w:r>
    </w:p>
    <w:p w14:paraId="4D80713C" w14:textId="06491A2D" w:rsidR="0003115A" w:rsidRPr="0003115A" w:rsidRDefault="009267E8" w:rsidP="00723B3F">
      <w:pPr>
        <w:pStyle w:val="Akapitzlist"/>
        <w:numPr>
          <w:ilvl w:val="0"/>
          <w:numId w:val="45"/>
        </w:numPr>
        <w:spacing w:before="120" w:line="276" w:lineRule="auto"/>
        <w:ind w:left="426"/>
        <w:jc w:val="both"/>
        <w:rPr>
          <w:rFonts w:asciiTheme="minorHAnsi" w:hAnsiTheme="minorHAnsi" w:cs="Myriad Pro"/>
          <w:color w:val="000000"/>
          <w:sz w:val="22"/>
          <w:szCs w:val="22"/>
        </w:rPr>
      </w:pPr>
      <w:r w:rsidRPr="0003115A">
        <w:rPr>
          <w:rFonts w:asciiTheme="minorHAnsi" w:hAnsiTheme="minorHAnsi" w:cs="Myriad Pro"/>
          <w:color w:val="000000"/>
          <w:sz w:val="22"/>
          <w:szCs w:val="22"/>
        </w:rPr>
        <w:t>współpracował z Głównym Urzędem Statystycznym w zakresie zasilania bazy STRATEG</w:t>
      </w:r>
      <w:r w:rsidR="00F547F7">
        <w:rPr>
          <w:rStyle w:val="Odwoanieprzypisudolnego"/>
          <w:rFonts w:asciiTheme="minorHAnsi" w:hAnsiTheme="minorHAnsi" w:cs="Myriad Pro"/>
          <w:color w:val="000000"/>
          <w:sz w:val="22"/>
          <w:szCs w:val="22"/>
        </w:rPr>
        <w:footnoteReference w:id="131"/>
      </w:r>
      <w:r w:rsidRPr="0003115A">
        <w:rPr>
          <w:rFonts w:asciiTheme="minorHAnsi" w:hAnsiTheme="minorHAnsi" w:cs="Myriad Pro"/>
          <w:color w:val="000000"/>
          <w:sz w:val="22"/>
          <w:szCs w:val="22"/>
        </w:rPr>
        <w:t xml:space="preserve"> danymi dotyczącymi wskaźników</w:t>
      </w:r>
      <w:r w:rsidRPr="0003115A">
        <w:rPr>
          <w:rFonts w:asciiTheme="minorHAnsi" w:hAnsiTheme="minorHAnsi"/>
          <w:sz w:val="22"/>
          <w:szCs w:val="22"/>
        </w:rPr>
        <w:t xml:space="preserve"> </w:t>
      </w:r>
      <w:r w:rsidR="0080370D">
        <w:rPr>
          <w:rFonts w:asciiTheme="minorHAnsi" w:hAnsiTheme="minorHAnsi"/>
          <w:sz w:val="22"/>
          <w:szCs w:val="22"/>
        </w:rPr>
        <w:t xml:space="preserve">monitorowania </w:t>
      </w:r>
      <w:r w:rsidRPr="0003115A">
        <w:rPr>
          <w:rFonts w:asciiTheme="minorHAnsi" w:hAnsiTheme="minorHAnsi"/>
          <w:sz w:val="22"/>
          <w:szCs w:val="22"/>
        </w:rPr>
        <w:t>spoza zasobów informacyjnych statystyki publicznej</w:t>
      </w:r>
      <w:r w:rsidR="0080370D">
        <w:rPr>
          <w:rFonts w:asciiTheme="minorHAnsi" w:hAnsiTheme="minorHAnsi"/>
          <w:sz w:val="22"/>
          <w:szCs w:val="22"/>
        </w:rPr>
        <w:t xml:space="preserve"> przyjętych do monitorowania SNP</w:t>
      </w:r>
      <w:r w:rsidR="00704B6C">
        <w:rPr>
          <w:rFonts w:asciiTheme="minorHAnsi" w:hAnsiTheme="minorHAnsi"/>
          <w:sz w:val="22"/>
          <w:szCs w:val="22"/>
        </w:rPr>
        <w:t>.</w:t>
      </w:r>
    </w:p>
    <w:p w14:paraId="7B12D73B" w14:textId="77777777" w:rsidR="00F547F7" w:rsidRDefault="00F547F7" w:rsidP="00E0717D">
      <w:pPr>
        <w:spacing w:before="120" w:after="0" w:line="276" w:lineRule="auto"/>
        <w:jc w:val="both"/>
      </w:pPr>
      <w:r>
        <w:t>Część zadań będzie realizowana za pomocą obecnie obowiązujących programów przewidzianych w krajowym systemie zarządzania strategicznego (w tym programów operacyjnych), które stanowią również o wysokości i sposobie finansowania działań i dokładnym przebiegu ich realizacji.</w:t>
      </w:r>
    </w:p>
    <w:p w14:paraId="58D054E9" w14:textId="1CD7F1E4" w:rsidR="00E0717D" w:rsidRPr="00C245A2" w:rsidRDefault="00E0717D" w:rsidP="00E0717D">
      <w:pPr>
        <w:spacing w:before="120" w:after="0" w:line="276" w:lineRule="auto"/>
        <w:jc w:val="both"/>
        <w:rPr>
          <w:rFonts w:cs="Calibri"/>
        </w:rPr>
      </w:pPr>
      <w:r w:rsidRPr="00C245A2">
        <w:rPr>
          <w:rFonts w:cs="Calibri"/>
        </w:rPr>
        <w:t>Zakłada się, że p</w:t>
      </w:r>
      <w:r w:rsidR="00E050F8" w:rsidRPr="00C245A2">
        <w:rPr>
          <w:rFonts w:cs="Calibri"/>
        </w:rPr>
        <w:t xml:space="preserve">o czterech latach obowiązywania dokumentu zostanie on poddany </w:t>
      </w:r>
      <w:r w:rsidRPr="00C245A2">
        <w:rPr>
          <w:rFonts w:cs="Calibri"/>
        </w:rPr>
        <w:t>ocenie przeglądowi i ocenie efektywności uzyskanych rezultatów</w:t>
      </w:r>
      <w:r w:rsidRPr="00C245A2">
        <w:rPr>
          <w:b/>
          <w:spacing w:val="-2"/>
        </w:rPr>
        <w:t xml:space="preserve"> </w:t>
      </w:r>
      <w:r w:rsidRPr="005144F6">
        <w:rPr>
          <w:spacing w:val="-2"/>
        </w:rPr>
        <w:t>(e</w:t>
      </w:r>
      <w:r w:rsidRPr="00C245A2">
        <w:rPr>
          <w:spacing w:val="-2"/>
        </w:rPr>
        <w:t>waluacja efektów projektu)</w:t>
      </w:r>
      <w:r w:rsidRPr="00C245A2">
        <w:rPr>
          <w:rFonts w:cs="Calibri"/>
        </w:rPr>
        <w:t xml:space="preserve">. Wyniki przeglądu przedstawiane będą Komitetowi Koordynacyjnemu do spraw Polityki Rozwoju. W wyniku dokonanego przeglądu minister właściwy do spraw administracji przedstawi wnioski i propozycje działań. </w:t>
      </w:r>
    </w:p>
    <w:p w14:paraId="464B2B4D" w14:textId="77777777" w:rsidR="00B40D41" w:rsidRDefault="00B40D41" w:rsidP="00682232">
      <w:pPr>
        <w:spacing w:before="120" w:after="0" w:line="276" w:lineRule="auto"/>
        <w:jc w:val="both"/>
        <w:rPr>
          <w:rFonts w:cs="Calibri"/>
          <w:color w:val="000000"/>
        </w:rPr>
      </w:pPr>
      <w:r w:rsidRPr="00F21196">
        <w:rPr>
          <w:rFonts w:cs="Calibri"/>
          <w:color w:val="000000"/>
        </w:rPr>
        <w:t xml:space="preserve">W urzędzie obsługującym ministra właściwego do spraw administracji publicznej podjęte będą starania zmierzające do wzmocnienia zdolności administracyjnych w obszarze analitycznym i planistycznym oraz zarządzaniem projektowym, co pozwoli na sprawne włączenie w pionowy proces monitoringu </w:t>
      </w:r>
      <w:r w:rsidR="001A0AC4">
        <w:rPr>
          <w:rFonts w:cs="Calibri"/>
          <w:color w:val="000000"/>
        </w:rPr>
        <w:t>strategicznego i operacyjnego, z</w:t>
      </w:r>
      <w:r w:rsidRPr="00F21196">
        <w:rPr>
          <w:rFonts w:cs="Calibri"/>
          <w:color w:val="000000"/>
        </w:rPr>
        <w:t xml:space="preserve"> uwzględnieniem procesu sprawozdawczości </w:t>
      </w:r>
      <w:r>
        <w:rPr>
          <w:rFonts w:cs="Calibri"/>
          <w:color w:val="000000"/>
        </w:rPr>
        <w:t>i</w:t>
      </w:r>
      <w:r w:rsidRPr="00F21196">
        <w:rPr>
          <w:rFonts w:cs="Calibri"/>
          <w:color w:val="000000"/>
        </w:rPr>
        <w:t xml:space="preserve"> raportowania. </w:t>
      </w:r>
    </w:p>
    <w:p w14:paraId="4CC8F0E7" w14:textId="77777777" w:rsidR="00457E31" w:rsidRPr="00B40D41" w:rsidRDefault="009A0049" w:rsidP="00682232">
      <w:pPr>
        <w:spacing w:before="120" w:after="0" w:line="276" w:lineRule="auto"/>
        <w:jc w:val="both"/>
      </w:pPr>
      <w:r w:rsidRPr="00B40D41">
        <w:rPr>
          <w:rFonts w:ascii="Calibri" w:hAnsi="Calibri"/>
          <w:iCs/>
        </w:rPr>
        <w:t xml:space="preserve">Projekty strategiczne zawarte w strategii podlegają </w:t>
      </w:r>
      <w:r w:rsidR="00197C87" w:rsidRPr="00B40D41">
        <w:rPr>
          <w:rFonts w:ascii="Calibri" w:hAnsi="Calibri"/>
          <w:iCs/>
        </w:rPr>
        <w:t xml:space="preserve">bieżącemu </w:t>
      </w:r>
      <w:r w:rsidRPr="00B40D41">
        <w:rPr>
          <w:rFonts w:ascii="Calibri" w:hAnsi="Calibri"/>
          <w:iCs/>
        </w:rPr>
        <w:t xml:space="preserve">monitoringowi </w:t>
      </w:r>
      <w:r w:rsidR="00976A1D">
        <w:rPr>
          <w:rFonts w:ascii="Calibri" w:hAnsi="Calibri"/>
          <w:iCs/>
        </w:rPr>
        <w:t xml:space="preserve">strategicznemu i </w:t>
      </w:r>
      <w:r w:rsidRPr="00B40D41">
        <w:rPr>
          <w:rFonts w:ascii="Calibri" w:hAnsi="Calibri"/>
          <w:iCs/>
        </w:rPr>
        <w:t>operacyjnemu prowadzonemu w ramach narzędzia informatycznego w postaci systemu MonAliZa</w:t>
      </w:r>
      <w:r w:rsidR="001345F1">
        <w:rPr>
          <w:rFonts w:ascii="Calibri" w:hAnsi="Calibri"/>
          <w:iCs/>
        </w:rPr>
        <w:t xml:space="preserve"> </w:t>
      </w:r>
      <w:r w:rsidR="001345F1" w:rsidRPr="00F21196">
        <w:rPr>
          <w:rFonts w:cs="Calibri"/>
          <w:color w:val="000000"/>
        </w:rPr>
        <w:t>(Monitoring, Analiz</w:t>
      </w:r>
      <w:r w:rsidR="001345F1">
        <w:rPr>
          <w:rFonts w:cs="Calibri"/>
          <w:color w:val="000000"/>
        </w:rPr>
        <w:t>a</w:t>
      </w:r>
      <w:r w:rsidR="00976A1D">
        <w:rPr>
          <w:rFonts w:cs="Calibri"/>
          <w:color w:val="000000"/>
        </w:rPr>
        <w:t>, Zarządzanie)</w:t>
      </w:r>
      <w:r w:rsidR="001345F1" w:rsidRPr="004554D8">
        <w:rPr>
          <w:rFonts w:cs="Arial"/>
          <w:color w:val="000000"/>
        </w:rPr>
        <w:t>.</w:t>
      </w:r>
      <w:r w:rsidRPr="00B40D41">
        <w:t xml:space="preserve"> </w:t>
      </w:r>
      <w:r w:rsidRPr="00B40D41">
        <w:rPr>
          <w:rFonts w:ascii="Calibri" w:hAnsi="Calibri"/>
          <w:iCs/>
        </w:rPr>
        <w:t>Monitoring projektów w</w:t>
      </w:r>
      <w:r w:rsidR="00197C87">
        <w:rPr>
          <w:rFonts w:ascii="Calibri" w:hAnsi="Calibri"/>
          <w:iCs/>
        </w:rPr>
        <w:t xml:space="preserve">e wskazanym </w:t>
      </w:r>
      <w:r w:rsidRPr="00B40D41">
        <w:rPr>
          <w:rFonts w:ascii="Calibri" w:hAnsi="Calibri"/>
          <w:iCs/>
        </w:rPr>
        <w:t>systemie odbywa się w ramach jednolitego systemu obowiązującego wszystkie projekty. Zasady zarządzania projektami objętymi monitoringiem powinny uwzględniać specyfikę organizacji, zakres projektu oraz dobre praktyki i rekomendowane standardy.</w:t>
      </w:r>
      <w:r w:rsidRPr="00B40D41">
        <w:t xml:space="preserve"> </w:t>
      </w:r>
      <w:r w:rsidRPr="00B40D41">
        <w:rPr>
          <w:rFonts w:ascii="Calibri" w:hAnsi="Calibri"/>
          <w:iCs/>
        </w:rPr>
        <w:t>Wyznaczeni liderzy projektów przekazują dane niezbędne do zasilenia systemu MonAliZa, a także za jego pośrednictwem wskazują m.in. ryzyka i osiągnięte rezultaty. Projekty – dla celów zarządczych – mogą być łączone w programy</w:t>
      </w:r>
      <w:r w:rsidR="006C75B5">
        <w:rPr>
          <w:rFonts w:ascii="Calibri" w:hAnsi="Calibri"/>
          <w:iCs/>
        </w:rPr>
        <w:t>,</w:t>
      </w:r>
      <w:r w:rsidRPr="00B40D41">
        <w:rPr>
          <w:rFonts w:ascii="Calibri" w:hAnsi="Calibri"/>
          <w:iCs/>
        </w:rPr>
        <w:t xml:space="preserve"> za których realizację od</w:t>
      </w:r>
      <w:r w:rsidR="00B40D41" w:rsidRPr="00B40D41">
        <w:rPr>
          <w:rFonts w:ascii="Calibri" w:hAnsi="Calibri"/>
          <w:iCs/>
        </w:rPr>
        <w:t>powiadają kierownicy programów.</w:t>
      </w:r>
    </w:p>
    <w:p w14:paraId="53CEB624" w14:textId="77777777" w:rsidR="00332E76" w:rsidRDefault="00197C87" w:rsidP="00332E76">
      <w:pPr>
        <w:autoSpaceDE w:val="0"/>
        <w:autoSpaceDN w:val="0"/>
        <w:adjustRightInd w:val="0"/>
        <w:spacing w:before="120" w:after="0" w:line="276" w:lineRule="auto"/>
        <w:jc w:val="both"/>
      </w:pPr>
      <w:r w:rsidRPr="00F21196">
        <w:rPr>
          <w:rFonts w:cs="Calibri"/>
          <w:color w:val="000000"/>
        </w:rPr>
        <w:t xml:space="preserve">Informacje o stanie realizacji projektów objętych portfelem projektów strategicznych wynikających z SOR i innych dokumentów o strategicznym charakterze (w tym SNP) będą przesyłane bezpośrednio od podmiotu wiodącego do Rządowego Biura Monitorowania Projektów, a następnie do Rady Monitorowania Portfela Projektów Strategicznych. </w:t>
      </w:r>
    </w:p>
    <w:p w14:paraId="3C2E7652" w14:textId="77777777" w:rsidR="00332E76" w:rsidRPr="00F21196" w:rsidRDefault="00332E76" w:rsidP="0010235D">
      <w:pPr>
        <w:spacing w:after="0" w:line="276" w:lineRule="auto"/>
        <w:jc w:val="both"/>
        <w:sectPr w:rsidR="00332E76" w:rsidRPr="00F21196" w:rsidSect="00135280">
          <w:pgSz w:w="11906" w:h="16838"/>
          <w:pgMar w:top="1701" w:right="991" w:bottom="1418" w:left="993" w:header="709" w:footer="709" w:gutter="0"/>
          <w:cols w:space="708"/>
          <w:docGrid w:linePitch="360"/>
        </w:sectPr>
      </w:pPr>
    </w:p>
    <w:p w14:paraId="5D7DE933" w14:textId="77777777" w:rsidR="00E47282" w:rsidRPr="00F21196" w:rsidRDefault="00E47282" w:rsidP="001F2CA5">
      <w:pPr>
        <w:spacing w:after="0"/>
      </w:pPr>
    </w:p>
    <w:p w14:paraId="42683952" w14:textId="431209F9" w:rsidR="00E47282" w:rsidRPr="00F21196" w:rsidRDefault="00536CB2" w:rsidP="00E47282">
      <w:pPr>
        <w:shd w:val="clear" w:color="auto" w:fill="DEEAF6" w:themeFill="accent1" w:themeFillTint="33"/>
        <w:spacing w:after="0"/>
        <w:rPr>
          <w:b/>
        </w:rPr>
      </w:pPr>
      <w:r>
        <w:rPr>
          <w:b/>
        </w:rPr>
        <w:t>Załączniki</w:t>
      </w:r>
    </w:p>
    <w:p w14:paraId="336BD8EE" w14:textId="77777777" w:rsidR="00E47282" w:rsidRPr="00F21196" w:rsidRDefault="00E47282" w:rsidP="001F2CA5">
      <w:pPr>
        <w:spacing w:after="0"/>
      </w:pPr>
    </w:p>
    <w:p w14:paraId="4B6DE9A4" w14:textId="77777777" w:rsidR="00054ECF" w:rsidRPr="00F21196" w:rsidRDefault="00E47282" w:rsidP="00AB633E">
      <w:pPr>
        <w:spacing w:after="0"/>
        <w:ind w:left="-284"/>
        <w:rPr>
          <w:b/>
          <w:color w:val="2F5496" w:themeColor="accent5" w:themeShade="BF"/>
        </w:rPr>
      </w:pPr>
      <w:r w:rsidRPr="00F21196">
        <w:t>1</w:t>
      </w:r>
      <w:r w:rsidR="001F2CA5" w:rsidRPr="00F21196">
        <w:rPr>
          <w:b/>
          <w:color w:val="2F5496" w:themeColor="accent5" w:themeShade="BF"/>
        </w:rPr>
        <w:t xml:space="preserve">. Lista wskaźników realizacji </w:t>
      </w:r>
      <w:r w:rsidR="00054ECF" w:rsidRPr="00F21196">
        <w:rPr>
          <w:b/>
          <w:color w:val="2F5496" w:themeColor="accent5" w:themeShade="BF"/>
        </w:rPr>
        <w:t>strategii wraz z definicja</w:t>
      </w:r>
      <w:r w:rsidR="004260F9" w:rsidRPr="00F21196">
        <w:rPr>
          <w:b/>
          <w:color w:val="2F5496" w:themeColor="accent5" w:themeShade="BF"/>
        </w:rPr>
        <w:t>mi</w:t>
      </w:r>
    </w:p>
    <w:p w14:paraId="52A927D9" w14:textId="77777777" w:rsidR="00AB633E" w:rsidRDefault="00AB633E" w:rsidP="00AB633E">
      <w:pPr>
        <w:spacing w:after="0"/>
        <w:ind w:left="-284"/>
        <w:jc w:val="both"/>
      </w:pPr>
    </w:p>
    <w:p w14:paraId="6B50C9AE" w14:textId="77944863" w:rsidR="00AB633E" w:rsidRDefault="0067092B" w:rsidP="007F3CFF">
      <w:pPr>
        <w:spacing w:after="0"/>
        <w:jc w:val="both"/>
      </w:pPr>
      <w:r w:rsidRPr="0067092B">
        <w:t>Wartości wskaźników monitorowania SNP w poniższej tablicy prezentowane są dla roku bazowego, tj. ostatniego roku, w którym były dostępne w ostatniej fazie prac nad projektem strategii o</w:t>
      </w:r>
      <w:r>
        <w:t xml:space="preserve">raz dla okresu </w:t>
      </w:r>
      <w:r w:rsidRPr="0067092B">
        <w:t>docelowego (2030 r.). Zarówno wskaźniki jak i dane zasilą system STRATEG</w:t>
      </w:r>
      <w:r>
        <w:t>.</w:t>
      </w:r>
    </w:p>
    <w:p w14:paraId="30AA3C3B" w14:textId="77777777" w:rsidR="0067092B" w:rsidRPr="0067092B" w:rsidRDefault="0067092B" w:rsidP="007F3CFF">
      <w:pPr>
        <w:spacing w:after="0"/>
        <w:jc w:val="both"/>
        <w:rPr>
          <w:color w:val="2F5496" w:themeColor="accent5" w:themeShade="BF"/>
        </w:rPr>
      </w:pPr>
    </w:p>
    <w:tbl>
      <w:tblPr>
        <w:tblW w:w="14601" w:type="dxa"/>
        <w:tblInd w:w="-456"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020" w:firstRow="1" w:lastRow="0" w:firstColumn="0" w:lastColumn="0" w:noHBand="0" w:noVBand="0"/>
      </w:tblPr>
      <w:tblGrid>
        <w:gridCol w:w="3403"/>
        <w:gridCol w:w="1276"/>
        <w:gridCol w:w="1701"/>
        <w:gridCol w:w="1559"/>
        <w:gridCol w:w="1701"/>
        <w:gridCol w:w="4961"/>
      </w:tblGrid>
      <w:tr w:rsidR="00451E46" w:rsidRPr="00F21196" w14:paraId="669E051B" w14:textId="77777777" w:rsidTr="00463981">
        <w:trPr>
          <w:trHeight w:val="344"/>
        </w:trPr>
        <w:tc>
          <w:tcPr>
            <w:tcW w:w="3403" w:type="dxa"/>
            <w:shd w:val="clear" w:color="auto" w:fill="DEEAF6" w:themeFill="accent1" w:themeFillTint="33"/>
            <w:vAlign w:val="center"/>
          </w:tcPr>
          <w:p w14:paraId="15560097" w14:textId="37050D61" w:rsidR="00451E46" w:rsidRPr="00463981" w:rsidRDefault="00451E46" w:rsidP="00451E46">
            <w:pPr>
              <w:ind w:firstLine="142"/>
              <w:jc w:val="center"/>
              <w:rPr>
                <w:rFonts w:cs="Calibri"/>
                <w:b/>
                <w:sz w:val="20"/>
                <w:szCs w:val="18"/>
                <w:lang w:eastAsia="pl-PL"/>
              </w:rPr>
            </w:pPr>
            <w:r w:rsidRPr="00463981">
              <w:rPr>
                <w:rFonts w:cs="Calibri"/>
                <w:b/>
                <w:kern w:val="24"/>
                <w:sz w:val="20"/>
                <w:szCs w:val="18"/>
                <w:lang w:eastAsia="pl-PL"/>
              </w:rPr>
              <w:t>Wskaźnik</w:t>
            </w:r>
          </w:p>
        </w:tc>
        <w:tc>
          <w:tcPr>
            <w:tcW w:w="1276" w:type="dxa"/>
            <w:shd w:val="clear" w:color="auto" w:fill="DEEAF6" w:themeFill="accent1" w:themeFillTint="33"/>
            <w:vAlign w:val="center"/>
          </w:tcPr>
          <w:p w14:paraId="1F615562" w14:textId="77777777" w:rsidR="00451E46" w:rsidRPr="00463981" w:rsidRDefault="00451E46" w:rsidP="00451E46">
            <w:pPr>
              <w:jc w:val="center"/>
              <w:rPr>
                <w:rFonts w:cs="Calibri"/>
                <w:b/>
                <w:sz w:val="20"/>
                <w:szCs w:val="18"/>
                <w:lang w:eastAsia="pl-PL"/>
              </w:rPr>
            </w:pPr>
            <w:r w:rsidRPr="00463981">
              <w:rPr>
                <w:rFonts w:cs="Calibri"/>
                <w:b/>
                <w:kern w:val="24"/>
                <w:sz w:val="20"/>
                <w:szCs w:val="18"/>
                <w:lang w:eastAsia="pl-PL"/>
              </w:rPr>
              <w:t>Jednostka miary</w:t>
            </w:r>
          </w:p>
        </w:tc>
        <w:tc>
          <w:tcPr>
            <w:tcW w:w="1701" w:type="dxa"/>
            <w:shd w:val="clear" w:color="auto" w:fill="DEEAF6" w:themeFill="accent1" w:themeFillTint="33"/>
            <w:vAlign w:val="center"/>
          </w:tcPr>
          <w:p w14:paraId="741550BD" w14:textId="77777777" w:rsidR="00451E46" w:rsidRPr="00463981" w:rsidRDefault="00451E46" w:rsidP="00451E46">
            <w:pPr>
              <w:jc w:val="center"/>
              <w:rPr>
                <w:rFonts w:cs="Calibri"/>
                <w:b/>
                <w:kern w:val="24"/>
                <w:sz w:val="20"/>
                <w:szCs w:val="18"/>
                <w:lang w:eastAsia="pl-PL"/>
              </w:rPr>
            </w:pPr>
            <w:r w:rsidRPr="00463981">
              <w:rPr>
                <w:rFonts w:cs="Calibri"/>
                <w:b/>
                <w:kern w:val="24"/>
                <w:sz w:val="20"/>
                <w:szCs w:val="18"/>
                <w:lang w:eastAsia="pl-PL"/>
              </w:rPr>
              <w:t>Wartość bazowa</w:t>
            </w:r>
          </w:p>
          <w:p w14:paraId="70C74F14" w14:textId="77777777" w:rsidR="00451E46" w:rsidRPr="00463981" w:rsidRDefault="00451E46" w:rsidP="00451E46">
            <w:pPr>
              <w:jc w:val="center"/>
              <w:rPr>
                <w:rFonts w:cs="Calibri"/>
                <w:b/>
                <w:sz w:val="20"/>
                <w:szCs w:val="18"/>
                <w:lang w:eastAsia="pl-PL"/>
              </w:rPr>
            </w:pPr>
            <w:r w:rsidRPr="00463981">
              <w:rPr>
                <w:rFonts w:cs="Calibri"/>
                <w:b/>
                <w:kern w:val="24"/>
                <w:sz w:val="20"/>
                <w:szCs w:val="18"/>
                <w:lang w:eastAsia="pl-PL"/>
              </w:rPr>
              <w:t>(rok bazowy)</w:t>
            </w:r>
          </w:p>
        </w:tc>
        <w:tc>
          <w:tcPr>
            <w:tcW w:w="1559" w:type="dxa"/>
            <w:shd w:val="clear" w:color="auto" w:fill="DEEAF6" w:themeFill="accent1" w:themeFillTint="33"/>
            <w:vAlign w:val="center"/>
          </w:tcPr>
          <w:p w14:paraId="2931AC2D" w14:textId="1219CD07" w:rsidR="00451E46" w:rsidRPr="00463981" w:rsidRDefault="00451E46" w:rsidP="00451E46">
            <w:pPr>
              <w:jc w:val="center"/>
              <w:rPr>
                <w:rFonts w:cs="Calibri"/>
                <w:b/>
                <w:kern w:val="24"/>
                <w:sz w:val="20"/>
                <w:szCs w:val="18"/>
                <w:lang w:eastAsia="pl-PL"/>
              </w:rPr>
            </w:pPr>
            <w:r w:rsidRPr="00463981">
              <w:rPr>
                <w:rFonts w:cs="Calibri"/>
                <w:b/>
                <w:kern w:val="24"/>
                <w:sz w:val="20"/>
                <w:szCs w:val="18"/>
                <w:lang w:eastAsia="pl-PL"/>
              </w:rPr>
              <w:t>Wartość w roku 2030</w:t>
            </w:r>
          </w:p>
        </w:tc>
        <w:tc>
          <w:tcPr>
            <w:tcW w:w="1701" w:type="dxa"/>
            <w:shd w:val="clear" w:color="auto" w:fill="DEEAF6" w:themeFill="accent1" w:themeFillTint="33"/>
            <w:tcMar>
              <w:top w:w="15" w:type="dxa"/>
              <w:left w:w="108" w:type="dxa"/>
              <w:bottom w:w="0" w:type="dxa"/>
              <w:right w:w="108" w:type="dxa"/>
            </w:tcMar>
            <w:vAlign w:val="center"/>
          </w:tcPr>
          <w:p w14:paraId="2F0C6626" w14:textId="77777777" w:rsidR="00451E46" w:rsidRPr="00463981" w:rsidRDefault="00451E46" w:rsidP="00451E46">
            <w:pPr>
              <w:jc w:val="center"/>
              <w:rPr>
                <w:rFonts w:cs="Calibri"/>
                <w:b/>
                <w:sz w:val="20"/>
                <w:szCs w:val="18"/>
                <w:lang w:eastAsia="pl-PL"/>
              </w:rPr>
            </w:pPr>
            <w:r w:rsidRPr="00463981">
              <w:rPr>
                <w:rFonts w:cs="Calibri"/>
                <w:b/>
                <w:kern w:val="24"/>
                <w:sz w:val="20"/>
                <w:szCs w:val="18"/>
                <w:lang w:eastAsia="pl-PL"/>
              </w:rPr>
              <w:t>Źródło danych</w:t>
            </w:r>
          </w:p>
        </w:tc>
        <w:tc>
          <w:tcPr>
            <w:tcW w:w="4961" w:type="dxa"/>
            <w:shd w:val="clear" w:color="auto" w:fill="DEEAF6" w:themeFill="accent1" w:themeFillTint="33"/>
          </w:tcPr>
          <w:p w14:paraId="09B790F5" w14:textId="77777777" w:rsidR="00451E46" w:rsidRPr="00463981" w:rsidRDefault="00451E46" w:rsidP="00451E46">
            <w:pPr>
              <w:jc w:val="center"/>
              <w:rPr>
                <w:rFonts w:cs="Calibri"/>
                <w:b/>
                <w:kern w:val="24"/>
                <w:sz w:val="20"/>
                <w:szCs w:val="18"/>
                <w:lang w:eastAsia="pl-PL"/>
              </w:rPr>
            </w:pPr>
          </w:p>
          <w:p w14:paraId="6240AF9D" w14:textId="77777777" w:rsidR="00451E46" w:rsidRPr="00463981" w:rsidRDefault="00451E46" w:rsidP="00451E46">
            <w:pPr>
              <w:jc w:val="center"/>
              <w:rPr>
                <w:rFonts w:cs="Calibri"/>
                <w:b/>
                <w:kern w:val="24"/>
                <w:sz w:val="20"/>
                <w:szCs w:val="18"/>
                <w:lang w:eastAsia="pl-PL"/>
              </w:rPr>
            </w:pPr>
            <w:r w:rsidRPr="00463981">
              <w:rPr>
                <w:rFonts w:cs="Calibri"/>
                <w:b/>
                <w:kern w:val="24"/>
                <w:sz w:val="20"/>
                <w:szCs w:val="18"/>
                <w:lang w:eastAsia="pl-PL"/>
              </w:rPr>
              <w:t>Definicja wskaźnika</w:t>
            </w:r>
          </w:p>
        </w:tc>
      </w:tr>
      <w:tr w:rsidR="00451E46" w:rsidRPr="00F21196" w14:paraId="35FA0D9D" w14:textId="77777777" w:rsidTr="00463981">
        <w:trPr>
          <w:trHeight w:val="344"/>
        </w:trPr>
        <w:tc>
          <w:tcPr>
            <w:tcW w:w="14601" w:type="dxa"/>
            <w:gridSpan w:val="6"/>
            <w:shd w:val="clear" w:color="auto" w:fill="9CC2E5" w:themeFill="accent1" w:themeFillTint="99"/>
            <w:vAlign w:val="center"/>
          </w:tcPr>
          <w:p w14:paraId="7C54CCD8" w14:textId="77777777" w:rsidR="00451E46" w:rsidRPr="00F21196" w:rsidRDefault="00451E46" w:rsidP="00451E46">
            <w:pPr>
              <w:jc w:val="center"/>
              <w:rPr>
                <w:rFonts w:cs="Calibri"/>
                <w:b/>
                <w:kern w:val="24"/>
                <w:sz w:val="24"/>
                <w:szCs w:val="18"/>
                <w:lang w:eastAsia="pl-PL"/>
              </w:rPr>
            </w:pPr>
            <w:r w:rsidRPr="00F21196">
              <w:rPr>
                <w:rFonts w:cs="Calibri"/>
                <w:b/>
                <w:kern w:val="24"/>
                <w:sz w:val="24"/>
                <w:szCs w:val="18"/>
                <w:lang w:eastAsia="pl-PL"/>
              </w:rPr>
              <w:t xml:space="preserve">Cel główny: </w:t>
            </w:r>
          </w:p>
          <w:p w14:paraId="6C488A99" w14:textId="027C79AE" w:rsidR="00451E46" w:rsidRPr="00F21196" w:rsidRDefault="00451E46" w:rsidP="00451E46">
            <w:pPr>
              <w:jc w:val="center"/>
              <w:rPr>
                <w:rFonts w:cs="Calibri"/>
                <w:b/>
                <w:kern w:val="24"/>
                <w:sz w:val="24"/>
                <w:szCs w:val="18"/>
                <w:lang w:eastAsia="pl-PL"/>
              </w:rPr>
            </w:pPr>
            <w:r w:rsidRPr="00F21196">
              <w:rPr>
                <w:rFonts w:cs="Calibri"/>
                <w:b/>
                <w:kern w:val="24"/>
                <w:sz w:val="24"/>
                <w:szCs w:val="18"/>
                <w:lang w:eastAsia="pl-PL"/>
              </w:rPr>
              <w:t>S</w:t>
            </w:r>
            <w:r>
              <w:rPr>
                <w:rFonts w:cs="Calibri"/>
                <w:b/>
                <w:kern w:val="24"/>
                <w:sz w:val="24"/>
                <w:szCs w:val="18"/>
                <w:lang w:eastAsia="pl-PL"/>
              </w:rPr>
              <w:t>PRAWNE I NOWOCZESNE</w:t>
            </w:r>
            <w:r w:rsidRPr="00F21196">
              <w:rPr>
                <w:rFonts w:cs="Calibri"/>
                <w:b/>
                <w:kern w:val="24"/>
                <w:sz w:val="24"/>
                <w:szCs w:val="18"/>
                <w:lang w:eastAsia="pl-PL"/>
              </w:rPr>
              <w:t xml:space="preserve"> PAŃSTWO SŁUŻĄCE OBYWATELOM</w:t>
            </w:r>
            <w:r>
              <w:rPr>
                <w:rFonts w:cs="Calibri"/>
                <w:b/>
                <w:kern w:val="24"/>
                <w:sz w:val="24"/>
                <w:szCs w:val="18"/>
                <w:lang w:eastAsia="pl-PL"/>
              </w:rPr>
              <w:t>, ŚRODOWISKU</w:t>
            </w:r>
            <w:r w:rsidRPr="00F21196">
              <w:rPr>
                <w:rFonts w:cs="Calibri"/>
                <w:b/>
                <w:kern w:val="24"/>
                <w:sz w:val="24"/>
                <w:szCs w:val="18"/>
                <w:lang w:eastAsia="pl-PL"/>
              </w:rPr>
              <w:t xml:space="preserve"> ORAZ GOSPODARC</w:t>
            </w:r>
            <w:r>
              <w:rPr>
                <w:rFonts w:cs="Calibri"/>
                <w:b/>
                <w:kern w:val="24"/>
                <w:sz w:val="24"/>
                <w:szCs w:val="18"/>
                <w:lang w:eastAsia="pl-PL"/>
              </w:rPr>
              <w:t>E</w:t>
            </w:r>
          </w:p>
        </w:tc>
      </w:tr>
      <w:tr w:rsidR="00451E46" w:rsidRPr="00F21196" w14:paraId="426E130D" w14:textId="77777777" w:rsidTr="00463981">
        <w:trPr>
          <w:trHeight w:val="344"/>
        </w:trPr>
        <w:tc>
          <w:tcPr>
            <w:tcW w:w="3403" w:type="dxa"/>
            <w:shd w:val="clear" w:color="auto" w:fill="DEEAF6" w:themeFill="accent1" w:themeFillTint="33"/>
            <w:vAlign w:val="center"/>
          </w:tcPr>
          <w:p w14:paraId="54E90797" w14:textId="77777777" w:rsidR="00451E46" w:rsidRPr="002F1273" w:rsidRDefault="00451E46" w:rsidP="00451E46">
            <w:pPr>
              <w:rPr>
                <w:rFonts w:eastAsia="Times New Roman" w:cs="Calibri"/>
                <w:kern w:val="24"/>
                <w:sz w:val="18"/>
                <w:szCs w:val="18"/>
                <w:lang w:eastAsia="pl-PL"/>
              </w:rPr>
            </w:pPr>
            <w:r w:rsidRPr="002F1273">
              <w:rPr>
                <w:rFonts w:eastAsia="Times New Roman" w:cs="Calibri"/>
                <w:kern w:val="24"/>
                <w:sz w:val="18"/>
                <w:szCs w:val="18"/>
                <w:lang w:eastAsia="pl-PL"/>
              </w:rPr>
              <w:t xml:space="preserve">Wskaźnik efektywności rządzenia </w:t>
            </w:r>
          </w:p>
        </w:tc>
        <w:tc>
          <w:tcPr>
            <w:tcW w:w="1276" w:type="dxa"/>
            <w:shd w:val="clear" w:color="auto" w:fill="DEEAF6" w:themeFill="accent1" w:themeFillTint="33"/>
            <w:vAlign w:val="center"/>
          </w:tcPr>
          <w:p w14:paraId="0AD5179B" w14:textId="77777777" w:rsidR="00451E46" w:rsidRPr="002F1273" w:rsidRDefault="00451E46" w:rsidP="00451E46">
            <w:pPr>
              <w:jc w:val="center"/>
              <w:rPr>
                <w:rFonts w:eastAsia="Times New Roman" w:cs="Calibri"/>
                <w:kern w:val="24"/>
                <w:sz w:val="18"/>
                <w:szCs w:val="18"/>
                <w:lang w:eastAsia="pl-PL"/>
              </w:rPr>
            </w:pPr>
            <w:r w:rsidRPr="002F1273">
              <w:rPr>
                <w:rFonts w:eastAsia="Times New Roman" w:cs="Calibri"/>
                <w:kern w:val="24"/>
                <w:sz w:val="18"/>
                <w:szCs w:val="18"/>
                <w:lang w:eastAsia="pl-PL"/>
              </w:rPr>
              <w:t>pkt</w:t>
            </w:r>
          </w:p>
        </w:tc>
        <w:tc>
          <w:tcPr>
            <w:tcW w:w="1701" w:type="dxa"/>
            <w:shd w:val="clear" w:color="auto" w:fill="DEEAF6" w:themeFill="accent1" w:themeFillTint="33"/>
            <w:vAlign w:val="center"/>
          </w:tcPr>
          <w:p w14:paraId="2BF7506E" w14:textId="15AAC860" w:rsidR="00451E46" w:rsidRPr="002F1273" w:rsidRDefault="00451E46" w:rsidP="00451E46">
            <w:pPr>
              <w:spacing w:after="120"/>
              <w:jc w:val="center"/>
              <w:rPr>
                <w:rFonts w:eastAsia="Times New Roman" w:cs="Calibri"/>
                <w:kern w:val="24"/>
                <w:sz w:val="18"/>
                <w:szCs w:val="18"/>
                <w:lang w:eastAsia="pl-PL"/>
              </w:rPr>
            </w:pPr>
            <w:r w:rsidRPr="002F1273">
              <w:rPr>
                <w:rFonts w:eastAsia="Times New Roman" w:cs="Calibri"/>
                <w:kern w:val="24"/>
                <w:sz w:val="18"/>
                <w:szCs w:val="18"/>
                <w:lang w:eastAsia="pl-PL"/>
              </w:rPr>
              <w:t>0,7</w:t>
            </w:r>
          </w:p>
          <w:p w14:paraId="49D54B80" w14:textId="4C8696C0" w:rsidR="00451E46" w:rsidRPr="002F1273" w:rsidRDefault="00451E46" w:rsidP="00451E46">
            <w:pPr>
              <w:spacing w:after="120"/>
              <w:jc w:val="center"/>
              <w:rPr>
                <w:rFonts w:eastAsia="Times New Roman" w:cs="Calibri"/>
                <w:kern w:val="24"/>
                <w:sz w:val="18"/>
                <w:szCs w:val="18"/>
                <w:lang w:eastAsia="pl-PL"/>
              </w:rPr>
            </w:pPr>
            <w:r w:rsidRPr="002F1273">
              <w:rPr>
                <w:rFonts w:eastAsia="Times New Roman" w:cs="Calibri"/>
                <w:kern w:val="24"/>
                <w:sz w:val="18"/>
                <w:szCs w:val="18"/>
                <w:lang w:eastAsia="pl-PL"/>
              </w:rPr>
              <w:t>(2018)</w:t>
            </w:r>
          </w:p>
        </w:tc>
        <w:tc>
          <w:tcPr>
            <w:tcW w:w="1559" w:type="dxa"/>
            <w:shd w:val="clear" w:color="auto" w:fill="DEEAF6" w:themeFill="accent1" w:themeFillTint="33"/>
            <w:vAlign w:val="center"/>
          </w:tcPr>
          <w:p w14:paraId="1CF1A436" w14:textId="77777777" w:rsidR="00451E46" w:rsidRPr="002F1273" w:rsidRDefault="00451E46" w:rsidP="00451E46">
            <w:pPr>
              <w:jc w:val="center"/>
              <w:rPr>
                <w:rFonts w:eastAsia="Times New Roman" w:cs="Calibri"/>
                <w:kern w:val="24"/>
                <w:sz w:val="18"/>
                <w:szCs w:val="18"/>
                <w:lang w:eastAsia="pl-PL"/>
              </w:rPr>
            </w:pPr>
            <w:r w:rsidRPr="002F1273">
              <w:rPr>
                <w:rFonts w:eastAsia="Times New Roman" w:cs="Calibri"/>
                <w:kern w:val="24"/>
                <w:sz w:val="18"/>
                <w:szCs w:val="18"/>
                <w:lang w:eastAsia="pl-PL"/>
              </w:rPr>
              <w:t>1,3</w:t>
            </w:r>
          </w:p>
        </w:tc>
        <w:tc>
          <w:tcPr>
            <w:tcW w:w="1701" w:type="dxa"/>
            <w:shd w:val="clear" w:color="auto" w:fill="DEEAF6" w:themeFill="accent1" w:themeFillTint="33"/>
            <w:tcMar>
              <w:top w:w="15" w:type="dxa"/>
              <w:left w:w="108" w:type="dxa"/>
              <w:bottom w:w="0" w:type="dxa"/>
              <w:right w:w="108" w:type="dxa"/>
            </w:tcMar>
            <w:vAlign w:val="center"/>
          </w:tcPr>
          <w:p w14:paraId="7D35696E" w14:textId="77777777" w:rsidR="00451E46" w:rsidRPr="002F1273" w:rsidRDefault="00451E46" w:rsidP="00451E46">
            <w:pPr>
              <w:rPr>
                <w:rFonts w:eastAsia="Times New Roman" w:cs="Calibri"/>
                <w:color w:val="1F497D"/>
                <w:kern w:val="24"/>
                <w:sz w:val="18"/>
                <w:szCs w:val="18"/>
                <w:lang w:eastAsia="pl-PL"/>
              </w:rPr>
            </w:pPr>
            <w:r w:rsidRPr="002F1273">
              <w:rPr>
                <w:rFonts w:eastAsia="Times New Roman" w:cs="Calibri"/>
                <w:kern w:val="24"/>
                <w:sz w:val="18"/>
                <w:szCs w:val="18"/>
                <w:lang w:eastAsia="pl-PL"/>
              </w:rPr>
              <w:t>Bank Światowy</w:t>
            </w:r>
          </w:p>
        </w:tc>
        <w:tc>
          <w:tcPr>
            <w:tcW w:w="4961" w:type="dxa"/>
            <w:shd w:val="clear" w:color="auto" w:fill="DEEAF6" w:themeFill="accent1" w:themeFillTint="33"/>
          </w:tcPr>
          <w:p w14:paraId="051A9B8C" w14:textId="77777777" w:rsidR="00451E46" w:rsidRPr="002F1273" w:rsidRDefault="00451E46" w:rsidP="00451E46">
            <w:pPr>
              <w:autoSpaceDE w:val="0"/>
              <w:autoSpaceDN w:val="0"/>
              <w:adjustRightInd w:val="0"/>
              <w:spacing w:after="0" w:line="240" w:lineRule="auto"/>
              <w:jc w:val="both"/>
              <w:rPr>
                <w:rFonts w:cs="Arial"/>
                <w:sz w:val="18"/>
                <w:szCs w:val="18"/>
              </w:rPr>
            </w:pPr>
            <w:r w:rsidRPr="002F1273">
              <w:rPr>
                <w:rFonts w:cs="Arial"/>
                <w:sz w:val="18"/>
                <w:szCs w:val="18"/>
              </w:rPr>
              <w:t xml:space="preserve">Ocena </w:t>
            </w:r>
            <w:r w:rsidRPr="002F1273">
              <w:rPr>
                <w:rFonts w:eastAsia="HiddenHorzOCR" w:cs="HiddenHorzOCR"/>
                <w:sz w:val="18"/>
                <w:szCs w:val="18"/>
              </w:rPr>
              <w:t xml:space="preserve">jakości świadczenia usług </w:t>
            </w:r>
            <w:r w:rsidRPr="002F1273">
              <w:rPr>
                <w:rFonts w:cs="Arial"/>
                <w:sz w:val="18"/>
                <w:szCs w:val="18"/>
              </w:rPr>
              <w:t xml:space="preserve">publicznych, </w:t>
            </w:r>
            <w:r w:rsidRPr="002F1273">
              <w:rPr>
                <w:rFonts w:eastAsia="HiddenHorzOCR" w:cs="HiddenHorzOCR"/>
                <w:sz w:val="18"/>
                <w:szCs w:val="18"/>
              </w:rPr>
              <w:t xml:space="preserve">jakości </w:t>
            </w:r>
            <w:r w:rsidRPr="002F1273">
              <w:rPr>
                <w:rFonts w:cs="Arial"/>
                <w:sz w:val="18"/>
                <w:szCs w:val="18"/>
              </w:rPr>
              <w:t xml:space="preserve">biurokracji, kompetencji </w:t>
            </w:r>
            <w:r w:rsidRPr="002F1273">
              <w:rPr>
                <w:rFonts w:eastAsia="HiddenHorzOCR" w:cs="HiddenHorzOCR"/>
                <w:sz w:val="18"/>
                <w:szCs w:val="18"/>
              </w:rPr>
              <w:t xml:space="preserve">urzędników państwowych, niezależności </w:t>
            </w:r>
            <w:r w:rsidRPr="002F1273">
              <w:rPr>
                <w:rFonts w:cs="Arial"/>
                <w:sz w:val="18"/>
                <w:szCs w:val="18"/>
              </w:rPr>
              <w:t xml:space="preserve">administracji </w:t>
            </w:r>
            <w:r w:rsidRPr="002F1273">
              <w:rPr>
                <w:rFonts w:eastAsia="HiddenHorzOCR" w:cs="HiddenHorzOCR"/>
                <w:sz w:val="18"/>
                <w:szCs w:val="18"/>
              </w:rPr>
              <w:t xml:space="preserve">państwowej (służby </w:t>
            </w:r>
            <w:r w:rsidRPr="002F1273">
              <w:rPr>
                <w:rFonts w:cs="Arial"/>
                <w:sz w:val="18"/>
                <w:szCs w:val="18"/>
              </w:rPr>
              <w:t xml:space="preserve">cywilnej} od politycznych nacisków, </w:t>
            </w:r>
            <w:r w:rsidRPr="002F1273">
              <w:rPr>
                <w:rFonts w:eastAsia="HiddenHorzOCR" w:cs="HiddenHorzOCR"/>
                <w:sz w:val="18"/>
                <w:szCs w:val="18"/>
              </w:rPr>
              <w:t xml:space="preserve">społecznej wiarygodności władzy </w:t>
            </w:r>
            <w:r w:rsidRPr="002F1273">
              <w:rPr>
                <w:rFonts w:cs="Arial"/>
                <w:sz w:val="18"/>
                <w:szCs w:val="18"/>
              </w:rPr>
              <w:t xml:space="preserve">w zakresie prowadzonej polityki. </w:t>
            </w:r>
          </w:p>
          <w:p w14:paraId="68CE03A0" w14:textId="2DD9F7F3" w:rsidR="00451E46" w:rsidRPr="002F1273" w:rsidRDefault="00451E46" w:rsidP="00451E46">
            <w:pPr>
              <w:jc w:val="both"/>
              <w:rPr>
                <w:rFonts w:eastAsia="Times New Roman" w:cs="Calibri"/>
                <w:kern w:val="24"/>
                <w:sz w:val="18"/>
                <w:szCs w:val="18"/>
                <w:lang w:eastAsia="pl-PL"/>
              </w:rPr>
            </w:pPr>
            <w:r w:rsidRPr="002F1273">
              <w:rPr>
                <w:rFonts w:eastAsia="HiddenHorzOCR" w:cs="HiddenHorzOCR"/>
                <w:sz w:val="18"/>
                <w:szCs w:val="18"/>
              </w:rPr>
              <w:t xml:space="preserve">Wskaźnik może przyjmować wartości </w:t>
            </w:r>
            <w:r w:rsidRPr="002F1273">
              <w:rPr>
                <w:rFonts w:cs="Arial"/>
                <w:sz w:val="18"/>
                <w:szCs w:val="18"/>
              </w:rPr>
              <w:t xml:space="preserve">od minus 2,5 do 2,5 pkt, przy czym im </w:t>
            </w:r>
            <w:r w:rsidRPr="002F1273">
              <w:rPr>
                <w:rFonts w:eastAsia="HiddenHorzOCR" w:cs="HiddenHorzOCR"/>
                <w:sz w:val="18"/>
                <w:szCs w:val="18"/>
              </w:rPr>
              <w:t xml:space="preserve">wyższa wartość </w:t>
            </w:r>
            <w:r w:rsidRPr="002F1273">
              <w:rPr>
                <w:rFonts w:cs="Arial"/>
                <w:sz w:val="18"/>
                <w:szCs w:val="18"/>
              </w:rPr>
              <w:t>tym sytuacja jest bardziej korzystna.</w:t>
            </w:r>
          </w:p>
        </w:tc>
      </w:tr>
      <w:tr w:rsidR="00451E46" w:rsidRPr="00F21196" w14:paraId="25CE59D5" w14:textId="77777777" w:rsidTr="00463981">
        <w:trPr>
          <w:trHeight w:val="344"/>
        </w:trPr>
        <w:tc>
          <w:tcPr>
            <w:tcW w:w="3403" w:type="dxa"/>
            <w:shd w:val="clear" w:color="auto" w:fill="DEEAF6" w:themeFill="accent1" w:themeFillTint="33"/>
            <w:vAlign w:val="center"/>
          </w:tcPr>
          <w:p w14:paraId="13DDB237" w14:textId="746F9CA7" w:rsidR="00451E46" w:rsidRPr="002F1273" w:rsidRDefault="00724576" w:rsidP="00724576">
            <w:pPr>
              <w:rPr>
                <w:rFonts w:eastAsia="Times New Roman" w:cs="Calibri"/>
                <w:kern w:val="24"/>
                <w:sz w:val="18"/>
                <w:szCs w:val="18"/>
                <w:lang w:eastAsia="pl-PL"/>
              </w:rPr>
            </w:pPr>
            <w:r w:rsidRPr="002F1273">
              <w:rPr>
                <w:rFonts w:eastAsia="Times New Roman" w:cs="Calibri"/>
                <w:kern w:val="24"/>
                <w:sz w:val="18"/>
                <w:szCs w:val="18"/>
                <w:lang w:eastAsia="pl-PL"/>
              </w:rPr>
              <w:t>PKB na 1 mieszkańca wg PPP (UE</w:t>
            </w:r>
            <w:r w:rsidR="00451E46" w:rsidRPr="002F1273">
              <w:rPr>
                <w:rFonts w:eastAsia="Times New Roman" w:cs="Calibri"/>
                <w:kern w:val="24"/>
                <w:sz w:val="18"/>
                <w:szCs w:val="18"/>
                <w:lang w:eastAsia="pl-PL"/>
              </w:rPr>
              <w:t>2</w:t>
            </w:r>
            <w:r w:rsidRPr="002F1273">
              <w:rPr>
                <w:rFonts w:eastAsia="Times New Roman" w:cs="Calibri"/>
                <w:kern w:val="24"/>
                <w:sz w:val="18"/>
                <w:szCs w:val="18"/>
                <w:lang w:eastAsia="pl-PL"/>
              </w:rPr>
              <w:t>7</w:t>
            </w:r>
            <w:r w:rsidR="00451E46" w:rsidRPr="002F1273">
              <w:rPr>
                <w:rFonts w:eastAsia="Times New Roman" w:cs="Calibri"/>
                <w:kern w:val="24"/>
                <w:sz w:val="18"/>
                <w:szCs w:val="18"/>
                <w:lang w:eastAsia="pl-PL"/>
              </w:rPr>
              <w:t>=100)</w:t>
            </w:r>
          </w:p>
        </w:tc>
        <w:tc>
          <w:tcPr>
            <w:tcW w:w="1276" w:type="dxa"/>
            <w:shd w:val="clear" w:color="auto" w:fill="DEEAF6" w:themeFill="accent1" w:themeFillTint="33"/>
            <w:vAlign w:val="center"/>
          </w:tcPr>
          <w:p w14:paraId="3B0AAF50" w14:textId="77777777" w:rsidR="00451E46" w:rsidRPr="002F1273" w:rsidRDefault="00451E46" w:rsidP="00451E46">
            <w:pPr>
              <w:jc w:val="center"/>
              <w:rPr>
                <w:rFonts w:eastAsia="Times New Roman" w:cs="Calibri"/>
                <w:kern w:val="24"/>
                <w:sz w:val="18"/>
                <w:szCs w:val="18"/>
                <w:lang w:eastAsia="pl-PL"/>
              </w:rPr>
            </w:pPr>
            <w:r w:rsidRPr="002F1273">
              <w:rPr>
                <w:rFonts w:eastAsia="Times New Roman" w:cs="Calibri"/>
                <w:kern w:val="24"/>
                <w:sz w:val="18"/>
                <w:szCs w:val="18"/>
                <w:lang w:eastAsia="pl-PL"/>
              </w:rPr>
              <w:t>%</w:t>
            </w:r>
          </w:p>
        </w:tc>
        <w:tc>
          <w:tcPr>
            <w:tcW w:w="1701" w:type="dxa"/>
            <w:shd w:val="clear" w:color="auto" w:fill="DEEAF6" w:themeFill="accent1" w:themeFillTint="33"/>
            <w:vAlign w:val="center"/>
          </w:tcPr>
          <w:p w14:paraId="23F466E8" w14:textId="35E3F6FC" w:rsidR="00451E46" w:rsidRPr="002F1273" w:rsidRDefault="00451E46" w:rsidP="00451E46">
            <w:pPr>
              <w:spacing w:after="120"/>
              <w:jc w:val="center"/>
              <w:rPr>
                <w:rFonts w:eastAsia="Times New Roman" w:cs="Calibri"/>
                <w:kern w:val="24"/>
                <w:sz w:val="18"/>
                <w:szCs w:val="18"/>
                <w:lang w:eastAsia="pl-PL"/>
              </w:rPr>
            </w:pPr>
            <w:r w:rsidRPr="002F1273">
              <w:rPr>
                <w:rFonts w:eastAsia="Times New Roman" w:cs="Calibri"/>
                <w:kern w:val="24"/>
                <w:sz w:val="18"/>
                <w:szCs w:val="18"/>
                <w:lang w:eastAsia="pl-PL"/>
              </w:rPr>
              <w:t>7</w:t>
            </w:r>
            <w:r w:rsidR="00724576" w:rsidRPr="002F1273">
              <w:rPr>
                <w:rFonts w:eastAsia="Times New Roman" w:cs="Calibri"/>
                <w:kern w:val="24"/>
                <w:sz w:val="18"/>
                <w:szCs w:val="18"/>
                <w:lang w:eastAsia="pl-PL"/>
              </w:rPr>
              <w:t>3</w:t>
            </w:r>
            <w:r w:rsidRPr="002F1273">
              <w:rPr>
                <w:rFonts w:eastAsia="Times New Roman" w:cs="Calibri"/>
                <w:kern w:val="24"/>
                <w:sz w:val="18"/>
                <w:szCs w:val="18"/>
                <w:lang w:eastAsia="pl-PL"/>
              </w:rPr>
              <w:t>,0</w:t>
            </w:r>
          </w:p>
          <w:p w14:paraId="721C99C3" w14:textId="226E5862" w:rsidR="00451E46" w:rsidRPr="002F1273" w:rsidRDefault="00451E46" w:rsidP="00724576">
            <w:pPr>
              <w:spacing w:after="120"/>
              <w:jc w:val="center"/>
              <w:rPr>
                <w:rFonts w:eastAsia="Times New Roman" w:cs="Calibri"/>
                <w:kern w:val="24"/>
                <w:sz w:val="18"/>
                <w:szCs w:val="18"/>
                <w:lang w:eastAsia="pl-PL"/>
              </w:rPr>
            </w:pPr>
            <w:r w:rsidRPr="002F1273">
              <w:rPr>
                <w:rFonts w:eastAsia="Times New Roman" w:cs="Calibri"/>
                <w:kern w:val="24"/>
                <w:sz w:val="18"/>
                <w:szCs w:val="18"/>
                <w:lang w:eastAsia="pl-PL"/>
              </w:rPr>
              <w:t>(201</w:t>
            </w:r>
            <w:r w:rsidR="00724576" w:rsidRPr="002F1273">
              <w:rPr>
                <w:rFonts w:eastAsia="Times New Roman" w:cs="Calibri"/>
                <w:kern w:val="24"/>
                <w:sz w:val="18"/>
                <w:szCs w:val="18"/>
                <w:lang w:eastAsia="pl-PL"/>
              </w:rPr>
              <w:t>9</w:t>
            </w:r>
            <w:r w:rsidRPr="002F1273">
              <w:rPr>
                <w:rFonts w:eastAsia="Times New Roman" w:cs="Calibri"/>
                <w:kern w:val="24"/>
                <w:sz w:val="18"/>
                <w:szCs w:val="18"/>
                <w:lang w:eastAsia="pl-PL"/>
              </w:rPr>
              <w:t>)</w:t>
            </w:r>
          </w:p>
        </w:tc>
        <w:tc>
          <w:tcPr>
            <w:tcW w:w="1559" w:type="dxa"/>
            <w:shd w:val="clear" w:color="auto" w:fill="DEEAF6" w:themeFill="accent1" w:themeFillTint="33"/>
            <w:vAlign w:val="center"/>
          </w:tcPr>
          <w:p w14:paraId="4E43B29E" w14:textId="106B1899" w:rsidR="00451E46" w:rsidRPr="002F1273" w:rsidRDefault="00451E46" w:rsidP="00451E46">
            <w:pPr>
              <w:jc w:val="center"/>
              <w:rPr>
                <w:rFonts w:eastAsia="Times New Roman" w:cs="Calibri"/>
                <w:b/>
                <w:kern w:val="24"/>
                <w:sz w:val="18"/>
                <w:szCs w:val="18"/>
                <w:lang w:eastAsia="pl-PL"/>
              </w:rPr>
            </w:pPr>
            <w:r w:rsidRPr="002F1273">
              <w:rPr>
                <w:rFonts w:eastAsia="Times New Roman" w:cs="Calibri"/>
                <w:kern w:val="24"/>
                <w:sz w:val="18"/>
                <w:szCs w:val="18"/>
                <w:lang w:eastAsia="pl-PL"/>
              </w:rPr>
              <w:t>95,0</w:t>
            </w:r>
          </w:p>
        </w:tc>
        <w:tc>
          <w:tcPr>
            <w:tcW w:w="1701" w:type="dxa"/>
            <w:shd w:val="clear" w:color="auto" w:fill="DEEAF6" w:themeFill="accent1" w:themeFillTint="33"/>
            <w:tcMar>
              <w:top w:w="15" w:type="dxa"/>
              <w:left w:w="108" w:type="dxa"/>
              <w:bottom w:w="0" w:type="dxa"/>
              <w:right w:w="108" w:type="dxa"/>
            </w:tcMar>
            <w:vAlign w:val="center"/>
          </w:tcPr>
          <w:p w14:paraId="20BBEE67" w14:textId="77777777" w:rsidR="00451E46" w:rsidRPr="002F1273" w:rsidRDefault="00451E46" w:rsidP="00451E46">
            <w:pPr>
              <w:rPr>
                <w:rFonts w:eastAsia="Times New Roman" w:cs="Calibri"/>
                <w:kern w:val="24"/>
                <w:sz w:val="18"/>
                <w:szCs w:val="18"/>
                <w:lang w:eastAsia="pl-PL"/>
              </w:rPr>
            </w:pPr>
            <w:r w:rsidRPr="002F1273">
              <w:rPr>
                <w:rFonts w:eastAsia="Times New Roman" w:cs="Calibri"/>
                <w:kern w:val="24"/>
                <w:sz w:val="18"/>
                <w:szCs w:val="18"/>
                <w:lang w:eastAsia="pl-PL"/>
              </w:rPr>
              <w:t>Eurostat</w:t>
            </w:r>
          </w:p>
        </w:tc>
        <w:tc>
          <w:tcPr>
            <w:tcW w:w="4961" w:type="dxa"/>
            <w:shd w:val="clear" w:color="auto" w:fill="DEEAF6" w:themeFill="accent1" w:themeFillTint="33"/>
          </w:tcPr>
          <w:p w14:paraId="64B5997E" w14:textId="04CEA4E8" w:rsidR="00451E46" w:rsidRPr="002F1273" w:rsidRDefault="00451E46" w:rsidP="00724576">
            <w:pPr>
              <w:autoSpaceDE w:val="0"/>
              <w:autoSpaceDN w:val="0"/>
              <w:adjustRightInd w:val="0"/>
              <w:spacing w:after="0" w:line="240" w:lineRule="auto"/>
              <w:jc w:val="both"/>
              <w:rPr>
                <w:rFonts w:eastAsia="Times New Roman" w:cs="Calibri"/>
                <w:kern w:val="24"/>
                <w:sz w:val="18"/>
                <w:szCs w:val="18"/>
                <w:lang w:eastAsia="pl-PL"/>
              </w:rPr>
            </w:pPr>
            <w:r w:rsidRPr="002F1273">
              <w:rPr>
                <w:rFonts w:cs="Calibri"/>
                <w:sz w:val="18"/>
                <w:szCs w:val="18"/>
              </w:rPr>
              <w:t>Wartość Produktu Krajowego Brutto na 1 mieszkańca Polski obliczana wg Parytetu Siły Nabywczej (</w:t>
            </w:r>
            <w:r w:rsidRPr="002F1273">
              <w:rPr>
                <w:rFonts w:cs="Calibri,Italic"/>
                <w:i/>
                <w:iCs/>
                <w:sz w:val="18"/>
                <w:szCs w:val="18"/>
              </w:rPr>
              <w:t xml:space="preserve">Purchasing Power Parity </w:t>
            </w:r>
            <w:r w:rsidRPr="002F1273">
              <w:rPr>
                <w:rFonts w:cs="Calibri"/>
                <w:sz w:val="18"/>
                <w:szCs w:val="18"/>
              </w:rPr>
              <w:t>– PPP) i wyrażona we wspólnej umownej walucie PPS (</w:t>
            </w:r>
            <w:r w:rsidRPr="002F1273">
              <w:rPr>
                <w:rFonts w:cs="Calibri,Italic"/>
                <w:i/>
                <w:iCs/>
                <w:sz w:val="18"/>
                <w:szCs w:val="18"/>
              </w:rPr>
              <w:t>Purchasing Power Standard</w:t>
            </w:r>
            <w:r w:rsidRPr="002F1273">
              <w:rPr>
                <w:rFonts w:cs="Calibri"/>
                <w:sz w:val="18"/>
                <w:szCs w:val="18"/>
              </w:rPr>
              <w:t>) w relacji do średniej dla Unii Europejski</w:t>
            </w:r>
            <w:r w:rsidR="00724576" w:rsidRPr="002F1273">
              <w:rPr>
                <w:rFonts w:cs="Calibri"/>
                <w:sz w:val="18"/>
                <w:szCs w:val="18"/>
              </w:rPr>
              <w:t>ej ustalonej jako równa 100 (UE27</w:t>
            </w:r>
            <w:r w:rsidRPr="002F1273">
              <w:rPr>
                <w:rFonts w:cs="Calibri"/>
                <w:sz w:val="18"/>
                <w:szCs w:val="18"/>
              </w:rPr>
              <w:t xml:space="preserve"> = 100).</w:t>
            </w:r>
          </w:p>
        </w:tc>
      </w:tr>
      <w:tr w:rsidR="00463981" w:rsidRPr="00F21196" w14:paraId="084DA1B3" w14:textId="77777777" w:rsidTr="00463981">
        <w:trPr>
          <w:trHeight w:val="128"/>
        </w:trPr>
        <w:tc>
          <w:tcPr>
            <w:tcW w:w="14601" w:type="dxa"/>
            <w:gridSpan w:val="6"/>
            <w:shd w:val="clear" w:color="auto" w:fill="9999FF"/>
            <w:vAlign w:val="center"/>
          </w:tcPr>
          <w:p w14:paraId="407FB91C" w14:textId="77777777" w:rsidR="00463981" w:rsidRDefault="00463981" w:rsidP="00084367">
            <w:pPr>
              <w:spacing w:after="0" w:line="240" w:lineRule="auto"/>
              <w:jc w:val="center"/>
              <w:rPr>
                <w:rFonts w:cs="Calibri"/>
                <w:b/>
                <w:kern w:val="24"/>
                <w:sz w:val="24"/>
                <w:szCs w:val="18"/>
                <w:lang w:eastAsia="pl-PL"/>
              </w:rPr>
            </w:pPr>
            <w:r w:rsidRPr="00F21196">
              <w:rPr>
                <w:rFonts w:cs="Calibri"/>
                <w:b/>
                <w:kern w:val="24"/>
                <w:sz w:val="24"/>
                <w:szCs w:val="18"/>
                <w:lang w:eastAsia="pl-PL"/>
              </w:rPr>
              <w:t xml:space="preserve">Cel szczegółowy I. </w:t>
            </w:r>
          </w:p>
          <w:p w14:paraId="7858F8CC" w14:textId="5190F123" w:rsidR="00463981" w:rsidRPr="00F21196" w:rsidRDefault="00463981" w:rsidP="00084367">
            <w:pPr>
              <w:spacing w:after="0" w:line="240" w:lineRule="auto"/>
              <w:jc w:val="center"/>
              <w:rPr>
                <w:rFonts w:cs="Calibri"/>
                <w:b/>
                <w:kern w:val="24"/>
                <w:sz w:val="24"/>
                <w:szCs w:val="18"/>
                <w:lang w:eastAsia="pl-PL"/>
              </w:rPr>
            </w:pPr>
            <w:r w:rsidRPr="00F21196">
              <w:rPr>
                <w:rFonts w:cs="Calibri"/>
                <w:b/>
                <w:i/>
                <w:kern w:val="24"/>
                <w:sz w:val="24"/>
                <w:szCs w:val="18"/>
                <w:lang w:eastAsia="pl-PL"/>
              </w:rPr>
              <w:t xml:space="preserve">Lepsze prawo </w:t>
            </w:r>
          </w:p>
        </w:tc>
      </w:tr>
      <w:tr w:rsidR="00463981" w:rsidRPr="00F21196" w14:paraId="1ADD2312" w14:textId="77777777" w:rsidTr="00463981">
        <w:trPr>
          <w:trHeight w:val="259"/>
        </w:trPr>
        <w:tc>
          <w:tcPr>
            <w:tcW w:w="3403" w:type="dxa"/>
            <w:shd w:val="clear" w:color="auto" w:fill="CCCCFF"/>
            <w:vAlign w:val="center"/>
          </w:tcPr>
          <w:p w14:paraId="2540FF9C" w14:textId="77777777" w:rsidR="00463981" w:rsidRPr="002F1273" w:rsidRDefault="00463981" w:rsidP="000040DF">
            <w:pPr>
              <w:rPr>
                <w:rFonts w:cs="Calibri"/>
                <w:kern w:val="24"/>
                <w:sz w:val="18"/>
                <w:szCs w:val="18"/>
                <w:lang w:eastAsia="pl-PL"/>
              </w:rPr>
            </w:pPr>
            <w:r w:rsidRPr="002F1273">
              <w:rPr>
                <w:rFonts w:cs="Calibri"/>
                <w:kern w:val="24"/>
                <w:sz w:val="18"/>
                <w:szCs w:val="18"/>
                <w:lang w:eastAsia="pl-PL"/>
              </w:rPr>
              <w:t xml:space="preserve">Wskaźnik jakości stanowionego prawa </w:t>
            </w:r>
          </w:p>
        </w:tc>
        <w:tc>
          <w:tcPr>
            <w:tcW w:w="1276" w:type="dxa"/>
            <w:shd w:val="clear" w:color="auto" w:fill="CCCCFF"/>
            <w:vAlign w:val="center"/>
          </w:tcPr>
          <w:p w14:paraId="499AC443" w14:textId="77777777" w:rsidR="00463981" w:rsidRPr="002F1273" w:rsidRDefault="00463981" w:rsidP="009469A3">
            <w:pPr>
              <w:jc w:val="center"/>
              <w:rPr>
                <w:rFonts w:cs="Calibri"/>
                <w:kern w:val="24"/>
                <w:sz w:val="18"/>
                <w:szCs w:val="18"/>
                <w:lang w:eastAsia="pl-PL"/>
              </w:rPr>
            </w:pPr>
            <w:r w:rsidRPr="002F1273">
              <w:rPr>
                <w:rFonts w:cs="Calibri"/>
                <w:kern w:val="24"/>
                <w:sz w:val="18"/>
                <w:szCs w:val="18"/>
                <w:lang w:eastAsia="pl-PL"/>
              </w:rPr>
              <w:t>pkt</w:t>
            </w:r>
          </w:p>
        </w:tc>
        <w:tc>
          <w:tcPr>
            <w:tcW w:w="1701" w:type="dxa"/>
            <w:shd w:val="clear" w:color="auto" w:fill="CCCCFF"/>
            <w:vAlign w:val="center"/>
          </w:tcPr>
          <w:p w14:paraId="516807D8" w14:textId="058201CC" w:rsidR="00463981" w:rsidRPr="002F1273" w:rsidRDefault="00463981" w:rsidP="00575736">
            <w:pPr>
              <w:spacing w:after="0"/>
              <w:jc w:val="center"/>
              <w:rPr>
                <w:rFonts w:cs="Calibri"/>
                <w:kern w:val="24"/>
                <w:sz w:val="18"/>
                <w:szCs w:val="18"/>
                <w:lang w:eastAsia="pl-PL"/>
              </w:rPr>
            </w:pPr>
            <w:r w:rsidRPr="002F1273">
              <w:rPr>
                <w:rFonts w:cs="Calibri"/>
                <w:kern w:val="24"/>
                <w:sz w:val="18"/>
                <w:szCs w:val="18"/>
                <w:lang w:eastAsia="pl-PL"/>
              </w:rPr>
              <w:t>0,9</w:t>
            </w:r>
          </w:p>
          <w:p w14:paraId="1F01CA94" w14:textId="70AD1FE6" w:rsidR="00463981" w:rsidRPr="002F1273" w:rsidRDefault="00463981" w:rsidP="00E12238">
            <w:pPr>
              <w:spacing w:after="0"/>
              <w:jc w:val="center"/>
              <w:rPr>
                <w:rFonts w:cs="Calibri"/>
                <w:kern w:val="24"/>
                <w:sz w:val="18"/>
                <w:szCs w:val="18"/>
                <w:lang w:eastAsia="pl-PL"/>
              </w:rPr>
            </w:pPr>
            <w:r w:rsidRPr="002F1273">
              <w:rPr>
                <w:rFonts w:cs="Calibri"/>
                <w:kern w:val="24"/>
                <w:sz w:val="18"/>
                <w:szCs w:val="18"/>
                <w:lang w:eastAsia="pl-PL"/>
              </w:rPr>
              <w:t>(2018)</w:t>
            </w:r>
          </w:p>
        </w:tc>
        <w:tc>
          <w:tcPr>
            <w:tcW w:w="1559" w:type="dxa"/>
            <w:shd w:val="clear" w:color="auto" w:fill="CCCCFF"/>
            <w:vAlign w:val="center"/>
          </w:tcPr>
          <w:p w14:paraId="0707584D" w14:textId="77777777" w:rsidR="00463981" w:rsidRPr="002F1273" w:rsidRDefault="00463981" w:rsidP="009469A3">
            <w:pPr>
              <w:jc w:val="center"/>
              <w:rPr>
                <w:rFonts w:cs="Calibri"/>
                <w:kern w:val="24"/>
                <w:sz w:val="18"/>
                <w:szCs w:val="18"/>
                <w:lang w:eastAsia="pl-PL"/>
              </w:rPr>
            </w:pPr>
            <w:r w:rsidRPr="002F1273">
              <w:rPr>
                <w:rFonts w:cs="Calibri"/>
                <w:kern w:val="24"/>
                <w:sz w:val="18"/>
                <w:szCs w:val="18"/>
                <w:lang w:eastAsia="pl-PL"/>
              </w:rPr>
              <w:t>1,5</w:t>
            </w:r>
          </w:p>
        </w:tc>
        <w:tc>
          <w:tcPr>
            <w:tcW w:w="1701" w:type="dxa"/>
            <w:shd w:val="clear" w:color="auto" w:fill="CCCCFF"/>
            <w:tcMar>
              <w:top w:w="15" w:type="dxa"/>
              <w:left w:w="108" w:type="dxa"/>
              <w:bottom w:w="0" w:type="dxa"/>
              <w:right w:w="108" w:type="dxa"/>
            </w:tcMar>
            <w:vAlign w:val="center"/>
          </w:tcPr>
          <w:p w14:paraId="3FD327D0" w14:textId="77777777" w:rsidR="00463981" w:rsidRPr="002F1273" w:rsidRDefault="00463981" w:rsidP="009469A3">
            <w:pPr>
              <w:jc w:val="center"/>
              <w:rPr>
                <w:rFonts w:cs="Calibri"/>
                <w:kern w:val="24"/>
                <w:sz w:val="18"/>
                <w:szCs w:val="18"/>
                <w:lang w:eastAsia="pl-PL"/>
              </w:rPr>
            </w:pPr>
            <w:r w:rsidRPr="002F1273">
              <w:rPr>
                <w:rFonts w:cs="Calibri"/>
                <w:kern w:val="24"/>
                <w:sz w:val="18"/>
                <w:szCs w:val="18"/>
                <w:lang w:eastAsia="pl-PL"/>
              </w:rPr>
              <w:t>Bank Światowy</w:t>
            </w:r>
          </w:p>
        </w:tc>
        <w:tc>
          <w:tcPr>
            <w:tcW w:w="4961" w:type="dxa"/>
            <w:shd w:val="clear" w:color="auto" w:fill="CCCCFF"/>
          </w:tcPr>
          <w:p w14:paraId="22AB25FD" w14:textId="0450E125" w:rsidR="00463981" w:rsidRPr="002F1273" w:rsidRDefault="00463981" w:rsidP="00F4797D">
            <w:pPr>
              <w:autoSpaceDE w:val="0"/>
              <w:autoSpaceDN w:val="0"/>
              <w:adjustRightInd w:val="0"/>
              <w:spacing w:after="0" w:line="240" w:lineRule="auto"/>
              <w:jc w:val="both"/>
              <w:rPr>
                <w:rFonts w:cs="Calibri"/>
                <w:kern w:val="24"/>
                <w:sz w:val="18"/>
                <w:szCs w:val="18"/>
                <w:lang w:eastAsia="pl-PL"/>
              </w:rPr>
            </w:pPr>
            <w:r w:rsidRPr="002F1273">
              <w:rPr>
                <w:rFonts w:eastAsia="HiddenHorzOCR" w:cs="HiddenHorzOCR"/>
                <w:sz w:val="18"/>
                <w:szCs w:val="18"/>
              </w:rPr>
              <w:t xml:space="preserve">Wskaźnik </w:t>
            </w:r>
            <w:r w:rsidRPr="002F1273">
              <w:rPr>
                <w:rFonts w:eastAsia="HiddenHorzOCR" w:cs="Arial"/>
                <w:sz w:val="18"/>
                <w:szCs w:val="18"/>
              </w:rPr>
              <w:t xml:space="preserve">przedstawia postrzeganie </w:t>
            </w:r>
            <w:r w:rsidRPr="002F1273">
              <w:rPr>
                <w:rFonts w:eastAsia="HiddenHorzOCR" w:cs="HiddenHorzOCR"/>
                <w:sz w:val="18"/>
                <w:szCs w:val="18"/>
              </w:rPr>
              <w:t xml:space="preserve">zdolności rządu </w:t>
            </w:r>
            <w:r w:rsidRPr="002F1273">
              <w:rPr>
                <w:rFonts w:eastAsia="HiddenHorzOCR" w:cs="Arial"/>
                <w:sz w:val="18"/>
                <w:szCs w:val="18"/>
              </w:rPr>
              <w:t xml:space="preserve">do tworzenia i </w:t>
            </w:r>
            <w:r w:rsidRPr="002F1273">
              <w:rPr>
                <w:rFonts w:eastAsia="HiddenHorzOCR" w:cs="HiddenHorzOCR"/>
                <w:sz w:val="18"/>
                <w:szCs w:val="18"/>
              </w:rPr>
              <w:t xml:space="preserve">wdrażania prawidłowej </w:t>
            </w:r>
            <w:r w:rsidRPr="002F1273">
              <w:rPr>
                <w:rFonts w:eastAsia="HiddenHorzOCR" w:cs="Arial"/>
                <w:sz w:val="18"/>
                <w:szCs w:val="18"/>
              </w:rPr>
              <w:t xml:space="preserve">polityki i regulacji, które </w:t>
            </w:r>
            <w:r w:rsidRPr="002F1273">
              <w:rPr>
                <w:rFonts w:eastAsia="HiddenHorzOCR" w:cs="HiddenHorzOCR"/>
                <w:sz w:val="18"/>
                <w:szCs w:val="18"/>
              </w:rPr>
              <w:t xml:space="preserve">umożliwiają </w:t>
            </w:r>
            <w:r w:rsidRPr="002F1273">
              <w:rPr>
                <w:rFonts w:eastAsia="HiddenHorzOCR" w:cs="Arial"/>
                <w:sz w:val="18"/>
                <w:szCs w:val="18"/>
              </w:rPr>
              <w:t xml:space="preserve">promowanie rozwoju sektora prywatnego. </w:t>
            </w:r>
            <w:r w:rsidRPr="002F1273">
              <w:rPr>
                <w:rFonts w:eastAsia="HiddenHorzOCR" w:cs="HiddenHorzOCR"/>
                <w:sz w:val="18"/>
                <w:szCs w:val="18"/>
              </w:rPr>
              <w:t xml:space="preserve">Wskaźnik może przyjmować wartości </w:t>
            </w:r>
            <w:r w:rsidRPr="002F1273">
              <w:rPr>
                <w:rFonts w:eastAsia="HiddenHorzOCR" w:cs="Arial"/>
                <w:sz w:val="18"/>
                <w:szCs w:val="18"/>
              </w:rPr>
              <w:t xml:space="preserve">od minus 2,5 do 2,5 pkt, przy czym im </w:t>
            </w:r>
            <w:r w:rsidRPr="002F1273">
              <w:rPr>
                <w:rFonts w:eastAsia="HiddenHorzOCR" w:cs="HiddenHorzOCR"/>
                <w:sz w:val="18"/>
                <w:szCs w:val="18"/>
              </w:rPr>
              <w:t xml:space="preserve">wyższa wartość </w:t>
            </w:r>
            <w:r w:rsidRPr="002F1273">
              <w:rPr>
                <w:rFonts w:eastAsia="HiddenHorzOCR" w:cs="Arial"/>
                <w:sz w:val="18"/>
                <w:szCs w:val="18"/>
              </w:rPr>
              <w:t>tym sytuacja jest bardziej korzystna.</w:t>
            </w:r>
          </w:p>
        </w:tc>
      </w:tr>
      <w:tr w:rsidR="00463981" w:rsidRPr="00F21196" w14:paraId="2FB0F661" w14:textId="77777777" w:rsidTr="00463981">
        <w:trPr>
          <w:trHeight w:val="259"/>
        </w:trPr>
        <w:tc>
          <w:tcPr>
            <w:tcW w:w="3403" w:type="dxa"/>
            <w:shd w:val="clear" w:color="auto" w:fill="CCCCFF"/>
            <w:vAlign w:val="center"/>
          </w:tcPr>
          <w:p w14:paraId="309719F2" w14:textId="720A736B" w:rsidR="00463981" w:rsidRPr="002F1273" w:rsidRDefault="00463981" w:rsidP="00E12238">
            <w:pPr>
              <w:rPr>
                <w:rFonts w:cs="Calibri"/>
                <w:kern w:val="24"/>
                <w:sz w:val="18"/>
                <w:szCs w:val="18"/>
                <w:lang w:eastAsia="pl-PL"/>
              </w:rPr>
            </w:pPr>
            <w:r w:rsidRPr="002F1273">
              <w:rPr>
                <w:rFonts w:cs="Calibri"/>
                <w:kern w:val="24"/>
                <w:sz w:val="18"/>
                <w:szCs w:val="18"/>
                <w:lang w:eastAsia="pl-PL"/>
              </w:rPr>
              <w:t xml:space="preserve">Wskaźnik Globalnej Konkurencyjności (GCI) - obciążenia regulacyjne </w:t>
            </w:r>
          </w:p>
        </w:tc>
        <w:tc>
          <w:tcPr>
            <w:tcW w:w="1276" w:type="dxa"/>
            <w:shd w:val="clear" w:color="auto" w:fill="CCCCFF"/>
            <w:vAlign w:val="center"/>
          </w:tcPr>
          <w:p w14:paraId="2FCB196E" w14:textId="77777777" w:rsidR="00463981" w:rsidRPr="002F1273" w:rsidRDefault="00463981" w:rsidP="008764E4">
            <w:pPr>
              <w:jc w:val="center"/>
              <w:rPr>
                <w:rFonts w:cs="Calibri"/>
                <w:kern w:val="24"/>
                <w:sz w:val="18"/>
                <w:szCs w:val="18"/>
                <w:lang w:eastAsia="pl-PL"/>
              </w:rPr>
            </w:pPr>
            <w:r w:rsidRPr="002F1273">
              <w:rPr>
                <w:rFonts w:cs="Calibri"/>
                <w:kern w:val="24"/>
                <w:sz w:val="18"/>
                <w:szCs w:val="18"/>
                <w:lang w:eastAsia="pl-PL"/>
              </w:rPr>
              <w:t>pozycja w rankingu</w:t>
            </w:r>
          </w:p>
        </w:tc>
        <w:tc>
          <w:tcPr>
            <w:tcW w:w="1701" w:type="dxa"/>
            <w:shd w:val="clear" w:color="auto" w:fill="CCCCFF"/>
            <w:vAlign w:val="center"/>
          </w:tcPr>
          <w:p w14:paraId="1D9B5380" w14:textId="78E3D823" w:rsidR="00463981" w:rsidRPr="002F1273" w:rsidRDefault="00463981" w:rsidP="00575736">
            <w:pPr>
              <w:spacing w:after="0"/>
              <w:jc w:val="center"/>
              <w:rPr>
                <w:rFonts w:cs="Calibri"/>
                <w:kern w:val="24"/>
                <w:sz w:val="18"/>
                <w:szCs w:val="18"/>
                <w:lang w:eastAsia="pl-PL"/>
              </w:rPr>
            </w:pPr>
            <w:r w:rsidRPr="002F1273">
              <w:rPr>
                <w:rFonts w:cs="Calibri"/>
                <w:kern w:val="24"/>
                <w:sz w:val="18"/>
                <w:szCs w:val="18"/>
                <w:lang w:eastAsia="pl-PL"/>
              </w:rPr>
              <w:t>113</w:t>
            </w:r>
          </w:p>
          <w:p w14:paraId="6ADF145D" w14:textId="6DC61989" w:rsidR="00463981" w:rsidRPr="002F1273" w:rsidRDefault="00463981" w:rsidP="00E12238">
            <w:pPr>
              <w:spacing w:after="0"/>
              <w:jc w:val="center"/>
              <w:rPr>
                <w:rFonts w:cs="Calibri"/>
                <w:kern w:val="24"/>
                <w:sz w:val="18"/>
                <w:szCs w:val="18"/>
                <w:lang w:eastAsia="pl-PL"/>
              </w:rPr>
            </w:pPr>
            <w:r w:rsidRPr="002F1273">
              <w:rPr>
                <w:rFonts w:cs="Calibri"/>
                <w:kern w:val="24"/>
                <w:sz w:val="18"/>
                <w:szCs w:val="18"/>
                <w:lang w:eastAsia="pl-PL"/>
              </w:rPr>
              <w:t>(2019)</w:t>
            </w:r>
          </w:p>
        </w:tc>
        <w:tc>
          <w:tcPr>
            <w:tcW w:w="1559" w:type="dxa"/>
            <w:shd w:val="clear" w:color="auto" w:fill="CCCCFF"/>
            <w:vAlign w:val="center"/>
          </w:tcPr>
          <w:p w14:paraId="76E80AB1" w14:textId="535C54B9" w:rsidR="00463981" w:rsidRPr="002F1273" w:rsidRDefault="00463981" w:rsidP="00E12238">
            <w:pPr>
              <w:jc w:val="center"/>
              <w:rPr>
                <w:rFonts w:cs="Calibri"/>
                <w:kern w:val="24"/>
                <w:sz w:val="18"/>
                <w:szCs w:val="18"/>
                <w:lang w:eastAsia="pl-PL"/>
              </w:rPr>
            </w:pPr>
            <w:r w:rsidRPr="002F1273">
              <w:rPr>
                <w:rFonts w:cs="Calibri"/>
                <w:kern w:val="24"/>
                <w:sz w:val="18"/>
                <w:szCs w:val="18"/>
                <w:lang w:eastAsia="pl-PL"/>
              </w:rPr>
              <w:t>80</w:t>
            </w:r>
          </w:p>
        </w:tc>
        <w:tc>
          <w:tcPr>
            <w:tcW w:w="1701" w:type="dxa"/>
            <w:shd w:val="clear" w:color="auto" w:fill="CCCCFF"/>
            <w:tcMar>
              <w:top w:w="15" w:type="dxa"/>
              <w:left w:w="108" w:type="dxa"/>
              <w:bottom w:w="0" w:type="dxa"/>
              <w:right w:w="108" w:type="dxa"/>
            </w:tcMar>
            <w:vAlign w:val="center"/>
          </w:tcPr>
          <w:p w14:paraId="3EEF170C" w14:textId="77777777" w:rsidR="00463981" w:rsidRPr="002F1273" w:rsidRDefault="00463981" w:rsidP="008764E4">
            <w:pPr>
              <w:jc w:val="center"/>
              <w:rPr>
                <w:rFonts w:cs="Calibri"/>
                <w:kern w:val="24"/>
                <w:sz w:val="18"/>
                <w:szCs w:val="18"/>
                <w:lang w:eastAsia="pl-PL"/>
              </w:rPr>
            </w:pPr>
            <w:r w:rsidRPr="002F1273">
              <w:rPr>
                <w:rFonts w:cs="Calibri"/>
                <w:kern w:val="24"/>
                <w:sz w:val="18"/>
                <w:szCs w:val="18"/>
                <w:lang w:eastAsia="pl-PL"/>
              </w:rPr>
              <w:t>Światowe Forum Ekonomiczne</w:t>
            </w:r>
          </w:p>
        </w:tc>
        <w:tc>
          <w:tcPr>
            <w:tcW w:w="4961" w:type="dxa"/>
            <w:shd w:val="clear" w:color="auto" w:fill="CCCCFF"/>
          </w:tcPr>
          <w:p w14:paraId="7553ECD1" w14:textId="77777777" w:rsidR="00463981" w:rsidRPr="002F1273" w:rsidRDefault="00463981" w:rsidP="00F4797D">
            <w:pPr>
              <w:autoSpaceDE w:val="0"/>
              <w:autoSpaceDN w:val="0"/>
              <w:adjustRightInd w:val="0"/>
              <w:spacing w:after="0" w:line="240" w:lineRule="auto"/>
              <w:jc w:val="both"/>
              <w:rPr>
                <w:rFonts w:eastAsia="HiddenHorzOCR" w:cs="HiddenHorzOCR"/>
                <w:sz w:val="18"/>
                <w:szCs w:val="18"/>
              </w:rPr>
            </w:pPr>
            <w:r w:rsidRPr="002F1273">
              <w:rPr>
                <w:rFonts w:cs="Arial"/>
                <w:sz w:val="18"/>
                <w:szCs w:val="18"/>
              </w:rPr>
              <w:t xml:space="preserve">Miejsce w rankingu Globalnej </w:t>
            </w:r>
            <w:r w:rsidRPr="002F1273">
              <w:rPr>
                <w:rFonts w:eastAsia="HiddenHorzOCR" w:cs="HiddenHorzOCR"/>
                <w:sz w:val="18"/>
                <w:szCs w:val="18"/>
              </w:rPr>
              <w:t xml:space="preserve">Konkurencyjności określającym zdolności </w:t>
            </w:r>
            <w:r w:rsidRPr="002F1273">
              <w:rPr>
                <w:rFonts w:cs="Arial"/>
                <w:sz w:val="18"/>
                <w:szCs w:val="18"/>
              </w:rPr>
              <w:t xml:space="preserve">poszczególnych </w:t>
            </w:r>
            <w:r w:rsidRPr="002F1273">
              <w:rPr>
                <w:rFonts w:eastAsia="HiddenHorzOCR" w:cs="HiddenHorzOCR"/>
                <w:sz w:val="18"/>
                <w:szCs w:val="18"/>
              </w:rPr>
              <w:t xml:space="preserve">państw </w:t>
            </w:r>
            <w:r w:rsidRPr="002F1273">
              <w:rPr>
                <w:rFonts w:cs="Arial"/>
                <w:sz w:val="18"/>
                <w:szCs w:val="18"/>
              </w:rPr>
              <w:t xml:space="preserve">do </w:t>
            </w:r>
            <w:r w:rsidRPr="002F1273">
              <w:rPr>
                <w:rFonts w:eastAsia="HiddenHorzOCR" w:cs="HiddenHorzOCR"/>
                <w:sz w:val="18"/>
                <w:szCs w:val="18"/>
              </w:rPr>
              <w:t xml:space="preserve">długookresowego </w:t>
            </w:r>
            <w:r w:rsidRPr="002F1273">
              <w:rPr>
                <w:rFonts w:cs="Arial"/>
                <w:sz w:val="18"/>
                <w:szCs w:val="18"/>
              </w:rPr>
              <w:t xml:space="preserve">wzrostu gospodarczego, pod </w:t>
            </w:r>
            <w:r w:rsidRPr="002F1273">
              <w:rPr>
                <w:rFonts w:eastAsia="HiddenHorzOCR" w:cs="HiddenHorzOCR"/>
                <w:sz w:val="18"/>
                <w:szCs w:val="18"/>
              </w:rPr>
              <w:t xml:space="preserve">względem wskaźnika obciążeń </w:t>
            </w:r>
            <w:r w:rsidRPr="002F1273">
              <w:rPr>
                <w:rFonts w:cs="Arial"/>
                <w:sz w:val="18"/>
                <w:szCs w:val="18"/>
              </w:rPr>
              <w:t>regulacyjnych.</w:t>
            </w:r>
          </w:p>
        </w:tc>
      </w:tr>
      <w:tr w:rsidR="00463981" w:rsidRPr="00F21196" w14:paraId="0FECCDC1" w14:textId="77777777" w:rsidTr="00463981">
        <w:trPr>
          <w:trHeight w:val="259"/>
        </w:trPr>
        <w:tc>
          <w:tcPr>
            <w:tcW w:w="14601" w:type="dxa"/>
            <w:gridSpan w:val="6"/>
            <w:shd w:val="clear" w:color="auto" w:fill="C5E0B3" w:themeFill="accent6" w:themeFillTint="66"/>
            <w:vAlign w:val="center"/>
          </w:tcPr>
          <w:p w14:paraId="3942F117" w14:textId="77777777" w:rsidR="00463981" w:rsidRDefault="00463981" w:rsidP="009469A3">
            <w:pPr>
              <w:autoSpaceDE w:val="0"/>
              <w:autoSpaceDN w:val="0"/>
              <w:adjustRightInd w:val="0"/>
              <w:spacing w:after="0" w:line="240" w:lineRule="auto"/>
              <w:jc w:val="center"/>
              <w:rPr>
                <w:rFonts w:cs="Calibri"/>
                <w:b/>
                <w:kern w:val="24"/>
                <w:sz w:val="24"/>
                <w:szCs w:val="18"/>
                <w:lang w:eastAsia="pl-PL"/>
              </w:rPr>
            </w:pPr>
            <w:r w:rsidRPr="00F21196">
              <w:rPr>
                <w:rFonts w:cs="Calibri"/>
                <w:b/>
                <w:kern w:val="24"/>
                <w:sz w:val="24"/>
                <w:szCs w:val="18"/>
                <w:lang w:eastAsia="pl-PL"/>
              </w:rPr>
              <w:t xml:space="preserve">Cel szczegółowy II. </w:t>
            </w:r>
          </w:p>
          <w:p w14:paraId="21BAA230" w14:textId="73AC6F9E" w:rsidR="00463981" w:rsidRPr="00F21196" w:rsidRDefault="00463981" w:rsidP="00084367">
            <w:pPr>
              <w:autoSpaceDE w:val="0"/>
              <w:autoSpaceDN w:val="0"/>
              <w:adjustRightInd w:val="0"/>
              <w:spacing w:after="0" w:line="240" w:lineRule="auto"/>
              <w:jc w:val="center"/>
              <w:rPr>
                <w:rFonts w:cs="Arial"/>
                <w:sz w:val="18"/>
                <w:szCs w:val="20"/>
              </w:rPr>
            </w:pPr>
            <w:r w:rsidRPr="00F21196">
              <w:rPr>
                <w:rFonts w:cs="Calibri"/>
                <w:b/>
                <w:i/>
                <w:kern w:val="24"/>
                <w:sz w:val="24"/>
                <w:szCs w:val="18"/>
                <w:lang w:eastAsia="pl-PL"/>
              </w:rPr>
              <w:t>Sprawne instytucje państwa</w:t>
            </w:r>
          </w:p>
        </w:tc>
      </w:tr>
      <w:tr w:rsidR="00463981" w:rsidRPr="00F21196" w14:paraId="4F2C513E" w14:textId="77777777" w:rsidTr="00463981">
        <w:trPr>
          <w:trHeight w:val="291"/>
        </w:trPr>
        <w:tc>
          <w:tcPr>
            <w:tcW w:w="3403" w:type="dxa"/>
            <w:shd w:val="clear" w:color="auto" w:fill="E2EFD9" w:themeFill="accent6" w:themeFillTint="33"/>
            <w:vAlign w:val="center"/>
          </w:tcPr>
          <w:p w14:paraId="0A9E0F14" w14:textId="77777777" w:rsidR="00463981" w:rsidRPr="002F1273" w:rsidRDefault="00463981" w:rsidP="009469A3">
            <w:pPr>
              <w:spacing w:after="0" w:line="240" w:lineRule="auto"/>
              <w:rPr>
                <w:rFonts w:cs="Calibri"/>
                <w:kern w:val="24"/>
                <w:sz w:val="18"/>
                <w:szCs w:val="18"/>
              </w:rPr>
            </w:pPr>
            <w:r w:rsidRPr="002F1273">
              <w:rPr>
                <w:rFonts w:cs="Calibri"/>
                <w:kern w:val="24"/>
                <w:sz w:val="18"/>
                <w:szCs w:val="18"/>
              </w:rPr>
              <w:t>Odsetek spraw rozpatrywanych przez sądy I instancji, w których czas trwania postępowania przekracza 3 lata w głównych kategoriach spraw</w:t>
            </w:r>
          </w:p>
        </w:tc>
        <w:tc>
          <w:tcPr>
            <w:tcW w:w="1276" w:type="dxa"/>
            <w:shd w:val="clear" w:color="auto" w:fill="E2EFD9" w:themeFill="accent6" w:themeFillTint="33"/>
            <w:vAlign w:val="center"/>
          </w:tcPr>
          <w:p w14:paraId="6CB51AF3" w14:textId="77777777" w:rsidR="00463981" w:rsidRPr="002F1273" w:rsidRDefault="00463981" w:rsidP="009469A3">
            <w:pPr>
              <w:spacing w:after="0" w:line="240" w:lineRule="auto"/>
              <w:jc w:val="center"/>
              <w:rPr>
                <w:rFonts w:cs="Calibri"/>
                <w:kern w:val="24"/>
                <w:sz w:val="18"/>
                <w:szCs w:val="18"/>
              </w:rPr>
            </w:pPr>
            <w:r w:rsidRPr="002F1273">
              <w:rPr>
                <w:rFonts w:cs="Calibri"/>
                <w:kern w:val="24"/>
                <w:sz w:val="18"/>
                <w:szCs w:val="18"/>
              </w:rPr>
              <w:t>%</w:t>
            </w:r>
          </w:p>
        </w:tc>
        <w:tc>
          <w:tcPr>
            <w:tcW w:w="1701" w:type="dxa"/>
            <w:shd w:val="clear" w:color="auto" w:fill="E2EFD9" w:themeFill="accent6" w:themeFillTint="33"/>
            <w:vAlign w:val="center"/>
          </w:tcPr>
          <w:p w14:paraId="7AD7CE51" w14:textId="77777777" w:rsidR="00463981" w:rsidRPr="002F1273" w:rsidRDefault="00463981" w:rsidP="0069197B">
            <w:pPr>
              <w:spacing w:after="0" w:line="240" w:lineRule="auto"/>
              <w:jc w:val="center"/>
              <w:rPr>
                <w:sz w:val="18"/>
                <w:szCs w:val="18"/>
              </w:rPr>
            </w:pPr>
            <w:r w:rsidRPr="002F1273">
              <w:rPr>
                <w:sz w:val="18"/>
                <w:szCs w:val="18"/>
              </w:rPr>
              <w:t>1,3</w:t>
            </w:r>
          </w:p>
          <w:p w14:paraId="4412E4F3" w14:textId="77777777" w:rsidR="00463981" w:rsidRPr="002F1273" w:rsidRDefault="00463981" w:rsidP="0069197B">
            <w:pPr>
              <w:spacing w:after="0" w:line="240" w:lineRule="auto"/>
              <w:jc w:val="center"/>
              <w:rPr>
                <w:sz w:val="18"/>
                <w:szCs w:val="18"/>
              </w:rPr>
            </w:pPr>
            <w:r w:rsidRPr="002F1273">
              <w:rPr>
                <w:sz w:val="18"/>
                <w:szCs w:val="18"/>
              </w:rPr>
              <w:t>(2016)</w:t>
            </w:r>
          </w:p>
          <w:p w14:paraId="23E60AEE" w14:textId="77777777" w:rsidR="00463981" w:rsidRPr="002F1273" w:rsidRDefault="00463981" w:rsidP="0069197B">
            <w:pPr>
              <w:spacing w:after="0" w:line="240" w:lineRule="auto"/>
              <w:jc w:val="center"/>
              <w:rPr>
                <w:rFonts w:cs="Calibri"/>
                <w:kern w:val="24"/>
                <w:sz w:val="18"/>
                <w:szCs w:val="18"/>
              </w:rPr>
            </w:pPr>
          </w:p>
        </w:tc>
        <w:tc>
          <w:tcPr>
            <w:tcW w:w="1559" w:type="dxa"/>
            <w:shd w:val="clear" w:color="auto" w:fill="E2EFD9" w:themeFill="accent6" w:themeFillTint="33"/>
            <w:vAlign w:val="center"/>
          </w:tcPr>
          <w:p w14:paraId="2944D5AC" w14:textId="406709CD" w:rsidR="00463981" w:rsidRPr="002F1273" w:rsidRDefault="005C125C" w:rsidP="009469A3">
            <w:pPr>
              <w:spacing w:after="0" w:line="240" w:lineRule="auto"/>
              <w:jc w:val="center"/>
              <w:rPr>
                <w:kern w:val="24"/>
                <w:sz w:val="18"/>
                <w:szCs w:val="18"/>
              </w:rPr>
            </w:pPr>
            <w:r w:rsidRPr="002F1273">
              <w:rPr>
                <w:kern w:val="24"/>
                <w:sz w:val="18"/>
                <w:szCs w:val="18"/>
              </w:rPr>
              <w:t>1,2</w:t>
            </w:r>
          </w:p>
        </w:tc>
        <w:tc>
          <w:tcPr>
            <w:tcW w:w="1701" w:type="dxa"/>
            <w:shd w:val="clear" w:color="auto" w:fill="E2EFD9" w:themeFill="accent6" w:themeFillTint="33"/>
            <w:tcMar>
              <w:top w:w="15" w:type="dxa"/>
              <w:left w:w="108" w:type="dxa"/>
              <w:bottom w:w="0" w:type="dxa"/>
              <w:right w:w="108" w:type="dxa"/>
            </w:tcMar>
            <w:vAlign w:val="center"/>
          </w:tcPr>
          <w:p w14:paraId="50C60080" w14:textId="7B478B8F" w:rsidR="00463981" w:rsidRPr="002F1273" w:rsidRDefault="006A7175" w:rsidP="009469A3">
            <w:pPr>
              <w:spacing w:after="0" w:line="240" w:lineRule="auto"/>
              <w:jc w:val="center"/>
              <w:rPr>
                <w:rFonts w:cs="Calibri"/>
                <w:kern w:val="24"/>
                <w:sz w:val="18"/>
                <w:szCs w:val="18"/>
              </w:rPr>
            </w:pPr>
            <w:r w:rsidRPr="002F1273">
              <w:rPr>
                <w:rFonts w:cs="Calibri"/>
                <w:kern w:val="24"/>
                <w:sz w:val="18"/>
                <w:szCs w:val="18"/>
              </w:rPr>
              <w:t>MS</w:t>
            </w:r>
          </w:p>
        </w:tc>
        <w:tc>
          <w:tcPr>
            <w:tcW w:w="4961" w:type="dxa"/>
            <w:shd w:val="clear" w:color="auto" w:fill="E2EFD9" w:themeFill="accent6" w:themeFillTint="33"/>
          </w:tcPr>
          <w:p w14:paraId="570E003F" w14:textId="77777777" w:rsidR="00463981" w:rsidRPr="002F1273" w:rsidRDefault="00463981" w:rsidP="00F4797D">
            <w:pPr>
              <w:spacing w:line="256" w:lineRule="auto"/>
              <w:jc w:val="both"/>
              <w:rPr>
                <w:rFonts w:cs="Calibri"/>
                <w:kern w:val="24"/>
                <w:sz w:val="18"/>
                <w:szCs w:val="18"/>
              </w:rPr>
            </w:pPr>
            <w:r w:rsidRPr="002F1273">
              <w:rPr>
                <w:rFonts w:cs="Calibri"/>
                <w:kern w:val="24"/>
                <w:sz w:val="18"/>
                <w:szCs w:val="18"/>
              </w:rPr>
              <w:t xml:space="preserve">Odsetek spraw rozpatrywanych przez sądy I instancji, w których czas trwania postępowania przekracza 3 lata (w głównych kategoriach spraw) - stosunek spraw, które uprawomocniły się w pierwszej instancji po upływie powyżej 3 lat od dnia pierwszej rejestracji w sądzie i wszystkich spraw, które uprawomocniły się w pierwszej instancji. </w:t>
            </w:r>
          </w:p>
        </w:tc>
      </w:tr>
      <w:tr w:rsidR="00463981" w:rsidRPr="00F21196" w14:paraId="0E409608" w14:textId="77777777" w:rsidTr="00463981">
        <w:trPr>
          <w:trHeight w:val="291"/>
        </w:trPr>
        <w:tc>
          <w:tcPr>
            <w:tcW w:w="3403" w:type="dxa"/>
            <w:shd w:val="clear" w:color="auto" w:fill="E2EFD9" w:themeFill="accent6" w:themeFillTint="33"/>
            <w:vAlign w:val="center"/>
          </w:tcPr>
          <w:p w14:paraId="7235A7FD" w14:textId="77777777" w:rsidR="00463981" w:rsidRPr="002F1273" w:rsidRDefault="00463981" w:rsidP="009469A3">
            <w:pPr>
              <w:tabs>
                <w:tab w:val="left" w:pos="426"/>
              </w:tabs>
              <w:spacing w:after="0" w:line="240" w:lineRule="auto"/>
              <w:rPr>
                <w:sz w:val="18"/>
                <w:szCs w:val="18"/>
              </w:rPr>
            </w:pPr>
            <w:r w:rsidRPr="002F1273">
              <w:rPr>
                <w:sz w:val="18"/>
                <w:szCs w:val="18"/>
              </w:rPr>
              <w:t>Wskaźnik spraw skierowanych do mediacji w sądach powszechnych</w:t>
            </w:r>
          </w:p>
        </w:tc>
        <w:tc>
          <w:tcPr>
            <w:tcW w:w="1276" w:type="dxa"/>
            <w:shd w:val="clear" w:color="auto" w:fill="E2EFD9" w:themeFill="accent6" w:themeFillTint="33"/>
            <w:vAlign w:val="center"/>
          </w:tcPr>
          <w:p w14:paraId="0F7A8767" w14:textId="77777777" w:rsidR="00463981" w:rsidRPr="002F1273" w:rsidRDefault="00463981" w:rsidP="009469A3">
            <w:pPr>
              <w:spacing w:after="0" w:line="240" w:lineRule="auto"/>
              <w:jc w:val="center"/>
              <w:rPr>
                <w:rFonts w:cs="Calibri"/>
                <w:kern w:val="24"/>
                <w:sz w:val="18"/>
                <w:szCs w:val="18"/>
              </w:rPr>
            </w:pPr>
            <w:r w:rsidRPr="002F1273">
              <w:rPr>
                <w:rFonts w:cs="Calibri"/>
                <w:kern w:val="24"/>
                <w:sz w:val="18"/>
                <w:szCs w:val="18"/>
              </w:rPr>
              <w:t>%</w:t>
            </w:r>
          </w:p>
        </w:tc>
        <w:tc>
          <w:tcPr>
            <w:tcW w:w="1701" w:type="dxa"/>
            <w:shd w:val="clear" w:color="auto" w:fill="E2EFD9" w:themeFill="accent6" w:themeFillTint="33"/>
            <w:vAlign w:val="center"/>
          </w:tcPr>
          <w:p w14:paraId="6AA942DF" w14:textId="77777777" w:rsidR="00463981" w:rsidRPr="002F1273" w:rsidRDefault="00463981" w:rsidP="0069197B">
            <w:pPr>
              <w:spacing w:after="0" w:line="240" w:lineRule="auto"/>
              <w:jc w:val="center"/>
              <w:rPr>
                <w:sz w:val="18"/>
                <w:szCs w:val="18"/>
              </w:rPr>
            </w:pPr>
            <w:r w:rsidRPr="002F1273">
              <w:rPr>
                <w:sz w:val="18"/>
                <w:szCs w:val="18"/>
              </w:rPr>
              <w:t>0,9</w:t>
            </w:r>
          </w:p>
          <w:p w14:paraId="7A7757A6" w14:textId="77777777" w:rsidR="00463981" w:rsidRPr="002F1273" w:rsidRDefault="00463981" w:rsidP="0069197B">
            <w:pPr>
              <w:spacing w:after="0" w:line="240" w:lineRule="auto"/>
              <w:jc w:val="center"/>
              <w:rPr>
                <w:sz w:val="18"/>
                <w:szCs w:val="18"/>
              </w:rPr>
            </w:pPr>
            <w:r w:rsidRPr="002F1273">
              <w:rPr>
                <w:sz w:val="18"/>
                <w:szCs w:val="18"/>
              </w:rPr>
              <w:t>(2016)</w:t>
            </w:r>
          </w:p>
          <w:p w14:paraId="4F6A780F" w14:textId="77777777" w:rsidR="00463981" w:rsidRPr="002F1273" w:rsidRDefault="00463981" w:rsidP="0069197B">
            <w:pPr>
              <w:spacing w:after="0" w:line="240" w:lineRule="auto"/>
              <w:jc w:val="center"/>
              <w:rPr>
                <w:rFonts w:cs="Calibri"/>
                <w:kern w:val="24"/>
                <w:sz w:val="18"/>
                <w:szCs w:val="18"/>
              </w:rPr>
            </w:pPr>
          </w:p>
        </w:tc>
        <w:tc>
          <w:tcPr>
            <w:tcW w:w="1559" w:type="dxa"/>
            <w:shd w:val="clear" w:color="auto" w:fill="E2EFD9" w:themeFill="accent6" w:themeFillTint="33"/>
            <w:vAlign w:val="center"/>
          </w:tcPr>
          <w:p w14:paraId="2CF858D9" w14:textId="77777777" w:rsidR="00463981" w:rsidRPr="002F1273" w:rsidRDefault="00463981" w:rsidP="009469A3">
            <w:pPr>
              <w:spacing w:after="0" w:line="240" w:lineRule="auto"/>
              <w:jc w:val="center"/>
              <w:rPr>
                <w:kern w:val="24"/>
                <w:sz w:val="18"/>
                <w:szCs w:val="18"/>
              </w:rPr>
            </w:pPr>
            <w:r w:rsidRPr="002F1273">
              <w:rPr>
                <w:kern w:val="24"/>
                <w:sz w:val="18"/>
                <w:szCs w:val="18"/>
              </w:rPr>
              <w:t>5,0</w:t>
            </w:r>
          </w:p>
        </w:tc>
        <w:tc>
          <w:tcPr>
            <w:tcW w:w="1701" w:type="dxa"/>
            <w:shd w:val="clear" w:color="auto" w:fill="E2EFD9" w:themeFill="accent6" w:themeFillTint="33"/>
            <w:tcMar>
              <w:top w:w="15" w:type="dxa"/>
              <w:left w:w="108" w:type="dxa"/>
              <w:bottom w:w="0" w:type="dxa"/>
              <w:right w:w="108" w:type="dxa"/>
            </w:tcMar>
            <w:vAlign w:val="center"/>
          </w:tcPr>
          <w:p w14:paraId="4E7535B4" w14:textId="64BC629A" w:rsidR="00463981" w:rsidRPr="002F1273" w:rsidRDefault="006A7175" w:rsidP="009469A3">
            <w:pPr>
              <w:spacing w:after="0" w:line="240" w:lineRule="auto"/>
              <w:jc w:val="center"/>
              <w:rPr>
                <w:rFonts w:cs="Calibri"/>
                <w:kern w:val="24"/>
                <w:sz w:val="18"/>
                <w:szCs w:val="18"/>
              </w:rPr>
            </w:pPr>
            <w:r w:rsidRPr="002F1273">
              <w:rPr>
                <w:rFonts w:cs="Calibri"/>
                <w:kern w:val="24"/>
                <w:sz w:val="18"/>
                <w:szCs w:val="18"/>
              </w:rPr>
              <w:t>MS</w:t>
            </w:r>
          </w:p>
        </w:tc>
        <w:tc>
          <w:tcPr>
            <w:tcW w:w="4961" w:type="dxa"/>
            <w:shd w:val="clear" w:color="auto" w:fill="E2EFD9" w:themeFill="accent6" w:themeFillTint="33"/>
          </w:tcPr>
          <w:p w14:paraId="019A0F10" w14:textId="77777777" w:rsidR="00463981" w:rsidRPr="002F1273" w:rsidRDefault="00463981" w:rsidP="00F4797D">
            <w:pPr>
              <w:jc w:val="both"/>
              <w:rPr>
                <w:rFonts w:cs="Calibri"/>
                <w:kern w:val="24"/>
                <w:sz w:val="18"/>
                <w:szCs w:val="18"/>
                <w:lang w:eastAsia="pl-PL"/>
              </w:rPr>
            </w:pPr>
            <w:r w:rsidRPr="002F1273">
              <w:rPr>
                <w:rFonts w:cs="Calibri"/>
                <w:kern w:val="24"/>
                <w:sz w:val="18"/>
                <w:szCs w:val="18"/>
                <w:lang w:eastAsia="pl-PL"/>
              </w:rPr>
              <w:t xml:space="preserve">Wskaźnik mediacji - odsetek spraw skierowanych do mediacji w stosunku do wszystkich spraw wpływających do sądów, w których mediacja może być zastosowana - odsetek spraw, w których strony skierowano do mediacji w stosunku do liczby wszystkich spraw wpływających do sądów powszechnych ewidencjonowanych w repertoriach. </w:t>
            </w:r>
          </w:p>
        </w:tc>
      </w:tr>
      <w:tr w:rsidR="00463981" w:rsidRPr="00F21196" w14:paraId="1588C64A" w14:textId="77777777" w:rsidTr="00463981">
        <w:trPr>
          <w:trHeight w:val="291"/>
        </w:trPr>
        <w:tc>
          <w:tcPr>
            <w:tcW w:w="3403" w:type="dxa"/>
            <w:shd w:val="clear" w:color="auto" w:fill="E2EFD9" w:themeFill="accent6" w:themeFillTint="33"/>
            <w:vAlign w:val="center"/>
          </w:tcPr>
          <w:p w14:paraId="5EC873BE" w14:textId="77777777" w:rsidR="00463981" w:rsidRPr="002F1273" w:rsidRDefault="00463981" w:rsidP="009469A3">
            <w:pPr>
              <w:spacing w:after="0" w:line="240" w:lineRule="auto"/>
              <w:rPr>
                <w:rFonts w:cs="Tahoma"/>
                <w:sz w:val="18"/>
                <w:szCs w:val="18"/>
              </w:rPr>
            </w:pPr>
            <w:r w:rsidRPr="002F1273">
              <w:rPr>
                <w:rFonts w:cs="Tahoma"/>
                <w:sz w:val="18"/>
                <w:szCs w:val="18"/>
              </w:rPr>
              <w:t>Odsetek osób deklarujących zaufanie do sądów</w:t>
            </w:r>
          </w:p>
        </w:tc>
        <w:tc>
          <w:tcPr>
            <w:tcW w:w="1276" w:type="dxa"/>
            <w:shd w:val="clear" w:color="auto" w:fill="E2EFD9" w:themeFill="accent6" w:themeFillTint="33"/>
            <w:vAlign w:val="center"/>
          </w:tcPr>
          <w:p w14:paraId="4B0D2643" w14:textId="77777777" w:rsidR="00463981" w:rsidRPr="002F1273" w:rsidRDefault="00463981" w:rsidP="009469A3">
            <w:pPr>
              <w:spacing w:after="0" w:line="240" w:lineRule="auto"/>
              <w:jc w:val="center"/>
              <w:rPr>
                <w:rFonts w:cs="Calibri"/>
                <w:kern w:val="24"/>
                <w:sz w:val="18"/>
                <w:szCs w:val="18"/>
                <w:lang w:eastAsia="pl-PL"/>
              </w:rPr>
            </w:pPr>
            <w:r w:rsidRPr="002F1273">
              <w:rPr>
                <w:rFonts w:cs="Calibri"/>
                <w:kern w:val="24"/>
                <w:sz w:val="18"/>
                <w:szCs w:val="18"/>
                <w:lang w:eastAsia="pl-PL"/>
              </w:rPr>
              <w:t>%</w:t>
            </w:r>
          </w:p>
        </w:tc>
        <w:tc>
          <w:tcPr>
            <w:tcW w:w="1701" w:type="dxa"/>
            <w:shd w:val="clear" w:color="auto" w:fill="E2EFD9" w:themeFill="accent6" w:themeFillTint="33"/>
            <w:vAlign w:val="center"/>
          </w:tcPr>
          <w:p w14:paraId="5281BF97" w14:textId="2C4D0011" w:rsidR="00463981" w:rsidRPr="002F1273" w:rsidRDefault="00724576" w:rsidP="0069197B">
            <w:pPr>
              <w:spacing w:after="0" w:line="240" w:lineRule="auto"/>
              <w:jc w:val="center"/>
              <w:rPr>
                <w:rFonts w:cs="Calibri"/>
                <w:kern w:val="24"/>
                <w:sz w:val="18"/>
                <w:szCs w:val="18"/>
                <w:lang w:eastAsia="pl-PL"/>
              </w:rPr>
            </w:pPr>
            <w:r w:rsidRPr="002F1273">
              <w:rPr>
                <w:rFonts w:cs="Calibri"/>
                <w:kern w:val="24"/>
                <w:sz w:val="18"/>
                <w:szCs w:val="18"/>
                <w:lang w:eastAsia="pl-PL"/>
              </w:rPr>
              <w:t>42,0</w:t>
            </w:r>
          </w:p>
          <w:p w14:paraId="569FE93B" w14:textId="337A488C" w:rsidR="00463981" w:rsidRPr="002F1273" w:rsidRDefault="00463981" w:rsidP="00724576">
            <w:pPr>
              <w:spacing w:after="0" w:line="240" w:lineRule="auto"/>
              <w:jc w:val="center"/>
              <w:rPr>
                <w:rFonts w:cs="Calibri"/>
                <w:kern w:val="24"/>
                <w:sz w:val="18"/>
                <w:szCs w:val="18"/>
                <w:lang w:eastAsia="pl-PL"/>
              </w:rPr>
            </w:pPr>
            <w:r w:rsidRPr="002F1273">
              <w:rPr>
                <w:rFonts w:cs="Calibri"/>
                <w:kern w:val="24"/>
                <w:sz w:val="18"/>
                <w:szCs w:val="18"/>
                <w:lang w:eastAsia="pl-PL"/>
              </w:rPr>
              <w:t>(20</w:t>
            </w:r>
            <w:r w:rsidR="00724576" w:rsidRPr="002F1273">
              <w:rPr>
                <w:rFonts w:cs="Calibri"/>
                <w:kern w:val="24"/>
                <w:sz w:val="18"/>
                <w:szCs w:val="18"/>
                <w:lang w:eastAsia="pl-PL"/>
              </w:rPr>
              <w:t>20</w:t>
            </w:r>
            <w:r w:rsidRPr="002F1273">
              <w:rPr>
                <w:rFonts w:cs="Calibri"/>
                <w:kern w:val="24"/>
                <w:sz w:val="18"/>
                <w:szCs w:val="18"/>
                <w:lang w:eastAsia="pl-PL"/>
              </w:rPr>
              <w:t>)</w:t>
            </w:r>
          </w:p>
        </w:tc>
        <w:tc>
          <w:tcPr>
            <w:tcW w:w="1559" w:type="dxa"/>
            <w:shd w:val="clear" w:color="auto" w:fill="E2EFD9" w:themeFill="accent6" w:themeFillTint="33"/>
            <w:vAlign w:val="center"/>
          </w:tcPr>
          <w:p w14:paraId="182FBACC" w14:textId="24523871" w:rsidR="00463981" w:rsidRPr="002F1273" w:rsidRDefault="00463981" w:rsidP="00463981">
            <w:pPr>
              <w:spacing w:after="0" w:line="240" w:lineRule="auto"/>
              <w:jc w:val="center"/>
              <w:rPr>
                <w:rFonts w:cs="Calibri"/>
                <w:kern w:val="24"/>
                <w:sz w:val="18"/>
                <w:szCs w:val="18"/>
                <w:lang w:eastAsia="pl-PL"/>
              </w:rPr>
            </w:pPr>
            <w:r w:rsidRPr="002F1273">
              <w:rPr>
                <w:sz w:val="18"/>
                <w:szCs w:val="18"/>
              </w:rPr>
              <w:t xml:space="preserve">Wzrost </w:t>
            </w:r>
          </w:p>
        </w:tc>
        <w:tc>
          <w:tcPr>
            <w:tcW w:w="1701" w:type="dxa"/>
            <w:shd w:val="clear" w:color="auto" w:fill="E2EFD9" w:themeFill="accent6" w:themeFillTint="33"/>
            <w:tcMar>
              <w:top w:w="15" w:type="dxa"/>
              <w:left w:w="108" w:type="dxa"/>
              <w:bottom w:w="0" w:type="dxa"/>
              <w:right w:w="108" w:type="dxa"/>
            </w:tcMar>
            <w:vAlign w:val="center"/>
          </w:tcPr>
          <w:p w14:paraId="7A1DDF4D" w14:textId="77777777" w:rsidR="00463981" w:rsidRPr="002F1273" w:rsidRDefault="00463981" w:rsidP="009469A3">
            <w:pPr>
              <w:spacing w:after="0" w:line="240" w:lineRule="auto"/>
              <w:jc w:val="center"/>
              <w:rPr>
                <w:rFonts w:cs="Calibri"/>
                <w:kern w:val="24"/>
                <w:sz w:val="18"/>
                <w:szCs w:val="18"/>
                <w:lang w:eastAsia="pl-PL"/>
              </w:rPr>
            </w:pPr>
            <w:r w:rsidRPr="002F1273">
              <w:rPr>
                <w:rFonts w:cs="Calibri"/>
                <w:kern w:val="24"/>
                <w:sz w:val="18"/>
                <w:szCs w:val="18"/>
                <w:lang w:eastAsia="pl-PL"/>
              </w:rPr>
              <w:t>CBOS</w:t>
            </w:r>
          </w:p>
        </w:tc>
        <w:tc>
          <w:tcPr>
            <w:tcW w:w="4961" w:type="dxa"/>
            <w:shd w:val="clear" w:color="auto" w:fill="E2EFD9" w:themeFill="accent6" w:themeFillTint="33"/>
          </w:tcPr>
          <w:p w14:paraId="670C79D7" w14:textId="77777777" w:rsidR="00463981" w:rsidRPr="002F1273" w:rsidRDefault="00463981" w:rsidP="00F4797D">
            <w:pPr>
              <w:autoSpaceDE w:val="0"/>
              <w:autoSpaceDN w:val="0"/>
              <w:adjustRightInd w:val="0"/>
              <w:spacing w:after="0" w:line="240" w:lineRule="auto"/>
              <w:jc w:val="both"/>
              <w:rPr>
                <w:rFonts w:cs="Calibri"/>
                <w:sz w:val="18"/>
                <w:szCs w:val="18"/>
              </w:rPr>
            </w:pPr>
            <w:r w:rsidRPr="002F1273">
              <w:rPr>
                <w:rFonts w:cs="Calibri"/>
                <w:sz w:val="18"/>
                <w:szCs w:val="18"/>
              </w:rPr>
              <w:t>Odsetek respondentów, którzy ogółem udzielili twierdzącej odpowiedzi na pytanie:</w:t>
            </w:r>
          </w:p>
          <w:p w14:paraId="64AB2A75" w14:textId="77777777" w:rsidR="00463981" w:rsidRPr="002F1273" w:rsidRDefault="00463981" w:rsidP="00F4797D">
            <w:pPr>
              <w:jc w:val="both"/>
              <w:rPr>
                <w:rFonts w:cs="Calibri"/>
                <w:kern w:val="24"/>
                <w:sz w:val="18"/>
                <w:szCs w:val="18"/>
                <w:lang w:eastAsia="pl-PL"/>
              </w:rPr>
            </w:pPr>
            <w:r w:rsidRPr="002F1273">
              <w:rPr>
                <w:rFonts w:cs="Calibri"/>
                <w:sz w:val="18"/>
                <w:szCs w:val="18"/>
              </w:rPr>
              <w:t>"</w:t>
            </w:r>
            <w:r w:rsidRPr="002F1273">
              <w:rPr>
                <w:rFonts w:cs="Calibri"/>
                <w:i/>
                <w:sz w:val="18"/>
                <w:szCs w:val="18"/>
              </w:rPr>
              <w:t>Czy, ogólnie rzecz biorąc, ma Pan(i) zaufanie czy też nie ma Pan(i) zaufania do sądów?”</w:t>
            </w:r>
          </w:p>
        </w:tc>
      </w:tr>
      <w:tr w:rsidR="00463981" w:rsidRPr="00F21196" w14:paraId="3123A702" w14:textId="77777777" w:rsidTr="00463981">
        <w:trPr>
          <w:trHeight w:val="291"/>
        </w:trPr>
        <w:tc>
          <w:tcPr>
            <w:tcW w:w="3403" w:type="dxa"/>
            <w:shd w:val="clear" w:color="auto" w:fill="E2EFD9" w:themeFill="accent6" w:themeFillTint="33"/>
            <w:vAlign w:val="center"/>
          </w:tcPr>
          <w:p w14:paraId="3B2BBB0E" w14:textId="77777777" w:rsidR="00463981" w:rsidRPr="002F1273" w:rsidRDefault="00463981" w:rsidP="009469A3">
            <w:pPr>
              <w:rPr>
                <w:rFonts w:cs="Times New Roman"/>
                <w:sz w:val="18"/>
                <w:szCs w:val="18"/>
              </w:rPr>
            </w:pPr>
            <w:r w:rsidRPr="002F1273">
              <w:rPr>
                <w:rFonts w:cs="Times New Roman"/>
                <w:sz w:val="18"/>
                <w:szCs w:val="18"/>
              </w:rPr>
              <w:t>Pozostałości spraw karnych na następny okres sprawozdawczy w prokuraturach rejonowych</w:t>
            </w:r>
          </w:p>
        </w:tc>
        <w:tc>
          <w:tcPr>
            <w:tcW w:w="1276" w:type="dxa"/>
            <w:shd w:val="clear" w:color="auto" w:fill="E2EFD9" w:themeFill="accent6" w:themeFillTint="33"/>
            <w:vAlign w:val="center"/>
          </w:tcPr>
          <w:p w14:paraId="17B3EE71" w14:textId="77777777" w:rsidR="00463981" w:rsidRPr="002F1273" w:rsidRDefault="00463981" w:rsidP="009469A3">
            <w:pPr>
              <w:jc w:val="center"/>
              <w:rPr>
                <w:rFonts w:cs="Times New Roman"/>
                <w:sz w:val="18"/>
                <w:szCs w:val="18"/>
              </w:rPr>
            </w:pPr>
            <w:r w:rsidRPr="002F1273">
              <w:rPr>
                <w:rFonts w:cs="Times New Roman"/>
                <w:sz w:val="18"/>
                <w:szCs w:val="18"/>
              </w:rPr>
              <w:t>%</w:t>
            </w:r>
          </w:p>
        </w:tc>
        <w:tc>
          <w:tcPr>
            <w:tcW w:w="1701" w:type="dxa"/>
            <w:shd w:val="clear" w:color="auto" w:fill="E2EFD9" w:themeFill="accent6" w:themeFillTint="33"/>
            <w:vAlign w:val="center"/>
          </w:tcPr>
          <w:p w14:paraId="6CCF1D2B" w14:textId="77777777" w:rsidR="00463981" w:rsidRPr="002F1273" w:rsidRDefault="00463981" w:rsidP="0069197B">
            <w:pPr>
              <w:spacing w:after="0"/>
              <w:jc w:val="center"/>
              <w:rPr>
                <w:rFonts w:cs="Times New Roman"/>
                <w:sz w:val="18"/>
                <w:szCs w:val="18"/>
              </w:rPr>
            </w:pPr>
            <w:r w:rsidRPr="002F1273">
              <w:rPr>
                <w:rFonts w:cs="Times New Roman"/>
                <w:sz w:val="18"/>
                <w:szCs w:val="18"/>
              </w:rPr>
              <w:t>1,2</w:t>
            </w:r>
          </w:p>
          <w:p w14:paraId="609EFCB2" w14:textId="77777777" w:rsidR="00463981" w:rsidRPr="002F1273" w:rsidRDefault="00463981" w:rsidP="0069197B">
            <w:pPr>
              <w:spacing w:after="0"/>
              <w:jc w:val="center"/>
              <w:rPr>
                <w:rFonts w:cs="Times New Roman"/>
                <w:sz w:val="18"/>
                <w:szCs w:val="18"/>
              </w:rPr>
            </w:pPr>
            <w:r w:rsidRPr="002F1273">
              <w:rPr>
                <w:rFonts w:cs="Calibri"/>
                <w:kern w:val="24"/>
                <w:sz w:val="18"/>
                <w:szCs w:val="18"/>
                <w:lang w:eastAsia="pl-PL"/>
              </w:rPr>
              <w:t>(2016)</w:t>
            </w:r>
          </w:p>
        </w:tc>
        <w:tc>
          <w:tcPr>
            <w:tcW w:w="1559" w:type="dxa"/>
            <w:shd w:val="clear" w:color="auto" w:fill="E2EFD9" w:themeFill="accent6" w:themeFillTint="33"/>
            <w:vAlign w:val="center"/>
          </w:tcPr>
          <w:p w14:paraId="19229AD0" w14:textId="494F5ED0" w:rsidR="00463981" w:rsidRPr="002F1273" w:rsidRDefault="005C125C" w:rsidP="009469A3">
            <w:pPr>
              <w:jc w:val="center"/>
              <w:rPr>
                <w:rFonts w:cs="Times New Roman"/>
                <w:sz w:val="18"/>
                <w:szCs w:val="18"/>
              </w:rPr>
            </w:pPr>
            <w:r w:rsidRPr="002F1273">
              <w:rPr>
                <w:rFonts w:cs="Times New Roman"/>
                <w:sz w:val="18"/>
                <w:szCs w:val="18"/>
              </w:rPr>
              <w:t>1,1</w:t>
            </w:r>
          </w:p>
        </w:tc>
        <w:tc>
          <w:tcPr>
            <w:tcW w:w="1701" w:type="dxa"/>
            <w:shd w:val="clear" w:color="auto" w:fill="E2EFD9" w:themeFill="accent6" w:themeFillTint="33"/>
            <w:tcMar>
              <w:top w:w="15" w:type="dxa"/>
              <w:left w:w="108" w:type="dxa"/>
              <w:bottom w:w="0" w:type="dxa"/>
              <w:right w:w="108" w:type="dxa"/>
            </w:tcMar>
            <w:vAlign w:val="center"/>
          </w:tcPr>
          <w:p w14:paraId="5F99CECA" w14:textId="77777777" w:rsidR="00463981" w:rsidRPr="002F1273" w:rsidRDefault="00463981" w:rsidP="009469A3">
            <w:pPr>
              <w:jc w:val="center"/>
              <w:rPr>
                <w:rFonts w:cs="Times New Roman"/>
                <w:sz w:val="18"/>
                <w:szCs w:val="18"/>
              </w:rPr>
            </w:pPr>
            <w:r w:rsidRPr="002F1273">
              <w:rPr>
                <w:rFonts w:cs="Times New Roman"/>
                <w:sz w:val="18"/>
                <w:szCs w:val="18"/>
              </w:rPr>
              <w:t>PK</w:t>
            </w:r>
          </w:p>
        </w:tc>
        <w:tc>
          <w:tcPr>
            <w:tcW w:w="4961" w:type="dxa"/>
            <w:shd w:val="clear" w:color="auto" w:fill="E2EFD9" w:themeFill="accent6" w:themeFillTint="33"/>
          </w:tcPr>
          <w:p w14:paraId="2A9F0230" w14:textId="77777777" w:rsidR="00463981" w:rsidRPr="002F1273" w:rsidRDefault="00463981" w:rsidP="00F4797D">
            <w:pPr>
              <w:jc w:val="both"/>
              <w:rPr>
                <w:rFonts w:cs="Calibri"/>
                <w:kern w:val="24"/>
                <w:sz w:val="18"/>
                <w:szCs w:val="18"/>
                <w:lang w:eastAsia="pl-PL"/>
              </w:rPr>
            </w:pPr>
            <w:r w:rsidRPr="002F1273">
              <w:rPr>
                <w:rFonts w:cs="Calibri"/>
                <w:kern w:val="24"/>
                <w:sz w:val="18"/>
                <w:szCs w:val="18"/>
                <w:lang w:eastAsia="pl-PL"/>
              </w:rPr>
              <w:t>Odsetek liczby spraw pozostałych do załatwienia na następny okres sprawozdawczy, do średniego miesięcznego wpływu spraw.</w:t>
            </w:r>
          </w:p>
        </w:tc>
      </w:tr>
      <w:tr w:rsidR="00463981" w:rsidRPr="00F21196" w14:paraId="75014653" w14:textId="77777777" w:rsidTr="00463981">
        <w:tblPrEx>
          <w:shd w:val="clear" w:color="auto" w:fill="F3F0F6"/>
          <w:tblLook w:val="0620" w:firstRow="1" w:lastRow="0" w:firstColumn="0" w:lastColumn="0" w:noHBand="1" w:noVBand="1"/>
        </w:tblPrEx>
        <w:trPr>
          <w:trHeight w:val="378"/>
        </w:trPr>
        <w:tc>
          <w:tcPr>
            <w:tcW w:w="3403" w:type="dxa"/>
            <w:shd w:val="clear" w:color="auto" w:fill="E2EFD9" w:themeFill="accent6" w:themeFillTint="33"/>
            <w:tcMar>
              <w:top w:w="15" w:type="dxa"/>
              <w:left w:w="108" w:type="dxa"/>
              <w:bottom w:w="0" w:type="dxa"/>
              <w:right w:w="108" w:type="dxa"/>
            </w:tcMar>
          </w:tcPr>
          <w:p w14:paraId="3FCABAB6" w14:textId="77777777" w:rsidR="00463981" w:rsidRPr="002F1273" w:rsidRDefault="00463981" w:rsidP="00C70ECC">
            <w:pPr>
              <w:rPr>
                <w:rFonts w:cs="Calibri"/>
                <w:kern w:val="24"/>
                <w:sz w:val="18"/>
                <w:szCs w:val="18"/>
                <w:lang w:eastAsia="pl-PL"/>
              </w:rPr>
            </w:pPr>
            <w:r w:rsidRPr="002F1273">
              <w:rPr>
                <w:rFonts w:cs="Calibri"/>
                <w:kern w:val="24"/>
                <w:sz w:val="18"/>
                <w:szCs w:val="18"/>
                <w:lang w:eastAsia="pl-PL"/>
              </w:rPr>
              <w:t>Odsetek osób deklarujących zaufanie do instytucji publicznych - wobec władz lokalnych miasta lub gminy</w:t>
            </w:r>
          </w:p>
        </w:tc>
        <w:tc>
          <w:tcPr>
            <w:tcW w:w="1276" w:type="dxa"/>
            <w:shd w:val="clear" w:color="auto" w:fill="E2EFD9" w:themeFill="accent6" w:themeFillTint="33"/>
            <w:tcMar>
              <w:top w:w="15" w:type="dxa"/>
              <w:left w:w="108" w:type="dxa"/>
              <w:bottom w:w="0" w:type="dxa"/>
              <w:right w:w="108" w:type="dxa"/>
            </w:tcMar>
            <w:vAlign w:val="center"/>
          </w:tcPr>
          <w:p w14:paraId="5F69C0CA" w14:textId="77777777" w:rsidR="00463981" w:rsidRPr="002F1273" w:rsidRDefault="00463981" w:rsidP="00C70ECC">
            <w:pPr>
              <w:jc w:val="center"/>
              <w:rPr>
                <w:rFonts w:cs="Calibri"/>
                <w:kern w:val="24"/>
                <w:sz w:val="18"/>
                <w:szCs w:val="18"/>
                <w:lang w:eastAsia="pl-PL"/>
              </w:rPr>
            </w:pPr>
            <w:r w:rsidRPr="002F1273">
              <w:rPr>
                <w:rFonts w:cs="Calibri"/>
                <w:kern w:val="24"/>
                <w:sz w:val="18"/>
                <w:szCs w:val="18"/>
                <w:lang w:eastAsia="pl-PL"/>
              </w:rPr>
              <w:t>%</w:t>
            </w:r>
          </w:p>
        </w:tc>
        <w:tc>
          <w:tcPr>
            <w:tcW w:w="1701" w:type="dxa"/>
            <w:shd w:val="clear" w:color="auto" w:fill="E2EFD9" w:themeFill="accent6" w:themeFillTint="33"/>
            <w:tcMar>
              <w:top w:w="15" w:type="dxa"/>
              <w:left w:w="108" w:type="dxa"/>
              <w:bottom w:w="0" w:type="dxa"/>
              <w:right w:w="108" w:type="dxa"/>
            </w:tcMar>
            <w:vAlign w:val="center"/>
          </w:tcPr>
          <w:p w14:paraId="7715FC11" w14:textId="6471F7C7" w:rsidR="00463981" w:rsidRPr="002F1273" w:rsidRDefault="00724576" w:rsidP="002F708A">
            <w:pPr>
              <w:spacing w:after="0"/>
              <w:jc w:val="center"/>
              <w:rPr>
                <w:rFonts w:cs="Calibri"/>
                <w:kern w:val="24"/>
                <w:sz w:val="18"/>
                <w:szCs w:val="18"/>
                <w:lang w:eastAsia="pl-PL"/>
              </w:rPr>
            </w:pPr>
            <w:r w:rsidRPr="002F1273">
              <w:rPr>
                <w:rFonts w:cs="Calibri"/>
                <w:kern w:val="24"/>
                <w:sz w:val="18"/>
                <w:szCs w:val="18"/>
                <w:lang w:eastAsia="pl-PL"/>
              </w:rPr>
              <w:t>74,0</w:t>
            </w:r>
          </w:p>
          <w:p w14:paraId="21740D97" w14:textId="1C882BA4" w:rsidR="00463981" w:rsidRPr="002F1273" w:rsidRDefault="00463981" w:rsidP="00724576">
            <w:pPr>
              <w:spacing w:after="0"/>
              <w:jc w:val="center"/>
              <w:rPr>
                <w:rFonts w:cs="Calibri"/>
                <w:kern w:val="24"/>
                <w:sz w:val="18"/>
                <w:szCs w:val="18"/>
                <w:lang w:eastAsia="pl-PL"/>
              </w:rPr>
            </w:pPr>
            <w:r w:rsidRPr="002F1273">
              <w:rPr>
                <w:rFonts w:cs="Calibri"/>
                <w:kern w:val="24"/>
                <w:sz w:val="18"/>
                <w:szCs w:val="18"/>
                <w:lang w:eastAsia="pl-PL"/>
              </w:rPr>
              <w:t>(20</w:t>
            </w:r>
            <w:r w:rsidR="00724576" w:rsidRPr="002F1273">
              <w:rPr>
                <w:rFonts w:cs="Calibri"/>
                <w:kern w:val="24"/>
                <w:sz w:val="18"/>
                <w:szCs w:val="18"/>
                <w:lang w:eastAsia="pl-PL"/>
              </w:rPr>
              <w:t>20</w:t>
            </w:r>
            <w:r w:rsidRPr="002F1273">
              <w:rPr>
                <w:rFonts w:cs="Calibri"/>
                <w:kern w:val="24"/>
                <w:sz w:val="18"/>
                <w:szCs w:val="18"/>
                <w:lang w:eastAsia="pl-PL"/>
              </w:rPr>
              <w:t>)</w:t>
            </w:r>
          </w:p>
        </w:tc>
        <w:tc>
          <w:tcPr>
            <w:tcW w:w="1559" w:type="dxa"/>
            <w:shd w:val="clear" w:color="auto" w:fill="E2EFD9" w:themeFill="accent6" w:themeFillTint="33"/>
            <w:vAlign w:val="center"/>
          </w:tcPr>
          <w:p w14:paraId="5DC19DA6" w14:textId="1449C86D" w:rsidR="00463981" w:rsidRPr="002F1273" w:rsidRDefault="00463981" w:rsidP="00463981">
            <w:pPr>
              <w:jc w:val="center"/>
              <w:rPr>
                <w:rFonts w:cs="Calibri"/>
                <w:kern w:val="24"/>
                <w:sz w:val="18"/>
                <w:szCs w:val="18"/>
                <w:lang w:eastAsia="pl-PL"/>
              </w:rPr>
            </w:pPr>
            <w:r w:rsidRPr="002F1273">
              <w:rPr>
                <w:sz w:val="18"/>
                <w:szCs w:val="18"/>
              </w:rPr>
              <w:t xml:space="preserve">Wzrost </w:t>
            </w:r>
          </w:p>
        </w:tc>
        <w:tc>
          <w:tcPr>
            <w:tcW w:w="1701" w:type="dxa"/>
            <w:shd w:val="clear" w:color="auto" w:fill="E2EFD9" w:themeFill="accent6" w:themeFillTint="33"/>
            <w:tcMar>
              <w:top w:w="15" w:type="dxa"/>
              <w:left w:w="108" w:type="dxa"/>
              <w:bottom w:w="0" w:type="dxa"/>
              <w:right w:w="108" w:type="dxa"/>
            </w:tcMar>
            <w:vAlign w:val="center"/>
          </w:tcPr>
          <w:p w14:paraId="67C9CA56" w14:textId="77777777" w:rsidR="00463981" w:rsidRPr="002F1273" w:rsidRDefault="00463981" w:rsidP="00C70ECC">
            <w:pPr>
              <w:jc w:val="center"/>
              <w:rPr>
                <w:rFonts w:cs="Calibri"/>
                <w:kern w:val="24"/>
                <w:sz w:val="18"/>
                <w:szCs w:val="18"/>
                <w:lang w:eastAsia="pl-PL"/>
              </w:rPr>
            </w:pPr>
            <w:r w:rsidRPr="002F1273">
              <w:rPr>
                <w:rFonts w:cs="Calibri"/>
                <w:kern w:val="24"/>
                <w:sz w:val="18"/>
                <w:szCs w:val="18"/>
                <w:lang w:eastAsia="pl-PL"/>
              </w:rPr>
              <w:t>CBOS</w:t>
            </w:r>
          </w:p>
        </w:tc>
        <w:tc>
          <w:tcPr>
            <w:tcW w:w="4961" w:type="dxa"/>
            <w:shd w:val="clear" w:color="auto" w:fill="E2EFD9" w:themeFill="accent6" w:themeFillTint="33"/>
          </w:tcPr>
          <w:p w14:paraId="436427B3" w14:textId="77777777" w:rsidR="00463981" w:rsidRPr="002F1273" w:rsidRDefault="00463981" w:rsidP="00F4797D">
            <w:pPr>
              <w:autoSpaceDE w:val="0"/>
              <w:autoSpaceDN w:val="0"/>
              <w:adjustRightInd w:val="0"/>
              <w:spacing w:after="0" w:line="240" w:lineRule="auto"/>
              <w:jc w:val="both"/>
              <w:rPr>
                <w:rFonts w:cs="Calibri"/>
                <w:sz w:val="18"/>
                <w:szCs w:val="18"/>
              </w:rPr>
            </w:pPr>
            <w:r w:rsidRPr="002F1273">
              <w:rPr>
                <w:rFonts w:cs="Calibri"/>
                <w:sz w:val="18"/>
                <w:szCs w:val="18"/>
              </w:rPr>
              <w:t>Odsetek respondentów, którzy ogółem udzielili twierdzącej odpowiedzi na pytanie:</w:t>
            </w:r>
          </w:p>
          <w:p w14:paraId="7453CB6D" w14:textId="77777777" w:rsidR="00463981" w:rsidRPr="002F1273" w:rsidRDefault="00463981" w:rsidP="00F4797D">
            <w:pPr>
              <w:jc w:val="both"/>
              <w:rPr>
                <w:rFonts w:cs="Calibri"/>
                <w:i/>
                <w:sz w:val="18"/>
                <w:szCs w:val="18"/>
              </w:rPr>
            </w:pPr>
            <w:r w:rsidRPr="002F1273">
              <w:rPr>
                <w:rFonts w:cs="Calibri"/>
                <w:sz w:val="18"/>
                <w:szCs w:val="18"/>
              </w:rPr>
              <w:t>"</w:t>
            </w:r>
            <w:r w:rsidRPr="002F1273">
              <w:rPr>
                <w:rFonts w:cs="Calibri"/>
                <w:i/>
                <w:sz w:val="18"/>
                <w:szCs w:val="18"/>
              </w:rPr>
              <w:t>Czy, ogólnie rzecz biorąc, ma Pan(i) zaufanie czy też nie ma Pan(i) zaufania do władz lokalnych miasta/gminy?”</w:t>
            </w:r>
          </w:p>
          <w:p w14:paraId="4DB006CA" w14:textId="77777777" w:rsidR="00463981" w:rsidRPr="002F1273" w:rsidRDefault="00463981" w:rsidP="00F4797D">
            <w:pPr>
              <w:jc w:val="both"/>
              <w:rPr>
                <w:rFonts w:eastAsia="Times New Roman" w:cs="Calibri"/>
                <w:kern w:val="24"/>
                <w:sz w:val="18"/>
                <w:szCs w:val="18"/>
                <w:lang w:eastAsia="pl-PL"/>
              </w:rPr>
            </w:pPr>
          </w:p>
        </w:tc>
      </w:tr>
      <w:tr w:rsidR="00463981" w:rsidRPr="00F21196" w14:paraId="4996E13F" w14:textId="77777777" w:rsidTr="00463981">
        <w:tblPrEx>
          <w:shd w:val="clear" w:color="auto" w:fill="F3F0F6"/>
          <w:tblLook w:val="0620" w:firstRow="1" w:lastRow="0" w:firstColumn="0" w:lastColumn="0" w:noHBand="1" w:noVBand="1"/>
        </w:tblPrEx>
        <w:trPr>
          <w:trHeight w:val="378"/>
        </w:trPr>
        <w:tc>
          <w:tcPr>
            <w:tcW w:w="3403" w:type="dxa"/>
            <w:shd w:val="clear" w:color="auto" w:fill="E2EFD9" w:themeFill="accent6" w:themeFillTint="33"/>
            <w:tcMar>
              <w:top w:w="15" w:type="dxa"/>
              <w:left w:w="108" w:type="dxa"/>
              <w:bottom w:w="0" w:type="dxa"/>
              <w:right w:w="108" w:type="dxa"/>
            </w:tcMar>
          </w:tcPr>
          <w:p w14:paraId="4CF3E147" w14:textId="77777777" w:rsidR="00463981" w:rsidRPr="002F1273" w:rsidRDefault="00463981" w:rsidP="00C70ECC">
            <w:pPr>
              <w:rPr>
                <w:rFonts w:cs="Calibri"/>
                <w:kern w:val="24"/>
                <w:sz w:val="18"/>
                <w:szCs w:val="18"/>
                <w:lang w:eastAsia="pl-PL"/>
              </w:rPr>
            </w:pPr>
            <w:r w:rsidRPr="002F1273">
              <w:rPr>
                <w:rFonts w:cs="Calibri"/>
                <w:kern w:val="24"/>
                <w:sz w:val="18"/>
                <w:szCs w:val="18"/>
                <w:lang w:eastAsia="pl-PL"/>
              </w:rPr>
              <w:t>Odsetek osób deklarujących zaufanie do instytucji publicznych - wobec urzędników administracji publicznej</w:t>
            </w:r>
          </w:p>
        </w:tc>
        <w:tc>
          <w:tcPr>
            <w:tcW w:w="1276" w:type="dxa"/>
            <w:shd w:val="clear" w:color="auto" w:fill="E2EFD9" w:themeFill="accent6" w:themeFillTint="33"/>
            <w:tcMar>
              <w:top w:w="15" w:type="dxa"/>
              <w:left w:w="108" w:type="dxa"/>
              <w:bottom w:w="0" w:type="dxa"/>
              <w:right w:w="108" w:type="dxa"/>
            </w:tcMar>
            <w:vAlign w:val="center"/>
          </w:tcPr>
          <w:p w14:paraId="431635D6" w14:textId="77777777" w:rsidR="00463981" w:rsidRPr="002F1273" w:rsidRDefault="00463981" w:rsidP="00C70ECC">
            <w:pPr>
              <w:jc w:val="center"/>
              <w:rPr>
                <w:rFonts w:cs="Calibri"/>
                <w:kern w:val="24"/>
                <w:sz w:val="18"/>
                <w:szCs w:val="18"/>
                <w:lang w:eastAsia="pl-PL"/>
              </w:rPr>
            </w:pPr>
            <w:r w:rsidRPr="002F1273">
              <w:rPr>
                <w:rFonts w:cs="Calibri"/>
                <w:kern w:val="24"/>
                <w:sz w:val="18"/>
                <w:szCs w:val="18"/>
                <w:lang w:eastAsia="pl-PL"/>
              </w:rPr>
              <w:t>%</w:t>
            </w:r>
          </w:p>
        </w:tc>
        <w:tc>
          <w:tcPr>
            <w:tcW w:w="1701" w:type="dxa"/>
            <w:shd w:val="clear" w:color="auto" w:fill="E2EFD9" w:themeFill="accent6" w:themeFillTint="33"/>
            <w:tcMar>
              <w:top w:w="15" w:type="dxa"/>
              <w:left w:w="108" w:type="dxa"/>
              <w:bottom w:w="0" w:type="dxa"/>
              <w:right w:w="108" w:type="dxa"/>
            </w:tcMar>
            <w:vAlign w:val="center"/>
          </w:tcPr>
          <w:p w14:paraId="461C32CD" w14:textId="1C11DDD5" w:rsidR="00463981" w:rsidRPr="002F1273" w:rsidRDefault="00724576" w:rsidP="002F708A">
            <w:pPr>
              <w:spacing w:after="0"/>
              <w:jc w:val="center"/>
              <w:rPr>
                <w:rFonts w:cs="Calibri"/>
                <w:kern w:val="24"/>
                <w:sz w:val="18"/>
                <w:szCs w:val="18"/>
                <w:lang w:eastAsia="pl-PL"/>
              </w:rPr>
            </w:pPr>
            <w:r w:rsidRPr="002F1273">
              <w:rPr>
                <w:rFonts w:cs="Calibri"/>
                <w:kern w:val="24"/>
                <w:sz w:val="18"/>
                <w:szCs w:val="18"/>
                <w:lang w:eastAsia="pl-PL"/>
              </w:rPr>
              <w:t>61</w:t>
            </w:r>
            <w:r w:rsidR="00463981" w:rsidRPr="002F1273">
              <w:rPr>
                <w:rFonts w:cs="Calibri"/>
                <w:kern w:val="24"/>
                <w:sz w:val="18"/>
                <w:szCs w:val="18"/>
                <w:lang w:eastAsia="pl-PL"/>
              </w:rPr>
              <w:t>,0</w:t>
            </w:r>
          </w:p>
          <w:p w14:paraId="42D5B711" w14:textId="4DF3E7D4" w:rsidR="00463981" w:rsidRPr="002F1273" w:rsidRDefault="00463981" w:rsidP="00724576">
            <w:pPr>
              <w:spacing w:after="0"/>
              <w:jc w:val="center"/>
              <w:rPr>
                <w:rFonts w:cs="Calibri"/>
                <w:kern w:val="24"/>
                <w:sz w:val="18"/>
                <w:szCs w:val="18"/>
                <w:lang w:eastAsia="pl-PL"/>
              </w:rPr>
            </w:pPr>
            <w:r w:rsidRPr="002F1273">
              <w:rPr>
                <w:rFonts w:cs="Calibri"/>
                <w:kern w:val="24"/>
                <w:sz w:val="18"/>
                <w:szCs w:val="18"/>
                <w:lang w:eastAsia="pl-PL"/>
              </w:rPr>
              <w:t>(20</w:t>
            </w:r>
            <w:r w:rsidR="00724576" w:rsidRPr="002F1273">
              <w:rPr>
                <w:rFonts w:cs="Calibri"/>
                <w:kern w:val="24"/>
                <w:sz w:val="18"/>
                <w:szCs w:val="18"/>
                <w:lang w:eastAsia="pl-PL"/>
              </w:rPr>
              <w:t>20)</w:t>
            </w:r>
          </w:p>
        </w:tc>
        <w:tc>
          <w:tcPr>
            <w:tcW w:w="1559" w:type="dxa"/>
            <w:shd w:val="clear" w:color="auto" w:fill="E2EFD9" w:themeFill="accent6" w:themeFillTint="33"/>
            <w:vAlign w:val="center"/>
          </w:tcPr>
          <w:p w14:paraId="041B8358" w14:textId="0874F7F9" w:rsidR="00463981" w:rsidRPr="002F1273" w:rsidRDefault="00463981" w:rsidP="00463981">
            <w:pPr>
              <w:jc w:val="center"/>
              <w:rPr>
                <w:rFonts w:cs="Calibri"/>
                <w:kern w:val="24"/>
                <w:sz w:val="18"/>
                <w:szCs w:val="18"/>
                <w:lang w:eastAsia="pl-PL"/>
              </w:rPr>
            </w:pPr>
            <w:r w:rsidRPr="002F1273">
              <w:rPr>
                <w:sz w:val="18"/>
                <w:szCs w:val="18"/>
              </w:rPr>
              <w:t xml:space="preserve">Wzrost </w:t>
            </w:r>
          </w:p>
        </w:tc>
        <w:tc>
          <w:tcPr>
            <w:tcW w:w="1701" w:type="dxa"/>
            <w:shd w:val="clear" w:color="auto" w:fill="E2EFD9" w:themeFill="accent6" w:themeFillTint="33"/>
            <w:tcMar>
              <w:top w:w="15" w:type="dxa"/>
              <w:left w:w="108" w:type="dxa"/>
              <w:bottom w:w="0" w:type="dxa"/>
              <w:right w:w="108" w:type="dxa"/>
            </w:tcMar>
            <w:vAlign w:val="center"/>
          </w:tcPr>
          <w:p w14:paraId="2E8A7AF8" w14:textId="77777777" w:rsidR="00463981" w:rsidRPr="002F1273" w:rsidRDefault="00463981" w:rsidP="00C70ECC">
            <w:pPr>
              <w:jc w:val="center"/>
              <w:rPr>
                <w:rFonts w:cs="Calibri"/>
                <w:kern w:val="24"/>
                <w:sz w:val="18"/>
                <w:szCs w:val="18"/>
                <w:lang w:eastAsia="pl-PL"/>
              </w:rPr>
            </w:pPr>
            <w:r w:rsidRPr="002F1273">
              <w:rPr>
                <w:rFonts w:cs="Calibri"/>
                <w:kern w:val="24"/>
                <w:sz w:val="18"/>
                <w:szCs w:val="18"/>
                <w:lang w:eastAsia="pl-PL"/>
              </w:rPr>
              <w:t>CBOS</w:t>
            </w:r>
          </w:p>
        </w:tc>
        <w:tc>
          <w:tcPr>
            <w:tcW w:w="4961" w:type="dxa"/>
            <w:shd w:val="clear" w:color="auto" w:fill="E2EFD9" w:themeFill="accent6" w:themeFillTint="33"/>
          </w:tcPr>
          <w:p w14:paraId="119C582F" w14:textId="77777777" w:rsidR="00463981" w:rsidRPr="002F1273" w:rsidRDefault="00463981" w:rsidP="00F4797D">
            <w:pPr>
              <w:autoSpaceDE w:val="0"/>
              <w:autoSpaceDN w:val="0"/>
              <w:adjustRightInd w:val="0"/>
              <w:spacing w:after="0" w:line="240" w:lineRule="auto"/>
              <w:jc w:val="both"/>
              <w:rPr>
                <w:rFonts w:cs="Calibri"/>
                <w:sz w:val="18"/>
                <w:szCs w:val="18"/>
              </w:rPr>
            </w:pPr>
            <w:r w:rsidRPr="002F1273">
              <w:rPr>
                <w:rFonts w:cs="Calibri"/>
                <w:sz w:val="18"/>
                <w:szCs w:val="18"/>
              </w:rPr>
              <w:t>Odsetek respondentów, którzy ogółem udzielili twierdzącej odpowiedzi na pytanie:</w:t>
            </w:r>
          </w:p>
          <w:p w14:paraId="35EFBF9E" w14:textId="77777777" w:rsidR="00463981" w:rsidRPr="002F1273" w:rsidRDefault="00463981" w:rsidP="00F4797D">
            <w:pPr>
              <w:jc w:val="both"/>
              <w:rPr>
                <w:sz w:val="18"/>
                <w:szCs w:val="18"/>
              </w:rPr>
            </w:pPr>
            <w:r w:rsidRPr="002F1273">
              <w:rPr>
                <w:rFonts w:cs="Calibri"/>
                <w:sz w:val="18"/>
                <w:szCs w:val="18"/>
              </w:rPr>
              <w:t>"</w:t>
            </w:r>
            <w:r w:rsidRPr="002F1273">
              <w:rPr>
                <w:rFonts w:cs="Calibri"/>
                <w:i/>
                <w:sz w:val="18"/>
                <w:szCs w:val="18"/>
              </w:rPr>
              <w:t>Czy, ogólnie rzecz biorąc, ma Pan(i) zaufanie czy też nie ma Pan(i) zaufania do urzędników administracji publicznej?”</w:t>
            </w:r>
          </w:p>
        </w:tc>
      </w:tr>
      <w:tr w:rsidR="00463981" w:rsidRPr="00F21196" w14:paraId="4ECDA8D4" w14:textId="77777777" w:rsidTr="00463981">
        <w:tblPrEx>
          <w:shd w:val="clear" w:color="auto" w:fill="F3F0F6"/>
          <w:tblLook w:val="0620" w:firstRow="1" w:lastRow="0" w:firstColumn="0" w:lastColumn="0" w:noHBand="1" w:noVBand="1"/>
        </w:tblPrEx>
        <w:trPr>
          <w:trHeight w:val="378"/>
        </w:trPr>
        <w:tc>
          <w:tcPr>
            <w:tcW w:w="3403" w:type="dxa"/>
            <w:shd w:val="clear" w:color="auto" w:fill="E2EFD9" w:themeFill="accent6" w:themeFillTint="33"/>
            <w:tcMar>
              <w:top w:w="15" w:type="dxa"/>
              <w:left w:w="108" w:type="dxa"/>
              <w:bottom w:w="0" w:type="dxa"/>
              <w:right w:w="108" w:type="dxa"/>
            </w:tcMar>
          </w:tcPr>
          <w:p w14:paraId="3C4C075A" w14:textId="24708D3F" w:rsidR="00463981" w:rsidRPr="002F1273" w:rsidRDefault="00463981" w:rsidP="00570C84">
            <w:pPr>
              <w:rPr>
                <w:sz w:val="18"/>
                <w:szCs w:val="18"/>
              </w:rPr>
            </w:pPr>
            <w:r w:rsidRPr="002F1273">
              <w:rPr>
                <w:rFonts w:cs="Arial"/>
                <w:iCs/>
                <w:sz w:val="18"/>
                <w:szCs w:val="18"/>
                <w:lang w:eastAsia="pl-PL"/>
              </w:rPr>
              <w:t>Udział planów, których rysunki występują  w postaci wektorowej z nadaną georeferencją w liczbie obowiązujących miejscowych planów zagospodarowania przestrzennego</w:t>
            </w:r>
            <w:r w:rsidRPr="002F1273">
              <w:rPr>
                <w:rFonts w:cs="Arial"/>
                <w:b/>
                <w:bCs/>
                <w:iCs/>
                <w:color w:val="31849B"/>
                <w:sz w:val="18"/>
                <w:szCs w:val="18"/>
                <w:lang w:eastAsia="pl-PL"/>
              </w:rPr>
              <w:t xml:space="preserve"> </w:t>
            </w:r>
            <w:r w:rsidRPr="002F1273">
              <w:rPr>
                <w:rFonts w:cs="Arial"/>
                <w:iCs/>
                <w:sz w:val="18"/>
                <w:szCs w:val="18"/>
                <w:lang w:eastAsia="pl-PL"/>
              </w:rPr>
              <w:t xml:space="preserve">ogółem </w:t>
            </w:r>
          </w:p>
        </w:tc>
        <w:tc>
          <w:tcPr>
            <w:tcW w:w="1276" w:type="dxa"/>
            <w:shd w:val="clear" w:color="auto" w:fill="E2EFD9" w:themeFill="accent6" w:themeFillTint="33"/>
            <w:tcMar>
              <w:top w:w="15" w:type="dxa"/>
              <w:left w:w="108" w:type="dxa"/>
              <w:bottom w:w="0" w:type="dxa"/>
              <w:right w:w="108" w:type="dxa"/>
            </w:tcMar>
            <w:vAlign w:val="center"/>
          </w:tcPr>
          <w:p w14:paraId="4BC2DCE3" w14:textId="77777777" w:rsidR="00463981" w:rsidRPr="002F1273" w:rsidRDefault="00463981" w:rsidP="00C70ECC">
            <w:pPr>
              <w:jc w:val="center"/>
              <w:rPr>
                <w:sz w:val="18"/>
                <w:szCs w:val="18"/>
              </w:rPr>
            </w:pPr>
            <w:r w:rsidRPr="002F1273">
              <w:rPr>
                <w:rFonts w:cs="Arial"/>
                <w:sz w:val="18"/>
                <w:szCs w:val="18"/>
                <w:lang w:eastAsia="pl-PL"/>
              </w:rPr>
              <w:t xml:space="preserve">% </w:t>
            </w:r>
          </w:p>
        </w:tc>
        <w:tc>
          <w:tcPr>
            <w:tcW w:w="1701" w:type="dxa"/>
            <w:shd w:val="clear" w:color="auto" w:fill="E2EFD9" w:themeFill="accent6" w:themeFillTint="33"/>
            <w:tcMar>
              <w:top w:w="15" w:type="dxa"/>
              <w:left w:w="108" w:type="dxa"/>
              <w:bottom w:w="0" w:type="dxa"/>
              <w:right w:w="108" w:type="dxa"/>
            </w:tcMar>
            <w:vAlign w:val="center"/>
          </w:tcPr>
          <w:p w14:paraId="0DA0DE77" w14:textId="77777777" w:rsidR="00463981" w:rsidRPr="002F1273" w:rsidRDefault="00463981" w:rsidP="002F708A">
            <w:pPr>
              <w:spacing w:after="0"/>
              <w:jc w:val="center"/>
              <w:rPr>
                <w:sz w:val="18"/>
                <w:szCs w:val="18"/>
              </w:rPr>
            </w:pPr>
            <w:r w:rsidRPr="002F1273">
              <w:rPr>
                <w:rFonts w:cs="Arial"/>
                <w:sz w:val="18"/>
                <w:szCs w:val="18"/>
                <w:lang w:eastAsia="pl-PL"/>
              </w:rPr>
              <w:t>38,9</w:t>
            </w:r>
            <w:r w:rsidRPr="002F1273">
              <w:rPr>
                <w:rFonts w:cs="Arial"/>
                <w:sz w:val="18"/>
                <w:szCs w:val="18"/>
                <w:lang w:eastAsia="pl-PL"/>
              </w:rPr>
              <w:br/>
              <w:t xml:space="preserve">(2017) </w:t>
            </w:r>
          </w:p>
        </w:tc>
        <w:tc>
          <w:tcPr>
            <w:tcW w:w="1559" w:type="dxa"/>
            <w:shd w:val="clear" w:color="auto" w:fill="E2EFD9" w:themeFill="accent6" w:themeFillTint="33"/>
            <w:vAlign w:val="center"/>
          </w:tcPr>
          <w:p w14:paraId="51E105C8" w14:textId="77777777" w:rsidR="009C5FD3" w:rsidRPr="002F1273" w:rsidRDefault="009C5FD3" w:rsidP="00C70ECC">
            <w:pPr>
              <w:jc w:val="center"/>
              <w:rPr>
                <w:sz w:val="18"/>
                <w:szCs w:val="18"/>
              </w:rPr>
            </w:pPr>
            <w:r w:rsidRPr="002F1273">
              <w:rPr>
                <w:sz w:val="18"/>
                <w:szCs w:val="18"/>
              </w:rPr>
              <w:t>100</w:t>
            </w:r>
          </w:p>
          <w:p w14:paraId="149E3EB5" w14:textId="790584A7" w:rsidR="00463981" w:rsidRPr="002F1273" w:rsidRDefault="009C5FD3" w:rsidP="009C5FD3">
            <w:pPr>
              <w:jc w:val="center"/>
              <w:rPr>
                <w:sz w:val="18"/>
                <w:szCs w:val="18"/>
              </w:rPr>
            </w:pPr>
            <w:r w:rsidRPr="002F1273">
              <w:rPr>
                <w:sz w:val="18"/>
                <w:szCs w:val="18"/>
              </w:rPr>
              <w:t>(2020)</w:t>
            </w:r>
          </w:p>
        </w:tc>
        <w:tc>
          <w:tcPr>
            <w:tcW w:w="1701" w:type="dxa"/>
            <w:shd w:val="clear" w:color="auto" w:fill="E2EFD9" w:themeFill="accent6" w:themeFillTint="33"/>
            <w:tcMar>
              <w:top w:w="15" w:type="dxa"/>
              <w:left w:w="108" w:type="dxa"/>
              <w:bottom w:w="0" w:type="dxa"/>
              <w:right w:w="108" w:type="dxa"/>
            </w:tcMar>
            <w:vAlign w:val="center"/>
          </w:tcPr>
          <w:p w14:paraId="15D865D2" w14:textId="60247FC3" w:rsidR="00463981" w:rsidRPr="002F1273" w:rsidRDefault="00463981" w:rsidP="00FC131B">
            <w:pPr>
              <w:jc w:val="center"/>
              <w:rPr>
                <w:sz w:val="18"/>
                <w:szCs w:val="18"/>
              </w:rPr>
            </w:pPr>
            <w:r w:rsidRPr="002F1273">
              <w:rPr>
                <w:rFonts w:eastAsia="Times New Roman" w:cstheme="minorHAnsi"/>
                <w:sz w:val="18"/>
                <w:szCs w:val="18"/>
              </w:rPr>
              <w:t>MR</w:t>
            </w:r>
            <w:r w:rsidR="00E9243F" w:rsidRPr="002F1273">
              <w:rPr>
                <w:rFonts w:eastAsia="Times New Roman" w:cstheme="minorHAnsi"/>
                <w:sz w:val="18"/>
                <w:szCs w:val="18"/>
              </w:rPr>
              <w:t>,PiT</w:t>
            </w:r>
          </w:p>
        </w:tc>
        <w:tc>
          <w:tcPr>
            <w:tcW w:w="4961" w:type="dxa"/>
            <w:shd w:val="clear" w:color="auto" w:fill="E2EFD9" w:themeFill="accent6" w:themeFillTint="33"/>
          </w:tcPr>
          <w:p w14:paraId="29C6E861" w14:textId="3B80575E" w:rsidR="00463981" w:rsidRPr="002F1273" w:rsidRDefault="00463981" w:rsidP="00570C84">
            <w:pPr>
              <w:pStyle w:val="Tekstkomentarza"/>
              <w:jc w:val="both"/>
              <w:rPr>
                <w:sz w:val="18"/>
                <w:szCs w:val="18"/>
              </w:rPr>
            </w:pPr>
            <w:r w:rsidRPr="002F1273">
              <w:rPr>
                <w:sz w:val="18"/>
                <w:szCs w:val="18"/>
              </w:rPr>
              <w:t xml:space="preserve">Udział obowiązujących planów miejscowych, których rysunki występują w postaci wektorowej z nadaną georeferencją, w ogólnej liczbie obowiązujących planów miejscowych. Wskaźnik obliczany jest na podstawie wyników badania GUS PZP-1 „Lokalne planowanie i zagospodarowanie przestrzenne”. </w:t>
            </w:r>
          </w:p>
        </w:tc>
      </w:tr>
      <w:tr w:rsidR="00463981" w:rsidRPr="00F21196" w14:paraId="2F38C72E" w14:textId="77777777" w:rsidTr="00463981">
        <w:tblPrEx>
          <w:shd w:val="clear" w:color="auto" w:fill="F3F0F6"/>
          <w:tblLook w:val="0620" w:firstRow="1" w:lastRow="0" w:firstColumn="0" w:lastColumn="0" w:noHBand="1" w:noVBand="1"/>
        </w:tblPrEx>
        <w:trPr>
          <w:trHeight w:val="378"/>
        </w:trPr>
        <w:tc>
          <w:tcPr>
            <w:tcW w:w="3403" w:type="dxa"/>
            <w:shd w:val="clear" w:color="auto" w:fill="E2EFD9" w:themeFill="accent6" w:themeFillTint="33"/>
            <w:tcMar>
              <w:top w:w="15" w:type="dxa"/>
              <w:left w:w="108" w:type="dxa"/>
              <w:bottom w:w="0" w:type="dxa"/>
              <w:right w:w="108" w:type="dxa"/>
            </w:tcMar>
          </w:tcPr>
          <w:p w14:paraId="42D2B3D1" w14:textId="1E1544EE" w:rsidR="00463981" w:rsidRPr="002F1273" w:rsidRDefault="00463981" w:rsidP="00570C84">
            <w:pPr>
              <w:rPr>
                <w:sz w:val="18"/>
                <w:szCs w:val="18"/>
              </w:rPr>
            </w:pPr>
            <w:r w:rsidRPr="002F1273">
              <w:rPr>
                <w:rFonts w:cs="Arial"/>
                <w:iCs/>
                <w:sz w:val="18"/>
                <w:szCs w:val="18"/>
                <w:lang w:eastAsia="pl-PL"/>
              </w:rPr>
              <w:t xml:space="preserve">Udział studiów, których rysunki występują  w postaci wektorowej z nadaną georeferencją w liczbie obowiązujących studiów uwarunkowań </w:t>
            </w:r>
            <w:r w:rsidRPr="002F1273">
              <w:rPr>
                <w:rFonts w:cs="Arial"/>
                <w:iCs/>
                <w:sz w:val="18"/>
                <w:szCs w:val="18"/>
                <w:lang w:eastAsia="pl-PL"/>
              </w:rPr>
              <w:br/>
              <w:t xml:space="preserve">i kierunków zagospodarowania przestrzennego ogółem </w:t>
            </w:r>
          </w:p>
        </w:tc>
        <w:tc>
          <w:tcPr>
            <w:tcW w:w="1276" w:type="dxa"/>
            <w:shd w:val="clear" w:color="auto" w:fill="E2EFD9" w:themeFill="accent6" w:themeFillTint="33"/>
            <w:tcMar>
              <w:top w:w="15" w:type="dxa"/>
              <w:left w:w="108" w:type="dxa"/>
              <w:bottom w:w="0" w:type="dxa"/>
              <w:right w:w="108" w:type="dxa"/>
            </w:tcMar>
            <w:vAlign w:val="center"/>
          </w:tcPr>
          <w:p w14:paraId="28493ADC" w14:textId="77777777" w:rsidR="00463981" w:rsidRPr="002F1273" w:rsidRDefault="00463981" w:rsidP="00C70ECC">
            <w:pPr>
              <w:jc w:val="center"/>
              <w:rPr>
                <w:sz w:val="18"/>
                <w:szCs w:val="18"/>
              </w:rPr>
            </w:pPr>
            <w:r w:rsidRPr="002F1273">
              <w:rPr>
                <w:rFonts w:cs="Arial"/>
                <w:sz w:val="18"/>
                <w:szCs w:val="18"/>
                <w:lang w:eastAsia="pl-PL"/>
              </w:rPr>
              <w:t xml:space="preserve">% </w:t>
            </w:r>
          </w:p>
        </w:tc>
        <w:tc>
          <w:tcPr>
            <w:tcW w:w="1701" w:type="dxa"/>
            <w:shd w:val="clear" w:color="auto" w:fill="E2EFD9" w:themeFill="accent6" w:themeFillTint="33"/>
            <w:tcMar>
              <w:top w:w="15" w:type="dxa"/>
              <w:left w:w="108" w:type="dxa"/>
              <w:bottom w:w="0" w:type="dxa"/>
              <w:right w:w="108" w:type="dxa"/>
            </w:tcMar>
            <w:vAlign w:val="center"/>
          </w:tcPr>
          <w:p w14:paraId="1C63CCE9" w14:textId="77777777" w:rsidR="00463981" w:rsidRPr="002F1273" w:rsidRDefault="00463981" w:rsidP="002F708A">
            <w:pPr>
              <w:spacing w:after="0"/>
              <w:jc w:val="center"/>
              <w:rPr>
                <w:rFonts w:cs="Arial"/>
                <w:sz w:val="18"/>
                <w:szCs w:val="18"/>
                <w:lang w:eastAsia="pl-PL"/>
              </w:rPr>
            </w:pPr>
            <w:r w:rsidRPr="002F1273">
              <w:rPr>
                <w:rFonts w:cs="Arial"/>
                <w:sz w:val="18"/>
                <w:szCs w:val="18"/>
                <w:lang w:eastAsia="pl-PL"/>
              </w:rPr>
              <w:t>19,4</w:t>
            </w:r>
          </w:p>
          <w:p w14:paraId="3BB8C8F5" w14:textId="77777777" w:rsidR="00463981" w:rsidRPr="002F1273" w:rsidRDefault="00463981" w:rsidP="002F708A">
            <w:pPr>
              <w:spacing w:after="0"/>
              <w:jc w:val="center"/>
              <w:rPr>
                <w:sz w:val="18"/>
                <w:szCs w:val="18"/>
                <w:highlight w:val="yellow"/>
              </w:rPr>
            </w:pPr>
            <w:r w:rsidRPr="002F1273">
              <w:rPr>
                <w:rFonts w:cs="Arial"/>
                <w:sz w:val="18"/>
                <w:szCs w:val="18"/>
                <w:lang w:eastAsia="pl-PL"/>
              </w:rPr>
              <w:t xml:space="preserve">(2017) </w:t>
            </w:r>
          </w:p>
        </w:tc>
        <w:tc>
          <w:tcPr>
            <w:tcW w:w="1559" w:type="dxa"/>
            <w:shd w:val="clear" w:color="auto" w:fill="E2EFD9" w:themeFill="accent6" w:themeFillTint="33"/>
            <w:vAlign w:val="center"/>
          </w:tcPr>
          <w:p w14:paraId="5DDE7890" w14:textId="0ECE8DE5" w:rsidR="00463981" w:rsidRPr="002F1273" w:rsidRDefault="00463981" w:rsidP="00463981">
            <w:pPr>
              <w:jc w:val="center"/>
              <w:rPr>
                <w:sz w:val="18"/>
                <w:szCs w:val="18"/>
              </w:rPr>
            </w:pPr>
            <w:r w:rsidRPr="002F1273">
              <w:rPr>
                <w:sz w:val="18"/>
                <w:szCs w:val="18"/>
              </w:rPr>
              <w:t xml:space="preserve">Wzrost </w:t>
            </w:r>
          </w:p>
        </w:tc>
        <w:tc>
          <w:tcPr>
            <w:tcW w:w="1701" w:type="dxa"/>
            <w:shd w:val="clear" w:color="auto" w:fill="E2EFD9" w:themeFill="accent6" w:themeFillTint="33"/>
            <w:tcMar>
              <w:top w:w="15" w:type="dxa"/>
              <w:left w:w="108" w:type="dxa"/>
              <w:bottom w:w="0" w:type="dxa"/>
              <w:right w:w="108" w:type="dxa"/>
            </w:tcMar>
            <w:vAlign w:val="center"/>
          </w:tcPr>
          <w:p w14:paraId="3AC41E5B" w14:textId="38B96D51" w:rsidR="00463981" w:rsidRPr="002F1273" w:rsidRDefault="00463981" w:rsidP="00FC131B">
            <w:pPr>
              <w:jc w:val="center"/>
              <w:rPr>
                <w:sz w:val="18"/>
                <w:szCs w:val="18"/>
              </w:rPr>
            </w:pPr>
            <w:r w:rsidRPr="002F1273">
              <w:rPr>
                <w:rFonts w:eastAsia="Times New Roman" w:cstheme="minorHAnsi"/>
                <w:sz w:val="18"/>
                <w:szCs w:val="18"/>
              </w:rPr>
              <w:t>MR</w:t>
            </w:r>
            <w:r w:rsidR="00E9243F" w:rsidRPr="002F1273">
              <w:rPr>
                <w:rFonts w:eastAsia="Times New Roman" w:cstheme="minorHAnsi"/>
                <w:sz w:val="18"/>
                <w:szCs w:val="18"/>
              </w:rPr>
              <w:t>,PiT</w:t>
            </w:r>
          </w:p>
        </w:tc>
        <w:tc>
          <w:tcPr>
            <w:tcW w:w="4961" w:type="dxa"/>
            <w:shd w:val="clear" w:color="auto" w:fill="E2EFD9" w:themeFill="accent6" w:themeFillTint="33"/>
          </w:tcPr>
          <w:p w14:paraId="10CD4E12" w14:textId="7BC325F2" w:rsidR="00463981" w:rsidRPr="002F1273" w:rsidRDefault="00463981" w:rsidP="00A65D1A">
            <w:pPr>
              <w:pStyle w:val="Tekstkomentarza"/>
              <w:jc w:val="both"/>
              <w:rPr>
                <w:sz w:val="18"/>
                <w:szCs w:val="18"/>
              </w:rPr>
            </w:pPr>
            <w:r w:rsidRPr="002F1273">
              <w:rPr>
                <w:sz w:val="18"/>
                <w:szCs w:val="18"/>
              </w:rPr>
              <w:t xml:space="preserve">Udział obowiązujących studiów uwarunkowań i kierunków zagospodarowania przestrzennego gminy, których rysunki występują w postaci wektorowej z nadaną georeferencją w ogólnej  liczbie </w:t>
            </w:r>
            <w:r w:rsidRPr="002F1273">
              <w:rPr>
                <w:rFonts w:cs="Arial"/>
                <w:iCs/>
                <w:sz w:val="18"/>
                <w:szCs w:val="18"/>
                <w:lang w:eastAsia="pl-PL"/>
              </w:rPr>
              <w:t>obowiązujących studiów uwarunkowań i kierunków zagospodarowania przestrzennego</w:t>
            </w:r>
            <w:r w:rsidRPr="002F1273">
              <w:rPr>
                <w:sz w:val="18"/>
                <w:szCs w:val="18"/>
              </w:rPr>
              <w:t xml:space="preserve">. Wskaźnik obliczany jest na podstawie wyników badania GUS PZP-1 „Lokalne planowanie i zagospodarowanie przestrzenne”. </w:t>
            </w:r>
          </w:p>
        </w:tc>
      </w:tr>
      <w:tr w:rsidR="00463981" w:rsidRPr="00F21196" w14:paraId="06D222D2" w14:textId="77777777" w:rsidTr="00463981">
        <w:tblPrEx>
          <w:shd w:val="clear" w:color="auto" w:fill="F3F0F6"/>
          <w:tblLook w:val="0620" w:firstRow="1" w:lastRow="0" w:firstColumn="0" w:lastColumn="0" w:noHBand="1" w:noVBand="1"/>
        </w:tblPrEx>
        <w:trPr>
          <w:trHeight w:val="378"/>
        </w:trPr>
        <w:tc>
          <w:tcPr>
            <w:tcW w:w="3403" w:type="dxa"/>
            <w:shd w:val="clear" w:color="auto" w:fill="E2EFD9" w:themeFill="accent6" w:themeFillTint="33"/>
            <w:tcMar>
              <w:top w:w="15" w:type="dxa"/>
              <w:left w:w="108" w:type="dxa"/>
              <w:bottom w:w="0" w:type="dxa"/>
              <w:right w:w="108" w:type="dxa"/>
            </w:tcMar>
            <w:vAlign w:val="center"/>
          </w:tcPr>
          <w:p w14:paraId="303E03DB" w14:textId="77777777" w:rsidR="00463981" w:rsidRPr="002F1273" w:rsidRDefault="00463981" w:rsidP="009469A3">
            <w:pPr>
              <w:tabs>
                <w:tab w:val="left" w:pos="6061"/>
              </w:tabs>
              <w:rPr>
                <w:rFonts w:cs="Arial"/>
                <w:sz w:val="18"/>
                <w:szCs w:val="18"/>
              </w:rPr>
            </w:pPr>
            <w:r w:rsidRPr="002F1273">
              <w:rPr>
                <w:rFonts w:cs="Arial"/>
                <w:spacing w:val="4"/>
                <w:sz w:val="18"/>
                <w:szCs w:val="18"/>
              </w:rPr>
              <w:t>Pokrycie polskich obszarów morskich projektem planu zagospodarowania przestrzennego</w:t>
            </w:r>
          </w:p>
        </w:tc>
        <w:tc>
          <w:tcPr>
            <w:tcW w:w="1276" w:type="dxa"/>
            <w:shd w:val="clear" w:color="auto" w:fill="E2EFD9" w:themeFill="accent6" w:themeFillTint="33"/>
            <w:tcMar>
              <w:top w:w="15" w:type="dxa"/>
              <w:left w:w="108" w:type="dxa"/>
              <w:bottom w:w="0" w:type="dxa"/>
              <w:right w:w="108" w:type="dxa"/>
            </w:tcMar>
            <w:vAlign w:val="center"/>
          </w:tcPr>
          <w:p w14:paraId="5626C1B9" w14:textId="77777777" w:rsidR="00463981" w:rsidRPr="002F1273" w:rsidRDefault="00463981" w:rsidP="009469A3">
            <w:pPr>
              <w:jc w:val="center"/>
              <w:rPr>
                <w:rFonts w:cs="Arial"/>
                <w:sz w:val="18"/>
                <w:szCs w:val="18"/>
              </w:rPr>
            </w:pPr>
            <w:r w:rsidRPr="002F1273">
              <w:rPr>
                <w:rFonts w:cs="Arial"/>
                <w:sz w:val="18"/>
                <w:szCs w:val="18"/>
              </w:rPr>
              <w:t>%</w:t>
            </w:r>
          </w:p>
        </w:tc>
        <w:tc>
          <w:tcPr>
            <w:tcW w:w="1701" w:type="dxa"/>
            <w:shd w:val="clear" w:color="auto" w:fill="E2EFD9" w:themeFill="accent6" w:themeFillTint="33"/>
            <w:tcMar>
              <w:top w:w="15" w:type="dxa"/>
              <w:left w:w="108" w:type="dxa"/>
              <w:bottom w:w="0" w:type="dxa"/>
              <w:right w:w="108" w:type="dxa"/>
            </w:tcMar>
            <w:vAlign w:val="center"/>
          </w:tcPr>
          <w:p w14:paraId="27E2B5E4" w14:textId="77777777" w:rsidR="00463981" w:rsidRPr="002F1273" w:rsidRDefault="00463981" w:rsidP="002F708A">
            <w:pPr>
              <w:spacing w:after="0"/>
              <w:jc w:val="center"/>
              <w:rPr>
                <w:rFonts w:cs="Arial"/>
                <w:sz w:val="18"/>
                <w:szCs w:val="18"/>
                <w:highlight w:val="yellow"/>
              </w:rPr>
            </w:pPr>
            <w:r w:rsidRPr="002F1273">
              <w:rPr>
                <w:rFonts w:cs="Arial"/>
                <w:sz w:val="18"/>
                <w:szCs w:val="18"/>
              </w:rPr>
              <w:t>0</w:t>
            </w:r>
            <w:r w:rsidRPr="002F1273">
              <w:rPr>
                <w:rFonts w:cs="Arial"/>
                <w:sz w:val="18"/>
                <w:szCs w:val="18"/>
              </w:rPr>
              <w:br/>
              <w:t>(2015)</w:t>
            </w:r>
          </w:p>
        </w:tc>
        <w:tc>
          <w:tcPr>
            <w:tcW w:w="1559" w:type="dxa"/>
            <w:shd w:val="clear" w:color="auto" w:fill="E2EFD9" w:themeFill="accent6" w:themeFillTint="33"/>
            <w:vAlign w:val="center"/>
          </w:tcPr>
          <w:p w14:paraId="3131E5C5" w14:textId="77777777" w:rsidR="00463981" w:rsidRPr="002F1273" w:rsidRDefault="00463981" w:rsidP="009469A3">
            <w:pPr>
              <w:jc w:val="center"/>
              <w:rPr>
                <w:rFonts w:cs="Arial"/>
                <w:sz w:val="18"/>
                <w:szCs w:val="18"/>
              </w:rPr>
            </w:pPr>
            <w:r w:rsidRPr="002F1273">
              <w:rPr>
                <w:rFonts w:cs="Arial"/>
                <w:sz w:val="18"/>
                <w:szCs w:val="18"/>
              </w:rPr>
              <w:t>100,0</w:t>
            </w:r>
          </w:p>
        </w:tc>
        <w:tc>
          <w:tcPr>
            <w:tcW w:w="1701" w:type="dxa"/>
            <w:shd w:val="clear" w:color="auto" w:fill="E2EFD9" w:themeFill="accent6" w:themeFillTint="33"/>
            <w:tcMar>
              <w:top w:w="15" w:type="dxa"/>
              <w:left w:w="108" w:type="dxa"/>
              <w:bottom w:w="0" w:type="dxa"/>
              <w:right w:w="108" w:type="dxa"/>
            </w:tcMar>
            <w:vAlign w:val="center"/>
          </w:tcPr>
          <w:p w14:paraId="62487BA6" w14:textId="2B51135E" w:rsidR="00463981" w:rsidRPr="002F1273" w:rsidRDefault="00E9243F" w:rsidP="009469A3">
            <w:pPr>
              <w:jc w:val="center"/>
              <w:rPr>
                <w:rFonts w:cs="Arial"/>
                <w:sz w:val="18"/>
                <w:szCs w:val="18"/>
              </w:rPr>
            </w:pPr>
            <w:r w:rsidRPr="002F1273">
              <w:rPr>
                <w:rFonts w:cs="Arial"/>
                <w:sz w:val="18"/>
                <w:szCs w:val="18"/>
              </w:rPr>
              <w:t>MI</w:t>
            </w:r>
          </w:p>
        </w:tc>
        <w:tc>
          <w:tcPr>
            <w:tcW w:w="4961" w:type="dxa"/>
            <w:shd w:val="clear" w:color="auto" w:fill="E2EFD9" w:themeFill="accent6" w:themeFillTint="33"/>
          </w:tcPr>
          <w:p w14:paraId="11BC7B48" w14:textId="77777777" w:rsidR="00463981" w:rsidRPr="002F1273" w:rsidRDefault="00463981" w:rsidP="00F4797D">
            <w:pPr>
              <w:ind w:left="86"/>
              <w:jc w:val="both"/>
              <w:rPr>
                <w:sz w:val="18"/>
                <w:szCs w:val="18"/>
              </w:rPr>
            </w:pPr>
            <w:r w:rsidRPr="002F1273">
              <w:rPr>
                <w:sz w:val="18"/>
                <w:szCs w:val="18"/>
              </w:rPr>
              <w:t>Procentowy udział powierzchni polskich obszarów morskich, dla których opracowano projekty morskich planów zagospodarowania przestrzennego</w:t>
            </w:r>
            <w:r w:rsidRPr="002F1273">
              <w:rPr>
                <w:rFonts w:eastAsia="Times New Roman" w:cs="Calibri"/>
                <w:sz w:val="18"/>
                <w:szCs w:val="18"/>
                <w:lang w:eastAsia="pl-PL"/>
              </w:rPr>
              <w:t>, w całkowitej powierzchni polskich obszarów morskich.</w:t>
            </w:r>
          </w:p>
        </w:tc>
      </w:tr>
      <w:tr w:rsidR="00463981" w:rsidRPr="00F21196" w14:paraId="64A30264" w14:textId="77777777" w:rsidTr="00463981">
        <w:tblPrEx>
          <w:shd w:val="clear" w:color="auto" w:fill="E3FBFD"/>
          <w:tblLook w:val="0620" w:firstRow="1" w:lastRow="0" w:firstColumn="0" w:lastColumn="0" w:noHBand="1" w:noVBand="1"/>
        </w:tblPrEx>
        <w:trPr>
          <w:trHeight w:val="443"/>
        </w:trPr>
        <w:tc>
          <w:tcPr>
            <w:tcW w:w="14601" w:type="dxa"/>
            <w:gridSpan w:val="6"/>
            <w:shd w:val="clear" w:color="auto" w:fill="FFE599" w:themeFill="accent4" w:themeFillTint="66"/>
            <w:tcMar>
              <w:top w:w="15" w:type="dxa"/>
              <w:left w:w="108" w:type="dxa"/>
              <w:bottom w:w="0" w:type="dxa"/>
              <w:right w:w="108" w:type="dxa"/>
            </w:tcMar>
            <w:vAlign w:val="center"/>
          </w:tcPr>
          <w:p w14:paraId="376E0249" w14:textId="252651C0" w:rsidR="00463981" w:rsidRDefault="00463981" w:rsidP="00084367">
            <w:pPr>
              <w:shd w:val="clear" w:color="auto" w:fill="FFE599" w:themeFill="accent4" w:themeFillTint="66"/>
              <w:spacing w:after="0"/>
              <w:ind w:left="284" w:hanging="284"/>
              <w:jc w:val="center"/>
              <w:rPr>
                <w:rFonts w:eastAsia="Times New Roman" w:cs="Calibri"/>
                <w:b/>
                <w:sz w:val="24"/>
                <w:lang w:eastAsia="pl-PL"/>
              </w:rPr>
            </w:pPr>
            <w:r w:rsidRPr="00F21196">
              <w:rPr>
                <w:rFonts w:eastAsia="Times New Roman" w:cs="Calibri"/>
                <w:b/>
                <w:sz w:val="24"/>
                <w:lang w:eastAsia="pl-PL"/>
              </w:rPr>
              <w:t xml:space="preserve">Cel szczegółowy III. </w:t>
            </w:r>
          </w:p>
          <w:p w14:paraId="468E8577" w14:textId="1BFF97C4" w:rsidR="00463981" w:rsidRPr="00F21196" w:rsidRDefault="00463981" w:rsidP="00084367">
            <w:pPr>
              <w:shd w:val="clear" w:color="auto" w:fill="FFE599" w:themeFill="accent4" w:themeFillTint="66"/>
              <w:spacing w:after="0"/>
              <w:ind w:left="284" w:hanging="284"/>
              <w:jc w:val="center"/>
              <w:rPr>
                <w:rFonts w:eastAsia="Times New Roman" w:cs="Calibri"/>
                <w:b/>
                <w:sz w:val="24"/>
                <w:lang w:eastAsia="pl-PL"/>
              </w:rPr>
            </w:pPr>
            <w:r w:rsidRPr="00F21196">
              <w:rPr>
                <w:rFonts w:eastAsia="Times New Roman" w:cstheme="minorHAnsi"/>
                <w:b/>
                <w:i/>
                <w:iCs/>
                <w:color w:val="000000" w:themeColor="text1"/>
                <w:sz w:val="24"/>
              </w:rPr>
              <w:t>Podniesienie sprawności realizacji zadań poprzez wykorzystanie technologii cyfrowych i zmianę sposobu działania stosownie do możliwości jakie stwarza technologia</w:t>
            </w:r>
          </w:p>
        </w:tc>
      </w:tr>
      <w:tr w:rsidR="00463981" w:rsidRPr="00F21196" w14:paraId="50AAEA7A" w14:textId="77777777" w:rsidTr="00463981">
        <w:tblPrEx>
          <w:shd w:val="clear" w:color="auto" w:fill="E3FBFD"/>
          <w:tblLook w:val="0620" w:firstRow="1" w:lastRow="0" w:firstColumn="0" w:lastColumn="0" w:noHBand="1" w:noVBand="1"/>
        </w:tblPrEx>
        <w:trPr>
          <w:trHeight w:val="350"/>
        </w:trPr>
        <w:tc>
          <w:tcPr>
            <w:tcW w:w="3403" w:type="dxa"/>
            <w:shd w:val="clear" w:color="auto" w:fill="FFF2CC" w:themeFill="accent4" w:themeFillTint="33"/>
            <w:tcMar>
              <w:top w:w="15" w:type="dxa"/>
              <w:left w:w="108" w:type="dxa"/>
              <w:bottom w:w="0" w:type="dxa"/>
              <w:right w:w="108" w:type="dxa"/>
            </w:tcMar>
            <w:vAlign w:val="center"/>
          </w:tcPr>
          <w:p w14:paraId="5C9FA033" w14:textId="77777777" w:rsidR="00463981" w:rsidRPr="002F1273" w:rsidRDefault="00463981" w:rsidP="009D1910">
            <w:pPr>
              <w:spacing w:line="240" w:lineRule="auto"/>
              <w:rPr>
                <w:rFonts w:eastAsia="Times New Roman" w:cs="Calibri"/>
                <w:kern w:val="24"/>
                <w:sz w:val="18"/>
                <w:szCs w:val="18"/>
                <w:lang w:eastAsia="pl-PL"/>
              </w:rPr>
            </w:pPr>
            <w:r w:rsidRPr="002F1273">
              <w:rPr>
                <w:rFonts w:eastAsia="Times New Roman" w:cstheme="minorHAnsi"/>
                <w:kern w:val="24"/>
                <w:sz w:val="18"/>
                <w:szCs w:val="18"/>
                <w:lang w:eastAsia="pl-PL"/>
              </w:rPr>
              <w:t xml:space="preserve">Odsetek osób korzystających z Internetu w kontaktach z administracją publiczną do przekazywania wypełnionych formularzy </w:t>
            </w:r>
          </w:p>
        </w:tc>
        <w:tc>
          <w:tcPr>
            <w:tcW w:w="1276" w:type="dxa"/>
            <w:shd w:val="clear" w:color="auto" w:fill="FFF2CC" w:themeFill="accent4" w:themeFillTint="33"/>
            <w:tcMar>
              <w:top w:w="15" w:type="dxa"/>
              <w:left w:w="108" w:type="dxa"/>
              <w:bottom w:w="0" w:type="dxa"/>
              <w:right w:w="108" w:type="dxa"/>
            </w:tcMar>
            <w:vAlign w:val="center"/>
          </w:tcPr>
          <w:p w14:paraId="72D1B79D" w14:textId="77777777" w:rsidR="00463981" w:rsidRPr="002F1273" w:rsidRDefault="00463981" w:rsidP="009D1910">
            <w:pPr>
              <w:spacing w:line="240" w:lineRule="auto"/>
              <w:jc w:val="center"/>
              <w:rPr>
                <w:rFonts w:eastAsia="Times New Roman" w:cs="Calibri"/>
                <w:kern w:val="24"/>
                <w:sz w:val="18"/>
                <w:szCs w:val="18"/>
                <w:lang w:eastAsia="pl-PL"/>
              </w:rPr>
            </w:pPr>
            <w:r w:rsidRPr="002F1273">
              <w:rPr>
                <w:rFonts w:eastAsia="Times New Roman" w:cs="Calibri"/>
                <w:kern w:val="24"/>
                <w:sz w:val="18"/>
                <w:szCs w:val="18"/>
                <w:lang w:eastAsia="pl-PL"/>
              </w:rPr>
              <w:t>%</w:t>
            </w:r>
          </w:p>
        </w:tc>
        <w:tc>
          <w:tcPr>
            <w:tcW w:w="1701" w:type="dxa"/>
            <w:shd w:val="clear" w:color="auto" w:fill="FFF2CC" w:themeFill="accent4" w:themeFillTint="33"/>
            <w:tcMar>
              <w:top w:w="15" w:type="dxa"/>
              <w:left w:w="108" w:type="dxa"/>
              <w:bottom w:w="0" w:type="dxa"/>
              <w:right w:w="108" w:type="dxa"/>
            </w:tcMar>
            <w:vAlign w:val="center"/>
          </w:tcPr>
          <w:p w14:paraId="727E023C" w14:textId="77777777" w:rsidR="00463981" w:rsidRPr="002F1273" w:rsidRDefault="00463981" w:rsidP="009D1910">
            <w:pPr>
              <w:spacing w:after="0" w:line="240" w:lineRule="auto"/>
              <w:jc w:val="center"/>
              <w:rPr>
                <w:rFonts w:eastAsia="Times New Roman" w:cs="Calibri"/>
                <w:kern w:val="24"/>
                <w:sz w:val="18"/>
                <w:szCs w:val="18"/>
                <w:lang w:eastAsia="pl-PL"/>
              </w:rPr>
            </w:pPr>
            <w:r w:rsidRPr="002F1273">
              <w:rPr>
                <w:rFonts w:eastAsia="Times New Roman" w:cs="Calibri"/>
                <w:kern w:val="24"/>
                <w:sz w:val="18"/>
                <w:szCs w:val="18"/>
                <w:lang w:eastAsia="pl-PL"/>
              </w:rPr>
              <w:t>25,0</w:t>
            </w:r>
          </w:p>
          <w:p w14:paraId="6728AFE8" w14:textId="77777777" w:rsidR="00463981" w:rsidRPr="002F1273" w:rsidRDefault="00463981" w:rsidP="009D1910">
            <w:pPr>
              <w:spacing w:after="0" w:line="240" w:lineRule="auto"/>
              <w:jc w:val="center"/>
              <w:rPr>
                <w:rFonts w:eastAsia="Times New Roman" w:cs="Calibri"/>
                <w:kern w:val="24"/>
                <w:sz w:val="18"/>
                <w:szCs w:val="18"/>
                <w:lang w:eastAsia="pl-PL"/>
              </w:rPr>
            </w:pPr>
            <w:r w:rsidRPr="002F1273">
              <w:rPr>
                <w:rFonts w:eastAsia="Times New Roman" w:cs="Calibri"/>
                <w:kern w:val="24"/>
                <w:sz w:val="18"/>
                <w:szCs w:val="18"/>
                <w:lang w:eastAsia="pl-PL"/>
              </w:rPr>
              <w:t>(2018)</w:t>
            </w:r>
          </w:p>
        </w:tc>
        <w:tc>
          <w:tcPr>
            <w:tcW w:w="1559" w:type="dxa"/>
            <w:shd w:val="clear" w:color="auto" w:fill="FFF2CC" w:themeFill="accent4" w:themeFillTint="33"/>
            <w:vAlign w:val="center"/>
          </w:tcPr>
          <w:p w14:paraId="26F3388E" w14:textId="0F2992C7" w:rsidR="00463981" w:rsidRPr="002F1273" w:rsidRDefault="00463981" w:rsidP="009D1910">
            <w:pPr>
              <w:jc w:val="center"/>
              <w:rPr>
                <w:rFonts w:eastAsia="Times New Roman" w:cs="Calibri"/>
                <w:kern w:val="24"/>
                <w:sz w:val="18"/>
                <w:szCs w:val="18"/>
                <w:lang w:eastAsia="pl-PL"/>
              </w:rPr>
            </w:pPr>
            <w:r w:rsidRPr="002F1273">
              <w:rPr>
                <w:rFonts w:eastAsia="Times New Roman" w:cs="Calibri"/>
                <w:kern w:val="24"/>
                <w:sz w:val="18"/>
                <w:szCs w:val="18"/>
                <w:lang w:eastAsia="pl-PL"/>
              </w:rPr>
              <w:t>60,0</w:t>
            </w:r>
          </w:p>
        </w:tc>
        <w:tc>
          <w:tcPr>
            <w:tcW w:w="1701" w:type="dxa"/>
            <w:shd w:val="clear" w:color="auto" w:fill="FFF2CC" w:themeFill="accent4" w:themeFillTint="33"/>
            <w:tcMar>
              <w:top w:w="15" w:type="dxa"/>
              <w:left w:w="108" w:type="dxa"/>
              <w:bottom w:w="0" w:type="dxa"/>
              <w:right w:w="108" w:type="dxa"/>
            </w:tcMar>
            <w:vAlign w:val="center"/>
          </w:tcPr>
          <w:p w14:paraId="5BCD6797" w14:textId="182B1F84" w:rsidR="00463981" w:rsidRPr="002F1273" w:rsidRDefault="00463981" w:rsidP="009D1910">
            <w:pPr>
              <w:jc w:val="center"/>
              <w:rPr>
                <w:rFonts w:eastAsia="Times New Roman" w:cs="Calibri"/>
                <w:kern w:val="24"/>
                <w:sz w:val="18"/>
                <w:szCs w:val="18"/>
                <w:lang w:eastAsia="pl-PL"/>
              </w:rPr>
            </w:pPr>
            <w:r w:rsidRPr="002F1273">
              <w:rPr>
                <w:rFonts w:eastAsia="Times New Roman" w:cs="Calibri"/>
                <w:kern w:val="24"/>
                <w:sz w:val="18"/>
                <w:szCs w:val="18"/>
                <w:lang w:eastAsia="pl-PL"/>
              </w:rPr>
              <w:t>GUS/Eurostat</w:t>
            </w:r>
          </w:p>
        </w:tc>
        <w:tc>
          <w:tcPr>
            <w:tcW w:w="4961" w:type="dxa"/>
            <w:shd w:val="clear" w:color="auto" w:fill="FFF2CC" w:themeFill="accent4" w:themeFillTint="33"/>
          </w:tcPr>
          <w:p w14:paraId="720BFB0C" w14:textId="77777777" w:rsidR="00463981" w:rsidRPr="002F1273" w:rsidRDefault="00463981" w:rsidP="009D1910">
            <w:pPr>
              <w:ind w:left="86"/>
              <w:jc w:val="both"/>
              <w:rPr>
                <w:rFonts w:eastAsia="Times New Roman" w:cs="Calibri"/>
                <w:kern w:val="24"/>
                <w:sz w:val="18"/>
                <w:szCs w:val="18"/>
                <w:lang w:eastAsia="pl-PL"/>
              </w:rPr>
            </w:pPr>
            <w:r w:rsidRPr="002F1273">
              <w:rPr>
                <w:rFonts w:cs="Arial"/>
                <w:sz w:val="18"/>
                <w:szCs w:val="18"/>
              </w:rPr>
              <w:t xml:space="preserve">Odsetek osób w wieku 16-74 lata </w:t>
            </w:r>
            <w:r w:rsidRPr="002F1273">
              <w:rPr>
                <w:rFonts w:eastAsia="HiddenHorzOCR" w:cs="HiddenHorzOCR"/>
                <w:sz w:val="18"/>
                <w:szCs w:val="18"/>
              </w:rPr>
              <w:t xml:space="preserve">korzystających </w:t>
            </w:r>
            <w:r w:rsidRPr="002F1273">
              <w:rPr>
                <w:rFonts w:cs="Arial"/>
                <w:sz w:val="18"/>
                <w:szCs w:val="18"/>
              </w:rPr>
              <w:t xml:space="preserve">z Internetu w kontakt ach z </w:t>
            </w:r>
            <w:r w:rsidRPr="002F1273">
              <w:rPr>
                <w:rFonts w:eastAsia="HiddenHorzOCR" w:cs="HiddenHorzOCR"/>
                <w:sz w:val="18"/>
                <w:szCs w:val="18"/>
              </w:rPr>
              <w:t xml:space="preserve">administracją publiczną </w:t>
            </w:r>
            <w:r w:rsidRPr="002F1273">
              <w:rPr>
                <w:rFonts w:cs="Arial"/>
                <w:sz w:val="18"/>
                <w:szCs w:val="18"/>
              </w:rPr>
              <w:t xml:space="preserve">do przekazywania </w:t>
            </w:r>
            <w:r w:rsidRPr="002F1273">
              <w:rPr>
                <w:rFonts w:eastAsia="HiddenHorzOCR" w:cs="HiddenHorzOCR"/>
                <w:sz w:val="18"/>
                <w:szCs w:val="18"/>
              </w:rPr>
              <w:t xml:space="preserve">wypełnionych </w:t>
            </w:r>
            <w:r w:rsidRPr="002F1273">
              <w:rPr>
                <w:rFonts w:cs="Arial"/>
                <w:sz w:val="18"/>
                <w:szCs w:val="18"/>
              </w:rPr>
              <w:t xml:space="preserve">formularzy (w </w:t>
            </w:r>
            <w:r w:rsidRPr="002F1273">
              <w:rPr>
                <w:rFonts w:eastAsia="HiddenHorzOCR" w:cs="HiddenHorzOCR"/>
                <w:sz w:val="18"/>
                <w:szCs w:val="18"/>
              </w:rPr>
              <w:t xml:space="preserve">ciągu </w:t>
            </w:r>
            <w:r w:rsidRPr="002F1273">
              <w:rPr>
                <w:rFonts w:cs="Arial"/>
                <w:sz w:val="18"/>
                <w:szCs w:val="18"/>
              </w:rPr>
              <w:t xml:space="preserve">ostatnich 12 </w:t>
            </w:r>
            <w:r w:rsidRPr="002F1273">
              <w:rPr>
                <w:rFonts w:eastAsia="HiddenHorzOCR" w:cs="HiddenHorzOCR"/>
                <w:sz w:val="18"/>
                <w:szCs w:val="18"/>
              </w:rPr>
              <w:t>miesięcy).</w:t>
            </w:r>
          </w:p>
        </w:tc>
      </w:tr>
      <w:tr w:rsidR="00463981" w:rsidRPr="00F21196" w14:paraId="47D2ECCA" w14:textId="77777777" w:rsidTr="00463981">
        <w:tblPrEx>
          <w:shd w:val="clear" w:color="auto" w:fill="E1EBF7"/>
          <w:tblCellMar>
            <w:top w:w="54" w:type="dxa"/>
            <w:left w:w="61" w:type="dxa"/>
            <w:bottom w:w="54" w:type="dxa"/>
            <w:right w:w="61" w:type="dxa"/>
          </w:tblCellMar>
          <w:tblLook w:val="00A0" w:firstRow="1" w:lastRow="0" w:firstColumn="1" w:lastColumn="0" w:noHBand="0" w:noVBand="0"/>
        </w:tblPrEx>
        <w:trPr>
          <w:trHeight w:val="1016"/>
        </w:trPr>
        <w:tc>
          <w:tcPr>
            <w:tcW w:w="3403" w:type="dxa"/>
            <w:tcBorders>
              <w:top w:val="single" w:sz="24" w:space="0" w:color="FFFFFF"/>
              <w:left w:val="single" w:sz="24" w:space="0" w:color="FFFFFF"/>
              <w:bottom w:val="single" w:sz="24" w:space="0" w:color="FFFFFF"/>
              <w:right w:val="single" w:sz="24" w:space="0" w:color="FFFFFF"/>
            </w:tcBorders>
            <w:shd w:val="clear" w:color="auto" w:fill="FFF2CC" w:themeFill="accent4" w:themeFillTint="33"/>
            <w:vAlign w:val="center"/>
          </w:tcPr>
          <w:p w14:paraId="47F2328C" w14:textId="6EBBA273" w:rsidR="00463981" w:rsidRPr="002F1273" w:rsidRDefault="00463981" w:rsidP="0000687E">
            <w:pPr>
              <w:keepNext/>
              <w:autoSpaceDE w:val="0"/>
              <w:autoSpaceDN w:val="0"/>
              <w:adjustRightInd w:val="0"/>
              <w:spacing w:line="240" w:lineRule="auto"/>
              <w:rPr>
                <w:rFonts w:cstheme="minorHAnsi"/>
                <w:sz w:val="18"/>
                <w:szCs w:val="18"/>
                <w:lang w:eastAsia="pl-PL"/>
              </w:rPr>
            </w:pPr>
            <w:r w:rsidRPr="002F1273">
              <w:rPr>
                <w:rFonts w:cstheme="minorHAnsi"/>
                <w:sz w:val="18"/>
                <w:szCs w:val="18"/>
                <w:lang w:eastAsia="pl-PL"/>
              </w:rPr>
              <w:t>Odsetek gospodarstw domowych</w:t>
            </w:r>
            <w:r w:rsidRPr="002F1273">
              <w:rPr>
                <w:rStyle w:val="Odwoanieprzypisudolnego"/>
                <w:rFonts w:cstheme="minorHAnsi"/>
                <w:sz w:val="18"/>
                <w:szCs w:val="18"/>
                <w:lang w:eastAsia="pl-PL"/>
              </w:rPr>
              <w:footnoteReference w:id="132"/>
            </w:r>
            <w:r w:rsidRPr="002F1273">
              <w:rPr>
                <w:rFonts w:cstheme="minorHAnsi"/>
                <w:sz w:val="18"/>
                <w:szCs w:val="18"/>
                <w:lang w:eastAsia="pl-PL"/>
              </w:rPr>
              <w:t xml:space="preserve"> w zasięgu dostępu do Internetu o przepustowości co najmniej 30 Mb/s</w:t>
            </w:r>
          </w:p>
        </w:tc>
        <w:tc>
          <w:tcPr>
            <w:tcW w:w="1276" w:type="dxa"/>
            <w:tcBorders>
              <w:top w:val="single" w:sz="24" w:space="0" w:color="FFFFFF"/>
              <w:left w:val="single" w:sz="24" w:space="0" w:color="FFFFFF"/>
              <w:bottom w:val="single" w:sz="24" w:space="0" w:color="FFFFFF"/>
              <w:right w:val="single" w:sz="24" w:space="0" w:color="FFFFFF"/>
            </w:tcBorders>
            <w:shd w:val="clear" w:color="auto" w:fill="FFF2CC" w:themeFill="accent4" w:themeFillTint="33"/>
            <w:vAlign w:val="center"/>
          </w:tcPr>
          <w:p w14:paraId="3189F1BD" w14:textId="77777777" w:rsidR="00463981" w:rsidRPr="002F1273" w:rsidRDefault="00463981" w:rsidP="0010235D">
            <w:pPr>
              <w:keepNext/>
              <w:autoSpaceDE w:val="0"/>
              <w:autoSpaceDN w:val="0"/>
              <w:adjustRightInd w:val="0"/>
              <w:spacing w:line="240" w:lineRule="auto"/>
              <w:jc w:val="center"/>
              <w:rPr>
                <w:rFonts w:cstheme="minorHAnsi"/>
                <w:sz w:val="18"/>
                <w:szCs w:val="18"/>
                <w:lang w:eastAsia="pl-PL"/>
              </w:rPr>
            </w:pPr>
            <w:r w:rsidRPr="002F1273">
              <w:rPr>
                <w:rFonts w:cstheme="minorHAnsi"/>
                <w:sz w:val="18"/>
                <w:szCs w:val="18"/>
                <w:lang w:eastAsia="pl-PL"/>
              </w:rPr>
              <w:t>%</w:t>
            </w:r>
          </w:p>
        </w:tc>
        <w:tc>
          <w:tcPr>
            <w:tcW w:w="1701" w:type="dxa"/>
            <w:tcBorders>
              <w:top w:val="single" w:sz="24" w:space="0" w:color="FFFFFF"/>
              <w:left w:val="single" w:sz="24" w:space="0" w:color="FFFFFF"/>
              <w:bottom w:val="single" w:sz="24" w:space="0" w:color="FFFFFF"/>
              <w:right w:val="single" w:sz="24" w:space="0" w:color="FFFFFF"/>
            </w:tcBorders>
            <w:shd w:val="clear" w:color="auto" w:fill="FFF2CC" w:themeFill="accent4" w:themeFillTint="33"/>
            <w:vAlign w:val="center"/>
          </w:tcPr>
          <w:p w14:paraId="12986DED" w14:textId="77777777" w:rsidR="00B0118C" w:rsidRPr="002F1273" w:rsidRDefault="00B0118C" w:rsidP="00B0118C">
            <w:pPr>
              <w:keepNext/>
              <w:autoSpaceDE w:val="0"/>
              <w:autoSpaceDN w:val="0"/>
              <w:adjustRightInd w:val="0"/>
              <w:spacing w:after="0" w:line="240" w:lineRule="auto"/>
              <w:jc w:val="center"/>
              <w:rPr>
                <w:rFonts w:cstheme="minorHAnsi"/>
                <w:sz w:val="18"/>
                <w:szCs w:val="18"/>
              </w:rPr>
            </w:pPr>
            <w:r w:rsidRPr="002F1273">
              <w:rPr>
                <w:rFonts w:eastAsiaTheme="minorEastAsia" w:cstheme="minorHAnsi"/>
                <w:sz w:val="18"/>
                <w:szCs w:val="18"/>
                <w:lang w:eastAsia="pl-PL"/>
              </w:rPr>
              <w:t>75,0</w:t>
            </w:r>
          </w:p>
          <w:p w14:paraId="1D2F1F56" w14:textId="7CBDE121" w:rsidR="00463981" w:rsidRPr="002F1273" w:rsidRDefault="00B0118C" w:rsidP="00B0118C">
            <w:pPr>
              <w:keepNext/>
              <w:autoSpaceDE w:val="0"/>
              <w:autoSpaceDN w:val="0"/>
              <w:adjustRightInd w:val="0"/>
              <w:spacing w:after="0" w:line="240" w:lineRule="auto"/>
              <w:jc w:val="center"/>
              <w:rPr>
                <w:rFonts w:cstheme="minorHAnsi"/>
                <w:sz w:val="18"/>
                <w:szCs w:val="18"/>
                <w:lang w:eastAsia="pl-PL"/>
              </w:rPr>
            </w:pPr>
            <w:r w:rsidRPr="002F1273">
              <w:rPr>
                <w:rFonts w:cstheme="minorHAnsi"/>
                <w:sz w:val="18"/>
                <w:szCs w:val="18"/>
              </w:rPr>
              <w:t>(</w:t>
            </w:r>
            <w:r w:rsidRPr="002F1273">
              <w:rPr>
                <w:rFonts w:eastAsiaTheme="minorEastAsia" w:cstheme="minorHAnsi"/>
                <w:sz w:val="18"/>
                <w:szCs w:val="18"/>
                <w:lang w:eastAsia="pl-PL"/>
              </w:rPr>
              <w:t>2019</w:t>
            </w:r>
            <w:r w:rsidRPr="002F1273">
              <w:rPr>
                <w:rFonts w:cstheme="minorHAnsi"/>
                <w:sz w:val="18"/>
                <w:szCs w:val="18"/>
              </w:rPr>
              <w:t>)</w:t>
            </w:r>
          </w:p>
        </w:tc>
        <w:tc>
          <w:tcPr>
            <w:tcW w:w="1559" w:type="dxa"/>
            <w:tcBorders>
              <w:top w:val="single" w:sz="24" w:space="0" w:color="FFFFFF"/>
              <w:left w:val="single" w:sz="24" w:space="0" w:color="FFFFFF"/>
              <w:bottom w:val="single" w:sz="24" w:space="0" w:color="FFFFFF"/>
              <w:right w:val="single" w:sz="24" w:space="0" w:color="FFFFFF"/>
            </w:tcBorders>
            <w:shd w:val="clear" w:color="auto" w:fill="FFF2CC" w:themeFill="accent4" w:themeFillTint="33"/>
            <w:vAlign w:val="center"/>
          </w:tcPr>
          <w:p w14:paraId="6B377D01" w14:textId="77777777" w:rsidR="00463981" w:rsidRPr="002F1273" w:rsidRDefault="00463981" w:rsidP="009321E1">
            <w:pPr>
              <w:jc w:val="center"/>
              <w:rPr>
                <w:rFonts w:cstheme="minorHAnsi"/>
                <w:kern w:val="24"/>
                <w:sz w:val="18"/>
                <w:szCs w:val="18"/>
              </w:rPr>
            </w:pPr>
          </w:p>
          <w:p w14:paraId="4AC37364" w14:textId="77777777" w:rsidR="00463981" w:rsidRPr="002F1273" w:rsidRDefault="00463981" w:rsidP="009321E1">
            <w:pPr>
              <w:jc w:val="center"/>
              <w:rPr>
                <w:rFonts w:cstheme="minorHAnsi"/>
                <w:kern w:val="24"/>
                <w:sz w:val="18"/>
                <w:szCs w:val="18"/>
              </w:rPr>
            </w:pPr>
            <w:r w:rsidRPr="002F1273">
              <w:rPr>
                <w:rFonts w:cstheme="minorHAnsi"/>
                <w:kern w:val="24"/>
                <w:sz w:val="18"/>
                <w:szCs w:val="18"/>
              </w:rPr>
              <w:t>100,0</w:t>
            </w:r>
          </w:p>
          <w:p w14:paraId="472EB00D" w14:textId="77777777" w:rsidR="00463981" w:rsidRPr="002F1273" w:rsidRDefault="00463981" w:rsidP="009321E1">
            <w:pPr>
              <w:jc w:val="center"/>
              <w:rPr>
                <w:rFonts w:cstheme="minorHAnsi"/>
                <w:kern w:val="24"/>
                <w:sz w:val="18"/>
                <w:szCs w:val="18"/>
                <w:lang w:eastAsia="pl-PL"/>
              </w:rPr>
            </w:pPr>
          </w:p>
        </w:tc>
        <w:tc>
          <w:tcPr>
            <w:tcW w:w="1701" w:type="dxa"/>
            <w:tcBorders>
              <w:top w:val="single" w:sz="24" w:space="0" w:color="FFFFFF"/>
              <w:left w:val="single" w:sz="24" w:space="0" w:color="FFFFFF"/>
              <w:right w:val="single" w:sz="24" w:space="0" w:color="FFFFFF"/>
            </w:tcBorders>
            <w:shd w:val="clear" w:color="auto" w:fill="FFF2CC" w:themeFill="accent4" w:themeFillTint="33"/>
            <w:vAlign w:val="center"/>
          </w:tcPr>
          <w:p w14:paraId="6524ABB3" w14:textId="77777777" w:rsidR="00463981" w:rsidRPr="002F1273" w:rsidRDefault="00463981" w:rsidP="0010235D">
            <w:pPr>
              <w:keepNext/>
              <w:autoSpaceDE w:val="0"/>
              <w:autoSpaceDN w:val="0"/>
              <w:adjustRightInd w:val="0"/>
              <w:jc w:val="center"/>
              <w:rPr>
                <w:rFonts w:cstheme="minorHAnsi"/>
                <w:sz w:val="18"/>
                <w:szCs w:val="18"/>
                <w:lang w:eastAsia="pl-PL"/>
              </w:rPr>
            </w:pPr>
            <w:r w:rsidRPr="002F1273">
              <w:rPr>
                <w:rFonts w:cstheme="minorHAnsi"/>
                <w:sz w:val="18"/>
                <w:szCs w:val="18"/>
                <w:lang w:eastAsia="pl-PL"/>
              </w:rPr>
              <w:t>UKE</w:t>
            </w:r>
          </w:p>
          <w:p w14:paraId="4ADBEF15" w14:textId="77777777" w:rsidR="00463981" w:rsidRPr="002F1273" w:rsidRDefault="00463981" w:rsidP="0010235D">
            <w:pPr>
              <w:keepNext/>
              <w:autoSpaceDE w:val="0"/>
              <w:autoSpaceDN w:val="0"/>
              <w:adjustRightInd w:val="0"/>
              <w:jc w:val="center"/>
              <w:rPr>
                <w:rFonts w:cstheme="minorHAnsi"/>
                <w:sz w:val="18"/>
                <w:szCs w:val="18"/>
                <w:lang w:eastAsia="pl-PL"/>
              </w:rPr>
            </w:pPr>
          </w:p>
        </w:tc>
        <w:tc>
          <w:tcPr>
            <w:tcW w:w="4961" w:type="dxa"/>
            <w:tcBorders>
              <w:top w:val="single" w:sz="24" w:space="0" w:color="FFFFFF"/>
              <w:left w:val="single" w:sz="24" w:space="0" w:color="FFFFFF"/>
              <w:right w:val="single" w:sz="24" w:space="0" w:color="FFFFFF"/>
            </w:tcBorders>
            <w:shd w:val="clear" w:color="auto" w:fill="FFF2CC" w:themeFill="accent4" w:themeFillTint="33"/>
          </w:tcPr>
          <w:p w14:paraId="726FD889" w14:textId="0D78A38C" w:rsidR="00463981" w:rsidRPr="002F1273" w:rsidRDefault="00463981" w:rsidP="00F4797D">
            <w:pPr>
              <w:keepNext/>
              <w:autoSpaceDE w:val="0"/>
              <w:autoSpaceDN w:val="0"/>
              <w:adjustRightInd w:val="0"/>
              <w:jc w:val="both"/>
              <w:rPr>
                <w:rFonts w:cstheme="minorHAnsi"/>
                <w:sz w:val="18"/>
                <w:szCs w:val="18"/>
                <w:lang w:eastAsia="pl-PL"/>
              </w:rPr>
            </w:pPr>
            <w:r w:rsidRPr="002F1273">
              <w:rPr>
                <w:rFonts w:eastAsia="HiddenHorzOCR" w:cstheme="minorHAnsi"/>
                <w:sz w:val="18"/>
                <w:szCs w:val="18"/>
              </w:rPr>
              <w:t xml:space="preserve">Udział gospodarstw domowych posiadających możliwość dostępu do internetu o przepustowości co najmniej 30 Mb/s w ogólnej liczbie gospodarstw domowych </w:t>
            </w:r>
          </w:p>
        </w:tc>
      </w:tr>
      <w:tr w:rsidR="00463981" w:rsidRPr="00F21196" w14:paraId="02C6D1A2" w14:textId="77777777" w:rsidTr="00463981">
        <w:tblPrEx>
          <w:shd w:val="clear" w:color="auto" w:fill="E1EBF7"/>
          <w:tblCellMar>
            <w:top w:w="54" w:type="dxa"/>
            <w:left w:w="61" w:type="dxa"/>
            <w:bottom w:w="54" w:type="dxa"/>
            <w:right w:w="61" w:type="dxa"/>
          </w:tblCellMar>
          <w:tblLook w:val="00A0" w:firstRow="1" w:lastRow="0" w:firstColumn="1" w:lastColumn="0" w:noHBand="0" w:noVBand="0"/>
        </w:tblPrEx>
        <w:trPr>
          <w:trHeight w:val="1125"/>
        </w:trPr>
        <w:tc>
          <w:tcPr>
            <w:tcW w:w="3403" w:type="dxa"/>
            <w:tcBorders>
              <w:top w:val="single" w:sz="24" w:space="0" w:color="FFFFFF"/>
              <w:left w:val="single" w:sz="24" w:space="0" w:color="FFFFFF"/>
              <w:bottom w:val="single" w:sz="24" w:space="0" w:color="FFFFFF"/>
              <w:right w:val="single" w:sz="24" w:space="0" w:color="FFFFFF"/>
            </w:tcBorders>
            <w:shd w:val="clear" w:color="auto" w:fill="FFF2CC" w:themeFill="accent4" w:themeFillTint="33"/>
            <w:vAlign w:val="center"/>
          </w:tcPr>
          <w:p w14:paraId="01D2E651" w14:textId="438ACC98" w:rsidR="00463981" w:rsidRPr="002F1273" w:rsidRDefault="00463981" w:rsidP="0000687E">
            <w:pPr>
              <w:keepNext/>
              <w:autoSpaceDE w:val="0"/>
              <w:autoSpaceDN w:val="0"/>
              <w:adjustRightInd w:val="0"/>
              <w:spacing w:line="240" w:lineRule="auto"/>
              <w:ind w:left="81"/>
              <w:rPr>
                <w:rFonts w:cstheme="minorHAnsi"/>
                <w:sz w:val="18"/>
                <w:szCs w:val="18"/>
                <w:lang w:eastAsia="pl-PL"/>
              </w:rPr>
            </w:pPr>
            <w:r w:rsidRPr="002F1273">
              <w:rPr>
                <w:rFonts w:cstheme="minorHAnsi"/>
                <w:sz w:val="18"/>
                <w:szCs w:val="18"/>
                <w:lang w:eastAsia="pl-PL"/>
              </w:rPr>
              <w:t>Odsetek gospodarstw domowych</w:t>
            </w:r>
            <w:r w:rsidRPr="002F1273">
              <w:rPr>
                <w:rStyle w:val="Odwoanieprzypisudolnego"/>
                <w:rFonts w:cstheme="minorHAnsi"/>
                <w:sz w:val="18"/>
                <w:szCs w:val="18"/>
                <w:lang w:eastAsia="pl-PL"/>
              </w:rPr>
              <w:footnoteReference w:id="133"/>
            </w:r>
            <w:r w:rsidRPr="002F1273">
              <w:rPr>
                <w:rFonts w:cstheme="minorHAnsi"/>
                <w:sz w:val="18"/>
                <w:szCs w:val="18"/>
                <w:lang w:eastAsia="pl-PL"/>
              </w:rPr>
              <w:t xml:space="preserve"> korzystających z dostępu do Internetu o przepustowości co najmniej 100 Mb/s</w:t>
            </w:r>
          </w:p>
        </w:tc>
        <w:tc>
          <w:tcPr>
            <w:tcW w:w="1276" w:type="dxa"/>
            <w:tcBorders>
              <w:top w:val="single" w:sz="24" w:space="0" w:color="FFFFFF"/>
              <w:left w:val="single" w:sz="24" w:space="0" w:color="FFFFFF"/>
              <w:bottom w:val="single" w:sz="24" w:space="0" w:color="FFFFFF"/>
              <w:right w:val="single" w:sz="24" w:space="0" w:color="FFFFFF"/>
            </w:tcBorders>
            <w:shd w:val="clear" w:color="auto" w:fill="FFF2CC" w:themeFill="accent4" w:themeFillTint="33"/>
            <w:vAlign w:val="center"/>
          </w:tcPr>
          <w:p w14:paraId="12DA583E" w14:textId="77777777" w:rsidR="00463981" w:rsidRPr="002F1273" w:rsidRDefault="00463981" w:rsidP="0010235D">
            <w:pPr>
              <w:keepNext/>
              <w:autoSpaceDE w:val="0"/>
              <w:autoSpaceDN w:val="0"/>
              <w:adjustRightInd w:val="0"/>
              <w:spacing w:line="240" w:lineRule="auto"/>
              <w:jc w:val="center"/>
              <w:rPr>
                <w:rFonts w:cstheme="minorHAnsi"/>
                <w:sz w:val="18"/>
                <w:szCs w:val="18"/>
                <w:lang w:eastAsia="pl-PL"/>
              </w:rPr>
            </w:pPr>
            <w:r w:rsidRPr="002F1273">
              <w:rPr>
                <w:rFonts w:cstheme="minorHAnsi"/>
                <w:sz w:val="18"/>
                <w:szCs w:val="18"/>
                <w:lang w:eastAsia="pl-PL"/>
              </w:rPr>
              <w:t>%</w:t>
            </w:r>
          </w:p>
        </w:tc>
        <w:tc>
          <w:tcPr>
            <w:tcW w:w="1701" w:type="dxa"/>
            <w:tcBorders>
              <w:top w:val="single" w:sz="24" w:space="0" w:color="FFFFFF"/>
              <w:left w:val="single" w:sz="24" w:space="0" w:color="FFFFFF"/>
              <w:bottom w:val="single" w:sz="24" w:space="0" w:color="FFFFFF"/>
              <w:right w:val="single" w:sz="24" w:space="0" w:color="FFFFFF"/>
            </w:tcBorders>
            <w:shd w:val="clear" w:color="auto" w:fill="FFF2CC" w:themeFill="accent4" w:themeFillTint="33"/>
            <w:vAlign w:val="center"/>
          </w:tcPr>
          <w:p w14:paraId="3D38A205" w14:textId="77777777" w:rsidR="00B0118C" w:rsidRPr="002F1273" w:rsidRDefault="00B0118C" w:rsidP="00B0118C">
            <w:pPr>
              <w:keepNext/>
              <w:autoSpaceDE w:val="0"/>
              <w:autoSpaceDN w:val="0"/>
              <w:adjustRightInd w:val="0"/>
              <w:spacing w:after="0" w:line="240" w:lineRule="auto"/>
              <w:jc w:val="center"/>
              <w:rPr>
                <w:rFonts w:cstheme="minorHAnsi"/>
                <w:sz w:val="18"/>
                <w:szCs w:val="18"/>
              </w:rPr>
            </w:pPr>
            <w:r w:rsidRPr="002F1273">
              <w:rPr>
                <w:rFonts w:eastAsiaTheme="minorEastAsia" w:cstheme="minorHAnsi"/>
                <w:sz w:val="18"/>
                <w:szCs w:val="18"/>
                <w:lang w:eastAsia="pl-PL"/>
              </w:rPr>
              <w:t>23,3</w:t>
            </w:r>
          </w:p>
          <w:p w14:paraId="5EA980B9" w14:textId="40AC5CA7" w:rsidR="00463981" w:rsidRPr="002F1273" w:rsidRDefault="00B0118C" w:rsidP="00B0118C">
            <w:pPr>
              <w:keepNext/>
              <w:autoSpaceDE w:val="0"/>
              <w:autoSpaceDN w:val="0"/>
              <w:adjustRightInd w:val="0"/>
              <w:spacing w:after="0" w:line="240" w:lineRule="auto"/>
              <w:jc w:val="center"/>
              <w:rPr>
                <w:rFonts w:cstheme="minorHAnsi"/>
                <w:sz w:val="18"/>
                <w:szCs w:val="18"/>
                <w:lang w:eastAsia="pl-PL"/>
              </w:rPr>
            </w:pPr>
            <w:r w:rsidRPr="002F1273">
              <w:rPr>
                <w:rFonts w:cstheme="minorHAnsi"/>
                <w:sz w:val="18"/>
                <w:szCs w:val="18"/>
              </w:rPr>
              <w:t>(</w:t>
            </w:r>
            <w:r w:rsidRPr="002F1273">
              <w:rPr>
                <w:rFonts w:eastAsiaTheme="minorEastAsia" w:cstheme="minorHAnsi"/>
                <w:sz w:val="18"/>
                <w:szCs w:val="18"/>
                <w:lang w:eastAsia="pl-PL"/>
              </w:rPr>
              <w:t>2019</w:t>
            </w:r>
            <w:r w:rsidRPr="002F1273">
              <w:rPr>
                <w:rFonts w:cstheme="minorHAnsi"/>
                <w:sz w:val="18"/>
                <w:szCs w:val="18"/>
              </w:rPr>
              <w:t>)</w:t>
            </w:r>
          </w:p>
        </w:tc>
        <w:tc>
          <w:tcPr>
            <w:tcW w:w="1559" w:type="dxa"/>
            <w:tcBorders>
              <w:top w:val="single" w:sz="24" w:space="0" w:color="FFFFFF"/>
              <w:left w:val="single" w:sz="24" w:space="0" w:color="FFFFFF"/>
              <w:bottom w:val="single" w:sz="24" w:space="0" w:color="FFFFFF"/>
              <w:right w:val="single" w:sz="24" w:space="0" w:color="FFFFFF"/>
            </w:tcBorders>
            <w:shd w:val="clear" w:color="auto" w:fill="FFF2CC" w:themeFill="accent4" w:themeFillTint="33"/>
            <w:vAlign w:val="center"/>
          </w:tcPr>
          <w:p w14:paraId="79DC6F5C" w14:textId="4B1F70F0" w:rsidR="00463981" w:rsidRPr="002F1273" w:rsidRDefault="00463981" w:rsidP="0010235D">
            <w:pPr>
              <w:spacing w:after="0"/>
              <w:jc w:val="center"/>
              <w:rPr>
                <w:rFonts w:cstheme="minorHAnsi"/>
                <w:kern w:val="24"/>
                <w:sz w:val="18"/>
                <w:szCs w:val="18"/>
                <w:lang w:eastAsia="pl-PL"/>
              </w:rPr>
            </w:pPr>
            <w:r w:rsidRPr="002F1273">
              <w:rPr>
                <w:rFonts w:eastAsiaTheme="minorEastAsia" w:cstheme="minorHAnsi"/>
                <w:sz w:val="18"/>
                <w:szCs w:val="18"/>
                <w:lang w:eastAsia="pl-PL"/>
              </w:rPr>
              <w:t>100,0</w:t>
            </w:r>
          </w:p>
        </w:tc>
        <w:tc>
          <w:tcPr>
            <w:tcW w:w="1701" w:type="dxa"/>
            <w:tcBorders>
              <w:left w:val="single" w:sz="24" w:space="0" w:color="FFFFFF"/>
              <w:right w:val="single" w:sz="24" w:space="0" w:color="FFFFFF"/>
            </w:tcBorders>
            <w:shd w:val="clear" w:color="auto" w:fill="FFF2CC" w:themeFill="accent4" w:themeFillTint="33"/>
            <w:vAlign w:val="center"/>
          </w:tcPr>
          <w:p w14:paraId="3CE38823" w14:textId="77777777" w:rsidR="002F1273" w:rsidRPr="002F1273" w:rsidRDefault="002F1273" w:rsidP="002F1273">
            <w:pPr>
              <w:keepNext/>
              <w:autoSpaceDE w:val="0"/>
              <w:autoSpaceDN w:val="0"/>
              <w:adjustRightInd w:val="0"/>
              <w:jc w:val="center"/>
              <w:rPr>
                <w:rFonts w:cstheme="minorHAnsi"/>
                <w:sz w:val="18"/>
                <w:szCs w:val="18"/>
                <w:lang w:eastAsia="pl-PL"/>
              </w:rPr>
            </w:pPr>
            <w:r w:rsidRPr="002F1273">
              <w:rPr>
                <w:rFonts w:cstheme="minorHAnsi"/>
                <w:sz w:val="18"/>
                <w:szCs w:val="18"/>
                <w:lang w:eastAsia="pl-PL"/>
              </w:rPr>
              <w:t>UKE</w:t>
            </w:r>
          </w:p>
          <w:p w14:paraId="18A905EC" w14:textId="77777777" w:rsidR="00463981" w:rsidRPr="002F1273" w:rsidRDefault="00463981" w:rsidP="0010235D">
            <w:pPr>
              <w:keepNext/>
              <w:autoSpaceDE w:val="0"/>
              <w:autoSpaceDN w:val="0"/>
              <w:adjustRightInd w:val="0"/>
              <w:spacing w:after="0"/>
              <w:jc w:val="center"/>
              <w:rPr>
                <w:rFonts w:cstheme="minorHAnsi"/>
                <w:sz w:val="18"/>
                <w:szCs w:val="18"/>
                <w:lang w:eastAsia="pl-PL"/>
              </w:rPr>
            </w:pPr>
          </w:p>
        </w:tc>
        <w:tc>
          <w:tcPr>
            <w:tcW w:w="4961" w:type="dxa"/>
            <w:tcBorders>
              <w:left w:val="single" w:sz="24" w:space="0" w:color="FFFFFF"/>
              <w:right w:val="single" w:sz="24" w:space="0" w:color="FFFFFF"/>
            </w:tcBorders>
            <w:shd w:val="clear" w:color="auto" w:fill="FFF2CC" w:themeFill="accent4" w:themeFillTint="33"/>
          </w:tcPr>
          <w:p w14:paraId="2754FEFC" w14:textId="34C3D220" w:rsidR="00463981" w:rsidRPr="002F1273" w:rsidRDefault="00463981" w:rsidP="00F4797D">
            <w:pPr>
              <w:keepNext/>
              <w:autoSpaceDE w:val="0"/>
              <w:autoSpaceDN w:val="0"/>
              <w:adjustRightInd w:val="0"/>
              <w:ind w:left="84"/>
              <w:jc w:val="both"/>
              <w:rPr>
                <w:rFonts w:eastAsia="HiddenHorzOCR" w:cstheme="minorHAnsi"/>
                <w:sz w:val="18"/>
                <w:szCs w:val="18"/>
              </w:rPr>
            </w:pPr>
            <w:r w:rsidRPr="002F1273">
              <w:rPr>
                <w:rFonts w:cstheme="minorHAnsi"/>
                <w:sz w:val="18"/>
                <w:szCs w:val="18"/>
              </w:rPr>
              <w:t xml:space="preserve">Udział gospodarstw domowych posiadających dostęp do internetu (usługę) o przepustowości co najmniej 100 Mb/s </w:t>
            </w:r>
            <w:r w:rsidRPr="002F1273">
              <w:rPr>
                <w:rFonts w:eastAsia="HiddenHorzOCR" w:cstheme="minorHAnsi"/>
                <w:sz w:val="18"/>
                <w:szCs w:val="18"/>
              </w:rPr>
              <w:t xml:space="preserve">w ogólnej liczbie gospodarstw domowych </w:t>
            </w:r>
          </w:p>
        </w:tc>
      </w:tr>
    </w:tbl>
    <w:p w14:paraId="624D6012" w14:textId="77777777" w:rsidR="002F1273" w:rsidRDefault="002F1273">
      <w:r>
        <w:br w:type="page"/>
      </w:r>
    </w:p>
    <w:tbl>
      <w:tblPr>
        <w:tblW w:w="14601" w:type="dxa"/>
        <w:tblInd w:w="-456"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E1EBF7"/>
        <w:tblLayout w:type="fixed"/>
        <w:tblCellMar>
          <w:top w:w="54" w:type="dxa"/>
          <w:left w:w="61" w:type="dxa"/>
          <w:bottom w:w="54" w:type="dxa"/>
          <w:right w:w="61" w:type="dxa"/>
        </w:tblCellMar>
        <w:tblLook w:val="00A0" w:firstRow="1" w:lastRow="0" w:firstColumn="1" w:lastColumn="0" w:noHBand="0" w:noVBand="0"/>
      </w:tblPr>
      <w:tblGrid>
        <w:gridCol w:w="3403"/>
        <w:gridCol w:w="1276"/>
        <w:gridCol w:w="1701"/>
        <w:gridCol w:w="1559"/>
        <w:gridCol w:w="1701"/>
        <w:gridCol w:w="4961"/>
      </w:tblGrid>
      <w:tr w:rsidR="00463981" w:rsidRPr="00F21196" w14:paraId="74484F4A" w14:textId="77777777" w:rsidTr="00463981">
        <w:trPr>
          <w:trHeight w:val="1237"/>
        </w:trPr>
        <w:tc>
          <w:tcPr>
            <w:tcW w:w="3403" w:type="dxa"/>
            <w:tcBorders>
              <w:top w:val="single" w:sz="24" w:space="0" w:color="FFFFFF"/>
              <w:left w:val="single" w:sz="24" w:space="0" w:color="FFFFFF"/>
              <w:bottom w:val="single" w:sz="24" w:space="0" w:color="FFFFFF"/>
              <w:right w:val="single" w:sz="24" w:space="0" w:color="FFFFFF"/>
            </w:tcBorders>
            <w:shd w:val="clear" w:color="auto" w:fill="FFF2CC" w:themeFill="accent4" w:themeFillTint="33"/>
            <w:vAlign w:val="center"/>
          </w:tcPr>
          <w:p w14:paraId="2064DD4A" w14:textId="50D6FA4E" w:rsidR="00463981" w:rsidRPr="002F1273" w:rsidRDefault="00463981" w:rsidP="0010235D">
            <w:pPr>
              <w:keepNext/>
              <w:autoSpaceDE w:val="0"/>
              <w:autoSpaceDN w:val="0"/>
              <w:adjustRightInd w:val="0"/>
              <w:spacing w:line="240" w:lineRule="auto"/>
              <w:rPr>
                <w:rFonts w:cstheme="minorHAnsi"/>
                <w:sz w:val="18"/>
                <w:szCs w:val="18"/>
                <w:lang w:eastAsia="pl-PL"/>
              </w:rPr>
            </w:pPr>
            <w:r w:rsidRPr="002F1273">
              <w:rPr>
                <w:rFonts w:eastAsiaTheme="minorEastAsia" w:cstheme="minorHAnsi"/>
                <w:sz w:val="18"/>
                <w:szCs w:val="18"/>
                <w:lang w:eastAsia="pl-PL"/>
              </w:rPr>
              <w:t>Odsetek gospodarstw domowych w zasięgu dostępu do Internetu o przepustowości dosyłowej łącza wynoszącej co najmniej 100 Mb/s, z możliwością jej zwiększenia do przepustowości mierzonej w gigabitach</w:t>
            </w:r>
            <w:r w:rsidRPr="002F1273">
              <w:rPr>
                <w:rFonts w:eastAsiaTheme="minorEastAsia" w:cstheme="minorHAnsi"/>
                <w:sz w:val="18"/>
                <w:szCs w:val="18"/>
                <w:vertAlign w:val="superscript"/>
                <w:lang w:eastAsia="pl-PL"/>
              </w:rPr>
              <w:footnoteReference w:id="134"/>
            </w:r>
          </w:p>
        </w:tc>
        <w:tc>
          <w:tcPr>
            <w:tcW w:w="1276" w:type="dxa"/>
            <w:tcBorders>
              <w:top w:val="single" w:sz="24" w:space="0" w:color="FFFFFF"/>
              <w:left w:val="single" w:sz="24" w:space="0" w:color="FFFFFF"/>
              <w:bottom w:val="single" w:sz="24" w:space="0" w:color="FFFFFF"/>
              <w:right w:val="single" w:sz="24" w:space="0" w:color="FFFFFF"/>
            </w:tcBorders>
            <w:shd w:val="clear" w:color="auto" w:fill="FFF2CC" w:themeFill="accent4" w:themeFillTint="33"/>
            <w:vAlign w:val="center"/>
          </w:tcPr>
          <w:p w14:paraId="588A2485" w14:textId="77777777" w:rsidR="00463981" w:rsidRPr="002F1273" w:rsidRDefault="00463981" w:rsidP="0010235D">
            <w:pPr>
              <w:keepNext/>
              <w:autoSpaceDE w:val="0"/>
              <w:autoSpaceDN w:val="0"/>
              <w:adjustRightInd w:val="0"/>
              <w:spacing w:line="240" w:lineRule="auto"/>
              <w:jc w:val="center"/>
              <w:rPr>
                <w:rFonts w:cstheme="minorHAnsi"/>
                <w:sz w:val="18"/>
                <w:szCs w:val="18"/>
                <w:lang w:eastAsia="pl-PL"/>
              </w:rPr>
            </w:pPr>
            <w:r w:rsidRPr="002F1273">
              <w:rPr>
                <w:rFonts w:cstheme="minorHAnsi"/>
                <w:sz w:val="18"/>
                <w:szCs w:val="18"/>
                <w:lang w:eastAsia="pl-PL"/>
              </w:rPr>
              <w:t>%</w:t>
            </w:r>
          </w:p>
        </w:tc>
        <w:tc>
          <w:tcPr>
            <w:tcW w:w="1701" w:type="dxa"/>
            <w:tcBorders>
              <w:top w:val="single" w:sz="24" w:space="0" w:color="FFFFFF"/>
              <w:left w:val="single" w:sz="24" w:space="0" w:color="FFFFFF"/>
              <w:bottom w:val="single" w:sz="24" w:space="0" w:color="FFFFFF"/>
              <w:right w:val="single" w:sz="24" w:space="0" w:color="FFFFFF"/>
            </w:tcBorders>
            <w:shd w:val="clear" w:color="auto" w:fill="FFF2CC" w:themeFill="accent4" w:themeFillTint="33"/>
            <w:vAlign w:val="center"/>
          </w:tcPr>
          <w:p w14:paraId="7215AD38" w14:textId="77777777" w:rsidR="00B0118C" w:rsidRPr="002F1273" w:rsidRDefault="00B0118C" w:rsidP="00B0118C">
            <w:pPr>
              <w:spacing w:after="0" w:line="276" w:lineRule="auto"/>
              <w:jc w:val="center"/>
              <w:rPr>
                <w:rFonts w:cstheme="minorHAnsi"/>
                <w:sz w:val="18"/>
                <w:szCs w:val="18"/>
              </w:rPr>
            </w:pPr>
            <w:r w:rsidRPr="002F1273">
              <w:rPr>
                <w:rFonts w:eastAsiaTheme="minorEastAsia" w:cstheme="minorHAnsi"/>
                <w:sz w:val="18"/>
                <w:szCs w:val="18"/>
                <w:lang w:eastAsia="pl-PL"/>
              </w:rPr>
              <w:t>61,7</w:t>
            </w:r>
          </w:p>
          <w:p w14:paraId="44A337A0" w14:textId="77777777" w:rsidR="00B0118C" w:rsidRPr="002F1273" w:rsidRDefault="00B0118C" w:rsidP="00B0118C">
            <w:pPr>
              <w:keepNext/>
              <w:autoSpaceDE w:val="0"/>
              <w:autoSpaceDN w:val="0"/>
              <w:adjustRightInd w:val="0"/>
              <w:spacing w:after="0" w:line="240" w:lineRule="auto"/>
              <w:jc w:val="center"/>
              <w:rPr>
                <w:rFonts w:cstheme="minorHAnsi"/>
                <w:sz w:val="18"/>
                <w:szCs w:val="18"/>
              </w:rPr>
            </w:pPr>
            <w:r w:rsidRPr="002F1273">
              <w:rPr>
                <w:rFonts w:eastAsiaTheme="minorEastAsia" w:cstheme="minorHAnsi"/>
                <w:sz w:val="18"/>
                <w:szCs w:val="18"/>
                <w:lang w:eastAsia="pl-PL"/>
              </w:rPr>
              <w:t>(2019)</w:t>
            </w:r>
          </w:p>
          <w:p w14:paraId="66883743" w14:textId="77777777" w:rsidR="00463981" w:rsidRPr="002F1273" w:rsidRDefault="00463981" w:rsidP="00921AFE">
            <w:pPr>
              <w:keepNext/>
              <w:autoSpaceDE w:val="0"/>
              <w:autoSpaceDN w:val="0"/>
              <w:adjustRightInd w:val="0"/>
              <w:spacing w:after="0" w:line="240" w:lineRule="auto"/>
              <w:jc w:val="center"/>
              <w:rPr>
                <w:rFonts w:cstheme="minorHAnsi"/>
                <w:sz w:val="18"/>
                <w:szCs w:val="18"/>
                <w:lang w:eastAsia="pl-PL"/>
              </w:rPr>
            </w:pPr>
          </w:p>
        </w:tc>
        <w:tc>
          <w:tcPr>
            <w:tcW w:w="1559" w:type="dxa"/>
            <w:tcBorders>
              <w:top w:val="single" w:sz="24" w:space="0" w:color="FFFFFF"/>
              <w:left w:val="single" w:sz="24" w:space="0" w:color="FFFFFF"/>
              <w:bottom w:val="single" w:sz="24" w:space="0" w:color="FFFFFF"/>
              <w:right w:val="single" w:sz="24" w:space="0" w:color="FFFFFF"/>
            </w:tcBorders>
            <w:shd w:val="clear" w:color="auto" w:fill="FFF2CC" w:themeFill="accent4" w:themeFillTint="33"/>
            <w:vAlign w:val="center"/>
          </w:tcPr>
          <w:p w14:paraId="764B9108" w14:textId="77777777" w:rsidR="00463981" w:rsidRPr="002F1273" w:rsidRDefault="00463981" w:rsidP="00921AFE">
            <w:pPr>
              <w:spacing w:after="0"/>
              <w:jc w:val="center"/>
              <w:rPr>
                <w:rFonts w:cstheme="minorHAnsi"/>
                <w:sz w:val="18"/>
                <w:szCs w:val="18"/>
              </w:rPr>
            </w:pPr>
            <w:r w:rsidRPr="002F1273">
              <w:rPr>
                <w:rFonts w:cstheme="minorHAnsi"/>
                <w:sz w:val="18"/>
                <w:szCs w:val="18"/>
              </w:rPr>
              <w:t>100,0</w:t>
            </w:r>
          </w:p>
          <w:p w14:paraId="4C07CBE1" w14:textId="77777777" w:rsidR="00463981" w:rsidRPr="002F1273" w:rsidRDefault="00463981" w:rsidP="00921AFE">
            <w:pPr>
              <w:spacing w:after="0"/>
              <w:jc w:val="center"/>
              <w:rPr>
                <w:rFonts w:cstheme="minorHAnsi"/>
                <w:kern w:val="24"/>
                <w:sz w:val="18"/>
                <w:szCs w:val="18"/>
                <w:lang w:eastAsia="pl-PL"/>
              </w:rPr>
            </w:pPr>
            <w:r w:rsidRPr="002F1273">
              <w:rPr>
                <w:rFonts w:cstheme="minorHAnsi"/>
                <w:sz w:val="18"/>
                <w:szCs w:val="18"/>
              </w:rPr>
              <w:t>(2025)</w:t>
            </w:r>
          </w:p>
        </w:tc>
        <w:tc>
          <w:tcPr>
            <w:tcW w:w="1701" w:type="dxa"/>
            <w:tcBorders>
              <w:left w:val="single" w:sz="24" w:space="0" w:color="FFFFFF"/>
              <w:right w:val="single" w:sz="24" w:space="0" w:color="FFFFFF"/>
            </w:tcBorders>
            <w:shd w:val="clear" w:color="auto" w:fill="FFF2CC" w:themeFill="accent4" w:themeFillTint="33"/>
            <w:vAlign w:val="center"/>
          </w:tcPr>
          <w:p w14:paraId="7FEA76BC" w14:textId="77777777" w:rsidR="002F1273" w:rsidRPr="002F1273" w:rsidRDefault="002F1273" w:rsidP="002F1273">
            <w:pPr>
              <w:keepNext/>
              <w:autoSpaceDE w:val="0"/>
              <w:autoSpaceDN w:val="0"/>
              <w:adjustRightInd w:val="0"/>
              <w:jc w:val="center"/>
              <w:rPr>
                <w:rFonts w:cstheme="minorHAnsi"/>
                <w:sz w:val="18"/>
                <w:szCs w:val="18"/>
                <w:lang w:eastAsia="pl-PL"/>
              </w:rPr>
            </w:pPr>
            <w:r w:rsidRPr="002F1273">
              <w:rPr>
                <w:rFonts w:cstheme="minorHAnsi"/>
                <w:sz w:val="18"/>
                <w:szCs w:val="18"/>
                <w:lang w:eastAsia="pl-PL"/>
              </w:rPr>
              <w:t>UKE</w:t>
            </w:r>
          </w:p>
          <w:p w14:paraId="622546D6" w14:textId="77777777" w:rsidR="00463981" w:rsidRPr="002F1273" w:rsidRDefault="00463981" w:rsidP="0010235D">
            <w:pPr>
              <w:keepNext/>
              <w:autoSpaceDE w:val="0"/>
              <w:autoSpaceDN w:val="0"/>
              <w:adjustRightInd w:val="0"/>
              <w:spacing w:after="0"/>
              <w:jc w:val="center"/>
              <w:rPr>
                <w:rFonts w:cstheme="minorHAnsi"/>
                <w:sz w:val="18"/>
                <w:szCs w:val="18"/>
                <w:lang w:eastAsia="pl-PL"/>
              </w:rPr>
            </w:pPr>
          </w:p>
        </w:tc>
        <w:tc>
          <w:tcPr>
            <w:tcW w:w="4961" w:type="dxa"/>
            <w:tcBorders>
              <w:left w:val="single" w:sz="24" w:space="0" w:color="FFFFFF"/>
              <w:right w:val="single" w:sz="24" w:space="0" w:color="FFFFFF"/>
            </w:tcBorders>
            <w:shd w:val="clear" w:color="auto" w:fill="FFF2CC" w:themeFill="accent4" w:themeFillTint="33"/>
          </w:tcPr>
          <w:p w14:paraId="4B1B6040" w14:textId="3F0E5049" w:rsidR="00463981" w:rsidRPr="002F1273" w:rsidRDefault="00463981" w:rsidP="009D1910">
            <w:pPr>
              <w:keepNext/>
              <w:autoSpaceDE w:val="0"/>
              <w:autoSpaceDN w:val="0"/>
              <w:adjustRightInd w:val="0"/>
              <w:ind w:left="84"/>
              <w:jc w:val="both"/>
              <w:rPr>
                <w:rFonts w:eastAsia="HiddenHorzOCR" w:cstheme="minorHAnsi"/>
                <w:sz w:val="18"/>
                <w:szCs w:val="18"/>
              </w:rPr>
            </w:pPr>
            <w:r w:rsidRPr="002F1273">
              <w:rPr>
                <w:rFonts w:eastAsia="HiddenHorzOCR" w:cstheme="minorHAnsi"/>
                <w:sz w:val="18"/>
                <w:szCs w:val="18"/>
              </w:rPr>
              <w:t>Udział gospodarstw domowych posiadających możliwość dostępu do internetu o przepustowości co najmniej 100 Mb/s (z możliwością jej zwiększenia do przepustowości mierzonej w gigabitach) wśród wszystkich gospodarstw domowych w kraju</w:t>
            </w:r>
          </w:p>
        </w:tc>
      </w:tr>
      <w:tr w:rsidR="00AE48DE" w:rsidRPr="00F21196" w14:paraId="341833E7" w14:textId="77777777" w:rsidTr="00463981">
        <w:trPr>
          <w:trHeight w:val="1237"/>
        </w:trPr>
        <w:tc>
          <w:tcPr>
            <w:tcW w:w="3403" w:type="dxa"/>
            <w:tcBorders>
              <w:top w:val="single" w:sz="24" w:space="0" w:color="FFFFFF"/>
              <w:left w:val="single" w:sz="24" w:space="0" w:color="FFFFFF"/>
              <w:bottom w:val="single" w:sz="24" w:space="0" w:color="FFFFFF"/>
              <w:right w:val="single" w:sz="24" w:space="0" w:color="FFFFFF"/>
            </w:tcBorders>
            <w:shd w:val="clear" w:color="auto" w:fill="FFF2CC" w:themeFill="accent4" w:themeFillTint="33"/>
            <w:vAlign w:val="center"/>
          </w:tcPr>
          <w:p w14:paraId="1516B422" w14:textId="297F3BE3" w:rsidR="00AE48DE" w:rsidRPr="002F1273" w:rsidRDefault="00AE48DE" w:rsidP="0010235D">
            <w:pPr>
              <w:keepNext/>
              <w:autoSpaceDE w:val="0"/>
              <w:autoSpaceDN w:val="0"/>
              <w:adjustRightInd w:val="0"/>
              <w:spacing w:line="240" w:lineRule="auto"/>
              <w:rPr>
                <w:rFonts w:eastAsiaTheme="minorEastAsia" w:cstheme="minorHAnsi"/>
                <w:sz w:val="18"/>
                <w:szCs w:val="18"/>
                <w:lang w:eastAsia="pl-PL"/>
              </w:rPr>
            </w:pPr>
            <w:r w:rsidRPr="002F1273">
              <w:rPr>
                <w:rFonts w:eastAsiaTheme="minorEastAsia" w:cstheme="minorHAnsi"/>
                <w:sz w:val="18"/>
                <w:szCs w:val="18"/>
                <w:lang w:eastAsia="pl-PL"/>
              </w:rPr>
              <w:t>Odsetek długości przebiegu tras głównych szlaków komunikacyjnych</w:t>
            </w:r>
            <w:r w:rsidRPr="002F1273">
              <w:rPr>
                <w:rStyle w:val="Odwoanieprzypisudolnego"/>
                <w:rFonts w:eastAsiaTheme="minorEastAsia" w:cstheme="minorHAnsi"/>
                <w:sz w:val="18"/>
                <w:szCs w:val="18"/>
                <w:lang w:eastAsia="pl-PL"/>
              </w:rPr>
              <w:footnoteReference w:id="135"/>
            </w:r>
            <w:r w:rsidRPr="002F1273">
              <w:rPr>
                <w:rFonts w:eastAsiaTheme="minorEastAsia" w:cstheme="minorHAnsi"/>
                <w:sz w:val="18"/>
                <w:szCs w:val="18"/>
                <w:lang w:eastAsia="pl-PL"/>
              </w:rPr>
              <w:t xml:space="preserve"> z „niezakłóconym” dostępem do sieci 5G</w:t>
            </w:r>
          </w:p>
        </w:tc>
        <w:tc>
          <w:tcPr>
            <w:tcW w:w="1276" w:type="dxa"/>
            <w:tcBorders>
              <w:top w:val="single" w:sz="24" w:space="0" w:color="FFFFFF"/>
              <w:left w:val="single" w:sz="24" w:space="0" w:color="FFFFFF"/>
              <w:bottom w:val="single" w:sz="24" w:space="0" w:color="FFFFFF"/>
              <w:right w:val="single" w:sz="24" w:space="0" w:color="FFFFFF"/>
            </w:tcBorders>
            <w:shd w:val="clear" w:color="auto" w:fill="FFF2CC" w:themeFill="accent4" w:themeFillTint="33"/>
            <w:vAlign w:val="center"/>
          </w:tcPr>
          <w:p w14:paraId="230945B5" w14:textId="77777777" w:rsidR="00AE48DE" w:rsidRPr="002F1273" w:rsidRDefault="00AE48DE" w:rsidP="0010235D">
            <w:pPr>
              <w:keepNext/>
              <w:autoSpaceDE w:val="0"/>
              <w:autoSpaceDN w:val="0"/>
              <w:adjustRightInd w:val="0"/>
              <w:spacing w:line="240" w:lineRule="auto"/>
              <w:jc w:val="center"/>
              <w:rPr>
                <w:rFonts w:cstheme="minorHAnsi"/>
                <w:sz w:val="18"/>
                <w:szCs w:val="18"/>
                <w:lang w:eastAsia="pl-PL"/>
              </w:rPr>
            </w:pPr>
            <w:r w:rsidRPr="002F1273">
              <w:rPr>
                <w:rFonts w:cstheme="minorHAnsi"/>
                <w:sz w:val="18"/>
                <w:szCs w:val="18"/>
                <w:lang w:eastAsia="pl-PL"/>
              </w:rPr>
              <w:t>%</w:t>
            </w:r>
          </w:p>
        </w:tc>
        <w:tc>
          <w:tcPr>
            <w:tcW w:w="1701" w:type="dxa"/>
            <w:tcBorders>
              <w:top w:val="single" w:sz="24" w:space="0" w:color="FFFFFF"/>
              <w:left w:val="single" w:sz="24" w:space="0" w:color="FFFFFF"/>
              <w:bottom w:val="single" w:sz="24" w:space="0" w:color="FFFFFF"/>
              <w:right w:val="single" w:sz="24" w:space="0" w:color="FFFFFF"/>
            </w:tcBorders>
            <w:shd w:val="clear" w:color="auto" w:fill="FFF2CC" w:themeFill="accent4" w:themeFillTint="33"/>
            <w:vAlign w:val="center"/>
          </w:tcPr>
          <w:p w14:paraId="35C403ED" w14:textId="77777777" w:rsidR="00AE48DE" w:rsidRPr="002F1273" w:rsidRDefault="00AE48DE" w:rsidP="0010235D">
            <w:pPr>
              <w:keepNext/>
              <w:autoSpaceDE w:val="0"/>
              <w:autoSpaceDN w:val="0"/>
              <w:adjustRightInd w:val="0"/>
              <w:spacing w:after="0" w:line="240" w:lineRule="auto"/>
              <w:jc w:val="center"/>
              <w:rPr>
                <w:rFonts w:eastAsiaTheme="minorEastAsia" w:cstheme="minorHAnsi"/>
                <w:sz w:val="18"/>
                <w:szCs w:val="18"/>
                <w:lang w:eastAsia="pl-PL"/>
              </w:rPr>
            </w:pPr>
            <w:r w:rsidRPr="002F1273">
              <w:rPr>
                <w:rFonts w:eastAsiaTheme="minorEastAsia" w:cstheme="minorHAnsi"/>
                <w:sz w:val="18"/>
                <w:szCs w:val="18"/>
                <w:lang w:eastAsia="pl-PL"/>
              </w:rPr>
              <w:t>0</w:t>
            </w:r>
          </w:p>
          <w:p w14:paraId="3BD76667" w14:textId="5E298E6F" w:rsidR="00AE48DE" w:rsidRPr="002F1273" w:rsidRDefault="00AE48DE" w:rsidP="0010235D">
            <w:pPr>
              <w:keepNext/>
              <w:autoSpaceDE w:val="0"/>
              <w:autoSpaceDN w:val="0"/>
              <w:adjustRightInd w:val="0"/>
              <w:spacing w:after="0" w:line="240" w:lineRule="auto"/>
              <w:jc w:val="center"/>
              <w:rPr>
                <w:rFonts w:eastAsiaTheme="minorEastAsia" w:cstheme="minorHAnsi"/>
                <w:sz w:val="18"/>
                <w:szCs w:val="18"/>
                <w:lang w:eastAsia="pl-PL"/>
              </w:rPr>
            </w:pPr>
            <w:r w:rsidRPr="002F1273">
              <w:rPr>
                <w:rFonts w:eastAsiaTheme="minorEastAsia" w:cstheme="minorHAnsi"/>
                <w:sz w:val="18"/>
                <w:szCs w:val="18"/>
                <w:lang w:eastAsia="pl-PL"/>
              </w:rPr>
              <w:t>(2019)</w:t>
            </w:r>
          </w:p>
          <w:p w14:paraId="518045F3" w14:textId="77777777" w:rsidR="00AE48DE" w:rsidRPr="002F1273" w:rsidRDefault="00AE48DE" w:rsidP="0010235D">
            <w:pPr>
              <w:keepNext/>
              <w:autoSpaceDE w:val="0"/>
              <w:autoSpaceDN w:val="0"/>
              <w:adjustRightInd w:val="0"/>
              <w:spacing w:after="0" w:line="240" w:lineRule="auto"/>
              <w:jc w:val="center"/>
              <w:rPr>
                <w:rFonts w:cstheme="minorHAnsi"/>
                <w:sz w:val="18"/>
                <w:szCs w:val="18"/>
                <w:lang w:eastAsia="pl-PL"/>
              </w:rPr>
            </w:pPr>
          </w:p>
        </w:tc>
        <w:tc>
          <w:tcPr>
            <w:tcW w:w="1559" w:type="dxa"/>
            <w:tcBorders>
              <w:top w:val="single" w:sz="24" w:space="0" w:color="FFFFFF"/>
              <w:left w:val="single" w:sz="24" w:space="0" w:color="FFFFFF"/>
              <w:bottom w:val="single" w:sz="24" w:space="0" w:color="FFFFFF"/>
              <w:right w:val="single" w:sz="24" w:space="0" w:color="FFFFFF"/>
            </w:tcBorders>
            <w:shd w:val="clear" w:color="auto" w:fill="FFF2CC" w:themeFill="accent4" w:themeFillTint="33"/>
            <w:vAlign w:val="center"/>
          </w:tcPr>
          <w:p w14:paraId="76B93CF3" w14:textId="77777777" w:rsidR="00AE48DE" w:rsidRPr="002F1273" w:rsidRDefault="00AE48DE" w:rsidP="0010235D">
            <w:pPr>
              <w:keepNext/>
              <w:autoSpaceDE w:val="0"/>
              <w:autoSpaceDN w:val="0"/>
              <w:adjustRightInd w:val="0"/>
              <w:spacing w:line="240" w:lineRule="auto"/>
              <w:jc w:val="center"/>
              <w:rPr>
                <w:rFonts w:eastAsiaTheme="minorEastAsia" w:cstheme="minorHAnsi"/>
                <w:sz w:val="18"/>
                <w:szCs w:val="18"/>
                <w:lang w:eastAsia="pl-PL"/>
              </w:rPr>
            </w:pPr>
            <w:r w:rsidRPr="002F1273">
              <w:rPr>
                <w:rFonts w:eastAsiaTheme="minorEastAsia" w:cstheme="minorHAnsi"/>
                <w:sz w:val="18"/>
                <w:szCs w:val="18"/>
                <w:lang w:eastAsia="pl-PL"/>
              </w:rPr>
              <w:t>100,0</w:t>
            </w:r>
          </w:p>
          <w:p w14:paraId="3B64210D" w14:textId="77777777" w:rsidR="00AE48DE" w:rsidRPr="002F1273" w:rsidRDefault="00AE48DE" w:rsidP="0010235D">
            <w:pPr>
              <w:keepNext/>
              <w:autoSpaceDE w:val="0"/>
              <w:autoSpaceDN w:val="0"/>
              <w:adjustRightInd w:val="0"/>
              <w:spacing w:after="0" w:line="240" w:lineRule="auto"/>
              <w:jc w:val="center"/>
              <w:rPr>
                <w:rFonts w:cstheme="minorHAnsi"/>
                <w:sz w:val="18"/>
                <w:szCs w:val="18"/>
                <w:lang w:eastAsia="pl-PL"/>
              </w:rPr>
            </w:pPr>
            <w:r w:rsidRPr="002F1273">
              <w:rPr>
                <w:rFonts w:eastAsiaTheme="minorEastAsia" w:cstheme="minorHAnsi"/>
                <w:sz w:val="18"/>
                <w:szCs w:val="18"/>
                <w:lang w:eastAsia="pl-PL"/>
              </w:rPr>
              <w:t>(2025)</w:t>
            </w:r>
          </w:p>
        </w:tc>
        <w:tc>
          <w:tcPr>
            <w:tcW w:w="1701" w:type="dxa"/>
            <w:vMerge w:val="restart"/>
            <w:tcBorders>
              <w:left w:val="single" w:sz="24" w:space="0" w:color="FFFFFF"/>
              <w:right w:val="single" w:sz="24" w:space="0" w:color="FFFFFF"/>
            </w:tcBorders>
            <w:shd w:val="clear" w:color="auto" w:fill="FFF2CC" w:themeFill="accent4" w:themeFillTint="33"/>
            <w:vAlign w:val="center"/>
          </w:tcPr>
          <w:p w14:paraId="0B54C36C" w14:textId="69BC6C67" w:rsidR="00AE48DE" w:rsidRPr="002F1273" w:rsidRDefault="00E9243F" w:rsidP="009D1910">
            <w:pPr>
              <w:keepNext/>
              <w:autoSpaceDE w:val="0"/>
              <w:autoSpaceDN w:val="0"/>
              <w:adjustRightInd w:val="0"/>
              <w:spacing w:after="0"/>
              <w:jc w:val="center"/>
              <w:rPr>
                <w:rFonts w:cstheme="minorHAnsi"/>
                <w:sz w:val="18"/>
                <w:szCs w:val="18"/>
                <w:lang w:eastAsia="pl-PL"/>
              </w:rPr>
            </w:pPr>
            <w:r w:rsidRPr="002F1273">
              <w:rPr>
                <w:rFonts w:cstheme="minorHAnsi"/>
                <w:sz w:val="18"/>
                <w:szCs w:val="18"/>
                <w:lang w:eastAsia="pl-PL"/>
              </w:rPr>
              <w:t>KPRM</w:t>
            </w:r>
          </w:p>
        </w:tc>
        <w:tc>
          <w:tcPr>
            <w:tcW w:w="4961" w:type="dxa"/>
            <w:tcBorders>
              <w:left w:val="single" w:sz="24" w:space="0" w:color="FFFFFF"/>
              <w:right w:val="single" w:sz="24" w:space="0" w:color="FFFFFF"/>
            </w:tcBorders>
            <w:shd w:val="clear" w:color="auto" w:fill="FFF2CC" w:themeFill="accent4" w:themeFillTint="33"/>
          </w:tcPr>
          <w:p w14:paraId="4DD9B597" w14:textId="77777777" w:rsidR="00AE48DE" w:rsidRPr="002F1273" w:rsidRDefault="00AE48DE" w:rsidP="004D230E">
            <w:pPr>
              <w:keepNext/>
              <w:autoSpaceDE w:val="0"/>
              <w:autoSpaceDN w:val="0"/>
              <w:adjustRightInd w:val="0"/>
              <w:ind w:left="84"/>
              <w:rPr>
                <w:rFonts w:eastAsia="HiddenHorzOCR" w:cstheme="minorHAnsi"/>
                <w:sz w:val="18"/>
                <w:szCs w:val="18"/>
              </w:rPr>
            </w:pPr>
            <w:r w:rsidRPr="002F1273">
              <w:rPr>
                <w:rFonts w:eastAsia="HiddenHorzOCR" w:cstheme="minorHAnsi"/>
                <w:sz w:val="18"/>
                <w:szCs w:val="18"/>
              </w:rPr>
              <w:t>Udział długości przebiegu szlaków komunikacyjnych, na których została zapewniona możliwość dostępu do sieci 5G, w całkowitej długości sieci TEN-T przebiegającej przez Polskę.</w:t>
            </w:r>
          </w:p>
        </w:tc>
      </w:tr>
      <w:tr w:rsidR="00AE48DE" w:rsidRPr="00F21196" w14:paraId="4677D71D" w14:textId="77777777" w:rsidTr="00463981">
        <w:trPr>
          <w:trHeight w:val="924"/>
        </w:trPr>
        <w:tc>
          <w:tcPr>
            <w:tcW w:w="3403" w:type="dxa"/>
            <w:tcBorders>
              <w:top w:val="single" w:sz="24" w:space="0" w:color="FFFFFF"/>
              <w:left w:val="single" w:sz="24" w:space="0" w:color="FFFFFF"/>
              <w:bottom w:val="single" w:sz="24" w:space="0" w:color="FFFFFF"/>
              <w:right w:val="single" w:sz="24" w:space="0" w:color="FFFFFF"/>
            </w:tcBorders>
            <w:shd w:val="clear" w:color="auto" w:fill="FFF2CC" w:themeFill="accent4" w:themeFillTint="33"/>
            <w:vAlign w:val="center"/>
          </w:tcPr>
          <w:p w14:paraId="1F8BFACA" w14:textId="7070B67D" w:rsidR="00AE48DE" w:rsidRPr="002F1273" w:rsidRDefault="00AE48DE" w:rsidP="0010235D">
            <w:pPr>
              <w:keepNext/>
              <w:autoSpaceDE w:val="0"/>
              <w:autoSpaceDN w:val="0"/>
              <w:adjustRightInd w:val="0"/>
              <w:spacing w:line="240" w:lineRule="auto"/>
              <w:rPr>
                <w:rFonts w:eastAsiaTheme="minorEastAsia" w:cstheme="minorHAnsi"/>
                <w:sz w:val="18"/>
                <w:szCs w:val="18"/>
                <w:lang w:eastAsia="pl-PL"/>
              </w:rPr>
            </w:pPr>
            <w:r w:rsidRPr="002F1273">
              <w:rPr>
                <w:rFonts w:eastAsiaTheme="minorEastAsia" w:cstheme="minorHAnsi"/>
                <w:sz w:val="18"/>
                <w:szCs w:val="18"/>
                <w:lang w:eastAsia="pl-PL"/>
              </w:rPr>
              <w:t>Liczba obszarów miejskich</w:t>
            </w:r>
            <w:r w:rsidRPr="002F1273">
              <w:rPr>
                <w:rStyle w:val="Odwoanieprzypisudolnego"/>
                <w:rFonts w:eastAsiaTheme="minorEastAsia" w:cstheme="minorHAnsi"/>
                <w:sz w:val="18"/>
                <w:szCs w:val="18"/>
                <w:lang w:eastAsia="pl-PL"/>
              </w:rPr>
              <w:footnoteReference w:id="136"/>
            </w:r>
            <w:r w:rsidRPr="002F1273">
              <w:rPr>
                <w:rFonts w:eastAsiaTheme="minorEastAsia" w:cstheme="minorHAnsi"/>
                <w:sz w:val="18"/>
                <w:szCs w:val="18"/>
                <w:lang w:eastAsia="pl-PL"/>
              </w:rPr>
              <w:t xml:space="preserve"> w Polsce posiadająca w pełni rozwiniętą usługę komercyjną łączności 5G</w:t>
            </w:r>
          </w:p>
        </w:tc>
        <w:tc>
          <w:tcPr>
            <w:tcW w:w="1276" w:type="dxa"/>
            <w:tcBorders>
              <w:top w:val="single" w:sz="24" w:space="0" w:color="FFFFFF"/>
              <w:left w:val="single" w:sz="24" w:space="0" w:color="FFFFFF"/>
              <w:bottom w:val="single" w:sz="24" w:space="0" w:color="FFFFFF"/>
              <w:right w:val="single" w:sz="24" w:space="0" w:color="FFFFFF"/>
            </w:tcBorders>
            <w:shd w:val="clear" w:color="auto" w:fill="FFF2CC" w:themeFill="accent4" w:themeFillTint="33"/>
            <w:vAlign w:val="center"/>
          </w:tcPr>
          <w:p w14:paraId="5820D100" w14:textId="77777777" w:rsidR="00AE48DE" w:rsidRPr="002F1273" w:rsidRDefault="00AE48DE" w:rsidP="0010235D">
            <w:pPr>
              <w:keepNext/>
              <w:autoSpaceDE w:val="0"/>
              <w:autoSpaceDN w:val="0"/>
              <w:adjustRightInd w:val="0"/>
              <w:spacing w:line="240" w:lineRule="auto"/>
              <w:jc w:val="center"/>
              <w:rPr>
                <w:rFonts w:cstheme="minorHAnsi"/>
                <w:sz w:val="18"/>
                <w:szCs w:val="18"/>
                <w:lang w:eastAsia="pl-PL"/>
              </w:rPr>
            </w:pPr>
            <w:r w:rsidRPr="002F1273">
              <w:rPr>
                <w:rFonts w:cstheme="minorHAnsi"/>
                <w:sz w:val="18"/>
                <w:szCs w:val="18"/>
                <w:lang w:eastAsia="pl-PL"/>
              </w:rPr>
              <w:t>Liczba</w:t>
            </w:r>
          </w:p>
        </w:tc>
        <w:tc>
          <w:tcPr>
            <w:tcW w:w="1701" w:type="dxa"/>
            <w:tcBorders>
              <w:top w:val="single" w:sz="24" w:space="0" w:color="FFFFFF"/>
              <w:left w:val="single" w:sz="24" w:space="0" w:color="FFFFFF"/>
              <w:bottom w:val="single" w:sz="24" w:space="0" w:color="FFFFFF"/>
              <w:right w:val="single" w:sz="24" w:space="0" w:color="FFFFFF"/>
            </w:tcBorders>
            <w:shd w:val="clear" w:color="auto" w:fill="FFF2CC" w:themeFill="accent4" w:themeFillTint="33"/>
            <w:vAlign w:val="center"/>
          </w:tcPr>
          <w:p w14:paraId="7DFEE0FC" w14:textId="77777777" w:rsidR="00AE48DE" w:rsidRPr="002F1273" w:rsidRDefault="00AE48DE" w:rsidP="0010235D">
            <w:pPr>
              <w:keepNext/>
              <w:autoSpaceDE w:val="0"/>
              <w:autoSpaceDN w:val="0"/>
              <w:adjustRightInd w:val="0"/>
              <w:spacing w:after="0" w:line="240" w:lineRule="auto"/>
              <w:jc w:val="center"/>
              <w:rPr>
                <w:rFonts w:eastAsiaTheme="minorEastAsia" w:cstheme="minorHAnsi"/>
                <w:sz w:val="18"/>
                <w:szCs w:val="18"/>
                <w:lang w:eastAsia="pl-PL"/>
              </w:rPr>
            </w:pPr>
            <w:r w:rsidRPr="002F1273">
              <w:rPr>
                <w:rFonts w:eastAsiaTheme="minorEastAsia" w:cstheme="minorHAnsi"/>
                <w:sz w:val="18"/>
                <w:szCs w:val="18"/>
                <w:lang w:eastAsia="pl-PL"/>
              </w:rPr>
              <w:t>0</w:t>
            </w:r>
          </w:p>
          <w:p w14:paraId="360A2AA5" w14:textId="633A6BD8" w:rsidR="00AE48DE" w:rsidRPr="002F1273" w:rsidRDefault="00AE48DE" w:rsidP="00B0118C">
            <w:pPr>
              <w:keepNext/>
              <w:autoSpaceDE w:val="0"/>
              <w:autoSpaceDN w:val="0"/>
              <w:adjustRightInd w:val="0"/>
              <w:spacing w:after="0" w:line="240" w:lineRule="auto"/>
              <w:jc w:val="center"/>
              <w:rPr>
                <w:rFonts w:cstheme="minorHAnsi"/>
                <w:sz w:val="18"/>
                <w:szCs w:val="18"/>
                <w:lang w:eastAsia="pl-PL"/>
              </w:rPr>
            </w:pPr>
            <w:r w:rsidRPr="002F1273">
              <w:rPr>
                <w:rFonts w:eastAsiaTheme="minorEastAsia" w:cstheme="minorHAnsi"/>
                <w:sz w:val="18"/>
                <w:szCs w:val="18"/>
                <w:lang w:eastAsia="pl-PL"/>
              </w:rPr>
              <w:t>(2019)</w:t>
            </w:r>
          </w:p>
        </w:tc>
        <w:tc>
          <w:tcPr>
            <w:tcW w:w="1559" w:type="dxa"/>
            <w:tcBorders>
              <w:top w:val="single" w:sz="24" w:space="0" w:color="FFFFFF"/>
              <w:left w:val="single" w:sz="24" w:space="0" w:color="FFFFFF"/>
              <w:bottom w:val="single" w:sz="24" w:space="0" w:color="FFFFFF"/>
              <w:right w:val="single" w:sz="24" w:space="0" w:color="FFFFFF"/>
            </w:tcBorders>
            <w:shd w:val="clear" w:color="auto" w:fill="FFF2CC" w:themeFill="accent4" w:themeFillTint="33"/>
            <w:vAlign w:val="center"/>
          </w:tcPr>
          <w:p w14:paraId="4DC04C6F" w14:textId="77777777" w:rsidR="00AE48DE" w:rsidRPr="002F1273" w:rsidRDefault="00AE48DE" w:rsidP="0010235D">
            <w:pPr>
              <w:jc w:val="center"/>
              <w:rPr>
                <w:rFonts w:cstheme="minorHAnsi"/>
                <w:sz w:val="18"/>
                <w:szCs w:val="18"/>
              </w:rPr>
            </w:pPr>
            <w:r w:rsidRPr="002F1273">
              <w:rPr>
                <w:rFonts w:cstheme="minorHAnsi"/>
                <w:sz w:val="18"/>
                <w:szCs w:val="18"/>
              </w:rPr>
              <w:t>69,0</w:t>
            </w:r>
          </w:p>
          <w:p w14:paraId="65412AE5" w14:textId="77777777" w:rsidR="00AE48DE" w:rsidRPr="002F1273" w:rsidRDefault="00AE48DE" w:rsidP="0010235D">
            <w:pPr>
              <w:keepNext/>
              <w:autoSpaceDE w:val="0"/>
              <w:autoSpaceDN w:val="0"/>
              <w:adjustRightInd w:val="0"/>
              <w:spacing w:after="0" w:line="240" w:lineRule="auto"/>
              <w:jc w:val="center"/>
              <w:rPr>
                <w:rFonts w:cstheme="minorHAnsi"/>
                <w:sz w:val="18"/>
                <w:szCs w:val="18"/>
                <w:lang w:eastAsia="pl-PL"/>
              </w:rPr>
            </w:pPr>
            <w:r w:rsidRPr="002F1273">
              <w:rPr>
                <w:rFonts w:cstheme="minorHAnsi"/>
                <w:sz w:val="18"/>
                <w:szCs w:val="18"/>
              </w:rPr>
              <w:t>(2025)</w:t>
            </w:r>
          </w:p>
        </w:tc>
        <w:tc>
          <w:tcPr>
            <w:tcW w:w="1701" w:type="dxa"/>
            <w:vMerge/>
            <w:tcBorders>
              <w:left w:val="single" w:sz="24" w:space="0" w:color="FFFFFF"/>
              <w:right w:val="single" w:sz="24" w:space="0" w:color="FFFFFF"/>
            </w:tcBorders>
            <w:shd w:val="clear" w:color="auto" w:fill="FFF2CC" w:themeFill="accent4" w:themeFillTint="33"/>
            <w:vAlign w:val="center"/>
          </w:tcPr>
          <w:p w14:paraId="1017749A" w14:textId="5CD84EB9" w:rsidR="00AE48DE" w:rsidRPr="002F1273" w:rsidRDefault="00AE48DE" w:rsidP="009D1910">
            <w:pPr>
              <w:keepNext/>
              <w:autoSpaceDE w:val="0"/>
              <w:autoSpaceDN w:val="0"/>
              <w:adjustRightInd w:val="0"/>
              <w:spacing w:after="0"/>
              <w:jc w:val="center"/>
              <w:rPr>
                <w:rFonts w:cstheme="minorHAnsi"/>
                <w:sz w:val="18"/>
                <w:szCs w:val="18"/>
                <w:lang w:eastAsia="pl-PL"/>
              </w:rPr>
            </w:pPr>
          </w:p>
        </w:tc>
        <w:tc>
          <w:tcPr>
            <w:tcW w:w="4961" w:type="dxa"/>
            <w:tcBorders>
              <w:left w:val="single" w:sz="24" w:space="0" w:color="FFFFFF"/>
              <w:right w:val="single" w:sz="24" w:space="0" w:color="FFFFFF"/>
            </w:tcBorders>
            <w:shd w:val="clear" w:color="auto" w:fill="FFF2CC" w:themeFill="accent4" w:themeFillTint="33"/>
          </w:tcPr>
          <w:p w14:paraId="6EE0F083" w14:textId="77777777" w:rsidR="00AE48DE" w:rsidRPr="002F1273" w:rsidRDefault="00AE48DE" w:rsidP="004D230E">
            <w:pPr>
              <w:keepNext/>
              <w:autoSpaceDE w:val="0"/>
              <w:autoSpaceDN w:val="0"/>
              <w:adjustRightInd w:val="0"/>
              <w:ind w:left="84"/>
              <w:rPr>
                <w:rFonts w:eastAsia="HiddenHorzOCR" w:cstheme="minorHAnsi"/>
                <w:sz w:val="18"/>
                <w:szCs w:val="18"/>
              </w:rPr>
            </w:pPr>
            <w:r w:rsidRPr="002F1273">
              <w:rPr>
                <w:rFonts w:eastAsia="HiddenHorzOCR" w:cstheme="minorHAnsi"/>
                <w:sz w:val="18"/>
                <w:szCs w:val="18"/>
              </w:rPr>
              <w:t>Liczba obszarów miejskich posiadająca możliwość dostępu do sieci 5G w Polsce.</w:t>
            </w:r>
          </w:p>
        </w:tc>
      </w:tr>
      <w:tr w:rsidR="00AE48DE" w:rsidRPr="00F21196" w14:paraId="63024E74" w14:textId="77777777" w:rsidTr="00463981">
        <w:trPr>
          <w:trHeight w:val="924"/>
        </w:trPr>
        <w:tc>
          <w:tcPr>
            <w:tcW w:w="3403" w:type="dxa"/>
            <w:tcBorders>
              <w:top w:val="single" w:sz="24" w:space="0" w:color="FFFFFF"/>
              <w:left w:val="single" w:sz="24" w:space="0" w:color="FFFFFF"/>
              <w:bottom w:val="single" w:sz="24" w:space="0" w:color="FFFFFF"/>
              <w:right w:val="single" w:sz="24" w:space="0" w:color="FFFFFF"/>
            </w:tcBorders>
            <w:shd w:val="clear" w:color="auto" w:fill="FFF2CC" w:themeFill="accent4" w:themeFillTint="33"/>
            <w:vAlign w:val="center"/>
          </w:tcPr>
          <w:p w14:paraId="7E844162" w14:textId="77777777" w:rsidR="00AE48DE" w:rsidRPr="002F1273" w:rsidRDefault="00AE48DE" w:rsidP="009D1910">
            <w:pPr>
              <w:keepNext/>
              <w:autoSpaceDE w:val="0"/>
              <w:autoSpaceDN w:val="0"/>
              <w:adjustRightInd w:val="0"/>
              <w:spacing w:line="240" w:lineRule="auto"/>
              <w:rPr>
                <w:rFonts w:eastAsiaTheme="minorEastAsia" w:cstheme="minorHAnsi"/>
                <w:sz w:val="18"/>
                <w:szCs w:val="18"/>
                <w:lang w:eastAsia="pl-PL"/>
              </w:rPr>
            </w:pPr>
            <w:r w:rsidRPr="002F1273">
              <w:rPr>
                <w:rFonts w:eastAsiaTheme="minorEastAsia" w:cstheme="minorHAnsi"/>
                <w:sz w:val="18"/>
                <w:szCs w:val="18"/>
                <w:lang w:eastAsia="pl-PL"/>
              </w:rPr>
              <w:t>Liczba użytkowników portalu dane.gov.pl</w:t>
            </w:r>
          </w:p>
        </w:tc>
        <w:tc>
          <w:tcPr>
            <w:tcW w:w="1276" w:type="dxa"/>
            <w:tcBorders>
              <w:top w:val="single" w:sz="24" w:space="0" w:color="FFFFFF"/>
              <w:left w:val="single" w:sz="24" w:space="0" w:color="FFFFFF"/>
              <w:bottom w:val="single" w:sz="24" w:space="0" w:color="FFFFFF"/>
              <w:right w:val="single" w:sz="24" w:space="0" w:color="FFFFFF"/>
            </w:tcBorders>
            <w:shd w:val="clear" w:color="auto" w:fill="FFF2CC" w:themeFill="accent4" w:themeFillTint="33"/>
            <w:vAlign w:val="center"/>
          </w:tcPr>
          <w:p w14:paraId="32CD423D" w14:textId="77777777" w:rsidR="00AE48DE" w:rsidRPr="002F1273" w:rsidRDefault="00AE48DE" w:rsidP="009D1910">
            <w:pPr>
              <w:keepNext/>
              <w:autoSpaceDE w:val="0"/>
              <w:autoSpaceDN w:val="0"/>
              <w:adjustRightInd w:val="0"/>
              <w:spacing w:line="240" w:lineRule="auto"/>
              <w:jc w:val="center"/>
              <w:rPr>
                <w:rFonts w:cstheme="minorHAnsi"/>
                <w:sz w:val="18"/>
                <w:szCs w:val="18"/>
                <w:lang w:eastAsia="pl-PL"/>
              </w:rPr>
            </w:pPr>
            <w:r w:rsidRPr="002F1273">
              <w:rPr>
                <w:rFonts w:cstheme="minorHAnsi"/>
                <w:sz w:val="18"/>
                <w:szCs w:val="18"/>
                <w:lang w:eastAsia="pl-PL"/>
              </w:rPr>
              <w:t>Liczba</w:t>
            </w:r>
          </w:p>
        </w:tc>
        <w:tc>
          <w:tcPr>
            <w:tcW w:w="1701" w:type="dxa"/>
            <w:tcBorders>
              <w:top w:val="single" w:sz="24" w:space="0" w:color="FFFFFF"/>
              <w:left w:val="single" w:sz="24" w:space="0" w:color="FFFFFF"/>
              <w:bottom w:val="single" w:sz="24" w:space="0" w:color="FFFFFF"/>
              <w:right w:val="single" w:sz="24" w:space="0" w:color="FFFFFF"/>
            </w:tcBorders>
            <w:shd w:val="clear" w:color="auto" w:fill="FFF2CC" w:themeFill="accent4" w:themeFillTint="33"/>
            <w:vAlign w:val="center"/>
          </w:tcPr>
          <w:p w14:paraId="0772FEE5" w14:textId="77777777" w:rsidR="00AE48DE" w:rsidRPr="002F1273" w:rsidRDefault="00AE48DE" w:rsidP="009D1910">
            <w:pPr>
              <w:keepNext/>
              <w:autoSpaceDE w:val="0"/>
              <w:autoSpaceDN w:val="0"/>
              <w:adjustRightInd w:val="0"/>
              <w:spacing w:after="0" w:line="240" w:lineRule="auto"/>
              <w:jc w:val="center"/>
              <w:rPr>
                <w:rFonts w:eastAsiaTheme="minorEastAsia" w:cstheme="minorHAnsi"/>
                <w:sz w:val="18"/>
                <w:szCs w:val="18"/>
                <w:lang w:eastAsia="pl-PL"/>
              </w:rPr>
            </w:pPr>
            <w:r w:rsidRPr="002F1273">
              <w:rPr>
                <w:rFonts w:eastAsiaTheme="minorEastAsia" w:cstheme="minorHAnsi"/>
                <w:sz w:val="18"/>
                <w:szCs w:val="18"/>
                <w:lang w:eastAsia="pl-PL"/>
              </w:rPr>
              <w:t>69 112</w:t>
            </w:r>
          </w:p>
          <w:p w14:paraId="61A95DC6" w14:textId="77777777" w:rsidR="00AE48DE" w:rsidRPr="002F1273" w:rsidRDefault="00AE48DE" w:rsidP="009D1910">
            <w:pPr>
              <w:keepNext/>
              <w:autoSpaceDE w:val="0"/>
              <w:autoSpaceDN w:val="0"/>
              <w:adjustRightInd w:val="0"/>
              <w:spacing w:after="0" w:line="240" w:lineRule="auto"/>
              <w:jc w:val="center"/>
              <w:rPr>
                <w:rFonts w:eastAsiaTheme="minorEastAsia" w:cstheme="minorHAnsi"/>
                <w:sz w:val="18"/>
                <w:szCs w:val="18"/>
                <w:lang w:eastAsia="pl-PL"/>
              </w:rPr>
            </w:pPr>
            <w:r w:rsidRPr="002F1273">
              <w:rPr>
                <w:rFonts w:eastAsiaTheme="minorEastAsia" w:cstheme="minorHAnsi"/>
                <w:sz w:val="18"/>
                <w:szCs w:val="18"/>
                <w:lang w:eastAsia="pl-PL"/>
              </w:rPr>
              <w:t>(2016)</w:t>
            </w:r>
          </w:p>
        </w:tc>
        <w:tc>
          <w:tcPr>
            <w:tcW w:w="1559" w:type="dxa"/>
            <w:tcBorders>
              <w:top w:val="single" w:sz="24" w:space="0" w:color="FFFFFF"/>
              <w:left w:val="single" w:sz="24" w:space="0" w:color="FFFFFF"/>
              <w:bottom w:val="single" w:sz="24" w:space="0" w:color="FFFFFF"/>
              <w:right w:val="single" w:sz="24" w:space="0" w:color="FFFFFF"/>
            </w:tcBorders>
            <w:shd w:val="clear" w:color="auto" w:fill="FFF2CC" w:themeFill="accent4" w:themeFillTint="33"/>
            <w:vAlign w:val="center"/>
          </w:tcPr>
          <w:p w14:paraId="6498E641" w14:textId="448E04D6" w:rsidR="00AE48DE" w:rsidRPr="002F1273" w:rsidRDefault="00AE48DE" w:rsidP="009D1910">
            <w:pPr>
              <w:jc w:val="center"/>
              <w:rPr>
                <w:rFonts w:cstheme="minorHAnsi"/>
                <w:sz w:val="18"/>
                <w:szCs w:val="18"/>
              </w:rPr>
            </w:pPr>
            <w:r w:rsidRPr="002F1273">
              <w:rPr>
                <w:rFonts w:cstheme="minorHAnsi"/>
                <w:sz w:val="18"/>
                <w:szCs w:val="18"/>
              </w:rPr>
              <w:t>600 000</w:t>
            </w:r>
          </w:p>
        </w:tc>
        <w:tc>
          <w:tcPr>
            <w:tcW w:w="1701" w:type="dxa"/>
            <w:vMerge/>
            <w:tcBorders>
              <w:left w:val="single" w:sz="24" w:space="0" w:color="FFFFFF"/>
              <w:right w:val="single" w:sz="24" w:space="0" w:color="FFFFFF"/>
            </w:tcBorders>
            <w:shd w:val="clear" w:color="auto" w:fill="FFF2CC" w:themeFill="accent4" w:themeFillTint="33"/>
            <w:vAlign w:val="center"/>
          </w:tcPr>
          <w:p w14:paraId="58C62CA5" w14:textId="5CEBEF12" w:rsidR="00AE48DE" w:rsidRPr="002F1273" w:rsidRDefault="00AE48DE" w:rsidP="009D1910">
            <w:pPr>
              <w:keepNext/>
              <w:autoSpaceDE w:val="0"/>
              <w:autoSpaceDN w:val="0"/>
              <w:adjustRightInd w:val="0"/>
              <w:spacing w:after="0"/>
              <w:jc w:val="center"/>
              <w:rPr>
                <w:rFonts w:cstheme="minorHAnsi"/>
                <w:sz w:val="18"/>
                <w:szCs w:val="18"/>
                <w:lang w:eastAsia="pl-PL"/>
              </w:rPr>
            </w:pPr>
          </w:p>
        </w:tc>
        <w:tc>
          <w:tcPr>
            <w:tcW w:w="4961" w:type="dxa"/>
            <w:tcBorders>
              <w:left w:val="single" w:sz="24" w:space="0" w:color="FFFFFF"/>
              <w:right w:val="single" w:sz="24" w:space="0" w:color="FFFFFF"/>
            </w:tcBorders>
            <w:shd w:val="clear" w:color="auto" w:fill="FFF2CC" w:themeFill="accent4" w:themeFillTint="33"/>
          </w:tcPr>
          <w:p w14:paraId="45AB9866" w14:textId="77777777" w:rsidR="00AE48DE" w:rsidRPr="002F1273" w:rsidRDefault="00AE48DE" w:rsidP="009D1910">
            <w:pPr>
              <w:keepNext/>
              <w:autoSpaceDE w:val="0"/>
              <w:autoSpaceDN w:val="0"/>
              <w:adjustRightInd w:val="0"/>
              <w:ind w:left="84"/>
              <w:rPr>
                <w:rFonts w:eastAsia="HiddenHorzOCR" w:cstheme="minorHAnsi"/>
                <w:sz w:val="18"/>
                <w:szCs w:val="18"/>
              </w:rPr>
            </w:pPr>
            <w:r w:rsidRPr="002F1273">
              <w:rPr>
                <w:rFonts w:eastAsia="HiddenHorzOCR" w:cstheme="minorHAnsi"/>
                <w:sz w:val="18"/>
                <w:szCs w:val="18"/>
              </w:rPr>
              <w:t>Liczba użytkowników, czyli każdej osoby korzystającej z centralnego repozytorium zgodnie z rozporządzeniem w sprawie Centralnego Repozytorium Informacji Publicznej.</w:t>
            </w:r>
          </w:p>
        </w:tc>
      </w:tr>
      <w:tr w:rsidR="00463981" w:rsidRPr="00F21196" w14:paraId="3C4D1793" w14:textId="77777777" w:rsidTr="00463981">
        <w:trPr>
          <w:trHeight w:val="924"/>
        </w:trPr>
        <w:tc>
          <w:tcPr>
            <w:tcW w:w="3403" w:type="dxa"/>
            <w:tcBorders>
              <w:top w:val="single" w:sz="24" w:space="0" w:color="FFFFFF"/>
              <w:left w:val="single" w:sz="24" w:space="0" w:color="FFFFFF"/>
              <w:bottom w:val="single" w:sz="24" w:space="0" w:color="FFFFFF"/>
              <w:right w:val="single" w:sz="24" w:space="0" w:color="FFFFFF"/>
            </w:tcBorders>
            <w:shd w:val="clear" w:color="auto" w:fill="FFF2CC" w:themeFill="accent4" w:themeFillTint="33"/>
            <w:vAlign w:val="center"/>
          </w:tcPr>
          <w:p w14:paraId="6A88AA54" w14:textId="77777777" w:rsidR="00463981" w:rsidRPr="002F1273" w:rsidRDefault="00463981" w:rsidP="00D62172">
            <w:pPr>
              <w:keepNext/>
              <w:autoSpaceDE w:val="0"/>
              <w:autoSpaceDN w:val="0"/>
              <w:adjustRightInd w:val="0"/>
              <w:spacing w:line="240" w:lineRule="auto"/>
              <w:rPr>
                <w:rFonts w:eastAsiaTheme="minorEastAsia" w:cstheme="minorHAnsi"/>
                <w:sz w:val="18"/>
                <w:szCs w:val="18"/>
                <w:lang w:eastAsia="pl-PL"/>
              </w:rPr>
            </w:pPr>
            <w:r w:rsidRPr="002F1273">
              <w:rPr>
                <w:rFonts w:eastAsiaTheme="minorEastAsia" w:cstheme="minorHAnsi"/>
                <w:sz w:val="18"/>
                <w:szCs w:val="18"/>
                <w:lang w:eastAsia="pl-PL"/>
              </w:rPr>
              <w:t>Odsetek osób posiadających podstawowe lub ponadpodstawowe umiejętności cyfrowe</w:t>
            </w:r>
          </w:p>
        </w:tc>
        <w:tc>
          <w:tcPr>
            <w:tcW w:w="1276" w:type="dxa"/>
            <w:tcBorders>
              <w:top w:val="single" w:sz="24" w:space="0" w:color="FFFFFF"/>
              <w:left w:val="single" w:sz="24" w:space="0" w:color="FFFFFF"/>
              <w:bottom w:val="single" w:sz="24" w:space="0" w:color="FFFFFF"/>
              <w:right w:val="single" w:sz="24" w:space="0" w:color="FFFFFF"/>
            </w:tcBorders>
            <w:shd w:val="clear" w:color="auto" w:fill="FFF2CC" w:themeFill="accent4" w:themeFillTint="33"/>
            <w:vAlign w:val="center"/>
          </w:tcPr>
          <w:p w14:paraId="17FB51D4" w14:textId="77777777" w:rsidR="00463981" w:rsidRPr="002F1273" w:rsidRDefault="00463981" w:rsidP="00D62172">
            <w:pPr>
              <w:keepNext/>
              <w:autoSpaceDE w:val="0"/>
              <w:autoSpaceDN w:val="0"/>
              <w:adjustRightInd w:val="0"/>
              <w:spacing w:line="240" w:lineRule="auto"/>
              <w:jc w:val="center"/>
              <w:rPr>
                <w:rFonts w:cstheme="minorHAnsi"/>
                <w:sz w:val="18"/>
                <w:szCs w:val="18"/>
                <w:lang w:eastAsia="pl-PL"/>
              </w:rPr>
            </w:pPr>
            <w:r w:rsidRPr="002F1273">
              <w:rPr>
                <w:rFonts w:cstheme="minorHAnsi"/>
                <w:sz w:val="18"/>
                <w:szCs w:val="18"/>
                <w:lang w:eastAsia="pl-PL"/>
              </w:rPr>
              <w:t>%</w:t>
            </w:r>
          </w:p>
        </w:tc>
        <w:tc>
          <w:tcPr>
            <w:tcW w:w="1701" w:type="dxa"/>
            <w:tcBorders>
              <w:top w:val="single" w:sz="24" w:space="0" w:color="FFFFFF"/>
              <w:left w:val="single" w:sz="24" w:space="0" w:color="FFFFFF"/>
              <w:bottom w:val="single" w:sz="24" w:space="0" w:color="FFFFFF"/>
              <w:right w:val="single" w:sz="24" w:space="0" w:color="FFFFFF"/>
            </w:tcBorders>
            <w:shd w:val="clear" w:color="auto" w:fill="FFF2CC" w:themeFill="accent4" w:themeFillTint="33"/>
            <w:vAlign w:val="center"/>
          </w:tcPr>
          <w:p w14:paraId="1F7EE86A" w14:textId="22B2FDA9" w:rsidR="00463981" w:rsidRPr="002F1273" w:rsidRDefault="00463981" w:rsidP="00D62172">
            <w:pPr>
              <w:keepNext/>
              <w:autoSpaceDE w:val="0"/>
              <w:autoSpaceDN w:val="0"/>
              <w:adjustRightInd w:val="0"/>
              <w:spacing w:after="0" w:line="240" w:lineRule="auto"/>
              <w:jc w:val="center"/>
              <w:rPr>
                <w:rFonts w:eastAsiaTheme="minorEastAsia" w:cstheme="minorHAnsi"/>
                <w:sz w:val="18"/>
                <w:szCs w:val="18"/>
                <w:lang w:eastAsia="pl-PL"/>
              </w:rPr>
            </w:pPr>
            <w:r w:rsidRPr="002F1273">
              <w:rPr>
                <w:rFonts w:eastAsiaTheme="minorEastAsia" w:cstheme="minorHAnsi"/>
                <w:sz w:val="18"/>
                <w:szCs w:val="18"/>
                <w:lang w:eastAsia="pl-PL"/>
              </w:rPr>
              <w:t>45,9</w:t>
            </w:r>
          </w:p>
          <w:p w14:paraId="62A6FF66" w14:textId="44FFFAFE" w:rsidR="00463981" w:rsidRPr="002F1273" w:rsidRDefault="00463981" w:rsidP="00F153EA">
            <w:pPr>
              <w:keepNext/>
              <w:autoSpaceDE w:val="0"/>
              <w:autoSpaceDN w:val="0"/>
              <w:adjustRightInd w:val="0"/>
              <w:spacing w:after="0" w:line="240" w:lineRule="auto"/>
              <w:jc w:val="center"/>
              <w:rPr>
                <w:rFonts w:eastAsiaTheme="minorEastAsia" w:cstheme="minorHAnsi"/>
                <w:sz w:val="18"/>
                <w:szCs w:val="18"/>
                <w:lang w:eastAsia="pl-PL"/>
              </w:rPr>
            </w:pPr>
            <w:r w:rsidRPr="002F1273">
              <w:rPr>
                <w:rFonts w:eastAsiaTheme="minorEastAsia" w:cstheme="minorHAnsi"/>
                <w:sz w:val="18"/>
                <w:szCs w:val="18"/>
                <w:lang w:eastAsia="pl-PL"/>
              </w:rPr>
              <w:t>(2018)</w:t>
            </w:r>
          </w:p>
        </w:tc>
        <w:tc>
          <w:tcPr>
            <w:tcW w:w="1559" w:type="dxa"/>
            <w:tcBorders>
              <w:top w:val="single" w:sz="24" w:space="0" w:color="FFFFFF"/>
              <w:left w:val="single" w:sz="24" w:space="0" w:color="FFFFFF"/>
              <w:bottom w:val="single" w:sz="24" w:space="0" w:color="FFFFFF"/>
              <w:right w:val="single" w:sz="24" w:space="0" w:color="FFFFFF"/>
            </w:tcBorders>
            <w:shd w:val="clear" w:color="auto" w:fill="FFF2CC" w:themeFill="accent4" w:themeFillTint="33"/>
            <w:vAlign w:val="center"/>
          </w:tcPr>
          <w:p w14:paraId="266C5EF9" w14:textId="77777777" w:rsidR="00463981" w:rsidRPr="002F1273" w:rsidRDefault="00463981" w:rsidP="00D62172">
            <w:pPr>
              <w:jc w:val="center"/>
              <w:rPr>
                <w:rFonts w:cstheme="minorHAnsi"/>
                <w:color w:val="FF0000"/>
                <w:sz w:val="18"/>
                <w:szCs w:val="18"/>
              </w:rPr>
            </w:pPr>
            <w:r w:rsidRPr="002F1273">
              <w:rPr>
                <w:rFonts w:cstheme="minorHAnsi"/>
                <w:sz w:val="18"/>
                <w:szCs w:val="18"/>
              </w:rPr>
              <w:t>66</w:t>
            </w:r>
          </w:p>
        </w:tc>
        <w:tc>
          <w:tcPr>
            <w:tcW w:w="1701" w:type="dxa"/>
            <w:tcBorders>
              <w:left w:val="single" w:sz="24" w:space="0" w:color="FFFFFF"/>
              <w:right w:val="single" w:sz="24" w:space="0" w:color="FFFFFF"/>
            </w:tcBorders>
            <w:shd w:val="clear" w:color="auto" w:fill="FFF2CC" w:themeFill="accent4" w:themeFillTint="33"/>
            <w:vAlign w:val="center"/>
          </w:tcPr>
          <w:p w14:paraId="26842BF5" w14:textId="2B4CB479" w:rsidR="00463981" w:rsidRPr="002F1273" w:rsidRDefault="00463981" w:rsidP="00D62172">
            <w:pPr>
              <w:keepNext/>
              <w:autoSpaceDE w:val="0"/>
              <w:autoSpaceDN w:val="0"/>
              <w:adjustRightInd w:val="0"/>
              <w:spacing w:after="0"/>
              <w:jc w:val="center"/>
              <w:rPr>
                <w:rFonts w:cstheme="minorHAnsi"/>
                <w:sz w:val="18"/>
                <w:szCs w:val="18"/>
                <w:lang w:eastAsia="pl-PL"/>
              </w:rPr>
            </w:pPr>
            <w:r w:rsidRPr="002F1273">
              <w:rPr>
                <w:rFonts w:cstheme="minorHAnsi"/>
                <w:sz w:val="18"/>
                <w:szCs w:val="18"/>
                <w:lang w:eastAsia="pl-PL"/>
              </w:rPr>
              <w:t>GUS/Eurostat</w:t>
            </w:r>
          </w:p>
        </w:tc>
        <w:tc>
          <w:tcPr>
            <w:tcW w:w="4961" w:type="dxa"/>
            <w:tcBorders>
              <w:left w:val="single" w:sz="24" w:space="0" w:color="FFFFFF"/>
              <w:right w:val="single" w:sz="24" w:space="0" w:color="FFFFFF"/>
            </w:tcBorders>
            <w:shd w:val="clear" w:color="auto" w:fill="FFF2CC" w:themeFill="accent4" w:themeFillTint="33"/>
          </w:tcPr>
          <w:p w14:paraId="37972401" w14:textId="77777777" w:rsidR="00463981" w:rsidRPr="002F1273" w:rsidRDefault="00463981" w:rsidP="004D230E">
            <w:pPr>
              <w:keepNext/>
              <w:autoSpaceDE w:val="0"/>
              <w:autoSpaceDN w:val="0"/>
              <w:adjustRightInd w:val="0"/>
              <w:rPr>
                <w:rFonts w:eastAsia="HiddenHorzOCR" w:cstheme="minorHAnsi"/>
                <w:sz w:val="18"/>
                <w:szCs w:val="18"/>
              </w:rPr>
            </w:pPr>
            <w:r w:rsidRPr="002F1273">
              <w:rPr>
                <w:rFonts w:eastAsia="HiddenHorzOCR" w:cstheme="minorHAnsi"/>
                <w:sz w:val="18"/>
                <w:szCs w:val="18"/>
              </w:rPr>
              <w:t>Odsetek osób w wieku 16-74 lata posiadających podstawowe lub ponadpodstawowe umiejętności cyfrowe</w:t>
            </w:r>
          </w:p>
        </w:tc>
      </w:tr>
      <w:tr w:rsidR="00463981" w:rsidRPr="00F21196" w14:paraId="40C883C5" w14:textId="77777777" w:rsidTr="00463981">
        <w:trPr>
          <w:trHeight w:val="924"/>
        </w:trPr>
        <w:tc>
          <w:tcPr>
            <w:tcW w:w="3403" w:type="dxa"/>
            <w:tcBorders>
              <w:top w:val="single" w:sz="24" w:space="0" w:color="FFFFFF"/>
              <w:left w:val="single" w:sz="24" w:space="0" w:color="FFFFFF"/>
              <w:bottom w:val="single" w:sz="24" w:space="0" w:color="FFFFFF"/>
              <w:right w:val="single" w:sz="24" w:space="0" w:color="FFFFFF"/>
            </w:tcBorders>
            <w:shd w:val="clear" w:color="auto" w:fill="FFF2CC" w:themeFill="accent4" w:themeFillTint="33"/>
            <w:vAlign w:val="center"/>
          </w:tcPr>
          <w:p w14:paraId="748E3ABD" w14:textId="6532016A" w:rsidR="00463981" w:rsidRPr="002F1273" w:rsidRDefault="00463981" w:rsidP="009D1910">
            <w:pPr>
              <w:keepNext/>
              <w:autoSpaceDE w:val="0"/>
              <w:autoSpaceDN w:val="0"/>
              <w:adjustRightInd w:val="0"/>
              <w:spacing w:line="240" w:lineRule="auto"/>
              <w:rPr>
                <w:rFonts w:eastAsiaTheme="minorEastAsia" w:cstheme="minorHAnsi"/>
                <w:sz w:val="18"/>
                <w:szCs w:val="18"/>
                <w:lang w:eastAsia="pl-PL"/>
              </w:rPr>
            </w:pPr>
            <w:r w:rsidRPr="002F1273">
              <w:rPr>
                <w:rFonts w:eastAsiaTheme="minorEastAsia" w:cstheme="minorHAnsi"/>
                <w:sz w:val="18"/>
                <w:szCs w:val="18"/>
                <w:lang w:eastAsia="pl-PL"/>
              </w:rPr>
              <w:t>Poziom zorientowania na użytkownika e-usług</w:t>
            </w:r>
          </w:p>
        </w:tc>
        <w:tc>
          <w:tcPr>
            <w:tcW w:w="1276" w:type="dxa"/>
            <w:tcBorders>
              <w:top w:val="single" w:sz="24" w:space="0" w:color="FFFFFF"/>
              <w:left w:val="single" w:sz="24" w:space="0" w:color="FFFFFF"/>
              <w:bottom w:val="single" w:sz="24" w:space="0" w:color="FFFFFF"/>
              <w:right w:val="single" w:sz="24" w:space="0" w:color="FFFFFF"/>
            </w:tcBorders>
            <w:shd w:val="clear" w:color="auto" w:fill="FFF2CC" w:themeFill="accent4" w:themeFillTint="33"/>
            <w:vAlign w:val="center"/>
          </w:tcPr>
          <w:p w14:paraId="0F706AC9" w14:textId="77777777" w:rsidR="00463981" w:rsidRPr="002F1273" w:rsidRDefault="00463981" w:rsidP="00D62172">
            <w:pPr>
              <w:keepNext/>
              <w:autoSpaceDE w:val="0"/>
              <w:autoSpaceDN w:val="0"/>
              <w:adjustRightInd w:val="0"/>
              <w:spacing w:line="240" w:lineRule="auto"/>
              <w:jc w:val="center"/>
              <w:rPr>
                <w:rFonts w:cstheme="minorHAnsi"/>
                <w:sz w:val="18"/>
                <w:szCs w:val="18"/>
                <w:lang w:eastAsia="pl-PL"/>
              </w:rPr>
            </w:pPr>
            <w:r w:rsidRPr="002F1273">
              <w:rPr>
                <w:rFonts w:cstheme="minorHAnsi"/>
                <w:sz w:val="18"/>
                <w:szCs w:val="18"/>
                <w:lang w:eastAsia="pl-PL"/>
              </w:rPr>
              <w:t>%</w:t>
            </w:r>
          </w:p>
        </w:tc>
        <w:tc>
          <w:tcPr>
            <w:tcW w:w="1701" w:type="dxa"/>
            <w:tcBorders>
              <w:top w:val="single" w:sz="24" w:space="0" w:color="FFFFFF"/>
              <w:left w:val="single" w:sz="24" w:space="0" w:color="FFFFFF"/>
              <w:bottom w:val="single" w:sz="24" w:space="0" w:color="FFFFFF"/>
              <w:right w:val="single" w:sz="24" w:space="0" w:color="FFFFFF"/>
            </w:tcBorders>
            <w:shd w:val="clear" w:color="auto" w:fill="FFF2CC" w:themeFill="accent4" w:themeFillTint="33"/>
            <w:vAlign w:val="center"/>
          </w:tcPr>
          <w:p w14:paraId="66BD59E3" w14:textId="77777777" w:rsidR="00463981" w:rsidRPr="002F1273" w:rsidRDefault="00463981" w:rsidP="00D62172">
            <w:pPr>
              <w:keepNext/>
              <w:autoSpaceDE w:val="0"/>
              <w:autoSpaceDN w:val="0"/>
              <w:adjustRightInd w:val="0"/>
              <w:spacing w:after="0" w:line="240" w:lineRule="auto"/>
              <w:jc w:val="center"/>
              <w:rPr>
                <w:rFonts w:eastAsiaTheme="minorEastAsia" w:cstheme="minorHAnsi"/>
                <w:sz w:val="18"/>
                <w:szCs w:val="18"/>
                <w:lang w:eastAsia="pl-PL"/>
              </w:rPr>
            </w:pPr>
            <w:r w:rsidRPr="002F1273">
              <w:rPr>
                <w:rFonts w:eastAsiaTheme="minorEastAsia" w:cstheme="minorHAnsi"/>
                <w:sz w:val="18"/>
                <w:szCs w:val="18"/>
                <w:lang w:eastAsia="pl-PL"/>
              </w:rPr>
              <w:t>78</w:t>
            </w:r>
          </w:p>
          <w:p w14:paraId="092E5480" w14:textId="77777777" w:rsidR="00463981" w:rsidRPr="002F1273" w:rsidRDefault="00463981" w:rsidP="00D62172">
            <w:pPr>
              <w:keepNext/>
              <w:autoSpaceDE w:val="0"/>
              <w:autoSpaceDN w:val="0"/>
              <w:adjustRightInd w:val="0"/>
              <w:spacing w:after="0" w:line="240" w:lineRule="auto"/>
              <w:jc w:val="center"/>
              <w:rPr>
                <w:rFonts w:eastAsiaTheme="minorEastAsia" w:cstheme="minorHAnsi"/>
                <w:sz w:val="18"/>
                <w:szCs w:val="18"/>
                <w:lang w:eastAsia="pl-PL"/>
              </w:rPr>
            </w:pPr>
            <w:r w:rsidRPr="002F1273">
              <w:rPr>
                <w:rFonts w:eastAsiaTheme="minorEastAsia" w:cstheme="minorHAnsi"/>
                <w:sz w:val="18"/>
                <w:szCs w:val="18"/>
                <w:lang w:eastAsia="pl-PL"/>
              </w:rPr>
              <w:t>(2015)</w:t>
            </w:r>
          </w:p>
        </w:tc>
        <w:tc>
          <w:tcPr>
            <w:tcW w:w="1559" w:type="dxa"/>
            <w:tcBorders>
              <w:top w:val="single" w:sz="24" w:space="0" w:color="FFFFFF"/>
              <w:left w:val="single" w:sz="24" w:space="0" w:color="FFFFFF"/>
              <w:bottom w:val="single" w:sz="24" w:space="0" w:color="FFFFFF"/>
              <w:right w:val="single" w:sz="24" w:space="0" w:color="FFFFFF"/>
            </w:tcBorders>
            <w:shd w:val="clear" w:color="auto" w:fill="FFF2CC" w:themeFill="accent4" w:themeFillTint="33"/>
            <w:vAlign w:val="center"/>
          </w:tcPr>
          <w:p w14:paraId="4806A8AE" w14:textId="77777777" w:rsidR="00463981" w:rsidRPr="002F1273" w:rsidRDefault="00463981" w:rsidP="00D62172">
            <w:pPr>
              <w:jc w:val="center"/>
              <w:rPr>
                <w:color w:val="FF0000"/>
                <w:sz w:val="18"/>
                <w:szCs w:val="18"/>
              </w:rPr>
            </w:pPr>
            <w:r w:rsidRPr="002F1273">
              <w:rPr>
                <w:sz w:val="18"/>
                <w:szCs w:val="18"/>
              </w:rPr>
              <w:t>99</w:t>
            </w:r>
          </w:p>
        </w:tc>
        <w:tc>
          <w:tcPr>
            <w:tcW w:w="1701" w:type="dxa"/>
            <w:tcBorders>
              <w:left w:val="single" w:sz="24" w:space="0" w:color="FFFFFF"/>
              <w:right w:val="single" w:sz="24" w:space="0" w:color="FFFFFF"/>
            </w:tcBorders>
            <w:shd w:val="clear" w:color="auto" w:fill="FFF2CC" w:themeFill="accent4" w:themeFillTint="33"/>
            <w:vAlign w:val="center"/>
          </w:tcPr>
          <w:p w14:paraId="4281F5F3" w14:textId="77777777" w:rsidR="00463981" w:rsidRPr="002F1273" w:rsidRDefault="00463981" w:rsidP="00D62172">
            <w:pPr>
              <w:keepNext/>
              <w:autoSpaceDE w:val="0"/>
              <w:autoSpaceDN w:val="0"/>
              <w:adjustRightInd w:val="0"/>
              <w:spacing w:after="0"/>
              <w:jc w:val="center"/>
              <w:rPr>
                <w:rFonts w:cs="Calibri"/>
                <w:sz w:val="18"/>
                <w:szCs w:val="18"/>
                <w:lang w:eastAsia="pl-PL"/>
              </w:rPr>
            </w:pPr>
            <w:r w:rsidRPr="002F1273">
              <w:rPr>
                <w:rFonts w:cs="Calibri"/>
                <w:sz w:val="18"/>
                <w:szCs w:val="18"/>
              </w:rPr>
              <w:t>eGovernment Benchmark</w:t>
            </w:r>
          </w:p>
        </w:tc>
        <w:tc>
          <w:tcPr>
            <w:tcW w:w="4961" w:type="dxa"/>
            <w:tcBorders>
              <w:left w:val="single" w:sz="24" w:space="0" w:color="FFFFFF"/>
              <w:right w:val="single" w:sz="24" w:space="0" w:color="FFFFFF"/>
            </w:tcBorders>
            <w:shd w:val="clear" w:color="auto" w:fill="FFF2CC" w:themeFill="accent4" w:themeFillTint="33"/>
          </w:tcPr>
          <w:p w14:paraId="0EC543D9" w14:textId="77777777" w:rsidR="00463981" w:rsidRPr="002F1273" w:rsidRDefault="00463981" w:rsidP="004D230E">
            <w:pPr>
              <w:keepNext/>
              <w:autoSpaceDE w:val="0"/>
              <w:autoSpaceDN w:val="0"/>
              <w:adjustRightInd w:val="0"/>
              <w:rPr>
                <w:rFonts w:eastAsia="HiddenHorzOCR" w:cs="HiddenHorzOCR"/>
                <w:sz w:val="18"/>
                <w:szCs w:val="18"/>
              </w:rPr>
            </w:pPr>
            <w:r w:rsidRPr="002F1273">
              <w:rPr>
                <w:sz w:val="18"/>
                <w:szCs w:val="18"/>
              </w:rPr>
              <w:t>Wskaźnik oceniający dostępność i użyteczność publicznych e-usług oraz badający świadomość i bariery ich wykorzystania</w:t>
            </w:r>
          </w:p>
        </w:tc>
      </w:tr>
      <w:tr w:rsidR="00463981" w:rsidRPr="00F21196" w14:paraId="0D8F350A" w14:textId="77777777" w:rsidTr="00463981">
        <w:trPr>
          <w:trHeight w:val="924"/>
        </w:trPr>
        <w:tc>
          <w:tcPr>
            <w:tcW w:w="3403" w:type="dxa"/>
            <w:tcBorders>
              <w:top w:val="single" w:sz="24" w:space="0" w:color="FFFFFF"/>
              <w:left w:val="single" w:sz="24" w:space="0" w:color="FFFFFF"/>
              <w:bottom w:val="single" w:sz="24" w:space="0" w:color="FFFFFF"/>
              <w:right w:val="single" w:sz="24" w:space="0" w:color="FFFFFF"/>
            </w:tcBorders>
            <w:shd w:val="clear" w:color="auto" w:fill="FFF2CC" w:themeFill="accent4" w:themeFillTint="33"/>
            <w:vAlign w:val="center"/>
          </w:tcPr>
          <w:p w14:paraId="6773EF49" w14:textId="77777777" w:rsidR="00463981" w:rsidRPr="002F1273" w:rsidRDefault="00463981" w:rsidP="00D62172">
            <w:pPr>
              <w:keepNext/>
              <w:autoSpaceDE w:val="0"/>
              <w:autoSpaceDN w:val="0"/>
              <w:adjustRightInd w:val="0"/>
              <w:spacing w:line="240" w:lineRule="auto"/>
              <w:rPr>
                <w:rFonts w:eastAsiaTheme="minorEastAsia" w:cstheme="minorHAnsi"/>
                <w:sz w:val="18"/>
                <w:szCs w:val="18"/>
                <w:lang w:eastAsia="pl-PL"/>
              </w:rPr>
            </w:pPr>
            <w:r w:rsidRPr="002F1273">
              <w:rPr>
                <w:rFonts w:eastAsiaTheme="minorEastAsia" w:cstheme="minorHAnsi"/>
                <w:sz w:val="18"/>
                <w:szCs w:val="18"/>
                <w:lang w:eastAsia="pl-PL"/>
              </w:rPr>
              <w:t>Odsetek osób posiadających profil zaufany</w:t>
            </w:r>
          </w:p>
        </w:tc>
        <w:tc>
          <w:tcPr>
            <w:tcW w:w="1276" w:type="dxa"/>
            <w:tcBorders>
              <w:top w:val="single" w:sz="24" w:space="0" w:color="FFFFFF"/>
              <w:left w:val="single" w:sz="24" w:space="0" w:color="FFFFFF"/>
              <w:bottom w:val="single" w:sz="24" w:space="0" w:color="FFFFFF"/>
              <w:right w:val="single" w:sz="24" w:space="0" w:color="FFFFFF"/>
            </w:tcBorders>
            <w:shd w:val="clear" w:color="auto" w:fill="FFF2CC" w:themeFill="accent4" w:themeFillTint="33"/>
            <w:vAlign w:val="center"/>
          </w:tcPr>
          <w:p w14:paraId="65AFB1BD" w14:textId="77777777" w:rsidR="00463981" w:rsidRPr="002F1273" w:rsidRDefault="00463981" w:rsidP="00D62172">
            <w:pPr>
              <w:keepNext/>
              <w:autoSpaceDE w:val="0"/>
              <w:autoSpaceDN w:val="0"/>
              <w:adjustRightInd w:val="0"/>
              <w:spacing w:line="240" w:lineRule="auto"/>
              <w:jc w:val="center"/>
              <w:rPr>
                <w:rFonts w:cstheme="minorHAnsi"/>
                <w:sz w:val="18"/>
                <w:szCs w:val="18"/>
                <w:lang w:eastAsia="pl-PL"/>
              </w:rPr>
            </w:pPr>
            <w:r w:rsidRPr="002F1273">
              <w:rPr>
                <w:rFonts w:cstheme="minorHAnsi"/>
                <w:sz w:val="18"/>
                <w:szCs w:val="18"/>
                <w:lang w:eastAsia="pl-PL"/>
              </w:rPr>
              <w:t>%</w:t>
            </w:r>
          </w:p>
        </w:tc>
        <w:tc>
          <w:tcPr>
            <w:tcW w:w="1701" w:type="dxa"/>
            <w:tcBorders>
              <w:top w:val="single" w:sz="24" w:space="0" w:color="FFFFFF"/>
              <w:left w:val="single" w:sz="24" w:space="0" w:color="FFFFFF"/>
              <w:bottom w:val="single" w:sz="24" w:space="0" w:color="FFFFFF"/>
              <w:right w:val="single" w:sz="24" w:space="0" w:color="FFFFFF"/>
            </w:tcBorders>
            <w:shd w:val="clear" w:color="auto" w:fill="FFF2CC" w:themeFill="accent4" w:themeFillTint="33"/>
            <w:vAlign w:val="center"/>
          </w:tcPr>
          <w:p w14:paraId="204280EB" w14:textId="77777777" w:rsidR="00463981" w:rsidRPr="002F1273" w:rsidRDefault="00463981" w:rsidP="00D62172">
            <w:pPr>
              <w:keepNext/>
              <w:autoSpaceDE w:val="0"/>
              <w:autoSpaceDN w:val="0"/>
              <w:adjustRightInd w:val="0"/>
              <w:spacing w:after="0" w:line="240" w:lineRule="auto"/>
              <w:jc w:val="center"/>
              <w:rPr>
                <w:rFonts w:eastAsiaTheme="minorEastAsia" w:cstheme="minorHAnsi"/>
                <w:sz w:val="18"/>
                <w:szCs w:val="18"/>
                <w:lang w:eastAsia="pl-PL"/>
              </w:rPr>
            </w:pPr>
            <w:r w:rsidRPr="002F1273">
              <w:rPr>
                <w:rFonts w:eastAsiaTheme="minorEastAsia" w:cstheme="minorHAnsi"/>
                <w:sz w:val="18"/>
                <w:szCs w:val="18"/>
                <w:lang w:eastAsia="pl-PL"/>
              </w:rPr>
              <w:t>1</w:t>
            </w:r>
          </w:p>
          <w:p w14:paraId="3258885F" w14:textId="77777777" w:rsidR="00463981" w:rsidRPr="002F1273" w:rsidRDefault="00463981" w:rsidP="00D62172">
            <w:pPr>
              <w:keepNext/>
              <w:autoSpaceDE w:val="0"/>
              <w:autoSpaceDN w:val="0"/>
              <w:adjustRightInd w:val="0"/>
              <w:spacing w:after="0" w:line="240" w:lineRule="auto"/>
              <w:jc w:val="center"/>
              <w:rPr>
                <w:rFonts w:eastAsiaTheme="minorEastAsia" w:cstheme="minorHAnsi"/>
                <w:sz w:val="18"/>
                <w:szCs w:val="18"/>
                <w:lang w:eastAsia="pl-PL"/>
              </w:rPr>
            </w:pPr>
            <w:r w:rsidRPr="002F1273">
              <w:rPr>
                <w:rFonts w:eastAsiaTheme="minorEastAsia" w:cstheme="minorHAnsi"/>
                <w:sz w:val="18"/>
                <w:szCs w:val="18"/>
                <w:lang w:eastAsia="pl-PL"/>
              </w:rPr>
              <w:t>(2015)</w:t>
            </w:r>
          </w:p>
        </w:tc>
        <w:tc>
          <w:tcPr>
            <w:tcW w:w="1559" w:type="dxa"/>
            <w:tcBorders>
              <w:top w:val="single" w:sz="24" w:space="0" w:color="FFFFFF"/>
              <w:left w:val="single" w:sz="24" w:space="0" w:color="FFFFFF"/>
              <w:bottom w:val="single" w:sz="24" w:space="0" w:color="FFFFFF"/>
              <w:right w:val="single" w:sz="24" w:space="0" w:color="FFFFFF"/>
            </w:tcBorders>
            <w:shd w:val="clear" w:color="auto" w:fill="FFF2CC" w:themeFill="accent4" w:themeFillTint="33"/>
            <w:vAlign w:val="center"/>
          </w:tcPr>
          <w:p w14:paraId="51689F2C" w14:textId="77777777" w:rsidR="00463981" w:rsidRPr="002F1273" w:rsidRDefault="00463981" w:rsidP="00D62172">
            <w:pPr>
              <w:jc w:val="center"/>
              <w:rPr>
                <w:color w:val="FF0000"/>
                <w:sz w:val="18"/>
                <w:szCs w:val="18"/>
              </w:rPr>
            </w:pPr>
            <w:r w:rsidRPr="002F1273">
              <w:rPr>
                <w:sz w:val="18"/>
                <w:szCs w:val="18"/>
              </w:rPr>
              <w:t>70</w:t>
            </w:r>
          </w:p>
        </w:tc>
        <w:tc>
          <w:tcPr>
            <w:tcW w:w="1701" w:type="dxa"/>
            <w:tcBorders>
              <w:left w:val="single" w:sz="24" w:space="0" w:color="FFFFFF"/>
              <w:right w:val="single" w:sz="24" w:space="0" w:color="FFFFFF"/>
            </w:tcBorders>
            <w:shd w:val="clear" w:color="auto" w:fill="FFF2CC" w:themeFill="accent4" w:themeFillTint="33"/>
            <w:vAlign w:val="center"/>
          </w:tcPr>
          <w:p w14:paraId="35AF49BB" w14:textId="60A2CFD0" w:rsidR="00463981" w:rsidRPr="002F1273" w:rsidRDefault="00E9243F" w:rsidP="00D62172">
            <w:pPr>
              <w:keepNext/>
              <w:autoSpaceDE w:val="0"/>
              <w:autoSpaceDN w:val="0"/>
              <w:adjustRightInd w:val="0"/>
              <w:spacing w:after="0"/>
              <w:jc w:val="center"/>
              <w:rPr>
                <w:rFonts w:cs="Calibri"/>
                <w:sz w:val="18"/>
                <w:szCs w:val="18"/>
                <w:lang w:eastAsia="pl-PL"/>
              </w:rPr>
            </w:pPr>
            <w:r w:rsidRPr="002F1273">
              <w:rPr>
                <w:rFonts w:cs="Calibri"/>
                <w:sz w:val="18"/>
                <w:szCs w:val="18"/>
                <w:lang w:eastAsia="pl-PL"/>
              </w:rPr>
              <w:t>KPRM</w:t>
            </w:r>
          </w:p>
        </w:tc>
        <w:tc>
          <w:tcPr>
            <w:tcW w:w="4961" w:type="dxa"/>
            <w:tcBorders>
              <w:left w:val="single" w:sz="24" w:space="0" w:color="FFFFFF"/>
              <w:right w:val="single" w:sz="24" w:space="0" w:color="FFFFFF"/>
            </w:tcBorders>
            <w:shd w:val="clear" w:color="auto" w:fill="FFF2CC" w:themeFill="accent4" w:themeFillTint="33"/>
          </w:tcPr>
          <w:p w14:paraId="20AC503F" w14:textId="3A9645B3" w:rsidR="00463981" w:rsidRPr="002F1273" w:rsidRDefault="00B0118C" w:rsidP="00F153EA">
            <w:pPr>
              <w:keepNext/>
              <w:autoSpaceDE w:val="0"/>
              <w:autoSpaceDN w:val="0"/>
              <w:adjustRightInd w:val="0"/>
              <w:rPr>
                <w:rFonts w:eastAsia="HiddenHorzOCR" w:cs="HiddenHorzOCR"/>
                <w:sz w:val="18"/>
                <w:szCs w:val="18"/>
              </w:rPr>
            </w:pPr>
            <w:r w:rsidRPr="002F1273">
              <w:rPr>
                <w:rFonts w:eastAsia="HiddenHorzOCR" w:cs="HiddenHorzOCR"/>
                <w:sz w:val="18"/>
                <w:szCs w:val="18"/>
              </w:rPr>
              <w:t>Relacja liczby profili zaufanych do liczby osób uprawnionych do posiadania profilu zaufanego</w:t>
            </w:r>
          </w:p>
        </w:tc>
      </w:tr>
      <w:tr w:rsidR="00463981" w:rsidRPr="00F21196" w14:paraId="5FBD14D1" w14:textId="77777777" w:rsidTr="00463981">
        <w:trPr>
          <w:trHeight w:val="924"/>
        </w:trPr>
        <w:tc>
          <w:tcPr>
            <w:tcW w:w="3403" w:type="dxa"/>
            <w:tcBorders>
              <w:top w:val="single" w:sz="24" w:space="0" w:color="FFFFFF"/>
              <w:left w:val="single" w:sz="24" w:space="0" w:color="FFFFFF"/>
              <w:bottom w:val="single" w:sz="24" w:space="0" w:color="FFFFFF"/>
              <w:right w:val="single" w:sz="24" w:space="0" w:color="FFFFFF"/>
            </w:tcBorders>
            <w:shd w:val="clear" w:color="auto" w:fill="FFF2CC" w:themeFill="accent4" w:themeFillTint="33"/>
            <w:vAlign w:val="center"/>
          </w:tcPr>
          <w:p w14:paraId="4EB2C109" w14:textId="77777777" w:rsidR="005A5537" w:rsidRPr="002F1273" w:rsidRDefault="005A5537" w:rsidP="005A5537">
            <w:pPr>
              <w:keepNext/>
              <w:autoSpaceDE w:val="0"/>
              <w:autoSpaceDN w:val="0"/>
              <w:adjustRightInd w:val="0"/>
              <w:spacing w:line="240" w:lineRule="auto"/>
              <w:rPr>
                <w:sz w:val="18"/>
                <w:szCs w:val="18"/>
              </w:rPr>
            </w:pPr>
            <w:r w:rsidRPr="002F1273">
              <w:rPr>
                <w:sz w:val="18"/>
                <w:szCs w:val="18"/>
              </w:rPr>
              <w:t xml:space="preserve">Odsetek osób posiadających dowód osobisty z aktywną warstwą elektroniczną </w:t>
            </w:r>
          </w:p>
          <w:p w14:paraId="088939D1" w14:textId="6689C761" w:rsidR="00463981" w:rsidRPr="002F1273" w:rsidRDefault="00463981" w:rsidP="009D1910">
            <w:pPr>
              <w:keepNext/>
              <w:autoSpaceDE w:val="0"/>
              <w:autoSpaceDN w:val="0"/>
              <w:adjustRightInd w:val="0"/>
              <w:spacing w:line="240" w:lineRule="auto"/>
              <w:rPr>
                <w:rFonts w:eastAsiaTheme="minorEastAsia" w:cstheme="minorHAnsi"/>
                <w:sz w:val="18"/>
                <w:szCs w:val="18"/>
                <w:lang w:eastAsia="pl-PL"/>
              </w:rPr>
            </w:pPr>
          </w:p>
        </w:tc>
        <w:tc>
          <w:tcPr>
            <w:tcW w:w="1276" w:type="dxa"/>
            <w:tcBorders>
              <w:top w:val="single" w:sz="24" w:space="0" w:color="FFFFFF"/>
              <w:left w:val="single" w:sz="24" w:space="0" w:color="FFFFFF"/>
              <w:bottom w:val="single" w:sz="24" w:space="0" w:color="FFFFFF"/>
              <w:right w:val="single" w:sz="24" w:space="0" w:color="FFFFFF"/>
            </w:tcBorders>
            <w:shd w:val="clear" w:color="auto" w:fill="FFF2CC" w:themeFill="accent4" w:themeFillTint="33"/>
            <w:vAlign w:val="center"/>
          </w:tcPr>
          <w:p w14:paraId="137BC6D8" w14:textId="7B615424" w:rsidR="00463981" w:rsidRPr="002F1273" w:rsidRDefault="00463981" w:rsidP="009D1910">
            <w:pPr>
              <w:keepNext/>
              <w:autoSpaceDE w:val="0"/>
              <w:autoSpaceDN w:val="0"/>
              <w:adjustRightInd w:val="0"/>
              <w:spacing w:line="240" w:lineRule="auto"/>
              <w:jc w:val="center"/>
              <w:rPr>
                <w:rFonts w:cstheme="minorHAnsi"/>
                <w:sz w:val="18"/>
                <w:szCs w:val="18"/>
                <w:lang w:eastAsia="pl-PL"/>
              </w:rPr>
            </w:pPr>
            <w:r w:rsidRPr="002F1273">
              <w:rPr>
                <w:rFonts w:cstheme="minorHAnsi"/>
                <w:sz w:val="18"/>
                <w:szCs w:val="18"/>
                <w:lang w:eastAsia="pl-PL"/>
              </w:rPr>
              <w:t>%</w:t>
            </w:r>
          </w:p>
        </w:tc>
        <w:tc>
          <w:tcPr>
            <w:tcW w:w="1701" w:type="dxa"/>
            <w:tcBorders>
              <w:top w:val="single" w:sz="24" w:space="0" w:color="FFFFFF"/>
              <w:left w:val="single" w:sz="24" w:space="0" w:color="FFFFFF"/>
              <w:bottom w:val="single" w:sz="24" w:space="0" w:color="FFFFFF"/>
              <w:right w:val="single" w:sz="24" w:space="0" w:color="FFFFFF"/>
            </w:tcBorders>
            <w:shd w:val="clear" w:color="auto" w:fill="FFF2CC" w:themeFill="accent4" w:themeFillTint="33"/>
            <w:vAlign w:val="center"/>
          </w:tcPr>
          <w:p w14:paraId="5FE5D679" w14:textId="77777777" w:rsidR="00463981" w:rsidRPr="002F1273" w:rsidRDefault="00463981" w:rsidP="009D1910">
            <w:pPr>
              <w:keepNext/>
              <w:autoSpaceDE w:val="0"/>
              <w:autoSpaceDN w:val="0"/>
              <w:adjustRightInd w:val="0"/>
              <w:spacing w:after="0" w:line="240" w:lineRule="auto"/>
              <w:jc w:val="center"/>
              <w:rPr>
                <w:rFonts w:eastAsiaTheme="minorEastAsia" w:cstheme="minorHAnsi"/>
                <w:sz w:val="18"/>
                <w:szCs w:val="18"/>
                <w:lang w:eastAsia="pl-PL"/>
              </w:rPr>
            </w:pPr>
            <w:r w:rsidRPr="002F1273">
              <w:rPr>
                <w:rFonts w:eastAsiaTheme="minorEastAsia" w:cstheme="minorHAnsi"/>
                <w:sz w:val="18"/>
                <w:szCs w:val="18"/>
                <w:lang w:eastAsia="pl-PL"/>
              </w:rPr>
              <w:t>0</w:t>
            </w:r>
          </w:p>
          <w:p w14:paraId="0E88149E" w14:textId="4FFBB427" w:rsidR="00463981" w:rsidRPr="002F1273" w:rsidRDefault="00463981" w:rsidP="009D1910">
            <w:pPr>
              <w:keepNext/>
              <w:autoSpaceDE w:val="0"/>
              <w:autoSpaceDN w:val="0"/>
              <w:adjustRightInd w:val="0"/>
              <w:spacing w:after="0" w:line="240" w:lineRule="auto"/>
              <w:jc w:val="center"/>
              <w:rPr>
                <w:rFonts w:eastAsiaTheme="minorEastAsia" w:cstheme="minorHAnsi"/>
                <w:sz w:val="18"/>
                <w:szCs w:val="18"/>
                <w:lang w:eastAsia="pl-PL"/>
              </w:rPr>
            </w:pPr>
            <w:r w:rsidRPr="002F1273">
              <w:rPr>
                <w:rFonts w:eastAsiaTheme="minorEastAsia" w:cstheme="minorHAnsi"/>
                <w:sz w:val="18"/>
                <w:szCs w:val="18"/>
                <w:lang w:eastAsia="pl-PL"/>
              </w:rPr>
              <w:t>(2019)</w:t>
            </w:r>
          </w:p>
        </w:tc>
        <w:tc>
          <w:tcPr>
            <w:tcW w:w="1559" w:type="dxa"/>
            <w:tcBorders>
              <w:top w:val="single" w:sz="24" w:space="0" w:color="FFFFFF"/>
              <w:left w:val="single" w:sz="24" w:space="0" w:color="FFFFFF"/>
              <w:bottom w:val="single" w:sz="24" w:space="0" w:color="FFFFFF"/>
              <w:right w:val="single" w:sz="24" w:space="0" w:color="FFFFFF"/>
            </w:tcBorders>
            <w:shd w:val="clear" w:color="auto" w:fill="FFF2CC" w:themeFill="accent4" w:themeFillTint="33"/>
            <w:vAlign w:val="center"/>
          </w:tcPr>
          <w:p w14:paraId="2C41E474" w14:textId="7987EE4F" w:rsidR="00463981" w:rsidRPr="002F1273" w:rsidRDefault="00B0118C" w:rsidP="009D1910">
            <w:pPr>
              <w:jc w:val="center"/>
              <w:rPr>
                <w:sz w:val="18"/>
                <w:szCs w:val="18"/>
              </w:rPr>
            </w:pPr>
            <w:r w:rsidRPr="002F1273">
              <w:rPr>
                <w:sz w:val="18"/>
                <w:szCs w:val="18"/>
              </w:rPr>
              <w:t>100</w:t>
            </w:r>
          </w:p>
        </w:tc>
        <w:tc>
          <w:tcPr>
            <w:tcW w:w="1701" w:type="dxa"/>
            <w:tcBorders>
              <w:left w:val="single" w:sz="24" w:space="0" w:color="FFFFFF"/>
              <w:right w:val="single" w:sz="24" w:space="0" w:color="FFFFFF"/>
            </w:tcBorders>
            <w:shd w:val="clear" w:color="auto" w:fill="FFF2CC" w:themeFill="accent4" w:themeFillTint="33"/>
            <w:vAlign w:val="center"/>
          </w:tcPr>
          <w:p w14:paraId="76E60680" w14:textId="090EFB9B" w:rsidR="00463981" w:rsidRPr="002F1273" w:rsidRDefault="00E9243F" w:rsidP="009D1910">
            <w:pPr>
              <w:keepNext/>
              <w:autoSpaceDE w:val="0"/>
              <w:autoSpaceDN w:val="0"/>
              <w:adjustRightInd w:val="0"/>
              <w:spacing w:after="0"/>
              <w:jc w:val="center"/>
              <w:rPr>
                <w:rFonts w:cs="Calibri"/>
                <w:sz w:val="18"/>
                <w:szCs w:val="18"/>
                <w:lang w:eastAsia="pl-PL"/>
              </w:rPr>
            </w:pPr>
            <w:r w:rsidRPr="002F1273">
              <w:rPr>
                <w:rFonts w:cs="Calibri"/>
                <w:sz w:val="18"/>
                <w:szCs w:val="18"/>
                <w:lang w:eastAsia="pl-PL"/>
              </w:rPr>
              <w:t>KPRM</w:t>
            </w:r>
          </w:p>
        </w:tc>
        <w:tc>
          <w:tcPr>
            <w:tcW w:w="4961" w:type="dxa"/>
            <w:tcBorders>
              <w:left w:val="single" w:sz="24" w:space="0" w:color="FFFFFF"/>
              <w:right w:val="single" w:sz="24" w:space="0" w:color="FFFFFF"/>
            </w:tcBorders>
            <w:shd w:val="clear" w:color="auto" w:fill="FFF2CC" w:themeFill="accent4" w:themeFillTint="33"/>
          </w:tcPr>
          <w:p w14:paraId="71944236" w14:textId="6BD5347A" w:rsidR="00463981" w:rsidRPr="002F1273" w:rsidRDefault="00AE48DE" w:rsidP="00AE48DE">
            <w:pPr>
              <w:keepNext/>
              <w:autoSpaceDE w:val="0"/>
              <w:autoSpaceDN w:val="0"/>
              <w:adjustRightInd w:val="0"/>
              <w:rPr>
                <w:rFonts w:eastAsia="HiddenHorzOCR" w:cs="HiddenHorzOCR"/>
                <w:sz w:val="18"/>
                <w:szCs w:val="18"/>
              </w:rPr>
            </w:pPr>
            <w:r w:rsidRPr="002F1273">
              <w:rPr>
                <w:rFonts w:eastAsia="HiddenHorzOCR" w:cs="HiddenHorzOCR"/>
                <w:sz w:val="18"/>
                <w:szCs w:val="18"/>
              </w:rPr>
              <w:t xml:space="preserve">Relacja liczby dowodów osobistych z aktywowaną warstwą elektroniczną (profil osobisty i podpis osobisty) do całkowitej liczby wydanych dowodów z warstwą elektroniczną. </w:t>
            </w:r>
          </w:p>
        </w:tc>
      </w:tr>
      <w:tr w:rsidR="00463981" w:rsidRPr="00F21196" w14:paraId="391E1CB4" w14:textId="77777777" w:rsidTr="00463981">
        <w:trPr>
          <w:trHeight w:val="924"/>
        </w:trPr>
        <w:tc>
          <w:tcPr>
            <w:tcW w:w="3403" w:type="dxa"/>
            <w:tcBorders>
              <w:top w:val="single" w:sz="24" w:space="0" w:color="FFFFFF"/>
              <w:left w:val="single" w:sz="24" w:space="0" w:color="FFFFFF"/>
              <w:bottom w:val="single" w:sz="24" w:space="0" w:color="FFFFFF"/>
              <w:right w:val="single" w:sz="24" w:space="0" w:color="FFFFFF"/>
            </w:tcBorders>
            <w:shd w:val="clear" w:color="auto" w:fill="FFF2CC" w:themeFill="accent4" w:themeFillTint="33"/>
            <w:vAlign w:val="center"/>
          </w:tcPr>
          <w:p w14:paraId="755E4424" w14:textId="6D4B16B7" w:rsidR="00463981" w:rsidRPr="002F1273" w:rsidRDefault="00B0118C" w:rsidP="009D1910">
            <w:pPr>
              <w:keepNext/>
              <w:autoSpaceDE w:val="0"/>
              <w:autoSpaceDN w:val="0"/>
              <w:adjustRightInd w:val="0"/>
              <w:spacing w:line="240" w:lineRule="auto"/>
              <w:rPr>
                <w:rFonts w:eastAsiaTheme="minorEastAsia" w:cstheme="minorHAnsi"/>
                <w:sz w:val="18"/>
                <w:szCs w:val="18"/>
                <w:lang w:eastAsia="pl-PL"/>
              </w:rPr>
            </w:pPr>
            <w:r w:rsidRPr="002F1273">
              <w:rPr>
                <w:rFonts w:eastAsiaTheme="minorEastAsia" w:cstheme="minorHAnsi"/>
                <w:sz w:val="18"/>
                <w:szCs w:val="18"/>
                <w:lang w:eastAsia="pl-PL"/>
              </w:rPr>
              <w:t>Odsetek stron internetowych podmiotów publicznych spełniających wymagania ustawy z 4 kwietnia 2019</w:t>
            </w:r>
            <w:r w:rsidR="00AE48DE" w:rsidRPr="002F1273">
              <w:rPr>
                <w:rFonts w:eastAsiaTheme="minorEastAsia" w:cstheme="minorHAnsi"/>
                <w:sz w:val="18"/>
                <w:szCs w:val="18"/>
                <w:lang w:eastAsia="pl-PL"/>
              </w:rPr>
              <w:t xml:space="preserve"> r.</w:t>
            </w:r>
            <w:r w:rsidRPr="002F1273">
              <w:rPr>
                <w:rFonts w:eastAsiaTheme="minorEastAsia" w:cstheme="minorHAnsi"/>
                <w:sz w:val="18"/>
                <w:szCs w:val="18"/>
                <w:lang w:eastAsia="pl-PL"/>
              </w:rPr>
              <w:t xml:space="preserve"> o dostępności cyfrowej stron internetowych i aplikacji mobilnych podmiotów publicznych</w:t>
            </w:r>
          </w:p>
        </w:tc>
        <w:tc>
          <w:tcPr>
            <w:tcW w:w="1276" w:type="dxa"/>
            <w:tcBorders>
              <w:top w:val="single" w:sz="24" w:space="0" w:color="FFFFFF"/>
              <w:left w:val="single" w:sz="24" w:space="0" w:color="FFFFFF"/>
              <w:bottom w:val="single" w:sz="24" w:space="0" w:color="FFFFFF"/>
              <w:right w:val="single" w:sz="24" w:space="0" w:color="FFFFFF"/>
            </w:tcBorders>
            <w:shd w:val="clear" w:color="auto" w:fill="FFF2CC" w:themeFill="accent4" w:themeFillTint="33"/>
            <w:vAlign w:val="center"/>
          </w:tcPr>
          <w:p w14:paraId="3C691157" w14:textId="331820E1" w:rsidR="00463981" w:rsidRPr="002F1273" w:rsidRDefault="00463981" w:rsidP="009D1910">
            <w:pPr>
              <w:keepNext/>
              <w:autoSpaceDE w:val="0"/>
              <w:autoSpaceDN w:val="0"/>
              <w:adjustRightInd w:val="0"/>
              <w:spacing w:line="240" w:lineRule="auto"/>
              <w:jc w:val="center"/>
              <w:rPr>
                <w:rFonts w:cstheme="minorHAnsi"/>
                <w:sz w:val="18"/>
                <w:szCs w:val="18"/>
                <w:lang w:eastAsia="pl-PL"/>
              </w:rPr>
            </w:pPr>
            <w:r w:rsidRPr="002F1273">
              <w:rPr>
                <w:rFonts w:cstheme="minorHAnsi"/>
                <w:sz w:val="18"/>
                <w:szCs w:val="18"/>
                <w:lang w:eastAsia="pl-PL"/>
              </w:rPr>
              <w:t>%</w:t>
            </w:r>
          </w:p>
        </w:tc>
        <w:tc>
          <w:tcPr>
            <w:tcW w:w="1701" w:type="dxa"/>
            <w:tcBorders>
              <w:top w:val="single" w:sz="24" w:space="0" w:color="FFFFFF"/>
              <w:left w:val="single" w:sz="24" w:space="0" w:color="FFFFFF"/>
              <w:bottom w:val="single" w:sz="24" w:space="0" w:color="FFFFFF"/>
              <w:right w:val="single" w:sz="24" w:space="0" w:color="FFFFFF"/>
            </w:tcBorders>
            <w:shd w:val="clear" w:color="auto" w:fill="FFF2CC" w:themeFill="accent4" w:themeFillTint="33"/>
            <w:vAlign w:val="center"/>
          </w:tcPr>
          <w:p w14:paraId="3FB237F2" w14:textId="77777777" w:rsidR="00463981" w:rsidRPr="002F1273" w:rsidRDefault="00463981" w:rsidP="009D1910">
            <w:pPr>
              <w:keepNext/>
              <w:autoSpaceDE w:val="0"/>
              <w:autoSpaceDN w:val="0"/>
              <w:adjustRightInd w:val="0"/>
              <w:spacing w:after="0" w:line="240" w:lineRule="auto"/>
              <w:jc w:val="center"/>
              <w:rPr>
                <w:rFonts w:eastAsiaTheme="minorEastAsia" w:cstheme="minorHAnsi"/>
                <w:sz w:val="18"/>
                <w:szCs w:val="18"/>
                <w:lang w:eastAsia="pl-PL"/>
              </w:rPr>
            </w:pPr>
            <w:r w:rsidRPr="002F1273">
              <w:rPr>
                <w:rFonts w:eastAsiaTheme="minorEastAsia" w:cstheme="minorHAnsi"/>
                <w:sz w:val="18"/>
                <w:szCs w:val="18"/>
                <w:lang w:eastAsia="pl-PL"/>
              </w:rPr>
              <w:t>60,2</w:t>
            </w:r>
          </w:p>
          <w:p w14:paraId="25CAFE9D" w14:textId="33192172" w:rsidR="00463981" w:rsidRPr="002F1273" w:rsidRDefault="00463981" w:rsidP="009D1910">
            <w:pPr>
              <w:keepNext/>
              <w:autoSpaceDE w:val="0"/>
              <w:autoSpaceDN w:val="0"/>
              <w:adjustRightInd w:val="0"/>
              <w:spacing w:after="0" w:line="240" w:lineRule="auto"/>
              <w:jc w:val="center"/>
              <w:rPr>
                <w:rFonts w:eastAsiaTheme="minorEastAsia" w:cstheme="minorHAnsi"/>
                <w:sz w:val="18"/>
                <w:szCs w:val="18"/>
                <w:lang w:eastAsia="pl-PL"/>
              </w:rPr>
            </w:pPr>
            <w:r w:rsidRPr="002F1273">
              <w:rPr>
                <w:rFonts w:eastAsiaTheme="minorEastAsia" w:cstheme="minorHAnsi"/>
                <w:sz w:val="18"/>
                <w:szCs w:val="18"/>
                <w:lang w:eastAsia="pl-PL"/>
              </w:rPr>
              <w:t>(2019)</w:t>
            </w:r>
          </w:p>
        </w:tc>
        <w:tc>
          <w:tcPr>
            <w:tcW w:w="1559" w:type="dxa"/>
            <w:tcBorders>
              <w:top w:val="single" w:sz="24" w:space="0" w:color="FFFFFF"/>
              <w:left w:val="single" w:sz="24" w:space="0" w:color="FFFFFF"/>
              <w:bottom w:val="single" w:sz="24" w:space="0" w:color="FFFFFF"/>
              <w:right w:val="single" w:sz="24" w:space="0" w:color="FFFFFF"/>
            </w:tcBorders>
            <w:shd w:val="clear" w:color="auto" w:fill="FFF2CC" w:themeFill="accent4" w:themeFillTint="33"/>
            <w:vAlign w:val="center"/>
          </w:tcPr>
          <w:p w14:paraId="67002E67" w14:textId="30B674BA" w:rsidR="00463981" w:rsidRPr="002F1273" w:rsidRDefault="00463981" w:rsidP="009D1910">
            <w:pPr>
              <w:jc w:val="center"/>
              <w:rPr>
                <w:sz w:val="18"/>
                <w:szCs w:val="18"/>
              </w:rPr>
            </w:pPr>
            <w:r w:rsidRPr="002F1273">
              <w:rPr>
                <w:sz w:val="18"/>
                <w:szCs w:val="18"/>
              </w:rPr>
              <w:t>100</w:t>
            </w:r>
          </w:p>
        </w:tc>
        <w:tc>
          <w:tcPr>
            <w:tcW w:w="1701" w:type="dxa"/>
            <w:tcBorders>
              <w:left w:val="single" w:sz="24" w:space="0" w:color="FFFFFF"/>
              <w:right w:val="single" w:sz="24" w:space="0" w:color="FFFFFF"/>
            </w:tcBorders>
            <w:shd w:val="clear" w:color="auto" w:fill="FFF2CC" w:themeFill="accent4" w:themeFillTint="33"/>
            <w:vAlign w:val="center"/>
          </w:tcPr>
          <w:p w14:paraId="0D010DA6" w14:textId="5E7B33D6" w:rsidR="00463981" w:rsidRPr="002F1273" w:rsidRDefault="00E9243F" w:rsidP="00E9243F">
            <w:pPr>
              <w:keepNext/>
              <w:autoSpaceDE w:val="0"/>
              <w:autoSpaceDN w:val="0"/>
              <w:adjustRightInd w:val="0"/>
              <w:spacing w:after="0"/>
              <w:jc w:val="center"/>
              <w:rPr>
                <w:rFonts w:cs="Calibri"/>
                <w:sz w:val="18"/>
                <w:szCs w:val="18"/>
                <w:lang w:eastAsia="pl-PL"/>
              </w:rPr>
            </w:pPr>
            <w:r w:rsidRPr="002F1273">
              <w:rPr>
                <w:rFonts w:cs="Calibri"/>
                <w:sz w:val="18"/>
                <w:szCs w:val="18"/>
                <w:lang w:eastAsia="pl-PL"/>
              </w:rPr>
              <w:t>KPRM</w:t>
            </w:r>
            <w:r w:rsidR="00463981" w:rsidRPr="002F1273">
              <w:rPr>
                <w:rFonts w:cs="Calibri"/>
                <w:sz w:val="18"/>
                <w:szCs w:val="18"/>
                <w:lang w:eastAsia="pl-PL"/>
              </w:rPr>
              <w:t>/Fundacja Widzialni</w:t>
            </w:r>
          </w:p>
        </w:tc>
        <w:tc>
          <w:tcPr>
            <w:tcW w:w="4961" w:type="dxa"/>
            <w:tcBorders>
              <w:left w:val="single" w:sz="24" w:space="0" w:color="FFFFFF"/>
              <w:right w:val="single" w:sz="24" w:space="0" w:color="FFFFFF"/>
            </w:tcBorders>
            <w:shd w:val="clear" w:color="auto" w:fill="FFF2CC" w:themeFill="accent4" w:themeFillTint="33"/>
          </w:tcPr>
          <w:p w14:paraId="7C753FD1" w14:textId="4A947296" w:rsidR="00463981" w:rsidRPr="002F1273" w:rsidRDefault="00AE48DE" w:rsidP="009D1910">
            <w:pPr>
              <w:keepNext/>
              <w:autoSpaceDE w:val="0"/>
              <w:autoSpaceDN w:val="0"/>
              <w:adjustRightInd w:val="0"/>
              <w:rPr>
                <w:rFonts w:eastAsia="HiddenHorzOCR" w:cs="HiddenHorzOCR"/>
                <w:sz w:val="18"/>
                <w:szCs w:val="18"/>
              </w:rPr>
            </w:pPr>
            <w:r w:rsidRPr="002F1273">
              <w:rPr>
                <w:rFonts w:eastAsia="HiddenHorzOCR" w:cs="HiddenHorzOCR"/>
                <w:sz w:val="18"/>
                <w:szCs w:val="18"/>
              </w:rPr>
              <w:t>Relacja stron internetowych podmiotów publicznych spełniających wymagania ustawy o dostępności cyfrowej do wszystkich stron objętych monitoringiem.</w:t>
            </w:r>
          </w:p>
        </w:tc>
      </w:tr>
      <w:tr w:rsidR="00463981" w:rsidRPr="00F21196" w14:paraId="77CA0BE8" w14:textId="77777777" w:rsidTr="00463981">
        <w:trPr>
          <w:trHeight w:val="422"/>
        </w:trPr>
        <w:tc>
          <w:tcPr>
            <w:tcW w:w="14601" w:type="dxa"/>
            <w:gridSpan w:val="6"/>
            <w:tcBorders>
              <w:top w:val="single" w:sz="24" w:space="0" w:color="FFFFFF"/>
              <w:left w:val="single" w:sz="24" w:space="0" w:color="FFFFFF"/>
              <w:bottom w:val="single" w:sz="24" w:space="0" w:color="FFFFFF"/>
              <w:right w:val="single" w:sz="24" w:space="0" w:color="FFFFFF"/>
            </w:tcBorders>
            <w:shd w:val="clear" w:color="auto" w:fill="F7CAAC" w:themeFill="accent2" w:themeFillTint="66"/>
            <w:vAlign w:val="center"/>
          </w:tcPr>
          <w:p w14:paraId="766066A5" w14:textId="77777777" w:rsidR="00463981" w:rsidRDefault="00463981" w:rsidP="009D1910">
            <w:pPr>
              <w:spacing w:after="0" w:line="240" w:lineRule="auto"/>
              <w:jc w:val="center"/>
              <w:rPr>
                <w:rFonts w:eastAsia="Times New Roman" w:cs="Calibri"/>
                <w:b/>
                <w:sz w:val="24"/>
                <w:lang w:eastAsia="pl-PL"/>
              </w:rPr>
            </w:pPr>
            <w:r w:rsidRPr="00F21196">
              <w:rPr>
                <w:rFonts w:eastAsia="Times New Roman" w:cs="Calibri"/>
                <w:b/>
                <w:sz w:val="24"/>
                <w:lang w:eastAsia="pl-PL"/>
              </w:rPr>
              <w:t xml:space="preserve">Cel szczegółowy IV. </w:t>
            </w:r>
          </w:p>
          <w:p w14:paraId="49F2844B" w14:textId="7E21EBCF" w:rsidR="00463981" w:rsidRPr="00F21196" w:rsidRDefault="00463981" w:rsidP="009D1910">
            <w:pPr>
              <w:spacing w:after="0" w:line="240" w:lineRule="auto"/>
              <w:jc w:val="center"/>
              <w:rPr>
                <w:rFonts w:eastAsia="HiddenHorzOCR" w:cs="HiddenHorzOCR"/>
                <w:sz w:val="18"/>
                <w:szCs w:val="18"/>
              </w:rPr>
            </w:pPr>
            <w:r w:rsidRPr="00F21196">
              <w:rPr>
                <w:rFonts w:eastAsia="Times New Roman" w:cs="Calibri"/>
                <w:b/>
                <w:i/>
                <w:sz w:val="24"/>
                <w:lang w:eastAsia="pl-PL"/>
              </w:rPr>
              <w:t>Efektywne planowanie i wykorzystanie środków finansowych</w:t>
            </w:r>
          </w:p>
        </w:tc>
      </w:tr>
      <w:tr w:rsidR="00463981" w:rsidRPr="00F21196" w14:paraId="2EE6E4FA" w14:textId="77777777" w:rsidTr="00463981">
        <w:tblPrEx>
          <w:shd w:val="clear" w:color="auto" w:fill="ECF1F8"/>
          <w:tblCellMar>
            <w:top w:w="0" w:type="dxa"/>
            <w:left w:w="0" w:type="dxa"/>
            <w:bottom w:w="0" w:type="dxa"/>
            <w:right w:w="0" w:type="dxa"/>
          </w:tblCellMar>
          <w:tblLook w:val="0620" w:firstRow="1" w:lastRow="0" w:firstColumn="0" w:lastColumn="0" w:noHBand="1" w:noVBand="1"/>
        </w:tblPrEx>
        <w:trPr>
          <w:trHeight w:val="20"/>
        </w:trPr>
        <w:tc>
          <w:tcPr>
            <w:tcW w:w="3403" w:type="dxa"/>
            <w:shd w:val="clear" w:color="auto" w:fill="FBE4D5" w:themeFill="accent2" w:themeFillTint="33"/>
            <w:tcMar>
              <w:top w:w="15" w:type="dxa"/>
              <w:left w:w="108" w:type="dxa"/>
              <w:bottom w:w="0" w:type="dxa"/>
              <w:right w:w="108" w:type="dxa"/>
            </w:tcMar>
            <w:vAlign w:val="center"/>
            <w:hideMark/>
          </w:tcPr>
          <w:p w14:paraId="1D37BB3E" w14:textId="77777777" w:rsidR="00463981" w:rsidRPr="002F1273" w:rsidRDefault="00463981" w:rsidP="009D1910">
            <w:pPr>
              <w:rPr>
                <w:rFonts w:eastAsia="Times New Roman" w:cs="Calibri"/>
                <w:kern w:val="24"/>
                <w:sz w:val="18"/>
                <w:szCs w:val="18"/>
                <w:lang w:eastAsia="pl-PL"/>
              </w:rPr>
            </w:pPr>
            <w:r w:rsidRPr="002F1273">
              <w:rPr>
                <w:rFonts w:eastAsia="Times New Roman" w:cs="Calibri"/>
                <w:kern w:val="24"/>
                <w:sz w:val="18"/>
                <w:szCs w:val="18"/>
                <w:lang w:eastAsia="pl-PL"/>
              </w:rPr>
              <w:t>Wynik sektora instytucji rządowych i samorządowych w relacji do PKB</w:t>
            </w:r>
          </w:p>
        </w:tc>
        <w:tc>
          <w:tcPr>
            <w:tcW w:w="1276" w:type="dxa"/>
            <w:shd w:val="clear" w:color="auto" w:fill="FBE4D5" w:themeFill="accent2" w:themeFillTint="33"/>
            <w:tcMar>
              <w:top w:w="15" w:type="dxa"/>
              <w:left w:w="108" w:type="dxa"/>
              <w:bottom w:w="0" w:type="dxa"/>
              <w:right w:w="108" w:type="dxa"/>
            </w:tcMar>
            <w:vAlign w:val="center"/>
            <w:hideMark/>
          </w:tcPr>
          <w:p w14:paraId="7E170C04" w14:textId="77777777" w:rsidR="00463981" w:rsidRPr="002F1273" w:rsidRDefault="00463981" w:rsidP="009D1910">
            <w:pPr>
              <w:jc w:val="center"/>
              <w:rPr>
                <w:rFonts w:eastAsia="Times New Roman" w:cs="Calibri"/>
                <w:kern w:val="24"/>
                <w:sz w:val="18"/>
                <w:szCs w:val="18"/>
                <w:lang w:eastAsia="pl-PL"/>
              </w:rPr>
            </w:pPr>
            <w:r w:rsidRPr="002F1273">
              <w:rPr>
                <w:rFonts w:eastAsia="Times New Roman" w:cs="Calibri"/>
                <w:kern w:val="24"/>
                <w:sz w:val="18"/>
                <w:szCs w:val="18"/>
                <w:lang w:eastAsia="pl-PL"/>
              </w:rPr>
              <w:t xml:space="preserve">% </w:t>
            </w:r>
          </w:p>
        </w:tc>
        <w:tc>
          <w:tcPr>
            <w:tcW w:w="1701" w:type="dxa"/>
            <w:shd w:val="clear" w:color="auto" w:fill="FBE4D5" w:themeFill="accent2" w:themeFillTint="33"/>
            <w:tcMar>
              <w:top w:w="15" w:type="dxa"/>
              <w:left w:w="108" w:type="dxa"/>
              <w:bottom w:w="0" w:type="dxa"/>
              <w:right w:w="108" w:type="dxa"/>
            </w:tcMar>
            <w:vAlign w:val="center"/>
            <w:hideMark/>
          </w:tcPr>
          <w:p w14:paraId="5534F521" w14:textId="5371C279" w:rsidR="00463981" w:rsidRPr="002F1273" w:rsidRDefault="00463981" w:rsidP="009D1910">
            <w:pPr>
              <w:spacing w:after="0"/>
              <w:jc w:val="center"/>
              <w:rPr>
                <w:rFonts w:eastAsia="Times New Roman" w:cs="Calibri"/>
                <w:kern w:val="24"/>
                <w:sz w:val="18"/>
                <w:szCs w:val="18"/>
                <w:lang w:eastAsia="pl-PL"/>
              </w:rPr>
            </w:pPr>
            <w:r w:rsidRPr="002F1273">
              <w:rPr>
                <w:rFonts w:eastAsia="Times New Roman" w:cs="Calibri"/>
                <w:kern w:val="24"/>
                <w:sz w:val="18"/>
                <w:szCs w:val="18"/>
                <w:lang w:eastAsia="pl-PL"/>
              </w:rPr>
              <w:t>-0,2</w:t>
            </w:r>
          </w:p>
          <w:p w14:paraId="6BACE09B" w14:textId="4E74A6A8" w:rsidR="00463981" w:rsidRPr="002F1273" w:rsidRDefault="00463981" w:rsidP="009D1910">
            <w:pPr>
              <w:spacing w:after="0"/>
              <w:jc w:val="center"/>
              <w:rPr>
                <w:rFonts w:eastAsia="Times New Roman" w:cs="Calibri"/>
                <w:kern w:val="24"/>
                <w:sz w:val="18"/>
                <w:szCs w:val="18"/>
                <w:lang w:eastAsia="pl-PL"/>
              </w:rPr>
            </w:pPr>
            <w:r w:rsidRPr="002F1273">
              <w:rPr>
                <w:rFonts w:eastAsia="Times New Roman" w:cs="Calibri"/>
                <w:kern w:val="24"/>
                <w:sz w:val="18"/>
                <w:szCs w:val="18"/>
                <w:lang w:eastAsia="pl-PL"/>
              </w:rPr>
              <w:t>(2018)</w:t>
            </w:r>
          </w:p>
        </w:tc>
        <w:tc>
          <w:tcPr>
            <w:tcW w:w="1559" w:type="dxa"/>
            <w:shd w:val="clear" w:color="auto" w:fill="FBE4D5" w:themeFill="accent2" w:themeFillTint="33"/>
            <w:vAlign w:val="center"/>
          </w:tcPr>
          <w:p w14:paraId="2283169D" w14:textId="77777777" w:rsidR="00463981" w:rsidRPr="002F1273" w:rsidRDefault="00463981" w:rsidP="009D1910">
            <w:pPr>
              <w:jc w:val="center"/>
              <w:rPr>
                <w:rFonts w:eastAsia="Times New Roman" w:cs="Calibri"/>
                <w:kern w:val="24"/>
                <w:sz w:val="18"/>
                <w:szCs w:val="18"/>
                <w:lang w:eastAsia="pl-PL"/>
              </w:rPr>
            </w:pPr>
            <w:r w:rsidRPr="002F1273">
              <w:rPr>
                <w:rFonts w:eastAsia="Times New Roman" w:cs="Calibri"/>
                <w:kern w:val="24"/>
                <w:sz w:val="18"/>
                <w:szCs w:val="18"/>
                <w:lang w:eastAsia="pl-PL"/>
              </w:rPr>
              <w:t>powyżej  -3</w:t>
            </w:r>
          </w:p>
        </w:tc>
        <w:tc>
          <w:tcPr>
            <w:tcW w:w="1701" w:type="dxa"/>
            <w:shd w:val="clear" w:color="auto" w:fill="FBE4D5" w:themeFill="accent2" w:themeFillTint="33"/>
            <w:tcMar>
              <w:top w:w="15" w:type="dxa"/>
              <w:left w:w="108" w:type="dxa"/>
              <w:bottom w:w="0" w:type="dxa"/>
              <w:right w:w="108" w:type="dxa"/>
            </w:tcMar>
            <w:vAlign w:val="center"/>
            <w:hideMark/>
          </w:tcPr>
          <w:p w14:paraId="1A075104" w14:textId="77777777" w:rsidR="00463981" w:rsidRPr="002F1273" w:rsidRDefault="00463981" w:rsidP="009D1910">
            <w:pPr>
              <w:jc w:val="center"/>
              <w:rPr>
                <w:rFonts w:eastAsia="Times New Roman" w:cs="Calibri"/>
                <w:color w:val="244061"/>
                <w:kern w:val="24"/>
                <w:sz w:val="18"/>
                <w:szCs w:val="18"/>
                <w:lang w:eastAsia="pl-PL"/>
              </w:rPr>
            </w:pPr>
            <w:r w:rsidRPr="002F1273">
              <w:rPr>
                <w:rFonts w:eastAsia="Times New Roman" w:cs="Calibri"/>
                <w:color w:val="244061"/>
                <w:kern w:val="24"/>
                <w:sz w:val="18"/>
                <w:szCs w:val="18"/>
                <w:lang w:eastAsia="pl-PL"/>
              </w:rPr>
              <w:t>GUS</w:t>
            </w:r>
          </w:p>
        </w:tc>
        <w:tc>
          <w:tcPr>
            <w:tcW w:w="4961" w:type="dxa"/>
            <w:shd w:val="clear" w:color="auto" w:fill="FBE4D5" w:themeFill="accent2" w:themeFillTint="33"/>
          </w:tcPr>
          <w:p w14:paraId="25BBC0F9" w14:textId="77777777" w:rsidR="00463981" w:rsidRPr="002F1273" w:rsidRDefault="00463981" w:rsidP="009D1910">
            <w:pPr>
              <w:autoSpaceDE w:val="0"/>
              <w:autoSpaceDN w:val="0"/>
              <w:adjustRightInd w:val="0"/>
              <w:spacing w:after="0" w:line="240" w:lineRule="auto"/>
              <w:rPr>
                <w:rFonts w:eastAsia="Times New Roman" w:cs="Calibri"/>
                <w:kern w:val="24"/>
                <w:sz w:val="18"/>
                <w:szCs w:val="18"/>
                <w:lang w:eastAsia="pl-PL"/>
              </w:rPr>
            </w:pPr>
            <w:r w:rsidRPr="002F1273">
              <w:rPr>
                <w:sz w:val="18"/>
                <w:szCs w:val="18"/>
              </w:rPr>
              <w:t>Stosunek skonsolidowanej wartości deficytu lub nadwyżki sektora instytucji rządowych i samorządowych w danym roku do wartości nominalnej produktu krajowego brutto w tym samym roku, wyrażony procentowo.</w:t>
            </w:r>
          </w:p>
        </w:tc>
      </w:tr>
      <w:tr w:rsidR="00463981" w:rsidRPr="00F21196" w14:paraId="6A73A657" w14:textId="77777777" w:rsidTr="00463981">
        <w:tblPrEx>
          <w:shd w:val="clear" w:color="auto" w:fill="ECF1F8"/>
          <w:tblCellMar>
            <w:top w:w="0" w:type="dxa"/>
            <w:left w:w="0" w:type="dxa"/>
            <w:bottom w:w="0" w:type="dxa"/>
            <w:right w:w="0" w:type="dxa"/>
          </w:tblCellMar>
          <w:tblLook w:val="0620" w:firstRow="1" w:lastRow="0" w:firstColumn="0" w:lastColumn="0" w:noHBand="1" w:noVBand="1"/>
        </w:tblPrEx>
        <w:trPr>
          <w:trHeight w:val="199"/>
        </w:trPr>
        <w:tc>
          <w:tcPr>
            <w:tcW w:w="3403" w:type="dxa"/>
            <w:shd w:val="clear" w:color="auto" w:fill="FBE4D5" w:themeFill="accent2" w:themeFillTint="33"/>
            <w:tcMar>
              <w:top w:w="15" w:type="dxa"/>
              <w:left w:w="108" w:type="dxa"/>
              <w:bottom w:w="0" w:type="dxa"/>
              <w:right w:w="108" w:type="dxa"/>
            </w:tcMar>
            <w:vAlign w:val="center"/>
          </w:tcPr>
          <w:p w14:paraId="6AEB2076" w14:textId="77777777" w:rsidR="00463981" w:rsidRPr="002F1273" w:rsidRDefault="00463981" w:rsidP="009D1910">
            <w:pPr>
              <w:rPr>
                <w:rFonts w:eastAsia="Times New Roman" w:cs="Calibri"/>
                <w:kern w:val="24"/>
                <w:sz w:val="18"/>
                <w:szCs w:val="18"/>
                <w:lang w:eastAsia="pl-PL"/>
              </w:rPr>
            </w:pPr>
            <w:r w:rsidRPr="002F1273">
              <w:rPr>
                <w:rFonts w:eastAsia="Times New Roman" w:cs="Calibri"/>
                <w:kern w:val="24"/>
                <w:sz w:val="18"/>
                <w:szCs w:val="18"/>
                <w:lang w:eastAsia="pl-PL"/>
              </w:rPr>
              <w:t>Dług sektora instytucji rządowych i samorządowych w relacji do PKB</w:t>
            </w:r>
          </w:p>
        </w:tc>
        <w:tc>
          <w:tcPr>
            <w:tcW w:w="1276" w:type="dxa"/>
            <w:shd w:val="clear" w:color="auto" w:fill="FBE4D5" w:themeFill="accent2" w:themeFillTint="33"/>
            <w:tcMar>
              <w:top w:w="15" w:type="dxa"/>
              <w:left w:w="108" w:type="dxa"/>
              <w:bottom w:w="0" w:type="dxa"/>
              <w:right w:w="108" w:type="dxa"/>
            </w:tcMar>
            <w:vAlign w:val="center"/>
          </w:tcPr>
          <w:p w14:paraId="5949404F" w14:textId="77777777" w:rsidR="00463981" w:rsidRPr="002F1273" w:rsidRDefault="00463981" w:rsidP="009D1910">
            <w:pPr>
              <w:jc w:val="center"/>
              <w:rPr>
                <w:rFonts w:eastAsia="Times New Roman" w:cs="Calibri"/>
                <w:kern w:val="24"/>
                <w:sz w:val="18"/>
                <w:szCs w:val="18"/>
                <w:lang w:eastAsia="pl-PL"/>
              </w:rPr>
            </w:pPr>
            <w:r w:rsidRPr="002F1273">
              <w:rPr>
                <w:rFonts w:eastAsia="Times New Roman" w:cs="Calibri"/>
                <w:kern w:val="24"/>
                <w:sz w:val="18"/>
                <w:szCs w:val="18"/>
                <w:lang w:eastAsia="pl-PL"/>
              </w:rPr>
              <w:t xml:space="preserve">% </w:t>
            </w:r>
          </w:p>
        </w:tc>
        <w:tc>
          <w:tcPr>
            <w:tcW w:w="1701" w:type="dxa"/>
            <w:shd w:val="clear" w:color="auto" w:fill="FBE4D5" w:themeFill="accent2" w:themeFillTint="33"/>
            <w:tcMar>
              <w:top w:w="15" w:type="dxa"/>
              <w:left w:w="108" w:type="dxa"/>
              <w:bottom w:w="0" w:type="dxa"/>
              <w:right w:w="108" w:type="dxa"/>
            </w:tcMar>
            <w:vAlign w:val="center"/>
          </w:tcPr>
          <w:p w14:paraId="6A34F0D6" w14:textId="30D86BBC" w:rsidR="00463981" w:rsidRPr="002F1273" w:rsidRDefault="00463981" w:rsidP="009D1910">
            <w:pPr>
              <w:spacing w:after="0"/>
              <w:jc w:val="center"/>
              <w:rPr>
                <w:rFonts w:eastAsia="Times New Roman" w:cs="Calibri"/>
                <w:kern w:val="24"/>
                <w:sz w:val="18"/>
                <w:szCs w:val="18"/>
                <w:lang w:eastAsia="pl-PL"/>
              </w:rPr>
            </w:pPr>
            <w:r w:rsidRPr="002F1273">
              <w:rPr>
                <w:rFonts w:eastAsia="Times New Roman" w:cs="Calibri"/>
                <w:kern w:val="24"/>
                <w:sz w:val="18"/>
                <w:szCs w:val="18"/>
                <w:lang w:eastAsia="pl-PL"/>
              </w:rPr>
              <w:t>48,9</w:t>
            </w:r>
          </w:p>
          <w:p w14:paraId="0C082F4A" w14:textId="0366DCCF" w:rsidR="00463981" w:rsidRPr="002F1273" w:rsidRDefault="00463981" w:rsidP="00BF0096">
            <w:pPr>
              <w:spacing w:after="0"/>
              <w:jc w:val="center"/>
              <w:rPr>
                <w:rFonts w:eastAsia="Times New Roman" w:cs="Calibri"/>
                <w:kern w:val="24"/>
                <w:sz w:val="18"/>
                <w:szCs w:val="18"/>
                <w:lang w:eastAsia="pl-PL"/>
              </w:rPr>
            </w:pPr>
            <w:r w:rsidRPr="002F1273">
              <w:rPr>
                <w:rFonts w:eastAsia="Times New Roman" w:cs="Calibri"/>
                <w:kern w:val="24"/>
                <w:sz w:val="18"/>
                <w:szCs w:val="18"/>
                <w:lang w:eastAsia="pl-PL"/>
              </w:rPr>
              <w:t>(2018)</w:t>
            </w:r>
          </w:p>
        </w:tc>
        <w:tc>
          <w:tcPr>
            <w:tcW w:w="1559" w:type="dxa"/>
            <w:shd w:val="clear" w:color="auto" w:fill="FBE4D5" w:themeFill="accent2" w:themeFillTint="33"/>
            <w:vAlign w:val="center"/>
          </w:tcPr>
          <w:p w14:paraId="0C10FF1C" w14:textId="77777777" w:rsidR="00463981" w:rsidRPr="002F1273" w:rsidRDefault="00463981" w:rsidP="009D1910">
            <w:pPr>
              <w:jc w:val="center"/>
              <w:rPr>
                <w:rFonts w:eastAsia="Times New Roman" w:cs="Calibri"/>
                <w:kern w:val="24"/>
                <w:sz w:val="18"/>
                <w:szCs w:val="18"/>
                <w:lang w:eastAsia="pl-PL"/>
              </w:rPr>
            </w:pPr>
            <w:r w:rsidRPr="002F1273">
              <w:rPr>
                <w:rFonts w:eastAsia="Times New Roman" w:cs="Calibri"/>
                <w:kern w:val="24"/>
                <w:sz w:val="18"/>
                <w:szCs w:val="18"/>
                <w:lang w:eastAsia="pl-PL"/>
              </w:rPr>
              <w:t>poniżej 60,0</w:t>
            </w:r>
          </w:p>
        </w:tc>
        <w:tc>
          <w:tcPr>
            <w:tcW w:w="1701" w:type="dxa"/>
            <w:shd w:val="clear" w:color="auto" w:fill="FBE4D5" w:themeFill="accent2" w:themeFillTint="33"/>
            <w:tcMar>
              <w:top w:w="15" w:type="dxa"/>
              <w:left w:w="108" w:type="dxa"/>
              <w:bottom w:w="0" w:type="dxa"/>
              <w:right w:w="108" w:type="dxa"/>
            </w:tcMar>
            <w:vAlign w:val="center"/>
          </w:tcPr>
          <w:p w14:paraId="031792D8" w14:textId="77777777" w:rsidR="00463981" w:rsidRPr="002F1273" w:rsidRDefault="00463981" w:rsidP="009D1910">
            <w:pPr>
              <w:jc w:val="center"/>
              <w:rPr>
                <w:color w:val="244061"/>
                <w:sz w:val="18"/>
                <w:szCs w:val="18"/>
              </w:rPr>
            </w:pPr>
            <w:r w:rsidRPr="002F1273">
              <w:rPr>
                <w:rFonts w:eastAsia="Times New Roman" w:cs="Calibri"/>
                <w:color w:val="244061"/>
                <w:kern w:val="24"/>
                <w:sz w:val="18"/>
                <w:szCs w:val="18"/>
                <w:lang w:eastAsia="pl-PL"/>
              </w:rPr>
              <w:t>GUS</w:t>
            </w:r>
          </w:p>
        </w:tc>
        <w:tc>
          <w:tcPr>
            <w:tcW w:w="4961" w:type="dxa"/>
            <w:shd w:val="clear" w:color="auto" w:fill="FBE4D5" w:themeFill="accent2" w:themeFillTint="33"/>
          </w:tcPr>
          <w:p w14:paraId="3A690864" w14:textId="77777777" w:rsidR="00463981" w:rsidRPr="002F1273" w:rsidRDefault="00463981" w:rsidP="009D1910">
            <w:pPr>
              <w:pStyle w:val="Tekstkomentarza"/>
              <w:rPr>
                <w:sz w:val="18"/>
                <w:szCs w:val="18"/>
              </w:rPr>
            </w:pPr>
            <w:r w:rsidRPr="002F1273">
              <w:rPr>
                <w:sz w:val="18"/>
                <w:szCs w:val="18"/>
              </w:rPr>
              <w:t>Stosunek wartości skonsolidowanego długu sektora instytucji rządowych i samorządowych w danym roku do wartości nominalnej produktu krajowego brutto w tym samym roku, wyrażony procentowo.</w:t>
            </w:r>
          </w:p>
        </w:tc>
      </w:tr>
      <w:tr w:rsidR="00463981" w:rsidRPr="00F21196" w14:paraId="56F89BC7" w14:textId="77777777" w:rsidTr="00463981">
        <w:tblPrEx>
          <w:shd w:val="clear" w:color="auto" w:fill="ECF1F8"/>
          <w:tblCellMar>
            <w:top w:w="0" w:type="dxa"/>
            <w:left w:w="0" w:type="dxa"/>
            <w:bottom w:w="0" w:type="dxa"/>
            <w:right w:w="0" w:type="dxa"/>
          </w:tblCellMar>
          <w:tblLook w:val="0620" w:firstRow="1" w:lastRow="0" w:firstColumn="0" w:lastColumn="0" w:noHBand="1" w:noVBand="1"/>
        </w:tblPrEx>
        <w:trPr>
          <w:trHeight w:val="248"/>
        </w:trPr>
        <w:tc>
          <w:tcPr>
            <w:tcW w:w="3403" w:type="dxa"/>
            <w:shd w:val="clear" w:color="auto" w:fill="FBE4D5" w:themeFill="accent2" w:themeFillTint="33"/>
            <w:tcMar>
              <w:top w:w="15" w:type="dxa"/>
              <w:left w:w="108" w:type="dxa"/>
              <w:bottom w:w="0" w:type="dxa"/>
              <w:right w:w="108" w:type="dxa"/>
            </w:tcMar>
          </w:tcPr>
          <w:p w14:paraId="71C1496B" w14:textId="77777777" w:rsidR="00463981" w:rsidRPr="002F1273" w:rsidRDefault="00463981" w:rsidP="009D1910">
            <w:pPr>
              <w:rPr>
                <w:rFonts w:eastAsia="Times New Roman" w:cs="Calibri"/>
                <w:kern w:val="24"/>
                <w:sz w:val="18"/>
                <w:szCs w:val="18"/>
                <w:lang w:eastAsia="pl-PL"/>
              </w:rPr>
            </w:pPr>
            <w:r w:rsidRPr="002F1273">
              <w:rPr>
                <w:rFonts w:eastAsia="Times New Roman" w:cs="Calibri"/>
                <w:kern w:val="24"/>
                <w:sz w:val="18"/>
                <w:szCs w:val="18"/>
                <w:lang w:eastAsia="pl-PL"/>
              </w:rPr>
              <w:t>Dochody podatkowe sektora instytucji rządowych i samorządowych w relacji do PKB</w:t>
            </w:r>
          </w:p>
        </w:tc>
        <w:tc>
          <w:tcPr>
            <w:tcW w:w="1276" w:type="dxa"/>
            <w:shd w:val="clear" w:color="auto" w:fill="FBE4D5" w:themeFill="accent2" w:themeFillTint="33"/>
            <w:tcMar>
              <w:top w:w="15" w:type="dxa"/>
              <w:left w:w="108" w:type="dxa"/>
              <w:bottom w:w="0" w:type="dxa"/>
              <w:right w:w="108" w:type="dxa"/>
            </w:tcMar>
            <w:vAlign w:val="center"/>
          </w:tcPr>
          <w:p w14:paraId="1F2A8AB4" w14:textId="77777777" w:rsidR="00463981" w:rsidRPr="002F1273" w:rsidRDefault="00463981" w:rsidP="009D1910">
            <w:pPr>
              <w:jc w:val="center"/>
              <w:rPr>
                <w:sz w:val="18"/>
                <w:szCs w:val="18"/>
              </w:rPr>
            </w:pPr>
            <w:r w:rsidRPr="002F1273">
              <w:rPr>
                <w:rFonts w:eastAsia="Times New Roman" w:cs="Calibri"/>
                <w:kern w:val="24"/>
                <w:sz w:val="18"/>
                <w:szCs w:val="18"/>
                <w:lang w:eastAsia="pl-PL"/>
              </w:rPr>
              <w:t xml:space="preserve">% </w:t>
            </w:r>
          </w:p>
        </w:tc>
        <w:tc>
          <w:tcPr>
            <w:tcW w:w="1701" w:type="dxa"/>
            <w:shd w:val="clear" w:color="auto" w:fill="FBE4D5" w:themeFill="accent2" w:themeFillTint="33"/>
            <w:tcMar>
              <w:top w:w="15" w:type="dxa"/>
              <w:left w:w="108" w:type="dxa"/>
              <w:bottom w:w="0" w:type="dxa"/>
              <w:right w:w="108" w:type="dxa"/>
            </w:tcMar>
            <w:vAlign w:val="center"/>
          </w:tcPr>
          <w:p w14:paraId="3E17E68B" w14:textId="362E620A" w:rsidR="00463981" w:rsidRPr="002F1273" w:rsidRDefault="00463981" w:rsidP="009D1910">
            <w:pPr>
              <w:spacing w:after="0"/>
              <w:jc w:val="center"/>
              <w:rPr>
                <w:rFonts w:eastAsia="Times New Roman" w:cs="Calibri"/>
                <w:kern w:val="24"/>
                <w:sz w:val="18"/>
                <w:szCs w:val="18"/>
                <w:lang w:eastAsia="pl-PL"/>
              </w:rPr>
            </w:pPr>
            <w:r w:rsidRPr="002F1273">
              <w:rPr>
                <w:rFonts w:eastAsia="Times New Roman" w:cs="Calibri"/>
                <w:kern w:val="24"/>
                <w:sz w:val="18"/>
                <w:szCs w:val="18"/>
                <w:lang w:eastAsia="pl-PL"/>
              </w:rPr>
              <w:t>21,1</w:t>
            </w:r>
          </w:p>
          <w:p w14:paraId="35F44374" w14:textId="769E02A5" w:rsidR="00463981" w:rsidRPr="002F1273" w:rsidRDefault="00463981" w:rsidP="00BF0096">
            <w:pPr>
              <w:spacing w:after="0"/>
              <w:jc w:val="center"/>
              <w:rPr>
                <w:rFonts w:eastAsia="Times New Roman" w:cs="Calibri"/>
                <w:kern w:val="24"/>
                <w:sz w:val="18"/>
                <w:szCs w:val="18"/>
                <w:lang w:eastAsia="pl-PL"/>
              </w:rPr>
            </w:pPr>
            <w:r w:rsidRPr="002F1273">
              <w:rPr>
                <w:rFonts w:eastAsia="Times New Roman" w:cs="Calibri"/>
                <w:kern w:val="24"/>
                <w:sz w:val="18"/>
                <w:szCs w:val="18"/>
                <w:lang w:eastAsia="pl-PL"/>
              </w:rPr>
              <w:t>(2017)</w:t>
            </w:r>
          </w:p>
        </w:tc>
        <w:tc>
          <w:tcPr>
            <w:tcW w:w="1559" w:type="dxa"/>
            <w:shd w:val="clear" w:color="auto" w:fill="FBE4D5" w:themeFill="accent2" w:themeFillTint="33"/>
            <w:vAlign w:val="center"/>
          </w:tcPr>
          <w:p w14:paraId="216EB603" w14:textId="77777777" w:rsidR="00463981" w:rsidRPr="002F1273" w:rsidRDefault="00463981" w:rsidP="009D1910">
            <w:pPr>
              <w:jc w:val="center"/>
              <w:rPr>
                <w:rFonts w:eastAsia="Times New Roman" w:cs="Calibri"/>
                <w:kern w:val="24"/>
                <w:sz w:val="18"/>
                <w:szCs w:val="18"/>
                <w:lang w:eastAsia="pl-PL"/>
              </w:rPr>
            </w:pPr>
            <w:r w:rsidRPr="002F1273">
              <w:rPr>
                <w:rFonts w:eastAsia="Times New Roman" w:cs="Calibri"/>
                <w:kern w:val="24"/>
                <w:sz w:val="18"/>
                <w:szCs w:val="18"/>
                <w:lang w:eastAsia="pl-PL"/>
              </w:rPr>
              <w:t>powyżej 20</w:t>
            </w:r>
          </w:p>
        </w:tc>
        <w:tc>
          <w:tcPr>
            <w:tcW w:w="1701" w:type="dxa"/>
            <w:shd w:val="clear" w:color="auto" w:fill="FBE4D5" w:themeFill="accent2" w:themeFillTint="33"/>
            <w:tcMar>
              <w:top w:w="15" w:type="dxa"/>
              <w:left w:w="108" w:type="dxa"/>
              <w:bottom w:w="0" w:type="dxa"/>
              <w:right w:w="108" w:type="dxa"/>
            </w:tcMar>
            <w:vAlign w:val="center"/>
          </w:tcPr>
          <w:p w14:paraId="2F495C8B" w14:textId="0A9973F1" w:rsidR="00463981" w:rsidRPr="002F1273" w:rsidRDefault="00463981" w:rsidP="009D1910">
            <w:pPr>
              <w:jc w:val="center"/>
              <w:rPr>
                <w:color w:val="244061"/>
                <w:sz w:val="18"/>
                <w:szCs w:val="18"/>
              </w:rPr>
            </w:pPr>
            <w:r w:rsidRPr="002F1273">
              <w:rPr>
                <w:rFonts w:eastAsia="Times New Roman" w:cs="Calibri"/>
                <w:kern w:val="24"/>
                <w:sz w:val="18"/>
                <w:szCs w:val="18"/>
                <w:lang w:eastAsia="pl-PL"/>
              </w:rPr>
              <w:t>GUS/MF</w:t>
            </w:r>
          </w:p>
        </w:tc>
        <w:tc>
          <w:tcPr>
            <w:tcW w:w="4961" w:type="dxa"/>
            <w:shd w:val="clear" w:color="auto" w:fill="FBE4D5" w:themeFill="accent2" w:themeFillTint="33"/>
          </w:tcPr>
          <w:p w14:paraId="2C7016F7" w14:textId="77777777" w:rsidR="00463981" w:rsidRPr="002F1273" w:rsidRDefault="00463981" w:rsidP="009D1910">
            <w:pPr>
              <w:autoSpaceDE w:val="0"/>
              <w:autoSpaceDN w:val="0"/>
              <w:adjustRightInd w:val="0"/>
              <w:spacing w:after="0" w:line="240" w:lineRule="auto"/>
              <w:rPr>
                <w:rFonts w:cs="DINPro"/>
                <w:sz w:val="18"/>
                <w:szCs w:val="18"/>
              </w:rPr>
            </w:pPr>
            <w:r w:rsidRPr="002F1273">
              <w:rPr>
                <w:rFonts w:cs="DINPro"/>
                <w:sz w:val="18"/>
                <w:szCs w:val="18"/>
              </w:rPr>
              <w:t>Stosunek sumy wartości dla następujących transakcji ESA2010:</w:t>
            </w:r>
          </w:p>
          <w:p w14:paraId="632DCCBB" w14:textId="77777777" w:rsidR="00463981" w:rsidRPr="002F1273" w:rsidRDefault="00463981" w:rsidP="009D1910">
            <w:pPr>
              <w:autoSpaceDE w:val="0"/>
              <w:autoSpaceDN w:val="0"/>
              <w:adjustRightInd w:val="0"/>
              <w:spacing w:after="0" w:line="240" w:lineRule="auto"/>
              <w:rPr>
                <w:rFonts w:cs="DINPro"/>
                <w:sz w:val="18"/>
                <w:szCs w:val="18"/>
              </w:rPr>
            </w:pPr>
            <w:r w:rsidRPr="002F1273">
              <w:rPr>
                <w:rFonts w:cs="DINPro"/>
                <w:sz w:val="18"/>
                <w:szCs w:val="18"/>
              </w:rPr>
              <w:t>- podatki związane z produkcją i importem (D.2),</w:t>
            </w:r>
          </w:p>
          <w:p w14:paraId="6F141B51" w14:textId="77777777" w:rsidR="00463981" w:rsidRPr="002F1273" w:rsidRDefault="00463981" w:rsidP="009D1910">
            <w:pPr>
              <w:autoSpaceDE w:val="0"/>
              <w:autoSpaceDN w:val="0"/>
              <w:adjustRightInd w:val="0"/>
              <w:spacing w:after="0" w:line="240" w:lineRule="auto"/>
              <w:rPr>
                <w:rFonts w:cs="DINPro"/>
                <w:sz w:val="18"/>
                <w:szCs w:val="18"/>
              </w:rPr>
            </w:pPr>
            <w:r w:rsidRPr="002F1273">
              <w:rPr>
                <w:rFonts w:cs="DINPro"/>
                <w:sz w:val="18"/>
                <w:szCs w:val="18"/>
              </w:rPr>
              <w:t>- podatki bieżące od dochodów majątku itp. (D.5),</w:t>
            </w:r>
          </w:p>
          <w:p w14:paraId="7168D627" w14:textId="77777777" w:rsidR="00463981" w:rsidRPr="002F1273" w:rsidRDefault="00463981" w:rsidP="009D1910">
            <w:pPr>
              <w:autoSpaceDE w:val="0"/>
              <w:autoSpaceDN w:val="0"/>
              <w:adjustRightInd w:val="0"/>
              <w:spacing w:after="0" w:line="240" w:lineRule="auto"/>
              <w:rPr>
                <w:rFonts w:cs="DINPro"/>
                <w:sz w:val="18"/>
                <w:szCs w:val="18"/>
              </w:rPr>
            </w:pPr>
            <w:r w:rsidRPr="002F1273">
              <w:rPr>
                <w:rFonts w:cs="DINPro"/>
                <w:sz w:val="18"/>
                <w:szCs w:val="18"/>
              </w:rPr>
              <w:t>- podatki od kapitału (D.91)</w:t>
            </w:r>
          </w:p>
          <w:p w14:paraId="5DEC8D61" w14:textId="77777777" w:rsidR="00463981" w:rsidRPr="002F1273" w:rsidRDefault="00463981" w:rsidP="009D1910">
            <w:pPr>
              <w:autoSpaceDE w:val="0"/>
              <w:autoSpaceDN w:val="0"/>
              <w:adjustRightInd w:val="0"/>
              <w:spacing w:after="0" w:line="240" w:lineRule="auto"/>
              <w:rPr>
                <w:sz w:val="18"/>
                <w:szCs w:val="18"/>
              </w:rPr>
            </w:pPr>
            <w:r w:rsidRPr="002F1273">
              <w:rPr>
                <w:rFonts w:cs="DINPro"/>
                <w:sz w:val="18"/>
                <w:szCs w:val="18"/>
              </w:rPr>
              <w:t>sektora instytucji rządowych i samorządowych w danym roku do wartości nominalnej Produktu Krajowego Brutto w tym samym roku wyrażony w %.</w:t>
            </w:r>
          </w:p>
        </w:tc>
      </w:tr>
      <w:tr w:rsidR="00463981" w:rsidRPr="00F21196" w14:paraId="5F7A42D6" w14:textId="77777777" w:rsidTr="00463981">
        <w:tblPrEx>
          <w:shd w:val="clear" w:color="auto" w:fill="ECF1F8"/>
          <w:tblCellMar>
            <w:top w:w="0" w:type="dxa"/>
            <w:left w:w="0" w:type="dxa"/>
            <w:bottom w:w="0" w:type="dxa"/>
            <w:right w:w="0" w:type="dxa"/>
          </w:tblCellMar>
          <w:tblLook w:val="0620" w:firstRow="1" w:lastRow="0" w:firstColumn="0" w:lastColumn="0" w:noHBand="1" w:noVBand="1"/>
        </w:tblPrEx>
        <w:trPr>
          <w:trHeight w:val="298"/>
        </w:trPr>
        <w:tc>
          <w:tcPr>
            <w:tcW w:w="3403" w:type="dxa"/>
            <w:shd w:val="clear" w:color="auto" w:fill="FBE4D5" w:themeFill="accent2" w:themeFillTint="33"/>
            <w:tcMar>
              <w:top w:w="15" w:type="dxa"/>
              <w:left w:w="108" w:type="dxa"/>
              <w:bottom w:w="0" w:type="dxa"/>
              <w:right w:w="108" w:type="dxa"/>
            </w:tcMar>
            <w:vAlign w:val="center"/>
          </w:tcPr>
          <w:p w14:paraId="1A7CFD75" w14:textId="77777777" w:rsidR="00463981" w:rsidRPr="002F1273" w:rsidRDefault="00463981" w:rsidP="009D1910">
            <w:pPr>
              <w:rPr>
                <w:rFonts w:eastAsia="Times New Roman" w:cs="Calibri"/>
                <w:kern w:val="24"/>
                <w:sz w:val="18"/>
                <w:szCs w:val="18"/>
                <w:lang w:eastAsia="pl-PL"/>
              </w:rPr>
            </w:pPr>
            <w:r w:rsidRPr="002F1273">
              <w:rPr>
                <w:rFonts w:eastAsia="Times New Roman" w:cs="Calibri"/>
                <w:kern w:val="24"/>
                <w:sz w:val="18"/>
                <w:szCs w:val="18"/>
                <w:lang w:eastAsia="pl-PL"/>
              </w:rPr>
              <w:t>Stopa inwestycji sektora instytucji rządowych i samorządowych</w:t>
            </w:r>
          </w:p>
        </w:tc>
        <w:tc>
          <w:tcPr>
            <w:tcW w:w="1276" w:type="dxa"/>
            <w:shd w:val="clear" w:color="auto" w:fill="FBE4D5" w:themeFill="accent2" w:themeFillTint="33"/>
            <w:tcMar>
              <w:top w:w="15" w:type="dxa"/>
              <w:left w:w="108" w:type="dxa"/>
              <w:bottom w:w="0" w:type="dxa"/>
              <w:right w:w="108" w:type="dxa"/>
            </w:tcMar>
            <w:vAlign w:val="center"/>
          </w:tcPr>
          <w:p w14:paraId="48143504" w14:textId="77777777" w:rsidR="00463981" w:rsidRPr="002F1273" w:rsidRDefault="00463981" w:rsidP="009D1910">
            <w:pPr>
              <w:jc w:val="center"/>
              <w:rPr>
                <w:sz w:val="18"/>
                <w:szCs w:val="18"/>
              </w:rPr>
            </w:pPr>
            <w:r w:rsidRPr="002F1273">
              <w:rPr>
                <w:rFonts w:eastAsia="Times New Roman" w:cs="Calibri"/>
                <w:kern w:val="24"/>
                <w:sz w:val="18"/>
                <w:szCs w:val="18"/>
                <w:lang w:eastAsia="pl-PL"/>
              </w:rPr>
              <w:t>%</w:t>
            </w:r>
          </w:p>
        </w:tc>
        <w:tc>
          <w:tcPr>
            <w:tcW w:w="1701" w:type="dxa"/>
            <w:shd w:val="clear" w:color="auto" w:fill="FBE4D5" w:themeFill="accent2" w:themeFillTint="33"/>
            <w:tcMar>
              <w:top w:w="15" w:type="dxa"/>
              <w:left w:w="108" w:type="dxa"/>
              <w:bottom w:w="0" w:type="dxa"/>
              <w:right w:w="108" w:type="dxa"/>
            </w:tcMar>
            <w:vAlign w:val="center"/>
          </w:tcPr>
          <w:p w14:paraId="4A42A72E" w14:textId="56E71877" w:rsidR="00463981" w:rsidRPr="002F1273" w:rsidRDefault="00463981" w:rsidP="009D1910">
            <w:pPr>
              <w:spacing w:after="0"/>
              <w:jc w:val="center"/>
              <w:rPr>
                <w:rFonts w:eastAsia="Times New Roman" w:cs="Calibri"/>
                <w:kern w:val="24"/>
                <w:sz w:val="18"/>
                <w:szCs w:val="18"/>
                <w:lang w:eastAsia="pl-PL"/>
              </w:rPr>
            </w:pPr>
            <w:r w:rsidRPr="002F1273">
              <w:rPr>
                <w:rFonts w:eastAsia="Times New Roman" w:cs="Calibri"/>
                <w:kern w:val="24"/>
                <w:sz w:val="18"/>
                <w:szCs w:val="18"/>
                <w:lang w:eastAsia="pl-PL"/>
              </w:rPr>
              <w:t>4,7</w:t>
            </w:r>
          </w:p>
          <w:p w14:paraId="7A14698C" w14:textId="571AE5C3" w:rsidR="00463981" w:rsidRPr="002F1273" w:rsidRDefault="00463981" w:rsidP="00BF0096">
            <w:pPr>
              <w:spacing w:after="0"/>
              <w:jc w:val="center"/>
              <w:rPr>
                <w:rFonts w:eastAsia="Times New Roman" w:cs="Calibri"/>
                <w:kern w:val="24"/>
                <w:sz w:val="18"/>
                <w:szCs w:val="18"/>
                <w:lang w:eastAsia="pl-PL"/>
              </w:rPr>
            </w:pPr>
            <w:r w:rsidRPr="002F1273">
              <w:rPr>
                <w:rFonts w:eastAsia="Times New Roman" w:cs="Calibri"/>
                <w:kern w:val="24"/>
                <w:sz w:val="18"/>
                <w:szCs w:val="18"/>
                <w:lang w:eastAsia="pl-PL"/>
              </w:rPr>
              <w:t>(2018</w:t>
            </w:r>
          </w:p>
        </w:tc>
        <w:tc>
          <w:tcPr>
            <w:tcW w:w="1559" w:type="dxa"/>
            <w:shd w:val="clear" w:color="auto" w:fill="FBE4D5" w:themeFill="accent2" w:themeFillTint="33"/>
            <w:vAlign w:val="center"/>
          </w:tcPr>
          <w:p w14:paraId="42FB85BB" w14:textId="77777777" w:rsidR="00463981" w:rsidRPr="002F1273" w:rsidRDefault="00463981" w:rsidP="009D1910">
            <w:pPr>
              <w:jc w:val="center"/>
              <w:rPr>
                <w:rFonts w:eastAsia="Times New Roman" w:cs="Calibri"/>
                <w:kern w:val="24"/>
                <w:sz w:val="18"/>
                <w:szCs w:val="18"/>
                <w:lang w:eastAsia="pl-PL"/>
              </w:rPr>
            </w:pPr>
            <w:r w:rsidRPr="002F1273">
              <w:rPr>
                <w:rFonts w:eastAsia="Times New Roman" w:cs="Calibri"/>
                <w:kern w:val="24"/>
                <w:sz w:val="18"/>
                <w:szCs w:val="18"/>
                <w:lang w:eastAsia="pl-PL"/>
              </w:rPr>
              <w:t>powyżej średniej dla krajów UE</w:t>
            </w:r>
          </w:p>
        </w:tc>
        <w:tc>
          <w:tcPr>
            <w:tcW w:w="1701" w:type="dxa"/>
            <w:shd w:val="clear" w:color="auto" w:fill="FBE4D5" w:themeFill="accent2" w:themeFillTint="33"/>
            <w:tcMar>
              <w:top w:w="15" w:type="dxa"/>
              <w:left w:w="108" w:type="dxa"/>
              <w:bottom w:w="0" w:type="dxa"/>
              <w:right w:w="108" w:type="dxa"/>
            </w:tcMar>
            <w:vAlign w:val="center"/>
          </w:tcPr>
          <w:p w14:paraId="4646332C" w14:textId="77777777" w:rsidR="00463981" w:rsidRPr="002F1273" w:rsidRDefault="00463981" w:rsidP="009D1910">
            <w:pPr>
              <w:jc w:val="center"/>
              <w:rPr>
                <w:rFonts w:eastAsia="Times New Roman" w:cs="Calibri"/>
                <w:color w:val="244061"/>
                <w:kern w:val="24"/>
                <w:sz w:val="18"/>
                <w:szCs w:val="18"/>
                <w:lang w:eastAsia="pl-PL"/>
              </w:rPr>
            </w:pPr>
            <w:r w:rsidRPr="002F1273">
              <w:rPr>
                <w:rFonts w:eastAsia="Times New Roman" w:cs="Calibri"/>
                <w:kern w:val="24"/>
                <w:sz w:val="18"/>
                <w:szCs w:val="18"/>
                <w:lang w:eastAsia="pl-PL"/>
              </w:rPr>
              <w:t>GUS</w:t>
            </w:r>
          </w:p>
        </w:tc>
        <w:tc>
          <w:tcPr>
            <w:tcW w:w="4961" w:type="dxa"/>
            <w:shd w:val="clear" w:color="auto" w:fill="FBE4D5" w:themeFill="accent2" w:themeFillTint="33"/>
          </w:tcPr>
          <w:p w14:paraId="0E25E977" w14:textId="08BB188C" w:rsidR="00463981" w:rsidRPr="002F1273" w:rsidRDefault="00724576" w:rsidP="009D1910">
            <w:pPr>
              <w:autoSpaceDE w:val="0"/>
              <w:autoSpaceDN w:val="0"/>
              <w:adjustRightInd w:val="0"/>
              <w:spacing w:after="0" w:line="240" w:lineRule="auto"/>
              <w:rPr>
                <w:rFonts w:eastAsia="Times New Roman" w:cs="Calibri"/>
                <w:kern w:val="24"/>
                <w:sz w:val="18"/>
                <w:szCs w:val="18"/>
                <w:lang w:eastAsia="pl-PL"/>
              </w:rPr>
            </w:pPr>
            <w:r w:rsidRPr="002F1273">
              <w:rPr>
                <w:rFonts w:cs="DINPro"/>
                <w:sz w:val="18"/>
                <w:szCs w:val="18"/>
              </w:rPr>
              <w:t>Stosunek wartości nakładów środków trwałych w sektorze instytucji rządowych i samorządowych (transakcja ESA2010 P.51g) w danym roku do wartości nominalnej Produktu Krajowego Brutto w tym samym roku wyrażony w %.</w:t>
            </w:r>
          </w:p>
        </w:tc>
      </w:tr>
      <w:tr w:rsidR="00463981" w:rsidRPr="00F21196" w14:paraId="6BE6CB03" w14:textId="77777777" w:rsidTr="00463981">
        <w:tblPrEx>
          <w:shd w:val="clear" w:color="auto" w:fill="ECF1F8"/>
          <w:tblCellMar>
            <w:top w:w="0" w:type="dxa"/>
            <w:left w:w="0" w:type="dxa"/>
            <w:bottom w:w="0" w:type="dxa"/>
            <w:right w:w="0" w:type="dxa"/>
          </w:tblCellMar>
          <w:tblLook w:val="0620" w:firstRow="1" w:lastRow="0" w:firstColumn="0" w:lastColumn="0" w:noHBand="1" w:noVBand="1"/>
        </w:tblPrEx>
        <w:trPr>
          <w:trHeight w:val="298"/>
        </w:trPr>
        <w:tc>
          <w:tcPr>
            <w:tcW w:w="3403" w:type="dxa"/>
            <w:shd w:val="clear" w:color="auto" w:fill="FBE4D5" w:themeFill="accent2" w:themeFillTint="33"/>
            <w:tcMar>
              <w:top w:w="15" w:type="dxa"/>
              <w:left w:w="108" w:type="dxa"/>
              <w:bottom w:w="0" w:type="dxa"/>
              <w:right w:w="108" w:type="dxa"/>
            </w:tcMar>
            <w:vAlign w:val="center"/>
          </w:tcPr>
          <w:p w14:paraId="7062E5F4" w14:textId="77777777" w:rsidR="00463981" w:rsidRPr="002F1273" w:rsidRDefault="00463981" w:rsidP="009D1910">
            <w:pPr>
              <w:rPr>
                <w:rFonts w:eastAsia="Times New Roman" w:cs="Calibri"/>
                <w:kern w:val="24"/>
                <w:sz w:val="18"/>
                <w:szCs w:val="18"/>
                <w:lang w:eastAsia="pl-PL"/>
              </w:rPr>
            </w:pPr>
            <w:r w:rsidRPr="002F1273">
              <w:rPr>
                <w:rFonts w:eastAsia="Times New Roman" w:cs="Calibri"/>
                <w:kern w:val="24"/>
                <w:sz w:val="18"/>
                <w:szCs w:val="18"/>
                <w:lang w:eastAsia="pl-PL"/>
              </w:rPr>
              <w:t>Udział polskich przedsięwzięć/projektów w wartości programów zarządzanych przez KE</w:t>
            </w:r>
          </w:p>
        </w:tc>
        <w:tc>
          <w:tcPr>
            <w:tcW w:w="1276" w:type="dxa"/>
            <w:shd w:val="clear" w:color="auto" w:fill="FBE4D5" w:themeFill="accent2" w:themeFillTint="33"/>
            <w:tcMar>
              <w:top w:w="15" w:type="dxa"/>
              <w:left w:w="108" w:type="dxa"/>
              <w:bottom w:w="0" w:type="dxa"/>
              <w:right w:w="108" w:type="dxa"/>
            </w:tcMar>
            <w:vAlign w:val="center"/>
          </w:tcPr>
          <w:p w14:paraId="1D1CB628" w14:textId="77777777" w:rsidR="00463981" w:rsidRPr="002F1273" w:rsidRDefault="00463981" w:rsidP="009D1910">
            <w:pPr>
              <w:jc w:val="center"/>
              <w:rPr>
                <w:rFonts w:eastAsia="Times New Roman" w:cs="Calibri"/>
                <w:kern w:val="24"/>
                <w:sz w:val="18"/>
                <w:szCs w:val="18"/>
                <w:lang w:eastAsia="pl-PL"/>
              </w:rPr>
            </w:pPr>
            <w:r w:rsidRPr="002F1273">
              <w:rPr>
                <w:rFonts w:eastAsia="Times New Roman" w:cs="Calibri"/>
                <w:kern w:val="24"/>
                <w:sz w:val="18"/>
                <w:szCs w:val="18"/>
                <w:lang w:eastAsia="pl-PL"/>
              </w:rPr>
              <w:t>%</w:t>
            </w:r>
          </w:p>
        </w:tc>
        <w:tc>
          <w:tcPr>
            <w:tcW w:w="1701" w:type="dxa"/>
            <w:shd w:val="clear" w:color="auto" w:fill="FBE4D5" w:themeFill="accent2" w:themeFillTint="33"/>
            <w:tcMar>
              <w:top w:w="15" w:type="dxa"/>
              <w:left w:w="108" w:type="dxa"/>
              <w:bottom w:w="0" w:type="dxa"/>
              <w:right w:w="108" w:type="dxa"/>
            </w:tcMar>
            <w:vAlign w:val="center"/>
          </w:tcPr>
          <w:p w14:paraId="7184E163" w14:textId="382324A2" w:rsidR="00463981" w:rsidRPr="002F1273" w:rsidRDefault="00463981" w:rsidP="009D1910">
            <w:pPr>
              <w:spacing w:after="0" w:line="240" w:lineRule="auto"/>
              <w:jc w:val="center"/>
              <w:rPr>
                <w:rFonts w:eastAsia="Times New Roman" w:cs="Calibri"/>
                <w:kern w:val="24"/>
                <w:sz w:val="18"/>
                <w:szCs w:val="18"/>
                <w:lang w:eastAsia="pl-PL"/>
              </w:rPr>
            </w:pPr>
            <w:r w:rsidRPr="002F1273">
              <w:rPr>
                <w:rFonts w:eastAsia="Times New Roman" w:cs="Calibri"/>
                <w:kern w:val="24"/>
                <w:sz w:val="18"/>
                <w:szCs w:val="18"/>
                <w:lang w:eastAsia="pl-PL"/>
              </w:rPr>
              <w:t>1,</w:t>
            </w:r>
            <w:r w:rsidR="00724576" w:rsidRPr="002F1273">
              <w:rPr>
                <w:rFonts w:eastAsia="Times New Roman" w:cs="Calibri"/>
                <w:kern w:val="24"/>
                <w:sz w:val="18"/>
                <w:szCs w:val="18"/>
                <w:lang w:eastAsia="pl-PL"/>
              </w:rPr>
              <w:t>9</w:t>
            </w:r>
            <w:r w:rsidRPr="002F1273">
              <w:rPr>
                <w:rFonts w:eastAsia="Times New Roman" w:cs="Calibri"/>
                <w:kern w:val="24"/>
                <w:sz w:val="18"/>
                <w:szCs w:val="18"/>
                <w:lang w:eastAsia="pl-PL"/>
              </w:rPr>
              <w:t>%</w:t>
            </w:r>
          </w:p>
          <w:p w14:paraId="11C79066" w14:textId="7C4435AB" w:rsidR="00463981" w:rsidRPr="002F1273" w:rsidRDefault="00463981" w:rsidP="00724576">
            <w:pPr>
              <w:spacing w:after="0"/>
              <w:jc w:val="center"/>
              <w:rPr>
                <w:rFonts w:eastAsia="Times New Roman" w:cs="Calibri"/>
                <w:kern w:val="24"/>
                <w:sz w:val="18"/>
                <w:szCs w:val="18"/>
                <w:lang w:eastAsia="pl-PL"/>
              </w:rPr>
            </w:pPr>
            <w:r w:rsidRPr="002F1273">
              <w:rPr>
                <w:rFonts w:eastAsia="Times New Roman" w:cs="Calibri"/>
                <w:kern w:val="24"/>
                <w:sz w:val="18"/>
                <w:szCs w:val="18"/>
                <w:lang w:eastAsia="pl-PL"/>
              </w:rPr>
              <w:t>(201</w:t>
            </w:r>
            <w:r w:rsidR="00724576" w:rsidRPr="002F1273">
              <w:rPr>
                <w:rFonts w:eastAsia="Times New Roman" w:cs="Calibri"/>
                <w:kern w:val="24"/>
                <w:sz w:val="18"/>
                <w:szCs w:val="18"/>
                <w:lang w:eastAsia="pl-PL"/>
              </w:rPr>
              <w:t>9)</w:t>
            </w:r>
          </w:p>
        </w:tc>
        <w:tc>
          <w:tcPr>
            <w:tcW w:w="1559" w:type="dxa"/>
            <w:shd w:val="clear" w:color="auto" w:fill="FBE4D5" w:themeFill="accent2" w:themeFillTint="33"/>
            <w:vAlign w:val="center"/>
          </w:tcPr>
          <w:p w14:paraId="571B4A6C" w14:textId="77777777" w:rsidR="00463981" w:rsidRPr="002F1273" w:rsidRDefault="00463981" w:rsidP="009D1910">
            <w:pPr>
              <w:jc w:val="center"/>
              <w:rPr>
                <w:rFonts w:eastAsia="Times New Roman" w:cs="Calibri"/>
                <w:kern w:val="24"/>
                <w:sz w:val="18"/>
                <w:szCs w:val="18"/>
                <w:lang w:eastAsia="pl-PL"/>
              </w:rPr>
            </w:pPr>
            <w:r w:rsidRPr="002F1273">
              <w:rPr>
                <w:rFonts w:eastAsia="Times New Roman" w:cs="Calibri"/>
                <w:kern w:val="24"/>
                <w:sz w:val="18"/>
                <w:szCs w:val="18"/>
                <w:lang w:eastAsia="pl-PL"/>
              </w:rPr>
              <w:t xml:space="preserve">5,0 </w:t>
            </w:r>
          </w:p>
        </w:tc>
        <w:tc>
          <w:tcPr>
            <w:tcW w:w="1701" w:type="dxa"/>
            <w:shd w:val="clear" w:color="auto" w:fill="FBE4D5" w:themeFill="accent2" w:themeFillTint="33"/>
            <w:tcMar>
              <w:top w:w="15" w:type="dxa"/>
              <w:left w:w="108" w:type="dxa"/>
              <w:bottom w:w="0" w:type="dxa"/>
              <w:right w:w="108" w:type="dxa"/>
            </w:tcMar>
            <w:vAlign w:val="center"/>
          </w:tcPr>
          <w:p w14:paraId="4D02EFB8" w14:textId="58487E25" w:rsidR="00463981" w:rsidRPr="002F1273" w:rsidRDefault="00463981" w:rsidP="009D1910">
            <w:pPr>
              <w:jc w:val="center"/>
              <w:rPr>
                <w:rFonts w:eastAsia="Times New Roman" w:cs="Calibri"/>
                <w:i/>
                <w:kern w:val="24"/>
                <w:sz w:val="18"/>
                <w:szCs w:val="18"/>
                <w:lang w:eastAsia="pl-PL"/>
              </w:rPr>
            </w:pPr>
            <w:r w:rsidRPr="002F1273">
              <w:rPr>
                <w:rFonts w:eastAsia="Times New Roman" w:cstheme="minorHAnsi"/>
                <w:sz w:val="18"/>
                <w:szCs w:val="18"/>
              </w:rPr>
              <w:t>MFiPR</w:t>
            </w:r>
          </w:p>
        </w:tc>
        <w:tc>
          <w:tcPr>
            <w:tcW w:w="4961" w:type="dxa"/>
            <w:shd w:val="clear" w:color="auto" w:fill="FBE4D5" w:themeFill="accent2" w:themeFillTint="33"/>
          </w:tcPr>
          <w:p w14:paraId="04B3418F" w14:textId="77777777" w:rsidR="00463981" w:rsidRPr="002F1273" w:rsidRDefault="00463981" w:rsidP="009D1910">
            <w:pPr>
              <w:autoSpaceDE w:val="0"/>
              <w:autoSpaceDN w:val="0"/>
              <w:adjustRightInd w:val="0"/>
              <w:spacing w:after="0" w:line="240" w:lineRule="auto"/>
              <w:rPr>
                <w:rFonts w:cs="DINPro"/>
                <w:sz w:val="18"/>
                <w:szCs w:val="18"/>
              </w:rPr>
            </w:pPr>
            <w:r w:rsidRPr="002F1273">
              <w:rPr>
                <w:rFonts w:eastAsia="Times New Roman" w:cs="Times New Roman"/>
                <w:sz w:val="18"/>
                <w:szCs w:val="18"/>
                <w:lang w:eastAsia="pl-PL"/>
              </w:rPr>
              <w:t xml:space="preserve">Udział transferów do Polski w relacji do całości kwot przekazanych do państw członkowskich w ramach następujących programów WRF 2014–2020: Program Horyzont 2020, Program Euratom nt. </w:t>
            </w:r>
            <w:r w:rsidRPr="002F1273">
              <w:rPr>
                <w:rFonts w:eastAsia="Times New Roman" w:cs="Times New Roman"/>
                <w:sz w:val="18"/>
                <w:szCs w:val="18"/>
                <w:lang w:val="en-US" w:eastAsia="pl-PL"/>
              </w:rPr>
              <w:t xml:space="preserve">Badań i Szkoleń (Euratom Research and Training Programme), Program COSME, instrument “Łącząc Europę” (Energia+Transport+ICT). </w:t>
            </w:r>
            <w:r w:rsidRPr="002F1273">
              <w:rPr>
                <w:rFonts w:eastAsia="Times New Roman" w:cs="Times New Roman"/>
                <w:sz w:val="18"/>
                <w:szCs w:val="18"/>
                <w:lang w:eastAsia="pl-PL"/>
              </w:rPr>
              <w:t>Przy określaniu wskaźnika nie były uwzględnione programy LIFE i Erasmus.</w:t>
            </w:r>
          </w:p>
        </w:tc>
      </w:tr>
      <w:tr w:rsidR="00463981" w:rsidRPr="00F21196" w14:paraId="7B1F073C" w14:textId="77777777" w:rsidTr="00463981">
        <w:tblPrEx>
          <w:shd w:val="clear" w:color="auto" w:fill="F2F2F2"/>
          <w:tblCellMar>
            <w:top w:w="0" w:type="dxa"/>
            <w:left w:w="0" w:type="dxa"/>
            <w:bottom w:w="0" w:type="dxa"/>
            <w:right w:w="0" w:type="dxa"/>
          </w:tblCellMar>
          <w:tblLook w:val="0620" w:firstRow="1" w:lastRow="0" w:firstColumn="0" w:lastColumn="0" w:noHBand="1" w:noVBand="1"/>
        </w:tblPrEx>
        <w:trPr>
          <w:trHeight w:val="36"/>
        </w:trPr>
        <w:tc>
          <w:tcPr>
            <w:tcW w:w="14601" w:type="dxa"/>
            <w:gridSpan w:val="6"/>
            <w:shd w:val="clear" w:color="auto" w:fill="B4C6E7" w:themeFill="accent5" w:themeFillTint="66"/>
            <w:vAlign w:val="center"/>
          </w:tcPr>
          <w:p w14:paraId="142FDC6D" w14:textId="77777777" w:rsidR="00463981" w:rsidRPr="00463981" w:rsidRDefault="00463981" w:rsidP="00084367">
            <w:pPr>
              <w:spacing w:after="0"/>
              <w:jc w:val="center"/>
              <w:rPr>
                <w:rFonts w:eastAsia="Times New Roman" w:cs="Calibri"/>
                <w:b/>
                <w:sz w:val="24"/>
                <w:szCs w:val="20"/>
                <w:lang w:eastAsia="pl-PL"/>
              </w:rPr>
            </w:pPr>
            <w:r w:rsidRPr="00B17844">
              <w:rPr>
                <w:sz w:val="20"/>
                <w:szCs w:val="20"/>
              </w:rPr>
              <w:br w:type="page"/>
            </w:r>
            <w:r w:rsidRPr="00463981">
              <w:rPr>
                <w:rFonts w:eastAsia="Times New Roman" w:cs="Calibri"/>
                <w:b/>
                <w:sz w:val="24"/>
                <w:szCs w:val="20"/>
                <w:lang w:eastAsia="pl-PL"/>
              </w:rPr>
              <w:t xml:space="preserve">Cel szczegółowy V. </w:t>
            </w:r>
          </w:p>
          <w:p w14:paraId="1007178C" w14:textId="12D51914" w:rsidR="00463981" w:rsidRPr="00B17844" w:rsidRDefault="00463981" w:rsidP="00084367">
            <w:pPr>
              <w:spacing w:after="0"/>
              <w:jc w:val="center"/>
              <w:rPr>
                <w:rFonts w:eastAsia="Times New Roman" w:cs="Calibri"/>
                <w:b/>
                <w:sz w:val="20"/>
                <w:szCs w:val="20"/>
                <w:lang w:eastAsia="pl-PL"/>
              </w:rPr>
            </w:pPr>
            <w:r w:rsidRPr="00463981">
              <w:rPr>
                <w:rFonts w:eastAsia="Times New Roman" w:cs="Calibri"/>
                <w:b/>
                <w:i/>
                <w:sz w:val="24"/>
                <w:szCs w:val="20"/>
                <w:lang w:eastAsia="pl-PL"/>
              </w:rPr>
              <w:t>Zapewnienie obywatelom bezpieczeństwa wewnętrznego i zewnętrznego</w:t>
            </w:r>
          </w:p>
        </w:tc>
      </w:tr>
      <w:tr w:rsidR="00463981" w:rsidRPr="00F21196" w14:paraId="311EA047" w14:textId="77777777" w:rsidTr="00463981">
        <w:tblPrEx>
          <w:shd w:val="clear" w:color="auto" w:fill="F2F2F2"/>
          <w:tblCellMar>
            <w:top w:w="0" w:type="dxa"/>
            <w:left w:w="0" w:type="dxa"/>
            <w:bottom w:w="0" w:type="dxa"/>
            <w:right w:w="0" w:type="dxa"/>
          </w:tblCellMar>
          <w:tblLook w:val="0620" w:firstRow="1" w:lastRow="0" w:firstColumn="0" w:lastColumn="0" w:noHBand="1" w:noVBand="1"/>
        </w:tblPrEx>
        <w:trPr>
          <w:trHeight w:val="167"/>
        </w:trPr>
        <w:tc>
          <w:tcPr>
            <w:tcW w:w="3403" w:type="dxa"/>
            <w:shd w:val="clear" w:color="auto" w:fill="DEEAF6" w:themeFill="accent1" w:themeFillTint="33"/>
            <w:hideMark/>
          </w:tcPr>
          <w:p w14:paraId="70657D88" w14:textId="74B367FC" w:rsidR="002B5193" w:rsidRPr="00994170" w:rsidRDefault="00463981" w:rsidP="00AE48DE">
            <w:pPr>
              <w:spacing w:after="0"/>
              <w:rPr>
                <w:rFonts w:eastAsia="Times New Roman" w:cs="Calibri"/>
                <w:bCs/>
                <w:kern w:val="24"/>
                <w:sz w:val="18"/>
                <w:szCs w:val="18"/>
                <w:lang w:eastAsia="pl-PL"/>
              </w:rPr>
            </w:pPr>
            <w:r w:rsidRPr="00994170">
              <w:rPr>
                <w:rFonts w:eastAsia="Times New Roman" w:cs="Calibri"/>
                <w:bCs/>
                <w:kern w:val="24"/>
                <w:sz w:val="18"/>
                <w:szCs w:val="18"/>
                <w:lang w:eastAsia="pl-PL"/>
              </w:rPr>
              <w:t>Udział wydatków na obronę narodową w PKB</w:t>
            </w:r>
          </w:p>
        </w:tc>
        <w:tc>
          <w:tcPr>
            <w:tcW w:w="1276" w:type="dxa"/>
            <w:shd w:val="clear" w:color="auto" w:fill="DEEAF6" w:themeFill="accent1" w:themeFillTint="33"/>
            <w:vAlign w:val="center"/>
            <w:hideMark/>
          </w:tcPr>
          <w:p w14:paraId="008DCA9D" w14:textId="77777777" w:rsidR="00463981" w:rsidRPr="00994170" w:rsidRDefault="00463981" w:rsidP="00B01953">
            <w:pPr>
              <w:spacing w:after="0"/>
              <w:jc w:val="center"/>
              <w:rPr>
                <w:rFonts w:eastAsia="Times New Roman" w:cs="Calibri"/>
                <w:kern w:val="24"/>
                <w:sz w:val="18"/>
                <w:szCs w:val="18"/>
                <w:lang w:eastAsia="pl-PL"/>
              </w:rPr>
            </w:pPr>
            <w:r w:rsidRPr="00994170">
              <w:rPr>
                <w:rFonts w:eastAsia="Times New Roman" w:cs="Calibri"/>
                <w:kern w:val="24"/>
                <w:sz w:val="18"/>
                <w:szCs w:val="18"/>
                <w:lang w:eastAsia="pl-PL"/>
              </w:rPr>
              <w:t>%</w:t>
            </w:r>
          </w:p>
        </w:tc>
        <w:tc>
          <w:tcPr>
            <w:tcW w:w="1701" w:type="dxa"/>
            <w:shd w:val="clear" w:color="auto" w:fill="DEEAF6" w:themeFill="accent1" w:themeFillTint="33"/>
            <w:vAlign w:val="center"/>
            <w:hideMark/>
          </w:tcPr>
          <w:p w14:paraId="5AA2946B" w14:textId="02D5A432" w:rsidR="00463981" w:rsidRPr="00994170" w:rsidRDefault="00463981" w:rsidP="00B01953">
            <w:pPr>
              <w:spacing w:after="0"/>
              <w:jc w:val="center"/>
              <w:rPr>
                <w:rFonts w:eastAsia="Times New Roman" w:cs="Calibri"/>
                <w:kern w:val="24"/>
                <w:sz w:val="18"/>
                <w:szCs w:val="18"/>
                <w:lang w:eastAsia="pl-PL"/>
              </w:rPr>
            </w:pPr>
            <w:r w:rsidRPr="00994170">
              <w:rPr>
                <w:rFonts w:eastAsia="Times New Roman" w:cs="Calibri"/>
                <w:kern w:val="24"/>
                <w:sz w:val="18"/>
                <w:szCs w:val="18"/>
                <w:lang w:eastAsia="pl-PL"/>
              </w:rPr>
              <w:t>2,02</w:t>
            </w:r>
          </w:p>
          <w:p w14:paraId="2A24AD3B" w14:textId="3EA76C5E" w:rsidR="00463981" w:rsidRPr="00994170" w:rsidRDefault="00463981" w:rsidP="00032CCA">
            <w:pPr>
              <w:spacing w:after="0"/>
              <w:jc w:val="center"/>
              <w:rPr>
                <w:rFonts w:eastAsia="Times New Roman" w:cs="Calibri"/>
                <w:kern w:val="24"/>
                <w:sz w:val="18"/>
                <w:szCs w:val="18"/>
                <w:lang w:eastAsia="pl-PL"/>
              </w:rPr>
            </w:pPr>
            <w:r w:rsidRPr="00994170">
              <w:rPr>
                <w:rFonts w:eastAsia="Times New Roman" w:cs="Calibri"/>
                <w:kern w:val="24"/>
                <w:sz w:val="18"/>
                <w:szCs w:val="18"/>
                <w:lang w:eastAsia="pl-PL"/>
              </w:rPr>
              <w:t>(2018)</w:t>
            </w:r>
          </w:p>
        </w:tc>
        <w:tc>
          <w:tcPr>
            <w:tcW w:w="1559" w:type="dxa"/>
            <w:shd w:val="clear" w:color="auto" w:fill="DEEAF6" w:themeFill="accent1" w:themeFillTint="33"/>
            <w:vAlign w:val="center"/>
          </w:tcPr>
          <w:p w14:paraId="42293811" w14:textId="77777777" w:rsidR="00463981" w:rsidRPr="00994170" w:rsidRDefault="00463981" w:rsidP="00B01953">
            <w:pPr>
              <w:spacing w:after="0"/>
              <w:jc w:val="center"/>
              <w:rPr>
                <w:rFonts w:eastAsia="Times New Roman" w:cs="Calibri"/>
                <w:b/>
                <w:kern w:val="24"/>
                <w:sz w:val="18"/>
                <w:szCs w:val="18"/>
                <w:lang w:eastAsia="pl-PL"/>
              </w:rPr>
            </w:pPr>
            <w:r w:rsidRPr="00994170">
              <w:rPr>
                <w:rFonts w:eastAsia="Times New Roman" w:cs="Calibri"/>
                <w:b/>
                <w:kern w:val="24"/>
                <w:sz w:val="18"/>
                <w:szCs w:val="18"/>
                <w:lang w:eastAsia="pl-PL"/>
              </w:rPr>
              <w:t>2,5</w:t>
            </w:r>
          </w:p>
          <w:p w14:paraId="4258C369" w14:textId="10AB4D62" w:rsidR="00463981" w:rsidRPr="00994170" w:rsidRDefault="00463981" w:rsidP="00B01953">
            <w:pPr>
              <w:spacing w:after="0"/>
              <w:jc w:val="center"/>
              <w:rPr>
                <w:rFonts w:eastAsia="Times New Roman" w:cs="Calibri"/>
                <w:kern w:val="24"/>
                <w:sz w:val="18"/>
                <w:szCs w:val="18"/>
                <w:lang w:eastAsia="pl-PL"/>
              </w:rPr>
            </w:pPr>
          </w:p>
        </w:tc>
        <w:tc>
          <w:tcPr>
            <w:tcW w:w="1701" w:type="dxa"/>
            <w:shd w:val="clear" w:color="auto" w:fill="DEEAF6" w:themeFill="accent1" w:themeFillTint="33"/>
            <w:tcMar>
              <w:top w:w="15" w:type="dxa"/>
              <w:left w:w="108" w:type="dxa"/>
              <w:bottom w:w="0" w:type="dxa"/>
              <w:right w:w="108" w:type="dxa"/>
            </w:tcMar>
            <w:vAlign w:val="center"/>
            <w:hideMark/>
          </w:tcPr>
          <w:p w14:paraId="624D67D0" w14:textId="77777777" w:rsidR="00463981" w:rsidRPr="00994170" w:rsidRDefault="00463981" w:rsidP="00B01953">
            <w:pPr>
              <w:spacing w:after="0"/>
              <w:jc w:val="center"/>
              <w:rPr>
                <w:rFonts w:eastAsia="Times New Roman" w:cs="Calibri"/>
                <w:kern w:val="24"/>
                <w:sz w:val="18"/>
                <w:szCs w:val="18"/>
                <w:lang w:eastAsia="pl-PL"/>
              </w:rPr>
            </w:pPr>
            <w:r w:rsidRPr="00994170">
              <w:rPr>
                <w:rFonts w:eastAsia="Times New Roman" w:cs="Calibri"/>
                <w:kern w:val="24"/>
                <w:sz w:val="18"/>
                <w:szCs w:val="18"/>
                <w:lang w:eastAsia="pl-PL"/>
              </w:rPr>
              <w:t>MON</w:t>
            </w:r>
          </w:p>
        </w:tc>
        <w:tc>
          <w:tcPr>
            <w:tcW w:w="4961" w:type="dxa"/>
            <w:shd w:val="clear" w:color="auto" w:fill="DEEAF6" w:themeFill="accent1" w:themeFillTint="33"/>
          </w:tcPr>
          <w:p w14:paraId="4E947A24" w14:textId="77777777" w:rsidR="00463981" w:rsidRPr="00994170" w:rsidRDefault="00463981" w:rsidP="00B01953">
            <w:pPr>
              <w:spacing w:after="0"/>
              <w:rPr>
                <w:rFonts w:eastAsia="Times New Roman" w:cs="Calibri"/>
                <w:color w:val="1F497D"/>
                <w:kern w:val="24"/>
                <w:sz w:val="18"/>
                <w:szCs w:val="18"/>
                <w:lang w:eastAsia="pl-PL"/>
              </w:rPr>
            </w:pPr>
            <w:r w:rsidRPr="00994170">
              <w:rPr>
                <w:rFonts w:eastAsia="Times New Roman" w:cs="Calibri"/>
                <w:color w:val="1F497D"/>
                <w:kern w:val="24"/>
                <w:sz w:val="18"/>
                <w:szCs w:val="18"/>
                <w:lang w:eastAsia="pl-PL"/>
              </w:rPr>
              <w:t xml:space="preserve"> -</w:t>
            </w:r>
          </w:p>
        </w:tc>
      </w:tr>
      <w:tr w:rsidR="00463981" w:rsidRPr="00F21196" w14:paraId="099AC081" w14:textId="77777777" w:rsidTr="00463981">
        <w:tblPrEx>
          <w:shd w:val="clear" w:color="auto" w:fill="F2F2F2"/>
          <w:tblCellMar>
            <w:top w:w="0" w:type="dxa"/>
            <w:left w:w="0" w:type="dxa"/>
            <w:bottom w:w="0" w:type="dxa"/>
            <w:right w:w="0" w:type="dxa"/>
          </w:tblCellMar>
          <w:tblLook w:val="0620" w:firstRow="1" w:lastRow="0" w:firstColumn="0" w:lastColumn="0" w:noHBand="1" w:noVBand="1"/>
        </w:tblPrEx>
        <w:trPr>
          <w:trHeight w:val="358"/>
        </w:trPr>
        <w:tc>
          <w:tcPr>
            <w:tcW w:w="3403" w:type="dxa"/>
            <w:shd w:val="clear" w:color="auto" w:fill="DEEAF6" w:themeFill="accent1" w:themeFillTint="33"/>
          </w:tcPr>
          <w:p w14:paraId="525BD2BA" w14:textId="77777777" w:rsidR="00463981" w:rsidRPr="00994170" w:rsidRDefault="00463981" w:rsidP="00B01953">
            <w:pPr>
              <w:spacing w:after="0"/>
              <w:rPr>
                <w:rFonts w:cs="Times New Roman"/>
                <w:color w:val="000000"/>
                <w:sz w:val="18"/>
                <w:szCs w:val="18"/>
              </w:rPr>
            </w:pPr>
            <w:r w:rsidRPr="00994170">
              <w:rPr>
                <w:rFonts w:cs="Times New Roman"/>
                <w:color w:val="000000"/>
                <w:sz w:val="18"/>
                <w:szCs w:val="18"/>
              </w:rPr>
              <w:t>Udziału wydatków majątkowych w wydatkach na obronę narodową</w:t>
            </w:r>
          </w:p>
          <w:p w14:paraId="7EF79E87" w14:textId="77777777" w:rsidR="002B5193" w:rsidRPr="00994170" w:rsidRDefault="002B5193" w:rsidP="00B01953">
            <w:pPr>
              <w:spacing w:after="0"/>
              <w:rPr>
                <w:rFonts w:eastAsia="Times New Roman" w:cs="Calibri"/>
                <w:bCs/>
                <w:kern w:val="24"/>
                <w:sz w:val="18"/>
                <w:szCs w:val="18"/>
                <w:lang w:eastAsia="pl-PL"/>
              </w:rPr>
            </w:pPr>
          </w:p>
        </w:tc>
        <w:tc>
          <w:tcPr>
            <w:tcW w:w="1276" w:type="dxa"/>
            <w:shd w:val="clear" w:color="auto" w:fill="DEEAF6" w:themeFill="accent1" w:themeFillTint="33"/>
            <w:vAlign w:val="center"/>
            <w:hideMark/>
          </w:tcPr>
          <w:p w14:paraId="7C899FF8" w14:textId="77777777" w:rsidR="00463981" w:rsidRPr="00994170" w:rsidRDefault="00463981" w:rsidP="00B01953">
            <w:pPr>
              <w:spacing w:after="0"/>
              <w:jc w:val="center"/>
              <w:rPr>
                <w:rFonts w:eastAsia="Times New Roman" w:cs="Calibri"/>
                <w:kern w:val="24"/>
                <w:sz w:val="18"/>
                <w:szCs w:val="18"/>
                <w:lang w:eastAsia="pl-PL"/>
              </w:rPr>
            </w:pPr>
            <w:r w:rsidRPr="00994170">
              <w:rPr>
                <w:rFonts w:cs="Times New Roman"/>
                <w:color w:val="000000"/>
                <w:sz w:val="18"/>
                <w:szCs w:val="18"/>
              </w:rPr>
              <w:t>%</w:t>
            </w:r>
          </w:p>
        </w:tc>
        <w:tc>
          <w:tcPr>
            <w:tcW w:w="1701" w:type="dxa"/>
            <w:shd w:val="clear" w:color="auto" w:fill="DEEAF6" w:themeFill="accent1" w:themeFillTint="33"/>
            <w:vAlign w:val="center"/>
            <w:hideMark/>
          </w:tcPr>
          <w:p w14:paraId="46CAE1E8" w14:textId="77777777" w:rsidR="00463981" w:rsidRPr="00994170" w:rsidRDefault="00463981" w:rsidP="00B01953">
            <w:pPr>
              <w:autoSpaceDE w:val="0"/>
              <w:autoSpaceDN w:val="0"/>
              <w:adjustRightInd w:val="0"/>
              <w:spacing w:after="0" w:line="240" w:lineRule="auto"/>
              <w:jc w:val="center"/>
              <w:rPr>
                <w:rFonts w:cs="Times New Roman"/>
                <w:color w:val="000000"/>
                <w:sz w:val="18"/>
                <w:szCs w:val="18"/>
              </w:rPr>
            </w:pPr>
            <w:r w:rsidRPr="00994170">
              <w:rPr>
                <w:rFonts w:cs="Times New Roman"/>
                <w:color w:val="000000"/>
                <w:sz w:val="18"/>
                <w:szCs w:val="18"/>
              </w:rPr>
              <w:t>26,1</w:t>
            </w:r>
          </w:p>
          <w:p w14:paraId="70496203" w14:textId="77777777" w:rsidR="00463981" w:rsidRPr="00994170" w:rsidRDefault="00463981" w:rsidP="00B01953">
            <w:pPr>
              <w:spacing w:after="0"/>
              <w:jc w:val="center"/>
              <w:rPr>
                <w:rFonts w:eastAsia="Times New Roman" w:cs="Calibri"/>
                <w:kern w:val="24"/>
                <w:sz w:val="18"/>
                <w:szCs w:val="18"/>
                <w:lang w:eastAsia="pl-PL"/>
              </w:rPr>
            </w:pPr>
            <w:r w:rsidRPr="00994170">
              <w:rPr>
                <w:rFonts w:cs="Times New Roman"/>
                <w:color w:val="000000"/>
                <w:sz w:val="18"/>
                <w:szCs w:val="18"/>
              </w:rPr>
              <w:t>(2017)</w:t>
            </w:r>
          </w:p>
        </w:tc>
        <w:tc>
          <w:tcPr>
            <w:tcW w:w="1559" w:type="dxa"/>
            <w:shd w:val="clear" w:color="auto" w:fill="DEEAF6" w:themeFill="accent1" w:themeFillTint="33"/>
            <w:vAlign w:val="center"/>
          </w:tcPr>
          <w:p w14:paraId="6022094E" w14:textId="77777777" w:rsidR="00463981" w:rsidRPr="00994170" w:rsidRDefault="00463981" w:rsidP="00B01953">
            <w:pPr>
              <w:spacing w:after="0"/>
              <w:jc w:val="center"/>
              <w:rPr>
                <w:rFonts w:eastAsia="Times New Roman" w:cs="Calibri"/>
                <w:kern w:val="24"/>
                <w:sz w:val="18"/>
                <w:szCs w:val="18"/>
                <w:lang w:eastAsia="pl-PL"/>
              </w:rPr>
            </w:pPr>
            <w:r w:rsidRPr="00994170">
              <w:rPr>
                <w:rFonts w:cs="Times New Roman"/>
                <w:color w:val="000000"/>
                <w:sz w:val="18"/>
                <w:szCs w:val="18"/>
              </w:rPr>
              <w:t>20</w:t>
            </w:r>
          </w:p>
        </w:tc>
        <w:tc>
          <w:tcPr>
            <w:tcW w:w="1701" w:type="dxa"/>
            <w:shd w:val="clear" w:color="auto" w:fill="DEEAF6" w:themeFill="accent1" w:themeFillTint="33"/>
            <w:tcMar>
              <w:top w:w="15" w:type="dxa"/>
              <w:left w:w="108" w:type="dxa"/>
              <w:bottom w:w="0" w:type="dxa"/>
              <w:right w:w="108" w:type="dxa"/>
            </w:tcMar>
            <w:vAlign w:val="center"/>
            <w:hideMark/>
          </w:tcPr>
          <w:p w14:paraId="14CBCD9B" w14:textId="77777777" w:rsidR="00463981" w:rsidRPr="00994170" w:rsidRDefault="00463981" w:rsidP="00B01953">
            <w:pPr>
              <w:spacing w:after="0"/>
              <w:jc w:val="center"/>
              <w:rPr>
                <w:rFonts w:eastAsia="Times New Roman" w:cs="Calibri"/>
                <w:kern w:val="24"/>
                <w:sz w:val="18"/>
                <w:szCs w:val="18"/>
                <w:lang w:eastAsia="pl-PL"/>
              </w:rPr>
            </w:pPr>
            <w:r w:rsidRPr="00994170">
              <w:rPr>
                <w:rFonts w:cs="Times New Roman"/>
                <w:color w:val="000000"/>
                <w:sz w:val="18"/>
                <w:szCs w:val="18"/>
              </w:rPr>
              <w:t>MON</w:t>
            </w:r>
          </w:p>
        </w:tc>
        <w:tc>
          <w:tcPr>
            <w:tcW w:w="4961" w:type="dxa"/>
            <w:shd w:val="clear" w:color="auto" w:fill="DEEAF6" w:themeFill="accent1" w:themeFillTint="33"/>
          </w:tcPr>
          <w:p w14:paraId="699B65BC" w14:textId="77777777" w:rsidR="00463981" w:rsidRPr="00994170" w:rsidRDefault="00463981" w:rsidP="00B01953">
            <w:pPr>
              <w:spacing w:after="0"/>
              <w:rPr>
                <w:rFonts w:eastAsia="Times New Roman" w:cs="Calibri"/>
                <w:kern w:val="24"/>
                <w:sz w:val="18"/>
                <w:szCs w:val="18"/>
                <w:lang w:eastAsia="pl-PL"/>
              </w:rPr>
            </w:pPr>
            <w:r w:rsidRPr="00994170">
              <w:rPr>
                <w:rFonts w:cs="Times New Roman"/>
                <w:color w:val="000000"/>
                <w:sz w:val="18"/>
                <w:szCs w:val="18"/>
              </w:rPr>
              <w:t>Procentowy udział sumy wydatków majątkowych w ogólnej sumie wydatków budżetu państwa na obronę narodową.</w:t>
            </w:r>
          </w:p>
        </w:tc>
      </w:tr>
      <w:tr w:rsidR="00463981" w:rsidRPr="00F21196" w14:paraId="7D0F80D9" w14:textId="77777777" w:rsidTr="00463981">
        <w:tblPrEx>
          <w:shd w:val="clear" w:color="auto" w:fill="F2F2F2"/>
          <w:tblCellMar>
            <w:top w:w="0" w:type="dxa"/>
            <w:left w:w="0" w:type="dxa"/>
            <w:bottom w:w="0" w:type="dxa"/>
            <w:right w:w="0" w:type="dxa"/>
          </w:tblCellMar>
          <w:tblLook w:val="0620" w:firstRow="1" w:lastRow="0" w:firstColumn="0" w:lastColumn="0" w:noHBand="1" w:noVBand="1"/>
        </w:tblPrEx>
        <w:trPr>
          <w:trHeight w:val="20"/>
        </w:trPr>
        <w:tc>
          <w:tcPr>
            <w:tcW w:w="3403" w:type="dxa"/>
            <w:shd w:val="clear" w:color="auto" w:fill="DEEAF6" w:themeFill="accent1" w:themeFillTint="33"/>
          </w:tcPr>
          <w:p w14:paraId="10D7DB39" w14:textId="29C6FFDA" w:rsidR="00463981" w:rsidRPr="00994170" w:rsidRDefault="00463981" w:rsidP="00B01953">
            <w:pPr>
              <w:pStyle w:val="Tekstkomentarza"/>
              <w:rPr>
                <w:sz w:val="18"/>
                <w:szCs w:val="18"/>
              </w:rPr>
            </w:pPr>
            <w:r w:rsidRPr="00994170">
              <w:rPr>
                <w:sz w:val="18"/>
                <w:szCs w:val="18"/>
              </w:rPr>
              <w:t>Odsetek Polaków, którzy oceniają Polskę jako kraj bezpieczny</w:t>
            </w:r>
            <w:r w:rsidRPr="00994170">
              <w:rPr>
                <w:i/>
                <w:iCs/>
                <w:sz w:val="18"/>
                <w:szCs w:val="18"/>
              </w:rPr>
              <w:t> </w:t>
            </w:r>
          </w:p>
          <w:p w14:paraId="4401E2B0" w14:textId="77777777" w:rsidR="00463981" w:rsidRPr="00994170" w:rsidRDefault="00463981" w:rsidP="00B01953">
            <w:pPr>
              <w:spacing w:after="0"/>
              <w:rPr>
                <w:rFonts w:eastAsia="Times New Roman" w:cs="Calibri"/>
                <w:bCs/>
                <w:kern w:val="24"/>
                <w:sz w:val="18"/>
                <w:szCs w:val="18"/>
                <w:lang w:eastAsia="pl-PL"/>
              </w:rPr>
            </w:pPr>
          </w:p>
        </w:tc>
        <w:tc>
          <w:tcPr>
            <w:tcW w:w="1276" w:type="dxa"/>
            <w:shd w:val="clear" w:color="auto" w:fill="DEEAF6" w:themeFill="accent1" w:themeFillTint="33"/>
            <w:vAlign w:val="center"/>
          </w:tcPr>
          <w:p w14:paraId="176250A2" w14:textId="77777777" w:rsidR="00463981" w:rsidRPr="00994170" w:rsidRDefault="00463981" w:rsidP="00B01953">
            <w:pPr>
              <w:spacing w:after="0"/>
              <w:jc w:val="center"/>
              <w:rPr>
                <w:rFonts w:eastAsia="Times New Roman" w:cs="Calibri"/>
                <w:kern w:val="24"/>
                <w:sz w:val="18"/>
                <w:szCs w:val="18"/>
                <w:lang w:eastAsia="pl-PL"/>
              </w:rPr>
            </w:pPr>
            <w:r w:rsidRPr="00994170">
              <w:rPr>
                <w:rFonts w:eastAsia="Times New Roman" w:cs="Calibri"/>
                <w:kern w:val="24"/>
                <w:sz w:val="18"/>
                <w:szCs w:val="18"/>
                <w:lang w:eastAsia="pl-PL"/>
              </w:rPr>
              <w:t>%</w:t>
            </w:r>
          </w:p>
        </w:tc>
        <w:tc>
          <w:tcPr>
            <w:tcW w:w="1701" w:type="dxa"/>
            <w:shd w:val="clear" w:color="auto" w:fill="DEEAF6" w:themeFill="accent1" w:themeFillTint="33"/>
            <w:vAlign w:val="center"/>
          </w:tcPr>
          <w:p w14:paraId="31BC1066" w14:textId="5C60C0D9" w:rsidR="00463981" w:rsidRPr="00994170" w:rsidRDefault="00463981" w:rsidP="00B01953">
            <w:pPr>
              <w:spacing w:after="0"/>
              <w:jc w:val="center"/>
              <w:rPr>
                <w:rFonts w:eastAsia="Times New Roman" w:cs="Calibri"/>
                <w:kern w:val="24"/>
                <w:sz w:val="18"/>
                <w:szCs w:val="18"/>
                <w:lang w:eastAsia="pl-PL"/>
              </w:rPr>
            </w:pPr>
            <w:r w:rsidRPr="00994170">
              <w:rPr>
                <w:rFonts w:eastAsia="Times New Roman" w:cs="Calibri"/>
                <w:kern w:val="24"/>
                <w:sz w:val="18"/>
                <w:szCs w:val="18"/>
                <w:lang w:eastAsia="pl-PL"/>
              </w:rPr>
              <w:t>8</w:t>
            </w:r>
            <w:r w:rsidR="00724576" w:rsidRPr="00994170">
              <w:rPr>
                <w:rFonts w:eastAsia="Times New Roman" w:cs="Calibri"/>
                <w:kern w:val="24"/>
                <w:sz w:val="18"/>
                <w:szCs w:val="18"/>
                <w:lang w:eastAsia="pl-PL"/>
              </w:rPr>
              <w:t>9</w:t>
            </w:r>
            <w:r w:rsidRPr="00994170">
              <w:rPr>
                <w:rFonts w:eastAsia="Times New Roman" w:cs="Calibri"/>
                <w:kern w:val="24"/>
                <w:sz w:val="18"/>
                <w:szCs w:val="18"/>
                <w:lang w:eastAsia="pl-PL"/>
              </w:rPr>
              <w:t>,0</w:t>
            </w:r>
          </w:p>
          <w:p w14:paraId="16CDDFB7" w14:textId="703A90E4" w:rsidR="00463981" w:rsidRPr="00994170" w:rsidRDefault="00463981" w:rsidP="00724576">
            <w:pPr>
              <w:spacing w:after="0"/>
              <w:jc w:val="center"/>
              <w:rPr>
                <w:rFonts w:eastAsia="Times New Roman" w:cs="Calibri"/>
                <w:kern w:val="24"/>
                <w:sz w:val="18"/>
                <w:szCs w:val="18"/>
                <w:lang w:eastAsia="pl-PL"/>
              </w:rPr>
            </w:pPr>
            <w:r w:rsidRPr="00994170">
              <w:rPr>
                <w:rFonts w:eastAsia="Times New Roman" w:cs="Calibri"/>
                <w:kern w:val="24"/>
                <w:sz w:val="18"/>
                <w:szCs w:val="18"/>
                <w:lang w:eastAsia="pl-PL"/>
              </w:rPr>
              <w:t>(201</w:t>
            </w:r>
            <w:r w:rsidR="00724576" w:rsidRPr="00994170">
              <w:rPr>
                <w:rFonts w:eastAsia="Times New Roman" w:cs="Calibri"/>
                <w:kern w:val="24"/>
                <w:sz w:val="18"/>
                <w:szCs w:val="18"/>
                <w:lang w:eastAsia="pl-PL"/>
              </w:rPr>
              <w:t>9</w:t>
            </w:r>
            <w:r w:rsidRPr="00994170">
              <w:rPr>
                <w:rFonts w:eastAsia="Times New Roman" w:cs="Calibri"/>
                <w:kern w:val="24"/>
                <w:sz w:val="18"/>
                <w:szCs w:val="18"/>
                <w:lang w:eastAsia="pl-PL"/>
              </w:rPr>
              <w:t>)</w:t>
            </w:r>
          </w:p>
        </w:tc>
        <w:tc>
          <w:tcPr>
            <w:tcW w:w="1559" w:type="dxa"/>
            <w:shd w:val="clear" w:color="auto" w:fill="DEEAF6" w:themeFill="accent1" w:themeFillTint="33"/>
            <w:vAlign w:val="center"/>
          </w:tcPr>
          <w:p w14:paraId="354C6FAA" w14:textId="77777777" w:rsidR="00463981" w:rsidRPr="00994170" w:rsidRDefault="00463981" w:rsidP="00B01953">
            <w:pPr>
              <w:spacing w:after="0"/>
              <w:jc w:val="center"/>
              <w:rPr>
                <w:rFonts w:eastAsia="Times New Roman" w:cs="Calibri"/>
                <w:kern w:val="24"/>
                <w:sz w:val="18"/>
                <w:szCs w:val="18"/>
                <w:lang w:eastAsia="pl-PL"/>
              </w:rPr>
            </w:pPr>
            <w:r w:rsidRPr="00994170">
              <w:rPr>
                <w:rFonts w:eastAsia="Times New Roman" w:cs="Calibri"/>
                <w:kern w:val="24"/>
                <w:sz w:val="18"/>
                <w:szCs w:val="18"/>
                <w:lang w:eastAsia="pl-PL"/>
              </w:rPr>
              <w:t>84,0</w:t>
            </w:r>
          </w:p>
        </w:tc>
        <w:tc>
          <w:tcPr>
            <w:tcW w:w="1701" w:type="dxa"/>
            <w:shd w:val="clear" w:color="auto" w:fill="DEEAF6" w:themeFill="accent1" w:themeFillTint="33"/>
            <w:tcMar>
              <w:top w:w="15" w:type="dxa"/>
              <w:left w:w="108" w:type="dxa"/>
              <w:bottom w:w="0" w:type="dxa"/>
              <w:right w:w="108" w:type="dxa"/>
            </w:tcMar>
            <w:vAlign w:val="center"/>
          </w:tcPr>
          <w:p w14:paraId="5064AE3D" w14:textId="77777777" w:rsidR="00463981" w:rsidRPr="00994170" w:rsidRDefault="00463981" w:rsidP="00B01953">
            <w:pPr>
              <w:spacing w:after="0"/>
              <w:jc w:val="center"/>
              <w:rPr>
                <w:rFonts w:eastAsia="Times New Roman" w:cs="Calibri"/>
                <w:kern w:val="24"/>
                <w:sz w:val="18"/>
                <w:szCs w:val="18"/>
                <w:lang w:eastAsia="pl-PL"/>
              </w:rPr>
            </w:pPr>
            <w:r w:rsidRPr="00994170">
              <w:rPr>
                <w:rFonts w:eastAsia="Times New Roman" w:cs="Calibri"/>
                <w:kern w:val="24"/>
                <w:sz w:val="18"/>
                <w:szCs w:val="18"/>
                <w:lang w:eastAsia="pl-PL"/>
              </w:rPr>
              <w:t>CBOS</w:t>
            </w:r>
          </w:p>
        </w:tc>
        <w:tc>
          <w:tcPr>
            <w:tcW w:w="4961" w:type="dxa"/>
            <w:shd w:val="clear" w:color="auto" w:fill="DEEAF6" w:themeFill="accent1" w:themeFillTint="33"/>
          </w:tcPr>
          <w:p w14:paraId="417D4010" w14:textId="77777777" w:rsidR="00463981" w:rsidRPr="00994170" w:rsidRDefault="00463981" w:rsidP="00B01953">
            <w:pPr>
              <w:spacing w:after="0"/>
              <w:rPr>
                <w:rFonts w:eastAsia="Times New Roman" w:cs="Calibri"/>
                <w:kern w:val="24"/>
                <w:sz w:val="18"/>
                <w:szCs w:val="18"/>
                <w:lang w:eastAsia="pl-PL"/>
              </w:rPr>
            </w:pPr>
            <w:r w:rsidRPr="00994170">
              <w:rPr>
                <w:rFonts w:cs="Arial"/>
                <w:sz w:val="18"/>
                <w:szCs w:val="18"/>
              </w:rPr>
              <w:t xml:space="preserve">Odsetek respondentów, którzy udzielili </w:t>
            </w:r>
            <w:r w:rsidRPr="00994170">
              <w:rPr>
                <w:rFonts w:eastAsia="HiddenHorzOCR" w:cs="HiddenHorzOCR"/>
                <w:sz w:val="18"/>
                <w:szCs w:val="18"/>
              </w:rPr>
              <w:t xml:space="preserve">twierdzącej </w:t>
            </w:r>
            <w:r w:rsidRPr="00994170">
              <w:rPr>
                <w:rFonts w:cs="Arial"/>
                <w:sz w:val="18"/>
                <w:szCs w:val="18"/>
              </w:rPr>
              <w:t xml:space="preserve">odpowiedzi na pytanie: "Czy, Pana( i), zdaniem Polska jest krajem, w którym </w:t>
            </w:r>
            <w:r w:rsidRPr="00994170">
              <w:rPr>
                <w:rFonts w:eastAsia="HiddenHorzOCR" w:cs="HiddenHorzOCR"/>
                <w:sz w:val="18"/>
                <w:szCs w:val="18"/>
              </w:rPr>
              <w:t xml:space="preserve">żyje się </w:t>
            </w:r>
            <w:r w:rsidRPr="00994170">
              <w:rPr>
                <w:rFonts w:cs="Arial"/>
                <w:sz w:val="18"/>
                <w:szCs w:val="18"/>
              </w:rPr>
              <w:t>bezpiecznie?".</w:t>
            </w:r>
          </w:p>
        </w:tc>
      </w:tr>
      <w:tr w:rsidR="00463981" w:rsidRPr="00F21196" w14:paraId="22E5E984" w14:textId="77777777" w:rsidTr="00463981">
        <w:tblPrEx>
          <w:shd w:val="clear" w:color="auto" w:fill="F2F2F2"/>
          <w:tblCellMar>
            <w:top w:w="0" w:type="dxa"/>
            <w:left w:w="0" w:type="dxa"/>
            <w:bottom w:w="0" w:type="dxa"/>
            <w:right w:w="0" w:type="dxa"/>
          </w:tblCellMar>
          <w:tblLook w:val="0620" w:firstRow="1" w:lastRow="0" w:firstColumn="0" w:lastColumn="0" w:noHBand="1" w:noVBand="1"/>
        </w:tblPrEx>
        <w:trPr>
          <w:trHeight w:val="167"/>
        </w:trPr>
        <w:tc>
          <w:tcPr>
            <w:tcW w:w="3403" w:type="dxa"/>
            <w:shd w:val="clear" w:color="auto" w:fill="DEEAF6" w:themeFill="accent1" w:themeFillTint="33"/>
          </w:tcPr>
          <w:p w14:paraId="5D3DB065" w14:textId="6456D5E1" w:rsidR="00463981" w:rsidRPr="00994170" w:rsidRDefault="00463981" w:rsidP="00B01953">
            <w:pPr>
              <w:spacing w:after="0"/>
              <w:rPr>
                <w:rFonts w:eastAsia="Times New Roman" w:cs="Calibri"/>
                <w:bCs/>
                <w:kern w:val="24"/>
                <w:sz w:val="18"/>
                <w:szCs w:val="18"/>
                <w:lang w:eastAsia="pl-PL"/>
              </w:rPr>
            </w:pPr>
            <w:r w:rsidRPr="00994170">
              <w:rPr>
                <w:rFonts w:eastAsia="Times New Roman" w:cs="Calibri"/>
                <w:bCs/>
                <w:kern w:val="24"/>
                <w:sz w:val="18"/>
                <w:szCs w:val="18"/>
                <w:lang w:eastAsia="pl-PL"/>
              </w:rPr>
              <w:t>Odsetek Polaków, którzy deklarują poczucie bezpieczeństwa w miejscu zamieszkania</w:t>
            </w:r>
          </w:p>
        </w:tc>
        <w:tc>
          <w:tcPr>
            <w:tcW w:w="1276" w:type="dxa"/>
            <w:shd w:val="clear" w:color="auto" w:fill="DEEAF6" w:themeFill="accent1" w:themeFillTint="33"/>
            <w:vAlign w:val="center"/>
          </w:tcPr>
          <w:p w14:paraId="22A4F4D9" w14:textId="77777777" w:rsidR="00463981" w:rsidRPr="00994170" w:rsidRDefault="00463981" w:rsidP="00B01953">
            <w:pPr>
              <w:spacing w:after="0"/>
              <w:jc w:val="center"/>
              <w:rPr>
                <w:rFonts w:eastAsia="Times New Roman" w:cs="Calibri"/>
                <w:kern w:val="24"/>
                <w:sz w:val="18"/>
                <w:szCs w:val="18"/>
                <w:lang w:eastAsia="pl-PL"/>
              </w:rPr>
            </w:pPr>
            <w:r w:rsidRPr="00994170">
              <w:rPr>
                <w:rFonts w:eastAsia="Times New Roman" w:cs="Calibri"/>
                <w:kern w:val="24"/>
                <w:sz w:val="18"/>
                <w:szCs w:val="18"/>
                <w:lang w:eastAsia="pl-PL"/>
              </w:rPr>
              <w:t>%</w:t>
            </w:r>
          </w:p>
        </w:tc>
        <w:tc>
          <w:tcPr>
            <w:tcW w:w="1701" w:type="dxa"/>
            <w:shd w:val="clear" w:color="auto" w:fill="DEEAF6" w:themeFill="accent1" w:themeFillTint="33"/>
            <w:vAlign w:val="center"/>
          </w:tcPr>
          <w:p w14:paraId="2D5200B9" w14:textId="425CDC01" w:rsidR="00463981" w:rsidRPr="00994170" w:rsidRDefault="00463981" w:rsidP="00B01953">
            <w:pPr>
              <w:spacing w:after="0"/>
              <w:jc w:val="center"/>
              <w:rPr>
                <w:rFonts w:eastAsia="Times New Roman" w:cs="Calibri"/>
                <w:kern w:val="24"/>
                <w:sz w:val="18"/>
                <w:szCs w:val="18"/>
                <w:lang w:eastAsia="pl-PL"/>
              </w:rPr>
            </w:pPr>
            <w:r w:rsidRPr="00994170">
              <w:rPr>
                <w:rFonts w:eastAsia="Times New Roman" w:cs="Calibri"/>
                <w:kern w:val="24"/>
                <w:sz w:val="18"/>
                <w:szCs w:val="18"/>
                <w:lang w:eastAsia="pl-PL"/>
              </w:rPr>
              <w:t>9</w:t>
            </w:r>
            <w:r w:rsidR="00724576" w:rsidRPr="00994170">
              <w:rPr>
                <w:rFonts w:eastAsia="Times New Roman" w:cs="Calibri"/>
                <w:kern w:val="24"/>
                <w:sz w:val="18"/>
                <w:szCs w:val="18"/>
                <w:lang w:eastAsia="pl-PL"/>
              </w:rPr>
              <w:t>8</w:t>
            </w:r>
            <w:r w:rsidRPr="00994170">
              <w:rPr>
                <w:rFonts w:eastAsia="Times New Roman" w:cs="Calibri"/>
                <w:kern w:val="24"/>
                <w:sz w:val="18"/>
                <w:szCs w:val="18"/>
                <w:lang w:eastAsia="pl-PL"/>
              </w:rPr>
              <w:t>,0</w:t>
            </w:r>
          </w:p>
          <w:p w14:paraId="3DF29585" w14:textId="28538D63" w:rsidR="00463981" w:rsidRPr="00994170" w:rsidRDefault="00463981" w:rsidP="00724576">
            <w:pPr>
              <w:spacing w:after="0"/>
              <w:jc w:val="center"/>
              <w:rPr>
                <w:rFonts w:eastAsia="Times New Roman" w:cs="Calibri"/>
                <w:kern w:val="24"/>
                <w:sz w:val="18"/>
                <w:szCs w:val="18"/>
                <w:lang w:eastAsia="pl-PL"/>
              </w:rPr>
            </w:pPr>
            <w:r w:rsidRPr="00994170">
              <w:rPr>
                <w:rFonts w:eastAsia="Times New Roman" w:cs="Calibri"/>
                <w:kern w:val="24"/>
                <w:sz w:val="18"/>
                <w:szCs w:val="18"/>
                <w:lang w:eastAsia="pl-PL"/>
              </w:rPr>
              <w:t>(201</w:t>
            </w:r>
            <w:r w:rsidR="00724576" w:rsidRPr="00994170">
              <w:rPr>
                <w:rFonts w:eastAsia="Times New Roman" w:cs="Calibri"/>
                <w:kern w:val="24"/>
                <w:sz w:val="18"/>
                <w:szCs w:val="18"/>
                <w:lang w:eastAsia="pl-PL"/>
              </w:rPr>
              <w:t>9</w:t>
            </w:r>
            <w:r w:rsidRPr="00994170">
              <w:rPr>
                <w:rFonts w:eastAsia="Times New Roman" w:cs="Calibri"/>
                <w:kern w:val="24"/>
                <w:sz w:val="18"/>
                <w:szCs w:val="18"/>
                <w:lang w:eastAsia="pl-PL"/>
              </w:rPr>
              <w:t>)</w:t>
            </w:r>
          </w:p>
        </w:tc>
        <w:tc>
          <w:tcPr>
            <w:tcW w:w="1559" w:type="dxa"/>
            <w:shd w:val="clear" w:color="auto" w:fill="DEEAF6" w:themeFill="accent1" w:themeFillTint="33"/>
            <w:vAlign w:val="center"/>
          </w:tcPr>
          <w:p w14:paraId="38E183B0" w14:textId="77777777" w:rsidR="00463981" w:rsidRPr="00994170" w:rsidRDefault="00463981" w:rsidP="00B01953">
            <w:pPr>
              <w:spacing w:after="0"/>
              <w:jc w:val="center"/>
              <w:rPr>
                <w:rFonts w:eastAsia="Times New Roman" w:cs="Calibri"/>
                <w:kern w:val="24"/>
                <w:sz w:val="18"/>
                <w:szCs w:val="18"/>
                <w:lang w:eastAsia="pl-PL"/>
              </w:rPr>
            </w:pPr>
            <w:r w:rsidRPr="00994170">
              <w:rPr>
                <w:rFonts w:eastAsia="Times New Roman" w:cs="Calibri"/>
                <w:kern w:val="24"/>
                <w:sz w:val="18"/>
                <w:szCs w:val="18"/>
                <w:lang w:eastAsia="pl-PL"/>
              </w:rPr>
              <w:t xml:space="preserve">95,0 </w:t>
            </w:r>
          </w:p>
        </w:tc>
        <w:tc>
          <w:tcPr>
            <w:tcW w:w="1701" w:type="dxa"/>
            <w:shd w:val="clear" w:color="auto" w:fill="DEEAF6" w:themeFill="accent1" w:themeFillTint="33"/>
            <w:tcMar>
              <w:top w:w="15" w:type="dxa"/>
              <w:left w:w="108" w:type="dxa"/>
              <w:bottom w:w="0" w:type="dxa"/>
              <w:right w:w="108" w:type="dxa"/>
            </w:tcMar>
            <w:vAlign w:val="center"/>
          </w:tcPr>
          <w:p w14:paraId="3E85D187" w14:textId="77777777" w:rsidR="00463981" w:rsidRPr="00994170" w:rsidRDefault="00463981" w:rsidP="00B01953">
            <w:pPr>
              <w:spacing w:after="0"/>
              <w:jc w:val="center"/>
              <w:rPr>
                <w:rFonts w:eastAsia="Times New Roman" w:cs="Calibri"/>
                <w:kern w:val="24"/>
                <w:sz w:val="18"/>
                <w:szCs w:val="18"/>
                <w:lang w:eastAsia="pl-PL"/>
              </w:rPr>
            </w:pPr>
            <w:r w:rsidRPr="00994170">
              <w:rPr>
                <w:rFonts w:eastAsia="Times New Roman" w:cs="Calibri"/>
                <w:kern w:val="24"/>
                <w:sz w:val="18"/>
                <w:szCs w:val="18"/>
                <w:lang w:eastAsia="pl-PL"/>
              </w:rPr>
              <w:t>CBOS</w:t>
            </w:r>
          </w:p>
        </w:tc>
        <w:tc>
          <w:tcPr>
            <w:tcW w:w="4961" w:type="dxa"/>
            <w:shd w:val="clear" w:color="auto" w:fill="DEEAF6" w:themeFill="accent1" w:themeFillTint="33"/>
          </w:tcPr>
          <w:p w14:paraId="2EC3F2AC" w14:textId="77777777" w:rsidR="00463981" w:rsidRPr="00994170" w:rsidRDefault="00463981" w:rsidP="002B5193">
            <w:pPr>
              <w:pStyle w:val="Tekstkomentarza"/>
              <w:spacing w:after="0"/>
              <w:rPr>
                <w:sz w:val="18"/>
                <w:szCs w:val="18"/>
              </w:rPr>
            </w:pPr>
            <w:r w:rsidRPr="00994170">
              <w:rPr>
                <w:sz w:val="18"/>
                <w:szCs w:val="18"/>
              </w:rPr>
              <w:t>Odsetek respondentów, którzy udzielili twierdzącej odpowiedzi na pytanie:</w:t>
            </w:r>
          </w:p>
          <w:p w14:paraId="789CF572" w14:textId="77777777" w:rsidR="00463981" w:rsidRPr="00994170" w:rsidRDefault="00463981" w:rsidP="002B5193">
            <w:pPr>
              <w:pStyle w:val="Tekstkomentarza"/>
              <w:spacing w:after="0"/>
              <w:rPr>
                <w:sz w:val="18"/>
                <w:szCs w:val="18"/>
              </w:rPr>
            </w:pPr>
            <w:r w:rsidRPr="00994170">
              <w:rPr>
                <w:sz w:val="18"/>
                <w:szCs w:val="18"/>
              </w:rPr>
              <w:t>"Czy miejsce, w którym Pan(i) mieszka, można nazwać bezpiecznym i spokojnym?".</w:t>
            </w:r>
          </w:p>
          <w:p w14:paraId="2E418707" w14:textId="77777777" w:rsidR="002B5193" w:rsidRPr="00994170" w:rsidRDefault="002B5193" w:rsidP="002B5193">
            <w:pPr>
              <w:pStyle w:val="Tekstkomentarza"/>
              <w:spacing w:after="0"/>
              <w:rPr>
                <w:rFonts w:eastAsia="Times New Roman" w:cs="Calibri"/>
                <w:color w:val="1F497D"/>
                <w:kern w:val="24"/>
                <w:sz w:val="18"/>
                <w:szCs w:val="18"/>
                <w:lang w:eastAsia="pl-PL"/>
              </w:rPr>
            </w:pPr>
          </w:p>
        </w:tc>
      </w:tr>
      <w:tr w:rsidR="00463981" w:rsidRPr="00F21196" w14:paraId="4892D3D0" w14:textId="77777777" w:rsidTr="00463981">
        <w:tblPrEx>
          <w:shd w:val="clear" w:color="auto" w:fill="F2F2F2"/>
          <w:tblCellMar>
            <w:top w:w="0" w:type="dxa"/>
            <w:left w:w="0" w:type="dxa"/>
            <w:bottom w:w="0" w:type="dxa"/>
            <w:right w:w="0" w:type="dxa"/>
          </w:tblCellMar>
          <w:tblLook w:val="0620" w:firstRow="1" w:lastRow="0" w:firstColumn="0" w:lastColumn="0" w:noHBand="1" w:noVBand="1"/>
        </w:tblPrEx>
        <w:trPr>
          <w:trHeight w:val="167"/>
        </w:trPr>
        <w:tc>
          <w:tcPr>
            <w:tcW w:w="3403" w:type="dxa"/>
            <w:shd w:val="clear" w:color="auto" w:fill="DEEAF6" w:themeFill="accent1" w:themeFillTint="33"/>
          </w:tcPr>
          <w:p w14:paraId="693C3BDA" w14:textId="42BF36F7" w:rsidR="00463981" w:rsidRPr="00994170" w:rsidRDefault="00724576" w:rsidP="00B01953">
            <w:pPr>
              <w:spacing w:after="0"/>
              <w:rPr>
                <w:rFonts w:cs="Arial"/>
                <w:sz w:val="18"/>
                <w:szCs w:val="18"/>
              </w:rPr>
            </w:pPr>
            <w:r w:rsidRPr="00994170">
              <w:rPr>
                <w:sz w:val="18"/>
                <w:szCs w:val="18"/>
              </w:rPr>
              <w:t xml:space="preserve">Odsetek interwencji, dla których jednostka ochrony przeciwpożarowej dotarła na miejsce zdarzenia w czasie do 15 minut </w:t>
            </w:r>
          </w:p>
        </w:tc>
        <w:tc>
          <w:tcPr>
            <w:tcW w:w="1276" w:type="dxa"/>
            <w:shd w:val="clear" w:color="auto" w:fill="DEEAF6" w:themeFill="accent1" w:themeFillTint="33"/>
            <w:vAlign w:val="center"/>
          </w:tcPr>
          <w:p w14:paraId="46D0FE4D" w14:textId="77777777" w:rsidR="00463981" w:rsidRPr="00994170" w:rsidRDefault="00463981" w:rsidP="00B01953">
            <w:pPr>
              <w:spacing w:after="0"/>
              <w:jc w:val="center"/>
              <w:rPr>
                <w:rFonts w:cs="Arial"/>
                <w:sz w:val="18"/>
                <w:szCs w:val="18"/>
              </w:rPr>
            </w:pPr>
            <w:r w:rsidRPr="00994170">
              <w:rPr>
                <w:rFonts w:cs="Arial"/>
                <w:sz w:val="18"/>
                <w:szCs w:val="18"/>
              </w:rPr>
              <w:t>%</w:t>
            </w:r>
          </w:p>
        </w:tc>
        <w:tc>
          <w:tcPr>
            <w:tcW w:w="1701" w:type="dxa"/>
            <w:shd w:val="clear" w:color="auto" w:fill="DEEAF6" w:themeFill="accent1" w:themeFillTint="33"/>
            <w:vAlign w:val="center"/>
          </w:tcPr>
          <w:p w14:paraId="5AB89D39" w14:textId="17CAE7D8" w:rsidR="00463981" w:rsidRPr="00994170" w:rsidRDefault="00463981" w:rsidP="00B01953">
            <w:pPr>
              <w:spacing w:after="0"/>
              <w:jc w:val="center"/>
              <w:rPr>
                <w:rFonts w:cs="Arial"/>
                <w:sz w:val="18"/>
                <w:szCs w:val="18"/>
              </w:rPr>
            </w:pPr>
            <w:r w:rsidRPr="00994170">
              <w:rPr>
                <w:rFonts w:cs="Arial"/>
                <w:sz w:val="18"/>
                <w:szCs w:val="18"/>
              </w:rPr>
              <w:t>90,</w:t>
            </w:r>
            <w:r w:rsidR="00724576" w:rsidRPr="00994170">
              <w:rPr>
                <w:rFonts w:cs="Arial"/>
                <w:sz w:val="18"/>
                <w:szCs w:val="18"/>
              </w:rPr>
              <w:t>6</w:t>
            </w:r>
          </w:p>
          <w:p w14:paraId="777477F5" w14:textId="00B10D6A" w:rsidR="00463981" w:rsidRPr="00994170" w:rsidRDefault="00463981" w:rsidP="00724576">
            <w:pPr>
              <w:spacing w:after="0"/>
              <w:jc w:val="center"/>
              <w:rPr>
                <w:rFonts w:cs="Arial"/>
                <w:sz w:val="18"/>
                <w:szCs w:val="18"/>
              </w:rPr>
            </w:pPr>
            <w:r w:rsidRPr="00994170">
              <w:rPr>
                <w:rFonts w:cs="Arial"/>
                <w:sz w:val="18"/>
                <w:szCs w:val="18"/>
              </w:rPr>
              <w:t>(201</w:t>
            </w:r>
            <w:r w:rsidR="00724576" w:rsidRPr="00994170">
              <w:rPr>
                <w:rFonts w:cs="Arial"/>
                <w:sz w:val="18"/>
                <w:szCs w:val="18"/>
              </w:rPr>
              <w:t>9</w:t>
            </w:r>
            <w:r w:rsidRPr="00994170">
              <w:rPr>
                <w:rFonts w:cs="Arial"/>
                <w:sz w:val="18"/>
                <w:szCs w:val="18"/>
              </w:rPr>
              <w:t>)</w:t>
            </w:r>
          </w:p>
        </w:tc>
        <w:tc>
          <w:tcPr>
            <w:tcW w:w="1559" w:type="dxa"/>
            <w:shd w:val="clear" w:color="auto" w:fill="DEEAF6" w:themeFill="accent1" w:themeFillTint="33"/>
            <w:vAlign w:val="center"/>
          </w:tcPr>
          <w:p w14:paraId="6CCE6AAC" w14:textId="77777777" w:rsidR="00463981" w:rsidRPr="00994170" w:rsidRDefault="00463981" w:rsidP="00B01953">
            <w:pPr>
              <w:spacing w:after="0"/>
              <w:ind w:firstLine="28"/>
              <w:jc w:val="center"/>
              <w:rPr>
                <w:rFonts w:cs="Arial"/>
                <w:sz w:val="18"/>
                <w:szCs w:val="18"/>
              </w:rPr>
            </w:pPr>
            <w:r w:rsidRPr="00994170">
              <w:rPr>
                <w:sz w:val="18"/>
                <w:szCs w:val="18"/>
              </w:rPr>
              <w:t>≥90,0</w:t>
            </w:r>
          </w:p>
        </w:tc>
        <w:tc>
          <w:tcPr>
            <w:tcW w:w="1701" w:type="dxa"/>
            <w:shd w:val="clear" w:color="auto" w:fill="DEEAF6" w:themeFill="accent1" w:themeFillTint="33"/>
            <w:tcMar>
              <w:top w:w="15" w:type="dxa"/>
              <w:left w:w="108" w:type="dxa"/>
              <w:bottom w:w="0" w:type="dxa"/>
              <w:right w:w="108" w:type="dxa"/>
            </w:tcMar>
            <w:vAlign w:val="center"/>
          </w:tcPr>
          <w:p w14:paraId="45DF2B64" w14:textId="77777777" w:rsidR="00463981" w:rsidRPr="00994170" w:rsidRDefault="00463981" w:rsidP="00B01953">
            <w:pPr>
              <w:spacing w:after="0"/>
              <w:ind w:firstLine="44"/>
              <w:jc w:val="center"/>
              <w:rPr>
                <w:rFonts w:cs="Arial"/>
                <w:sz w:val="18"/>
                <w:szCs w:val="18"/>
              </w:rPr>
            </w:pPr>
            <w:r w:rsidRPr="00994170">
              <w:rPr>
                <w:rFonts w:cs="Arial"/>
                <w:sz w:val="18"/>
                <w:szCs w:val="18"/>
              </w:rPr>
              <w:t>KG PSP</w:t>
            </w:r>
          </w:p>
        </w:tc>
        <w:tc>
          <w:tcPr>
            <w:tcW w:w="4961" w:type="dxa"/>
            <w:shd w:val="clear" w:color="auto" w:fill="DEEAF6" w:themeFill="accent1" w:themeFillTint="33"/>
          </w:tcPr>
          <w:p w14:paraId="1D906C2E" w14:textId="77777777" w:rsidR="00463981" w:rsidRPr="00994170" w:rsidRDefault="00463981" w:rsidP="00B01953">
            <w:pPr>
              <w:spacing w:after="0"/>
              <w:rPr>
                <w:rFonts w:cs="Arial"/>
                <w:sz w:val="18"/>
                <w:szCs w:val="18"/>
              </w:rPr>
            </w:pPr>
            <w:r w:rsidRPr="00994170">
              <w:rPr>
                <w:bCs/>
                <w:sz w:val="18"/>
                <w:szCs w:val="18"/>
              </w:rPr>
              <w:t>Miernik przedstawia odsetek interwencji ratowniczych, w których jednostka Krajowego Systemu Ratowniczo-Gaśniczego dotarła na miejsce zdarzenia w czasie krótszym niż 15 minut. Jego wyliczenie jest możliwe na podstawie danych zawartych w SWD na poziomie powiatu, województwa, kraju.</w:t>
            </w:r>
          </w:p>
        </w:tc>
      </w:tr>
      <w:tr w:rsidR="00463981" w:rsidRPr="00F21196" w14:paraId="0F68DCD0" w14:textId="77777777" w:rsidTr="00463981">
        <w:tblPrEx>
          <w:shd w:val="clear" w:color="auto" w:fill="F2F2F2"/>
          <w:tblCellMar>
            <w:top w:w="0" w:type="dxa"/>
            <w:left w:w="0" w:type="dxa"/>
            <w:bottom w:w="0" w:type="dxa"/>
            <w:right w:w="0" w:type="dxa"/>
          </w:tblCellMar>
          <w:tblLook w:val="0620" w:firstRow="1" w:lastRow="0" w:firstColumn="0" w:lastColumn="0" w:noHBand="1" w:noVBand="1"/>
        </w:tblPrEx>
        <w:trPr>
          <w:trHeight w:val="167"/>
        </w:trPr>
        <w:tc>
          <w:tcPr>
            <w:tcW w:w="3403" w:type="dxa"/>
            <w:shd w:val="clear" w:color="auto" w:fill="DEEAF6" w:themeFill="accent1" w:themeFillTint="33"/>
          </w:tcPr>
          <w:p w14:paraId="43D4A7C2" w14:textId="77777777" w:rsidR="00463981" w:rsidRPr="00994170" w:rsidRDefault="00463981" w:rsidP="00B01953">
            <w:pPr>
              <w:spacing w:after="0"/>
              <w:rPr>
                <w:rFonts w:eastAsia="Times New Roman" w:cs="Calibri"/>
                <w:bCs/>
                <w:kern w:val="24"/>
                <w:sz w:val="18"/>
                <w:szCs w:val="18"/>
                <w:lang w:eastAsia="pl-PL"/>
              </w:rPr>
            </w:pPr>
            <w:r w:rsidRPr="00994170">
              <w:rPr>
                <w:bCs/>
                <w:sz w:val="18"/>
                <w:szCs w:val="18"/>
              </w:rPr>
              <w:t xml:space="preserve">Średni czas odprawy granicznej pasażera w przejściu drogowym oraz podróżnego w przejściu lotniczym na wjazd w zakresie SG </w:t>
            </w:r>
          </w:p>
        </w:tc>
        <w:tc>
          <w:tcPr>
            <w:tcW w:w="1276" w:type="dxa"/>
            <w:shd w:val="clear" w:color="auto" w:fill="DEEAF6" w:themeFill="accent1" w:themeFillTint="33"/>
            <w:vAlign w:val="center"/>
          </w:tcPr>
          <w:p w14:paraId="5034851B" w14:textId="77777777" w:rsidR="00463981" w:rsidRPr="00994170" w:rsidRDefault="00463981" w:rsidP="00B01953">
            <w:pPr>
              <w:spacing w:after="0"/>
              <w:jc w:val="center"/>
              <w:rPr>
                <w:rFonts w:eastAsia="Times New Roman" w:cs="Calibri"/>
                <w:kern w:val="24"/>
                <w:sz w:val="18"/>
                <w:szCs w:val="18"/>
                <w:lang w:eastAsia="pl-PL"/>
              </w:rPr>
            </w:pPr>
            <w:r w:rsidRPr="00994170">
              <w:rPr>
                <w:rFonts w:eastAsia="Times New Roman" w:cs="Calibri"/>
                <w:kern w:val="24"/>
                <w:sz w:val="18"/>
                <w:szCs w:val="18"/>
                <w:lang w:eastAsia="pl-PL"/>
              </w:rPr>
              <w:t>minuty</w:t>
            </w:r>
          </w:p>
        </w:tc>
        <w:tc>
          <w:tcPr>
            <w:tcW w:w="1701" w:type="dxa"/>
            <w:shd w:val="clear" w:color="auto" w:fill="DEEAF6" w:themeFill="accent1" w:themeFillTint="33"/>
            <w:vAlign w:val="center"/>
          </w:tcPr>
          <w:p w14:paraId="09E34F87" w14:textId="77777777" w:rsidR="00463981" w:rsidRPr="00994170" w:rsidRDefault="00463981" w:rsidP="00B01953">
            <w:pPr>
              <w:spacing w:after="0"/>
              <w:jc w:val="center"/>
              <w:rPr>
                <w:rFonts w:eastAsia="Times New Roman" w:cs="Calibri"/>
                <w:kern w:val="24"/>
                <w:sz w:val="18"/>
                <w:szCs w:val="18"/>
                <w:lang w:eastAsia="pl-PL"/>
              </w:rPr>
            </w:pPr>
            <w:r w:rsidRPr="00994170">
              <w:rPr>
                <w:rFonts w:eastAsia="Times New Roman" w:cs="Calibri"/>
                <w:kern w:val="24"/>
                <w:sz w:val="18"/>
                <w:szCs w:val="18"/>
                <w:lang w:eastAsia="pl-PL"/>
              </w:rPr>
              <w:t>1 min. 3 sek. (2018)</w:t>
            </w:r>
          </w:p>
        </w:tc>
        <w:tc>
          <w:tcPr>
            <w:tcW w:w="1559" w:type="dxa"/>
            <w:shd w:val="clear" w:color="auto" w:fill="DEEAF6" w:themeFill="accent1" w:themeFillTint="33"/>
            <w:vAlign w:val="center"/>
          </w:tcPr>
          <w:p w14:paraId="5FBE56E9" w14:textId="77777777" w:rsidR="00463981" w:rsidRPr="00994170" w:rsidRDefault="00463981" w:rsidP="00B01953">
            <w:pPr>
              <w:spacing w:after="0"/>
              <w:jc w:val="center"/>
              <w:rPr>
                <w:rFonts w:eastAsia="Times New Roman" w:cs="Calibri"/>
                <w:kern w:val="24"/>
                <w:sz w:val="18"/>
                <w:szCs w:val="18"/>
                <w:lang w:eastAsia="pl-PL"/>
              </w:rPr>
            </w:pPr>
            <w:r w:rsidRPr="00994170">
              <w:rPr>
                <w:rFonts w:eastAsia="Times New Roman" w:cs="Calibri"/>
                <w:kern w:val="24"/>
                <w:sz w:val="18"/>
                <w:szCs w:val="18"/>
                <w:lang w:eastAsia="pl-PL"/>
              </w:rPr>
              <w:t xml:space="preserve">Najwyżej </w:t>
            </w:r>
            <w:r w:rsidRPr="00994170">
              <w:rPr>
                <w:rFonts w:eastAsia="Times New Roman" w:cs="Calibri"/>
                <w:kern w:val="24"/>
                <w:sz w:val="18"/>
                <w:szCs w:val="18"/>
                <w:lang w:eastAsia="pl-PL"/>
              </w:rPr>
              <w:br/>
              <w:t>2 min.</w:t>
            </w:r>
          </w:p>
        </w:tc>
        <w:tc>
          <w:tcPr>
            <w:tcW w:w="1701" w:type="dxa"/>
            <w:shd w:val="clear" w:color="auto" w:fill="DEEAF6" w:themeFill="accent1" w:themeFillTint="33"/>
            <w:tcMar>
              <w:top w:w="15" w:type="dxa"/>
              <w:left w:w="108" w:type="dxa"/>
              <w:bottom w:w="0" w:type="dxa"/>
              <w:right w:w="108" w:type="dxa"/>
            </w:tcMar>
            <w:vAlign w:val="center"/>
          </w:tcPr>
          <w:p w14:paraId="2419003D" w14:textId="77777777" w:rsidR="00463981" w:rsidRPr="00994170" w:rsidRDefault="00463981" w:rsidP="00B01953">
            <w:pPr>
              <w:spacing w:after="0"/>
              <w:jc w:val="center"/>
              <w:rPr>
                <w:rFonts w:eastAsia="Times New Roman" w:cs="Calibri"/>
                <w:kern w:val="24"/>
                <w:sz w:val="18"/>
                <w:szCs w:val="18"/>
                <w:lang w:eastAsia="pl-PL"/>
              </w:rPr>
            </w:pPr>
            <w:r w:rsidRPr="00994170">
              <w:rPr>
                <w:rFonts w:eastAsia="Times New Roman" w:cs="Calibri"/>
                <w:kern w:val="24"/>
                <w:sz w:val="18"/>
                <w:szCs w:val="18"/>
                <w:lang w:eastAsia="pl-PL"/>
              </w:rPr>
              <w:t>KGSG</w:t>
            </w:r>
          </w:p>
        </w:tc>
        <w:tc>
          <w:tcPr>
            <w:tcW w:w="4961" w:type="dxa"/>
            <w:shd w:val="clear" w:color="auto" w:fill="DEEAF6" w:themeFill="accent1" w:themeFillTint="33"/>
          </w:tcPr>
          <w:p w14:paraId="6E2AE499" w14:textId="77777777" w:rsidR="00463981" w:rsidRPr="00994170" w:rsidRDefault="00463981" w:rsidP="00B01953">
            <w:pPr>
              <w:rPr>
                <w:sz w:val="18"/>
                <w:szCs w:val="18"/>
                <w:lang w:eastAsia="pl-PL"/>
              </w:rPr>
            </w:pPr>
            <w:r w:rsidRPr="00994170">
              <w:rPr>
                <w:sz w:val="18"/>
                <w:szCs w:val="18"/>
                <w:lang w:eastAsia="pl-PL"/>
              </w:rPr>
              <w:t>Wartość miernika jest określana jedną z dwóch metod:</w:t>
            </w:r>
          </w:p>
          <w:p w14:paraId="7E90A383" w14:textId="77777777" w:rsidR="00463981" w:rsidRPr="00994170" w:rsidRDefault="00463981" w:rsidP="00B01953">
            <w:pPr>
              <w:spacing w:after="0"/>
              <w:rPr>
                <w:sz w:val="18"/>
                <w:szCs w:val="18"/>
              </w:rPr>
            </w:pPr>
            <w:r w:rsidRPr="00994170">
              <w:rPr>
                <w:sz w:val="18"/>
                <w:szCs w:val="18"/>
                <w:lang w:eastAsia="pl-PL"/>
              </w:rPr>
              <w:t>I.</w:t>
            </w:r>
            <w:r w:rsidRPr="00994170">
              <w:rPr>
                <w:sz w:val="18"/>
                <w:szCs w:val="18"/>
              </w:rPr>
              <w:t xml:space="preserve"> Na podstawie przeprowadzanych pomiarów czasu odprawy według ustalonej procedury. W drogowych przejściach granicznych pomiar jest dokonywany dwa razy w miesiącu na próbie 100 osób lub w czasie 6 godzin. W lotniczych przejściach granicznych pomiar jest dokonywany dwa razy w miesiącu na próbie co najmniej 20 osób a w mniejszych portach lotniczych na próbie faktycznie przylatujących osób. Dodatkowo pomiar jest dokonywany raz w kwartale przez przedstawicieli wydziałów granicznych. </w:t>
            </w:r>
          </w:p>
          <w:p w14:paraId="0DDDC204" w14:textId="77777777" w:rsidR="00463981" w:rsidRPr="00994170" w:rsidRDefault="00463981" w:rsidP="00B01953">
            <w:pPr>
              <w:pStyle w:val="Tekstkomentarza"/>
              <w:rPr>
                <w:rFonts w:eastAsia="Times New Roman" w:cs="Calibri"/>
                <w:kern w:val="24"/>
                <w:sz w:val="18"/>
                <w:szCs w:val="18"/>
                <w:lang w:eastAsia="pl-PL"/>
              </w:rPr>
            </w:pPr>
            <w:r w:rsidRPr="00994170">
              <w:rPr>
                <w:sz w:val="18"/>
                <w:szCs w:val="18"/>
              </w:rPr>
              <w:t xml:space="preserve">II. </w:t>
            </w:r>
            <w:r w:rsidRPr="00994170">
              <w:rPr>
                <w:sz w:val="18"/>
                <w:szCs w:val="18"/>
                <w:lang w:eastAsia="pl-PL"/>
              </w:rPr>
              <w:t>Wartość miernika jest wyliczana n</w:t>
            </w:r>
            <w:r w:rsidRPr="00994170">
              <w:rPr>
                <w:sz w:val="18"/>
                <w:szCs w:val="18"/>
              </w:rPr>
              <w:t>a podstawie pomiarów czasu odprawy przeprowadzanych w terenie lub danych rejestrowanych w czasie rzeczywistym przez elektroniczny system odprawowy SG.</w:t>
            </w:r>
          </w:p>
        </w:tc>
      </w:tr>
      <w:tr w:rsidR="00463981" w:rsidRPr="00F21196" w14:paraId="0DD401B6" w14:textId="77777777" w:rsidTr="00463981">
        <w:tblPrEx>
          <w:shd w:val="clear" w:color="auto" w:fill="F2F2F2"/>
          <w:tblCellMar>
            <w:top w:w="0" w:type="dxa"/>
            <w:left w:w="0" w:type="dxa"/>
            <w:bottom w:w="0" w:type="dxa"/>
            <w:right w:w="0" w:type="dxa"/>
          </w:tblCellMar>
          <w:tblLook w:val="0620" w:firstRow="1" w:lastRow="0" w:firstColumn="0" w:lastColumn="0" w:noHBand="1" w:noVBand="1"/>
        </w:tblPrEx>
        <w:trPr>
          <w:trHeight w:val="167"/>
        </w:trPr>
        <w:tc>
          <w:tcPr>
            <w:tcW w:w="3403" w:type="dxa"/>
            <w:shd w:val="clear" w:color="auto" w:fill="DEEAF6" w:themeFill="accent1" w:themeFillTint="33"/>
          </w:tcPr>
          <w:p w14:paraId="44EBC45F" w14:textId="77777777" w:rsidR="00463981" w:rsidRPr="00994170" w:rsidRDefault="00463981" w:rsidP="00B01953">
            <w:pPr>
              <w:spacing w:after="0" w:line="276" w:lineRule="auto"/>
              <w:rPr>
                <w:rFonts w:cs="Tahoma"/>
                <w:sz w:val="18"/>
                <w:szCs w:val="18"/>
              </w:rPr>
            </w:pPr>
            <w:r w:rsidRPr="00994170">
              <w:rPr>
                <w:rFonts w:cs="Tahoma"/>
                <w:sz w:val="18"/>
                <w:szCs w:val="18"/>
              </w:rPr>
              <w:t>Odsetek długości granicy zewnętrznej UE ochranianej przez Straż Graniczna przy wykorzystaniu stacjonarnych i mobilnych systemów nadzoru.</w:t>
            </w:r>
          </w:p>
        </w:tc>
        <w:tc>
          <w:tcPr>
            <w:tcW w:w="1276" w:type="dxa"/>
            <w:shd w:val="clear" w:color="auto" w:fill="DEEAF6" w:themeFill="accent1" w:themeFillTint="33"/>
            <w:vAlign w:val="center"/>
          </w:tcPr>
          <w:p w14:paraId="23D93BD1" w14:textId="77777777" w:rsidR="00463981" w:rsidRPr="00994170" w:rsidRDefault="00463981" w:rsidP="00B01953">
            <w:pPr>
              <w:spacing w:after="0" w:line="276" w:lineRule="auto"/>
              <w:jc w:val="center"/>
              <w:rPr>
                <w:rFonts w:cs="Tahoma"/>
                <w:sz w:val="18"/>
                <w:szCs w:val="18"/>
              </w:rPr>
            </w:pPr>
            <w:r w:rsidRPr="00994170">
              <w:rPr>
                <w:rFonts w:cs="Tahoma"/>
                <w:sz w:val="18"/>
                <w:szCs w:val="18"/>
              </w:rPr>
              <w:t>%</w:t>
            </w:r>
          </w:p>
        </w:tc>
        <w:tc>
          <w:tcPr>
            <w:tcW w:w="1701" w:type="dxa"/>
            <w:shd w:val="clear" w:color="auto" w:fill="DEEAF6" w:themeFill="accent1" w:themeFillTint="33"/>
            <w:vAlign w:val="center"/>
          </w:tcPr>
          <w:p w14:paraId="5FD88974" w14:textId="77777777" w:rsidR="00463981" w:rsidRPr="00994170" w:rsidRDefault="00463981" w:rsidP="00B01953">
            <w:pPr>
              <w:spacing w:after="0"/>
              <w:jc w:val="center"/>
              <w:rPr>
                <w:rFonts w:eastAsia="Times New Roman" w:cs="Calibri"/>
                <w:kern w:val="24"/>
                <w:sz w:val="18"/>
                <w:szCs w:val="18"/>
                <w:lang w:eastAsia="pl-PL"/>
              </w:rPr>
            </w:pPr>
            <w:r w:rsidRPr="00994170">
              <w:rPr>
                <w:rFonts w:eastAsia="Times New Roman" w:cs="Calibri"/>
                <w:kern w:val="24"/>
                <w:sz w:val="18"/>
                <w:szCs w:val="18"/>
                <w:lang w:eastAsia="pl-PL"/>
              </w:rPr>
              <w:t xml:space="preserve">73,8 </w:t>
            </w:r>
          </w:p>
          <w:p w14:paraId="111E20C1" w14:textId="77777777" w:rsidR="00463981" w:rsidRPr="00994170" w:rsidRDefault="00463981" w:rsidP="00B01953">
            <w:pPr>
              <w:spacing w:after="0"/>
              <w:jc w:val="center"/>
              <w:rPr>
                <w:rFonts w:eastAsia="Times New Roman" w:cs="Calibri"/>
                <w:kern w:val="24"/>
                <w:sz w:val="18"/>
                <w:szCs w:val="18"/>
                <w:lang w:eastAsia="pl-PL"/>
              </w:rPr>
            </w:pPr>
            <w:r w:rsidRPr="00994170">
              <w:rPr>
                <w:rFonts w:eastAsia="Times New Roman" w:cs="Calibri"/>
                <w:kern w:val="24"/>
                <w:sz w:val="18"/>
                <w:szCs w:val="18"/>
                <w:lang w:eastAsia="pl-PL"/>
              </w:rPr>
              <w:t>(2018)</w:t>
            </w:r>
          </w:p>
        </w:tc>
        <w:tc>
          <w:tcPr>
            <w:tcW w:w="1559" w:type="dxa"/>
            <w:shd w:val="clear" w:color="auto" w:fill="DEEAF6" w:themeFill="accent1" w:themeFillTint="33"/>
            <w:vAlign w:val="center"/>
          </w:tcPr>
          <w:p w14:paraId="34010297" w14:textId="77777777" w:rsidR="00463981" w:rsidRPr="00994170" w:rsidRDefault="00463981" w:rsidP="00B01953">
            <w:pPr>
              <w:spacing w:after="0"/>
              <w:jc w:val="center"/>
              <w:rPr>
                <w:rFonts w:eastAsia="Times New Roman" w:cs="Calibri"/>
                <w:kern w:val="24"/>
                <w:sz w:val="18"/>
                <w:szCs w:val="18"/>
                <w:lang w:eastAsia="pl-PL"/>
              </w:rPr>
            </w:pPr>
            <w:r w:rsidRPr="00994170">
              <w:rPr>
                <w:bCs/>
                <w:sz w:val="18"/>
                <w:szCs w:val="18"/>
                <w:lang w:eastAsia="pl-PL"/>
              </w:rPr>
              <w:t>Utrzymanie na poziomie 75%</w:t>
            </w:r>
          </w:p>
        </w:tc>
        <w:tc>
          <w:tcPr>
            <w:tcW w:w="1701" w:type="dxa"/>
            <w:shd w:val="clear" w:color="auto" w:fill="DEEAF6" w:themeFill="accent1" w:themeFillTint="33"/>
            <w:tcMar>
              <w:top w:w="15" w:type="dxa"/>
              <w:left w:w="108" w:type="dxa"/>
              <w:bottom w:w="0" w:type="dxa"/>
              <w:right w:w="108" w:type="dxa"/>
            </w:tcMar>
            <w:vAlign w:val="center"/>
          </w:tcPr>
          <w:p w14:paraId="25CD2E7A" w14:textId="77777777" w:rsidR="00463981" w:rsidRPr="00994170" w:rsidRDefault="00463981" w:rsidP="00B01953">
            <w:pPr>
              <w:spacing w:after="0"/>
              <w:jc w:val="center"/>
              <w:rPr>
                <w:rFonts w:eastAsia="Times New Roman" w:cs="Calibri"/>
                <w:kern w:val="24"/>
                <w:sz w:val="18"/>
                <w:szCs w:val="18"/>
                <w:lang w:eastAsia="pl-PL"/>
              </w:rPr>
            </w:pPr>
            <w:r w:rsidRPr="00994170">
              <w:rPr>
                <w:rFonts w:eastAsia="Times New Roman" w:cs="Calibri"/>
                <w:kern w:val="24"/>
                <w:sz w:val="18"/>
                <w:szCs w:val="18"/>
                <w:lang w:eastAsia="pl-PL"/>
              </w:rPr>
              <w:t>KGSG</w:t>
            </w:r>
          </w:p>
        </w:tc>
        <w:tc>
          <w:tcPr>
            <w:tcW w:w="4961" w:type="dxa"/>
            <w:shd w:val="clear" w:color="auto" w:fill="DEEAF6" w:themeFill="accent1" w:themeFillTint="33"/>
          </w:tcPr>
          <w:p w14:paraId="4B7CCD12" w14:textId="77777777" w:rsidR="00463981" w:rsidRPr="00994170" w:rsidRDefault="00463981" w:rsidP="00B01953">
            <w:pPr>
              <w:pStyle w:val="Tekstkomentarza"/>
              <w:rPr>
                <w:rFonts w:eastAsia="Times New Roman" w:cs="Calibri"/>
                <w:kern w:val="24"/>
                <w:sz w:val="18"/>
                <w:szCs w:val="18"/>
                <w:lang w:eastAsia="pl-PL"/>
              </w:rPr>
            </w:pPr>
            <w:r w:rsidRPr="00994170">
              <w:rPr>
                <w:sz w:val="18"/>
                <w:szCs w:val="18"/>
              </w:rPr>
              <w:t>Długość odcinka granicy państwowej (zewnętrznej lądowej i morskiej)  pokrytej sprawnym sprzętem obserwacji technicznej (optoelektronicznym) w stosunku do całej długości granicy.</w:t>
            </w:r>
          </w:p>
        </w:tc>
      </w:tr>
      <w:tr w:rsidR="00463981" w:rsidRPr="00F21196" w14:paraId="183BCCB3" w14:textId="77777777" w:rsidTr="00463981">
        <w:tblPrEx>
          <w:shd w:val="clear" w:color="auto" w:fill="F2F2F2"/>
          <w:tblCellMar>
            <w:top w:w="0" w:type="dxa"/>
            <w:left w:w="0" w:type="dxa"/>
            <w:bottom w:w="0" w:type="dxa"/>
            <w:right w:w="0" w:type="dxa"/>
          </w:tblCellMar>
          <w:tblLook w:val="0620" w:firstRow="1" w:lastRow="0" w:firstColumn="0" w:lastColumn="0" w:noHBand="1" w:noVBand="1"/>
        </w:tblPrEx>
        <w:trPr>
          <w:trHeight w:val="167"/>
        </w:trPr>
        <w:tc>
          <w:tcPr>
            <w:tcW w:w="3403" w:type="dxa"/>
            <w:shd w:val="clear" w:color="auto" w:fill="DEEAF6" w:themeFill="accent1" w:themeFillTint="33"/>
          </w:tcPr>
          <w:p w14:paraId="19525240" w14:textId="77777777" w:rsidR="00463981" w:rsidRPr="00994170" w:rsidRDefault="00463981" w:rsidP="00B01953">
            <w:pPr>
              <w:spacing w:after="0"/>
              <w:rPr>
                <w:rFonts w:eastAsia="Times New Roman" w:cs="Calibri"/>
                <w:sz w:val="18"/>
                <w:szCs w:val="18"/>
                <w:lang w:eastAsia="pl-PL"/>
              </w:rPr>
            </w:pPr>
            <w:r w:rsidRPr="00994170">
              <w:rPr>
                <w:rFonts w:eastAsia="Times New Roman" w:cs="Calibri"/>
                <w:sz w:val="18"/>
                <w:szCs w:val="18"/>
                <w:lang w:eastAsia="pl-PL"/>
              </w:rPr>
              <w:t xml:space="preserve">Powrotność do przestępstwa w ciągu 5 lat od opuszczenia zakładu karnego lub aresztu śledczego </w:t>
            </w:r>
          </w:p>
          <w:p w14:paraId="062A1E65" w14:textId="77777777" w:rsidR="00463981" w:rsidRPr="00994170" w:rsidRDefault="00463981" w:rsidP="00B01953">
            <w:pPr>
              <w:spacing w:after="0"/>
              <w:rPr>
                <w:rFonts w:cs="Tahoma"/>
                <w:sz w:val="18"/>
                <w:szCs w:val="18"/>
              </w:rPr>
            </w:pPr>
          </w:p>
        </w:tc>
        <w:tc>
          <w:tcPr>
            <w:tcW w:w="1276" w:type="dxa"/>
            <w:shd w:val="clear" w:color="auto" w:fill="DEEAF6" w:themeFill="accent1" w:themeFillTint="33"/>
            <w:vAlign w:val="center"/>
          </w:tcPr>
          <w:p w14:paraId="18DCC490" w14:textId="77777777" w:rsidR="00463981" w:rsidRPr="00994170" w:rsidRDefault="00463981" w:rsidP="00B01953">
            <w:pPr>
              <w:spacing w:after="0"/>
              <w:jc w:val="center"/>
              <w:rPr>
                <w:rFonts w:cs="Tahoma"/>
                <w:sz w:val="18"/>
                <w:szCs w:val="18"/>
              </w:rPr>
            </w:pPr>
            <w:r w:rsidRPr="00994170">
              <w:rPr>
                <w:rFonts w:cs="Tahoma"/>
                <w:sz w:val="18"/>
                <w:szCs w:val="18"/>
              </w:rPr>
              <w:t>%</w:t>
            </w:r>
          </w:p>
        </w:tc>
        <w:tc>
          <w:tcPr>
            <w:tcW w:w="1701" w:type="dxa"/>
            <w:shd w:val="clear" w:color="auto" w:fill="DEEAF6" w:themeFill="accent1" w:themeFillTint="33"/>
            <w:vAlign w:val="center"/>
          </w:tcPr>
          <w:p w14:paraId="686D80CE" w14:textId="77777777" w:rsidR="00463981" w:rsidRPr="00994170" w:rsidRDefault="00463981" w:rsidP="00B01953">
            <w:pPr>
              <w:pStyle w:val="Default"/>
              <w:jc w:val="center"/>
              <w:rPr>
                <w:rFonts w:asciiTheme="minorHAnsi" w:hAnsiTheme="minorHAnsi"/>
                <w:sz w:val="18"/>
                <w:szCs w:val="18"/>
              </w:rPr>
            </w:pPr>
            <w:r w:rsidRPr="00994170">
              <w:rPr>
                <w:rFonts w:asciiTheme="minorHAnsi" w:hAnsiTheme="minorHAnsi"/>
                <w:sz w:val="18"/>
                <w:szCs w:val="18"/>
              </w:rPr>
              <w:t>38,9</w:t>
            </w:r>
          </w:p>
          <w:p w14:paraId="4BF35D64" w14:textId="77777777" w:rsidR="00463981" w:rsidRPr="00994170" w:rsidRDefault="00463981" w:rsidP="00B01953">
            <w:pPr>
              <w:pStyle w:val="Default"/>
              <w:jc w:val="center"/>
              <w:rPr>
                <w:rFonts w:asciiTheme="minorHAnsi" w:hAnsiTheme="minorHAnsi"/>
                <w:sz w:val="18"/>
                <w:szCs w:val="18"/>
              </w:rPr>
            </w:pPr>
            <w:r w:rsidRPr="00994170">
              <w:rPr>
                <w:rFonts w:asciiTheme="minorHAnsi" w:hAnsiTheme="minorHAnsi"/>
                <w:sz w:val="18"/>
                <w:szCs w:val="18"/>
              </w:rPr>
              <w:t>(2016)</w:t>
            </w:r>
          </w:p>
          <w:p w14:paraId="52529726" w14:textId="77777777" w:rsidR="00463981" w:rsidRPr="00994170" w:rsidRDefault="00463981" w:rsidP="00B01953">
            <w:pPr>
              <w:spacing w:after="0"/>
              <w:jc w:val="center"/>
              <w:rPr>
                <w:rFonts w:eastAsia="Times New Roman" w:cs="Calibri"/>
                <w:kern w:val="24"/>
                <w:sz w:val="18"/>
                <w:szCs w:val="18"/>
                <w:lang w:eastAsia="pl-PL"/>
              </w:rPr>
            </w:pPr>
          </w:p>
        </w:tc>
        <w:tc>
          <w:tcPr>
            <w:tcW w:w="1559" w:type="dxa"/>
            <w:shd w:val="clear" w:color="auto" w:fill="DEEAF6" w:themeFill="accent1" w:themeFillTint="33"/>
            <w:vAlign w:val="center"/>
          </w:tcPr>
          <w:p w14:paraId="78DD0255" w14:textId="77777777" w:rsidR="00463981" w:rsidRPr="00994170" w:rsidRDefault="00463981" w:rsidP="00B01953">
            <w:pPr>
              <w:spacing w:after="0"/>
              <w:jc w:val="center"/>
              <w:rPr>
                <w:rFonts w:cs="Calibri"/>
                <w:b/>
                <w:kern w:val="24"/>
                <w:sz w:val="18"/>
                <w:szCs w:val="18"/>
                <w:lang w:eastAsia="pl-PL"/>
              </w:rPr>
            </w:pPr>
            <w:r w:rsidRPr="00994170">
              <w:rPr>
                <w:rFonts w:eastAsia="Times New Roman" w:cs="Calibri"/>
                <w:sz w:val="18"/>
                <w:szCs w:val="18"/>
                <w:lang w:eastAsia="pl-PL"/>
              </w:rPr>
              <w:t>35,0</w:t>
            </w:r>
          </w:p>
        </w:tc>
        <w:tc>
          <w:tcPr>
            <w:tcW w:w="1701" w:type="dxa"/>
            <w:shd w:val="clear" w:color="auto" w:fill="DEEAF6" w:themeFill="accent1" w:themeFillTint="33"/>
            <w:tcMar>
              <w:top w:w="15" w:type="dxa"/>
              <w:left w:w="108" w:type="dxa"/>
              <w:bottom w:w="0" w:type="dxa"/>
              <w:right w:w="108" w:type="dxa"/>
            </w:tcMar>
            <w:vAlign w:val="center"/>
          </w:tcPr>
          <w:p w14:paraId="51AF69BE" w14:textId="77777777" w:rsidR="00463981" w:rsidRPr="00994170" w:rsidRDefault="00463981" w:rsidP="00B01953">
            <w:pPr>
              <w:spacing w:after="0"/>
              <w:jc w:val="center"/>
              <w:rPr>
                <w:rFonts w:eastAsia="Times New Roman" w:cs="Calibri"/>
                <w:kern w:val="24"/>
                <w:sz w:val="18"/>
                <w:szCs w:val="18"/>
                <w:lang w:eastAsia="pl-PL"/>
              </w:rPr>
            </w:pPr>
            <w:r w:rsidRPr="00994170">
              <w:rPr>
                <w:rFonts w:eastAsia="Times New Roman" w:cs="Calibri"/>
                <w:kern w:val="24"/>
                <w:sz w:val="18"/>
                <w:szCs w:val="18"/>
                <w:lang w:eastAsia="pl-PL"/>
              </w:rPr>
              <w:t>MS</w:t>
            </w:r>
          </w:p>
        </w:tc>
        <w:tc>
          <w:tcPr>
            <w:tcW w:w="4961" w:type="dxa"/>
            <w:shd w:val="clear" w:color="auto" w:fill="DEEAF6" w:themeFill="accent1" w:themeFillTint="33"/>
          </w:tcPr>
          <w:p w14:paraId="51788965" w14:textId="77777777" w:rsidR="00463981" w:rsidRPr="00994170" w:rsidRDefault="00463981" w:rsidP="00B01953">
            <w:pPr>
              <w:pStyle w:val="Tekstkomentarza"/>
              <w:rPr>
                <w:rFonts w:eastAsia="Times New Roman" w:cs="Calibri"/>
                <w:color w:val="1F497D"/>
                <w:kern w:val="24"/>
                <w:sz w:val="18"/>
                <w:szCs w:val="18"/>
                <w:lang w:eastAsia="pl-PL"/>
              </w:rPr>
            </w:pPr>
            <w:r w:rsidRPr="00994170">
              <w:rPr>
                <w:sz w:val="18"/>
                <w:szCs w:val="18"/>
              </w:rPr>
              <w:t>Odsetek osób, które w okresie do końca piątego roku następującego po roku, w którym zakończyły wykonywanie kary pozbawienia wolności albo zostały warunkowo zwolnione z zakładu karnego (lub aresztu śledczego), w którym odbywały karę pozbawienia wolności za popełnione przestępstwa, ponownie powróciły do przestępstwa.</w:t>
            </w:r>
          </w:p>
        </w:tc>
      </w:tr>
      <w:tr w:rsidR="00463981" w:rsidRPr="00F21196" w14:paraId="00E7F849" w14:textId="77777777" w:rsidTr="00463981">
        <w:tblPrEx>
          <w:shd w:val="clear" w:color="auto" w:fill="F2F2F2"/>
          <w:tblCellMar>
            <w:top w:w="0" w:type="dxa"/>
            <w:left w:w="0" w:type="dxa"/>
            <w:bottom w:w="0" w:type="dxa"/>
            <w:right w:w="0" w:type="dxa"/>
          </w:tblCellMar>
          <w:tblLook w:val="0620" w:firstRow="1" w:lastRow="0" w:firstColumn="0" w:lastColumn="0" w:noHBand="1" w:noVBand="1"/>
        </w:tblPrEx>
        <w:trPr>
          <w:trHeight w:val="167"/>
        </w:trPr>
        <w:tc>
          <w:tcPr>
            <w:tcW w:w="3403" w:type="dxa"/>
            <w:shd w:val="clear" w:color="auto" w:fill="DEEAF6" w:themeFill="accent1" w:themeFillTint="33"/>
          </w:tcPr>
          <w:p w14:paraId="49289CCF" w14:textId="38811305" w:rsidR="00463981" w:rsidRPr="00995ED0" w:rsidRDefault="00463981" w:rsidP="00B01953">
            <w:pPr>
              <w:spacing w:after="0"/>
              <w:rPr>
                <w:rFonts w:eastAsia="Times New Roman" w:cs="Calibri"/>
                <w:sz w:val="18"/>
                <w:szCs w:val="18"/>
                <w:lang w:eastAsia="pl-PL"/>
              </w:rPr>
            </w:pPr>
            <w:r w:rsidRPr="00995ED0">
              <w:rPr>
                <w:rFonts w:cs="Arial"/>
                <w:sz w:val="18"/>
                <w:szCs w:val="18"/>
              </w:rPr>
              <w:t>Średni czas reagowania na zagrożenia życia ludzkiego i środowiska naturalnego na morzu</w:t>
            </w:r>
          </w:p>
        </w:tc>
        <w:tc>
          <w:tcPr>
            <w:tcW w:w="1276" w:type="dxa"/>
            <w:shd w:val="clear" w:color="auto" w:fill="DEEAF6" w:themeFill="accent1" w:themeFillTint="33"/>
            <w:vAlign w:val="center"/>
          </w:tcPr>
          <w:p w14:paraId="36148A5D" w14:textId="77777777" w:rsidR="00463981" w:rsidRPr="00995ED0" w:rsidRDefault="00463981" w:rsidP="00B01953">
            <w:pPr>
              <w:spacing w:after="0"/>
              <w:jc w:val="center"/>
              <w:rPr>
                <w:rFonts w:cs="Tahoma"/>
                <w:sz w:val="18"/>
                <w:szCs w:val="18"/>
              </w:rPr>
            </w:pPr>
            <w:r w:rsidRPr="00995ED0">
              <w:rPr>
                <w:rFonts w:cs="Arial"/>
                <w:sz w:val="18"/>
                <w:szCs w:val="18"/>
              </w:rPr>
              <w:t>godziny</w:t>
            </w:r>
          </w:p>
        </w:tc>
        <w:tc>
          <w:tcPr>
            <w:tcW w:w="1701" w:type="dxa"/>
            <w:shd w:val="clear" w:color="auto" w:fill="DEEAF6" w:themeFill="accent1" w:themeFillTint="33"/>
            <w:vAlign w:val="center"/>
          </w:tcPr>
          <w:p w14:paraId="4D0CF178" w14:textId="77777777" w:rsidR="00463981" w:rsidRPr="00995ED0" w:rsidRDefault="00463981" w:rsidP="00B01953">
            <w:pPr>
              <w:tabs>
                <w:tab w:val="left" w:pos="6061"/>
              </w:tabs>
              <w:spacing w:after="0"/>
              <w:jc w:val="center"/>
              <w:rPr>
                <w:rFonts w:cs="Arial"/>
                <w:sz w:val="18"/>
                <w:szCs w:val="18"/>
              </w:rPr>
            </w:pPr>
            <w:r w:rsidRPr="00995ED0">
              <w:rPr>
                <w:rFonts w:cs="Arial"/>
                <w:sz w:val="18"/>
                <w:szCs w:val="18"/>
              </w:rPr>
              <w:t>18,0</w:t>
            </w:r>
          </w:p>
          <w:p w14:paraId="049860B7" w14:textId="77777777" w:rsidR="00463981" w:rsidRPr="00995ED0" w:rsidRDefault="00463981" w:rsidP="00B01953">
            <w:pPr>
              <w:pStyle w:val="Default"/>
              <w:jc w:val="center"/>
              <w:rPr>
                <w:rFonts w:asciiTheme="minorHAnsi" w:hAnsiTheme="minorHAnsi"/>
                <w:sz w:val="18"/>
                <w:szCs w:val="18"/>
              </w:rPr>
            </w:pPr>
            <w:r w:rsidRPr="00995ED0">
              <w:rPr>
                <w:rFonts w:asciiTheme="minorHAnsi" w:hAnsiTheme="minorHAnsi" w:cs="Arial"/>
                <w:sz w:val="18"/>
                <w:szCs w:val="18"/>
              </w:rPr>
              <w:t>(2016)</w:t>
            </w:r>
          </w:p>
        </w:tc>
        <w:tc>
          <w:tcPr>
            <w:tcW w:w="1559" w:type="dxa"/>
            <w:shd w:val="clear" w:color="auto" w:fill="DEEAF6" w:themeFill="accent1" w:themeFillTint="33"/>
            <w:vAlign w:val="center"/>
          </w:tcPr>
          <w:p w14:paraId="25A3458B" w14:textId="77777777" w:rsidR="00463981" w:rsidRPr="00995ED0" w:rsidRDefault="00463981" w:rsidP="00B01953">
            <w:pPr>
              <w:spacing w:after="0"/>
              <w:jc w:val="center"/>
              <w:rPr>
                <w:rFonts w:eastAsia="Times New Roman" w:cs="Calibri"/>
                <w:sz w:val="18"/>
                <w:szCs w:val="18"/>
                <w:lang w:eastAsia="pl-PL"/>
              </w:rPr>
            </w:pPr>
            <w:r w:rsidRPr="00995ED0">
              <w:rPr>
                <w:rFonts w:cs="Arial"/>
                <w:sz w:val="18"/>
                <w:szCs w:val="18"/>
              </w:rPr>
              <w:t>6,0</w:t>
            </w:r>
          </w:p>
        </w:tc>
        <w:tc>
          <w:tcPr>
            <w:tcW w:w="1701" w:type="dxa"/>
            <w:shd w:val="clear" w:color="auto" w:fill="DEEAF6" w:themeFill="accent1" w:themeFillTint="33"/>
            <w:tcMar>
              <w:top w:w="15" w:type="dxa"/>
              <w:left w:w="108" w:type="dxa"/>
              <w:bottom w:w="0" w:type="dxa"/>
              <w:right w:w="108" w:type="dxa"/>
            </w:tcMar>
            <w:vAlign w:val="center"/>
          </w:tcPr>
          <w:p w14:paraId="03AFAB1C" w14:textId="77777777" w:rsidR="00463981" w:rsidRPr="00995ED0" w:rsidRDefault="00463981" w:rsidP="00B01953">
            <w:pPr>
              <w:jc w:val="center"/>
              <w:rPr>
                <w:rStyle w:val="Tekstpodstawowy2"/>
                <w:rFonts w:asciiTheme="minorHAnsi" w:hAnsiTheme="minorHAnsi" w:cs="Arial"/>
                <w:sz w:val="18"/>
                <w:szCs w:val="18"/>
                <w:u w:val="none"/>
              </w:rPr>
            </w:pPr>
            <w:r w:rsidRPr="00995ED0">
              <w:rPr>
                <w:rStyle w:val="Tekstpodstawowy2"/>
                <w:rFonts w:asciiTheme="minorHAnsi" w:hAnsiTheme="minorHAnsi" w:cs="Arial"/>
                <w:sz w:val="18"/>
                <w:szCs w:val="18"/>
                <w:u w:val="none"/>
              </w:rPr>
              <w:t xml:space="preserve">Morska Służba Poszukiwania i Ratownictwa </w:t>
            </w:r>
          </w:p>
          <w:p w14:paraId="0543FAD6" w14:textId="77777777" w:rsidR="00463981" w:rsidRPr="00995ED0" w:rsidRDefault="00463981" w:rsidP="00B01953">
            <w:pPr>
              <w:jc w:val="center"/>
              <w:rPr>
                <w:rFonts w:cs="Arial"/>
                <w:sz w:val="18"/>
                <w:szCs w:val="18"/>
              </w:rPr>
            </w:pPr>
            <w:r w:rsidRPr="00995ED0">
              <w:rPr>
                <w:rStyle w:val="Tekstpodstawowy2"/>
                <w:rFonts w:asciiTheme="minorHAnsi" w:hAnsiTheme="minorHAnsi" w:cs="Arial"/>
                <w:sz w:val="18"/>
                <w:szCs w:val="18"/>
                <w:u w:val="none"/>
              </w:rPr>
              <w:t>(Służba SAR)</w:t>
            </w:r>
          </w:p>
          <w:p w14:paraId="1BFA96EC" w14:textId="52B99952" w:rsidR="00463981" w:rsidRPr="00995ED0" w:rsidRDefault="00E9243F" w:rsidP="00B01953">
            <w:pPr>
              <w:spacing w:after="0"/>
              <w:jc w:val="center"/>
              <w:rPr>
                <w:rFonts w:eastAsia="Times New Roman" w:cs="Calibri"/>
                <w:kern w:val="24"/>
                <w:sz w:val="18"/>
                <w:szCs w:val="18"/>
                <w:lang w:eastAsia="pl-PL"/>
              </w:rPr>
            </w:pPr>
            <w:r w:rsidRPr="00995ED0">
              <w:rPr>
                <w:rFonts w:cs="Arial"/>
                <w:sz w:val="18"/>
                <w:szCs w:val="18"/>
              </w:rPr>
              <w:t>MI</w:t>
            </w:r>
          </w:p>
        </w:tc>
        <w:tc>
          <w:tcPr>
            <w:tcW w:w="4961" w:type="dxa"/>
            <w:shd w:val="clear" w:color="auto" w:fill="DEEAF6" w:themeFill="accent1" w:themeFillTint="33"/>
          </w:tcPr>
          <w:p w14:paraId="777C9188" w14:textId="77777777" w:rsidR="00463981" w:rsidRPr="00995ED0" w:rsidRDefault="00463981" w:rsidP="00B01953">
            <w:pPr>
              <w:spacing w:after="0"/>
              <w:rPr>
                <w:rFonts w:eastAsia="Times New Roman" w:cs="Calibri"/>
                <w:kern w:val="24"/>
                <w:sz w:val="18"/>
                <w:szCs w:val="18"/>
                <w:lang w:eastAsia="pl-PL"/>
              </w:rPr>
            </w:pPr>
            <w:r w:rsidRPr="00995ED0">
              <w:rPr>
                <w:rFonts w:cs="Arial"/>
                <w:spacing w:val="4"/>
                <w:sz w:val="18"/>
                <w:szCs w:val="18"/>
              </w:rPr>
              <w:t>Średnia liczba godzin jakie statek ratowniczy musi przebyć z najbliższej stacji ratowniczej do najdalej położonego miejsca zdarzenia w morskiej strefie reagowania</w:t>
            </w:r>
          </w:p>
        </w:tc>
      </w:tr>
      <w:tr w:rsidR="00463981" w:rsidRPr="00F21196" w14:paraId="467C0B2B" w14:textId="77777777" w:rsidTr="00463981">
        <w:tblPrEx>
          <w:shd w:val="clear" w:color="auto" w:fill="F2F2F2"/>
          <w:tblCellMar>
            <w:top w:w="0" w:type="dxa"/>
            <w:left w:w="0" w:type="dxa"/>
            <w:bottom w:w="0" w:type="dxa"/>
            <w:right w:w="0" w:type="dxa"/>
          </w:tblCellMar>
          <w:tblLook w:val="0620" w:firstRow="1" w:lastRow="0" w:firstColumn="0" w:lastColumn="0" w:noHBand="1" w:noVBand="1"/>
        </w:tblPrEx>
        <w:trPr>
          <w:trHeight w:val="167"/>
        </w:trPr>
        <w:tc>
          <w:tcPr>
            <w:tcW w:w="3403" w:type="dxa"/>
            <w:shd w:val="clear" w:color="auto" w:fill="DEEAF6" w:themeFill="accent1" w:themeFillTint="33"/>
          </w:tcPr>
          <w:p w14:paraId="5E2CAEF5" w14:textId="126CA073" w:rsidR="00463981" w:rsidRPr="00995ED0" w:rsidRDefault="00724576" w:rsidP="00B01953">
            <w:pPr>
              <w:spacing w:after="0"/>
              <w:rPr>
                <w:rFonts w:eastAsia="Times New Roman" w:cs="Calibri"/>
                <w:sz w:val="18"/>
                <w:szCs w:val="18"/>
                <w:lang w:eastAsia="pl-PL"/>
              </w:rPr>
            </w:pPr>
            <w:r w:rsidRPr="00995ED0">
              <w:rPr>
                <w:rFonts w:cs="Arial"/>
                <w:sz w:val="18"/>
                <w:szCs w:val="18"/>
              </w:rPr>
              <w:t>Odsetek powierzchni polskich obszarów morskich zabezpieczonej pod względem możliwości prowadzenia działań zwalczania zagrożeń i zanieczyszczeń na morzu</w:t>
            </w:r>
          </w:p>
        </w:tc>
        <w:tc>
          <w:tcPr>
            <w:tcW w:w="1276" w:type="dxa"/>
            <w:shd w:val="clear" w:color="auto" w:fill="DEEAF6" w:themeFill="accent1" w:themeFillTint="33"/>
            <w:vAlign w:val="center"/>
          </w:tcPr>
          <w:p w14:paraId="7340CDCF" w14:textId="77777777" w:rsidR="00463981" w:rsidRPr="00995ED0" w:rsidRDefault="00463981" w:rsidP="00B01953">
            <w:pPr>
              <w:spacing w:after="0"/>
              <w:jc w:val="center"/>
              <w:rPr>
                <w:rFonts w:cs="Tahoma"/>
                <w:sz w:val="18"/>
                <w:szCs w:val="18"/>
              </w:rPr>
            </w:pPr>
            <w:r w:rsidRPr="00995ED0">
              <w:rPr>
                <w:rFonts w:cs="Arial"/>
                <w:sz w:val="18"/>
                <w:szCs w:val="18"/>
              </w:rPr>
              <w:t>%</w:t>
            </w:r>
          </w:p>
        </w:tc>
        <w:tc>
          <w:tcPr>
            <w:tcW w:w="1701" w:type="dxa"/>
            <w:shd w:val="clear" w:color="auto" w:fill="DEEAF6" w:themeFill="accent1" w:themeFillTint="33"/>
            <w:vAlign w:val="center"/>
          </w:tcPr>
          <w:p w14:paraId="18247D94" w14:textId="77777777" w:rsidR="00463981" w:rsidRPr="00995ED0" w:rsidRDefault="00463981" w:rsidP="00B01953">
            <w:pPr>
              <w:tabs>
                <w:tab w:val="left" w:pos="6061"/>
              </w:tabs>
              <w:spacing w:after="0"/>
              <w:jc w:val="center"/>
              <w:rPr>
                <w:rFonts w:cs="Arial"/>
                <w:sz w:val="18"/>
                <w:szCs w:val="18"/>
              </w:rPr>
            </w:pPr>
            <w:r w:rsidRPr="00995ED0">
              <w:rPr>
                <w:rFonts w:cs="Arial"/>
                <w:sz w:val="18"/>
                <w:szCs w:val="18"/>
              </w:rPr>
              <w:t>53,1</w:t>
            </w:r>
          </w:p>
          <w:p w14:paraId="4AF26883" w14:textId="77777777" w:rsidR="00463981" w:rsidRPr="00995ED0" w:rsidRDefault="00463981" w:rsidP="00B01953">
            <w:pPr>
              <w:pStyle w:val="Default"/>
              <w:jc w:val="center"/>
              <w:rPr>
                <w:rFonts w:asciiTheme="minorHAnsi" w:hAnsiTheme="minorHAnsi"/>
                <w:sz w:val="18"/>
                <w:szCs w:val="18"/>
              </w:rPr>
            </w:pPr>
            <w:r w:rsidRPr="00995ED0">
              <w:rPr>
                <w:rFonts w:asciiTheme="minorHAnsi" w:hAnsiTheme="minorHAnsi" w:cs="Arial"/>
                <w:sz w:val="18"/>
                <w:szCs w:val="18"/>
              </w:rPr>
              <w:t>(2016)</w:t>
            </w:r>
          </w:p>
        </w:tc>
        <w:tc>
          <w:tcPr>
            <w:tcW w:w="1559" w:type="dxa"/>
            <w:shd w:val="clear" w:color="auto" w:fill="DEEAF6" w:themeFill="accent1" w:themeFillTint="33"/>
            <w:vAlign w:val="center"/>
          </w:tcPr>
          <w:p w14:paraId="3041B962" w14:textId="77777777" w:rsidR="00463981" w:rsidRPr="00995ED0" w:rsidRDefault="00463981" w:rsidP="00B01953">
            <w:pPr>
              <w:spacing w:after="0"/>
              <w:jc w:val="center"/>
              <w:rPr>
                <w:rFonts w:eastAsia="Times New Roman" w:cs="Calibri"/>
                <w:sz w:val="18"/>
                <w:szCs w:val="18"/>
                <w:lang w:eastAsia="pl-PL"/>
              </w:rPr>
            </w:pPr>
            <w:r w:rsidRPr="00995ED0">
              <w:rPr>
                <w:rFonts w:cs="Arial"/>
                <w:sz w:val="18"/>
                <w:szCs w:val="18"/>
              </w:rPr>
              <w:t>93,5</w:t>
            </w:r>
          </w:p>
        </w:tc>
        <w:tc>
          <w:tcPr>
            <w:tcW w:w="1701" w:type="dxa"/>
            <w:shd w:val="clear" w:color="auto" w:fill="DEEAF6" w:themeFill="accent1" w:themeFillTint="33"/>
            <w:tcMar>
              <w:top w:w="15" w:type="dxa"/>
              <w:left w:w="108" w:type="dxa"/>
              <w:bottom w:w="0" w:type="dxa"/>
              <w:right w:w="108" w:type="dxa"/>
            </w:tcMar>
            <w:vAlign w:val="center"/>
          </w:tcPr>
          <w:p w14:paraId="6471B0BA" w14:textId="77777777" w:rsidR="00463981" w:rsidRPr="00995ED0" w:rsidRDefault="00463981" w:rsidP="00B01953">
            <w:pPr>
              <w:jc w:val="center"/>
              <w:rPr>
                <w:rStyle w:val="Tekstpodstawowy2"/>
                <w:rFonts w:asciiTheme="minorHAnsi" w:hAnsiTheme="minorHAnsi" w:cs="Arial"/>
                <w:sz w:val="18"/>
                <w:szCs w:val="18"/>
                <w:u w:val="none"/>
              </w:rPr>
            </w:pPr>
            <w:r w:rsidRPr="00995ED0">
              <w:rPr>
                <w:rStyle w:val="Tekstpodstawowy2"/>
                <w:rFonts w:asciiTheme="minorHAnsi" w:hAnsiTheme="minorHAnsi" w:cs="Arial"/>
                <w:sz w:val="18"/>
                <w:szCs w:val="18"/>
                <w:u w:val="none"/>
              </w:rPr>
              <w:t>Morska Służba Poszukiwania i Ratownictwa</w:t>
            </w:r>
          </w:p>
          <w:p w14:paraId="7895BE63" w14:textId="77777777" w:rsidR="00463981" w:rsidRPr="00995ED0" w:rsidRDefault="00463981" w:rsidP="00B01953">
            <w:pPr>
              <w:jc w:val="center"/>
              <w:rPr>
                <w:rFonts w:cs="Arial"/>
                <w:sz w:val="18"/>
                <w:szCs w:val="18"/>
              </w:rPr>
            </w:pPr>
            <w:r w:rsidRPr="00995ED0">
              <w:rPr>
                <w:rStyle w:val="Tekstpodstawowy2"/>
                <w:rFonts w:asciiTheme="minorHAnsi" w:hAnsiTheme="minorHAnsi" w:cs="Arial"/>
                <w:sz w:val="18"/>
                <w:szCs w:val="18"/>
                <w:u w:val="none"/>
              </w:rPr>
              <w:t>(Służba SAR)</w:t>
            </w:r>
          </w:p>
          <w:p w14:paraId="23B5CE9B" w14:textId="5285235D" w:rsidR="00463981" w:rsidRPr="00995ED0" w:rsidRDefault="00E9243F" w:rsidP="00B01953">
            <w:pPr>
              <w:spacing w:after="0"/>
              <w:jc w:val="center"/>
              <w:rPr>
                <w:rFonts w:eastAsia="Times New Roman" w:cs="Calibri"/>
                <w:kern w:val="24"/>
                <w:sz w:val="18"/>
                <w:szCs w:val="18"/>
                <w:lang w:eastAsia="pl-PL"/>
              </w:rPr>
            </w:pPr>
            <w:r w:rsidRPr="00995ED0">
              <w:rPr>
                <w:rFonts w:cs="Arial"/>
                <w:sz w:val="18"/>
                <w:szCs w:val="18"/>
              </w:rPr>
              <w:t>MI</w:t>
            </w:r>
          </w:p>
        </w:tc>
        <w:tc>
          <w:tcPr>
            <w:tcW w:w="4961" w:type="dxa"/>
            <w:shd w:val="clear" w:color="auto" w:fill="DEEAF6" w:themeFill="accent1" w:themeFillTint="33"/>
          </w:tcPr>
          <w:p w14:paraId="10C3E6DB" w14:textId="77777777" w:rsidR="00463981" w:rsidRPr="00995ED0" w:rsidRDefault="00463981" w:rsidP="00B01953">
            <w:pPr>
              <w:spacing w:after="0"/>
              <w:rPr>
                <w:rFonts w:eastAsia="Times New Roman" w:cs="Calibri"/>
                <w:kern w:val="24"/>
                <w:sz w:val="18"/>
                <w:szCs w:val="18"/>
                <w:lang w:eastAsia="pl-PL"/>
              </w:rPr>
            </w:pPr>
            <w:r w:rsidRPr="00995ED0">
              <w:rPr>
                <w:rFonts w:cs="Arial"/>
                <w:spacing w:val="4"/>
                <w:sz w:val="18"/>
                <w:szCs w:val="18"/>
              </w:rPr>
              <w:t>Procentowy udział powierzchni polskich obszarów morskich, dla których zabezpieczono możliwość prowadzenia działań zwalczania zagrożeń i zanieczyszczeń na morzu, w całkowitej powierzchni polskich obszarów morskich</w:t>
            </w:r>
          </w:p>
        </w:tc>
      </w:tr>
    </w:tbl>
    <w:p w14:paraId="1FC53F86" w14:textId="77777777" w:rsidR="00082AE6" w:rsidRPr="00F21196" w:rsidRDefault="00082AE6" w:rsidP="001F2CA5">
      <w:pPr>
        <w:spacing w:after="0"/>
        <w:rPr>
          <w:b/>
          <w:i/>
          <w:color w:val="2F5496" w:themeColor="accent5" w:themeShade="BF"/>
        </w:rPr>
      </w:pPr>
    </w:p>
    <w:p w14:paraId="6D22B56B" w14:textId="77777777" w:rsidR="00082AE6" w:rsidRPr="00F21196" w:rsidRDefault="00082AE6" w:rsidP="001F2CA5">
      <w:pPr>
        <w:spacing w:after="0"/>
        <w:rPr>
          <w:b/>
          <w:i/>
          <w:color w:val="2F5496" w:themeColor="accent5" w:themeShade="BF"/>
        </w:rPr>
        <w:sectPr w:rsidR="00082AE6" w:rsidRPr="00F21196" w:rsidSect="00BA39D4">
          <w:pgSz w:w="16838" w:h="11906" w:orient="landscape"/>
          <w:pgMar w:top="851" w:right="1418" w:bottom="1418" w:left="1418" w:header="709" w:footer="709" w:gutter="0"/>
          <w:cols w:space="708"/>
          <w:docGrid w:linePitch="360"/>
        </w:sectPr>
      </w:pPr>
    </w:p>
    <w:p w14:paraId="6796BD7C" w14:textId="77777777" w:rsidR="001F2CA5" w:rsidRPr="00F21196" w:rsidRDefault="001F2CA5" w:rsidP="001F2CA5">
      <w:pPr>
        <w:spacing w:after="0"/>
        <w:rPr>
          <w:b/>
          <w:i/>
          <w:color w:val="2F5496" w:themeColor="accent5" w:themeShade="BF"/>
        </w:rPr>
      </w:pPr>
    </w:p>
    <w:p w14:paraId="1CF02261" w14:textId="77777777" w:rsidR="002144CE" w:rsidRDefault="00CF51FD" w:rsidP="002144CE">
      <w:pPr>
        <w:spacing w:after="0" w:line="276" w:lineRule="auto"/>
        <w:rPr>
          <w:rFonts w:eastAsia="Times New Roman" w:cs="Calibri"/>
          <w:b/>
          <w:i/>
          <w:lang w:eastAsia="pl-PL"/>
        </w:rPr>
      </w:pPr>
      <w:r w:rsidRPr="002144CE">
        <w:rPr>
          <w:b/>
          <w:i/>
          <w:color w:val="2F5496" w:themeColor="accent5" w:themeShade="BF"/>
        </w:rPr>
        <w:t>2</w:t>
      </w:r>
      <w:r w:rsidR="001F2CA5" w:rsidRPr="002144CE">
        <w:rPr>
          <w:b/>
          <w:i/>
          <w:color w:val="2F5496" w:themeColor="accent5" w:themeShade="BF"/>
        </w:rPr>
        <w:t xml:space="preserve">. </w:t>
      </w:r>
      <w:r w:rsidR="002144CE" w:rsidRPr="002144CE">
        <w:rPr>
          <w:rFonts w:eastAsia="Times New Roman" w:cs="Calibri"/>
          <w:b/>
          <w:i/>
          <w:lang w:eastAsia="pl-PL"/>
        </w:rPr>
        <w:t xml:space="preserve">Wykaz projektów strategicznych </w:t>
      </w:r>
    </w:p>
    <w:p w14:paraId="412A85A0" w14:textId="77777777" w:rsidR="001B45A1" w:rsidRPr="002144CE" w:rsidRDefault="001B45A1" w:rsidP="002144CE">
      <w:pPr>
        <w:spacing w:after="0" w:line="276" w:lineRule="auto"/>
        <w:rPr>
          <w:rFonts w:eastAsia="Times New Roman" w:cs="Calibri"/>
          <w:b/>
          <w:i/>
          <w:lang w:eastAsia="pl-PL"/>
        </w:rPr>
      </w:pPr>
    </w:p>
    <w:p w14:paraId="5C183FF2" w14:textId="7BBF09CB" w:rsidR="002144CE" w:rsidRPr="001424BC" w:rsidRDefault="001424BC" w:rsidP="001424BC">
      <w:pPr>
        <w:shd w:val="clear" w:color="auto" w:fill="C5E0B3" w:themeFill="accent6" w:themeFillTint="66"/>
        <w:spacing w:after="0"/>
        <w:ind w:left="426" w:hanging="426"/>
        <w:jc w:val="center"/>
        <w:rPr>
          <w:sz w:val="24"/>
          <w:szCs w:val="24"/>
        </w:rPr>
      </w:pPr>
      <w:r w:rsidRPr="001424BC">
        <w:rPr>
          <w:rFonts w:cs="Calibri"/>
          <w:b/>
          <w:kern w:val="24"/>
          <w:sz w:val="24"/>
          <w:szCs w:val="24"/>
          <w:lang w:eastAsia="pl-PL"/>
        </w:rPr>
        <w:t xml:space="preserve">Cel szczegółowy II. </w:t>
      </w:r>
      <w:r w:rsidRPr="001424BC">
        <w:rPr>
          <w:rFonts w:cs="Calibri"/>
          <w:b/>
          <w:i/>
          <w:kern w:val="24"/>
          <w:sz w:val="24"/>
          <w:szCs w:val="24"/>
          <w:lang w:eastAsia="pl-PL"/>
        </w:rPr>
        <w:t>Sprawne instytucje państwa</w:t>
      </w:r>
    </w:p>
    <w:tbl>
      <w:tblPr>
        <w:tblW w:w="9639" w:type="dxa"/>
        <w:tblInd w:w="-10" w:type="dxa"/>
        <w:tblBorders>
          <w:top w:val="single" w:sz="8" w:space="0" w:color="A8D08D" w:themeColor="accent6" w:themeTint="99"/>
          <w:left w:val="single" w:sz="8" w:space="0" w:color="A8D08D" w:themeColor="accent6" w:themeTint="99"/>
          <w:bottom w:val="single" w:sz="8" w:space="0" w:color="A8D08D" w:themeColor="accent6" w:themeTint="99"/>
          <w:right w:val="single" w:sz="8" w:space="0" w:color="A8D08D" w:themeColor="accent6" w:themeTint="99"/>
          <w:insideH w:val="single" w:sz="8" w:space="0" w:color="A8D08D" w:themeColor="accent6" w:themeTint="99"/>
          <w:insideV w:val="single" w:sz="8" w:space="0" w:color="A8D08D" w:themeColor="accent6" w:themeTint="99"/>
        </w:tblBorders>
        <w:tblLayout w:type="fixed"/>
        <w:tblCellMar>
          <w:left w:w="70" w:type="dxa"/>
          <w:right w:w="70" w:type="dxa"/>
        </w:tblCellMar>
        <w:tblLook w:val="04A0" w:firstRow="1" w:lastRow="0" w:firstColumn="1" w:lastColumn="0" w:noHBand="0" w:noVBand="1"/>
      </w:tblPr>
      <w:tblGrid>
        <w:gridCol w:w="9639"/>
      </w:tblGrid>
      <w:tr w:rsidR="001424BC" w:rsidRPr="002144CE" w14:paraId="127DF58F" w14:textId="77777777" w:rsidTr="001424BC">
        <w:trPr>
          <w:trHeight w:val="70"/>
        </w:trPr>
        <w:tc>
          <w:tcPr>
            <w:tcW w:w="9639" w:type="dxa"/>
            <w:shd w:val="clear" w:color="auto" w:fill="auto"/>
          </w:tcPr>
          <w:p w14:paraId="39AF563B" w14:textId="77777777" w:rsidR="001424BC" w:rsidRPr="00DE2406" w:rsidRDefault="001424BC" w:rsidP="00723B3F">
            <w:pPr>
              <w:pStyle w:val="Akapitzlist"/>
              <w:numPr>
                <w:ilvl w:val="0"/>
                <w:numId w:val="57"/>
              </w:numPr>
              <w:spacing w:after="60" w:line="276" w:lineRule="auto"/>
              <w:ind w:left="714" w:hanging="357"/>
              <w:rPr>
                <w:rFonts w:asciiTheme="minorHAnsi" w:hAnsiTheme="minorHAnsi"/>
                <w:sz w:val="20"/>
                <w:szCs w:val="20"/>
              </w:rPr>
            </w:pPr>
            <w:r w:rsidRPr="00DE2406">
              <w:rPr>
                <w:rFonts w:asciiTheme="minorHAnsi" w:hAnsiTheme="minorHAnsi" w:cs="Arial"/>
                <w:sz w:val="20"/>
                <w:szCs w:val="20"/>
              </w:rPr>
              <w:t>Reforma procesu inwestycyjno-budowlanego</w:t>
            </w:r>
          </w:p>
        </w:tc>
      </w:tr>
      <w:tr w:rsidR="001424BC" w:rsidRPr="002144CE" w14:paraId="74896BA3" w14:textId="77777777" w:rsidTr="001424BC">
        <w:trPr>
          <w:trHeight w:val="299"/>
        </w:trPr>
        <w:tc>
          <w:tcPr>
            <w:tcW w:w="9639" w:type="dxa"/>
            <w:shd w:val="clear" w:color="auto" w:fill="auto"/>
          </w:tcPr>
          <w:p w14:paraId="0542383C" w14:textId="77777777" w:rsidR="001424BC" w:rsidRPr="00DE2406" w:rsidRDefault="001424BC" w:rsidP="00723B3F">
            <w:pPr>
              <w:pStyle w:val="Akapitzlist"/>
              <w:numPr>
                <w:ilvl w:val="0"/>
                <w:numId w:val="57"/>
              </w:numPr>
              <w:spacing w:after="60" w:line="276" w:lineRule="auto"/>
              <w:ind w:left="714" w:hanging="357"/>
              <w:rPr>
                <w:rFonts w:asciiTheme="minorHAnsi" w:eastAsia="Times New Roman" w:hAnsiTheme="minorHAnsi" w:cs="Calibri"/>
                <w:bCs/>
                <w:sz w:val="20"/>
                <w:szCs w:val="20"/>
              </w:rPr>
            </w:pPr>
            <w:r w:rsidRPr="00DE2406">
              <w:rPr>
                <w:rFonts w:asciiTheme="minorHAnsi" w:eastAsia="Times New Roman" w:hAnsiTheme="minorHAnsi" w:cs="Calibri"/>
                <w:sz w:val="20"/>
                <w:szCs w:val="20"/>
              </w:rPr>
              <w:t>Powszechny system monitorowania usług publicznych</w:t>
            </w:r>
          </w:p>
        </w:tc>
      </w:tr>
      <w:tr w:rsidR="001424BC" w:rsidRPr="002144CE" w14:paraId="6CCD7183" w14:textId="77777777" w:rsidTr="001424BC">
        <w:trPr>
          <w:trHeight w:val="295"/>
        </w:trPr>
        <w:tc>
          <w:tcPr>
            <w:tcW w:w="9639" w:type="dxa"/>
            <w:shd w:val="clear" w:color="auto" w:fill="auto"/>
          </w:tcPr>
          <w:p w14:paraId="00BECBBB" w14:textId="77777777" w:rsidR="001424BC" w:rsidRPr="00DE2406" w:rsidRDefault="001424BC" w:rsidP="00723B3F">
            <w:pPr>
              <w:pStyle w:val="Akapitzlist"/>
              <w:numPr>
                <w:ilvl w:val="0"/>
                <w:numId w:val="57"/>
              </w:numPr>
              <w:spacing w:after="60" w:line="276" w:lineRule="auto"/>
              <w:ind w:left="714" w:hanging="357"/>
              <w:rPr>
                <w:rFonts w:asciiTheme="minorHAnsi" w:eastAsia="Times New Roman" w:hAnsiTheme="minorHAnsi" w:cs="Calibri"/>
                <w:bCs/>
                <w:sz w:val="20"/>
                <w:szCs w:val="20"/>
              </w:rPr>
            </w:pPr>
            <w:r w:rsidRPr="00DE2406">
              <w:rPr>
                <w:rFonts w:asciiTheme="minorHAnsi" w:eastAsia="Times New Roman" w:hAnsiTheme="minorHAnsi" w:cs="Calibri"/>
                <w:bCs/>
                <w:sz w:val="20"/>
                <w:szCs w:val="20"/>
              </w:rPr>
              <w:t>Plan zagospodarowania przestrzennego polskich obszarów morskich</w:t>
            </w:r>
          </w:p>
        </w:tc>
      </w:tr>
      <w:tr w:rsidR="001424BC" w:rsidRPr="002144CE" w14:paraId="6060DE81" w14:textId="77777777" w:rsidTr="001424BC">
        <w:trPr>
          <w:trHeight w:val="163"/>
        </w:trPr>
        <w:tc>
          <w:tcPr>
            <w:tcW w:w="9639" w:type="dxa"/>
            <w:shd w:val="clear" w:color="auto" w:fill="auto"/>
          </w:tcPr>
          <w:p w14:paraId="208898A7" w14:textId="77BA91BF" w:rsidR="001424BC" w:rsidRPr="00DE2406" w:rsidRDefault="001424BC" w:rsidP="00723B3F">
            <w:pPr>
              <w:pStyle w:val="Akapitzlist"/>
              <w:numPr>
                <w:ilvl w:val="0"/>
                <w:numId w:val="57"/>
              </w:numPr>
              <w:spacing w:after="60" w:line="276" w:lineRule="auto"/>
              <w:ind w:left="714" w:hanging="357"/>
              <w:rPr>
                <w:rFonts w:asciiTheme="minorHAnsi" w:eastAsia="Times New Roman" w:hAnsiTheme="minorHAnsi" w:cs="Calibri"/>
                <w:bCs/>
                <w:sz w:val="20"/>
                <w:szCs w:val="20"/>
              </w:rPr>
            </w:pPr>
            <w:r w:rsidRPr="00DE2406">
              <w:rPr>
                <w:rFonts w:asciiTheme="minorHAnsi" w:eastAsia="Times New Roman" w:hAnsiTheme="minorHAnsi" w:cs="Calibri"/>
                <w:bCs/>
                <w:sz w:val="20"/>
                <w:szCs w:val="20"/>
              </w:rPr>
              <w:t>Wdrożenie standardów i procedur obsługi interesanta w sądownictwie powszechnym (WSOI)</w:t>
            </w:r>
          </w:p>
        </w:tc>
      </w:tr>
      <w:tr w:rsidR="001424BC" w:rsidRPr="002144CE" w14:paraId="5DF42FB3" w14:textId="77777777" w:rsidTr="001424BC">
        <w:trPr>
          <w:trHeight w:val="163"/>
        </w:trPr>
        <w:tc>
          <w:tcPr>
            <w:tcW w:w="9639" w:type="dxa"/>
            <w:shd w:val="clear" w:color="auto" w:fill="auto"/>
          </w:tcPr>
          <w:p w14:paraId="0C6D1DA0" w14:textId="77777777" w:rsidR="001424BC" w:rsidRPr="00DE2406" w:rsidRDefault="001424BC" w:rsidP="00723B3F">
            <w:pPr>
              <w:pStyle w:val="Akapitzlist"/>
              <w:numPr>
                <w:ilvl w:val="0"/>
                <w:numId w:val="57"/>
              </w:numPr>
              <w:spacing w:after="60" w:line="276" w:lineRule="auto"/>
              <w:ind w:left="714" w:hanging="357"/>
              <w:rPr>
                <w:rFonts w:asciiTheme="minorHAnsi" w:hAnsiTheme="minorHAnsi"/>
                <w:sz w:val="20"/>
                <w:szCs w:val="20"/>
              </w:rPr>
            </w:pPr>
            <w:r w:rsidRPr="00DE2406">
              <w:rPr>
                <w:rFonts w:asciiTheme="minorHAnsi" w:hAnsiTheme="minorHAnsi"/>
                <w:sz w:val="20"/>
                <w:szCs w:val="20"/>
              </w:rPr>
              <w:t>Wzrost skuteczności prowadzonych postępowań przygotowawczych i skrócenie obiegu informacji z wykorzystaniem systemów oraz narzędzi wsparcia informatycznego i informacyjnego</w:t>
            </w:r>
          </w:p>
        </w:tc>
      </w:tr>
      <w:tr w:rsidR="001424BC" w:rsidRPr="002144CE" w14:paraId="50706766" w14:textId="77777777" w:rsidTr="001424BC">
        <w:trPr>
          <w:trHeight w:val="163"/>
        </w:trPr>
        <w:tc>
          <w:tcPr>
            <w:tcW w:w="9639" w:type="dxa"/>
            <w:shd w:val="clear" w:color="auto" w:fill="auto"/>
          </w:tcPr>
          <w:p w14:paraId="7BD6D0F2" w14:textId="77777777" w:rsidR="001424BC" w:rsidRPr="00DE2406" w:rsidRDefault="001424BC" w:rsidP="00723B3F">
            <w:pPr>
              <w:pStyle w:val="Akapitzlist"/>
              <w:numPr>
                <w:ilvl w:val="0"/>
                <w:numId w:val="57"/>
              </w:numPr>
              <w:spacing w:after="60" w:line="276" w:lineRule="auto"/>
              <w:ind w:left="714" w:hanging="357"/>
              <w:rPr>
                <w:rFonts w:asciiTheme="minorHAnsi" w:hAnsiTheme="minorHAnsi"/>
                <w:sz w:val="20"/>
                <w:szCs w:val="20"/>
              </w:rPr>
            </w:pPr>
            <w:r w:rsidRPr="00DE2406">
              <w:rPr>
                <w:rFonts w:asciiTheme="minorHAnsi" w:hAnsiTheme="minorHAnsi"/>
                <w:sz w:val="20"/>
                <w:szCs w:val="20"/>
              </w:rPr>
              <w:t>Wyższe kompetencje pracowników sądów i prokuratorów</w:t>
            </w:r>
          </w:p>
        </w:tc>
      </w:tr>
      <w:tr w:rsidR="001424BC" w:rsidRPr="002144CE" w14:paraId="34CD272B" w14:textId="77777777" w:rsidTr="001424BC">
        <w:trPr>
          <w:trHeight w:val="676"/>
        </w:trPr>
        <w:tc>
          <w:tcPr>
            <w:tcW w:w="9639" w:type="dxa"/>
            <w:shd w:val="clear" w:color="auto" w:fill="auto"/>
          </w:tcPr>
          <w:p w14:paraId="1EB0A29C" w14:textId="77777777" w:rsidR="001424BC" w:rsidRPr="00DE2406" w:rsidRDefault="001424BC" w:rsidP="00723B3F">
            <w:pPr>
              <w:pStyle w:val="Akapitzlist"/>
              <w:numPr>
                <w:ilvl w:val="0"/>
                <w:numId w:val="57"/>
              </w:numPr>
              <w:spacing w:after="60" w:line="276" w:lineRule="auto"/>
              <w:ind w:left="714" w:right="99" w:hanging="357"/>
              <w:rPr>
                <w:rFonts w:asciiTheme="minorHAnsi" w:eastAsia="Times New Roman" w:hAnsiTheme="minorHAnsi" w:cs="Calibri"/>
                <w:bCs/>
                <w:sz w:val="20"/>
                <w:szCs w:val="20"/>
              </w:rPr>
            </w:pPr>
            <w:r w:rsidRPr="00DE2406">
              <w:rPr>
                <w:rFonts w:asciiTheme="minorHAnsi" w:hAnsiTheme="minorHAnsi"/>
                <w:sz w:val="20"/>
                <w:szCs w:val="20"/>
              </w:rPr>
              <w:t>Budowa i wdrożenie centralnego systemu przetwarzania i udostępniania danych przez powszechne jednostki organizacyjne prokuratury</w:t>
            </w:r>
          </w:p>
        </w:tc>
      </w:tr>
      <w:tr w:rsidR="001424BC" w:rsidRPr="002144CE" w14:paraId="18EC8C32" w14:textId="77777777" w:rsidTr="001424BC">
        <w:trPr>
          <w:trHeight w:val="163"/>
        </w:trPr>
        <w:tc>
          <w:tcPr>
            <w:tcW w:w="9639" w:type="dxa"/>
            <w:shd w:val="clear" w:color="auto" w:fill="auto"/>
          </w:tcPr>
          <w:p w14:paraId="73C6319A" w14:textId="7A22B693" w:rsidR="001424BC" w:rsidRPr="007A3FD5" w:rsidRDefault="001424BC" w:rsidP="00723B3F">
            <w:pPr>
              <w:pStyle w:val="Akapitzlist"/>
              <w:numPr>
                <w:ilvl w:val="0"/>
                <w:numId w:val="57"/>
              </w:numPr>
              <w:spacing w:after="60" w:line="276" w:lineRule="auto"/>
              <w:ind w:left="714" w:right="99" w:hanging="357"/>
              <w:rPr>
                <w:rFonts w:asciiTheme="minorHAnsi" w:hAnsiTheme="minorHAnsi"/>
                <w:sz w:val="20"/>
                <w:szCs w:val="20"/>
              </w:rPr>
            </w:pPr>
            <w:r w:rsidRPr="007A3FD5">
              <w:rPr>
                <w:rFonts w:asciiTheme="minorHAnsi" w:hAnsiTheme="minorHAnsi"/>
                <w:sz w:val="20"/>
                <w:szCs w:val="20"/>
              </w:rPr>
              <w:t xml:space="preserve">Analiza możliwości optymalizacji procesów postępowania karnego poprzez zwiększenie stopnia wykorzystania rozwiązań informatycznych </w:t>
            </w:r>
          </w:p>
        </w:tc>
      </w:tr>
      <w:tr w:rsidR="001424BC" w:rsidRPr="002144CE" w14:paraId="49A74467" w14:textId="77777777" w:rsidTr="001424BC">
        <w:trPr>
          <w:trHeight w:val="163"/>
        </w:trPr>
        <w:tc>
          <w:tcPr>
            <w:tcW w:w="9639" w:type="dxa"/>
            <w:shd w:val="clear" w:color="auto" w:fill="auto"/>
          </w:tcPr>
          <w:p w14:paraId="6E472615" w14:textId="775F61D2" w:rsidR="001424BC" w:rsidRPr="007A3FD5" w:rsidRDefault="005C125C" w:rsidP="00723B3F">
            <w:pPr>
              <w:pStyle w:val="Akapitzlist"/>
              <w:numPr>
                <w:ilvl w:val="0"/>
                <w:numId w:val="57"/>
              </w:numPr>
              <w:spacing w:after="60" w:line="276" w:lineRule="auto"/>
              <w:ind w:left="714" w:right="99" w:hanging="357"/>
              <w:rPr>
                <w:rFonts w:asciiTheme="minorHAnsi" w:hAnsiTheme="minorHAnsi" w:cstheme="minorHAnsi"/>
                <w:sz w:val="20"/>
                <w:szCs w:val="20"/>
              </w:rPr>
            </w:pPr>
            <w:r w:rsidRPr="007A3FD5">
              <w:rPr>
                <w:rFonts w:asciiTheme="minorHAnsi" w:hAnsiTheme="minorHAnsi" w:cstheme="minorHAnsi"/>
                <w:sz w:val="20"/>
                <w:szCs w:val="20"/>
              </w:rPr>
              <w:t xml:space="preserve">Budowa i wdrożenie systemu obiegu informacji pomiędzy organami państwa uczestniczącymi w procesie karnym </w:t>
            </w:r>
          </w:p>
        </w:tc>
      </w:tr>
      <w:tr w:rsidR="005C125C" w:rsidRPr="002144CE" w14:paraId="3389B5F5" w14:textId="77777777" w:rsidTr="001424BC">
        <w:trPr>
          <w:trHeight w:val="163"/>
        </w:trPr>
        <w:tc>
          <w:tcPr>
            <w:tcW w:w="9639" w:type="dxa"/>
            <w:shd w:val="clear" w:color="auto" w:fill="auto"/>
          </w:tcPr>
          <w:p w14:paraId="5BC87051" w14:textId="1082CFA7" w:rsidR="005C125C" w:rsidRPr="007A3FD5" w:rsidRDefault="005C125C" w:rsidP="00723B3F">
            <w:pPr>
              <w:pStyle w:val="Akapitzlist"/>
              <w:numPr>
                <w:ilvl w:val="0"/>
                <w:numId w:val="57"/>
              </w:numPr>
              <w:spacing w:after="60" w:line="276" w:lineRule="auto"/>
              <w:ind w:left="714" w:right="99" w:hanging="357"/>
              <w:rPr>
                <w:rFonts w:asciiTheme="minorHAnsi" w:hAnsiTheme="minorHAnsi" w:cstheme="minorHAnsi"/>
                <w:sz w:val="20"/>
                <w:szCs w:val="20"/>
              </w:rPr>
            </w:pPr>
            <w:r w:rsidRPr="007A3FD5">
              <w:rPr>
                <w:rFonts w:asciiTheme="minorHAnsi" w:hAnsiTheme="minorHAnsi" w:cstheme="minorHAnsi"/>
                <w:sz w:val="20"/>
                <w:szCs w:val="20"/>
              </w:rPr>
              <w:t>Rozwój analizy kryminalnej gromadzonych przez powszechne jednostki organizacyjne prokuratury danych</w:t>
            </w:r>
          </w:p>
        </w:tc>
      </w:tr>
      <w:tr w:rsidR="001424BC" w:rsidRPr="002144CE" w14:paraId="01179D1A" w14:textId="77777777" w:rsidTr="001424BC">
        <w:trPr>
          <w:trHeight w:val="163"/>
        </w:trPr>
        <w:tc>
          <w:tcPr>
            <w:tcW w:w="9639" w:type="dxa"/>
            <w:shd w:val="clear" w:color="auto" w:fill="auto"/>
          </w:tcPr>
          <w:p w14:paraId="1BF7EE25" w14:textId="77777777" w:rsidR="001424BC" w:rsidRPr="00DE2406" w:rsidRDefault="001424BC" w:rsidP="00723B3F">
            <w:pPr>
              <w:pStyle w:val="Akapitzlist"/>
              <w:numPr>
                <w:ilvl w:val="0"/>
                <w:numId w:val="57"/>
              </w:numPr>
              <w:spacing w:after="60" w:line="276" w:lineRule="auto"/>
              <w:ind w:left="714" w:right="99" w:hanging="357"/>
              <w:rPr>
                <w:rFonts w:asciiTheme="minorHAnsi" w:hAnsiTheme="minorHAnsi" w:cstheme="minorHAnsi"/>
                <w:sz w:val="20"/>
                <w:szCs w:val="20"/>
              </w:rPr>
            </w:pPr>
            <w:r w:rsidRPr="00DE2406">
              <w:rPr>
                <w:rFonts w:asciiTheme="minorHAnsi" w:hAnsiTheme="minorHAnsi" w:cs="Calibri"/>
                <w:sz w:val="20"/>
                <w:szCs w:val="20"/>
              </w:rPr>
              <w:t>Budowa interoperacyjnych zbiorów i usług danych przestrzennych</w:t>
            </w:r>
          </w:p>
        </w:tc>
      </w:tr>
      <w:tr w:rsidR="001424BC" w:rsidRPr="002144CE" w14:paraId="24F5824C" w14:textId="77777777" w:rsidTr="001424BC">
        <w:trPr>
          <w:trHeight w:val="529"/>
        </w:trPr>
        <w:tc>
          <w:tcPr>
            <w:tcW w:w="9639" w:type="dxa"/>
            <w:shd w:val="clear" w:color="auto" w:fill="auto"/>
          </w:tcPr>
          <w:p w14:paraId="01F2A4EC" w14:textId="77777777" w:rsidR="001424BC" w:rsidRPr="00DE2406" w:rsidRDefault="001424BC" w:rsidP="00723B3F">
            <w:pPr>
              <w:pStyle w:val="Akapitzlist"/>
              <w:numPr>
                <w:ilvl w:val="0"/>
                <w:numId w:val="57"/>
              </w:numPr>
              <w:spacing w:after="60" w:line="276" w:lineRule="auto"/>
              <w:ind w:left="714" w:right="99" w:hanging="357"/>
              <w:rPr>
                <w:rFonts w:asciiTheme="minorHAnsi" w:hAnsiTheme="minorHAnsi"/>
                <w:sz w:val="20"/>
                <w:szCs w:val="20"/>
              </w:rPr>
            </w:pPr>
            <w:r w:rsidRPr="00DE2406">
              <w:rPr>
                <w:rFonts w:asciiTheme="minorHAnsi" w:hAnsiTheme="minorHAnsi" w:cs="Calibri"/>
                <w:sz w:val="20"/>
                <w:szCs w:val="20"/>
              </w:rPr>
              <w:t>Udostępnienie innowacyjnych usług i danych infrastruktury informacji przestrzennej w ramach administracji publicznej</w:t>
            </w:r>
          </w:p>
        </w:tc>
      </w:tr>
      <w:tr w:rsidR="001424BC" w:rsidRPr="002144CE" w14:paraId="573BF062" w14:textId="77777777" w:rsidTr="001424BC">
        <w:trPr>
          <w:trHeight w:val="355"/>
        </w:trPr>
        <w:tc>
          <w:tcPr>
            <w:tcW w:w="9639" w:type="dxa"/>
            <w:shd w:val="clear" w:color="auto" w:fill="auto"/>
          </w:tcPr>
          <w:p w14:paraId="79947280" w14:textId="77777777" w:rsidR="001424BC" w:rsidRPr="00DE2406" w:rsidRDefault="001424BC" w:rsidP="00723B3F">
            <w:pPr>
              <w:pStyle w:val="Akapitzlist"/>
              <w:numPr>
                <w:ilvl w:val="0"/>
                <w:numId w:val="57"/>
              </w:numPr>
              <w:spacing w:after="60" w:line="276" w:lineRule="auto"/>
              <w:ind w:left="714" w:right="99" w:hanging="357"/>
              <w:rPr>
                <w:rFonts w:asciiTheme="minorHAnsi" w:hAnsiTheme="minorHAnsi" w:cs="Calibri"/>
                <w:sz w:val="20"/>
                <w:szCs w:val="20"/>
              </w:rPr>
            </w:pPr>
            <w:r w:rsidRPr="00DE2406">
              <w:rPr>
                <w:rFonts w:asciiTheme="minorHAnsi" w:hAnsiTheme="minorHAnsi" w:cs="Calibri"/>
                <w:sz w:val="20"/>
                <w:szCs w:val="20"/>
              </w:rPr>
              <w:t>Podnoszenie kompetencji w zakresie wykorzystania infrastruktury informacji przestrzennej</w:t>
            </w:r>
          </w:p>
        </w:tc>
      </w:tr>
      <w:tr w:rsidR="001424BC" w:rsidRPr="002144CE" w14:paraId="2C53BEA5" w14:textId="77777777" w:rsidTr="001424BC">
        <w:trPr>
          <w:trHeight w:val="163"/>
        </w:trPr>
        <w:tc>
          <w:tcPr>
            <w:tcW w:w="9639" w:type="dxa"/>
            <w:shd w:val="clear" w:color="auto" w:fill="auto"/>
          </w:tcPr>
          <w:p w14:paraId="3181BB77" w14:textId="77777777" w:rsidR="001424BC" w:rsidRPr="00DE2406" w:rsidRDefault="001424BC" w:rsidP="00723B3F">
            <w:pPr>
              <w:pStyle w:val="Akapitzlist"/>
              <w:numPr>
                <w:ilvl w:val="0"/>
                <w:numId w:val="57"/>
              </w:numPr>
              <w:spacing w:after="60"/>
              <w:ind w:left="714" w:right="99" w:hanging="357"/>
              <w:rPr>
                <w:rFonts w:asciiTheme="minorHAnsi" w:hAnsiTheme="minorHAnsi" w:cs="Calibri"/>
                <w:sz w:val="20"/>
                <w:szCs w:val="20"/>
              </w:rPr>
            </w:pPr>
            <w:r w:rsidRPr="00DE2406">
              <w:rPr>
                <w:rFonts w:asciiTheme="minorHAnsi" w:hAnsiTheme="minorHAnsi" w:cs="Calibri"/>
                <w:sz w:val="20"/>
                <w:szCs w:val="20"/>
              </w:rPr>
              <w:t>Budowa systemu informatycznego Krajowego Rejestru Karnego wraz ze zmianami organizacyjnymi i legislacyjnymi – KRK 2.0.</w:t>
            </w:r>
          </w:p>
        </w:tc>
      </w:tr>
      <w:tr w:rsidR="001424BC" w:rsidRPr="002144CE" w14:paraId="553AAD17" w14:textId="77777777" w:rsidTr="001424BC">
        <w:trPr>
          <w:trHeight w:val="163"/>
        </w:trPr>
        <w:tc>
          <w:tcPr>
            <w:tcW w:w="9639" w:type="dxa"/>
            <w:shd w:val="clear" w:color="auto" w:fill="auto"/>
          </w:tcPr>
          <w:p w14:paraId="23C59849" w14:textId="77777777" w:rsidR="001424BC" w:rsidRPr="00DE2406" w:rsidRDefault="001424BC" w:rsidP="00723B3F">
            <w:pPr>
              <w:pStyle w:val="Akapitzlist"/>
              <w:numPr>
                <w:ilvl w:val="0"/>
                <w:numId w:val="57"/>
              </w:numPr>
              <w:spacing w:after="60"/>
              <w:ind w:left="714" w:right="99" w:hanging="357"/>
              <w:rPr>
                <w:rFonts w:asciiTheme="minorHAnsi" w:hAnsiTheme="minorHAnsi" w:cs="Calibri"/>
                <w:sz w:val="20"/>
                <w:szCs w:val="20"/>
              </w:rPr>
            </w:pPr>
            <w:r w:rsidRPr="00DE2406">
              <w:rPr>
                <w:rFonts w:asciiTheme="minorHAnsi" w:hAnsiTheme="minorHAnsi" w:cs="Calibri"/>
                <w:sz w:val="20"/>
                <w:szCs w:val="20"/>
              </w:rPr>
              <w:t xml:space="preserve">Budowa systemu informatycznego - Krajowy Rejestr Zadłużonych (KRZ). </w:t>
            </w:r>
          </w:p>
        </w:tc>
      </w:tr>
      <w:tr w:rsidR="001424BC" w:rsidRPr="002144CE" w14:paraId="2C7362ED" w14:textId="77777777" w:rsidTr="001424BC">
        <w:trPr>
          <w:trHeight w:val="163"/>
        </w:trPr>
        <w:tc>
          <w:tcPr>
            <w:tcW w:w="9639" w:type="dxa"/>
            <w:shd w:val="clear" w:color="auto" w:fill="auto"/>
          </w:tcPr>
          <w:p w14:paraId="470F3887" w14:textId="313CF5B0" w:rsidR="001424BC" w:rsidRPr="00DE2406" w:rsidRDefault="001424BC" w:rsidP="00723B3F">
            <w:pPr>
              <w:pStyle w:val="Akapitzlist"/>
              <w:numPr>
                <w:ilvl w:val="0"/>
                <w:numId w:val="57"/>
              </w:numPr>
              <w:spacing w:after="60"/>
              <w:ind w:left="714" w:right="99" w:hanging="357"/>
              <w:rPr>
                <w:rFonts w:asciiTheme="minorHAnsi" w:hAnsiTheme="minorHAnsi" w:cs="Calibri"/>
                <w:sz w:val="20"/>
                <w:szCs w:val="20"/>
              </w:rPr>
            </w:pPr>
            <w:r w:rsidRPr="00DE2406">
              <w:rPr>
                <w:rFonts w:asciiTheme="minorHAnsi" w:hAnsiTheme="minorHAnsi" w:cs="Calibri"/>
                <w:sz w:val="20"/>
                <w:szCs w:val="20"/>
              </w:rPr>
              <w:t>Upowszechnienie alternatywnych metod rozwiązywania sporów poprzez podniesienie kompetencji mediatorów, utworzenie</w:t>
            </w:r>
            <w:r w:rsidRPr="00DE2406">
              <w:rPr>
                <w:rFonts w:asciiTheme="minorHAnsi" w:hAnsiTheme="minorHAnsi" w:cs="Calibri"/>
                <w:sz w:val="20"/>
                <w:szCs w:val="20"/>
                <w:u w:val="single"/>
              </w:rPr>
              <w:t xml:space="preserve"> </w:t>
            </w:r>
            <w:r w:rsidRPr="00DE2406">
              <w:rPr>
                <w:rFonts w:asciiTheme="minorHAnsi" w:hAnsiTheme="minorHAnsi" w:cs="Calibri"/>
                <w:sz w:val="20"/>
                <w:szCs w:val="20"/>
              </w:rPr>
              <w:t>Krajowego Rejestru Mediatorów (KRM) oraz działania informacyjne</w:t>
            </w:r>
          </w:p>
        </w:tc>
      </w:tr>
      <w:tr w:rsidR="001424BC" w:rsidRPr="002144CE" w14:paraId="36BD8A28" w14:textId="77777777" w:rsidTr="001424BC">
        <w:trPr>
          <w:trHeight w:val="163"/>
        </w:trPr>
        <w:tc>
          <w:tcPr>
            <w:tcW w:w="9639" w:type="dxa"/>
            <w:shd w:val="clear" w:color="auto" w:fill="auto"/>
          </w:tcPr>
          <w:p w14:paraId="61A6D9E4" w14:textId="3C05DF5A" w:rsidR="001424BC" w:rsidRPr="00DE2406" w:rsidRDefault="001424BC" w:rsidP="00723B3F">
            <w:pPr>
              <w:pStyle w:val="Akapitzlist"/>
              <w:numPr>
                <w:ilvl w:val="0"/>
                <w:numId w:val="57"/>
              </w:numPr>
              <w:spacing w:after="60"/>
              <w:ind w:left="714" w:right="99" w:hanging="357"/>
              <w:rPr>
                <w:rFonts w:asciiTheme="minorHAnsi" w:hAnsiTheme="minorHAnsi" w:cs="Calibri"/>
                <w:sz w:val="20"/>
                <w:szCs w:val="20"/>
              </w:rPr>
            </w:pPr>
            <w:r w:rsidRPr="00DE2406">
              <w:rPr>
                <w:rFonts w:asciiTheme="minorHAnsi" w:hAnsiTheme="minorHAnsi" w:cs="Calibri"/>
                <w:sz w:val="20"/>
                <w:szCs w:val="20"/>
              </w:rPr>
              <w:t>Elektroniczny Krajowy Rejestr Sądowy (eKRS)</w:t>
            </w:r>
          </w:p>
        </w:tc>
      </w:tr>
    </w:tbl>
    <w:p w14:paraId="2069F1FB" w14:textId="77777777" w:rsidR="002144CE" w:rsidRPr="002144CE" w:rsidRDefault="002144CE" w:rsidP="002144CE"/>
    <w:p w14:paraId="1B74EEAC" w14:textId="77777777" w:rsidR="002144CE" w:rsidRPr="00DE2406" w:rsidRDefault="002144CE" w:rsidP="002144CE">
      <w:pPr>
        <w:shd w:val="clear" w:color="auto" w:fill="FFE599" w:themeFill="accent4" w:themeFillTint="66"/>
        <w:spacing w:after="0"/>
        <w:ind w:left="284" w:hanging="284"/>
        <w:jc w:val="center"/>
        <w:rPr>
          <w:rFonts w:cstheme="minorHAnsi"/>
          <w:b/>
          <w:i/>
          <w:iCs/>
          <w:color w:val="000000" w:themeColor="text1"/>
          <w:sz w:val="24"/>
        </w:rPr>
      </w:pPr>
      <w:r w:rsidRPr="00DE2406">
        <w:rPr>
          <w:rFonts w:eastAsia="Times New Roman" w:cstheme="minorHAnsi"/>
          <w:b/>
          <w:iCs/>
          <w:color w:val="000000" w:themeColor="text1"/>
          <w:sz w:val="24"/>
        </w:rPr>
        <w:t xml:space="preserve">Cel III. </w:t>
      </w:r>
      <w:r w:rsidRPr="00DE2406">
        <w:rPr>
          <w:rFonts w:eastAsia="Times New Roman" w:cstheme="minorHAnsi"/>
          <w:b/>
          <w:i/>
          <w:iCs/>
          <w:color w:val="000000" w:themeColor="text1"/>
          <w:sz w:val="24"/>
        </w:rPr>
        <w:t>Podniesienie sprawności realizacji zadań poprzez wykorzystanie technologii cyfrowych i zmianę sposobu działania stosownie do możliwości jakie stwarza technologia</w:t>
      </w:r>
    </w:p>
    <w:tbl>
      <w:tblPr>
        <w:tblW w:w="9639" w:type="dxa"/>
        <w:tblInd w:w="-8" w:type="dxa"/>
        <w:tbl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insideH w:val="single" w:sz="6" w:space="0" w:color="FFD966" w:themeColor="accent4" w:themeTint="99"/>
          <w:insideV w:val="single" w:sz="6" w:space="0" w:color="FFD966" w:themeColor="accent4" w:themeTint="99"/>
        </w:tblBorders>
        <w:tblLayout w:type="fixed"/>
        <w:tblCellMar>
          <w:left w:w="70" w:type="dxa"/>
          <w:right w:w="70" w:type="dxa"/>
        </w:tblCellMar>
        <w:tblLook w:val="04A0" w:firstRow="1" w:lastRow="0" w:firstColumn="1" w:lastColumn="0" w:noHBand="0" w:noVBand="1"/>
      </w:tblPr>
      <w:tblGrid>
        <w:gridCol w:w="9639"/>
      </w:tblGrid>
      <w:tr w:rsidR="00DE2406" w:rsidRPr="002144CE" w14:paraId="3797B5EE" w14:textId="77777777" w:rsidTr="00DE2406">
        <w:trPr>
          <w:trHeight w:val="204"/>
          <w:tblHeader/>
        </w:trPr>
        <w:tc>
          <w:tcPr>
            <w:tcW w:w="9639" w:type="dxa"/>
            <w:shd w:val="clear" w:color="auto" w:fill="FFF2CC" w:themeFill="accent4" w:themeFillTint="33"/>
            <w:hideMark/>
          </w:tcPr>
          <w:p w14:paraId="6FF4F0B5" w14:textId="77777777" w:rsidR="00DE2406" w:rsidRPr="002144CE" w:rsidRDefault="00DE2406" w:rsidP="002144CE">
            <w:pPr>
              <w:spacing w:after="0" w:line="240" w:lineRule="auto"/>
              <w:jc w:val="center"/>
              <w:rPr>
                <w:rFonts w:eastAsia="Times New Roman" w:cs="Calibri"/>
                <w:b/>
                <w:bCs/>
                <w:sz w:val="18"/>
                <w:szCs w:val="20"/>
                <w:lang w:eastAsia="pl-PL"/>
              </w:rPr>
            </w:pPr>
            <w:r w:rsidRPr="002144CE">
              <w:rPr>
                <w:b/>
                <w:color w:val="000000"/>
                <w:sz w:val="20"/>
                <w:szCs w:val="20"/>
                <w:lang w:eastAsia="pl-PL"/>
              </w:rPr>
              <w:t>Projekt strategiczny</w:t>
            </w:r>
          </w:p>
        </w:tc>
      </w:tr>
      <w:tr w:rsidR="00DE2406" w:rsidRPr="002144CE" w14:paraId="468960D0" w14:textId="77777777" w:rsidTr="00DE2406">
        <w:trPr>
          <w:trHeight w:val="70"/>
        </w:trPr>
        <w:tc>
          <w:tcPr>
            <w:tcW w:w="9639" w:type="dxa"/>
            <w:shd w:val="clear" w:color="auto" w:fill="auto"/>
          </w:tcPr>
          <w:p w14:paraId="522B3D6F" w14:textId="77777777" w:rsidR="00DE2406" w:rsidRPr="00754540" w:rsidRDefault="00DE2406" w:rsidP="00723B3F">
            <w:pPr>
              <w:pStyle w:val="Akapitzlist"/>
              <w:numPr>
                <w:ilvl w:val="0"/>
                <w:numId w:val="58"/>
              </w:numPr>
              <w:spacing w:after="60"/>
              <w:ind w:left="714" w:right="96" w:hanging="357"/>
              <w:rPr>
                <w:rFonts w:asciiTheme="minorHAnsi" w:hAnsiTheme="minorHAnsi"/>
                <w:sz w:val="20"/>
              </w:rPr>
            </w:pPr>
            <w:r w:rsidRPr="00754540">
              <w:rPr>
                <w:rFonts w:asciiTheme="minorHAnsi" w:eastAsia="Times New Roman" w:hAnsiTheme="minorHAnsi" w:cs="Calibri"/>
                <w:bCs/>
                <w:sz w:val="20"/>
              </w:rPr>
              <w:t>Program Zintegrowanej Informatyzacji Państwa</w:t>
            </w:r>
          </w:p>
        </w:tc>
      </w:tr>
      <w:tr w:rsidR="00DE2406" w:rsidRPr="002144CE" w14:paraId="2BB4381D" w14:textId="77777777" w:rsidTr="00DE2406">
        <w:trPr>
          <w:trHeight w:val="464"/>
        </w:trPr>
        <w:tc>
          <w:tcPr>
            <w:tcW w:w="9639" w:type="dxa"/>
            <w:shd w:val="clear" w:color="auto" w:fill="auto"/>
          </w:tcPr>
          <w:p w14:paraId="1F53D8D1" w14:textId="77777777" w:rsidR="00DE2406" w:rsidRPr="00754540" w:rsidRDefault="00DE2406" w:rsidP="00723B3F">
            <w:pPr>
              <w:pStyle w:val="Akapitzlist"/>
              <w:numPr>
                <w:ilvl w:val="0"/>
                <w:numId w:val="58"/>
              </w:numPr>
              <w:spacing w:after="60"/>
              <w:ind w:left="714" w:right="96" w:hanging="357"/>
              <w:rPr>
                <w:rFonts w:asciiTheme="minorHAnsi" w:eastAsia="Times New Roman" w:hAnsiTheme="minorHAnsi" w:cs="Calibri"/>
                <w:bCs/>
                <w:color w:val="1F497D"/>
                <w:sz w:val="20"/>
              </w:rPr>
            </w:pPr>
            <w:r w:rsidRPr="00754540">
              <w:rPr>
                <w:rFonts w:asciiTheme="minorHAnsi" w:eastAsia="Times New Roman" w:hAnsiTheme="minorHAnsi" w:cs="Calibri"/>
                <w:bCs/>
                <w:sz w:val="20"/>
              </w:rPr>
              <w:t xml:space="preserve">Poczta Polska jako strategiczny filar państwa w rozwoju </w:t>
            </w:r>
            <w:r w:rsidRPr="00754540">
              <w:rPr>
                <w:rFonts w:asciiTheme="minorHAnsi" w:eastAsia="Times New Roman" w:hAnsiTheme="minorHAnsi" w:cs="Calibri"/>
                <w:bCs/>
                <w:i/>
                <w:sz w:val="20"/>
              </w:rPr>
              <w:t>e-government</w:t>
            </w:r>
          </w:p>
        </w:tc>
      </w:tr>
      <w:tr w:rsidR="00DE2406" w:rsidRPr="002144CE" w14:paraId="78AB7AF7" w14:textId="77777777" w:rsidTr="00DE2406">
        <w:trPr>
          <w:trHeight w:val="70"/>
        </w:trPr>
        <w:tc>
          <w:tcPr>
            <w:tcW w:w="9639" w:type="dxa"/>
            <w:shd w:val="clear" w:color="auto" w:fill="auto"/>
          </w:tcPr>
          <w:p w14:paraId="3BD98C9F" w14:textId="77777777" w:rsidR="00DE2406" w:rsidRPr="00754540" w:rsidRDefault="00DE2406" w:rsidP="00723B3F">
            <w:pPr>
              <w:pStyle w:val="Akapitzlist"/>
              <w:numPr>
                <w:ilvl w:val="0"/>
                <w:numId w:val="58"/>
              </w:numPr>
              <w:spacing w:after="60"/>
              <w:ind w:left="714" w:right="96" w:hanging="357"/>
              <w:rPr>
                <w:rFonts w:asciiTheme="minorHAnsi" w:eastAsia="Times New Roman" w:hAnsiTheme="minorHAnsi" w:cs="Calibri"/>
                <w:bCs/>
                <w:sz w:val="20"/>
              </w:rPr>
            </w:pPr>
            <w:r w:rsidRPr="00754540">
              <w:rPr>
                <w:rFonts w:asciiTheme="minorHAnsi" w:eastAsia="Times New Roman" w:hAnsiTheme="minorHAnsi" w:cs="Calibri"/>
                <w:bCs/>
                <w:sz w:val="20"/>
              </w:rPr>
              <w:t>Narodowy Plan Szerokopasmowy</w:t>
            </w:r>
          </w:p>
        </w:tc>
      </w:tr>
      <w:tr w:rsidR="00DE2406" w:rsidRPr="002144CE" w14:paraId="70A126D0" w14:textId="77777777" w:rsidTr="00DE2406">
        <w:trPr>
          <w:trHeight w:val="70"/>
        </w:trPr>
        <w:tc>
          <w:tcPr>
            <w:tcW w:w="9639" w:type="dxa"/>
            <w:shd w:val="clear" w:color="auto" w:fill="auto"/>
          </w:tcPr>
          <w:p w14:paraId="6599558E" w14:textId="77777777" w:rsidR="00DE2406" w:rsidRPr="00754540" w:rsidRDefault="00DE2406" w:rsidP="00723B3F">
            <w:pPr>
              <w:pStyle w:val="Akapitzlist"/>
              <w:numPr>
                <w:ilvl w:val="0"/>
                <w:numId w:val="58"/>
              </w:numPr>
              <w:spacing w:after="60"/>
              <w:ind w:left="714" w:right="96" w:hanging="357"/>
              <w:rPr>
                <w:rFonts w:asciiTheme="minorHAnsi" w:eastAsia="Times New Roman" w:hAnsiTheme="minorHAnsi" w:cs="Calibri"/>
                <w:bCs/>
                <w:color w:val="1F497D"/>
                <w:sz w:val="20"/>
              </w:rPr>
            </w:pPr>
            <w:r w:rsidRPr="00754540">
              <w:rPr>
                <w:rFonts w:asciiTheme="minorHAnsi" w:eastAsia="Times New Roman" w:hAnsiTheme="minorHAnsi" w:cs="Calibri"/>
                <w:bCs/>
                <w:sz w:val="20"/>
              </w:rPr>
              <w:t>Zintegrowany System Zarządzania Bieżącego Bezpieczeństwem Cyberprzestrzeni RP</w:t>
            </w:r>
          </w:p>
        </w:tc>
      </w:tr>
      <w:tr w:rsidR="00E653C5" w:rsidRPr="002144CE" w14:paraId="4223476B" w14:textId="77777777" w:rsidTr="00DE2406">
        <w:trPr>
          <w:trHeight w:val="70"/>
        </w:trPr>
        <w:tc>
          <w:tcPr>
            <w:tcW w:w="9639" w:type="dxa"/>
            <w:shd w:val="clear" w:color="auto" w:fill="auto"/>
          </w:tcPr>
          <w:p w14:paraId="715AE408" w14:textId="02C0B922" w:rsidR="00E653C5" w:rsidRPr="00754540" w:rsidRDefault="00E653C5" w:rsidP="00723B3F">
            <w:pPr>
              <w:pStyle w:val="Akapitzlist"/>
              <w:numPr>
                <w:ilvl w:val="0"/>
                <w:numId w:val="58"/>
              </w:numPr>
              <w:spacing w:after="60"/>
              <w:ind w:left="714" w:right="96" w:hanging="357"/>
              <w:rPr>
                <w:rFonts w:asciiTheme="minorHAnsi" w:eastAsia="Times New Roman" w:hAnsiTheme="minorHAnsi" w:cs="Calibri"/>
                <w:bCs/>
                <w:sz w:val="20"/>
              </w:rPr>
            </w:pPr>
            <w:r>
              <w:rPr>
                <w:rFonts w:asciiTheme="minorHAnsi" w:eastAsia="Times New Roman" w:hAnsiTheme="minorHAnsi" w:cs="Calibri"/>
                <w:bCs/>
                <w:sz w:val="20"/>
              </w:rPr>
              <w:t>Otwarte dane plus</w:t>
            </w:r>
          </w:p>
        </w:tc>
      </w:tr>
      <w:tr w:rsidR="00E653C5" w:rsidRPr="002144CE" w14:paraId="6F7D1AC3" w14:textId="77777777" w:rsidTr="00DE2406">
        <w:trPr>
          <w:trHeight w:val="70"/>
        </w:trPr>
        <w:tc>
          <w:tcPr>
            <w:tcW w:w="9639" w:type="dxa"/>
            <w:shd w:val="clear" w:color="auto" w:fill="auto"/>
          </w:tcPr>
          <w:p w14:paraId="34064475" w14:textId="368B100A" w:rsidR="00E653C5" w:rsidRPr="00754540" w:rsidRDefault="00E653C5" w:rsidP="00723B3F">
            <w:pPr>
              <w:pStyle w:val="Akapitzlist"/>
              <w:numPr>
                <w:ilvl w:val="0"/>
                <w:numId w:val="58"/>
              </w:numPr>
              <w:spacing w:after="60"/>
              <w:ind w:left="714" w:right="96" w:hanging="357"/>
              <w:rPr>
                <w:rFonts w:asciiTheme="minorHAnsi" w:eastAsia="Times New Roman" w:hAnsiTheme="minorHAnsi" w:cs="Calibri"/>
                <w:bCs/>
                <w:sz w:val="20"/>
              </w:rPr>
            </w:pPr>
            <w:r w:rsidRPr="00754540">
              <w:rPr>
                <w:rFonts w:asciiTheme="minorHAnsi" w:hAnsiTheme="minorHAnsi" w:cs="Calibri"/>
                <w:sz w:val="20"/>
              </w:rPr>
              <w:t>Opracowanie programu rozwoju kompetencji cyfrowych z perspektywą do 2030 roku</w:t>
            </w:r>
          </w:p>
        </w:tc>
      </w:tr>
      <w:tr w:rsidR="00E653C5" w:rsidRPr="002144CE" w14:paraId="2B4E7C2A" w14:textId="77777777" w:rsidTr="00DE2406">
        <w:trPr>
          <w:trHeight w:val="70"/>
        </w:trPr>
        <w:tc>
          <w:tcPr>
            <w:tcW w:w="9639" w:type="dxa"/>
            <w:shd w:val="clear" w:color="auto" w:fill="auto"/>
          </w:tcPr>
          <w:p w14:paraId="5E77AB63" w14:textId="0FF31C71" w:rsidR="00E653C5" w:rsidRPr="00754540" w:rsidRDefault="00E653C5" w:rsidP="00723B3F">
            <w:pPr>
              <w:pStyle w:val="Akapitzlist"/>
              <w:numPr>
                <w:ilvl w:val="0"/>
                <w:numId w:val="58"/>
              </w:numPr>
              <w:spacing w:after="60"/>
              <w:ind w:left="714" w:right="96" w:hanging="357"/>
              <w:rPr>
                <w:rFonts w:asciiTheme="minorHAnsi" w:hAnsiTheme="minorHAnsi" w:cstheme="minorHAnsi"/>
                <w:bCs/>
                <w:sz w:val="20"/>
              </w:rPr>
            </w:pPr>
            <w:r w:rsidRPr="00754540">
              <w:rPr>
                <w:rFonts w:asciiTheme="minorHAnsi" w:hAnsiTheme="minorHAnsi" w:cs="Calibri"/>
                <w:sz w:val="20"/>
              </w:rPr>
              <w:t>Strategia rozwoju sztucznej inteligencji w Polsce</w:t>
            </w:r>
          </w:p>
        </w:tc>
      </w:tr>
    </w:tbl>
    <w:p w14:paraId="02B19A3C" w14:textId="79A10C43" w:rsidR="00E653C5" w:rsidRDefault="00E653C5" w:rsidP="002144CE"/>
    <w:p w14:paraId="32606545" w14:textId="77777777" w:rsidR="00E653C5" w:rsidRDefault="00E653C5">
      <w:r>
        <w:br w:type="page"/>
      </w:r>
    </w:p>
    <w:p w14:paraId="3F3BF133" w14:textId="77777777" w:rsidR="00754540" w:rsidRDefault="00754540" w:rsidP="002144CE"/>
    <w:p w14:paraId="7276A6B7" w14:textId="77777777" w:rsidR="002144CE" w:rsidRPr="00424CDF" w:rsidRDefault="002144CE" w:rsidP="002144CE">
      <w:pPr>
        <w:shd w:val="clear" w:color="auto" w:fill="F4B083" w:themeFill="accent2" w:themeFillTint="99"/>
        <w:spacing w:after="0" w:line="240" w:lineRule="auto"/>
        <w:rPr>
          <w:b/>
          <w:sz w:val="24"/>
          <w:szCs w:val="24"/>
        </w:rPr>
      </w:pPr>
      <w:r w:rsidRPr="00424CDF">
        <w:rPr>
          <w:rFonts w:eastAsia="Times New Roman" w:cs="Calibri"/>
          <w:b/>
          <w:color w:val="000000" w:themeColor="text1"/>
          <w:sz w:val="24"/>
          <w:szCs w:val="24"/>
          <w:lang w:eastAsia="pl-PL"/>
        </w:rPr>
        <w:t xml:space="preserve">Cel szczegółowy IV. </w:t>
      </w:r>
      <w:r w:rsidRPr="00424CDF">
        <w:rPr>
          <w:rFonts w:eastAsia="Times New Roman" w:cs="Calibri"/>
          <w:b/>
          <w:i/>
          <w:color w:val="000000" w:themeColor="text1"/>
          <w:sz w:val="24"/>
          <w:szCs w:val="24"/>
          <w:lang w:eastAsia="pl-PL"/>
        </w:rPr>
        <w:t>Efektywne planowanie i wykorzystanie środków finansowych</w:t>
      </w:r>
    </w:p>
    <w:tbl>
      <w:tblPr>
        <w:tblStyle w:val="Tabela-Siatka3"/>
        <w:tblW w:w="9639" w:type="dxa"/>
        <w:tblInd w:w="-8" w:type="dxa"/>
        <w:tblBorders>
          <w:top w:val="single" w:sz="6" w:space="0" w:color="C45911" w:themeColor="accent2" w:themeShade="BF"/>
          <w:left w:val="single" w:sz="6" w:space="0" w:color="C45911" w:themeColor="accent2" w:themeShade="BF"/>
          <w:bottom w:val="single" w:sz="6" w:space="0" w:color="C45911" w:themeColor="accent2" w:themeShade="BF"/>
          <w:right w:val="single" w:sz="6" w:space="0" w:color="C45911" w:themeColor="accent2" w:themeShade="BF"/>
          <w:insideH w:val="single" w:sz="6" w:space="0" w:color="C45911" w:themeColor="accent2" w:themeShade="BF"/>
          <w:insideV w:val="single" w:sz="6" w:space="0" w:color="C45911" w:themeColor="accent2" w:themeShade="BF"/>
        </w:tblBorders>
        <w:tblLayout w:type="fixed"/>
        <w:tblLook w:val="04A0" w:firstRow="1" w:lastRow="0" w:firstColumn="1" w:lastColumn="0" w:noHBand="0" w:noVBand="1"/>
      </w:tblPr>
      <w:tblGrid>
        <w:gridCol w:w="9639"/>
      </w:tblGrid>
      <w:tr w:rsidR="00424CDF" w:rsidRPr="002144CE" w14:paraId="37EADD77" w14:textId="77777777" w:rsidTr="00424CDF">
        <w:tc>
          <w:tcPr>
            <w:tcW w:w="9639" w:type="dxa"/>
            <w:shd w:val="clear" w:color="auto" w:fill="F7CAAC" w:themeFill="accent2" w:themeFillTint="66"/>
          </w:tcPr>
          <w:p w14:paraId="4CE6C028" w14:textId="77777777" w:rsidR="00424CDF" w:rsidRPr="002144CE" w:rsidRDefault="00424CDF" w:rsidP="002144CE">
            <w:pPr>
              <w:jc w:val="center"/>
              <w:rPr>
                <w:rFonts w:eastAsia="Times New Roman" w:cs="Calibri"/>
                <w:b/>
                <w:sz w:val="18"/>
                <w:lang w:eastAsia="pl-PL"/>
              </w:rPr>
            </w:pPr>
            <w:r w:rsidRPr="002144CE">
              <w:rPr>
                <w:b/>
                <w:color w:val="000000"/>
                <w:sz w:val="20"/>
                <w:szCs w:val="20"/>
                <w:lang w:eastAsia="pl-PL"/>
              </w:rPr>
              <w:t>Projekt strategiczny</w:t>
            </w:r>
          </w:p>
        </w:tc>
      </w:tr>
      <w:tr w:rsidR="00424CDF" w:rsidRPr="002144CE" w14:paraId="51E027C8" w14:textId="77777777" w:rsidTr="00424CDF">
        <w:tc>
          <w:tcPr>
            <w:tcW w:w="9639" w:type="dxa"/>
            <w:shd w:val="clear" w:color="auto" w:fill="auto"/>
          </w:tcPr>
          <w:p w14:paraId="4AE7BDCB" w14:textId="77777777" w:rsidR="00424CDF" w:rsidRPr="00424CDF" w:rsidRDefault="00424CDF" w:rsidP="00723B3F">
            <w:pPr>
              <w:pStyle w:val="Akapitzlist"/>
              <w:numPr>
                <w:ilvl w:val="0"/>
                <w:numId w:val="59"/>
              </w:numPr>
              <w:spacing w:after="60" w:line="276" w:lineRule="auto"/>
              <w:ind w:left="714" w:hanging="357"/>
              <w:rPr>
                <w:rFonts w:asciiTheme="minorHAnsi" w:eastAsia="Times New Roman" w:hAnsiTheme="minorHAnsi" w:cstheme="minorHAnsi"/>
                <w:bCs/>
                <w:sz w:val="20"/>
                <w:szCs w:val="20"/>
              </w:rPr>
            </w:pPr>
            <w:r w:rsidRPr="00424CDF">
              <w:rPr>
                <w:rFonts w:asciiTheme="minorHAnsi" w:eastAsia="Times New Roman" w:hAnsiTheme="minorHAnsi" w:cstheme="minorHAnsi"/>
                <w:bCs/>
                <w:sz w:val="20"/>
                <w:szCs w:val="20"/>
              </w:rPr>
              <w:t>Reforma systemu budżetowego</w:t>
            </w:r>
          </w:p>
        </w:tc>
      </w:tr>
      <w:tr w:rsidR="00424CDF" w:rsidRPr="002144CE" w14:paraId="0AE91070" w14:textId="77777777" w:rsidTr="00424CDF">
        <w:tc>
          <w:tcPr>
            <w:tcW w:w="9639" w:type="dxa"/>
            <w:shd w:val="clear" w:color="auto" w:fill="auto"/>
          </w:tcPr>
          <w:p w14:paraId="1F630058" w14:textId="77777777" w:rsidR="00424CDF" w:rsidRPr="00424CDF" w:rsidRDefault="00424CDF" w:rsidP="00723B3F">
            <w:pPr>
              <w:pStyle w:val="Akapitzlist"/>
              <w:numPr>
                <w:ilvl w:val="0"/>
                <w:numId w:val="59"/>
              </w:numPr>
              <w:spacing w:after="60" w:line="276" w:lineRule="auto"/>
              <w:ind w:left="714" w:hanging="357"/>
              <w:rPr>
                <w:rFonts w:asciiTheme="minorHAnsi" w:eastAsia="Times New Roman" w:hAnsiTheme="minorHAnsi" w:cstheme="minorHAnsi"/>
                <w:bCs/>
                <w:sz w:val="20"/>
                <w:szCs w:val="20"/>
              </w:rPr>
            </w:pPr>
            <w:r w:rsidRPr="00424CDF">
              <w:rPr>
                <w:rFonts w:asciiTheme="minorHAnsi" w:eastAsia="Times New Roman" w:hAnsiTheme="minorHAnsi" w:cs="Calibri"/>
                <w:bCs/>
                <w:sz w:val="20"/>
                <w:szCs w:val="20"/>
              </w:rPr>
              <w:t>Racjonalny system finansowania JST</w:t>
            </w:r>
          </w:p>
        </w:tc>
      </w:tr>
      <w:tr w:rsidR="00424CDF" w:rsidRPr="002144CE" w14:paraId="68A9D605" w14:textId="77777777" w:rsidTr="00424CDF">
        <w:tc>
          <w:tcPr>
            <w:tcW w:w="9639" w:type="dxa"/>
            <w:shd w:val="clear" w:color="auto" w:fill="auto"/>
          </w:tcPr>
          <w:p w14:paraId="2A284ECA" w14:textId="77777777" w:rsidR="00424CDF" w:rsidRPr="00424CDF" w:rsidRDefault="00424CDF" w:rsidP="00723B3F">
            <w:pPr>
              <w:pStyle w:val="Akapitzlist"/>
              <w:numPr>
                <w:ilvl w:val="0"/>
                <w:numId w:val="59"/>
              </w:numPr>
              <w:spacing w:after="60" w:line="276" w:lineRule="auto"/>
              <w:ind w:left="714" w:hanging="357"/>
              <w:rPr>
                <w:rFonts w:asciiTheme="minorHAnsi" w:eastAsia="Times New Roman" w:hAnsiTheme="minorHAnsi" w:cstheme="minorHAnsi"/>
                <w:bCs/>
                <w:sz w:val="20"/>
                <w:szCs w:val="20"/>
              </w:rPr>
            </w:pPr>
            <w:r w:rsidRPr="00424CDF">
              <w:rPr>
                <w:rFonts w:asciiTheme="minorHAnsi" w:eastAsia="Times New Roman" w:hAnsiTheme="minorHAnsi" w:cs="Calibri"/>
                <w:bCs/>
                <w:sz w:val="20"/>
                <w:szCs w:val="20"/>
              </w:rPr>
              <w:t>Efektywne fundusze</w:t>
            </w:r>
          </w:p>
        </w:tc>
      </w:tr>
      <w:tr w:rsidR="00424CDF" w:rsidRPr="002144CE" w14:paraId="5120759D" w14:textId="77777777" w:rsidTr="00424CDF">
        <w:tc>
          <w:tcPr>
            <w:tcW w:w="9639" w:type="dxa"/>
            <w:shd w:val="clear" w:color="auto" w:fill="auto"/>
          </w:tcPr>
          <w:p w14:paraId="56847F84" w14:textId="77777777" w:rsidR="00424CDF" w:rsidRPr="00424CDF" w:rsidRDefault="00424CDF" w:rsidP="00723B3F">
            <w:pPr>
              <w:pStyle w:val="Akapitzlist"/>
              <w:numPr>
                <w:ilvl w:val="0"/>
                <w:numId w:val="59"/>
              </w:numPr>
              <w:spacing w:after="60" w:line="276" w:lineRule="auto"/>
              <w:ind w:left="714" w:hanging="357"/>
              <w:rPr>
                <w:rFonts w:asciiTheme="minorHAnsi" w:eastAsia="Times New Roman" w:hAnsiTheme="minorHAnsi" w:cstheme="minorHAnsi"/>
                <w:bCs/>
                <w:sz w:val="20"/>
                <w:szCs w:val="20"/>
              </w:rPr>
            </w:pPr>
            <w:r w:rsidRPr="00424CDF">
              <w:rPr>
                <w:rFonts w:asciiTheme="minorHAnsi" w:eastAsia="Times New Roman" w:hAnsiTheme="minorHAnsi" w:cs="Calibri"/>
                <w:bCs/>
                <w:sz w:val="20"/>
                <w:szCs w:val="20"/>
              </w:rPr>
              <w:t>System wsparcia i koordynacji udziału polskich podmiotów w programach zarządzanych centralnie przez KE</w:t>
            </w:r>
          </w:p>
        </w:tc>
      </w:tr>
      <w:tr w:rsidR="00424CDF" w:rsidRPr="002144CE" w14:paraId="56F385C3" w14:textId="77777777" w:rsidTr="00424CDF">
        <w:tc>
          <w:tcPr>
            <w:tcW w:w="9639" w:type="dxa"/>
            <w:shd w:val="clear" w:color="auto" w:fill="auto"/>
          </w:tcPr>
          <w:p w14:paraId="654CDDC0" w14:textId="77777777" w:rsidR="00424CDF" w:rsidRPr="00424CDF" w:rsidRDefault="00424CDF" w:rsidP="00723B3F">
            <w:pPr>
              <w:pStyle w:val="Akapitzlist"/>
              <w:numPr>
                <w:ilvl w:val="0"/>
                <w:numId w:val="59"/>
              </w:numPr>
              <w:spacing w:after="60" w:line="276" w:lineRule="auto"/>
              <w:ind w:left="714" w:hanging="357"/>
              <w:rPr>
                <w:rFonts w:asciiTheme="minorHAnsi" w:eastAsia="Times New Roman" w:hAnsiTheme="minorHAnsi" w:cs="Calibri"/>
                <w:bCs/>
                <w:sz w:val="20"/>
                <w:szCs w:val="20"/>
              </w:rPr>
            </w:pPr>
            <w:r w:rsidRPr="00424CDF">
              <w:rPr>
                <w:rFonts w:asciiTheme="minorHAnsi" w:eastAsia="Times New Roman" w:hAnsiTheme="minorHAnsi" w:cs="Calibri"/>
                <w:bCs/>
                <w:sz w:val="20"/>
                <w:szCs w:val="20"/>
              </w:rPr>
              <w:t>Zintegrowany system inwestycji rozwojowych po roku 2020</w:t>
            </w:r>
          </w:p>
        </w:tc>
      </w:tr>
      <w:tr w:rsidR="00424CDF" w:rsidRPr="002144CE" w14:paraId="73B13186" w14:textId="77777777" w:rsidTr="00424CDF">
        <w:tc>
          <w:tcPr>
            <w:tcW w:w="9639" w:type="dxa"/>
            <w:shd w:val="clear" w:color="auto" w:fill="auto"/>
          </w:tcPr>
          <w:p w14:paraId="575F69D2" w14:textId="77777777" w:rsidR="00424CDF" w:rsidRPr="00424CDF" w:rsidRDefault="00424CDF" w:rsidP="00723B3F">
            <w:pPr>
              <w:pStyle w:val="Akapitzlist"/>
              <w:numPr>
                <w:ilvl w:val="0"/>
                <w:numId w:val="59"/>
              </w:numPr>
              <w:spacing w:after="60" w:line="276" w:lineRule="auto"/>
              <w:ind w:left="714" w:hanging="357"/>
              <w:rPr>
                <w:rFonts w:asciiTheme="minorHAnsi" w:eastAsia="Times New Roman" w:hAnsiTheme="minorHAnsi" w:cstheme="minorHAnsi"/>
                <w:bCs/>
                <w:sz w:val="20"/>
                <w:szCs w:val="20"/>
              </w:rPr>
            </w:pPr>
            <w:r w:rsidRPr="00424CDF">
              <w:rPr>
                <w:rFonts w:asciiTheme="minorHAnsi" w:eastAsia="Times New Roman" w:hAnsiTheme="minorHAnsi" w:cstheme="minorHAnsi"/>
                <w:bCs/>
                <w:sz w:val="20"/>
                <w:szCs w:val="20"/>
              </w:rPr>
              <w:t>Wzmocnienie systemu zarządzania państwowymi aktywami i zobowiązaniami</w:t>
            </w:r>
          </w:p>
        </w:tc>
      </w:tr>
      <w:tr w:rsidR="00424CDF" w:rsidRPr="002144CE" w14:paraId="3FE6F719" w14:textId="77777777" w:rsidTr="00424CDF">
        <w:tc>
          <w:tcPr>
            <w:tcW w:w="9639" w:type="dxa"/>
            <w:shd w:val="clear" w:color="auto" w:fill="auto"/>
          </w:tcPr>
          <w:p w14:paraId="6FC5CEA0" w14:textId="77777777" w:rsidR="00424CDF" w:rsidRPr="00424CDF" w:rsidRDefault="00424CDF" w:rsidP="00723B3F">
            <w:pPr>
              <w:pStyle w:val="Akapitzlist"/>
              <w:numPr>
                <w:ilvl w:val="0"/>
                <w:numId w:val="59"/>
              </w:numPr>
              <w:spacing w:after="60" w:line="276" w:lineRule="auto"/>
              <w:ind w:left="714" w:hanging="357"/>
              <w:rPr>
                <w:rFonts w:asciiTheme="minorHAnsi" w:eastAsia="Times New Roman" w:hAnsiTheme="minorHAnsi" w:cstheme="minorHAnsi"/>
                <w:bCs/>
                <w:sz w:val="20"/>
                <w:szCs w:val="20"/>
              </w:rPr>
            </w:pPr>
            <w:r w:rsidRPr="00424CDF">
              <w:rPr>
                <w:rFonts w:asciiTheme="minorHAnsi" w:eastAsia="Times New Roman" w:hAnsiTheme="minorHAnsi" w:cstheme="minorHAnsi"/>
                <w:bCs/>
                <w:sz w:val="20"/>
                <w:szCs w:val="20"/>
              </w:rPr>
              <w:t>Budowa API dla systemu BeSTi@ (API)</w:t>
            </w:r>
          </w:p>
        </w:tc>
      </w:tr>
      <w:tr w:rsidR="00424CDF" w:rsidRPr="002144CE" w14:paraId="61EC262C" w14:textId="77777777" w:rsidTr="00424CDF">
        <w:tc>
          <w:tcPr>
            <w:tcW w:w="9639" w:type="dxa"/>
            <w:shd w:val="clear" w:color="auto" w:fill="auto"/>
          </w:tcPr>
          <w:p w14:paraId="1AA258B8" w14:textId="77777777" w:rsidR="00424CDF" w:rsidRPr="00424CDF" w:rsidRDefault="00424CDF" w:rsidP="00723B3F">
            <w:pPr>
              <w:pStyle w:val="Akapitzlist"/>
              <w:numPr>
                <w:ilvl w:val="0"/>
                <w:numId w:val="59"/>
              </w:numPr>
              <w:spacing w:after="60" w:line="276" w:lineRule="auto"/>
              <w:ind w:left="714" w:hanging="357"/>
              <w:rPr>
                <w:rFonts w:asciiTheme="minorHAnsi" w:eastAsia="Times New Roman" w:hAnsiTheme="minorHAnsi" w:cstheme="minorHAnsi"/>
                <w:bCs/>
                <w:sz w:val="20"/>
                <w:szCs w:val="20"/>
              </w:rPr>
            </w:pPr>
            <w:r w:rsidRPr="00424CDF">
              <w:rPr>
                <w:rFonts w:asciiTheme="minorHAnsi" w:eastAsia="Times New Roman" w:hAnsiTheme="minorHAnsi" w:cstheme="minorHAnsi"/>
                <w:bCs/>
                <w:sz w:val="20"/>
                <w:szCs w:val="20"/>
              </w:rPr>
              <w:t>System BeSTi@ - modernizacja (BeSTI@)</w:t>
            </w:r>
          </w:p>
        </w:tc>
      </w:tr>
      <w:tr w:rsidR="00424CDF" w:rsidRPr="002144CE" w14:paraId="4B3DB080" w14:textId="77777777" w:rsidTr="00424CDF">
        <w:tc>
          <w:tcPr>
            <w:tcW w:w="9639" w:type="dxa"/>
            <w:shd w:val="clear" w:color="auto" w:fill="auto"/>
          </w:tcPr>
          <w:p w14:paraId="3B814C30" w14:textId="77777777" w:rsidR="00424CDF" w:rsidRPr="00424CDF" w:rsidRDefault="00424CDF" w:rsidP="00723B3F">
            <w:pPr>
              <w:pStyle w:val="Akapitzlist"/>
              <w:numPr>
                <w:ilvl w:val="0"/>
                <w:numId w:val="59"/>
              </w:numPr>
              <w:spacing w:after="60" w:line="276" w:lineRule="auto"/>
              <w:ind w:left="714" w:hanging="357"/>
              <w:rPr>
                <w:rFonts w:asciiTheme="minorHAnsi" w:eastAsia="Times New Roman" w:hAnsiTheme="minorHAnsi" w:cstheme="minorHAnsi"/>
                <w:bCs/>
                <w:sz w:val="20"/>
                <w:szCs w:val="20"/>
              </w:rPr>
            </w:pPr>
            <w:r w:rsidRPr="00424CDF">
              <w:rPr>
                <w:rFonts w:asciiTheme="minorHAnsi" w:eastAsia="Times New Roman" w:hAnsiTheme="minorHAnsi" w:cs="Calibri"/>
                <w:bCs/>
                <w:sz w:val="20"/>
                <w:szCs w:val="20"/>
              </w:rPr>
              <w:t xml:space="preserve">Strategiczne podejście do korzystania przez Polskę ze środków w ramach różnych dostępnych źródeł finansowania przedsięwzięć rozwojowych </w:t>
            </w:r>
          </w:p>
        </w:tc>
      </w:tr>
      <w:tr w:rsidR="00424CDF" w:rsidRPr="002144CE" w14:paraId="7D361EE7" w14:textId="77777777" w:rsidTr="00424CDF">
        <w:tc>
          <w:tcPr>
            <w:tcW w:w="9639" w:type="dxa"/>
            <w:shd w:val="clear" w:color="auto" w:fill="auto"/>
          </w:tcPr>
          <w:p w14:paraId="18A9042E" w14:textId="77777777" w:rsidR="00424CDF" w:rsidRPr="00424CDF" w:rsidRDefault="00424CDF" w:rsidP="00723B3F">
            <w:pPr>
              <w:pStyle w:val="Akapitzlist"/>
              <w:numPr>
                <w:ilvl w:val="0"/>
                <w:numId w:val="59"/>
              </w:numPr>
              <w:spacing w:after="60" w:line="276" w:lineRule="auto"/>
              <w:ind w:left="714" w:hanging="357"/>
              <w:rPr>
                <w:rFonts w:asciiTheme="minorHAnsi" w:eastAsia="Times New Roman" w:hAnsiTheme="minorHAnsi" w:cstheme="minorHAnsi"/>
                <w:bCs/>
                <w:sz w:val="20"/>
                <w:szCs w:val="20"/>
              </w:rPr>
            </w:pPr>
            <w:r w:rsidRPr="00424CDF">
              <w:rPr>
                <w:rFonts w:asciiTheme="minorHAnsi" w:eastAsia="Times New Roman" w:hAnsiTheme="minorHAnsi" w:cs="Calibri"/>
                <w:bCs/>
                <w:sz w:val="20"/>
                <w:szCs w:val="20"/>
              </w:rPr>
              <w:t xml:space="preserve">Wzmocnienia  zdolności  instytucji  i  beneficjentów  </w:t>
            </w:r>
          </w:p>
        </w:tc>
      </w:tr>
    </w:tbl>
    <w:p w14:paraId="204C8D57" w14:textId="77777777" w:rsidR="002144CE" w:rsidRPr="002144CE" w:rsidRDefault="002144CE" w:rsidP="002144CE"/>
    <w:p w14:paraId="33D6FB2D" w14:textId="77777777" w:rsidR="002144CE" w:rsidRPr="00424CDF" w:rsidRDefault="002144CE" w:rsidP="002144CE">
      <w:pPr>
        <w:shd w:val="clear" w:color="auto" w:fill="9CC2E5" w:themeFill="accent1" w:themeFillTint="99"/>
        <w:spacing w:after="0"/>
        <w:rPr>
          <w:b/>
          <w:color w:val="000000" w:themeColor="text1"/>
          <w:sz w:val="24"/>
          <w:lang w:eastAsia="pl-PL"/>
        </w:rPr>
      </w:pPr>
      <w:r w:rsidRPr="00424CDF">
        <w:rPr>
          <w:rFonts w:eastAsia="Times New Roman" w:cs="Calibri"/>
          <w:b/>
          <w:color w:val="000000" w:themeColor="text1"/>
          <w:sz w:val="24"/>
          <w:lang w:eastAsia="pl-PL"/>
        </w:rPr>
        <w:t xml:space="preserve">Cel szczegółowy V. </w:t>
      </w:r>
      <w:r w:rsidRPr="00424CDF">
        <w:rPr>
          <w:rFonts w:eastAsia="Times New Roman" w:cs="Calibri"/>
          <w:b/>
          <w:i/>
          <w:color w:val="000000" w:themeColor="text1"/>
          <w:sz w:val="24"/>
          <w:lang w:eastAsia="pl-PL"/>
        </w:rPr>
        <w:t>Zapewnienie obywatelom bezpieczeństwa wewnętrznego i zewnętrznego</w:t>
      </w:r>
    </w:p>
    <w:tbl>
      <w:tblPr>
        <w:tblStyle w:val="Tabela-Siatka3"/>
        <w:tblW w:w="9629" w:type="dxa"/>
        <w:tblBorders>
          <w:top w:val="single" w:sz="8" w:space="0" w:color="2F5496" w:themeColor="accent5" w:themeShade="BF"/>
          <w:left w:val="single" w:sz="8" w:space="0" w:color="2F5496" w:themeColor="accent5" w:themeShade="BF"/>
          <w:bottom w:val="single" w:sz="8" w:space="0" w:color="2F5496" w:themeColor="accent5" w:themeShade="BF"/>
          <w:right w:val="single" w:sz="8" w:space="0" w:color="2F5496" w:themeColor="accent5" w:themeShade="BF"/>
          <w:insideH w:val="single" w:sz="8" w:space="0" w:color="2F5496" w:themeColor="accent5" w:themeShade="BF"/>
          <w:insideV w:val="single" w:sz="8" w:space="0" w:color="2F5496" w:themeColor="accent5" w:themeShade="BF"/>
        </w:tblBorders>
        <w:tblLayout w:type="fixed"/>
        <w:tblLook w:val="04A0" w:firstRow="1" w:lastRow="0" w:firstColumn="1" w:lastColumn="0" w:noHBand="0" w:noVBand="1"/>
      </w:tblPr>
      <w:tblGrid>
        <w:gridCol w:w="9629"/>
      </w:tblGrid>
      <w:tr w:rsidR="00424CDF" w:rsidRPr="002144CE" w14:paraId="77AEDDEE" w14:textId="77777777" w:rsidTr="00424CDF">
        <w:tc>
          <w:tcPr>
            <w:tcW w:w="9629" w:type="dxa"/>
            <w:shd w:val="clear" w:color="auto" w:fill="BDD6EE" w:themeFill="accent1" w:themeFillTint="66"/>
          </w:tcPr>
          <w:p w14:paraId="596ECC81" w14:textId="77777777" w:rsidR="00424CDF" w:rsidRPr="002144CE" w:rsidRDefault="00424CDF" w:rsidP="002144CE">
            <w:pPr>
              <w:jc w:val="center"/>
              <w:rPr>
                <w:rFonts w:eastAsia="Times New Roman" w:cs="Calibri"/>
                <w:b/>
                <w:sz w:val="20"/>
                <w:szCs w:val="20"/>
                <w:lang w:eastAsia="pl-PL"/>
              </w:rPr>
            </w:pPr>
            <w:r w:rsidRPr="002144CE">
              <w:rPr>
                <w:rFonts w:eastAsia="Times New Roman" w:cs="Calibri"/>
                <w:b/>
                <w:sz w:val="20"/>
                <w:szCs w:val="20"/>
                <w:lang w:eastAsia="pl-PL"/>
              </w:rPr>
              <w:t>Projekt strategiczny</w:t>
            </w:r>
          </w:p>
        </w:tc>
      </w:tr>
      <w:tr w:rsidR="00424CDF" w:rsidRPr="002144CE" w14:paraId="367610A9" w14:textId="77777777" w:rsidTr="00424CDF">
        <w:tc>
          <w:tcPr>
            <w:tcW w:w="9629" w:type="dxa"/>
            <w:shd w:val="clear" w:color="auto" w:fill="auto"/>
          </w:tcPr>
          <w:p w14:paraId="0A84F82A" w14:textId="77777777" w:rsidR="00424CDF" w:rsidRPr="00424CDF" w:rsidRDefault="00424CDF" w:rsidP="00723B3F">
            <w:pPr>
              <w:pStyle w:val="Akapitzlist"/>
              <w:numPr>
                <w:ilvl w:val="0"/>
                <w:numId w:val="60"/>
              </w:numPr>
              <w:spacing w:after="60" w:line="276" w:lineRule="auto"/>
              <w:ind w:left="714" w:hanging="357"/>
              <w:rPr>
                <w:rFonts w:asciiTheme="minorHAnsi" w:eastAsia="Times New Roman" w:hAnsiTheme="minorHAnsi" w:cs="Calibri"/>
                <w:sz w:val="20"/>
              </w:rPr>
            </w:pPr>
            <w:r w:rsidRPr="00424CDF">
              <w:rPr>
                <w:rFonts w:asciiTheme="minorHAnsi" w:hAnsiTheme="minorHAnsi"/>
                <w:sz w:val="20"/>
              </w:rPr>
              <w:t>Organizacja łączności na potrzeby systemu kierowania bezpieczeństwem państwa</w:t>
            </w:r>
          </w:p>
        </w:tc>
      </w:tr>
      <w:tr w:rsidR="00424CDF" w:rsidRPr="002144CE" w14:paraId="0386E726" w14:textId="77777777" w:rsidTr="00424CDF">
        <w:tc>
          <w:tcPr>
            <w:tcW w:w="9629" w:type="dxa"/>
            <w:shd w:val="clear" w:color="auto" w:fill="auto"/>
          </w:tcPr>
          <w:p w14:paraId="6A6A03FA" w14:textId="77777777" w:rsidR="00424CDF" w:rsidRPr="00424CDF" w:rsidRDefault="00424CDF" w:rsidP="00723B3F">
            <w:pPr>
              <w:pStyle w:val="Akapitzlist"/>
              <w:numPr>
                <w:ilvl w:val="0"/>
                <w:numId w:val="60"/>
              </w:numPr>
              <w:spacing w:after="60" w:line="276" w:lineRule="auto"/>
              <w:ind w:left="714" w:hanging="357"/>
              <w:rPr>
                <w:rFonts w:asciiTheme="minorHAnsi" w:hAnsiTheme="minorHAnsi"/>
                <w:sz w:val="20"/>
              </w:rPr>
            </w:pPr>
            <w:r w:rsidRPr="00424CDF">
              <w:rPr>
                <w:rFonts w:asciiTheme="minorHAnsi" w:hAnsiTheme="minorHAnsi"/>
                <w:sz w:val="20"/>
              </w:rPr>
              <w:t>Plan Modernizacji Technicznej SZ RP na lata 2021-2035</w:t>
            </w:r>
          </w:p>
        </w:tc>
      </w:tr>
      <w:tr w:rsidR="00424CDF" w:rsidRPr="002144CE" w14:paraId="0856585D" w14:textId="77777777" w:rsidTr="00424CDF">
        <w:tc>
          <w:tcPr>
            <w:tcW w:w="9629" w:type="dxa"/>
            <w:shd w:val="clear" w:color="auto" w:fill="auto"/>
          </w:tcPr>
          <w:p w14:paraId="695E4005" w14:textId="77777777" w:rsidR="00424CDF" w:rsidRPr="00424CDF" w:rsidRDefault="00424CDF" w:rsidP="00723B3F">
            <w:pPr>
              <w:pStyle w:val="Akapitzlist"/>
              <w:numPr>
                <w:ilvl w:val="0"/>
                <w:numId w:val="60"/>
              </w:numPr>
              <w:spacing w:after="60" w:line="276" w:lineRule="auto"/>
              <w:ind w:left="714" w:hanging="357"/>
              <w:rPr>
                <w:rFonts w:asciiTheme="minorHAnsi" w:eastAsia="Times New Roman" w:hAnsiTheme="minorHAnsi" w:cs="Calibri"/>
                <w:sz w:val="20"/>
              </w:rPr>
            </w:pPr>
            <w:r w:rsidRPr="00424CDF">
              <w:rPr>
                <w:rFonts w:asciiTheme="minorHAnsi" w:eastAsia="Times New Roman" w:hAnsiTheme="minorHAnsi" w:cs="Calibri"/>
                <w:bCs/>
                <w:sz w:val="20"/>
              </w:rPr>
              <w:t>Wojska Obrony Terytorialnej</w:t>
            </w:r>
          </w:p>
        </w:tc>
      </w:tr>
      <w:tr w:rsidR="00424CDF" w:rsidRPr="002144CE" w14:paraId="67B73297" w14:textId="77777777" w:rsidTr="00424CDF">
        <w:tc>
          <w:tcPr>
            <w:tcW w:w="9629" w:type="dxa"/>
            <w:shd w:val="clear" w:color="auto" w:fill="auto"/>
          </w:tcPr>
          <w:p w14:paraId="73888A19" w14:textId="77777777" w:rsidR="00424CDF" w:rsidRPr="00424CDF" w:rsidRDefault="00424CDF" w:rsidP="00723B3F">
            <w:pPr>
              <w:pStyle w:val="Akapitzlist"/>
              <w:numPr>
                <w:ilvl w:val="0"/>
                <w:numId w:val="60"/>
              </w:numPr>
              <w:spacing w:after="60" w:line="276" w:lineRule="auto"/>
              <w:ind w:left="714" w:hanging="357"/>
              <w:rPr>
                <w:rFonts w:asciiTheme="minorHAnsi" w:eastAsia="Times New Roman" w:hAnsiTheme="minorHAnsi" w:cs="Calibri"/>
                <w:sz w:val="20"/>
              </w:rPr>
            </w:pPr>
            <w:r w:rsidRPr="00424CDF">
              <w:rPr>
                <w:rFonts w:asciiTheme="minorHAnsi" w:hAnsiTheme="minorHAnsi"/>
                <w:sz w:val="20"/>
              </w:rPr>
              <w:t>Polityka Migracyjna Polski</w:t>
            </w:r>
            <w:r w:rsidRPr="00424CDF">
              <w:rPr>
                <w:rFonts w:asciiTheme="minorHAnsi" w:eastAsia="Times New Roman" w:hAnsiTheme="minorHAnsi" w:cs="Calibri"/>
                <w:i/>
                <w:sz w:val="20"/>
              </w:rPr>
              <w:t xml:space="preserve"> </w:t>
            </w:r>
          </w:p>
        </w:tc>
      </w:tr>
      <w:tr w:rsidR="00424CDF" w:rsidRPr="002144CE" w14:paraId="6F355CBB" w14:textId="77777777" w:rsidTr="00424CDF">
        <w:tc>
          <w:tcPr>
            <w:tcW w:w="9629" w:type="dxa"/>
            <w:shd w:val="clear" w:color="auto" w:fill="auto"/>
          </w:tcPr>
          <w:p w14:paraId="7A1CBD58" w14:textId="77777777" w:rsidR="00424CDF" w:rsidRPr="00424CDF" w:rsidRDefault="00424CDF" w:rsidP="00723B3F">
            <w:pPr>
              <w:pStyle w:val="Akapitzlist"/>
              <w:numPr>
                <w:ilvl w:val="0"/>
                <w:numId w:val="60"/>
              </w:numPr>
              <w:spacing w:after="60" w:line="276" w:lineRule="auto"/>
              <w:ind w:left="714" w:hanging="357"/>
              <w:rPr>
                <w:rFonts w:asciiTheme="minorHAnsi" w:hAnsiTheme="minorHAnsi"/>
                <w:sz w:val="20"/>
              </w:rPr>
            </w:pPr>
            <w:r w:rsidRPr="00424CDF">
              <w:rPr>
                <w:rFonts w:asciiTheme="minorHAnsi" w:hAnsiTheme="minorHAnsi"/>
                <w:sz w:val="20"/>
              </w:rPr>
              <w:t>Strategia Zintegrowanego Zarządzania Granicą Państwową RP na lata 2019-2022</w:t>
            </w:r>
          </w:p>
        </w:tc>
      </w:tr>
      <w:tr w:rsidR="00424CDF" w:rsidRPr="002144CE" w14:paraId="248D3209" w14:textId="77777777" w:rsidTr="00424CDF">
        <w:tc>
          <w:tcPr>
            <w:tcW w:w="9629" w:type="dxa"/>
            <w:shd w:val="clear" w:color="auto" w:fill="auto"/>
          </w:tcPr>
          <w:p w14:paraId="6D3375A8" w14:textId="77777777" w:rsidR="00424CDF" w:rsidRPr="00424CDF" w:rsidRDefault="00424CDF" w:rsidP="00723B3F">
            <w:pPr>
              <w:pStyle w:val="Akapitzlist"/>
              <w:numPr>
                <w:ilvl w:val="0"/>
                <w:numId w:val="60"/>
              </w:numPr>
              <w:spacing w:after="60" w:line="276" w:lineRule="auto"/>
              <w:ind w:left="714" w:hanging="357"/>
              <w:rPr>
                <w:rFonts w:asciiTheme="minorHAnsi" w:eastAsia="Times New Roman" w:hAnsiTheme="minorHAnsi" w:cs="Calibri"/>
                <w:sz w:val="20"/>
              </w:rPr>
            </w:pPr>
            <w:r w:rsidRPr="00424CDF">
              <w:rPr>
                <w:rFonts w:asciiTheme="minorHAnsi" w:eastAsia="Times New Roman" w:hAnsiTheme="minorHAnsi" w:cs="Calibri"/>
                <w:bCs/>
                <w:sz w:val="20"/>
              </w:rPr>
              <w:t>Krajowy System Ratowniczy</w:t>
            </w:r>
            <w:r w:rsidRPr="00424CDF">
              <w:rPr>
                <w:rFonts w:asciiTheme="minorHAnsi" w:eastAsia="Times New Roman" w:hAnsiTheme="minorHAnsi" w:cs="Calibri"/>
                <w:sz w:val="20"/>
              </w:rPr>
              <w:t xml:space="preserve"> </w:t>
            </w:r>
          </w:p>
        </w:tc>
      </w:tr>
      <w:tr w:rsidR="00424CDF" w:rsidRPr="002144CE" w14:paraId="0FEC9AF4" w14:textId="77777777" w:rsidTr="00424CDF">
        <w:tc>
          <w:tcPr>
            <w:tcW w:w="9629" w:type="dxa"/>
            <w:shd w:val="clear" w:color="auto" w:fill="auto"/>
          </w:tcPr>
          <w:p w14:paraId="57C53B77" w14:textId="77777777" w:rsidR="00424CDF" w:rsidRPr="00424CDF" w:rsidRDefault="00424CDF" w:rsidP="00723B3F">
            <w:pPr>
              <w:pStyle w:val="Akapitzlist"/>
              <w:numPr>
                <w:ilvl w:val="0"/>
                <w:numId w:val="60"/>
              </w:numPr>
              <w:spacing w:after="60" w:line="276" w:lineRule="auto"/>
              <w:ind w:left="714" w:hanging="357"/>
              <w:rPr>
                <w:rFonts w:asciiTheme="minorHAnsi" w:eastAsia="Times New Roman" w:hAnsiTheme="minorHAnsi" w:cs="Calibri"/>
                <w:sz w:val="20"/>
              </w:rPr>
            </w:pPr>
            <w:r w:rsidRPr="00424CDF">
              <w:rPr>
                <w:rFonts w:asciiTheme="minorHAnsi" w:eastAsia="Times New Roman" w:hAnsiTheme="minorHAnsi" w:cs="Calibri"/>
                <w:bCs/>
                <w:sz w:val="20"/>
              </w:rPr>
              <w:t>Program modernizacji Policji, Straży Granicznej, Państwowej Straży Pożarnej i Służby Ochrony Państwa w latach 2017-2020</w:t>
            </w:r>
          </w:p>
        </w:tc>
      </w:tr>
      <w:tr w:rsidR="00424CDF" w:rsidRPr="002144CE" w14:paraId="79205EEF" w14:textId="77777777" w:rsidTr="00424CDF">
        <w:tc>
          <w:tcPr>
            <w:tcW w:w="9629" w:type="dxa"/>
            <w:shd w:val="clear" w:color="auto" w:fill="auto"/>
          </w:tcPr>
          <w:p w14:paraId="0301421C" w14:textId="77777777" w:rsidR="00424CDF" w:rsidRPr="00424CDF" w:rsidRDefault="00424CDF" w:rsidP="00723B3F">
            <w:pPr>
              <w:pStyle w:val="Akapitzlist"/>
              <w:numPr>
                <w:ilvl w:val="0"/>
                <w:numId w:val="60"/>
              </w:numPr>
              <w:spacing w:after="60" w:line="276" w:lineRule="auto"/>
              <w:ind w:left="714" w:hanging="357"/>
              <w:rPr>
                <w:rFonts w:asciiTheme="minorHAnsi" w:eastAsia="Times New Roman" w:hAnsiTheme="minorHAnsi" w:cs="Calibri"/>
                <w:bCs/>
                <w:sz w:val="20"/>
              </w:rPr>
            </w:pPr>
            <w:r w:rsidRPr="00424CDF">
              <w:rPr>
                <w:rFonts w:asciiTheme="minorHAnsi" w:eastAsia="Times New Roman" w:hAnsiTheme="minorHAnsi" w:cs="Calibri"/>
                <w:bCs/>
                <w:sz w:val="20"/>
              </w:rPr>
              <w:t>Dostosowanie struktur organizacyjnych Policji do zmieniających się wyzwań w zakresie bezpieczeństwa i porządku publicznego</w:t>
            </w:r>
          </w:p>
        </w:tc>
      </w:tr>
      <w:tr w:rsidR="00424CDF" w:rsidRPr="002144CE" w14:paraId="6DFAC41C" w14:textId="77777777" w:rsidTr="00424CDF">
        <w:tc>
          <w:tcPr>
            <w:tcW w:w="9629" w:type="dxa"/>
            <w:shd w:val="clear" w:color="auto" w:fill="auto"/>
          </w:tcPr>
          <w:p w14:paraId="69E6F1A1" w14:textId="77777777" w:rsidR="00424CDF" w:rsidRPr="00424CDF" w:rsidRDefault="00424CDF" w:rsidP="00723B3F">
            <w:pPr>
              <w:pStyle w:val="Akapitzlist"/>
              <w:numPr>
                <w:ilvl w:val="0"/>
                <w:numId w:val="60"/>
              </w:numPr>
              <w:spacing w:after="60"/>
              <w:ind w:left="714" w:hanging="357"/>
              <w:rPr>
                <w:rFonts w:asciiTheme="minorHAnsi" w:eastAsia="Times New Roman" w:hAnsiTheme="minorHAnsi" w:cs="Calibri"/>
                <w:bCs/>
                <w:sz w:val="20"/>
              </w:rPr>
            </w:pPr>
            <w:r w:rsidRPr="00424CDF">
              <w:rPr>
                <w:rFonts w:asciiTheme="minorHAnsi" w:hAnsiTheme="minorHAnsi"/>
                <w:bCs/>
                <w:sz w:val="20"/>
              </w:rPr>
              <w:t>Modernizacja uczelni Służby Więziennej – Wyższej Szkoły Kryminologii i Penitencjarystyki w Warszawie</w:t>
            </w:r>
          </w:p>
        </w:tc>
      </w:tr>
      <w:tr w:rsidR="00424CDF" w:rsidRPr="002144CE" w14:paraId="2F90799B" w14:textId="77777777" w:rsidTr="00424CDF">
        <w:tc>
          <w:tcPr>
            <w:tcW w:w="9629" w:type="dxa"/>
          </w:tcPr>
          <w:p w14:paraId="48426207" w14:textId="77777777" w:rsidR="00424CDF" w:rsidRPr="00424CDF" w:rsidRDefault="00424CDF" w:rsidP="00723B3F">
            <w:pPr>
              <w:pStyle w:val="Akapitzlist"/>
              <w:numPr>
                <w:ilvl w:val="0"/>
                <w:numId w:val="60"/>
              </w:numPr>
              <w:spacing w:after="60" w:line="276" w:lineRule="auto"/>
              <w:ind w:left="714" w:hanging="357"/>
              <w:rPr>
                <w:rFonts w:asciiTheme="minorHAnsi" w:eastAsia="Times New Roman" w:hAnsiTheme="minorHAnsi" w:cs="Calibri"/>
                <w:bCs/>
                <w:sz w:val="20"/>
              </w:rPr>
            </w:pPr>
            <w:r w:rsidRPr="00424CDF">
              <w:rPr>
                <w:rFonts w:asciiTheme="minorHAnsi" w:eastAsia="Times New Roman" w:hAnsiTheme="minorHAnsi" w:cs="Calibri"/>
                <w:bCs/>
                <w:sz w:val="20"/>
              </w:rPr>
              <w:t xml:space="preserve">Rozwój Systemu Dozoru Elektronicznego (SDE3) </w:t>
            </w:r>
          </w:p>
        </w:tc>
      </w:tr>
      <w:tr w:rsidR="00424CDF" w:rsidRPr="002144CE" w14:paraId="430FC192" w14:textId="77777777" w:rsidTr="00424CDF">
        <w:tc>
          <w:tcPr>
            <w:tcW w:w="9629" w:type="dxa"/>
          </w:tcPr>
          <w:p w14:paraId="549607DF" w14:textId="77777777" w:rsidR="00424CDF" w:rsidRPr="00424CDF" w:rsidRDefault="00424CDF" w:rsidP="00723B3F">
            <w:pPr>
              <w:pStyle w:val="Akapitzlist"/>
              <w:numPr>
                <w:ilvl w:val="0"/>
                <w:numId w:val="60"/>
              </w:numPr>
              <w:spacing w:after="60" w:line="276" w:lineRule="auto"/>
              <w:ind w:left="714" w:hanging="357"/>
              <w:rPr>
                <w:rFonts w:asciiTheme="minorHAnsi" w:eastAsia="Times New Roman" w:hAnsiTheme="minorHAnsi" w:cs="Calibri"/>
                <w:bCs/>
                <w:sz w:val="20"/>
              </w:rPr>
            </w:pPr>
            <w:r w:rsidRPr="00424CDF">
              <w:rPr>
                <w:rFonts w:asciiTheme="minorHAnsi" w:eastAsia="Times New Roman" w:hAnsiTheme="minorHAnsi" w:cs="Calibri"/>
                <w:bCs/>
                <w:sz w:val="20"/>
              </w:rPr>
              <w:t>Budowa nowoczesnych jednostek penitencjarnych oraz rozbudowa istniejących poprzez tworzenie nowoczesnych pawilonów mieszkalnych i hal produkcyjnych</w:t>
            </w:r>
          </w:p>
        </w:tc>
      </w:tr>
    </w:tbl>
    <w:p w14:paraId="4E81C5E5" w14:textId="77777777" w:rsidR="002144CE" w:rsidRPr="002144CE" w:rsidRDefault="002144CE" w:rsidP="002144CE"/>
    <w:p w14:paraId="6391C372" w14:textId="77777777" w:rsidR="002144CE" w:rsidRDefault="002144CE" w:rsidP="001F2CA5">
      <w:pPr>
        <w:spacing w:after="0"/>
        <w:rPr>
          <w:b/>
          <w:i/>
          <w:color w:val="2F5496" w:themeColor="accent5" w:themeShade="BF"/>
        </w:rPr>
      </w:pPr>
    </w:p>
    <w:p w14:paraId="20A170A8" w14:textId="77777777" w:rsidR="00613BC1" w:rsidRDefault="00613BC1">
      <w:pPr>
        <w:rPr>
          <w:b/>
          <w:i/>
          <w:color w:val="2F5496" w:themeColor="accent5" w:themeShade="BF"/>
        </w:rPr>
      </w:pPr>
      <w:r>
        <w:rPr>
          <w:b/>
          <w:i/>
          <w:color w:val="2F5496" w:themeColor="accent5" w:themeShade="BF"/>
        </w:rPr>
        <w:br w:type="page"/>
      </w:r>
    </w:p>
    <w:p w14:paraId="6A03E3C6" w14:textId="0D76C648" w:rsidR="001F2CA5" w:rsidRPr="00F21196" w:rsidRDefault="002144CE" w:rsidP="001F2CA5">
      <w:pPr>
        <w:spacing w:after="0"/>
        <w:rPr>
          <w:b/>
          <w:i/>
          <w:color w:val="2F5496" w:themeColor="accent5" w:themeShade="BF"/>
        </w:rPr>
      </w:pPr>
      <w:r>
        <w:rPr>
          <w:b/>
          <w:i/>
          <w:color w:val="2F5496" w:themeColor="accent5" w:themeShade="BF"/>
        </w:rPr>
        <w:t xml:space="preserve">3. </w:t>
      </w:r>
      <w:r w:rsidR="001F2CA5" w:rsidRPr="00F21196">
        <w:rPr>
          <w:b/>
          <w:i/>
          <w:color w:val="2F5496" w:themeColor="accent5" w:themeShade="BF"/>
        </w:rPr>
        <w:t>Synteza raportu z konsultacji społecznych</w:t>
      </w:r>
    </w:p>
    <w:p w14:paraId="32460A55" w14:textId="77777777" w:rsidR="001F2CA5" w:rsidRPr="00F21196" w:rsidRDefault="001F2CA5" w:rsidP="001F2CA5">
      <w:pPr>
        <w:spacing w:after="0"/>
        <w:ind w:left="993"/>
        <w:rPr>
          <w:i/>
          <w:color w:val="000000" w:themeColor="text1"/>
        </w:rPr>
      </w:pPr>
      <w:r w:rsidRPr="00F21196">
        <w:rPr>
          <w:i/>
          <w:color w:val="000000" w:themeColor="text1"/>
        </w:rPr>
        <w:t>do opracowania po przeprowadzeniu konsultacji społecznych</w:t>
      </w:r>
    </w:p>
    <w:p w14:paraId="44072BD5" w14:textId="77777777" w:rsidR="001F2CA5" w:rsidRPr="00F21196" w:rsidRDefault="001F2CA5" w:rsidP="001F2CA5">
      <w:pPr>
        <w:spacing w:after="0"/>
        <w:rPr>
          <w:b/>
          <w:i/>
          <w:color w:val="2F5496" w:themeColor="accent5" w:themeShade="BF"/>
        </w:rPr>
      </w:pPr>
    </w:p>
    <w:p w14:paraId="622952C2" w14:textId="77777777" w:rsidR="000D31A6" w:rsidRPr="00F21196" w:rsidRDefault="000D31A6" w:rsidP="001F2CA5">
      <w:pPr>
        <w:spacing w:after="0"/>
        <w:rPr>
          <w:b/>
          <w:i/>
          <w:color w:val="2F5496" w:themeColor="accent5" w:themeShade="BF"/>
        </w:rPr>
      </w:pPr>
    </w:p>
    <w:p w14:paraId="6658C826" w14:textId="77777777" w:rsidR="000D31A6" w:rsidRPr="00F21196" w:rsidRDefault="000D31A6" w:rsidP="001F2CA5">
      <w:pPr>
        <w:spacing w:after="0"/>
        <w:rPr>
          <w:b/>
          <w:i/>
          <w:color w:val="2F5496" w:themeColor="accent5" w:themeShade="BF"/>
        </w:rPr>
      </w:pPr>
    </w:p>
    <w:p w14:paraId="77033451" w14:textId="77777777" w:rsidR="001F2CA5" w:rsidRPr="00F21196" w:rsidRDefault="002144CE" w:rsidP="001F2CA5">
      <w:pPr>
        <w:spacing w:after="0"/>
        <w:rPr>
          <w:b/>
          <w:i/>
          <w:color w:val="2F5496" w:themeColor="accent5" w:themeShade="BF"/>
        </w:rPr>
      </w:pPr>
      <w:r>
        <w:rPr>
          <w:b/>
          <w:i/>
          <w:color w:val="2F5496" w:themeColor="accent5" w:themeShade="BF"/>
        </w:rPr>
        <w:t>4</w:t>
      </w:r>
      <w:r w:rsidR="001F2CA5" w:rsidRPr="00F21196">
        <w:rPr>
          <w:b/>
          <w:i/>
          <w:color w:val="2F5496" w:themeColor="accent5" w:themeShade="BF"/>
        </w:rPr>
        <w:t xml:space="preserve">. Podsumowanie strategicznej oceny oddziaływania na środowisko </w:t>
      </w:r>
    </w:p>
    <w:p w14:paraId="50FAF173" w14:textId="77777777" w:rsidR="00765897" w:rsidRDefault="00765897" w:rsidP="00765897">
      <w:pPr>
        <w:pStyle w:val="Tekstpodstawowy"/>
        <w:spacing w:line="276" w:lineRule="auto"/>
        <w:jc w:val="both"/>
        <w:rPr>
          <w:rFonts w:cs="Arial"/>
          <w:color w:val="000000"/>
        </w:rPr>
      </w:pPr>
    </w:p>
    <w:p w14:paraId="460DA384" w14:textId="77777777" w:rsidR="00765897" w:rsidRDefault="00765897" w:rsidP="00765897">
      <w:pPr>
        <w:pStyle w:val="Tekstpodstawowy"/>
        <w:spacing w:line="276" w:lineRule="auto"/>
        <w:jc w:val="both"/>
        <w:rPr>
          <w:rFonts w:cs="Arial"/>
        </w:rPr>
      </w:pPr>
      <w:r w:rsidRPr="00B4266F">
        <w:rPr>
          <w:rFonts w:cs="Arial"/>
          <w:color w:val="000000"/>
        </w:rPr>
        <w:t>W trakcie prac nad przygotowaniem SNP rozważano zasadność przeprowadzenia strategicznej oceny oddziaływania na środowisko</w:t>
      </w:r>
      <w:r>
        <w:rPr>
          <w:rFonts w:cs="Arial"/>
          <w:color w:val="000000"/>
        </w:rPr>
        <w:t>, z</w:t>
      </w:r>
      <w:r w:rsidRPr="00B4266F">
        <w:rPr>
          <w:rFonts w:cs="Arial"/>
        </w:rPr>
        <w:t xml:space="preserve">godnie z przepisami ustawy z dnia 3 października 2008 r. </w:t>
      </w:r>
      <w:r>
        <w:rPr>
          <w:rFonts w:cs="Arial"/>
        </w:rPr>
        <w:br/>
      </w:r>
      <w:r w:rsidRPr="00B4266F">
        <w:rPr>
          <w:rFonts w:cs="Arial"/>
          <w:i/>
        </w:rPr>
        <w:t>o udostępnianiu informacji o środowisku i jego ochronie, udziale społeczeństwa w ochronie środowiska oraz ocenach oddziaływania na środowisko</w:t>
      </w:r>
      <w:r w:rsidRPr="00B4266F">
        <w:rPr>
          <w:rStyle w:val="Odwoanieprzypisudolnego"/>
          <w:rFonts w:eastAsia="MS Mincho" w:cs="Arial"/>
          <w:i/>
        </w:rPr>
        <w:footnoteReference w:id="137"/>
      </w:r>
      <w:r w:rsidRPr="00B4266F">
        <w:rPr>
          <w:rFonts w:cs="Arial"/>
        </w:rPr>
        <w:t xml:space="preserve">. Wystąpiono do Generalnego Dyrektora Ochrony Środowiska oraz Głównego Inspektora Sanitarnego, a także do Urzędów Morskich w Szczecinie, Słupsku i Gdyni z prośbą </w:t>
      </w:r>
      <w:r w:rsidR="004B4F17">
        <w:rPr>
          <w:rFonts w:cs="Arial"/>
        </w:rPr>
        <w:br/>
      </w:r>
      <w:r w:rsidRPr="00B4266F">
        <w:rPr>
          <w:rFonts w:cs="Arial"/>
        </w:rPr>
        <w:t>o wydanie opinii dotyczącej potrzeby opracowania strategicznej oceny oddziaływania na środowisko</w:t>
      </w:r>
      <w:r>
        <w:rPr>
          <w:rFonts w:cs="Arial"/>
        </w:rPr>
        <w:t>.</w:t>
      </w:r>
    </w:p>
    <w:p w14:paraId="1446D785" w14:textId="77777777" w:rsidR="00765897" w:rsidRPr="00B4266F" w:rsidRDefault="00765897" w:rsidP="00765897">
      <w:pPr>
        <w:pStyle w:val="Tekstpodstawowy"/>
        <w:spacing w:line="276" w:lineRule="auto"/>
        <w:jc w:val="both"/>
        <w:rPr>
          <w:rFonts w:cs="Arial"/>
        </w:rPr>
      </w:pPr>
      <w:r>
        <w:rPr>
          <w:rFonts w:cs="Arial"/>
          <w:color w:val="000000"/>
        </w:rPr>
        <w:t>Otrzymane o</w:t>
      </w:r>
      <w:r w:rsidRPr="00B4266F">
        <w:rPr>
          <w:rFonts w:cs="Arial"/>
          <w:color w:val="000000"/>
        </w:rPr>
        <w:t>pini</w:t>
      </w:r>
      <w:r>
        <w:rPr>
          <w:rFonts w:cs="Arial"/>
          <w:color w:val="000000"/>
        </w:rPr>
        <w:t>e</w:t>
      </w:r>
      <w:r w:rsidRPr="00B4266F">
        <w:rPr>
          <w:rFonts w:cs="Arial"/>
          <w:color w:val="000000"/>
        </w:rPr>
        <w:t xml:space="preserve"> w przedmiotowej sprawie </w:t>
      </w:r>
      <w:r>
        <w:rPr>
          <w:rFonts w:cs="Arial"/>
          <w:color w:val="000000"/>
        </w:rPr>
        <w:t>wskazały</w:t>
      </w:r>
      <w:r w:rsidRPr="00B4266F">
        <w:rPr>
          <w:rFonts w:cs="Arial"/>
          <w:color w:val="000000"/>
        </w:rPr>
        <w:t>, iż</w:t>
      </w:r>
      <w:r w:rsidRPr="00B4266F">
        <w:rPr>
          <w:rFonts w:cs="Arial"/>
        </w:rPr>
        <w:t xml:space="preserve"> projekt dokumentu strategicznego </w:t>
      </w:r>
      <w:r w:rsidR="00D42B97">
        <w:rPr>
          <w:rFonts w:cs="Arial"/>
        </w:rPr>
        <w:t xml:space="preserve">w przedłożonej wersji wg stanu na luty 2019 r. </w:t>
      </w:r>
      <w:r w:rsidRPr="00B4266F">
        <w:rPr>
          <w:rFonts w:cs="Arial"/>
        </w:rPr>
        <w:t xml:space="preserve">nie spełnia kryteriów kwalifikujących do przeprowadzenia strategicznej oceny oddziaływania na środowisko, gdyż realizacja postanowień projektu strategii nie obejmuje działań </w:t>
      </w:r>
      <w:r w:rsidR="004B4F17">
        <w:rPr>
          <w:rFonts w:cs="Arial"/>
        </w:rPr>
        <w:br/>
      </w:r>
      <w:r w:rsidRPr="00B4266F">
        <w:rPr>
          <w:rFonts w:cs="Arial"/>
        </w:rPr>
        <w:t>o charakterze przedsięwzięć mogących znacząco oddziaływać na środowisko</w:t>
      </w:r>
      <w:r w:rsidRPr="00B4266F">
        <w:rPr>
          <w:rStyle w:val="Odwoanieprzypisudolnego"/>
          <w:rFonts w:cs="Arial"/>
        </w:rPr>
        <w:footnoteReference w:id="138"/>
      </w:r>
      <w:r w:rsidRPr="00B4266F">
        <w:rPr>
          <w:rFonts w:cs="Arial"/>
        </w:rPr>
        <w:t xml:space="preserve"> i nie spowoduje znaczącego oddziaływania na środowisko, w tym na obszary Natura 2000. </w:t>
      </w:r>
    </w:p>
    <w:p w14:paraId="7CC6D79D" w14:textId="77777777" w:rsidR="00765897" w:rsidRPr="00B4266F" w:rsidRDefault="00765897" w:rsidP="00765897">
      <w:pPr>
        <w:pStyle w:val="Tekstpodstawowy"/>
        <w:spacing w:line="276" w:lineRule="auto"/>
        <w:jc w:val="both"/>
        <w:rPr>
          <w:rFonts w:cs="Arial"/>
        </w:rPr>
      </w:pPr>
      <w:r w:rsidRPr="00B4266F">
        <w:rPr>
          <w:rFonts w:cs="Arial"/>
        </w:rPr>
        <w:t xml:space="preserve">Nie zaistniały zatem przesłanki przemawiające za przeprowadzeniem strategicznej oceny oddziaływania </w:t>
      </w:r>
      <w:r w:rsidR="004B4F17">
        <w:rPr>
          <w:rFonts w:cs="Arial"/>
        </w:rPr>
        <w:br/>
      </w:r>
      <w:r w:rsidRPr="00B4266F">
        <w:rPr>
          <w:rFonts w:cs="Arial"/>
        </w:rPr>
        <w:t xml:space="preserve">na środowisko dla projektu </w:t>
      </w:r>
      <w:r>
        <w:rPr>
          <w:rFonts w:cs="Arial"/>
        </w:rPr>
        <w:t>SNP</w:t>
      </w:r>
      <w:r w:rsidRPr="00B4266F">
        <w:rPr>
          <w:rFonts w:cs="Arial"/>
        </w:rPr>
        <w:t xml:space="preserve">. </w:t>
      </w:r>
    </w:p>
    <w:p w14:paraId="734A9B1E" w14:textId="77777777" w:rsidR="00353958" w:rsidRPr="00F21196" w:rsidRDefault="00353958" w:rsidP="00446F89">
      <w:pPr>
        <w:spacing w:after="0"/>
        <w:ind w:left="851"/>
        <w:rPr>
          <w:i/>
          <w:color w:val="000000" w:themeColor="text1"/>
        </w:rPr>
      </w:pPr>
    </w:p>
    <w:p w14:paraId="102DBC1F" w14:textId="77777777" w:rsidR="00353958" w:rsidRPr="00F21196" w:rsidRDefault="00353958" w:rsidP="00446F89">
      <w:pPr>
        <w:spacing w:after="0"/>
        <w:ind w:left="851"/>
        <w:rPr>
          <w:i/>
          <w:color w:val="000000" w:themeColor="text1"/>
        </w:rPr>
      </w:pPr>
    </w:p>
    <w:p w14:paraId="4596AC3B" w14:textId="77777777" w:rsidR="00353958" w:rsidRPr="00F21196" w:rsidRDefault="002144CE" w:rsidP="00353958">
      <w:pPr>
        <w:spacing w:after="0"/>
        <w:rPr>
          <w:b/>
          <w:i/>
          <w:color w:val="2F5496" w:themeColor="accent5" w:themeShade="BF"/>
        </w:rPr>
      </w:pPr>
      <w:r>
        <w:rPr>
          <w:b/>
          <w:i/>
          <w:color w:val="2F5496" w:themeColor="accent5" w:themeShade="BF"/>
        </w:rPr>
        <w:t>5</w:t>
      </w:r>
      <w:r w:rsidR="00353958" w:rsidRPr="00F21196">
        <w:rPr>
          <w:b/>
          <w:i/>
          <w:color w:val="2F5496" w:themeColor="accent5" w:themeShade="BF"/>
        </w:rPr>
        <w:t>. Wykaz skrótów</w:t>
      </w:r>
    </w:p>
    <w:p w14:paraId="405A2B66" w14:textId="77777777" w:rsidR="00F83E28" w:rsidRPr="00F21196" w:rsidRDefault="00F83E28" w:rsidP="000D49C1">
      <w:pPr>
        <w:spacing w:after="0" w:line="276" w:lineRule="auto"/>
        <w:rPr>
          <w:rFonts w:cs="Arial"/>
        </w:rPr>
      </w:pPr>
    </w:p>
    <w:tbl>
      <w:tblPr>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268"/>
        <w:gridCol w:w="7650"/>
      </w:tblGrid>
      <w:tr w:rsidR="00F83E28" w:rsidRPr="00F21196" w14:paraId="518CF8E6" w14:textId="77777777" w:rsidTr="00705623">
        <w:trPr>
          <w:trHeight w:val="340"/>
        </w:trPr>
        <w:tc>
          <w:tcPr>
            <w:tcW w:w="2268" w:type="dxa"/>
          </w:tcPr>
          <w:p w14:paraId="5E3FCB55" w14:textId="77777777" w:rsidR="00F83E28" w:rsidRPr="00F21196" w:rsidRDefault="00F83E28" w:rsidP="00F83E28">
            <w:pPr>
              <w:spacing w:after="0" w:line="240" w:lineRule="auto"/>
              <w:rPr>
                <w:rFonts w:eastAsia="Times New Roman" w:cs="Calibri"/>
                <w:b/>
              </w:rPr>
            </w:pPr>
            <w:r w:rsidRPr="00F21196">
              <w:rPr>
                <w:b/>
              </w:rPr>
              <w:t xml:space="preserve">EFSI </w:t>
            </w:r>
          </w:p>
        </w:tc>
        <w:tc>
          <w:tcPr>
            <w:tcW w:w="7650" w:type="dxa"/>
          </w:tcPr>
          <w:p w14:paraId="50686F91" w14:textId="77777777" w:rsidR="00F83E28" w:rsidRPr="00E73A51" w:rsidRDefault="00711409" w:rsidP="00F83E28">
            <w:pPr>
              <w:spacing w:after="0" w:line="240" w:lineRule="auto"/>
              <w:rPr>
                <w:rFonts w:eastAsia="Times New Roman" w:cs="Calibri"/>
                <w:sz w:val="20"/>
                <w:szCs w:val="20"/>
              </w:rPr>
            </w:pPr>
            <w:r w:rsidRPr="00E73A51">
              <w:rPr>
                <w:rFonts w:cs="Arial"/>
                <w:bCs/>
                <w:kern w:val="36"/>
                <w:sz w:val="20"/>
                <w:szCs w:val="20"/>
              </w:rPr>
              <w:t>Europejskie fundusze strukturalne i inwestycyjne</w:t>
            </w:r>
          </w:p>
        </w:tc>
      </w:tr>
      <w:tr w:rsidR="00951F7D" w:rsidRPr="00F21196" w14:paraId="01C19039" w14:textId="77777777" w:rsidTr="00705623">
        <w:trPr>
          <w:trHeight w:val="340"/>
        </w:trPr>
        <w:tc>
          <w:tcPr>
            <w:tcW w:w="2268" w:type="dxa"/>
          </w:tcPr>
          <w:p w14:paraId="283566A0" w14:textId="77777777" w:rsidR="00951F7D" w:rsidRPr="00F21196" w:rsidRDefault="00951F7D" w:rsidP="00F83E28">
            <w:pPr>
              <w:spacing w:after="0" w:line="240" w:lineRule="auto"/>
              <w:rPr>
                <w:b/>
              </w:rPr>
            </w:pPr>
            <w:r w:rsidRPr="00F21196">
              <w:rPr>
                <w:b/>
              </w:rPr>
              <w:t>GUGiK</w:t>
            </w:r>
          </w:p>
        </w:tc>
        <w:tc>
          <w:tcPr>
            <w:tcW w:w="7650" w:type="dxa"/>
          </w:tcPr>
          <w:p w14:paraId="23AEBE26" w14:textId="77777777" w:rsidR="00951F7D" w:rsidRPr="00E73A51" w:rsidRDefault="00951F7D" w:rsidP="00F83E28">
            <w:pPr>
              <w:spacing w:after="0" w:line="240" w:lineRule="auto"/>
              <w:rPr>
                <w:sz w:val="20"/>
                <w:szCs w:val="20"/>
              </w:rPr>
            </w:pPr>
            <w:r w:rsidRPr="00E73A51">
              <w:rPr>
                <w:sz w:val="20"/>
                <w:szCs w:val="20"/>
              </w:rPr>
              <w:t>Główny Urząd Geodezji i Kartografii</w:t>
            </w:r>
          </w:p>
        </w:tc>
      </w:tr>
      <w:tr w:rsidR="00F83E28" w:rsidRPr="00F21196" w14:paraId="21131F0D" w14:textId="77777777" w:rsidTr="00705623">
        <w:trPr>
          <w:trHeight w:val="340"/>
        </w:trPr>
        <w:tc>
          <w:tcPr>
            <w:tcW w:w="2268" w:type="dxa"/>
            <w:vAlign w:val="center"/>
          </w:tcPr>
          <w:p w14:paraId="79C69B11" w14:textId="77777777" w:rsidR="00F83E28" w:rsidRPr="00F21196" w:rsidRDefault="00F83E28" w:rsidP="00DC00B9">
            <w:pPr>
              <w:spacing w:after="0" w:line="240" w:lineRule="auto"/>
              <w:rPr>
                <w:rFonts w:eastAsia="Times New Roman" w:cs="Calibri"/>
                <w:b/>
              </w:rPr>
            </w:pPr>
            <w:r w:rsidRPr="00F21196">
              <w:rPr>
                <w:rFonts w:eastAsia="Times New Roman" w:cs="Calibri"/>
                <w:b/>
              </w:rPr>
              <w:t>GUS</w:t>
            </w:r>
          </w:p>
        </w:tc>
        <w:tc>
          <w:tcPr>
            <w:tcW w:w="7650" w:type="dxa"/>
            <w:vAlign w:val="center"/>
          </w:tcPr>
          <w:p w14:paraId="5337DC81" w14:textId="77777777" w:rsidR="00F83E28" w:rsidRPr="00E73A51" w:rsidRDefault="00F83E28" w:rsidP="00DC00B9">
            <w:pPr>
              <w:spacing w:after="0" w:line="240" w:lineRule="auto"/>
              <w:rPr>
                <w:rFonts w:eastAsia="Times New Roman" w:cs="Calibri"/>
                <w:sz w:val="20"/>
                <w:szCs w:val="20"/>
              </w:rPr>
            </w:pPr>
            <w:r w:rsidRPr="00E73A51">
              <w:rPr>
                <w:rFonts w:eastAsia="Times New Roman" w:cs="Calibri"/>
                <w:sz w:val="20"/>
                <w:szCs w:val="20"/>
              </w:rPr>
              <w:t>Główny Urząd Statystyczny</w:t>
            </w:r>
          </w:p>
        </w:tc>
      </w:tr>
      <w:tr w:rsidR="00FF4828" w:rsidRPr="00F21196" w14:paraId="1A0F8CF4" w14:textId="77777777" w:rsidTr="00705623">
        <w:trPr>
          <w:trHeight w:val="340"/>
        </w:trPr>
        <w:tc>
          <w:tcPr>
            <w:tcW w:w="2268" w:type="dxa"/>
            <w:vAlign w:val="center"/>
          </w:tcPr>
          <w:p w14:paraId="759AF58F" w14:textId="77777777" w:rsidR="00FF4828" w:rsidRPr="00F21196" w:rsidRDefault="00FF4828" w:rsidP="00DC00B9">
            <w:pPr>
              <w:spacing w:after="0" w:line="240" w:lineRule="auto"/>
              <w:rPr>
                <w:rFonts w:eastAsia="Times New Roman" w:cs="Calibri"/>
                <w:b/>
              </w:rPr>
            </w:pPr>
            <w:r w:rsidRPr="00F21196">
              <w:rPr>
                <w:rFonts w:eastAsia="Times New Roman" w:cs="Calibri"/>
                <w:b/>
              </w:rPr>
              <w:t>IMF</w:t>
            </w:r>
          </w:p>
        </w:tc>
        <w:tc>
          <w:tcPr>
            <w:tcW w:w="7650" w:type="dxa"/>
            <w:vAlign w:val="center"/>
          </w:tcPr>
          <w:p w14:paraId="54CB65DC" w14:textId="77777777" w:rsidR="00FF4828" w:rsidRPr="00E73A51" w:rsidRDefault="00FF4828" w:rsidP="00DC00B9">
            <w:pPr>
              <w:spacing w:after="0" w:line="240" w:lineRule="auto"/>
              <w:rPr>
                <w:rFonts w:eastAsia="Times New Roman" w:cs="Calibri"/>
                <w:sz w:val="20"/>
                <w:szCs w:val="20"/>
              </w:rPr>
            </w:pPr>
            <w:r w:rsidRPr="00E73A51">
              <w:rPr>
                <w:rFonts w:eastAsia="Times New Roman" w:cs="Calibri"/>
                <w:sz w:val="20"/>
                <w:szCs w:val="20"/>
              </w:rPr>
              <w:t>Międzynarodowy Fundusz Walutowy</w:t>
            </w:r>
          </w:p>
        </w:tc>
      </w:tr>
      <w:tr w:rsidR="00B17D93" w:rsidRPr="00F21196" w14:paraId="21E6BCFD" w14:textId="77777777" w:rsidTr="00705623">
        <w:trPr>
          <w:trHeight w:val="340"/>
        </w:trPr>
        <w:tc>
          <w:tcPr>
            <w:tcW w:w="2268" w:type="dxa"/>
            <w:vAlign w:val="center"/>
          </w:tcPr>
          <w:p w14:paraId="619F32EC" w14:textId="77777777" w:rsidR="00B17D93" w:rsidRPr="00F21196" w:rsidRDefault="00B17D93" w:rsidP="00DC00B9">
            <w:pPr>
              <w:spacing w:after="0" w:line="240" w:lineRule="auto"/>
              <w:rPr>
                <w:rFonts w:eastAsia="Times New Roman" w:cs="Calibri"/>
                <w:b/>
              </w:rPr>
            </w:pPr>
            <w:r w:rsidRPr="00F21196">
              <w:rPr>
                <w:rFonts w:eastAsia="Times New Roman" w:cs="Calibri"/>
                <w:b/>
              </w:rPr>
              <w:t>JST</w:t>
            </w:r>
          </w:p>
        </w:tc>
        <w:tc>
          <w:tcPr>
            <w:tcW w:w="7650" w:type="dxa"/>
            <w:vAlign w:val="center"/>
          </w:tcPr>
          <w:p w14:paraId="3371701C" w14:textId="77777777" w:rsidR="00B17D93" w:rsidRPr="00E73A51" w:rsidRDefault="00B17D93" w:rsidP="00DC00B9">
            <w:pPr>
              <w:spacing w:after="0" w:line="240" w:lineRule="auto"/>
              <w:rPr>
                <w:rFonts w:eastAsia="Times New Roman" w:cs="Calibri"/>
                <w:sz w:val="20"/>
                <w:szCs w:val="20"/>
              </w:rPr>
            </w:pPr>
            <w:r w:rsidRPr="00E73A51">
              <w:rPr>
                <w:rFonts w:eastAsia="Times New Roman" w:cs="Calibri"/>
                <w:sz w:val="20"/>
                <w:szCs w:val="20"/>
              </w:rPr>
              <w:t>Jednostka/ki samorządu terytorialnego</w:t>
            </w:r>
          </w:p>
        </w:tc>
      </w:tr>
      <w:tr w:rsidR="00613BC1" w:rsidRPr="00F21196" w14:paraId="102A9C13" w14:textId="77777777" w:rsidTr="00705623">
        <w:trPr>
          <w:trHeight w:val="340"/>
        </w:trPr>
        <w:tc>
          <w:tcPr>
            <w:tcW w:w="2268" w:type="dxa"/>
            <w:vAlign w:val="center"/>
          </w:tcPr>
          <w:p w14:paraId="21FBCBE8" w14:textId="4DB2360E" w:rsidR="00613BC1" w:rsidRPr="00F21196" w:rsidRDefault="00613BC1" w:rsidP="00DC00B9">
            <w:pPr>
              <w:spacing w:after="0" w:line="240" w:lineRule="auto"/>
              <w:rPr>
                <w:rFonts w:eastAsia="Times New Roman" w:cs="Calibri"/>
                <w:b/>
              </w:rPr>
            </w:pPr>
            <w:r>
              <w:rPr>
                <w:rFonts w:eastAsia="Times New Roman" w:cs="Calibri"/>
                <w:b/>
              </w:rPr>
              <w:t>KAS</w:t>
            </w:r>
          </w:p>
        </w:tc>
        <w:tc>
          <w:tcPr>
            <w:tcW w:w="7650" w:type="dxa"/>
            <w:vAlign w:val="center"/>
          </w:tcPr>
          <w:p w14:paraId="53CA3A47" w14:textId="48D096EB" w:rsidR="00613BC1" w:rsidRPr="00E73A51" w:rsidRDefault="00613BC1" w:rsidP="00DC00B9">
            <w:pPr>
              <w:spacing w:after="0" w:line="240" w:lineRule="auto"/>
              <w:rPr>
                <w:rFonts w:eastAsia="Times New Roman" w:cs="Calibri"/>
                <w:sz w:val="20"/>
                <w:szCs w:val="20"/>
              </w:rPr>
            </w:pPr>
            <w:r>
              <w:rPr>
                <w:rFonts w:eastAsia="Times New Roman" w:cs="Calibri"/>
                <w:sz w:val="20"/>
                <w:szCs w:val="20"/>
              </w:rPr>
              <w:t>Krajowa Administracja Skarbowa</w:t>
            </w:r>
          </w:p>
        </w:tc>
      </w:tr>
      <w:tr w:rsidR="00F83E28" w:rsidRPr="00F21196" w14:paraId="07EA524C" w14:textId="77777777" w:rsidTr="00705623">
        <w:trPr>
          <w:trHeight w:val="340"/>
        </w:trPr>
        <w:tc>
          <w:tcPr>
            <w:tcW w:w="2268" w:type="dxa"/>
            <w:vAlign w:val="center"/>
          </w:tcPr>
          <w:p w14:paraId="2BECEF15" w14:textId="77777777" w:rsidR="00F83E28" w:rsidRPr="00F21196" w:rsidRDefault="00F83E28" w:rsidP="00DC00B9">
            <w:pPr>
              <w:spacing w:after="0" w:line="240" w:lineRule="auto"/>
              <w:rPr>
                <w:rFonts w:eastAsia="Times New Roman" w:cs="Calibri"/>
                <w:b/>
              </w:rPr>
            </w:pPr>
            <w:r w:rsidRPr="00F21196">
              <w:rPr>
                <w:rFonts w:eastAsia="Times New Roman" w:cs="Calibri"/>
                <w:b/>
              </w:rPr>
              <w:t>KE</w:t>
            </w:r>
          </w:p>
        </w:tc>
        <w:tc>
          <w:tcPr>
            <w:tcW w:w="7650" w:type="dxa"/>
            <w:vAlign w:val="center"/>
          </w:tcPr>
          <w:p w14:paraId="3B9CC2CF" w14:textId="77777777" w:rsidR="00F83E28" w:rsidRPr="00E73A51" w:rsidRDefault="00F83E28" w:rsidP="00DC00B9">
            <w:pPr>
              <w:spacing w:after="0" w:line="240" w:lineRule="auto"/>
              <w:rPr>
                <w:rFonts w:eastAsia="Times New Roman" w:cs="Calibri"/>
                <w:sz w:val="20"/>
                <w:szCs w:val="20"/>
              </w:rPr>
            </w:pPr>
            <w:r w:rsidRPr="00E73A51">
              <w:rPr>
                <w:rFonts w:eastAsia="Times New Roman" w:cs="Calibri"/>
                <w:sz w:val="20"/>
                <w:szCs w:val="20"/>
              </w:rPr>
              <w:t>Komisja Europejska</w:t>
            </w:r>
          </w:p>
        </w:tc>
      </w:tr>
      <w:tr w:rsidR="008307CC" w:rsidRPr="00F21196" w14:paraId="45BA968C" w14:textId="77777777" w:rsidTr="00705623">
        <w:trPr>
          <w:trHeight w:val="340"/>
        </w:trPr>
        <w:tc>
          <w:tcPr>
            <w:tcW w:w="2268" w:type="dxa"/>
            <w:vAlign w:val="center"/>
          </w:tcPr>
          <w:p w14:paraId="4363F1F2" w14:textId="77777777" w:rsidR="008307CC" w:rsidRPr="00F21196" w:rsidRDefault="008307CC" w:rsidP="00DC00B9">
            <w:pPr>
              <w:spacing w:after="0" w:line="240" w:lineRule="auto"/>
              <w:rPr>
                <w:rFonts w:eastAsia="Times New Roman" w:cs="Calibri"/>
                <w:b/>
              </w:rPr>
            </w:pPr>
            <w:r>
              <w:rPr>
                <w:rFonts w:eastAsia="Times New Roman" w:cs="Calibri"/>
                <w:b/>
              </w:rPr>
              <w:t>KGSG</w:t>
            </w:r>
          </w:p>
        </w:tc>
        <w:tc>
          <w:tcPr>
            <w:tcW w:w="7650" w:type="dxa"/>
            <w:vAlign w:val="center"/>
          </w:tcPr>
          <w:p w14:paraId="6C459D90" w14:textId="77777777" w:rsidR="008307CC" w:rsidRPr="00E73A51" w:rsidRDefault="008307CC" w:rsidP="00DC00B9">
            <w:pPr>
              <w:spacing w:after="0" w:line="240" w:lineRule="auto"/>
              <w:rPr>
                <w:rFonts w:eastAsia="Times New Roman" w:cs="Calibri"/>
                <w:sz w:val="20"/>
                <w:szCs w:val="20"/>
              </w:rPr>
            </w:pPr>
            <w:r w:rsidRPr="00E73A51">
              <w:rPr>
                <w:rFonts w:eastAsia="Times New Roman" w:cs="Calibri"/>
                <w:sz w:val="20"/>
                <w:szCs w:val="20"/>
              </w:rPr>
              <w:t>Komenda Główna Straży Granicznej</w:t>
            </w:r>
          </w:p>
        </w:tc>
      </w:tr>
      <w:tr w:rsidR="00F83E28" w:rsidRPr="00F21196" w14:paraId="2B81201B" w14:textId="77777777" w:rsidTr="00705623">
        <w:trPr>
          <w:trHeight w:val="340"/>
        </w:trPr>
        <w:tc>
          <w:tcPr>
            <w:tcW w:w="2268" w:type="dxa"/>
            <w:vAlign w:val="center"/>
          </w:tcPr>
          <w:p w14:paraId="222E4ECE" w14:textId="77777777" w:rsidR="00F83E28" w:rsidRPr="00F21196" w:rsidRDefault="00F83E28" w:rsidP="00DC00B9">
            <w:pPr>
              <w:spacing w:after="0" w:line="240" w:lineRule="auto"/>
              <w:rPr>
                <w:rFonts w:eastAsia="Times New Roman" w:cs="Calibri"/>
                <w:b/>
              </w:rPr>
            </w:pPr>
            <w:r w:rsidRPr="00F21196">
              <w:rPr>
                <w:rFonts w:eastAsia="Times New Roman" w:cs="Calibri"/>
                <w:b/>
              </w:rPr>
              <w:t>KKPR</w:t>
            </w:r>
          </w:p>
        </w:tc>
        <w:tc>
          <w:tcPr>
            <w:tcW w:w="7650" w:type="dxa"/>
            <w:vAlign w:val="center"/>
          </w:tcPr>
          <w:p w14:paraId="6591F56C" w14:textId="77777777" w:rsidR="00F83E28" w:rsidRPr="00E73A51" w:rsidRDefault="00F83E28" w:rsidP="00DC00B9">
            <w:pPr>
              <w:spacing w:after="0" w:line="240" w:lineRule="auto"/>
              <w:rPr>
                <w:rFonts w:eastAsia="Times New Roman" w:cs="Calibri"/>
                <w:sz w:val="20"/>
                <w:szCs w:val="20"/>
              </w:rPr>
            </w:pPr>
            <w:r w:rsidRPr="00E73A51">
              <w:rPr>
                <w:rFonts w:eastAsia="Times New Roman" w:cs="Calibri"/>
                <w:sz w:val="20"/>
                <w:szCs w:val="20"/>
              </w:rPr>
              <w:t>Komitetu Koordynacyjnego do spraw Polityki Rozwoju</w:t>
            </w:r>
          </w:p>
        </w:tc>
      </w:tr>
      <w:tr w:rsidR="00F60E99" w:rsidRPr="00F21196" w14:paraId="7ADE6195" w14:textId="77777777" w:rsidTr="00705623">
        <w:trPr>
          <w:trHeight w:val="340"/>
        </w:trPr>
        <w:tc>
          <w:tcPr>
            <w:tcW w:w="2268" w:type="dxa"/>
            <w:vAlign w:val="center"/>
          </w:tcPr>
          <w:p w14:paraId="13B9668E" w14:textId="77777777" w:rsidR="00F60E99" w:rsidRPr="00F21196" w:rsidRDefault="00F60E99" w:rsidP="00DC00B9">
            <w:pPr>
              <w:spacing w:after="0" w:line="240" w:lineRule="auto"/>
              <w:rPr>
                <w:rFonts w:eastAsia="Times New Roman" w:cs="Calibri"/>
                <w:b/>
              </w:rPr>
            </w:pPr>
            <w:r w:rsidRPr="00F21196">
              <w:rPr>
                <w:rFonts w:eastAsia="Times New Roman" w:cs="Calibri"/>
                <w:b/>
              </w:rPr>
              <w:t>KPRM</w:t>
            </w:r>
          </w:p>
        </w:tc>
        <w:tc>
          <w:tcPr>
            <w:tcW w:w="7650" w:type="dxa"/>
            <w:vAlign w:val="center"/>
          </w:tcPr>
          <w:p w14:paraId="4AA018A5" w14:textId="77777777" w:rsidR="00F60E99" w:rsidRPr="00E73A51" w:rsidRDefault="00F60E99" w:rsidP="00DC00B9">
            <w:pPr>
              <w:spacing w:after="0" w:line="240" w:lineRule="auto"/>
              <w:rPr>
                <w:rFonts w:eastAsia="Times New Roman" w:cs="Calibri"/>
                <w:sz w:val="20"/>
                <w:szCs w:val="20"/>
              </w:rPr>
            </w:pPr>
            <w:r w:rsidRPr="00E73A51">
              <w:rPr>
                <w:rFonts w:eastAsia="Times New Roman" w:cs="Calibri"/>
                <w:sz w:val="20"/>
                <w:szCs w:val="20"/>
              </w:rPr>
              <w:t>Kancelaria Prezesa Rady Ministrów</w:t>
            </w:r>
          </w:p>
        </w:tc>
      </w:tr>
      <w:tr w:rsidR="00E94E6B" w:rsidRPr="00F21196" w14:paraId="7D530161" w14:textId="77777777" w:rsidTr="00705623">
        <w:trPr>
          <w:trHeight w:val="340"/>
        </w:trPr>
        <w:tc>
          <w:tcPr>
            <w:tcW w:w="2268" w:type="dxa"/>
            <w:vAlign w:val="center"/>
          </w:tcPr>
          <w:p w14:paraId="405283B2" w14:textId="77777777" w:rsidR="00E94E6B" w:rsidRPr="00F21196" w:rsidRDefault="00E94E6B" w:rsidP="00DC00B9">
            <w:pPr>
              <w:spacing w:after="0" w:line="240" w:lineRule="auto"/>
              <w:rPr>
                <w:rFonts w:eastAsia="Times New Roman" w:cs="Calibri"/>
                <w:b/>
              </w:rPr>
            </w:pPr>
            <w:r>
              <w:rPr>
                <w:rFonts w:eastAsia="Times New Roman" w:cs="Calibri"/>
                <w:b/>
              </w:rPr>
              <w:t>KG PSP</w:t>
            </w:r>
          </w:p>
        </w:tc>
        <w:tc>
          <w:tcPr>
            <w:tcW w:w="7650" w:type="dxa"/>
            <w:vAlign w:val="center"/>
          </w:tcPr>
          <w:p w14:paraId="3893132A" w14:textId="77777777" w:rsidR="00E94E6B" w:rsidRPr="00E73A51" w:rsidRDefault="00E94E6B" w:rsidP="00DC00B9">
            <w:pPr>
              <w:spacing w:after="0" w:line="240" w:lineRule="auto"/>
              <w:rPr>
                <w:rFonts w:eastAsia="Times New Roman" w:cs="Calibri"/>
                <w:sz w:val="20"/>
                <w:szCs w:val="20"/>
              </w:rPr>
            </w:pPr>
            <w:r w:rsidRPr="00E73A51">
              <w:rPr>
                <w:rFonts w:eastAsia="Times New Roman" w:cs="Calibri"/>
                <w:sz w:val="20"/>
                <w:szCs w:val="20"/>
              </w:rPr>
              <w:t>Komenda Główna Państwowej Straży Pożarnej</w:t>
            </w:r>
          </w:p>
        </w:tc>
      </w:tr>
      <w:tr w:rsidR="00B60E2E" w:rsidRPr="00F21196" w14:paraId="773D1309" w14:textId="77777777" w:rsidTr="00705623">
        <w:trPr>
          <w:trHeight w:val="340"/>
        </w:trPr>
        <w:tc>
          <w:tcPr>
            <w:tcW w:w="2268" w:type="dxa"/>
          </w:tcPr>
          <w:p w14:paraId="7468DF3F" w14:textId="77777777" w:rsidR="00B60E2E" w:rsidRPr="00F21196" w:rsidRDefault="00B60E2E" w:rsidP="00B60E2E">
            <w:pPr>
              <w:spacing w:after="0" w:line="240" w:lineRule="auto"/>
              <w:rPr>
                <w:rFonts w:eastAsia="Times New Roman" w:cs="Calibri"/>
                <w:b/>
              </w:rPr>
            </w:pPr>
            <w:r w:rsidRPr="00F21196">
              <w:rPr>
                <w:rFonts w:eastAsia="Calibri"/>
                <w:b/>
                <w:szCs w:val="18"/>
              </w:rPr>
              <w:t>KPRES</w:t>
            </w:r>
          </w:p>
        </w:tc>
        <w:tc>
          <w:tcPr>
            <w:tcW w:w="7650" w:type="dxa"/>
            <w:vAlign w:val="center"/>
          </w:tcPr>
          <w:p w14:paraId="76495B36" w14:textId="77777777" w:rsidR="00B60E2E" w:rsidRPr="00B8419F" w:rsidRDefault="00B8419F" w:rsidP="00B8419F">
            <w:pPr>
              <w:autoSpaceDE w:val="0"/>
              <w:autoSpaceDN w:val="0"/>
              <w:adjustRightInd w:val="0"/>
              <w:spacing w:after="0" w:line="240" w:lineRule="auto"/>
              <w:rPr>
                <w:rFonts w:eastAsia="Times New Roman" w:cs="Calibri"/>
                <w:sz w:val="20"/>
                <w:szCs w:val="20"/>
              </w:rPr>
            </w:pPr>
            <w:r w:rsidRPr="00B8419F">
              <w:rPr>
                <w:rFonts w:cs="Helv"/>
                <w:iCs/>
                <w:color w:val="000000"/>
                <w:sz w:val="20"/>
                <w:szCs w:val="20"/>
              </w:rPr>
              <w:t>Krajowy Program Rozwoju Ekonomii Społecznej do 2023 roku. Ekonomia Solidarności Społecznej.</w:t>
            </w:r>
          </w:p>
        </w:tc>
      </w:tr>
      <w:tr w:rsidR="00BF25C1" w:rsidRPr="00F21196" w14:paraId="4F5FA202" w14:textId="77777777" w:rsidTr="00E73A51">
        <w:trPr>
          <w:trHeight w:val="213"/>
        </w:trPr>
        <w:tc>
          <w:tcPr>
            <w:tcW w:w="2268" w:type="dxa"/>
          </w:tcPr>
          <w:p w14:paraId="7D103A2D" w14:textId="77777777" w:rsidR="00BF25C1" w:rsidRPr="00F21196" w:rsidRDefault="00BF25C1" w:rsidP="00B60E2E">
            <w:pPr>
              <w:spacing w:after="0" w:line="240" w:lineRule="auto"/>
              <w:rPr>
                <w:rFonts w:eastAsia="Calibri"/>
                <w:b/>
                <w:szCs w:val="18"/>
              </w:rPr>
            </w:pPr>
            <w:r w:rsidRPr="00F21196">
              <w:rPr>
                <w:rFonts w:eastAsia="Calibri"/>
                <w:b/>
                <w:szCs w:val="18"/>
              </w:rPr>
              <w:t>ksrg</w:t>
            </w:r>
          </w:p>
        </w:tc>
        <w:tc>
          <w:tcPr>
            <w:tcW w:w="7650" w:type="dxa"/>
            <w:vAlign w:val="center"/>
          </w:tcPr>
          <w:p w14:paraId="7294BE90" w14:textId="77777777" w:rsidR="00BF25C1" w:rsidRPr="00E73A51" w:rsidRDefault="00BF25C1" w:rsidP="00B60E2E">
            <w:pPr>
              <w:rPr>
                <w:rFonts w:eastAsia="Calibri"/>
                <w:sz w:val="20"/>
                <w:szCs w:val="20"/>
              </w:rPr>
            </w:pPr>
            <w:r w:rsidRPr="00E73A51">
              <w:rPr>
                <w:rFonts w:cs="Verdana"/>
                <w:sz w:val="20"/>
                <w:szCs w:val="20"/>
              </w:rPr>
              <w:t>Krajowy system ratowniczo-gaśniczy</w:t>
            </w:r>
          </w:p>
        </w:tc>
      </w:tr>
      <w:tr w:rsidR="00C62D81" w:rsidRPr="00F21196" w14:paraId="56A41E58" w14:textId="77777777" w:rsidTr="00E73A51">
        <w:trPr>
          <w:trHeight w:val="213"/>
        </w:trPr>
        <w:tc>
          <w:tcPr>
            <w:tcW w:w="2268" w:type="dxa"/>
          </w:tcPr>
          <w:p w14:paraId="22D6FEC5" w14:textId="77777777" w:rsidR="00C62D81" w:rsidRPr="00F21196" w:rsidRDefault="00C62D81" w:rsidP="00B60E2E">
            <w:pPr>
              <w:spacing w:after="0" w:line="240" w:lineRule="auto"/>
              <w:rPr>
                <w:rFonts w:eastAsia="Calibri"/>
                <w:b/>
                <w:szCs w:val="18"/>
              </w:rPr>
            </w:pPr>
            <w:r>
              <w:rPr>
                <w:rFonts w:eastAsia="Calibri"/>
                <w:b/>
                <w:szCs w:val="18"/>
              </w:rPr>
              <w:t>LSR</w:t>
            </w:r>
          </w:p>
        </w:tc>
        <w:tc>
          <w:tcPr>
            <w:tcW w:w="7650" w:type="dxa"/>
            <w:vAlign w:val="center"/>
          </w:tcPr>
          <w:p w14:paraId="2CF88F74" w14:textId="77777777" w:rsidR="00C62D81" w:rsidRPr="00C62D81" w:rsidRDefault="00C62D81" w:rsidP="00B60E2E">
            <w:pPr>
              <w:rPr>
                <w:rFonts w:cs="Verdana"/>
                <w:szCs w:val="20"/>
              </w:rPr>
            </w:pPr>
            <w:r>
              <w:rPr>
                <w:rFonts w:cs="Verdana"/>
                <w:sz w:val="20"/>
                <w:szCs w:val="20"/>
              </w:rPr>
              <w:t>Lokalna Strategia Rozwoju</w:t>
            </w:r>
          </w:p>
        </w:tc>
      </w:tr>
      <w:tr w:rsidR="00F83E28" w:rsidRPr="00F21196" w14:paraId="3BC1FC6A" w14:textId="77777777" w:rsidTr="00705623">
        <w:trPr>
          <w:trHeight w:val="340"/>
        </w:trPr>
        <w:tc>
          <w:tcPr>
            <w:tcW w:w="2268" w:type="dxa"/>
          </w:tcPr>
          <w:p w14:paraId="10ADC293" w14:textId="77777777" w:rsidR="00F83E28" w:rsidRPr="00F21196" w:rsidRDefault="00F83E28" w:rsidP="00F83E28">
            <w:pPr>
              <w:spacing w:after="0" w:line="240" w:lineRule="auto"/>
              <w:rPr>
                <w:rFonts w:eastAsia="Times New Roman" w:cs="Calibri"/>
                <w:b/>
              </w:rPr>
            </w:pPr>
            <w:r w:rsidRPr="00F21196">
              <w:rPr>
                <w:rFonts w:cs="Arial"/>
                <w:b/>
              </w:rPr>
              <w:t xml:space="preserve">MEN </w:t>
            </w:r>
          </w:p>
        </w:tc>
        <w:tc>
          <w:tcPr>
            <w:tcW w:w="7650" w:type="dxa"/>
            <w:vAlign w:val="center"/>
          </w:tcPr>
          <w:p w14:paraId="750E2C2F" w14:textId="77777777" w:rsidR="00F83E28" w:rsidRPr="00E73A51" w:rsidRDefault="00F83E28" w:rsidP="00F83E28">
            <w:pPr>
              <w:spacing w:after="0" w:line="240" w:lineRule="auto"/>
              <w:rPr>
                <w:rFonts w:eastAsia="Times New Roman" w:cs="Calibri"/>
                <w:sz w:val="20"/>
                <w:szCs w:val="20"/>
              </w:rPr>
            </w:pPr>
            <w:r w:rsidRPr="00E73A51">
              <w:rPr>
                <w:rFonts w:cs="Arial"/>
                <w:sz w:val="20"/>
                <w:szCs w:val="20"/>
              </w:rPr>
              <w:t>Ministerstwo Edukacji Narodowej</w:t>
            </w:r>
          </w:p>
        </w:tc>
      </w:tr>
      <w:tr w:rsidR="00847EB7" w:rsidRPr="00F21196" w14:paraId="5D9E1DAB" w14:textId="77777777" w:rsidTr="00705623">
        <w:trPr>
          <w:trHeight w:val="340"/>
        </w:trPr>
        <w:tc>
          <w:tcPr>
            <w:tcW w:w="2268" w:type="dxa"/>
          </w:tcPr>
          <w:p w14:paraId="74887490" w14:textId="17099DD4" w:rsidR="00847EB7" w:rsidRPr="00F21196" w:rsidRDefault="00847EB7" w:rsidP="00170D4A">
            <w:pPr>
              <w:spacing w:after="0" w:line="240" w:lineRule="auto"/>
              <w:rPr>
                <w:rFonts w:cs="Arial"/>
                <w:b/>
              </w:rPr>
            </w:pPr>
            <w:r>
              <w:rPr>
                <w:rFonts w:cs="Arial"/>
                <w:b/>
              </w:rPr>
              <w:t>MF</w:t>
            </w:r>
          </w:p>
        </w:tc>
        <w:tc>
          <w:tcPr>
            <w:tcW w:w="7650" w:type="dxa"/>
            <w:vAlign w:val="center"/>
          </w:tcPr>
          <w:p w14:paraId="31EC9F0A" w14:textId="26C42EF1" w:rsidR="00847EB7" w:rsidRPr="00E73A51" w:rsidRDefault="00847EB7" w:rsidP="00170D4A">
            <w:pPr>
              <w:spacing w:after="0" w:line="240" w:lineRule="auto"/>
              <w:rPr>
                <w:rFonts w:cs="Arial"/>
                <w:sz w:val="20"/>
                <w:szCs w:val="20"/>
              </w:rPr>
            </w:pPr>
            <w:r>
              <w:rPr>
                <w:rFonts w:cs="Arial"/>
                <w:sz w:val="20"/>
                <w:szCs w:val="20"/>
              </w:rPr>
              <w:t>Ministerstwo Finansów</w:t>
            </w:r>
          </w:p>
        </w:tc>
      </w:tr>
      <w:tr w:rsidR="00F83E28" w:rsidRPr="00F21196" w14:paraId="09025536" w14:textId="77777777" w:rsidTr="00705623">
        <w:trPr>
          <w:trHeight w:val="340"/>
        </w:trPr>
        <w:tc>
          <w:tcPr>
            <w:tcW w:w="2268" w:type="dxa"/>
          </w:tcPr>
          <w:p w14:paraId="15E51D90" w14:textId="27391729" w:rsidR="00F83E28" w:rsidRPr="00F21196" w:rsidRDefault="00170D4A" w:rsidP="00F83E28">
            <w:pPr>
              <w:spacing w:after="0" w:line="240" w:lineRule="auto"/>
              <w:rPr>
                <w:rFonts w:cs="Arial"/>
                <w:b/>
              </w:rPr>
            </w:pPr>
            <w:r>
              <w:rPr>
                <w:rFonts w:cs="Arial"/>
                <w:b/>
              </w:rPr>
              <w:t>MFiPR</w:t>
            </w:r>
          </w:p>
        </w:tc>
        <w:tc>
          <w:tcPr>
            <w:tcW w:w="7650" w:type="dxa"/>
            <w:vAlign w:val="center"/>
          </w:tcPr>
          <w:p w14:paraId="11ABDB22" w14:textId="1CC8C024" w:rsidR="00F83E28" w:rsidRPr="00E73A51" w:rsidRDefault="00170D4A" w:rsidP="00F83E28">
            <w:pPr>
              <w:spacing w:after="0" w:line="240" w:lineRule="auto"/>
              <w:rPr>
                <w:rFonts w:cs="Arial"/>
                <w:sz w:val="20"/>
                <w:szCs w:val="20"/>
              </w:rPr>
            </w:pPr>
            <w:r>
              <w:rPr>
                <w:rFonts w:cs="Arial"/>
                <w:sz w:val="20"/>
                <w:szCs w:val="20"/>
              </w:rPr>
              <w:t>Ministerstwo Funduszy i Polityki Regionalnej</w:t>
            </w:r>
          </w:p>
        </w:tc>
      </w:tr>
      <w:tr w:rsidR="00170D4A" w:rsidRPr="00F21196" w14:paraId="1F1FF890" w14:textId="77777777" w:rsidTr="00705623">
        <w:trPr>
          <w:trHeight w:val="340"/>
        </w:trPr>
        <w:tc>
          <w:tcPr>
            <w:tcW w:w="2268" w:type="dxa"/>
          </w:tcPr>
          <w:p w14:paraId="76572F55" w14:textId="6CFA6AA9" w:rsidR="00170D4A" w:rsidRPr="00F21196" w:rsidRDefault="00170D4A" w:rsidP="00170D4A">
            <w:pPr>
              <w:spacing w:after="0" w:line="240" w:lineRule="auto"/>
              <w:rPr>
                <w:rFonts w:cs="Arial"/>
                <w:b/>
              </w:rPr>
            </w:pPr>
            <w:r w:rsidRPr="00F21196">
              <w:rPr>
                <w:rFonts w:cs="Arial"/>
                <w:b/>
              </w:rPr>
              <w:t xml:space="preserve">MI </w:t>
            </w:r>
          </w:p>
        </w:tc>
        <w:tc>
          <w:tcPr>
            <w:tcW w:w="7650" w:type="dxa"/>
            <w:vAlign w:val="center"/>
          </w:tcPr>
          <w:p w14:paraId="09BFD375" w14:textId="5DDAD0A6" w:rsidR="00170D4A" w:rsidRPr="00E73A51" w:rsidRDefault="00170D4A" w:rsidP="00170D4A">
            <w:pPr>
              <w:spacing w:after="0" w:line="240" w:lineRule="auto"/>
              <w:rPr>
                <w:rFonts w:cs="Arial"/>
                <w:sz w:val="20"/>
                <w:szCs w:val="20"/>
              </w:rPr>
            </w:pPr>
            <w:r w:rsidRPr="00E73A51">
              <w:rPr>
                <w:rFonts w:cs="Arial"/>
                <w:sz w:val="20"/>
                <w:szCs w:val="20"/>
              </w:rPr>
              <w:t>Ministerstwo Infrastruktury</w:t>
            </w:r>
          </w:p>
        </w:tc>
      </w:tr>
      <w:tr w:rsidR="00170D4A" w:rsidRPr="00F21196" w14:paraId="32E9A689" w14:textId="77777777" w:rsidTr="00705623">
        <w:trPr>
          <w:trHeight w:val="340"/>
        </w:trPr>
        <w:tc>
          <w:tcPr>
            <w:tcW w:w="2268" w:type="dxa"/>
          </w:tcPr>
          <w:p w14:paraId="31916391" w14:textId="77777777" w:rsidR="00170D4A" w:rsidRPr="00F21196" w:rsidRDefault="00170D4A" w:rsidP="00170D4A">
            <w:pPr>
              <w:spacing w:after="0" w:line="240" w:lineRule="auto"/>
              <w:rPr>
                <w:rFonts w:eastAsia="Times New Roman" w:cs="Calibri"/>
                <w:b/>
              </w:rPr>
            </w:pPr>
            <w:r w:rsidRPr="00F21196">
              <w:rPr>
                <w:rFonts w:cs="Arial"/>
                <w:b/>
              </w:rPr>
              <w:t xml:space="preserve">MNiSW </w:t>
            </w:r>
          </w:p>
        </w:tc>
        <w:tc>
          <w:tcPr>
            <w:tcW w:w="7650" w:type="dxa"/>
            <w:vAlign w:val="center"/>
          </w:tcPr>
          <w:p w14:paraId="31A570EB" w14:textId="77777777" w:rsidR="00170D4A" w:rsidRPr="00E73A51" w:rsidRDefault="00170D4A" w:rsidP="00170D4A">
            <w:pPr>
              <w:spacing w:after="0" w:line="240" w:lineRule="auto"/>
              <w:rPr>
                <w:rFonts w:eastAsia="Times New Roman" w:cs="Calibri"/>
                <w:sz w:val="20"/>
                <w:szCs w:val="20"/>
              </w:rPr>
            </w:pPr>
            <w:r w:rsidRPr="00E73A51">
              <w:rPr>
                <w:rFonts w:cs="Arial"/>
                <w:sz w:val="20"/>
                <w:szCs w:val="20"/>
              </w:rPr>
              <w:t>Ministerstwo Nauki i Szkolnictwa Wyższego</w:t>
            </w:r>
          </w:p>
        </w:tc>
      </w:tr>
      <w:tr w:rsidR="00170D4A" w:rsidRPr="00F21196" w14:paraId="2512A979" w14:textId="77777777" w:rsidTr="00705623">
        <w:trPr>
          <w:trHeight w:val="340"/>
        </w:trPr>
        <w:tc>
          <w:tcPr>
            <w:tcW w:w="2268" w:type="dxa"/>
          </w:tcPr>
          <w:p w14:paraId="48A6B454" w14:textId="77777777" w:rsidR="00170D4A" w:rsidRPr="00F21196" w:rsidRDefault="00170D4A" w:rsidP="00170D4A">
            <w:pPr>
              <w:spacing w:after="0" w:line="240" w:lineRule="auto"/>
              <w:rPr>
                <w:rFonts w:cs="Arial"/>
                <w:b/>
              </w:rPr>
            </w:pPr>
            <w:r>
              <w:rPr>
                <w:rFonts w:cs="Arial"/>
                <w:b/>
              </w:rPr>
              <w:t>MON</w:t>
            </w:r>
          </w:p>
        </w:tc>
        <w:tc>
          <w:tcPr>
            <w:tcW w:w="7650" w:type="dxa"/>
            <w:vAlign w:val="center"/>
          </w:tcPr>
          <w:p w14:paraId="3E60DD32" w14:textId="77777777" w:rsidR="00170D4A" w:rsidRPr="00E73A51" w:rsidRDefault="00170D4A" w:rsidP="00170D4A">
            <w:pPr>
              <w:spacing w:after="0" w:line="240" w:lineRule="auto"/>
              <w:rPr>
                <w:rFonts w:cs="Arial"/>
                <w:sz w:val="20"/>
                <w:szCs w:val="20"/>
              </w:rPr>
            </w:pPr>
            <w:r w:rsidRPr="00E73A51">
              <w:rPr>
                <w:rFonts w:cs="Arial"/>
                <w:sz w:val="20"/>
                <w:szCs w:val="20"/>
              </w:rPr>
              <w:t>Ministerstwo Obrony Narodowej</w:t>
            </w:r>
          </w:p>
        </w:tc>
      </w:tr>
      <w:tr w:rsidR="00170D4A" w:rsidRPr="00F21196" w14:paraId="332362CC" w14:textId="77777777" w:rsidTr="00705623">
        <w:trPr>
          <w:trHeight w:val="340"/>
        </w:trPr>
        <w:tc>
          <w:tcPr>
            <w:tcW w:w="2268" w:type="dxa"/>
          </w:tcPr>
          <w:p w14:paraId="08F03837" w14:textId="0C04CE96" w:rsidR="00170D4A" w:rsidRDefault="00170D4A" w:rsidP="00170D4A">
            <w:pPr>
              <w:spacing w:after="0" w:line="240" w:lineRule="auto"/>
              <w:rPr>
                <w:rFonts w:cs="Arial"/>
                <w:b/>
              </w:rPr>
            </w:pPr>
            <w:r>
              <w:rPr>
                <w:rFonts w:cs="Arial"/>
                <w:b/>
              </w:rPr>
              <w:t>MR,PiT</w:t>
            </w:r>
          </w:p>
        </w:tc>
        <w:tc>
          <w:tcPr>
            <w:tcW w:w="7650" w:type="dxa"/>
            <w:vAlign w:val="center"/>
          </w:tcPr>
          <w:p w14:paraId="02A9475D" w14:textId="39744547" w:rsidR="00170D4A" w:rsidRDefault="00170D4A" w:rsidP="00170D4A">
            <w:pPr>
              <w:spacing w:after="0" w:line="240" w:lineRule="auto"/>
              <w:rPr>
                <w:rFonts w:cs="Arial"/>
                <w:sz w:val="20"/>
                <w:szCs w:val="20"/>
              </w:rPr>
            </w:pPr>
            <w:r>
              <w:rPr>
                <w:rFonts w:cs="Arial"/>
                <w:sz w:val="20"/>
                <w:szCs w:val="20"/>
              </w:rPr>
              <w:t xml:space="preserve">Ministerstwo Rozwoju, Pracy i Technologii </w:t>
            </w:r>
          </w:p>
        </w:tc>
      </w:tr>
      <w:tr w:rsidR="00170D4A" w:rsidRPr="00F21196" w14:paraId="0775FBA5" w14:textId="77777777" w:rsidTr="00705623">
        <w:trPr>
          <w:trHeight w:val="340"/>
        </w:trPr>
        <w:tc>
          <w:tcPr>
            <w:tcW w:w="2268" w:type="dxa"/>
          </w:tcPr>
          <w:p w14:paraId="1BD16D3F" w14:textId="77777777" w:rsidR="00170D4A" w:rsidRPr="00F21196" w:rsidRDefault="00170D4A" w:rsidP="00170D4A">
            <w:pPr>
              <w:spacing w:after="0" w:line="240" w:lineRule="auto"/>
              <w:rPr>
                <w:rFonts w:eastAsia="Times New Roman" w:cs="Calibri"/>
                <w:b/>
              </w:rPr>
            </w:pPr>
            <w:r w:rsidRPr="00F21196">
              <w:rPr>
                <w:rFonts w:eastAsia="Times New Roman" w:cs="Calibri"/>
                <w:b/>
                <w:lang w:eastAsia="pl-PL"/>
              </w:rPr>
              <w:t xml:space="preserve">MSWiA </w:t>
            </w:r>
          </w:p>
        </w:tc>
        <w:tc>
          <w:tcPr>
            <w:tcW w:w="7650" w:type="dxa"/>
            <w:vAlign w:val="center"/>
          </w:tcPr>
          <w:p w14:paraId="4C58D87C" w14:textId="77777777" w:rsidR="00170D4A" w:rsidRPr="00E73A51" w:rsidRDefault="00170D4A" w:rsidP="00170D4A">
            <w:pPr>
              <w:spacing w:after="0" w:line="240" w:lineRule="auto"/>
              <w:rPr>
                <w:rFonts w:eastAsia="Times New Roman" w:cs="Calibri"/>
                <w:sz w:val="20"/>
                <w:szCs w:val="20"/>
              </w:rPr>
            </w:pPr>
            <w:r w:rsidRPr="00E73A51">
              <w:rPr>
                <w:rFonts w:eastAsia="Times New Roman" w:cs="Calibri"/>
                <w:sz w:val="20"/>
                <w:szCs w:val="20"/>
                <w:lang w:eastAsia="pl-PL"/>
              </w:rPr>
              <w:t>Ministerstwo Spraw Wewnętrznych i Administracji</w:t>
            </w:r>
          </w:p>
        </w:tc>
      </w:tr>
      <w:tr w:rsidR="00170D4A" w:rsidRPr="00F21196" w14:paraId="1A87DE34" w14:textId="77777777" w:rsidTr="00705623">
        <w:trPr>
          <w:trHeight w:val="340"/>
        </w:trPr>
        <w:tc>
          <w:tcPr>
            <w:tcW w:w="2268" w:type="dxa"/>
          </w:tcPr>
          <w:p w14:paraId="5443A050" w14:textId="77777777" w:rsidR="00170D4A" w:rsidRPr="00F21196" w:rsidRDefault="00170D4A" w:rsidP="00170D4A">
            <w:pPr>
              <w:spacing w:after="0" w:line="240" w:lineRule="auto"/>
              <w:rPr>
                <w:rFonts w:eastAsia="Times New Roman" w:cs="Calibri"/>
                <w:b/>
              </w:rPr>
            </w:pPr>
            <w:r w:rsidRPr="00F21196">
              <w:rPr>
                <w:rFonts w:eastAsia="Times New Roman" w:cs="Calibri"/>
                <w:b/>
                <w:lang w:eastAsia="pl-PL"/>
              </w:rPr>
              <w:t>MS</w:t>
            </w:r>
          </w:p>
        </w:tc>
        <w:tc>
          <w:tcPr>
            <w:tcW w:w="7650" w:type="dxa"/>
            <w:vAlign w:val="center"/>
          </w:tcPr>
          <w:p w14:paraId="4169FFD1" w14:textId="77777777" w:rsidR="00170D4A" w:rsidRPr="00E73A51" w:rsidRDefault="00170D4A" w:rsidP="00170D4A">
            <w:pPr>
              <w:spacing w:after="0" w:line="240" w:lineRule="auto"/>
              <w:rPr>
                <w:rFonts w:eastAsia="Times New Roman" w:cs="Calibri"/>
                <w:sz w:val="20"/>
                <w:szCs w:val="20"/>
              </w:rPr>
            </w:pPr>
            <w:r w:rsidRPr="00E73A51">
              <w:rPr>
                <w:rFonts w:eastAsia="Times New Roman" w:cs="Calibri"/>
                <w:sz w:val="20"/>
                <w:szCs w:val="20"/>
                <w:lang w:eastAsia="pl-PL"/>
              </w:rPr>
              <w:t>Ministerstwo Sprawiedliwości</w:t>
            </w:r>
          </w:p>
        </w:tc>
      </w:tr>
      <w:tr w:rsidR="00170D4A" w:rsidRPr="00F21196" w14:paraId="3751EF33" w14:textId="77777777" w:rsidTr="00705623">
        <w:trPr>
          <w:trHeight w:val="340"/>
        </w:trPr>
        <w:tc>
          <w:tcPr>
            <w:tcW w:w="2268" w:type="dxa"/>
          </w:tcPr>
          <w:p w14:paraId="69642C3B" w14:textId="77777777" w:rsidR="00170D4A" w:rsidRPr="00F21196" w:rsidRDefault="00170D4A" w:rsidP="00170D4A">
            <w:pPr>
              <w:spacing w:after="0" w:line="240" w:lineRule="auto"/>
              <w:rPr>
                <w:rFonts w:eastAsia="Times New Roman" w:cs="Calibri"/>
                <w:b/>
                <w:lang w:eastAsia="pl-PL"/>
              </w:rPr>
            </w:pPr>
            <w:r>
              <w:rPr>
                <w:rFonts w:eastAsia="Times New Roman" w:cs="Calibri"/>
                <w:b/>
                <w:lang w:eastAsia="pl-PL"/>
              </w:rPr>
              <w:t>NSP</w:t>
            </w:r>
          </w:p>
        </w:tc>
        <w:tc>
          <w:tcPr>
            <w:tcW w:w="7650" w:type="dxa"/>
            <w:vAlign w:val="center"/>
          </w:tcPr>
          <w:p w14:paraId="4301CE3E" w14:textId="77777777" w:rsidR="00170D4A" w:rsidRPr="00E73A51" w:rsidRDefault="00170D4A" w:rsidP="00170D4A">
            <w:pPr>
              <w:spacing w:after="0" w:line="240" w:lineRule="auto"/>
              <w:rPr>
                <w:rFonts w:eastAsia="Times New Roman" w:cs="Calibri"/>
                <w:sz w:val="20"/>
                <w:szCs w:val="20"/>
                <w:lang w:eastAsia="pl-PL"/>
              </w:rPr>
            </w:pPr>
            <w:r>
              <w:rPr>
                <w:rFonts w:eastAsia="Times New Roman" w:cs="Calibri"/>
                <w:sz w:val="20"/>
                <w:szCs w:val="20"/>
                <w:lang w:eastAsia="pl-PL"/>
              </w:rPr>
              <w:t>Narodowy Plan Szerokopasmowy</w:t>
            </w:r>
          </w:p>
        </w:tc>
      </w:tr>
      <w:tr w:rsidR="00170D4A" w:rsidRPr="00F21196" w14:paraId="419C1934" w14:textId="77777777" w:rsidTr="00705623">
        <w:trPr>
          <w:trHeight w:val="340"/>
        </w:trPr>
        <w:tc>
          <w:tcPr>
            <w:tcW w:w="2268" w:type="dxa"/>
          </w:tcPr>
          <w:p w14:paraId="5D5246BA" w14:textId="77777777" w:rsidR="00170D4A" w:rsidRPr="00F21196" w:rsidRDefault="00170D4A" w:rsidP="00170D4A">
            <w:pPr>
              <w:spacing w:after="0" w:line="240" w:lineRule="auto"/>
              <w:rPr>
                <w:rFonts w:cs="Arial"/>
                <w:b/>
              </w:rPr>
            </w:pPr>
            <w:r>
              <w:rPr>
                <w:rFonts w:cs="Arial"/>
                <w:b/>
              </w:rPr>
              <w:t>OSE</w:t>
            </w:r>
          </w:p>
        </w:tc>
        <w:tc>
          <w:tcPr>
            <w:tcW w:w="7650" w:type="dxa"/>
            <w:vAlign w:val="center"/>
          </w:tcPr>
          <w:p w14:paraId="3870272F" w14:textId="77777777" w:rsidR="00170D4A" w:rsidRPr="00E73A51" w:rsidRDefault="00170D4A" w:rsidP="00170D4A">
            <w:pPr>
              <w:spacing w:after="0" w:line="240" w:lineRule="auto"/>
              <w:rPr>
                <w:rFonts w:cs="Arial"/>
                <w:sz w:val="20"/>
                <w:szCs w:val="20"/>
              </w:rPr>
            </w:pPr>
            <w:r w:rsidRPr="00E73A51">
              <w:rPr>
                <w:rFonts w:cs="Arial"/>
                <w:sz w:val="20"/>
                <w:szCs w:val="20"/>
              </w:rPr>
              <w:t>Ogólnopolska Sieć Edukacyjna</w:t>
            </w:r>
          </w:p>
        </w:tc>
      </w:tr>
      <w:tr w:rsidR="00170D4A" w:rsidRPr="00F21196" w14:paraId="397D3450" w14:textId="77777777" w:rsidTr="00705623">
        <w:trPr>
          <w:trHeight w:val="340"/>
        </w:trPr>
        <w:tc>
          <w:tcPr>
            <w:tcW w:w="2268" w:type="dxa"/>
          </w:tcPr>
          <w:p w14:paraId="1C7FC5A5" w14:textId="77777777" w:rsidR="00170D4A" w:rsidRPr="00F21196" w:rsidRDefault="00170D4A" w:rsidP="00170D4A">
            <w:pPr>
              <w:spacing w:after="0" w:line="240" w:lineRule="auto"/>
              <w:rPr>
                <w:rFonts w:cs="Arial"/>
                <w:b/>
              </w:rPr>
            </w:pPr>
            <w:r w:rsidRPr="00F21196">
              <w:rPr>
                <w:rFonts w:cs="Arial"/>
                <w:b/>
              </w:rPr>
              <w:t>PK</w:t>
            </w:r>
          </w:p>
        </w:tc>
        <w:tc>
          <w:tcPr>
            <w:tcW w:w="7650" w:type="dxa"/>
            <w:vAlign w:val="center"/>
          </w:tcPr>
          <w:p w14:paraId="6CCE180A" w14:textId="77777777" w:rsidR="00170D4A" w:rsidRPr="00E73A51" w:rsidRDefault="00170D4A" w:rsidP="00170D4A">
            <w:pPr>
              <w:spacing w:after="0" w:line="240" w:lineRule="auto"/>
              <w:rPr>
                <w:rFonts w:cs="Arial"/>
                <w:sz w:val="20"/>
                <w:szCs w:val="20"/>
              </w:rPr>
            </w:pPr>
            <w:r w:rsidRPr="00E73A51">
              <w:rPr>
                <w:rFonts w:cs="Arial"/>
                <w:sz w:val="20"/>
                <w:szCs w:val="20"/>
              </w:rPr>
              <w:t>Prokuratura Krajowa</w:t>
            </w:r>
          </w:p>
        </w:tc>
      </w:tr>
      <w:tr w:rsidR="00170D4A" w:rsidRPr="00F21196" w14:paraId="3B9DC940" w14:textId="77777777" w:rsidTr="00705623">
        <w:trPr>
          <w:trHeight w:val="340"/>
        </w:trPr>
        <w:tc>
          <w:tcPr>
            <w:tcW w:w="2268" w:type="dxa"/>
          </w:tcPr>
          <w:p w14:paraId="134CC47F" w14:textId="77777777" w:rsidR="00170D4A" w:rsidRPr="00F21196" w:rsidRDefault="00170D4A" w:rsidP="00170D4A">
            <w:pPr>
              <w:spacing w:after="0" w:line="240" w:lineRule="auto"/>
              <w:rPr>
                <w:rFonts w:cs="Arial"/>
                <w:b/>
              </w:rPr>
            </w:pPr>
            <w:r w:rsidRPr="00F21196">
              <w:rPr>
                <w:rFonts w:cs="Arial"/>
                <w:b/>
              </w:rPr>
              <w:t>PPP</w:t>
            </w:r>
          </w:p>
        </w:tc>
        <w:tc>
          <w:tcPr>
            <w:tcW w:w="7650" w:type="dxa"/>
            <w:vAlign w:val="center"/>
          </w:tcPr>
          <w:p w14:paraId="031AF10A" w14:textId="77777777" w:rsidR="00170D4A" w:rsidRPr="00E73A51" w:rsidRDefault="00170D4A" w:rsidP="00170D4A">
            <w:pPr>
              <w:spacing w:after="0" w:line="240" w:lineRule="auto"/>
              <w:rPr>
                <w:rFonts w:cs="Arial"/>
                <w:sz w:val="20"/>
                <w:szCs w:val="20"/>
              </w:rPr>
            </w:pPr>
            <w:r w:rsidRPr="00E73A51">
              <w:rPr>
                <w:rFonts w:cs="Arial"/>
                <w:sz w:val="20"/>
                <w:szCs w:val="20"/>
              </w:rPr>
              <w:t>Partnerstwo Publiczno-Prywatne</w:t>
            </w:r>
          </w:p>
        </w:tc>
      </w:tr>
      <w:tr w:rsidR="00170D4A" w:rsidRPr="00F21196" w14:paraId="29418ED1" w14:textId="77777777" w:rsidTr="00705623">
        <w:trPr>
          <w:trHeight w:val="340"/>
        </w:trPr>
        <w:tc>
          <w:tcPr>
            <w:tcW w:w="2268" w:type="dxa"/>
          </w:tcPr>
          <w:p w14:paraId="6B838388" w14:textId="5310BAF2" w:rsidR="00170D4A" w:rsidRPr="00F21196" w:rsidRDefault="00170D4A" w:rsidP="00170D4A">
            <w:pPr>
              <w:spacing w:after="0" w:line="240" w:lineRule="auto"/>
              <w:rPr>
                <w:rFonts w:cs="Arial"/>
                <w:b/>
              </w:rPr>
            </w:pPr>
            <w:r>
              <w:rPr>
                <w:rFonts w:cs="Arial"/>
                <w:b/>
              </w:rPr>
              <w:t>SG</w:t>
            </w:r>
          </w:p>
        </w:tc>
        <w:tc>
          <w:tcPr>
            <w:tcW w:w="7650" w:type="dxa"/>
            <w:vAlign w:val="center"/>
          </w:tcPr>
          <w:p w14:paraId="2F59F610" w14:textId="454DA1FA" w:rsidR="00170D4A" w:rsidRPr="00E73A51" w:rsidRDefault="00170D4A" w:rsidP="00170D4A">
            <w:pPr>
              <w:spacing w:after="0" w:line="240" w:lineRule="auto"/>
              <w:rPr>
                <w:rFonts w:cs="Arial"/>
                <w:sz w:val="20"/>
                <w:szCs w:val="20"/>
              </w:rPr>
            </w:pPr>
            <w:r>
              <w:rPr>
                <w:rFonts w:cs="Arial"/>
                <w:sz w:val="20"/>
                <w:szCs w:val="20"/>
              </w:rPr>
              <w:t>Straż Graniczna</w:t>
            </w:r>
          </w:p>
        </w:tc>
      </w:tr>
      <w:tr w:rsidR="00170D4A" w:rsidRPr="00F21196" w14:paraId="7B3C8D2E" w14:textId="77777777" w:rsidTr="00705623">
        <w:trPr>
          <w:trHeight w:val="340"/>
        </w:trPr>
        <w:tc>
          <w:tcPr>
            <w:tcW w:w="2268" w:type="dxa"/>
            <w:vAlign w:val="center"/>
          </w:tcPr>
          <w:p w14:paraId="2F3E7412" w14:textId="77777777" w:rsidR="00170D4A" w:rsidRPr="00F21196" w:rsidRDefault="00170D4A" w:rsidP="00170D4A">
            <w:pPr>
              <w:spacing w:after="0" w:line="240" w:lineRule="auto"/>
              <w:rPr>
                <w:rFonts w:eastAsia="Times New Roman" w:cs="Calibri"/>
                <w:b/>
              </w:rPr>
            </w:pPr>
            <w:r w:rsidRPr="00F21196">
              <w:rPr>
                <w:rFonts w:eastAsia="Times New Roman" w:cs="Calibri"/>
                <w:b/>
              </w:rPr>
              <w:t>SOR</w:t>
            </w:r>
          </w:p>
        </w:tc>
        <w:tc>
          <w:tcPr>
            <w:tcW w:w="7650" w:type="dxa"/>
            <w:vAlign w:val="center"/>
          </w:tcPr>
          <w:p w14:paraId="09F79C87" w14:textId="77777777" w:rsidR="00170D4A" w:rsidRPr="00E73A51" w:rsidRDefault="00170D4A" w:rsidP="00170D4A">
            <w:pPr>
              <w:spacing w:after="0" w:line="240" w:lineRule="auto"/>
              <w:rPr>
                <w:rFonts w:eastAsia="Times New Roman" w:cs="Calibri"/>
                <w:sz w:val="20"/>
                <w:szCs w:val="20"/>
              </w:rPr>
            </w:pPr>
            <w:r w:rsidRPr="00E73A51">
              <w:rPr>
                <w:rFonts w:eastAsia="Times New Roman" w:cs="Calibri"/>
                <w:sz w:val="20"/>
                <w:szCs w:val="20"/>
              </w:rPr>
              <w:t>Strategia na rzecz Odpowiedzialnego Rozwoju do roku 2020 (z perspektywą do 2030 r.)</w:t>
            </w:r>
          </w:p>
        </w:tc>
      </w:tr>
      <w:tr w:rsidR="00170D4A" w:rsidRPr="00F21196" w14:paraId="2AE8DF4F" w14:textId="77777777" w:rsidTr="00705623">
        <w:trPr>
          <w:trHeight w:val="340"/>
        </w:trPr>
        <w:tc>
          <w:tcPr>
            <w:tcW w:w="2268" w:type="dxa"/>
            <w:vAlign w:val="center"/>
          </w:tcPr>
          <w:p w14:paraId="67C3B9C0" w14:textId="41A36235" w:rsidR="00170D4A" w:rsidRPr="00F21196" w:rsidRDefault="00170D4A" w:rsidP="00170D4A">
            <w:pPr>
              <w:spacing w:after="0" w:line="240" w:lineRule="auto"/>
              <w:rPr>
                <w:rFonts w:eastAsia="Times New Roman" w:cs="Calibri"/>
                <w:b/>
              </w:rPr>
            </w:pPr>
            <w:r>
              <w:rPr>
                <w:rFonts w:eastAsia="Times New Roman" w:cs="Calibri"/>
                <w:b/>
              </w:rPr>
              <w:t>UdSC</w:t>
            </w:r>
          </w:p>
        </w:tc>
        <w:tc>
          <w:tcPr>
            <w:tcW w:w="7650" w:type="dxa"/>
            <w:vAlign w:val="center"/>
          </w:tcPr>
          <w:p w14:paraId="5AB9F495" w14:textId="4409B17D" w:rsidR="00170D4A" w:rsidRPr="00E73A51" w:rsidRDefault="00170D4A" w:rsidP="00170D4A">
            <w:pPr>
              <w:spacing w:after="0" w:line="240" w:lineRule="auto"/>
              <w:rPr>
                <w:rFonts w:eastAsia="Times New Roman" w:cs="Calibri"/>
                <w:sz w:val="20"/>
                <w:szCs w:val="20"/>
              </w:rPr>
            </w:pPr>
            <w:r>
              <w:rPr>
                <w:rFonts w:eastAsia="Times New Roman" w:cs="Calibri"/>
                <w:sz w:val="20"/>
                <w:szCs w:val="20"/>
              </w:rPr>
              <w:t>Urząd do Spraw Cudzoziemców</w:t>
            </w:r>
          </w:p>
        </w:tc>
      </w:tr>
      <w:tr w:rsidR="00170D4A" w:rsidRPr="00F21196" w14:paraId="63A3641B" w14:textId="77777777" w:rsidTr="00705623">
        <w:trPr>
          <w:trHeight w:val="340"/>
        </w:trPr>
        <w:tc>
          <w:tcPr>
            <w:tcW w:w="2268" w:type="dxa"/>
            <w:vAlign w:val="center"/>
          </w:tcPr>
          <w:p w14:paraId="5D010902" w14:textId="4E161EAB" w:rsidR="00170D4A" w:rsidRPr="00F21196" w:rsidRDefault="00170D4A" w:rsidP="00170D4A">
            <w:pPr>
              <w:spacing w:after="0" w:line="240" w:lineRule="auto"/>
              <w:rPr>
                <w:rFonts w:eastAsia="Times New Roman" w:cs="Calibri"/>
                <w:b/>
              </w:rPr>
            </w:pPr>
            <w:r w:rsidRPr="00F21196">
              <w:rPr>
                <w:rFonts w:eastAsia="Times New Roman" w:cs="Calibri"/>
                <w:b/>
              </w:rPr>
              <w:t>UE</w:t>
            </w:r>
          </w:p>
        </w:tc>
        <w:tc>
          <w:tcPr>
            <w:tcW w:w="7650" w:type="dxa"/>
            <w:vAlign w:val="center"/>
          </w:tcPr>
          <w:p w14:paraId="0BC36FC4" w14:textId="77777777" w:rsidR="00170D4A" w:rsidRPr="00F21196" w:rsidRDefault="00170D4A" w:rsidP="00170D4A">
            <w:pPr>
              <w:spacing w:after="0" w:line="240" w:lineRule="auto"/>
              <w:rPr>
                <w:rFonts w:eastAsia="Times New Roman" w:cs="Calibri"/>
                <w:sz w:val="20"/>
                <w:szCs w:val="20"/>
              </w:rPr>
            </w:pPr>
            <w:r w:rsidRPr="00F21196">
              <w:rPr>
                <w:rFonts w:eastAsia="Times New Roman" w:cs="Calibri"/>
                <w:sz w:val="20"/>
                <w:szCs w:val="20"/>
              </w:rPr>
              <w:t>Unia Europejska</w:t>
            </w:r>
          </w:p>
        </w:tc>
      </w:tr>
      <w:tr w:rsidR="00170D4A" w:rsidRPr="00F21196" w14:paraId="3EEB14EE" w14:textId="77777777" w:rsidTr="00705623">
        <w:trPr>
          <w:trHeight w:val="340"/>
        </w:trPr>
        <w:tc>
          <w:tcPr>
            <w:tcW w:w="2268" w:type="dxa"/>
            <w:vAlign w:val="center"/>
          </w:tcPr>
          <w:p w14:paraId="4AA94873" w14:textId="5B8ECBBF" w:rsidR="00170D4A" w:rsidRPr="00F21196" w:rsidRDefault="00170D4A" w:rsidP="00170D4A">
            <w:pPr>
              <w:spacing w:after="0" w:line="240" w:lineRule="auto"/>
              <w:rPr>
                <w:rFonts w:eastAsia="Times New Roman" w:cs="Calibri"/>
                <w:b/>
              </w:rPr>
            </w:pPr>
            <w:r>
              <w:rPr>
                <w:rFonts w:eastAsia="Times New Roman" w:cs="Calibri"/>
                <w:b/>
              </w:rPr>
              <w:t>ZUS</w:t>
            </w:r>
          </w:p>
        </w:tc>
        <w:tc>
          <w:tcPr>
            <w:tcW w:w="7650" w:type="dxa"/>
            <w:vAlign w:val="center"/>
          </w:tcPr>
          <w:p w14:paraId="5B4D48B4" w14:textId="102B3DB3" w:rsidR="00170D4A" w:rsidRPr="00F21196" w:rsidRDefault="00170D4A" w:rsidP="00170D4A">
            <w:pPr>
              <w:spacing w:after="0" w:line="240" w:lineRule="auto"/>
              <w:rPr>
                <w:rFonts w:eastAsia="Times New Roman" w:cs="Calibri"/>
                <w:sz w:val="20"/>
                <w:szCs w:val="20"/>
              </w:rPr>
            </w:pPr>
            <w:r>
              <w:rPr>
                <w:rFonts w:eastAsia="Times New Roman" w:cs="Calibri"/>
                <w:sz w:val="20"/>
                <w:szCs w:val="20"/>
              </w:rPr>
              <w:t>Zakład Ubezpieczeń Społecznych</w:t>
            </w:r>
          </w:p>
        </w:tc>
      </w:tr>
    </w:tbl>
    <w:p w14:paraId="0E44389A" w14:textId="77777777" w:rsidR="00F83E28" w:rsidRPr="00F21196" w:rsidRDefault="00F83E28" w:rsidP="000D49C1">
      <w:pPr>
        <w:spacing w:after="0" w:line="276" w:lineRule="auto"/>
        <w:rPr>
          <w:rFonts w:cs="Arial"/>
        </w:rPr>
      </w:pPr>
    </w:p>
    <w:p w14:paraId="6A3C28C9" w14:textId="77777777" w:rsidR="00F83E28" w:rsidRPr="00F21196" w:rsidRDefault="00F83E28" w:rsidP="000D49C1">
      <w:pPr>
        <w:spacing w:after="0" w:line="276" w:lineRule="auto"/>
        <w:rPr>
          <w:rFonts w:cs="Arial"/>
        </w:rPr>
      </w:pPr>
    </w:p>
    <w:p w14:paraId="20F593BE" w14:textId="77777777" w:rsidR="00F83E28" w:rsidRPr="00F21196" w:rsidRDefault="00F83E28" w:rsidP="000D49C1">
      <w:pPr>
        <w:spacing w:after="0" w:line="276" w:lineRule="auto"/>
        <w:rPr>
          <w:rFonts w:cs="Arial"/>
        </w:rPr>
      </w:pPr>
    </w:p>
    <w:p w14:paraId="0831A902" w14:textId="77777777" w:rsidR="006B466A" w:rsidRPr="00F21196" w:rsidRDefault="006B466A" w:rsidP="000D49C1">
      <w:pPr>
        <w:spacing w:after="0" w:line="276" w:lineRule="auto"/>
        <w:rPr>
          <w:rFonts w:eastAsia="Times New Roman" w:cstheme="minorHAnsi"/>
        </w:rPr>
      </w:pPr>
    </w:p>
    <w:sectPr w:rsidR="006B466A" w:rsidRPr="00F21196" w:rsidSect="00BA39D4">
      <w:pgSz w:w="11906" w:h="16838"/>
      <w:pgMar w:top="1418" w:right="1418" w:bottom="1418"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65991E" w14:textId="77777777" w:rsidR="00735E6E" w:rsidRDefault="00735E6E" w:rsidP="00307BDE">
      <w:pPr>
        <w:spacing w:after="0" w:line="240" w:lineRule="auto"/>
      </w:pPr>
      <w:r>
        <w:separator/>
      </w:r>
    </w:p>
  </w:endnote>
  <w:endnote w:type="continuationSeparator" w:id="0">
    <w:p w14:paraId="5D1B3608" w14:textId="77777777" w:rsidR="00735E6E" w:rsidRDefault="00735E6E" w:rsidP="00307B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Myriad Pro">
    <w:altName w:val="Arial"/>
    <w:panose1 w:val="00000000000000000000"/>
    <w:charset w:val="00"/>
    <w:family w:val="swiss"/>
    <w:notTrueType/>
    <w:pitch w:val="default"/>
    <w:sig w:usb0="00000001" w:usb1="00000000" w:usb2="00000000" w:usb3="00000000" w:csb0="00000003" w:csb1="00000000"/>
  </w:font>
  <w:font w:name="Times">
    <w:panose1 w:val="02020603050405020304"/>
    <w:charset w:val="EE"/>
    <w:family w:val="roman"/>
    <w:pitch w:val="variable"/>
    <w:sig w:usb0="E0002EFF" w:usb1="C000785B" w:usb2="00000009" w:usb3="00000000" w:csb0="000001FF" w:csb1="00000000"/>
  </w:font>
  <w:font w:name="Helvetica Neue">
    <w:altName w:val="Times New Roman"/>
    <w:charset w:val="00"/>
    <w:family w:val="roman"/>
    <w:pitch w:val="default"/>
    <w:sig w:usb0="00000003" w:usb1="00000000" w:usb2="00000000" w:usb3="00000000" w:csb0="00000001" w:csb1="00000000"/>
  </w:font>
  <w:font w:name="TimesNewRomanPS-BoldMT">
    <w:panose1 w:val="00000000000000000000"/>
    <w:charset w:val="EE"/>
    <w:family w:val="auto"/>
    <w:notTrueType/>
    <w:pitch w:val="default"/>
    <w:sig w:usb0="00000005" w:usb1="00000000" w:usb2="00000000" w:usb3="00000000" w:csb0="00000002" w:csb1="00000000"/>
  </w:font>
  <w:font w:name="TimesNewRomanPSMT">
    <w:altName w:val="MS Gothic"/>
    <w:panose1 w:val="00000000000000000000"/>
    <w:charset w:val="80"/>
    <w:family w:val="auto"/>
    <w:notTrueType/>
    <w:pitch w:val="default"/>
    <w:sig w:usb0="00000000" w:usb1="08070000" w:usb2="00000010" w:usb3="00000000" w:csb0="00020003" w:csb1="00000000"/>
  </w:font>
  <w:font w:name="Calibri,Italic">
    <w:panose1 w:val="00000000000000000000"/>
    <w:charset w:val="EE"/>
    <w:family w:val="auto"/>
    <w:notTrueType/>
    <w:pitch w:val="default"/>
    <w:sig w:usb0="00000005" w:usb1="00000000" w:usb2="00000000" w:usb3="00000000" w:csb0="00000002" w:csb1="00000000"/>
  </w:font>
  <w:font w:name="Calibri,Bold">
    <w:altName w:val="Times New Roman"/>
    <w:panose1 w:val="00000000000000000000"/>
    <w:charset w:val="EE"/>
    <w:family w:val="auto"/>
    <w:notTrueType/>
    <w:pitch w:val="default"/>
    <w:sig w:usb0="00000007" w:usb1="00000000" w:usb2="00000000" w:usb3="00000000" w:csb0="00000003" w:csb1="00000000"/>
  </w:font>
  <w:font w:name="A">
    <w:panose1 w:val="00000000000000000000"/>
    <w:charset w:val="EE"/>
    <w:family w:val="auto"/>
    <w:notTrueType/>
    <w:pitch w:val="default"/>
    <w:sig w:usb0="00000005" w:usb1="00000000" w:usb2="00000000" w:usb3="00000000" w:csb0="00000002" w:csb1="00000000"/>
  </w:font>
  <w:font w:name="Helv">
    <w:panose1 w:val="020B0604020202030204"/>
    <w:charset w:val="00"/>
    <w:family w:val="swiss"/>
    <w:notTrueType/>
    <w:pitch w:val="variable"/>
    <w:sig w:usb0="00000003" w:usb1="00000000" w:usb2="00000000" w:usb3="00000000" w:csb0="00000001" w:csb1="00000000"/>
  </w:font>
  <w:font w:name="Calibri,BoldItalic">
    <w:panose1 w:val="00000000000000000000"/>
    <w:charset w:val="EE"/>
    <w:family w:val="auto"/>
    <w:notTrueType/>
    <w:pitch w:val="default"/>
    <w:sig w:usb0="00000005" w:usb1="00000000" w:usb2="00000000" w:usb3="00000000" w:csb0="00000002" w:csb1="00000000"/>
  </w:font>
  <w:font w:name="ArialMT">
    <w:panose1 w:val="00000000000000000000"/>
    <w:charset w:val="EE"/>
    <w:family w:val="auto"/>
    <w:notTrueType/>
    <w:pitch w:val="default"/>
    <w:sig w:usb0="00000005" w:usb1="00000000" w:usb2="00000000" w:usb3="00000000" w:csb0="00000002" w:csb1="00000000"/>
  </w:font>
  <w:font w:name="DINPro">
    <w:panose1 w:val="00000000000000000000"/>
    <w:charset w:val="EE"/>
    <w:family w:val="swiss"/>
    <w:notTrueType/>
    <w:pitch w:val="default"/>
    <w:sig w:usb0="00000005" w:usb1="00000000" w:usb2="00000000" w:usb3="00000000" w:csb0="00000002" w:csb1="00000000"/>
  </w:font>
  <w:font w:name="TTE27ABA08t00">
    <w:altName w:val="Arial Unicode MS"/>
    <w:panose1 w:val="00000000000000000000"/>
    <w:charset w:val="80"/>
    <w:family w:val="auto"/>
    <w:notTrueType/>
    <w:pitch w:val="default"/>
    <w:sig w:usb0="00000001" w:usb1="08070000" w:usb2="00000010" w:usb3="00000000" w:csb0="00020000" w:csb1="00000000"/>
  </w:font>
  <w:font w:name="Candara">
    <w:panose1 w:val="020E0502030303020204"/>
    <w:charset w:val="EE"/>
    <w:family w:val="swiss"/>
    <w:pitch w:val="variable"/>
    <w:sig w:usb0="A00002EF" w:usb1="4000A44B" w:usb2="00000000" w:usb3="00000000" w:csb0="0000019F" w:csb1="00000000"/>
  </w:font>
  <w:font w:name="ECSquareSansPro">
    <w:panose1 w:val="00000000000000000000"/>
    <w:charset w:val="EE"/>
    <w:family w:val="auto"/>
    <w:notTrueType/>
    <w:pitch w:val="default"/>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TimesNewRoman">
    <w:altName w:val="Arial Unicode MS"/>
    <w:panose1 w:val="00000000000000000000"/>
    <w:charset w:val="00"/>
    <w:family w:val="roman"/>
    <w:notTrueType/>
    <w:pitch w:val="default"/>
    <w:sig w:usb0="00000007" w:usb1="08070000" w:usb2="00000010" w:usb3="00000000" w:csb0="00020003" w:csb1="00000000"/>
  </w:font>
  <w:font w:name="Calibri-Identity-H">
    <w:panose1 w:val="00000000000000000000"/>
    <w:charset w:val="EE"/>
    <w:family w:val="auto"/>
    <w:notTrueType/>
    <w:pitch w:val="default"/>
    <w:sig w:usb0="00000005" w:usb1="00000000" w:usb2="00000000" w:usb3="00000000" w:csb0="00000002" w:csb1="00000000"/>
  </w:font>
  <w:font w:name="Arial Unicode MS">
    <w:panose1 w:val="020B0604020202020204"/>
    <w:charset w:val="00"/>
    <w:family w:val="roman"/>
    <w:notTrueType/>
    <w:pitch w:val="variable"/>
    <w:sig w:usb0="00000003" w:usb1="00000000" w:usb2="00000000" w:usb3="00000000" w:csb0="00000001" w:csb1="00000000"/>
  </w:font>
  <w:font w:name="Microsoft YaHei UI">
    <w:panose1 w:val="020B0503020204020204"/>
    <w:charset w:val="86"/>
    <w:family w:val="swiss"/>
    <w:pitch w:val="variable"/>
    <w:sig w:usb0="80000287" w:usb1="2ACF3C50" w:usb2="00000016" w:usb3="00000000" w:csb0="0004001F" w:csb1="00000000"/>
  </w:font>
  <w:font w:name="Wingdings2">
    <w:altName w:val="Arial Unicode MS"/>
    <w:panose1 w:val="00000000000000000000"/>
    <w:charset w:val="88"/>
    <w:family w:val="auto"/>
    <w:notTrueType/>
    <w:pitch w:val="default"/>
    <w:sig w:usb0="00000001" w:usb1="08080000" w:usb2="00000010" w:usb3="00000000" w:csb0="00100000" w:csb1="00000000"/>
  </w:font>
  <w:font w:name="DINPro-Bold">
    <w:panose1 w:val="00000000000000000000"/>
    <w:charset w:val="EE"/>
    <w:family w:val="swiss"/>
    <w:notTrueType/>
    <w:pitch w:val="default"/>
    <w:sig w:usb0="00000005" w:usb1="00000000" w:usb2="00000000" w:usb3="00000000" w:csb0="00000002" w:csb1="00000000"/>
  </w:font>
  <w:font w:name="Arial,BoldItalic">
    <w:panose1 w:val="00000000000000000000"/>
    <w:charset w:val="EE"/>
    <w:family w:val="auto"/>
    <w:notTrueType/>
    <w:pitch w:val="default"/>
    <w:sig w:usb0="00000005" w:usb1="00000000" w:usb2="00000000" w:usb3="00000000" w:csb0="00000002" w:csb1="00000000"/>
  </w:font>
  <w:font w:name="Arial,Bold">
    <w:panose1 w:val="00000000000000000000"/>
    <w:charset w:val="EE"/>
    <w:family w:val="auto"/>
    <w:notTrueType/>
    <w:pitch w:val="default"/>
    <w:sig w:usb0="00000005" w:usb1="00000000" w:usb2="00000000" w:usb3="00000000" w:csb0="00000002" w:csb1="00000000"/>
  </w:font>
  <w:font w:name="HiddenHorzOCR">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ajorEastAsia" w:cstheme="majorBidi"/>
        <w:color w:val="2E74B5" w:themeColor="accent1" w:themeShade="BF"/>
        <w:sz w:val="20"/>
        <w:szCs w:val="20"/>
      </w:rPr>
      <w:id w:val="1610461756"/>
      <w:docPartObj>
        <w:docPartGallery w:val="Page Numbers (Bottom of Page)"/>
        <w:docPartUnique/>
      </w:docPartObj>
    </w:sdtPr>
    <w:sdtEndPr>
      <w:rPr>
        <w:rFonts w:asciiTheme="majorHAnsi" w:hAnsiTheme="majorHAnsi"/>
        <w:color w:val="auto"/>
        <w:sz w:val="28"/>
        <w:szCs w:val="28"/>
      </w:rPr>
    </w:sdtEndPr>
    <w:sdtContent>
      <w:p w14:paraId="0AF0C070" w14:textId="77777777" w:rsidR="005D4C4C" w:rsidRDefault="005D4C4C">
        <w:pPr>
          <w:pStyle w:val="Stopka"/>
          <w:jc w:val="right"/>
          <w:rPr>
            <w:rFonts w:asciiTheme="majorHAnsi" w:eastAsiaTheme="majorEastAsia" w:hAnsiTheme="majorHAnsi" w:cstheme="majorBidi"/>
            <w:sz w:val="28"/>
            <w:szCs w:val="28"/>
          </w:rPr>
        </w:pPr>
        <w:r w:rsidRPr="00C478E3">
          <w:rPr>
            <w:rFonts w:eastAsiaTheme="majorEastAsia" w:cstheme="majorBidi"/>
            <w:color w:val="2E74B5" w:themeColor="accent1" w:themeShade="BF"/>
            <w:sz w:val="20"/>
            <w:szCs w:val="20"/>
          </w:rPr>
          <w:t xml:space="preserve">str. </w:t>
        </w:r>
        <w:r w:rsidRPr="00C478E3">
          <w:rPr>
            <w:rFonts w:eastAsiaTheme="minorEastAsia" w:cs="Times New Roman"/>
            <w:color w:val="2E74B5" w:themeColor="accent1" w:themeShade="BF"/>
            <w:sz w:val="20"/>
            <w:szCs w:val="20"/>
          </w:rPr>
          <w:fldChar w:fldCharType="begin"/>
        </w:r>
        <w:r w:rsidRPr="00C478E3">
          <w:rPr>
            <w:color w:val="2E74B5" w:themeColor="accent1" w:themeShade="BF"/>
            <w:sz w:val="20"/>
            <w:szCs w:val="20"/>
          </w:rPr>
          <w:instrText>PAGE    \* MERGEFORMAT</w:instrText>
        </w:r>
        <w:r w:rsidRPr="00C478E3">
          <w:rPr>
            <w:rFonts w:eastAsiaTheme="minorEastAsia" w:cs="Times New Roman"/>
            <w:color w:val="2E74B5" w:themeColor="accent1" w:themeShade="BF"/>
            <w:sz w:val="20"/>
            <w:szCs w:val="20"/>
          </w:rPr>
          <w:fldChar w:fldCharType="separate"/>
        </w:r>
        <w:r w:rsidR="00431D5C" w:rsidRPr="00431D5C">
          <w:rPr>
            <w:rFonts w:eastAsiaTheme="majorEastAsia" w:cstheme="majorBidi"/>
            <w:noProof/>
            <w:color w:val="2E74B5" w:themeColor="accent1" w:themeShade="BF"/>
            <w:sz w:val="20"/>
            <w:szCs w:val="20"/>
          </w:rPr>
          <w:t>2</w:t>
        </w:r>
        <w:r w:rsidRPr="00C478E3">
          <w:rPr>
            <w:rFonts w:eastAsiaTheme="majorEastAsia" w:cstheme="majorBidi"/>
            <w:color w:val="2E74B5" w:themeColor="accent1" w:themeShade="BF"/>
            <w:sz w:val="20"/>
            <w:szCs w:val="20"/>
          </w:rPr>
          <w:fldChar w:fldCharType="end"/>
        </w:r>
      </w:p>
    </w:sdtContent>
  </w:sdt>
  <w:p w14:paraId="51132F20" w14:textId="77777777" w:rsidR="005D4C4C" w:rsidRDefault="005D4C4C">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ajorEastAsia" w:cstheme="majorBidi"/>
        <w:color w:val="2E74B5" w:themeColor="accent1" w:themeShade="BF"/>
        <w:sz w:val="20"/>
        <w:szCs w:val="20"/>
      </w:rPr>
      <w:id w:val="-1833522340"/>
      <w:docPartObj>
        <w:docPartGallery w:val="Page Numbers (Bottom of Page)"/>
        <w:docPartUnique/>
      </w:docPartObj>
    </w:sdtPr>
    <w:sdtEndPr>
      <w:rPr>
        <w:rFonts w:asciiTheme="majorHAnsi" w:hAnsiTheme="majorHAnsi"/>
        <w:color w:val="auto"/>
        <w:sz w:val="28"/>
        <w:szCs w:val="28"/>
      </w:rPr>
    </w:sdtEndPr>
    <w:sdtContent>
      <w:p w14:paraId="26BDCE04" w14:textId="77777777" w:rsidR="005D4C4C" w:rsidRDefault="005D4C4C">
        <w:pPr>
          <w:pStyle w:val="Stopka"/>
          <w:jc w:val="right"/>
          <w:rPr>
            <w:rFonts w:asciiTheme="majorHAnsi" w:eastAsiaTheme="majorEastAsia" w:hAnsiTheme="majorHAnsi" w:cstheme="majorBidi"/>
            <w:sz w:val="28"/>
            <w:szCs w:val="28"/>
          </w:rPr>
        </w:pPr>
        <w:r w:rsidRPr="00C478E3">
          <w:rPr>
            <w:rFonts w:eastAsiaTheme="majorEastAsia" w:cstheme="majorBidi"/>
            <w:color w:val="2E74B5" w:themeColor="accent1" w:themeShade="BF"/>
            <w:sz w:val="20"/>
            <w:szCs w:val="20"/>
          </w:rPr>
          <w:t xml:space="preserve">str. </w:t>
        </w:r>
        <w:r w:rsidRPr="00C478E3">
          <w:rPr>
            <w:rFonts w:eastAsiaTheme="minorEastAsia" w:cs="Times New Roman"/>
            <w:color w:val="2E74B5" w:themeColor="accent1" w:themeShade="BF"/>
            <w:sz w:val="20"/>
            <w:szCs w:val="20"/>
          </w:rPr>
          <w:fldChar w:fldCharType="begin"/>
        </w:r>
        <w:r w:rsidRPr="00C478E3">
          <w:rPr>
            <w:color w:val="2E74B5" w:themeColor="accent1" w:themeShade="BF"/>
            <w:sz w:val="20"/>
            <w:szCs w:val="20"/>
          </w:rPr>
          <w:instrText>PAGE    \* MERGEFORMAT</w:instrText>
        </w:r>
        <w:r w:rsidRPr="00C478E3">
          <w:rPr>
            <w:rFonts w:eastAsiaTheme="minorEastAsia" w:cs="Times New Roman"/>
            <w:color w:val="2E74B5" w:themeColor="accent1" w:themeShade="BF"/>
            <w:sz w:val="20"/>
            <w:szCs w:val="20"/>
          </w:rPr>
          <w:fldChar w:fldCharType="separate"/>
        </w:r>
        <w:r w:rsidR="006032AF" w:rsidRPr="006032AF">
          <w:rPr>
            <w:rFonts w:eastAsiaTheme="majorEastAsia" w:cstheme="majorBidi"/>
            <w:noProof/>
            <w:color w:val="2E74B5" w:themeColor="accent1" w:themeShade="BF"/>
            <w:sz w:val="20"/>
            <w:szCs w:val="20"/>
          </w:rPr>
          <w:t>13</w:t>
        </w:r>
        <w:r w:rsidRPr="00C478E3">
          <w:rPr>
            <w:rFonts w:eastAsiaTheme="majorEastAsia" w:cstheme="majorBidi"/>
            <w:color w:val="2E74B5" w:themeColor="accent1" w:themeShade="BF"/>
            <w:sz w:val="20"/>
            <w:szCs w:val="20"/>
          </w:rPr>
          <w:fldChar w:fldCharType="end"/>
        </w:r>
      </w:p>
    </w:sdtContent>
  </w:sdt>
  <w:p w14:paraId="5A9538A8" w14:textId="77777777" w:rsidR="005D4C4C" w:rsidRDefault="005D4C4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190F86" w14:textId="77777777" w:rsidR="00735E6E" w:rsidRDefault="00735E6E" w:rsidP="00307BDE">
      <w:pPr>
        <w:spacing w:after="0" w:line="240" w:lineRule="auto"/>
      </w:pPr>
      <w:r>
        <w:separator/>
      </w:r>
    </w:p>
  </w:footnote>
  <w:footnote w:type="continuationSeparator" w:id="0">
    <w:p w14:paraId="4B240CAD" w14:textId="77777777" w:rsidR="00735E6E" w:rsidRDefault="00735E6E" w:rsidP="00307BDE">
      <w:pPr>
        <w:spacing w:after="0" w:line="240" w:lineRule="auto"/>
      </w:pPr>
      <w:r>
        <w:continuationSeparator/>
      </w:r>
    </w:p>
  </w:footnote>
  <w:footnote w:id="1">
    <w:p w14:paraId="4CFDB50D" w14:textId="343EAC14" w:rsidR="005D4C4C" w:rsidRPr="007F5216" w:rsidRDefault="005D4C4C" w:rsidP="00890665">
      <w:pPr>
        <w:pStyle w:val="Default"/>
        <w:spacing w:before="60"/>
        <w:ind w:left="142" w:hanging="142"/>
        <w:jc w:val="both"/>
        <w:rPr>
          <w:rFonts w:asciiTheme="minorHAnsi" w:hAnsiTheme="minorHAnsi"/>
          <w:color w:val="auto"/>
          <w:sz w:val="18"/>
          <w:szCs w:val="18"/>
        </w:rPr>
      </w:pPr>
      <w:r w:rsidRPr="007F5216">
        <w:rPr>
          <w:rStyle w:val="Odwoanieprzypisudolnego"/>
          <w:rFonts w:asciiTheme="minorHAnsi" w:hAnsiTheme="minorHAnsi"/>
          <w:color w:val="auto"/>
          <w:sz w:val="18"/>
          <w:szCs w:val="18"/>
        </w:rPr>
        <w:footnoteRef/>
      </w:r>
      <w:r w:rsidRPr="007F5216">
        <w:rPr>
          <w:rFonts w:asciiTheme="minorHAnsi" w:hAnsiTheme="minorHAnsi"/>
          <w:color w:val="auto"/>
          <w:sz w:val="18"/>
          <w:szCs w:val="18"/>
        </w:rPr>
        <w:t xml:space="preserve"> Prace prowadzone w ramach grup roboczych b. Ministerstwa Rozwoju, z wykorzystaniem materiałów uzupełniających przygotowanych przez poszczególne ministerstwa oraz pomysłów zgłaszanych przez obywateli i środowiska opiniotwórcze.</w:t>
      </w:r>
    </w:p>
  </w:footnote>
  <w:footnote w:id="2">
    <w:p w14:paraId="3C178E03" w14:textId="60C3BF21" w:rsidR="005D4C4C" w:rsidRPr="007F5216" w:rsidRDefault="005D4C4C" w:rsidP="00890665">
      <w:pPr>
        <w:autoSpaceDE w:val="0"/>
        <w:autoSpaceDN w:val="0"/>
        <w:adjustRightInd w:val="0"/>
        <w:spacing w:before="60" w:after="0" w:line="240" w:lineRule="auto"/>
        <w:ind w:left="142" w:hanging="142"/>
        <w:jc w:val="both"/>
        <w:rPr>
          <w:sz w:val="18"/>
          <w:szCs w:val="18"/>
        </w:rPr>
      </w:pPr>
      <w:r w:rsidRPr="007F5216">
        <w:rPr>
          <w:rStyle w:val="Odwoanieprzypisudolnego"/>
          <w:sz w:val="18"/>
          <w:szCs w:val="18"/>
        </w:rPr>
        <w:footnoteRef/>
      </w:r>
      <w:r w:rsidRPr="007F5216">
        <w:rPr>
          <w:sz w:val="18"/>
          <w:szCs w:val="18"/>
        </w:rPr>
        <w:t xml:space="preserve"> </w:t>
      </w:r>
      <w:r w:rsidRPr="007F5216">
        <w:rPr>
          <w:rFonts w:cs="TimesNewRomanPS-BoldMT"/>
          <w:bCs/>
          <w:sz w:val="18"/>
          <w:szCs w:val="18"/>
        </w:rPr>
        <w:t xml:space="preserve">Uchwała </w:t>
      </w:r>
      <w:r>
        <w:rPr>
          <w:rFonts w:cs="TimesNewRomanPS-BoldMT"/>
          <w:bCs/>
          <w:sz w:val="18"/>
          <w:szCs w:val="18"/>
        </w:rPr>
        <w:t>n</w:t>
      </w:r>
      <w:r w:rsidRPr="007F5216">
        <w:rPr>
          <w:rFonts w:cs="TimesNewRomanPS-BoldMT"/>
          <w:bCs/>
          <w:sz w:val="18"/>
          <w:szCs w:val="18"/>
        </w:rPr>
        <w:t xml:space="preserve">r 8 Rady Ministrów </w:t>
      </w:r>
      <w:r w:rsidRPr="007F5216">
        <w:rPr>
          <w:rFonts w:cs="TimesNewRomanPSMT"/>
          <w:sz w:val="18"/>
          <w:szCs w:val="18"/>
        </w:rPr>
        <w:t xml:space="preserve">z dnia 14 lutego 2017 r. </w:t>
      </w:r>
      <w:r w:rsidRPr="007F5216">
        <w:rPr>
          <w:rFonts w:cs="TimesNewRomanPS-BoldMT"/>
          <w:bCs/>
          <w:sz w:val="18"/>
          <w:szCs w:val="18"/>
        </w:rPr>
        <w:t>w sprawie przyjęcia Strategii na rzecz Odpowiedzialnego Rozwoju do roku 2020 (z perspektywą do 2030 r.) - M.P. poz. 260.</w:t>
      </w:r>
    </w:p>
  </w:footnote>
  <w:footnote w:id="3">
    <w:p w14:paraId="6EAFDE35" w14:textId="508836C5" w:rsidR="005D4C4C" w:rsidRPr="007F5216" w:rsidRDefault="005D4C4C" w:rsidP="00890665">
      <w:pPr>
        <w:pStyle w:val="Default"/>
        <w:spacing w:before="60"/>
        <w:ind w:left="142" w:hanging="142"/>
        <w:jc w:val="both"/>
        <w:rPr>
          <w:rFonts w:asciiTheme="minorHAnsi" w:hAnsiTheme="minorHAnsi"/>
          <w:sz w:val="18"/>
          <w:szCs w:val="18"/>
        </w:rPr>
      </w:pPr>
      <w:r w:rsidRPr="007F5216">
        <w:rPr>
          <w:rStyle w:val="Odwoanieprzypisudolnego"/>
          <w:rFonts w:asciiTheme="minorHAnsi" w:hAnsiTheme="minorHAnsi"/>
          <w:sz w:val="18"/>
          <w:szCs w:val="18"/>
        </w:rPr>
        <w:footnoteRef/>
      </w:r>
      <w:r w:rsidRPr="007F5216">
        <w:rPr>
          <w:rFonts w:asciiTheme="minorHAnsi" w:hAnsiTheme="minorHAnsi"/>
          <w:sz w:val="18"/>
          <w:szCs w:val="18"/>
        </w:rPr>
        <w:t xml:space="preserve"> </w:t>
      </w:r>
      <w:r w:rsidRPr="007F5216">
        <w:rPr>
          <w:rFonts w:asciiTheme="minorHAnsi" w:hAnsiTheme="minorHAnsi" w:cs="Times New Roman"/>
          <w:bCs/>
          <w:sz w:val="18"/>
          <w:szCs w:val="18"/>
        </w:rPr>
        <w:t xml:space="preserve">Uchwała </w:t>
      </w:r>
      <w:r>
        <w:rPr>
          <w:rFonts w:asciiTheme="minorHAnsi" w:hAnsiTheme="minorHAnsi" w:cs="Times New Roman"/>
          <w:bCs/>
          <w:sz w:val="18"/>
          <w:szCs w:val="18"/>
        </w:rPr>
        <w:t>n</w:t>
      </w:r>
      <w:r w:rsidRPr="007F5216">
        <w:rPr>
          <w:rFonts w:asciiTheme="minorHAnsi" w:hAnsiTheme="minorHAnsi" w:cs="Times New Roman"/>
          <w:bCs/>
          <w:sz w:val="18"/>
          <w:szCs w:val="18"/>
        </w:rPr>
        <w:t>r 157 Rady Ministrów</w:t>
      </w:r>
      <w:r w:rsidRPr="007F5216">
        <w:rPr>
          <w:rFonts w:asciiTheme="minorHAnsi" w:hAnsiTheme="minorHAnsi" w:cs="Times New Roman"/>
          <w:b/>
          <w:bCs/>
          <w:sz w:val="18"/>
          <w:szCs w:val="18"/>
        </w:rPr>
        <w:t xml:space="preserve"> </w:t>
      </w:r>
      <w:r w:rsidRPr="007F5216">
        <w:rPr>
          <w:rFonts w:asciiTheme="minorHAnsi" w:hAnsiTheme="minorHAnsi" w:cs="Times New Roman"/>
          <w:sz w:val="18"/>
          <w:szCs w:val="18"/>
        </w:rPr>
        <w:t xml:space="preserve">z dnia 25 września 2012 r. </w:t>
      </w:r>
      <w:r w:rsidRPr="007F5216">
        <w:rPr>
          <w:rFonts w:asciiTheme="minorHAnsi" w:hAnsiTheme="minorHAnsi"/>
          <w:bCs/>
          <w:sz w:val="18"/>
          <w:szCs w:val="18"/>
        </w:rPr>
        <w:t>w sprawie przyjęcia Strategii Rozwoju Kraju 2020 (M.P. poz. 882).</w:t>
      </w:r>
    </w:p>
  </w:footnote>
  <w:footnote w:id="4">
    <w:p w14:paraId="6E15E2BE" w14:textId="1C0D5BD5" w:rsidR="005D4C4C" w:rsidRPr="00890665" w:rsidRDefault="005D4C4C" w:rsidP="00890665">
      <w:pPr>
        <w:pStyle w:val="Nagwek"/>
        <w:spacing w:before="60"/>
        <w:ind w:left="142" w:hanging="142"/>
        <w:rPr>
          <w:rFonts w:cstheme="minorHAnsi"/>
          <w:sz w:val="18"/>
          <w:szCs w:val="18"/>
        </w:rPr>
      </w:pPr>
      <w:r>
        <w:rPr>
          <w:rStyle w:val="Odwoanieprzypisudolnego"/>
        </w:rPr>
        <w:footnoteRef/>
      </w:r>
      <w:r>
        <w:t xml:space="preserve"> </w:t>
      </w:r>
      <w:r w:rsidRPr="00890665">
        <w:rPr>
          <w:rFonts w:cstheme="minorHAnsi"/>
          <w:sz w:val="18"/>
          <w:szCs w:val="18"/>
        </w:rPr>
        <w:t>Raport cząstkowy dot. projektu strategii pt. Strategia Sprawne i Nowoczesne Państwo 2030, realizacja zamówienia pt. „Ewaluacja ex ante projektów 9 strategii rozwoju”, styczeń 2020</w:t>
      </w:r>
    </w:p>
  </w:footnote>
  <w:footnote w:id="5">
    <w:p w14:paraId="189F2559" w14:textId="2136EDC9" w:rsidR="005D4C4C" w:rsidRPr="00890665" w:rsidRDefault="005D4C4C" w:rsidP="00890665">
      <w:pPr>
        <w:pStyle w:val="Tekstprzypisudolnego"/>
        <w:spacing w:before="60"/>
        <w:rPr>
          <w:rFonts w:asciiTheme="minorHAnsi" w:hAnsiTheme="minorHAnsi" w:cstheme="minorHAnsi"/>
          <w:sz w:val="18"/>
          <w:szCs w:val="18"/>
        </w:rPr>
      </w:pPr>
      <w:r w:rsidRPr="00890665">
        <w:rPr>
          <w:rStyle w:val="Odwoanieprzypisudolnego"/>
          <w:rFonts w:asciiTheme="minorHAnsi" w:hAnsiTheme="minorHAnsi" w:cstheme="minorHAnsi"/>
          <w:sz w:val="18"/>
          <w:szCs w:val="18"/>
        </w:rPr>
        <w:footnoteRef/>
      </w:r>
      <w:r w:rsidRPr="00890665">
        <w:rPr>
          <w:rFonts w:asciiTheme="minorHAnsi" w:hAnsiTheme="minorHAnsi" w:cstheme="minorHAnsi"/>
          <w:sz w:val="18"/>
          <w:szCs w:val="18"/>
        </w:rPr>
        <w:t xml:space="preserve"> Dz. U. z 2019 r. poz. 1295 i 2020 oraz z 2020 r. poz. 1378</w:t>
      </w:r>
    </w:p>
  </w:footnote>
  <w:footnote w:id="6">
    <w:p w14:paraId="6BEC7E47" w14:textId="14A9FEFB" w:rsidR="005D4C4C" w:rsidRPr="00E14C1D" w:rsidRDefault="005D4C4C" w:rsidP="00890665">
      <w:pPr>
        <w:pStyle w:val="Tekstprzypisudolnego"/>
        <w:spacing w:before="60"/>
        <w:ind w:left="142" w:hanging="142"/>
        <w:jc w:val="both"/>
        <w:rPr>
          <w:rFonts w:asciiTheme="minorHAnsi" w:hAnsiTheme="minorHAnsi"/>
          <w:sz w:val="18"/>
          <w:szCs w:val="18"/>
        </w:rPr>
      </w:pPr>
      <w:r w:rsidRPr="00890665">
        <w:rPr>
          <w:rStyle w:val="Odwoanieprzypisudolnego"/>
          <w:rFonts w:asciiTheme="minorHAnsi" w:hAnsiTheme="minorHAnsi" w:cstheme="minorHAnsi"/>
          <w:sz w:val="18"/>
          <w:szCs w:val="18"/>
        </w:rPr>
        <w:footnoteRef/>
      </w:r>
      <w:r w:rsidRPr="00890665">
        <w:rPr>
          <w:rFonts w:asciiTheme="minorHAnsi" w:hAnsiTheme="minorHAnsi" w:cstheme="minorHAnsi"/>
          <w:sz w:val="18"/>
          <w:szCs w:val="18"/>
        </w:rPr>
        <w:t xml:space="preserve"> Uchwała </w:t>
      </w:r>
      <w:r>
        <w:rPr>
          <w:rFonts w:asciiTheme="minorHAnsi" w:hAnsiTheme="minorHAnsi" w:cstheme="minorHAnsi"/>
          <w:sz w:val="18"/>
          <w:szCs w:val="18"/>
        </w:rPr>
        <w:t>n</w:t>
      </w:r>
      <w:r w:rsidRPr="00890665">
        <w:rPr>
          <w:rFonts w:asciiTheme="minorHAnsi" w:hAnsiTheme="minorHAnsi" w:cstheme="minorHAnsi"/>
          <w:sz w:val="18"/>
          <w:szCs w:val="18"/>
        </w:rPr>
        <w:t>r 66 Komitetu Koordynacyjnego ds. Polityki Rozwoju z dnia 30 maja 2017 r. w sprawie powołania międzyresortowych zespołów ds. aktualizacji i monitorowania strategii rozwoju realizujących Strategię na rzecz Odpowiedzialnego Rozwoju do roku 2020 (z perspektywą</w:t>
      </w:r>
      <w:r w:rsidRPr="00E14C1D">
        <w:rPr>
          <w:rFonts w:asciiTheme="minorHAnsi" w:hAnsiTheme="minorHAnsi"/>
          <w:sz w:val="18"/>
          <w:szCs w:val="18"/>
        </w:rPr>
        <w:t xml:space="preserve"> do 2030 r.).</w:t>
      </w:r>
    </w:p>
  </w:footnote>
  <w:footnote w:id="7">
    <w:p w14:paraId="6AB560B4" w14:textId="58A7ADBC" w:rsidR="005D4C4C" w:rsidRDefault="005D4C4C" w:rsidP="00625358">
      <w:pPr>
        <w:pStyle w:val="Tekstprzypisudolnego"/>
        <w:ind w:left="142" w:hanging="142"/>
        <w:jc w:val="both"/>
      </w:pPr>
      <w:r w:rsidRPr="00E14C1D">
        <w:rPr>
          <w:rStyle w:val="Odwoanieprzypisudolnego"/>
          <w:rFonts w:asciiTheme="minorHAnsi" w:hAnsiTheme="minorHAnsi"/>
          <w:sz w:val="18"/>
        </w:rPr>
        <w:footnoteRef/>
      </w:r>
      <w:r w:rsidRPr="00E14C1D">
        <w:rPr>
          <w:rFonts w:asciiTheme="minorHAnsi" w:hAnsiTheme="minorHAnsi"/>
          <w:sz w:val="18"/>
        </w:rPr>
        <w:t xml:space="preserve"> </w:t>
      </w:r>
      <w:r w:rsidRPr="00E14C1D">
        <w:rPr>
          <w:rFonts w:asciiTheme="minorHAnsi" w:hAnsiTheme="minorHAnsi"/>
          <w:bCs/>
          <w:sz w:val="18"/>
        </w:rPr>
        <w:t xml:space="preserve">Uchwała </w:t>
      </w:r>
      <w:r w:rsidR="0064696B">
        <w:rPr>
          <w:rFonts w:asciiTheme="minorHAnsi" w:hAnsiTheme="minorHAnsi"/>
          <w:bCs/>
          <w:sz w:val="18"/>
        </w:rPr>
        <w:t>n</w:t>
      </w:r>
      <w:r w:rsidRPr="00E14C1D">
        <w:rPr>
          <w:rFonts w:asciiTheme="minorHAnsi" w:hAnsiTheme="minorHAnsi"/>
          <w:bCs/>
          <w:sz w:val="18"/>
        </w:rPr>
        <w:t>r 17 Rady Ministrów</w:t>
      </w:r>
      <w:r w:rsidRPr="00E14C1D">
        <w:rPr>
          <w:rFonts w:asciiTheme="minorHAnsi" w:hAnsiTheme="minorHAnsi"/>
          <w:b/>
          <w:bCs/>
          <w:sz w:val="18"/>
        </w:rPr>
        <w:t xml:space="preserve"> z</w:t>
      </w:r>
      <w:r w:rsidRPr="00E14C1D">
        <w:rPr>
          <w:rFonts w:asciiTheme="minorHAnsi" w:hAnsiTheme="minorHAnsi" w:cs="Calibri"/>
          <w:color w:val="000000"/>
          <w:sz w:val="18"/>
        </w:rPr>
        <w:t xml:space="preserve"> dnia 12 lutego 2013 r. w sprawie przyjęcia strategii „Sprawne Państwo 2020 - M.P. z 2013 r. poz. 136.</w:t>
      </w:r>
    </w:p>
  </w:footnote>
  <w:footnote w:id="8">
    <w:p w14:paraId="4B4BBD6B" w14:textId="77777777" w:rsidR="005D4C4C" w:rsidRPr="00E14C1D" w:rsidRDefault="005D4C4C" w:rsidP="00F7612E">
      <w:pPr>
        <w:pStyle w:val="Tekstprzypisudolnego"/>
        <w:spacing w:after="60"/>
        <w:ind w:left="142" w:hanging="142"/>
        <w:jc w:val="both"/>
        <w:rPr>
          <w:rFonts w:asciiTheme="minorHAnsi" w:hAnsiTheme="minorHAnsi"/>
          <w:sz w:val="18"/>
        </w:rPr>
      </w:pPr>
      <w:r w:rsidRPr="00E14C1D">
        <w:rPr>
          <w:rStyle w:val="Odwoanieprzypisudolnego"/>
          <w:rFonts w:asciiTheme="minorHAnsi" w:hAnsiTheme="minorHAnsi"/>
          <w:sz w:val="18"/>
        </w:rPr>
        <w:footnoteRef/>
      </w:r>
      <w:r w:rsidRPr="00E14C1D">
        <w:rPr>
          <w:rFonts w:asciiTheme="minorHAnsi" w:hAnsiTheme="minorHAnsi"/>
          <w:sz w:val="18"/>
        </w:rPr>
        <w:t xml:space="preserve"> </w:t>
      </w:r>
      <w:r w:rsidRPr="00E14C1D">
        <w:rPr>
          <w:rFonts w:asciiTheme="minorHAnsi" w:hAnsiTheme="minorHAnsi" w:cs="Calibri"/>
          <w:bCs/>
          <w:sz w:val="18"/>
        </w:rPr>
        <w:t>Na</w:t>
      </w:r>
      <w:r w:rsidRPr="00E14C1D">
        <w:rPr>
          <w:rFonts w:asciiTheme="minorHAnsi" w:hAnsiTheme="minorHAnsi" w:cs="Arial"/>
          <w:sz w:val="18"/>
        </w:rPr>
        <w:t xml:space="preserve"> podstawie dostępnych danych, ekspertyz, prognoz, opinii</w:t>
      </w:r>
      <w:r w:rsidRPr="00E14C1D">
        <w:rPr>
          <w:rStyle w:val="Odwoanieprzypisudolnego"/>
          <w:rFonts w:asciiTheme="minorHAnsi" w:hAnsiTheme="minorHAnsi" w:cs="Arial"/>
          <w:sz w:val="18"/>
        </w:rPr>
        <w:footnoteRef/>
      </w:r>
      <w:r w:rsidRPr="00E14C1D">
        <w:rPr>
          <w:rFonts w:asciiTheme="minorHAnsi" w:hAnsiTheme="minorHAnsi" w:cs="Arial"/>
          <w:sz w:val="18"/>
        </w:rPr>
        <w:t>.</w:t>
      </w:r>
      <w:r w:rsidRPr="00E14C1D">
        <w:rPr>
          <w:rFonts w:asciiTheme="minorHAnsi" w:hAnsiTheme="minorHAnsi" w:cs="Calibri"/>
          <w:sz w:val="18"/>
        </w:rPr>
        <w:t xml:space="preserve"> Dla potrzeb niniejszej strategii wykorzystano prognozy zaczerpnięte z: Wieloletniego Planu Finansowego Państwa na lata 2017-2020, Programu Konwergencji. Aktualizacja 2017, Krajowego Programu Reform Europa 2020. Aktualizacja 2017/2018, Raportu o rozwoju społeczno-gospodarczym, regionalnym oraz przestrzennym oraz Strategii na rzecz Odpowiedzialnego Rozwoju do roku 2020 (z perspektywą do 2030 r.).</w:t>
      </w:r>
    </w:p>
    <w:p w14:paraId="33AE9E85" w14:textId="77777777" w:rsidR="005D4C4C" w:rsidRDefault="005D4C4C">
      <w:pPr>
        <w:pStyle w:val="Tekstprzypisudolnego"/>
      </w:pPr>
    </w:p>
  </w:footnote>
  <w:footnote w:id="9">
    <w:p w14:paraId="4D041654" w14:textId="33C0FB3C" w:rsidR="005D4C4C" w:rsidRPr="00D50D40" w:rsidRDefault="005D4C4C" w:rsidP="006611F7">
      <w:pPr>
        <w:spacing w:after="60"/>
        <w:ind w:left="142" w:hanging="142"/>
        <w:jc w:val="both"/>
        <w:rPr>
          <w:sz w:val="18"/>
          <w:szCs w:val="18"/>
        </w:rPr>
      </w:pPr>
      <w:r w:rsidRPr="00D50D40">
        <w:rPr>
          <w:rStyle w:val="Odwoanieprzypisudolnego"/>
          <w:sz w:val="18"/>
          <w:szCs w:val="18"/>
        </w:rPr>
        <w:footnoteRef/>
      </w:r>
      <w:r w:rsidRPr="00D50D40">
        <w:rPr>
          <w:sz w:val="18"/>
          <w:szCs w:val="18"/>
        </w:rPr>
        <w:t xml:space="preserve"> Zgodnie z art. 15 ust. 4 pkt 2 ustawy </w:t>
      </w:r>
      <w:r w:rsidRPr="00D50D40">
        <w:rPr>
          <w:rFonts w:cs="A"/>
          <w:sz w:val="18"/>
          <w:szCs w:val="18"/>
        </w:rPr>
        <w:t xml:space="preserve">z dnia 6 grudnia 2006 r. </w:t>
      </w:r>
      <w:r w:rsidRPr="00D50D40">
        <w:rPr>
          <w:rFonts w:cs="A"/>
          <w:bCs/>
          <w:i/>
          <w:sz w:val="18"/>
          <w:szCs w:val="18"/>
        </w:rPr>
        <w:t>o zasadach prowadzenia polityki rozwoju</w:t>
      </w:r>
      <w:r w:rsidRPr="00D50D40">
        <w:rPr>
          <w:rFonts w:cs="A"/>
          <w:b/>
          <w:bCs/>
          <w:sz w:val="18"/>
          <w:szCs w:val="18"/>
        </w:rPr>
        <w:t xml:space="preserve"> </w:t>
      </w:r>
      <w:r w:rsidRPr="00DF4C05">
        <w:rPr>
          <w:rFonts w:cs="A"/>
          <w:bCs/>
          <w:sz w:val="18"/>
          <w:szCs w:val="18"/>
        </w:rPr>
        <w:t>(Dz.U. z 2019 r. poz. 1295</w:t>
      </w:r>
      <w:r>
        <w:rPr>
          <w:rFonts w:cs="A"/>
          <w:bCs/>
          <w:sz w:val="18"/>
          <w:szCs w:val="18"/>
        </w:rPr>
        <w:t>, z późn. zm.</w:t>
      </w:r>
      <w:r w:rsidRPr="00DF4C05">
        <w:rPr>
          <w:rFonts w:cs="A"/>
          <w:bCs/>
          <w:sz w:val="18"/>
          <w:szCs w:val="18"/>
        </w:rPr>
        <w:t>)</w:t>
      </w:r>
      <w:r w:rsidRPr="00D50D40">
        <w:rPr>
          <w:rFonts w:cs="A"/>
          <w:b/>
          <w:bCs/>
          <w:sz w:val="18"/>
          <w:szCs w:val="18"/>
        </w:rPr>
        <w:t xml:space="preserve"> </w:t>
      </w:r>
      <w:r w:rsidRPr="00D50D40">
        <w:rPr>
          <w:rFonts w:cs="A"/>
          <w:sz w:val="18"/>
          <w:szCs w:val="18"/>
        </w:rPr>
        <w:t>programy rozwoju - dokumenty realizujące cele zawarte w strategiach rozwoju, o których mowa w art. 9 pkt 3, oraz programy wieloletnie, o których mowa w przepisach o finansach publicznych.</w:t>
      </w:r>
    </w:p>
  </w:footnote>
  <w:footnote w:id="10">
    <w:p w14:paraId="1E8F368B" w14:textId="6E4827D8" w:rsidR="005D4C4C" w:rsidRPr="0007464E" w:rsidRDefault="005D4C4C">
      <w:pPr>
        <w:pStyle w:val="Tekstprzypisudolnego"/>
        <w:rPr>
          <w:rFonts w:asciiTheme="minorHAnsi" w:hAnsiTheme="minorHAnsi" w:cstheme="minorHAnsi"/>
        </w:rPr>
      </w:pPr>
      <w:r w:rsidRPr="0007464E">
        <w:rPr>
          <w:rStyle w:val="Odwoanieprzypisudolnego"/>
          <w:rFonts w:asciiTheme="minorHAnsi" w:hAnsiTheme="minorHAnsi" w:cstheme="minorHAnsi"/>
          <w:sz w:val="18"/>
        </w:rPr>
        <w:footnoteRef/>
      </w:r>
      <w:r w:rsidRPr="0007464E">
        <w:rPr>
          <w:rFonts w:asciiTheme="minorHAnsi" w:hAnsiTheme="minorHAnsi" w:cstheme="minorHAnsi"/>
          <w:sz w:val="18"/>
        </w:rPr>
        <w:t xml:space="preserve"> Program realizuje </w:t>
      </w:r>
      <w:r>
        <w:rPr>
          <w:rFonts w:asciiTheme="minorHAnsi" w:hAnsiTheme="minorHAnsi" w:cstheme="minorHAnsi"/>
          <w:sz w:val="18"/>
        </w:rPr>
        <w:t>minister właściwy do spraw kultury fizycznej.</w:t>
      </w:r>
    </w:p>
  </w:footnote>
  <w:footnote w:id="11">
    <w:p w14:paraId="6D7DC1E6" w14:textId="61B62763" w:rsidR="005D4C4C" w:rsidRPr="00CA77B6" w:rsidRDefault="005D4C4C" w:rsidP="00EE5DE2">
      <w:pPr>
        <w:pStyle w:val="Tekstprzypisudolnego"/>
        <w:spacing w:after="60"/>
        <w:ind w:left="142" w:hanging="153"/>
        <w:jc w:val="both"/>
        <w:rPr>
          <w:rFonts w:asciiTheme="minorHAnsi" w:hAnsiTheme="minorHAnsi" w:cstheme="minorHAnsi"/>
          <w:sz w:val="18"/>
          <w:szCs w:val="18"/>
        </w:rPr>
      </w:pPr>
      <w:r w:rsidRPr="00CA77B6">
        <w:rPr>
          <w:rStyle w:val="Odwoanieprzypisudolnego"/>
          <w:rFonts w:asciiTheme="minorHAnsi" w:hAnsiTheme="minorHAnsi" w:cstheme="minorHAnsi"/>
          <w:sz w:val="18"/>
          <w:szCs w:val="18"/>
        </w:rPr>
        <w:footnoteRef/>
      </w:r>
      <w:r w:rsidRPr="00CA77B6">
        <w:rPr>
          <w:rFonts w:asciiTheme="minorHAnsi" w:hAnsiTheme="minorHAnsi" w:cstheme="minorHAnsi"/>
          <w:sz w:val="18"/>
          <w:szCs w:val="18"/>
        </w:rPr>
        <w:t xml:space="preserve"> Prowadzone są prace nad przyjęciem Strategii Produktywności, zastępującą Strategię Innowacyjności i Efektywności Gospo</w:t>
      </w:r>
      <w:r>
        <w:rPr>
          <w:rFonts w:asciiTheme="minorHAnsi" w:hAnsiTheme="minorHAnsi" w:cstheme="minorHAnsi"/>
          <w:sz w:val="18"/>
          <w:szCs w:val="18"/>
        </w:rPr>
        <w:t>darki "Dynamiczna Polska 2020"</w:t>
      </w:r>
      <w:r w:rsidRPr="00CA77B6">
        <w:rPr>
          <w:rFonts w:asciiTheme="minorHAnsi" w:hAnsiTheme="minorHAnsi" w:cstheme="minorHAnsi"/>
          <w:sz w:val="18"/>
          <w:szCs w:val="18"/>
        </w:rPr>
        <w:t>.</w:t>
      </w:r>
    </w:p>
  </w:footnote>
  <w:footnote w:id="12">
    <w:p w14:paraId="0C848E04" w14:textId="286D3F4A" w:rsidR="005D4C4C" w:rsidRPr="00CA77B6" w:rsidRDefault="005D4C4C" w:rsidP="00EE5DE2">
      <w:pPr>
        <w:pStyle w:val="Tekstprzypisudolnego"/>
        <w:spacing w:after="60"/>
        <w:ind w:left="142" w:hanging="153"/>
        <w:jc w:val="both"/>
        <w:rPr>
          <w:rFonts w:asciiTheme="minorHAnsi" w:hAnsiTheme="minorHAnsi"/>
          <w:sz w:val="18"/>
          <w:szCs w:val="18"/>
        </w:rPr>
      </w:pPr>
      <w:r w:rsidRPr="00CA77B6">
        <w:rPr>
          <w:rStyle w:val="Odwoanieprzypisudolnego"/>
          <w:rFonts w:asciiTheme="minorHAnsi" w:hAnsiTheme="minorHAnsi"/>
          <w:sz w:val="18"/>
          <w:szCs w:val="18"/>
        </w:rPr>
        <w:footnoteRef/>
      </w:r>
      <w:r w:rsidRPr="00CA77B6">
        <w:rPr>
          <w:rFonts w:asciiTheme="minorHAnsi" w:hAnsiTheme="minorHAnsi"/>
          <w:sz w:val="18"/>
          <w:szCs w:val="18"/>
        </w:rPr>
        <w:t xml:space="preserve"> </w:t>
      </w:r>
      <w:r w:rsidRPr="00CA77B6">
        <w:rPr>
          <w:rFonts w:asciiTheme="minorHAnsi" w:hAnsiTheme="minorHAnsi" w:cstheme="minorHAnsi"/>
          <w:sz w:val="18"/>
          <w:szCs w:val="18"/>
        </w:rPr>
        <w:t xml:space="preserve">Prowadzone są obecnie prace nad aktualizacją Strategii Rozwoju Kapitału </w:t>
      </w:r>
      <w:r>
        <w:rPr>
          <w:rFonts w:asciiTheme="minorHAnsi" w:hAnsiTheme="minorHAnsi" w:cstheme="minorHAnsi"/>
          <w:sz w:val="18"/>
          <w:szCs w:val="18"/>
        </w:rPr>
        <w:t>Ludzkiego 2020</w:t>
      </w:r>
      <w:r w:rsidRPr="00CA77B6">
        <w:rPr>
          <w:rFonts w:asciiTheme="minorHAnsi" w:hAnsiTheme="minorHAnsi" w:cstheme="minorHAnsi"/>
          <w:sz w:val="18"/>
          <w:szCs w:val="18"/>
        </w:rPr>
        <w:t xml:space="preserve">. </w:t>
      </w:r>
    </w:p>
  </w:footnote>
  <w:footnote w:id="13">
    <w:p w14:paraId="5448F3DD" w14:textId="626BC3ED" w:rsidR="005D4C4C" w:rsidRPr="00CA77B6" w:rsidRDefault="005D4C4C" w:rsidP="00EE5DE2">
      <w:pPr>
        <w:pStyle w:val="Tekstprzypisudolnego"/>
        <w:spacing w:after="60"/>
        <w:ind w:left="142" w:hanging="153"/>
        <w:jc w:val="both"/>
        <w:rPr>
          <w:rFonts w:asciiTheme="minorHAnsi" w:hAnsiTheme="minorHAnsi" w:cstheme="minorHAnsi"/>
          <w:sz w:val="18"/>
          <w:szCs w:val="18"/>
        </w:rPr>
      </w:pPr>
      <w:r w:rsidRPr="00CA77B6">
        <w:rPr>
          <w:rStyle w:val="Odwoanieprzypisudolnego"/>
          <w:rFonts w:asciiTheme="minorHAnsi" w:hAnsiTheme="minorHAnsi" w:cstheme="minorHAnsi"/>
          <w:sz w:val="18"/>
          <w:szCs w:val="18"/>
        </w:rPr>
        <w:footnoteRef/>
      </w:r>
      <w:r w:rsidRPr="00CA77B6">
        <w:rPr>
          <w:rFonts w:asciiTheme="minorHAnsi" w:hAnsiTheme="minorHAnsi" w:cstheme="minorHAnsi"/>
          <w:sz w:val="18"/>
          <w:szCs w:val="18"/>
        </w:rPr>
        <w:t xml:space="preserve"> Prowadzone są prace nad aktualizacją Strategii Rozwoju Kapitału Społecznego 20</w:t>
      </w:r>
      <w:r>
        <w:rPr>
          <w:rFonts w:asciiTheme="minorHAnsi" w:hAnsiTheme="minorHAnsi" w:cstheme="minorHAnsi"/>
          <w:sz w:val="18"/>
          <w:szCs w:val="18"/>
        </w:rPr>
        <w:t>2</w:t>
      </w:r>
      <w:r w:rsidRPr="00CA77B6">
        <w:rPr>
          <w:rFonts w:asciiTheme="minorHAnsi" w:hAnsiTheme="minorHAnsi" w:cstheme="minorHAnsi"/>
          <w:sz w:val="18"/>
          <w:szCs w:val="18"/>
        </w:rPr>
        <w:t>0.</w:t>
      </w:r>
      <w:hyperlink r:id="rId1" w:history="1"/>
      <w:r w:rsidRPr="00CA77B6">
        <w:rPr>
          <w:rFonts w:asciiTheme="minorHAnsi" w:hAnsiTheme="minorHAnsi" w:cstheme="minorHAnsi"/>
          <w:sz w:val="18"/>
          <w:szCs w:val="18"/>
        </w:rPr>
        <w:t xml:space="preserve"> </w:t>
      </w:r>
    </w:p>
  </w:footnote>
  <w:footnote w:id="14">
    <w:p w14:paraId="0E721682" w14:textId="0D7302E5" w:rsidR="005D4C4C" w:rsidRPr="00CA77B6" w:rsidRDefault="005D4C4C" w:rsidP="00EE5DE2">
      <w:pPr>
        <w:pStyle w:val="Nagwek1"/>
        <w:spacing w:before="0" w:after="60" w:line="240" w:lineRule="auto"/>
        <w:ind w:left="142" w:hanging="142"/>
        <w:jc w:val="both"/>
        <w:rPr>
          <w:rFonts w:asciiTheme="minorHAnsi" w:hAnsiTheme="minorHAnsi"/>
          <w:color w:val="auto"/>
          <w:sz w:val="18"/>
          <w:szCs w:val="18"/>
        </w:rPr>
      </w:pPr>
      <w:r w:rsidRPr="00CA77B6">
        <w:rPr>
          <w:rStyle w:val="Odwoanieprzypisudolnego"/>
          <w:rFonts w:asciiTheme="minorHAnsi" w:hAnsiTheme="minorHAnsi" w:cstheme="minorHAnsi"/>
          <w:color w:val="auto"/>
          <w:sz w:val="18"/>
          <w:szCs w:val="18"/>
        </w:rPr>
        <w:footnoteRef/>
      </w:r>
      <w:r w:rsidRPr="00CA77B6">
        <w:rPr>
          <w:rFonts w:asciiTheme="minorHAnsi" w:hAnsiTheme="minorHAnsi" w:cstheme="minorHAnsi"/>
          <w:color w:val="auto"/>
          <w:sz w:val="18"/>
          <w:szCs w:val="18"/>
        </w:rPr>
        <w:t xml:space="preserve"> </w:t>
      </w:r>
      <w:r w:rsidRPr="00CA77B6">
        <w:rPr>
          <w:rFonts w:asciiTheme="minorHAnsi" w:hAnsiTheme="minorHAnsi"/>
          <w:color w:val="auto"/>
          <w:sz w:val="18"/>
          <w:szCs w:val="18"/>
        </w:rPr>
        <w:t xml:space="preserve">Uchwała </w:t>
      </w:r>
      <w:r>
        <w:rPr>
          <w:rFonts w:asciiTheme="minorHAnsi" w:hAnsiTheme="minorHAnsi"/>
          <w:color w:val="auto"/>
          <w:sz w:val="18"/>
          <w:szCs w:val="18"/>
        </w:rPr>
        <w:t>n</w:t>
      </w:r>
      <w:r w:rsidRPr="00CA77B6">
        <w:rPr>
          <w:rFonts w:asciiTheme="minorHAnsi" w:hAnsiTheme="minorHAnsi"/>
          <w:color w:val="auto"/>
          <w:sz w:val="18"/>
          <w:szCs w:val="18"/>
        </w:rPr>
        <w:t>r 102 Rady Ministrów w sprawie przyjęcia „</w:t>
      </w:r>
      <w:r w:rsidRPr="00CA77B6">
        <w:rPr>
          <w:rStyle w:val="highlight"/>
          <w:rFonts w:asciiTheme="minorHAnsi" w:hAnsiTheme="minorHAnsi"/>
          <w:color w:val="auto"/>
          <w:sz w:val="18"/>
          <w:szCs w:val="18"/>
        </w:rPr>
        <w:t>Krajowej</w:t>
      </w:r>
      <w:r w:rsidRPr="00CA77B6">
        <w:rPr>
          <w:rFonts w:asciiTheme="minorHAnsi" w:hAnsiTheme="minorHAnsi"/>
          <w:color w:val="auto"/>
          <w:sz w:val="18"/>
          <w:szCs w:val="18"/>
        </w:rPr>
        <w:t xml:space="preserve"> </w:t>
      </w:r>
      <w:r w:rsidRPr="00CA77B6">
        <w:rPr>
          <w:rStyle w:val="highlight"/>
          <w:rFonts w:asciiTheme="minorHAnsi" w:hAnsiTheme="minorHAnsi"/>
          <w:color w:val="auto"/>
          <w:sz w:val="18"/>
          <w:szCs w:val="18"/>
        </w:rPr>
        <w:t>Strategii</w:t>
      </w:r>
      <w:r w:rsidRPr="00CA77B6">
        <w:rPr>
          <w:rFonts w:asciiTheme="minorHAnsi" w:hAnsiTheme="minorHAnsi"/>
          <w:color w:val="auto"/>
          <w:sz w:val="18"/>
          <w:szCs w:val="18"/>
        </w:rPr>
        <w:t xml:space="preserve"> </w:t>
      </w:r>
      <w:r w:rsidRPr="00CA77B6">
        <w:rPr>
          <w:rStyle w:val="highlight"/>
          <w:rFonts w:asciiTheme="minorHAnsi" w:hAnsiTheme="minorHAnsi"/>
          <w:color w:val="auto"/>
          <w:sz w:val="18"/>
          <w:szCs w:val="18"/>
        </w:rPr>
        <w:t>Rozwoju</w:t>
      </w:r>
      <w:r w:rsidRPr="00CA77B6">
        <w:rPr>
          <w:rFonts w:asciiTheme="minorHAnsi" w:hAnsiTheme="minorHAnsi"/>
          <w:color w:val="auto"/>
          <w:sz w:val="18"/>
          <w:szCs w:val="18"/>
        </w:rPr>
        <w:t xml:space="preserve"> Regionalnego 2030”z dnia 17 września 2019 r. </w:t>
      </w:r>
      <w:hyperlink r:id="rId2" w:history="1">
        <w:r w:rsidRPr="00CA77B6">
          <w:rPr>
            <w:rStyle w:val="Hipercze"/>
            <w:rFonts w:asciiTheme="minorHAnsi" w:hAnsiTheme="minorHAnsi"/>
            <w:color w:val="auto"/>
            <w:sz w:val="18"/>
            <w:szCs w:val="18"/>
            <w:u w:val="none"/>
          </w:rPr>
          <w:t>(M.P. z 2019 r. poz. 1060)</w:t>
        </w:r>
      </w:hyperlink>
    </w:p>
    <w:p w14:paraId="0DC038E9" w14:textId="098565E5" w:rsidR="005D4C4C" w:rsidRPr="00CA77B6" w:rsidRDefault="005D4C4C" w:rsidP="00EE5DE2">
      <w:pPr>
        <w:pStyle w:val="Tekstprzypisudolnego"/>
        <w:spacing w:after="60"/>
        <w:ind w:left="142" w:hanging="153"/>
        <w:jc w:val="both"/>
        <w:rPr>
          <w:rFonts w:asciiTheme="minorHAnsi" w:hAnsiTheme="minorHAnsi" w:cstheme="minorHAnsi"/>
          <w:sz w:val="18"/>
          <w:szCs w:val="18"/>
        </w:rPr>
      </w:pPr>
      <w:r w:rsidRPr="00CA77B6">
        <w:rPr>
          <w:rFonts w:asciiTheme="minorHAnsi" w:hAnsiTheme="minorHAnsi" w:cstheme="minorHAnsi"/>
          <w:sz w:val="18"/>
          <w:szCs w:val="18"/>
        </w:rPr>
        <w:t xml:space="preserve">  </w:t>
      </w:r>
    </w:p>
  </w:footnote>
  <w:footnote w:id="15">
    <w:p w14:paraId="2253EB08" w14:textId="1042B35B" w:rsidR="005D4C4C" w:rsidRPr="00A9118B" w:rsidRDefault="005D4C4C" w:rsidP="00FE3E16">
      <w:pPr>
        <w:pStyle w:val="Nagwek1"/>
        <w:spacing w:before="0" w:after="60" w:line="240" w:lineRule="auto"/>
        <w:ind w:left="142" w:hanging="142"/>
        <w:jc w:val="both"/>
        <w:rPr>
          <w:rFonts w:asciiTheme="minorHAnsi" w:hAnsiTheme="minorHAnsi" w:cstheme="minorHAnsi"/>
          <w:sz w:val="18"/>
        </w:rPr>
      </w:pPr>
      <w:r w:rsidRPr="00EC6094">
        <w:rPr>
          <w:rStyle w:val="Odwoanieprzypisudolnego"/>
          <w:rFonts w:asciiTheme="minorHAnsi" w:hAnsiTheme="minorHAnsi" w:cstheme="minorHAnsi"/>
          <w:color w:val="auto"/>
          <w:sz w:val="18"/>
        </w:rPr>
        <w:footnoteRef/>
      </w:r>
      <w:r w:rsidRPr="00EC6094">
        <w:rPr>
          <w:rFonts w:asciiTheme="minorHAnsi" w:hAnsiTheme="minorHAnsi" w:cstheme="minorHAnsi"/>
          <w:color w:val="auto"/>
          <w:sz w:val="18"/>
        </w:rPr>
        <w:t xml:space="preserve"> </w:t>
      </w:r>
      <w:r w:rsidRPr="00EC6094">
        <w:rPr>
          <w:rFonts w:asciiTheme="minorHAnsi" w:hAnsiTheme="minorHAnsi"/>
          <w:color w:val="auto"/>
          <w:sz w:val="18"/>
          <w:szCs w:val="18"/>
        </w:rPr>
        <w:t xml:space="preserve">Uchwała </w:t>
      </w:r>
      <w:r>
        <w:rPr>
          <w:rFonts w:asciiTheme="minorHAnsi" w:hAnsiTheme="minorHAnsi"/>
          <w:color w:val="auto"/>
          <w:sz w:val="18"/>
          <w:szCs w:val="18"/>
        </w:rPr>
        <w:t>n</w:t>
      </w:r>
      <w:r w:rsidRPr="00EC6094">
        <w:rPr>
          <w:rFonts w:asciiTheme="minorHAnsi" w:hAnsiTheme="minorHAnsi"/>
          <w:color w:val="auto"/>
          <w:sz w:val="18"/>
          <w:szCs w:val="18"/>
        </w:rPr>
        <w:t>r 123 Rady Ministrów w sprawie przyjęcia „</w:t>
      </w:r>
      <w:r w:rsidRPr="00EC6094">
        <w:rPr>
          <w:rStyle w:val="highlight"/>
          <w:rFonts w:asciiTheme="minorHAnsi" w:hAnsiTheme="minorHAnsi"/>
          <w:color w:val="auto"/>
          <w:sz w:val="18"/>
          <w:szCs w:val="18"/>
        </w:rPr>
        <w:t>Strategii</w:t>
      </w:r>
      <w:r w:rsidRPr="00EC6094">
        <w:rPr>
          <w:rFonts w:asciiTheme="minorHAnsi" w:hAnsiTheme="minorHAnsi"/>
          <w:color w:val="auto"/>
          <w:sz w:val="18"/>
          <w:szCs w:val="18"/>
        </w:rPr>
        <w:t xml:space="preserve"> </w:t>
      </w:r>
      <w:r w:rsidRPr="00EC6094">
        <w:rPr>
          <w:rStyle w:val="highlight"/>
          <w:rFonts w:asciiTheme="minorHAnsi" w:hAnsiTheme="minorHAnsi"/>
          <w:color w:val="auto"/>
          <w:sz w:val="18"/>
          <w:szCs w:val="18"/>
        </w:rPr>
        <w:t>zrównoważonego</w:t>
      </w:r>
      <w:r w:rsidRPr="00EC6094">
        <w:rPr>
          <w:rFonts w:asciiTheme="minorHAnsi" w:hAnsiTheme="minorHAnsi"/>
          <w:color w:val="auto"/>
          <w:sz w:val="18"/>
          <w:szCs w:val="18"/>
        </w:rPr>
        <w:t xml:space="preserve"> </w:t>
      </w:r>
      <w:r w:rsidRPr="00EC6094">
        <w:rPr>
          <w:rStyle w:val="highlight"/>
          <w:rFonts w:asciiTheme="minorHAnsi" w:hAnsiTheme="minorHAnsi"/>
          <w:color w:val="auto"/>
          <w:sz w:val="18"/>
          <w:szCs w:val="18"/>
        </w:rPr>
        <w:t>rozwoju</w:t>
      </w:r>
      <w:r w:rsidRPr="00EC6094">
        <w:rPr>
          <w:rFonts w:asciiTheme="minorHAnsi" w:hAnsiTheme="minorHAnsi"/>
          <w:color w:val="auto"/>
          <w:sz w:val="18"/>
          <w:szCs w:val="18"/>
        </w:rPr>
        <w:t xml:space="preserve"> </w:t>
      </w:r>
      <w:r w:rsidRPr="00EC6094">
        <w:rPr>
          <w:rStyle w:val="highlight"/>
          <w:rFonts w:asciiTheme="minorHAnsi" w:hAnsiTheme="minorHAnsi"/>
          <w:color w:val="auto"/>
          <w:sz w:val="18"/>
          <w:szCs w:val="18"/>
        </w:rPr>
        <w:t>wsi</w:t>
      </w:r>
      <w:r w:rsidRPr="00EC6094">
        <w:rPr>
          <w:rFonts w:asciiTheme="minorHAnsi" w:hAnsiTheme="minorHAnsi"/>
          <w:color w:val="auto"/>
          <w:sz w:val="18"/>
          <w:szCs w:val="18"/>
        </w:rPr>
        <w:t xml:space="preserve">, </w:t>
      </w:r>
      <w:r w:rsidRPr="00EC6094">
        <w:rPr>
          <w:rStyle w:val="highlight"/>
          <w:rFonts w:asciiTheme="minorHAnsi" w:hAnsiTheme="minorHAnsi"/>
          <w:color w:val="auto"/>
          <w:sz w:val="18"/>
          <w:szCs w:val="18"/>
        </w:rPr>
        <w:t>rolnictwa</w:t>
      </w:r>
      <w:r w:rsidRPr="00EC6094">
        <w:rPr>
          <w:rFonts w:asciiTheme="minorHAnsi" w:hAnsiTheme="minorHAnsi"/>
          <w:color w:val="auto"/>
          <w:sz w:val="18"/>
          <w:szCs w:val="18"/>
        </w:rPr>
        <w:t xml:space="preserve"> </w:t>
      </w:r>
      <w:bookmarkStart w:id="1" w:name="highlightHit_5"/>
      <w:bookmarkEnd w:id="1"/>
      <w:r w:rsidRPr="00EC6094">
        <w:rPr>
          <w:rStyle w:val="highlight"/>
          <w:rFonts w:asciiTheme="minorHAnsi" w:hAnsiTheme="minorHAnsi"/>
          <w:color w:val="auto"/>
          <w:sz w:val="18"/>
          <w:szCs w:val="18"/>
        </w:rPr>
        <w:t>i</w:t>
      </w:r>
      <w:r w:rsidRPr="00EC6094">
        <w:rPr>
          <w:rFonts w:asciiTheme="minorHAnsi" w:hAnsiTheme="minorHAnsi"/>
          <w:color w:val="auto"/>
          <w:sz w:val="18"/>
          <w:szCs w:val="18"/>
        </w:rPr>
        <w:t xml:space="preserve"> </w:t>
      </w:r>
      <w:r w:rsidRPr="00EC6094">
        <w:rPr>
          <w:rStyle w:val="highlight"/>
          <w:rFonts w:asciiTheme="minorHAnsi" w:hAnsiTheme="minorHAnsi"/>
          <w:color w:val="auto"/>
          <w:sz w:val="18"/>
          <w:szCs w:val="18"/>
        </w:rPr>
        <w:t>rybactwa</w:t>
      </w:r>
      <w:r w:rsidRPr="00EC6094">
        <w:rPr>
          <w:rFonts w:asciiTheme="minorHAnsi" w:hAnsiTheme="minorHAnsi"/>
          <w:color w:val="auto"/>
          <w:sz w:val="18"/>
          <w:szCs w:val="18"/>
        </w:rPr>
        <w:t xml:space="preserve"> 2030”</w:t>
      </w:r>
      <w:r>
        <w:rPr>
          <w:rFonts w:asciiTheme="minorHAnsi" w:hAnsiTheme="minorHAnsi"/>
          <w:color w:val="auto"/>
          <w:sz w:val="18"/>
          <w:szCs w:val="18"/>
        </w:rPr>
        <w:t xml:space="preserve"> </w:t>
      </w:r>
      <w:r w:rsidRPr="00EC6094">
        <w:rPr>
          <w:rFonts w:asciiTheme="minorHAnsi" w:hAnsiTheme="minorHAnsi"/>
          <w:color w:val="auto"/>
          <w:sz w:val="18"/>
          <w:szCs w:val="18"/>
        </w:rPr>
        <w:t xml:space="preserve">z dnia 15 października 2019 r. </w:t>
      </w:r>
      <w:hyperlink r:id="rId3" w:history="1">
        <w:r w:rsidRPr="00EC6094">
          <w:rPr>
            <w:rStyle w:val="Hipercze"/>
            <w:rFonts w:asciiTheme="minorHAnsi" w:hAnsiTheme="minorHAnsi"/>
            <w:color w:val="auto"/>
            <w:sz w:val="18"/>
            <w:szCs w:val="18"/>
            <w:u w:val="none"/>
          </w:rPr>
          <w:t>(M.P. z 2019 r. poz. 1150)</w:t>
        </w:r>
      </w:hyperlink>
      <w:r>
        <w:rPr>
          <w:rFonts w:asciiTheme="minorHAnsi" w:hAnsiTheme="minorHAnsi" w:cstheme="minorHAnsi"/>
          <w:sz w:val="18"/>
        </w:rPr>
        <w:t>.</w:t>
      </w:r>
    </w:p>
  </w:footnote>
  <w:footnote w:id="16">
    <w:p w14:paraId="41E17665" w14:textId="69E76B52" w:rsidR="005D4C4C" w:rsidRPr="00EC6094" w:rsidRDefault="005D4C4C" w:rsidP="00FE3E16">
      <w:pPr>
        <w:pStyle w:val="Nagwek1"/>
        <w:spacing w:before="0" w:after="60" w:line="240" w:lineRule="auto"/>
        <w:ind w:left="142" w:hanging="142"/>
        <w:jc w:val="both"/>
        <w:rPr>
          <w:rFonts w:asciiTheme="minorHAnsi" w:hAnsiTheme="minorHAnsi" w:cstheme="minorHAnsi"/>
          <w:color w:val="auto"/>
          <w:sz w:val="18"/>
          <w:szCs w:val="18"/>
        </w:rPr>
      </w:pPr>
      <w:r w:rsidRPr="00EC6094">
        <w:rPr>
          <w:rStyle w:val="Odwoanieprzypisudolnego"/>
          <w:rFonts w:asciiTheme="minorHAnsi" w:hAnsiTheme="minorHAnsi" w:cstheme="minorHAnsi"/>
          <w:color w:val="auto"/>
          <w:sz w:val="18"/>
        </w:rPr>
        <w:footnoteRef/>
      </w:r>
      <w:r w:rsidRPr="00EC6094">
        <w:rPr>
          <w:rFonts w:asciiTheme="minorHAnsi" w:hAnsiTheme="minorHAnsi" w:cstheme="minorHAnsi"/>
          <w:color w:val="auto"/>
          <w:sz w:val="18"/>
        </w:rPr>
        <w:t xml:space="preserve"> </w:t>
      </w:r>
      <w:r w:rsidRPr="00EC6094">
        <w:rPr>
          <w:rFonts w:asciiTheme="minorHAnsi" w:hAnsiTheme="minorHAnsi"/>
          <w:color w:val="auto"/>
          <w:sz w:val="18"/>
          <w:szCs w:val="18"/>
        </w:rPr>
        <w:t xml:space="preserve">Uchwała </w:t>
      </w:r>
      <w:r>
        <w:rPr>
          <w:rFonts w:asciiTheme="minorHAnsi" w:hAnsiTheme="minorHAnsi"/>
          <w:color w:val="auto"/>
          <w:sz w:val="18"/>
          <w:szCs w:val="18"/>
        </w:rPr>
        <w:t>n</w:t>
      </w:r>
      <w:r w:rsidRPr="00EC6094">
        <w:rPr>
          <w:rFonts w:asciiTheme="minorHAnsi" w:hAnsiTheme="minorHAnsi"/>
          <w:color w:val="auto"/>
          <w:sz w:val="18"/>
          <w:szCs w:val="18"/>
        </w:rPr>
        <w:t>r 105 Rady Ministrów w sprawie przyjęcia „</w:t>
      </w:r>
      <w:r w:rsidRPr="00EC6094">
        <w:rPr>
          <w:rStyle w:val="highlight"/>
          <w:rFonts w:asciiTheme="minorHAnsi" w:hAnsiTheme="minorHAnsi"/>
          <w:color w:val="auto"/>
          <w:sz w:val="18"/>
          <w:szCs w:val="18"/>
        </w:rPr>
        <w:t>Strategii</w:t>
      </w:r>
      <w:r w:rsidRPr="00EC6094">
        <w:rPr>
          <w:rFonts w:asciiTheme="minorHAnsi" w:hAnsiTheme="minorHAnsi"/>
          <w:color w:val="auto"/>
          <w:sz w:val="18"/>
          <w:szCs w:val="18"/>
        </w:rPr>
        <w:t xml:space="preserve"> </w:t>
      </w:r>
      <w:r w:rsidRPr="00EC6094">
        <w:rPr>
          <w:rStyle w:val="highlight"/>
          <w:rFonts w:asciiTheme="minorHAnsi" w:hAnsiTheme="minorHAnsi"/>
          <w:color w:val="auto"/>
          <w:sz w:val="18"/>
          <w:szCs w:val="18"/>
        </w:rPr>
        <w:t>Zrównoważonego</w:t>
      </w:r>
      <w:r w:rsidRPr="00EC6094">
        <w:rPr>
          <w:rFonts w:asciiTheme="minorHAnsi" w:hAnsiTheme="minorHAnsi"/>
          <w:color w:val="auto"/>
          <w:sz w:val="18"/>
          <w:szCs w:val="18"/>
        </w:rPr>
        <w:t xml:space="preserve"> </w:t>
      </w:r>
      <w:r>
        <w:rPr>
          <w:rFonts w:asciiTheme="minorHAnsi" w:hAnsiTheme="minorHAnsi"/>
          <w:color w:val="auto"/>
          <w:sz w:val="18"/>
          <w:szCs w:val="18"/>
        </w:rPr>
        <w:t>R</w:t>
      </w:r>
      <w:r w:rsidRPr="00EC6094">
        <w:rPr>
          <w:rStyle w:val="highlight"/>
          <w:rFonts w:asciiTheme="minorHAnsi" w:hAnsiTheme="minorHAnsi"/>
          <w:color w:val="auto"/>
          <w:sz w:val="18"/>
          <w:szCs w:val="18"/>
        </w:rPr>
        <w:t>ozwoju</w:t>
      </w:r>
      <w:r w:rsidRPr="00EC6094">
        <w:rPr>
          <w:rFonts w:asciiTheme="minorHAnsi" w:hAnsiTheme="minorHAnsi"/>
          <w:color w:val="auto"/>
          <w:sz w:val="18"/>
          <w:szCs w:val="18"/>
        </w:rPr>
        <w:t xml:space="preserve"> </w:t>
      </w:r>
      <w:r w:rsidRPr="00EC6094">
        <w:rPr>
          <w:rStyle w:val="highlight"/>
          <w:rFonts w:asciiTheme="minorHAnsi" w:hAnsiTheme="minorHAnsi"/>
          <w:color w:val="auto"/>
          <w:sz w:val="18"/>
          <w:szCs w:val="18"/>
        </w:rPr>
        <w:t>Transportu</w:t>
      </w:r>
      <w:r w:rsidRPr="00EC6094">
        <w:rPr>
          <w:rFonts w:asciiTheme="minorHAnsi" w:hAnsiTheme="minorHAnsi"/>
          <w:color w:val="auto"/>
          <w:sz w:val="18"/>
          <w:szCs w:val="18"/>
        </w:rPr>
        <w:t xml:space="preserve"> </w:t>
      </w:r>
      <w:r w:rsidRPr="00EC6094">
        <w:rPr>
          <w:rStyle w:val="highlight"/>
          <w:rFonts w:asciiTheme="minorHAnsi" w:hAnsiTheme="minorHAnsi"/>
          <w:color w:val="auto"/>
          <w:sz w:val="18"/>
          <w:szCs w:val="18"/>
        </w:rPr>
        <w:t>do</w:t>
      </w:r>
      <w:r w:rsidRPr="00EC6094">
        <w:rPr>
          <w:rFonts w:asciiTheme="minorHAnsi" w:hAnsiTheme="minorHAnsi"/>
          <w:color w:val="auto"/>
          <w:sz w:val="18"/>
          <w:szCs w:val="18"/>
        </w:rPr>
        <w:t xml:space="preserve"> </w:t>
      </w:r>
      <w:r w:rsidRPr="00EC6094">
        <w:rPr>
          <w:rStyle w:val="highlight"/>
          <w:rFonts w:asciiTheme="minorHAnsi" w:hAnsiTheme="minorHAnsi"/>
          <w:color w:val="auto"/>
          <w:sz w:val="18"/>
          <w:szCs w:val="18"/>
        </w:rPr>
        <w:t>2030</w:t>
      </w:r>
      <w:r w:rsidRPr="00EC6094">
        <w:rPr>
          <w:rFonts w:asciiTheme="minorHAnsi" w:hAnsiTheme="minorHAnsi"/>
          <w:color w:val="auto"/>
          <w:sz w:val="18"/>
          <w:szCs w:val="18"/>
        </w:rPr>
        <w:t xml:space="preserve"> roku”</w:t>
      </w:r>
      <w:r>
        <w:rPr>
          <w:rFonts w:asciiTheme="minorHAnsi" w:hAnsiTheme="minorHAnsi"/>
          <w:color w:val="auto"/>
          <w:sz w:val="18"/>
          <w:szCs w:val="18"/>
        </w:rPr>
        <w:t xml:space="preserve"> </w:t>
      </w:r>
      <w:r w:rsidRPr="00EC6094">
        <w:rPr>
          <w:rFonts w:asciiTheme="minorHAnsi" w:hAnsiTheme="minorHAnsi"/>
          <w:color w:val="auto"/>
          <w:sz w:val="18"/>
          <w:szCs w:val="18"/>
        </w:rPr>
        <w:t xml:space="preserve">z dnia 24 września 2019 r. </w:t>
      </w:r>
      <w:hyperlink r:id="rId4" w:history="1">
        <w:r w:rsidRPr="00EC6094">
          <w:rPr>
            <w:rStyle w:val="Hipercze"/>
            <w:rFonts w:asciiTheme="minorHAnsi" w:hAnsiTheme="minorHAnsi"/>
            <w:color w:val="auto"/>
            <w:sz w:val="18"/>
            <w:szCs w:val="18"/>
            <w:u w:val="none"/>
          </w:rPr>
          <w:t>(M.P. z 2019 r. poz. 1054)</w:t>
        </w:r>
      </w:hyperlink>
      <w:r>
        <w:rPr>
          <w:rFonts w:asciiTheme="minorHAnsi" w:hAnsiTheme="minorHAnsi" w:cstheme="minorHAnsi"/>
          <w:color w:val="auto"/>
          <w:sz w:val="18"/>
          <w:szCs w:val="18"/>
        </w:rPr>
        <w:t>.</w:t>
      </w:r>
    </w:p>
  </w:footnote>
  <w:footnote w:id="17">
    <w:p w14:paraId="0187E433" w14:textId="51EB7483" w:rsidR="005D4C4C" w:rsidRPr="00A700F9" w:rsidRDefault="005D4C4C" w:rsidP="00FE3E16">
      <w:pPr>
        <w:pStyle w:val="Tekstprzypisudolnego"/>
        <w:spacing w:after="60"/>
        <w:ind w:left="142" w:hanging="142"/>
        <w:rPr>
          <w:rFonts w:asciiTheme="minorHAnsi" w:hAnsiTheme="minorHAnsi" w:cstheme="minorHAnsi"/>
          <w:sz w:val="18"/>
          <w:szCs w:val="18"/>
        </w:rPr>
      </w:pPr>
      <w:r w:rsidRPr="00A700F9">
        <w:rPr>
          <w:rStyle w:val="Odwoanieprzypisudolnego"/>
          <w:rFonts w:asciiTheme="minorHAnsi" w:hAnsiTheme="minorHAnsi" w:cstheme="minorHAnsi"/>
          <w:sz w:val="18"/>
          <w:szCs w:val="18"/>
        </w:rPr>
        <w:footnoteRef/>
      </w:r>
      <w:r w:rsidRPr="00A700F9">
        <w:rPr>
          <w:rFonts w:asciiTheme="minorHAnsi" w:hAnsiTheme="minorHAnsi" w:cstheme="minorHAnsi"/>
          <w:sz w:val="18"/>
          <w:szCs w:val="18"/>
        </w:rPr>
        <w:t xml:space="preserve"> </w:t>
      </w:r>
      <w:r>
        <w:rPr>
          <w:rFonts w:asciiTheme="minorHAnsi" w:hAnsiTheme="minorHAnsi" w:cstheme="minorHAnsi"/>
          <w:sz w:val="18"/>
          <w:szCs w:val="18"/>
        </w:rPr>
        <w:t>P</w:t>
      </w:r>
      <w:r w:rsidRPr="00A700F9">
        <w:rPr>
          <w:rFonts w:asciiTheme="minorHAnsi" w:hAnsiTheme="minorHAnsi" w:cstheme="minorHAnsi"/>
          <w:sz w:val="18"/>
          <w:szCs w:val="18"/>
        </w:rPr>
        <w:t>rowadzone są obecnie</w:t>
      </w:r>
      <w:r>
        <w:rPr>
          <w:rFonts w:asciiTheme="minorHAnsi" w:hAnsiTheme="minorHAnsi" w:cstheme="minorHAnsi"/>
          <w:sz w:val="18"/>
          <w:szCs w:val="18"/>
        </w:rPr>
        <w:t xml:space="preserve"> prace nad projektem dokumentu.</w:t>
      </w:r>
      <w:hyperlink r:id="rId5" w:history="1"/>
      <w:r>
        <w:rPr>
          <w:rFonts w:asciiTheme="minorHAnsi" w:hAnsiTheme="minorHAnsi" w:cstheme="minorHAnsi"/>
          <w:sz w:val="18"/>
          <w:szCs w:val="18"/>
        </w:rPr>
        <w:t xml:space="preserve"> </w:t>
      </w:r>
    </w:p>
  </w:footnote>
  <w:footnote w:id="18">
    <w:p w14:paraId="342DAD30" w14:textId="6E0D0AA5" w:rsidR="005D4C4C" w:rsidRPr="00347496" w:rsidRDefault="005D4C4C" w:rsidP="00FE3E16">
      <w:pPr>
        <w:pStyle w:val="Nagwek1"/>
        <w:spacing w:before="0" w:after="60" w:line="240" w:lineRule="auto"/>
        <w:ind w:left="142" w:hanging="142"/>
        <w:jc w:val="both"/>
        <w:rPr>
          <w:rFonts w:asciiTheme="minorHAnsi" w:hAnsiTheme="minorHAnsi"/>
          <w:color w:val="auto"/>
          <w:sz w:val="18"/>
          <w:szCs w:val="18"/>
        </w:rPr>
      </w:pPr>
      <w:r w:rsidRPr="00347496">
        <w:rPr>
          <w:rStyle w:val="Odwoanieprzypisudolnego"/>
          <w:rFonts w:asciiTheme="minorHAnsi" w:hAnsiTheme="minorHAnsi" w:cstheme="minorHAnsi"/>
          <w:color w:val="auto"/>
          <w:sz w:val="18"/>
          <w:szCs w:val="18"/>
        </w:rPr>
        <w:footnoteRef/>
      </w:r>
      <w:r w:rsidRPr="00347496">
        <w:rPr>
          <w:rFonts w:asciiTheme="minorHAnsi" w:hAnsiTheme="minorHAnsi" w:cstheme="minorHAnsi"/>
          <w:color w:val="auto"/>
          <w:sz w:val="18"/>
          <w:szCs w:val="18"/>
        </w:rPr>
        <w:t xml:space="preserve"> </w:t>
      </w:r>
      <w:r w:rsidRPr="00347496">
        <w:rPr>
          <w:rFonts w:asciiTheme="minorHAnsi" w:hAnsiTheme="minorHAnsi"/>
          <w:color w:val="auto"/>
          <w:sz w:val="18"/>
          <w:szCs w:val="18"/>
        </w:rPr>
        <w:t xml:space="preserve">Uchwała </w:t>
      </w:r>
      <w:r>
        <w:rPr>
          <w:rFonts w:asciiTheme="minorHAnsi" w:hAnsiTheme="minorHAnsi"/>
          <w:color w:val="auto"/>
          <w:sz w:val="18"/>
          <w:szCs w:val="18"/>
        </w:rPr>
        <w:t>n</w:t>
      </w:r>
      <w:r w:rsidRPr="00347496">
        <w:rPr>
          <w:rFonts w:asciiTheme="minorHAnsi" w:hAnsiTheme="minorHAnsi"/>
          <w:color w:val="auto"/>
          <w:sz w:val="18"/>
          <w:szCs w:val="18"/>
        </w:rPr>
        <w:t>r 67 Rady Ministrów w sprawie przyjęcia „</w:t>
      </w:r>
      <w:r w:rsidRPr="00347496">
        <w:rPr>
          <w:rStyle w:val="highlight"/>
          <w:rFonts w:asciiTheme="minorHAnsi" w:hAnsiTheme="minorHAnsi"/>
          <w:color w:val="auto"/>
          <w:sz w:val="18"/>
          <w:szCs w:val="18"/>
        </w:rPr>
        <w:t>Polityki</w:t>
      </w:r>
      <w:r w:rsidRPr="00347496">
        <w:rPr>
          <w:rFonts w:asciiTheme="minorHAnsi" w:hAnsiTheme="minorHAnsi"/>
          <w:color w:val="auto"/>
          <w:sz w:val="18"/>
          <w:szCs w:val="18"/>
        </w:rPr>
        <w:t xml:space="preserve"> </w:t>
      </w:r>
      <w:r w:rsidRPr="00347496">
        <w:rPr>
          <w:rStyle w:val="highlight"/>
          <w:rFonts w:asciiTheme="minorHAnsi" w:hAnsiTheme="minorHAnsi"/>
          <w:color w:val="auto"/>
          <w:sz w:val="18"/>
          <w:szCs w:val="18"/>
        </w:rPr>
        <w:t>ekologicznej</w:t>
      </w:r>
      <w:r w:rsidRPr="00347496">
        <w:rPr>
          <w:rFonts w:asciiTheme="minorHAnsi" w:hAnsiTheme="minorHAnsi"/>
          <w:color w:val="auto"/>
          <w:sz w:val="18"/>
          <w:szCs w:val="18"/>
        </w:rPr>
        <w:t xml:space="preserve"> </w:t>
      </w:r>
      <w:r w:rsidRPr="00347496">
        <w:rPr>
          <w:rStyle w:val="highlight"/>
          <w:rFonts w:asciiTheme="minorHAnsi" w:hAnsiTheme="minorHAnsi"/>
          <w:color w:val="auto"/>
          <w:sz w:val="18"/>
          <w:szCs w:val="18"/>
        </w:rPr>
        <w:t>państwa</w:t>
      </w:r>
      <w:r w:rsidRPr="00347496">
        <w:rPr>
          <w:rFonts w:asciiTheme="minorHAnsi" w:hAnsiTheme="minorHAnsi"/>
          <w:color w:val="auto"/>
          <w:sz w:val="18"/>
          <w:szCs w:val="18"/>
        </w:rPr>
        <w:t xml:space="preserve"> </w:t>
      </w:r>
      <w:r w:rsidRPr="00347496">
        <w:rPr>
          <w:rStyle w:val="highlight"/>
          <w:rFonts w:asciiTheme="minorHAnsi" w:hAnsiTheme="minorHAnsi"/>
          <w:color w:val="auto"/>
          <w:sz w:val="18"/>
          <w:szCs w:val="18"/>
        </w:rPr>
        <w:t>2030</w:t>
      </w:r>
      <w:r w:rsidRPr="00347496">
        <w:rPr>
          <w:rFonts w:asciiTheme="minorHAnsi" w:hAnsiTheme="minorHAnsi"/>
          <w:color w:val="auto"/>
          <w:sz w:val="18"/>
          <w:szCs w:val="18"/>
        </w:rPr>
        <w:t xml:space="preserve"> - strategii rozwoju w obszarze środowiska i gospodarki wodnej”</w:t>
      </w:r>
      <w:r>
        <w:rPr>
          <w:rFonts w:asciiTheme="minorHAnsi" w:hAnsiTheme="minorHAnsi"/>
          <w:color w:val="auto"/>
          <w:sz w:val="18"/>
          <w:szCs w:val="18"/>
        </w:rPr>
        <w:t xml:space="preserve"> </w:t>
      </w:r>
      <w:r w:rsidRPr="00347496">
        <w:rPr>
          <w:rFonts w:asciiTheme="minorHAnsi" w:hAnsiTheme="minorHAnsi"/>
          <w:color w:val="auto"/>
          <w:sz w:val="18"/>
          <w:szCs w:val="18"/>
        </w:rPr>
        <w:t xml:space="preserve">z dnia 16 lipca 2019 r. </w:t>
      </w:r>
      <w:hyperlink r:id="rId6" w:history="1">
        <w:r w:rsidRPr="00347496">
          <w:rPr>
            <w:rStyle w:val="Hipercze"/>
            <w:rFonts w:asciiTheme="minorHAnsi" w:hAnsiTheme="minorHAnsi"/>
            <w:color w:val="auto"/>
            <w:sz w:val="18"/>
            <w:szCs w:val="18"/>
            <w:u w:val="none"/>
          </w:rPr>
          <w:t>(M.P. z 2019 r. poz. 794)</w:t>
        </w:r>
      </w:hyperlink>
      <w:r>
        <w:rPr>
          <w:rFonts w:asciiTheme="minorHAnsi" w:hAnsiTheme="minorHAnsi"/>
          <w:color w:val="auto"/>
          <w:sz w:val="18"/>
          <w:szCs w:val="18"/>
        </w:rPr>
        <w:t>.</w:t>
      </w:r>
    </w:p>
    <w:p w14:paraId="554A3465" w14:textId="7551C685" w:rsidR="005D4C4C" w:rsidRPr="00654DEC" w:rsidRDefault="005D4C4C" w:rsidP="00FE3E16">
      <w:pPr>
        <w:pStyle w:val="Tekstprzypisudolnego"/>
        <w:spacing w:after="60"/>
        <w:ind w:left="142" w:hanging="142"/>
        <w:rPr>
          <w:rFonts w:asciiTheme="minorHAnsi" w:hAnsiTheme="minorHAnsi" w:cstheme="minorHAnsi"/>
          <w:sz w:val="18"/>
          <w:szCs w:val="18"/>
        </w:rPr>
      </w:pPr>
      <w:r w:rsidRPr="004550B3">
        <w:rPr>
          <w:rFonts w:asciiTheme="minorHAnsi" w:hAnsiTheme="minorHAnsi" w:cstheme="minorHAnsi"/>
          <w:sz w:val="18"/>
          <w:szCs w:val="18"/>
          <w:highlight w:val="yellow"/>
        </w:rPr>
        <w:t xml:space="preserve"> </w:t>
      </w:r>
    </w:p>
  </w:footnote>
  <w:footnote w:id="19">
    <w:p w14:paraId="1AC8E58E" w14:textId="77777777" w:rsidR="005D4C4C" w:rsidRPr="00654DEC" w:rsidRDefault="005D4C4C" w:rsidP="00A700F9">
      <w:pPr>
        <w:pStyle w:val="Tekstprzypisudolnego"/>
        <w:spacing w:after="60"/>
        <w:ind w:left="142" w:hanging="142"/>
        <w:jc w:val="both"/>
        <w:rPr>
          <w:rFonts w:asciiTheme="minorHAnsi" w:hAnsiTheme="minorHAnsi" w:cstheme="minorHAnsi"/>
          <w:sz w:val="18"/>
          <w:szCs w:val="18"/>
        </w:rPr>
      </w:pPr>
      <w:r w:rsidRPr="00654DEC">
        <w:rPr>
          <w:rStyle w:val="Odwoanieprzypisudolnego"/>
          <w:rFonts w:asciiTheme="minorHAnsi" w:hAnsiTheme="minorHAnsi" w:cstheme="minorHAnsi"/>
          <w:sz w:val="18"/>
          <w:szCs w:val="18"/>
        </w:rPr>
        <w:footnoteRef/>
      </w:r>
      <w:r w:rsidRPr="00654DEC">
        <w:rPr>
          <w:rFonts w:asciiTheme="minorHAnsi" w:hAnsiTheme="minorHAnsi" w:cstheme="minorHAnsi"/>
          <w:sz w:val="18"/>
          <w:szCs w:val="18"/>
        </w:rPr>
        <w:t xml:space="preserve"> System ten jest fragmentem Europejskiego systemu zintegrowanego zarządzania granicami UE, powstającym w oparciu o Rozporządzenie 2016/1624 z 14.9.2016 r. o Europejskiej Straży Granicznej i Przybrzeżnej oraz Techniczną i operacyjną strategię Europejskiego zintegrowanego zarządzania granicami ustanowioną przez Agencję FRONTEX.</w:t>
      </w:r>
    </w:p>
  </w:footnote>
  <w:footnote w:id="20">
    <w:p w14:paraId="281B35E1" w14:textId="77777777" w:rsidR="005D4C4C" w:rsidRPr="00654DEC" w:rsidRDefault="005D4C4C" w:rsidP="001306EC">
      <w:pPr>
        <w:pStyle w:val="Tekstprzypisudolnego"/>
        <w:spacing w:before="60"/>
        <w:ind w:left="142" w:hanging="142"/>
        <w:jc w:val="both"/>
        <w:rPr>
          <w:rFonts w:asciiTheme="minorHAnsi" w:hAnsiTheme="minorHAnsi"/>
          <w:sz w:val="18"/>
          <w:szCs w:val="18"/>
        </w:rPr>
      </w:pPr>
      <w:r w:rsidRPr="00654DEC">
        <w:rPr>
          <w:rStyle w:val="Odwoanieprzypisudolnego"/>
          <w:rFonts w:asciiTheme="minorHAnsi" w:hAnsiTheme="minorHAnsi"/>
          <w:sz w:val="18"/>
          <w:szCs w:val="18"/>
        </w:rPr>
        <w:footnoteRef/>
      </w:r>
      <w:r w:rsidRPr="00654DEC">
        <w:rPr>
          <w:rFonts w:asciiTheme="minorHAnsi" w:hAnsiTheme="minorHAnsi"/>
          <w:sz w:val="18"/>
          <w:szCs w:val="18"/>
        </w:rPr>
        <w:t xml:space="preserve"> </w:t>
      </w:r>
      <w:r w:rsidRPr="00654DEC">
        <w:rPr>
          <w:rFonts w:asciiTheme="minorHAnsi" w:hAnsiTheme="minorHAnsi" w:cs="Arial"/>
          <w:sz w:val="18"/>
          <w:szCs w:val="18"/>
        </w:rPr>
        <w:t>Warunki wstępne (ex-ante) określone przez Komisję Europejską w załączniku XI rozporządzenia ogólnego 1303/2013 stanowiły wymóg, który Polska musiała spełnić w terminie do 31 grudnia 2016 r., aby możliwe było finansowanie określonych przedsięwzięć ze środków UE w perspektywie finansowej  2014-2020</w:t>
      </w:r>
      <w:r w:rsidRPr="00654DEC">
        <w:rPr>
          <w:rFonts w:asciiTheme="minorHAnsi" w:hAnsiTheme="minorHAnsi"/>
          <w:sz w:val="18"/>
          <w:szCs w:val="18"/>
        </w:rPr>
        <w:t>.</w:t>
      </w:r>
    </w:p>
  </w:footnote>
  <w:footnote w:id="21">
    <w:p w14:paraId="36EEC28B" w14:textId="77777777" w:rsidR="005D4C4C" w:rsidRPr="00654DEC" w:rsidRDefault="005D4C4C" w:rsidP="00B30688">
      <w:pPr>
        <w:pStyle w:val="Tekstprzypisudolnego"/>
        <w:spacing w:before="60"/>
        <w:rPr>
          <w:rFonts w:asciiTheme="minorHAnsi" w:hAnsiTheme="minorHAnsi"/>
          <w:sz w:val="18"/>
        </w:rPr>
      </w:pPr>
      <w:r w:rsidRPr="00654DEC">
        <w:rPr>
          <w:rStyle w:val="Odwoanieprzypisudolnego"/>
          <w:rFonts w:asciiTheme="minorHAnsi" w:hAnsiTheme="minorHAnsi"/>
          <w:sz w:val="18"/>
        </w:rPr>
        <w:footnoteRef/>
      </w:r>
      <w:r w:rsidRPr="00654DEC">
        <w:rPr>
          <w:rFonts w:asciiTheme="minorHAnsi" w:hAnsiTheme="minorHAnsi"/>
          <w:sz w:val="18"/>
        </w:rPr>
        <w:t xml:space="preserve"> </w:t>
      </w:r>
      <w:r w:rsidRPr="00654DEC">
        <w:rPr>
          <w:rFonts w:asciiTheme="minorHAnsi" w:hAnsiTheme="minorHAnsi" w:cs="ArialMT"/>
          <w:sz w:val="18"/>
        </w:rPr>
        <w:t>https://ec.europa.eu/commission/publications/regional-development-and-cohesion_pl</w:t>
      </w:r>
    </w:p>
  </w:footnote>
  <w:footnote w:id="22">
    <w:p w14:paraId="00AA251E" w14:textId="4BBA7D17" w:rsidR="005D4C4C" w:rsidRPr="00654DEC" w:rsidRDefault="005D4C4C" w:rsidP="00D77FD9">
      <w:pPr>
        <w:ind w:left="142" w:hanging="142"/>
        <w:jc w:val="both"/>
        <w:rPr>
          <w:sz w:val="18"/>
          <w:szCs w:val="20"/>
        </w:rPr>
      </w:pPr>
      <w:r w:rsidRPr="00654DEC">
        <w:rPr>
          <w:rStyle w:val="Odwoanieprzypisudolnego"/>
          <w:sz w:val="18"/>
          <w:szCs w:val="20"/>
        </w:rPr>
        <w:footnoteRef/>
      </w:r>
      <w:r w:rsidRPr="00654DEC">
        <w:rPr>
          <w:sz w:val="18"/>
          <w:szCs w:val="20"/>
        </w:rPr>
        <w:t xml:space="preserve"> </w:t>
      </w:r>
      <w:r w:rsidRPr="00654DEC">
        <w:rPr>
          <w:rFonts w:cs="Arial"/>
          <w:sz w:val="18"/>
          <w:szCs w:val="18"/>
        </w:rPr>
        <w:t xml:space="preserve">Tematyczne warunki podstawowe dla perspektywy finansowej UE 2021-2027 mają zastosowanie do EFRR, EFS+ </w:t>
      </w:r>
      <w:r w:rsidRPr="00654DEC">
        <w:rPr>
          <w:rFonts w:cs="Arial"/>
          <w:strike/>
          <w:sz w:val="18"/>
          <w:szCs w:val="18"/>
        </w:rPr>
        <w:t>I</w:t>
      </w:r>
      <w:r w:rsidRPr="00654DEC">
        <w:rPr>
          <w:rFonts w:cs="Arial"/>
          <w:sz w:val="18"/>
          <w:szCs w:val="18"/>
        </w:rPr>
        <w:t xml:space="preserve"> i Funduszu Spójności.</w:t>
      </w:r>
      <w:r w:rsidRPr="00654DEC">
        <w:rPr>
          <w:rFonts w:cs="Arial"/>
          <w:sz w:val="20"/>
          <w:szCs w:val="20"/>
        </w:rPr>
        <w:t xml:space="preserve"> </w:t>
      </w:r>
      <w:r w:rsidRPr="00654DEC">
        <w:rPr>
          <w:rFonts w:cs="Arial"/>
          <w:sz w:val="18"/>
          <w:szCs w:val="20"/>
        </w:rPr>
        <w:t xml:space="preserve">Tematyczne warunki podstawowe dla celu pn. </w:t>
      </w:r>
      <w:r w:rsidRPr="00654DEC">
        <w:rPr>
          <w:rFonts w:cs="Arial"/>
          <w:i/>
          <w:sz w:val="18"/>
          <w:szCs w:val="20"/>
        </w:rPr>
        <w:t>Lepiej połączona Europa dzięki zwiększeniu mobilności i udoskonaleniu regionalnych połączeń teleinformatycznych</w:t>
      </w:r>
      <w:r w:rsidRPr="00654DEC">
        <w:rPr>
          <w:rFonts w:cs="Arial"/>
          <w:sz w:val="18"/>
          <w:szCs w:val="20"/>
        </w:rPr>
        <w:t xml:space="preserve"> to „Krajowy lub regionalny plan sieci szerokopasmowych” oraz „Kompleksowe planowanie transportu na odpowiednim poziomie”. Szczegóły zawarte są w załączniku IV do projektu Rozporządzenia Ogólnego Komisji Europejskiej dotyczącego perspektywy finansowej UE 2021-2027.</w:t>
      </w:r>
    </w:p>
  </w:footnote>
  <w:footnote w:id="23">
    <w:p w14:paraId="1A5EA27A" w14:textId="2F43B429" w:rsidR="005D4C4C" w:rsidRPr="00654DEC" w:rsidRDefault="005D4C4C" w:rsidP="008C6844">
      <w:pPr>
        <w:autoSpaceDE w:val="0"/>
        <w:autoSpaceDN w:val="0"/>
        <w:adjustRightInd w:val="0"/>
        <w:spacing w:after="60"/>
        <w:ind w:left="180" w:hanging="180"/>
        <w:jc w:val="both"/>
        <w:rPr>
          <w:rFonts w:ascii="Arial" w:hAnsi="Arial" w:cs="Arial"/>
          <w:sz w:val="16"/>
          <w:szCs w:val="18"/>
        </w:rPr>
      </w:pPr>
      <w:r w:rsidRPr="00654DEC">
        <w:rPr>
          <w:rStyle w:val="Odwoanieprzypisudolnego"/>
          <w:sz w:val="20"/>
        </w:rPr>
        <w:footnoteRef/>
      </w:r>
      <w:r w:rsidRPr="00654DEC">
        <w:rPr>
          <w:sz w:val="20"/>
        </w:rPr>
        <w:t xml:space="preserve"> </w:t>
      </w:r>
      <w:r w:rsidRPr="00654DEC">
        <w:rPr>
          <w:sz w:val="18"/>
          <w:szCs w:val="20"/>
        </w:rPr>
        <w:t xml:space="preserve">Obywatel </w:t>
      </w:r>
      <w:r>
        <w:rPr>
          <w:sz w:val="18"/>
          <w:szCs w:val="20"/>
        </w:rPr>
        <w:t>-</w:t>
      </w:r>
      <w:r w:rsidRPr="00654DEC">
        <w:rPr>
          <w:sz w:val="18"/>
          <w:szCs w:val="20"/>
        </w:rPr>
        <w:t xml:space="preserve"> na potrzeby niniejszego dokumentu </w:t>
      </w:r>
      <w:r>
        <w:rPr>
          <w:sz w:val="18"/>
          <w:szCs w:val="20"/>
        </w:rPr>
        <w:t>– to obywatele</w:t>
      </w:r>
      <w:r w:rsidRPr="00654DEC">
        <w:rPr>
          <w:sz w:val="18"/>
          <w:szCs w:val="20"/>
        </w:rPr>
        <w:t xml:space="preserve"> Polski, osoby nie posiadające polskiego obywatelstwa, podmioty prowadzące działalność gospodarczą organizacje społeczne. </w:t>
      </w:r>
      <w:r w:rsidRPr="00654DEC">
        <w:rPr>
          <w:rFonts w:cs="Arial"/>
          <w:sz w:val="18"/>
          <w:szCs w:val="20"/>
        </w:rPr>
        <w:t xml:space="preserve">Obywatel to </w:t>
      </w:r>
      <w:r w:rsidRPr="00654DEC">
        <w:rPr>
          <w:rFonts w:cs="Arial"/>
          <w:i/>
          <w:sz w:val="18"/>
          <w:szCs w:val="20"/>
        </w:rPr>
        <w:t>klient</w:t>
      </w:r>
      <w:r w:rsidRPr="00654DEC">
        <w:rPr>
          <w:rFonts w:cs="Arial"/>
          <w:b/>
          <w:sz w:val="18"/>
          <w:szCs w:val="20"/>
        </w:rPr>
        <w:t xml:space="preserve"> </w:t>
      </w:r>
      <w:r w:rsidRPr="00654DEC">
        <w:rPr>
          <w:rFonts w:cs="Arial"/>
          <w:sz w:val="18"/>
          <w:szCs w:val="20"/>
        </w:rPr>
        <w:t>instytucji publicznych</w:t>
      </w:r>
      <w:r w:rsidRPr="00654DEC">
        <w:rPr>
          <w:rStyle w:val="Odwoanieprzypisudolnego"/>
          <w:rFonts w:cs="Arial"/>
          <w:sz w:val="18"/>
          <w:szCs w:val="20"/>
        </w:rPr>
        <w:footnoteRef/>
      </w:r>
      <w:r w:rsidRPr="00654DEC">
        <w:rPr>
          <w:rFonts w:cs="Arial"/>
          <w:sz w:val="18"/>
          <w:szCs w:val="20"/>
        </w:rPr>
        <w:t xml:space="preserve">; </w:t>
      </w:r>
      <w:r w:rsidRPr="00654DEC">
        <w:rPr>
          <w:rFonts w:cs="Arial"/>
          <w:i/>
          <w:sz w:val="18"/>
          <w:szCs w:val="20"/>
        </w:rPr>
        <w:t>odbiorca</w:t>
      </w:r>
      <w:r w:rsidRPr="00654DEC">
        <w:rPr>
          <w:rFonts w:cs="Arial"/>
          <w:sz w:val="18"/>
          <w:szCs w:val="20"/>
        </w:rPr>
        <w:t xml:space="preserve"> regulacji prawnych, informacji czy komunikatów instytucji publicznych; </w:t>
      </w:r>
      <w:r w:rsidRPr="00654DEC">
        <w:rPr>
          <w:rFonts w:cs="Arial"/>
          <w:i/>
          <w:sz w:val="18"/>
          <w:szCs w:val="20"/>
        </w:rPr>
        <w:t xml:space="preserve">nadawca </w:t>
      </w:r>
      <w:r w:rsidRPr="00654DEC">
        <w:rPr>
          <w:rFonts w:cs="Arial"/>
          <w:sz w:val="18"/>
          <w:szCs w:val="20"/>
        </w:rPr>
        <w:t xml:space="preserve">wniosków, petycji czy wystąpień do instytucji publicznych; </w:t>
      </w:r>
      <w:r w:rsidRPr="00654DEC">
        <w:rPr>
          <w:rFonts w:cs="Arial"/>
          <w:i/>
          <w:sz w:val="18"/>
          <w:szCs w:val="20"/>
        </w:rPr>
        <w:t xml:space="preserve">partner, wyborca, współdecydent </w:t>
      </w:r>
      <w:r w:rsidRPr="00654DEC">
        <w:rPr>
          <w:rFonts w:cs="Arial"/>
          <w:sz w:val="18"/>
          <w:szCs w:val="20"/>
        </w:rPr>
        <w:t>w procesach</w:t>
      </w:r>
      <w:r w:rsidRPr="00654DEC">
        <w:rPr>
          <w:rFonts w:cs="Arial"/>
          <w:i/>
          <w:sz w:val="18"/>
          <w:szCs w:val="20"/>
        </w:rPr>
        <w:t xml:space="preserve"> </w:t>
      </w:r>
      <w:r w:rsidRPr="00654DEC">
        <w:rPr>
          <w:rFonts w:cs="Arial"/>
          <w:sz w:val="18"/>
          <w:szCs w:val="20"/>
        </w:rPr>
        <w:t>rządzenia i zarządzania;</w:t>
      </w:r>
      <w:r w:rsidRPr="00654DEC">
        <w:rPr>
          <w:rFonts w:cs="Arial"/>
          <w:b/>
          <w:sz w:val="18"/>
          <w:szCs w:val="20"/>
        </w:rPr>
        <w:t xml:space="preserve"> </w:t>
      </w:r>
      <w:r w:rsidRPr="00654DEC">
        <w:rPr>
          <w:rFonts w:cs="Arial"/>
          <w:i/>
          <w:sz w:val="18"/>
          <w:szCs w:val="20"/>
        </w:rPr>
        <w:t>konsument, pracownik, przedsiębiorca, itp.</w:t>
      </w:r>
      <w:r w:rsidRPr="00654DEC">
        <w:rPr>
          <w:rFonts w:ascii="Arial" w:hAnsi="Arial" w:cs="Arial"/>
          <w:sz w:val="16"/>
          <w:szCs w:val="18"/>
        </w:rPr>
        <w:t xml:space="preserve"> </w:t>
      </w:r>
    </w:p>
    <w:p w14:paraId="3B8BED1A" w14:textId="77777777" w:rsidR="005D4C4C" w:rsidRDefault="005D4C4C">
      <w:pPr>
        <w:pStyle w:val="Tekstprzypisudolnego"/>
      </w:pPr>
    </w:p>
  </w:footnote>
  <w:footnote w:id="24">
    <w:p w14:paraId="116CD3F1" w14:textId="0C699FE3" w:rsidR="005D4C4C" w:rsidRPr="00AC329C" w:rsidRDefault="005D4C4C" w:rsidP="002601AE">
      <w:pPr>
        <w:pStyle w:val="Tekstprzypisudolnego"/>
        <w:spacing w:after="60" w:line="276" w:lineRule="auto"/>
        <w:ind w:left="142" w:hanging="142"/>
        <w:jc w:val="both"/>
        <w:rPr>
          <w:rFonts w:asciiTheme="minorHAnsi" w:hAnsiTheme="minorHAnsi" w:cstheme="minorHAnsi"/>
          <w:sz w:val="18"/>
          <w:szCs w:val="18"/>
        </w:rPr>
      </w:pPr>
      <w:r w:rsidRPr="00AC329C">
        <w:rPr>
          <w:rStyle w:val="Odwoanieprzypisudolnego"/>
          <w:rFonts w:asciiTheme="minorHAnsi" w:hAnsiTheme="minorHAnsi" w:cstheme="minorHAnsi"/>
          <w:sz w:val="18"/>
          <w:szCs w:val="18"/>
        </w:rPr>
        <w:footnoteRef/>
      </w:r>
      <w:r w:rsidRPr="00AC329C">
        <w:rPr>
          <w:rFonts w:asciiTheme="minorHAnsi" w:hAnsiTheme="minorHAnsi" w:cstheme="minorHAnsi"/>
          <w:sz w:val="18"/>
          <w:szCs w:val="18"/>
        </w:rPr>
        <w:t xml:space="preserve"> </w:t>
      </w:r>
      <w:r w:rsidRPr="00AC329C">
        <w:rPr>
          <w:rFonts w:asciiTheme="minorHAnsi" w:hAnsiTheme="minorHAnsi" w:cstheme="minorHAnsi"/>
          <w:bCs/>
          <w:sz w:val="18"/>
          <w:szCs w:val="18"/>
        </w:rPr>
        <w:t>Pod</w:t>
      </w:r>
      <w:r w:rsidRPr="00AC329C">
        <w:rPr>
          <w:rFonts w:asciiTheme="minorHAnsi" w:hAnsiTheme="minorHAnsi" w:cstheme="minorHAnsi"/>
          <w:b/>
          <w:bCs/>
          <w:sz w:val="18"/>
          <w:szCs w:val="18"/>
        </w:rPr>
        <w:t xml:space="preserve"> pojęciem projekt strategiczny </w:t>
      </w:r>
      <w:r w:rsidRPr="00AC329C">
        <w:rPr>
          <w:rFonts w:asciiTheme="minorHAnsi" w:hAnsiTheme="minorHAnsi" w:cstheme="minorHAnsi"/>
          <w:bCs/>
          <w:sz w:val="18"/>
          <w:szCs w:val="18"/>
        </w:rPr>
        <w:t xml:space="preserve">należy rozumieć </w:t>
      </w:r>
      <w:r w:rsidRPr="00AC329C">
        <w:rPr>
          <w:rFonts w:asciiTheme="minorHAnsi" w:hAnsiTheme="minorHAnsi" w:cstheme="minorHAnsi"/>
          <w:sz w:val="18"/>
          <w:szCs w:val="18"/>
        </w:rPr>
        <w:t>zorganizowane przedsięwzięcie odróżniające się od bieżącej działalności administracyjnej tym, że nastawione jest na dokonanie zmiany, zmierza do stworzenia w określonym czasie i budżecie unikalnego produktu lub usługi, które spełniają określone wymogi jakościowe i ilościowe.</w:t>
      </w:r>
    </w:p>
  </w:footnote>
  <w:footnote w:id="25">
    <w:p w14:paraId="270325CD" w14:textId="561CA6A4" w:rsidR="005D4C4C" w:rsidRPr="00AC329C" w:rsidRDefault="005D4C4C" w:rsidP="002601AE">
      <w:pPr>
        <w:pStyle w:val="Tekstprzypisudolnego"/>
        <w:spacing w:after="60"/>
        <w:ind w:left="142" w:hanging="142"/>
        <w:jc w:val="both"/>
        <w:rPr>
          <w:rFonts w:asciiTheme="minorHAnsi" w:hAnsiTheme="minorHAnsi" w:cstheme="minorHAnsi"/>
          <w:sz w:val="18"/>
          <w:szCs w:val="18"/>
        </w:rPr>
      </w:pPr>
      <w:r w:rsidRPr="00AC329C">
        <w:rPr>
          <w:rStyle w:val="Odwoanieprzypisudolnego"/>
          <w:rFonts w:asciiTheme="minorHAnsi" w:hAnsiTheme="minorHAnsi" w:cstheme="minorHAnsi"/>
          <w:sz w:val="18"/>
          <w:szCs w:val="18"/>
        </w:rPr>
        <w:footnoteRef/>
      </w:r>
      <w:r w:rsidRPr="00AC329C">
        <w:rPr>
          <w:rFonts w:asciiTheme="minorHAnsi" w:hAnsiTheme="minorHAnsi" w:cstheme="minorHAnsi"/>
          <w:sz w:val="18"/>
          <w:szCs w:val="18"/>
        </w:rPr>
        <w:t xml:space="preserve"> Przedstawiona diagnoza jest uzupełnieniem informacji diagnostycznych zawartych w SOR w obszarze „Prawo w służbie obywatelom i gospodarce".</w:t>
      </w:r>
    </w:p>
  </w:footnote>
  <w:footnote w:id="26">
    <w:p w14:paraId="3ECDF513" w14:textId="77777777" w:rsidR="005D4C4C" w:rsidRPr="00085294" w:rsidRDefault="005D4C4C" w:rsidP="002601AE">
      <w:pPr>
        <w:pStyle w:val="Tekstprzypisudolnego"/>
        <w:spacing w:after="60"/>
        <w:ind w:left="284" w:hanging="284"/>
        <w:jc w:val="both"/>
        <w:rPr>
          <w:rFonts w:asciiTheme="minorHAnsi" w:hAnsiTheme="minorHAnsi"/>
          <w:sz w:val="18"/>
          <w:lang w:val="en-US"/>
        </w:rPr>
      </w:pPr>
      <w:r w:rsidRPr="00654DEC">
        <w:rPr>
          <w:rStyle w:val="Odwoanieprzypisudolnego"/>
          <w:rFonts w:asciiTheme="minorHAnsi" w:hAnsiTheme="minorHAnsi"/>
          <w:sz w:val="18"/>
        </w:rPr>
        <w:footnoteRef/>
      </w:r>
      <w:r w:rsidRPr="00654DEC">
        <w:rPr>
          <w:rFonts w:asciiTheme="minorHAnsi" w:hAnsiTheme="minorHAnsi"/>
          <w:sz w:val="18"/>
        </w:rPr>
        <w:t xml:space="preserve"> Nowa Zelandia 1, Dania 3, UK 7, Szwecja 10. </w:t>
      </w:r>
      <w:r w:rsidRPr="00085294">
        <w:rPr>
          <w:rFonts w:asciiTheme="minorHAnsi" w:hAnsiTheme="minorHAnsi"/>
          <w:sz w:val="18"/>
          <w:lang w:val="en-US"/>
        </w:rPr>
        <w:t xml:space="preserve">Por. </w:t>
      </w:r>
      <w:hyperlink r:id="rId7" w:history="1">
        <w:r w:rsidRPr="00085294">
          <w:rPr>
            <w:rStyle w:val="Hipercze"/>
            <w:rFonts w:asciiTheme="minorHAnsi" w:hAnsiTheme="minorHAnsi"/>
            <w:sz w:val="18"/>
            <w:lang w:val="en-US"/>
          </w:rPr>
          <w:t>http://www.doingbusiness.org/rankings</w:t>
        </w:r>
      </w:hyperlink>
      <w:r w:rsidRPr="00085294">
        <w:rPr>
          <w:rFonts w:asciiTheme="minorHAnsi" w:hAnsiTheme="minorHAnsi"/>
          <w:sz w:val="18"/>
          <w:lang w:val="en-US"/>
        </w:rPr>
        <w:t xml:space="preserve"> </w:t>
      </w:r>
    </w:p>
  </w:footnote>
  <w:footnote w:id="27">
    <w:p w14:paraId="00297BE2" w14:textId="77777777" w:rsidR="005D4C4C" w:rsidRPr="00240615" w:rsidRDefault="005D4C4C" w:rsidP="00240615">
      <w:pPr>
        <w:pStyle w:val="Tekstprzypisudolnego"/>
        <w:spacing w:after="60"/>
        <w:ind w:left="284" w:hanging="284"/>
        <w:jc w:val="both"/>
        <w:rPr>
          <w:rFonts w:asciiTheme="minorHAnsi" w:hAnsiTheme="minorHAnsi" w:cstheme="minorHAnsi"/>
          <w:sz w:val="18"/>
          <w:szCs w:val="18"/>
          <w:lang w:val="en-US"/>
        </w:rPr>
      </w:pPr>
      <w:r w:rsidRPr="00240615">
        <w:rPr>
          <w:rStyle w:val="Odwoanieprzypisudolnego"/>
          <w:rFonts w:asciiTheme="minorHAnsi" w:hAnsiTheme="minorHAnsi" w:cstheme="minorHAnsi"/>
          <w:sz w:val="18"/>
          <w:szCs w:val="18"/>
        </w:rPr>
        <w:footnoteRef/>
      </w:r>
      <w:r w:rsidRPr="00240615">
        <w:rPr>
          <w:rFonts w:asciiTheme="minorHAnsi" w:hAnsiTheme="minorHAnsi" w:cstheme="minorHAnsi"/>
          <w:sz w:val="18"/>
          <w:szCs w:val="18"/>
          <w:lang w:val="en-US"/>
        </w:rPr>
        <w:t xml:space="preserve"> OECD Regulatory Policy Outlook 2015,</w:t>
      </w:r>
    </w:p>
    <w:p w14:paraId="528243CC" w14:textId="1A906828" w:rsidR="005D4C4C" w:rsidRPr="00240615" w:rsidRDefault="005D4C4C" w:rsidP="00240615">
      <w:pPr>
        <w:pStyle w:val="Tekstprzypisudolnego"/>
        <w:spacing w:after="60"/>
        <w:ind w:left="284"/>
        <w:jc w:val="both"/>
        <w:rPr>
          <w:rFonts w:asciiTheme="minorHAnsi" w:hAnsiTheme="minorHAnsi" w:cstheme="minorHAnsi"/>
          <w:sz w:val="18"/>
          <w:szCs w:val="18"/>
          <w:lang w:val="en-US"/>
        </w:rPr>
      </w:pPr>
      <w:r w:rsidRPr="00240615">
        <w:rPr>
          <w:rStyle w:val="Hipercze"/>
          <w:rFonts w:asciiTheme="minorHAnsi" w:hAnsiTheme="minorHAnsi" w:cstheme="minorHAnsi"/>
          <w:sz w:val="18"/>
          <w:szCs w:val="18"/>
          <w:lang w:val="en-US"/>
        </w:rPr>
        <w:t>http://www.keepeek.com/Digital-Asset-Management/oecd/governance/oecd-regulatory-policy-outlook-2015_9789264238770-en#.WfwddLVFdLM#page1</w:t>
      </w:r>
      <w:r w:rsidRPr="00240615">
        <w:rPr>
          <w:rFonts w:asciiTheme="minorHAnsi" w:hAnsiTheme="minorHAnsi" w:cstheme="minorHAnsi"/>
          <w:sz w:val="18"/>
          <w:szCs w:val="18"/>
          <w:u w:val="single"/>
          <w:lang w:val="en-US"/>
        </w:rPr>
        <w:t>2</w:t>
      </w:r>
    </w:p>
  </w:footnote>
  <w:footnote w:id="28">
    <w:p w14:paraId="5173988B" w14:textId="72D10A5A" w:rsidR="005D4C4C" w:rsidRPr="00240615" w:rsidRDefault="005D4C4C" w:rsidP="00240615">
      <w:pPr>
        <w:pStyle w:val="Tekstprzypisudolnego"/>
        <w:spacing w:after="60"/>
        <w:ind w:left="284" w:hanging="284"/>
        <w:jc w:val="both"/>
        <w:rPr>
          <w:rFonts w:asciiTheme="minorHAnsi" w:hAnsiTheme="minorHAnsi" w:cstheme="minorHAnsi"/>
          <w:sz w:val="18"/>
          <w:szCs w:val="18"/>
          <w:lang w:val="en-US"/>
        </w:rPr>
      </w:pPr>
      <w:r w:rsidRPr="00240615">
        <w:rPr>
          <w:rStyle w:val="Odwoanieprzypisudolnego"/>
          <w:rFonts w:asciiTheme="minorHAnsi" w:hAnsiTheme="minorHAnsi" w:cstheme="minorHAnsi"/>
          <w:sz w:val="18"/>
          <w:szCs w:val="18"/>
        </w:rPr>
        <w:footnoteRef/>
      </w:r>
      <w:r w:rsidRPr="00240615">
        <w:rPr>
          <w:rFonts w:asciiTheme="minorHAnsi" w:hAnsiTheme="minorHAnsi" w:cstheme="minorHAnsi"/>
          <w:sz w:val="18"/>
          <w:szCs w:val="18"/>
          <w:lang w:val="en-US"/>
        </w:rPr>
        <w:t xml:space="preserve"> OECD Regulatory Policy Outlook 2018, </w:t>
      </w:r>
      <w:hyperlink r:id="rId8" w:anchor="page224" w:history="1">
        <w:r w:rsidRPr="00240615">
          <w:rPr>
            <w:rStyle w:val="Hipercze"/>
            <w:rFonts w:asciiTheme="minorHAnsi" w:hAnsiTheme="minorHAnsi" w:cstheme="minorHAnsi"/>
            <w:sz w:val="18"/>
            <w:szCs w:val="18"/>
            <w:lang w:val="en-US"/>
          </w:rPr>
          <w:t>https://read.oecd-ilibrary.org/governance/oecd-regulatory-policy-outlook-2018_9789264303072-en#page224</w:t>
        </w:r>
      </w:hyperlink>
    </w:p>
  </w:footnote>
  <w:footnote w:id="29">
    <w:p w14:paraId="707D3AD8" w14:textId="1A061B9F" w:rsidR="005D4C4C" w:rsidRPr="00240615" w:rsidRDefault="005D4C4C" w:rsidP="00240615">
      <w:pPr>
        <w:pStyle w:val="Tekstprzypisudolnego"/>
        <w:spacing w:after="60"/>
        <w:ind w:left="284" w:hanging="284"/>
        <w:jc w:val="both"/>
        <w:rPr>
          <w:rFonts w:asciiTheme="minorHAnsi" w:hAnsiTheme="minorHAnsi" w:cstheme="minorHAnsi"/>
          <w:sz w:val="18"/>
          <w:szCs w:val="18"/>
        </w:rPr>
      </w:pPr>
      <w:r w:rsidRPr="00240615">
        <w:rPr>
          <w:rStyle w:val="Odwoanieprzypisudolnego"/>
          <w:rFonts w:asciiTheme="minorHAnsi" w:hAnsiTheme="minorHAnsi" w:cstheme="minorHAnsi"/>
          <w:sz w:val="18"/>
          <w:szCs w:val="18"/>
        </w:rPr>
        <w:footnoteRef/>
      </w:r>
      <w:r w:rsidRPr="00240615">
        <w:rPr>
          <w:rFonts w:asciiTheme="minorHAnsi" w:hAnsiTheme="minorHAnsi" w:cstheme="minorHAnsi"/>
          <w:sz w:val="18"/>
          <w:szCs w:val="18"/>
        </w:rPr>
        <w:t xml:space="preserve"> </w:t>
      </w:r>
      <w:r w:rsidRPr="00240615">
        <w:rPr>
          <w:rFonts w:asciiTheme="minorHAnsi" w:hAnsiTheme="minorHAnsi" w:cstheme="minorHAnsi"/>
          <w:i/>
          <w:sz w:val="18"/>
          <w:szCs w:val="18"/>
        </w:rPr>
        <w:t>Bariery prowadzenia działalności gospodarczej w Polsce</w:t>
      </w:r>
      <w:r w:rsidRPr="00240615">
        <w:rPr>
          <w:rFonts w:asciiTheme="minorHAnsi" w:hAnsiTheme="minorHAnsi" w:cstheme="minorHAnsi"/>
          <w:sz w:val="18"/>
          <w:szCs w:val="18"/>
        </w:rPr>
        <w:t>, 22.01.2018, Związek Przedsiębiorców i Pracodawców, Maison &amp; Partners. W 2010 r. koszty obciążeń administracyjnych w prawie gospodarczym zostały oszacowane na poziomie 37,3 mld PLN, co stanowiło ok. 2,9 % PKB Polski za 2008 r. w cenach bieżących (</w:t>
      </w:r>
      <w:r w:rsidRPr="00240615">
        <w:rPr>
          <w:rFonts w:asciiTheme="minorHAnsi" w:hAnsiTheme="minorHAnsi" w:cstheme="minorHAnsi"/>
          <w:i/>
          <w:sz w:val="18"/>
          <w:szCs w:val="18"/>
        </w:rPr>
        <w:t>Pomiar obciążeń administracyjnych w przepisach prawa gospodarczego</w:t>
      </w:r>
      <w:r w:rsidRPr="00240615">
        <w:rPr>
          <w:rFonts w:asciiTheme="minorHAnsi" w:hAnsiTheme="minorHAnsi" w:cstheme="minorHAnsi"/>
          <w:sz w:val="18"/>
          <w:szCs w:val="18"/>
        </w:rPr>
        <w:t>, Ministerstwo Gospodarki, Warszawa 2010)</w:t>
      </w:r>
    </w:p>
  </w:footnote>
  <w:footnote w:id="30">
    <w:p w14:paraId="0F47679C" w14:textId="77777777" w:rsidR="005D4C4C" w:rsidRPr="00240615" w:rsidRDefault="005D4C4C" w:rsidP="00240615">
      <w:pPr>
        <w:pStyle w:val="Tekstprzypisudolnego"/>
        <w:spacing w:after="60"/>
        <w:ind w:left="284" w:hanging="284"/>
        <w:jc w:val="both"/>
        <w:rPr>
          <w:rFonts w:asciiTheme="minorHAnsi" w:hAnsiTheme="minorHAnsi" w:cstheme="minorHAnsi"/>
          <w:sz w:val="18"/>
          <w:szCs w:val="18"/>
          <w:lang w:val="en-AU"/>
        </w:rPr>
      </w:pPr>
      <w:r w:rsidRPr="00240615">
        <w:rPr>
          <w:rStyle w:val="Odwoanieprzypisudolnego"/>
          <w:rFonts w:asciiTheme="minorHAnsi" w:hAnsiTheme="minorHAnsi" w:cstheme="minorHAnsi"/>
          <w:sz w:val="18"/>
          <w:szCs w:val="18"/>
        </w:rPr>
        <w:footnoteRef/>
      </w:r>
      <w:r w:rsidRPr="00240615">
        <w:rPr>
          <w:rFonts w:asciiTheme="minorHAnsi" w:hAnsiTheme="minorHAnsi" w:cstheme="minorHAnsi"/>
          <w:sz w:val="18"/>
          <w:szCs w:val="18"/>
          <w:lang w:val="en-AU"/>
        </w:rPr>
        <w:t xml:space="preserve"> </w:t>
      </w:r>
      <w:r w:rsidRPr="00240615">
        <w:rPr>
          <w:rFonts w:asciiTheme="minorHAnsi" w:hAnsiTheme="minorHAnsi" w:cstheme="minorHAnsi"/>
          <w:i/>
          <w:sz w:val="18"/>
          <w:szCs w:val="18"/>
          <w:lang w:val="en-AU"/>
        </w:rPr>
        <w:t>Businesses’ Views on Red Tape, Administrative and Regulatory Burdens on Small and Medium-Sized Enterprises</w:t>
      </w:r>
      <w:r w:rsidRPr="00240615">
        <w:rPr>
          <w:rFonts w:asciiTheme="minorHAnsi" w:hAnsiTheme="minorHAnsi" w:cstheme="minorHAnsi"/>
          <w:sz w:val="18"/>
          <w:szCs w:val="18"/>
          <w:lang w:val="en-AU"/>
        </w:rPr>
        <w:t>, OECD, 2001.</w:t>
      </w:r>
    </w:p>
  </w:footnote>
  <w:footnote w:id="31">
    <w:p w14:paraId="415E77F4" w14:textId="77777777" w:rsidR="005D4C4C" w:rsidRPr="00240615" w:rsidRDefault="005D4C4C" w:rsidP="00240615">
      <w:pPr>
        <w:pStyle w:val="Tekstprzypisudolnego"/>
        <w:spacing w:after="60"/>
        <w:ind w:left="284" w:hanging="284"/>
        <w:jc w:val="both"/>
        <w:rPr>
          <w:rFonts w:asciiTheme="minorHAnsi" w:hAnsiTheme="minorHAnsi" w:cstheme="minorHAnsi"/>
          <w:sz w:val="18"/>
          <w:szCs w:val="18"/>
        </w:rPr>
      </w:pPr>
      <w:r w:rsidRPr="00240615">
        <w:rPr>
          <w:rStyle w:val="Odwoanieprzypisudolnego"/>
          <w:rFonts w:asciiTheme="minorHAnsi" w:hAnsiTheme="minorHAnsi" w:cstheme="minorHAnsi"/>
          <w:sz w:val="18"/>
          <w:szCs w:val="18"/>
        </w:rPr>
        <w:footnoteRef/>
      </w:r>
      <w:r w:rsidRPr="00240615">
        <w:rPr>
          <w:rFonts w:asciiTheme="minorHAnsi" w:hAnsiTheme="minorHAnsi" w:cstheme="minorHAnsi"/>
          <w:sz w:val="18"/>
          <w:szCs w:val="18"/>
        </w:rPr>
        <w:t xml:space="preserve"> </w:t>
      </w:r>
      <w:r w:rsidRPr="00240615">
        <w:rPr>
          <w:rFonts w:asciiTheme="minorHAnsi" w:hAnsiTheme="minorHAnsi" w:cstheme="minorHAnsi"/>
          <w:i/>
          <w:sz w:val="18"/>
          <w:szCs w:val="18"/>
        </w:rPr>
        <w:t>Bariery rozwoju przedsiębiorstw, czyli co najbardziej hamuje wzrost polskich firm</w:t>
      </w:r>
      <w:r w:rsidRPr="00240615">
        <w:rPr>
          <w:rFonts w:asciiTheme="minorHAnsi" w:hAnsiTheme="minorHAnsi" w:cstheme="minorHAnsi"/>
          <w:sz w:val="18"/>
          <w:szCs w:val="18"/>
        </w:rPr>
        <w:t>, Raport z wyników ankiety przeprowadzonej podczas II Forum Przedsiębiorców Grant Thornton, Krajowa Izba Gospodarcza, grudzień 2013.</w:t>
      </w:r>
    </w:p>
  </w:footnote>
  <w:footnote w:id="32">
    <w:p w14:paraId="0F9CBC3D" w14:textId="77777777" w:rsidR="005D4C4C" w:rsidRPr="00654DEC" w:rsidRDefault="005D4C4C" w:rsidP="00E005A2">
      <w:pPr>
        <w:pStyle w:val="Tekstprzypisudolnego"/>
        <w:spacing w:after="60"/>
        <w:ind w:left="142" w:hanging="142"/>
        <w:jc w:val="both"/>
        <w:rPr>
          <w:rFonts w:asciiTheme="minorHAnsi" w:hAnsiTheme="minorHAnsi"/>
          <w:sz w:val="18"/>
          <w:szCs w:val="18"/>
        </w:rPr>
      </w:pPr>
      <w:r w:rsidRPr="00654DEC">
        <w:rPr>
          <w:rStyle w:val="Odwoanieprzypisudolnego"/>
          <w:rFonts w:asciiTheme="minorHAnsi" w:hAnsiTheme="minorHAnsi"/>
          <w:sz w:val="18"/>
          <w:szCs w:val="18"/>
        </w:rPr>
        <w:footnoteRef/>
      </w:r>
      <w:r w:rsidRPr="00654DEC">
        <w:rPr>
          <w:rFonts w:asciiTheme="minorHAnsi" w:hAnsiTheme="minorHAnsi"/>
          <w:sz w:val="18"/>
          <w:szCs w:val="18"/>
        </w:rPr>
        <w:t xml:space="preserve"> </w:t>
      </w:r>
      <w:r>
        <w:rPr>
          <w:rFonts w:asciiTheme="minorHAnsi" w:hAnsiTheme="minorHAnsi"/>
          <w:color w:val="000000"/>
          <w:sz w:val="18"/>
          <w:szCs w:val="18"/>
        </w:rPr>
        <w:t>Wykaz</w:t>
      </w:r>
      <w:r w:rsidRPr="00A352BD">
        <w:rPr>
          <w:rFonts w:asciiTheme="minorHAnsi" w:hAnsiTheme="minorHAnsi"/>
          <w:color w:val="000000"/>
          <w:sz w:val="18"/>
          <w:szCs w:val="18"/>
        </w:rPr>
        <w:t xml:space="preserve"> udostępniony na stronach internetowych MR; aktualizowany na bieżąco; wspomaga proces doboru podmiotów do konsultowania projektów aktów prawnych</w:t>
      </w:r>
      <w:r w:rsidRPr="00654DEC">
        <w:rPr>
          <w:rFonts w:asciiTheme="minorHAnsi" w:hAnsiTheme="minorHAnsi"/>
          <w:color w:val="000000"/>
          <w:sz w:val="18"/>
          <w:szCs w:val="18"/>
        </w:rPr>
        <w:t xml:space="preserve"> przez prowadzących proces legislacyjny również w innych resortach; obejmuje organizacje, które brały udział w konsultacjach, mają w statucie uwzględnioną współpracę z organami centralnymi lub same zgłaszają zainteresowanie konsultacjami. </w:t>
      </w:r>
    </w:p>
  </w:footnote>
  <w:footnote w:id="33">
    <w:p w14:paraId="52F352C2" w14:textId="7207B871" w:rsidR="005D4C4C" w:rsidRPr="0091420A" w:rsidRDefault="005D4C4C" w:rsidP="0072706D">
      <w:pPr>
        <w:pStyle w:val="Default"/>
        <w:spacing w:after="120"/>
        <w:rPr>
          <w:rFonts w:asciiTheme="minorHAnsi" w:hAnsiTheme="minorHAnsi"/>
          <w:sz w:val="18"/>
          <w:szCs w:val="18"/>
        </w:rPr>
      </w:pPr>
      <w:r w:rsidRPr="00654DEC">
        <w:rPr>
          <w:rStyle w:val="Odwoanieprzypisudolnego"/>
          <w:rFonts w:asciiTheme="minorHAnsi" w:hAnsiTheme="minorHAnsi"/>
          <w:sz w:val="18"/>
          <w:szCs w:val="18"/>
        </w:rPr>
        <w:footnoteRef/>
      </w:r>
      <w:r w:rsidRPr="00654DEC">
        <w:rPr>
          <w:rFonts w:asciiTheme="minorHAnsi" w:hAnsiTheme="minorHAnsi"/>
          <w:sz w:val="18"/>
          <w:szCs w:val="18"/>
        </w:rPr>
        <w:t xml:space="preserve"> Ustawa z dnia 6 marca 2018 r. – Prawo przedsiębiorców (</w:t>
      </w:r>
      <w:r w:rsidRPr="00654DEC">
        <w:rPr>
          <w:rFonts w:asciiTheme="minorHAnsi" w:hAnsiTheme="minorHAnsi" w:cs="Times New Roman"/>
          <w:bCs/>
          <w:sz w:val="18"/>
          <w:szCs w:val="18"/>
        </w:rPr>
        <w:t>Dz.U. 201</w:t>
      </w:r>
      <w:r>
        <w:rPr>
          <w:rFonts w:asciiTheme="minorHAnsi" w:hAnsiTheme="minorHAnsi" w:cs="Times New Roman"/>
          <w:bCs/>
          <w:sz w:val="18"/>
          <w:szCs w:val="18"/>
        </w:rPr>
        <w:t>9</w:t>
      </w:r>
      <w:r w:rsidRPr="00654DEC">
        <w:rPr>
          <w:rFonts w:asciiTheme="minorHAnsi" w:hAnsiTheme="minorHAnsi" w:cs="Times New Roman"/>
          <w:bCs/>
          <w:sz w:val="18"/>
          <w:szCs w:val="18"/>
        </w:rPr>
        <w:t xml:space="preserve">, poz. </w:t>
      </w:r>
      <w:r>
        <w:rPr>
          <w:rFonts w:asciiTheme="minorHAnsi" w:hAnsiTheme="minorHAnsi" w:cs="Times New Roman"/>
          <w:bCs/>
          <w:sz w:val="18"/>
          <w:szCs w:val="18"/>
        </w:rPr>
        <w:t>1292,</w:t>
      </w:r>
      <w:r w:rsidRPr="00654DEC">
        <w:rPr>
          <w:rFonts w:asciiTheme="minorHAnsi" w:hAnsiTheme="minorHAnsi" w:cs="Times New Roman"/>
          <w:bCs/>
          <w:sz w:val="18"/>
          <w:szCs w:val="18"/>
        </w:rPr>
        <w:t xml:space="preserve"> z późn. zm.)</w:t>
      </w:r>
      <w:r>
        <w:rPr>
          <w:rFonts w:asciiTheme="minorHAnsi" w:hAnsiTheme="minorHAnsi" w:cs="Times New Roman"/>
          <w:bCs/>
          <w:sz w:val="18"/>
          <w:szCs w:val="18"/>
        </w:rPr>
        <w:t>.</w:t>
      </w:r>
    </w:p>
  </w:footnote>
  <w:footnote w:id="34">
    <w:p w14:paraId="5BBABFE8" w14:textId="603CD7B2" w:rsidR="005D4C4C" w:rsidRPr="00F532B4" w:rsidRDefault="005D4C4C" w:rsidP="0072706D">
      <w:pPr>
        <w:spacing w:after="120"/>
        <w:ind w:left="142" w:hanging="142"/>
        <w:jc w:val="both"/>
        <w:rPr>
          <w:sz w:val="20"/>
          <w:szCs w:val="20"/>
        </w:rPr>
      </w:pPr>
      <w:r w:rsidRPr="00F532B4">
        <w:rPr>
          <w:rStyle w:val="Odwoanieprzypisudolnego"/>
          <w:sz w:val="18"/>
          <w:szCs w:val="20"/>
        </w:rPr>
        <w:footnoteRef/>
      </w:r>
      <w:r w:rsidRPr="00F532B4">
        <w:rPr>
          <w:sz w:val="18"/>
          <w:szCs w:val="20"/>
        </w:rPr>
        <w:t xml:space="preserve"> </w:t>
      </w:r>
      <w:r w:rsidRPr="00EB7362">
        <w:rPr>
          <w:rFonts w:cs="Times New Roman"/>
          <w:sz w:val="18"/>
          <w:szCs w:val="20"/>
        </w:rPr>
        <w:t>Zbiorczy Raport dotyczący dwuinstancyjności postępowań administracyjnych z dnia 22 listopada 2019 r. opracowany na podstawie art</w:t>
      </w:r>
      <w:r w:rsidRPr="00F532B4">
        <w:rPr>
          <w:rFonts w:cs="Times New Roman"/>
          <w:sz w:val="18"/>
          <w:szCs w:val="20"/>
        </w:rPr>
        <w:t xml:space="preserve">. 15 </w:t>
      </w:r>
      <w:r w:rsidRPr="00F532B4">
        <w:rPr>
          <w:rFonts w:cs="Times New Roman"/>
          <w:i/>
          <w:sz w:val="18"/>
          <w:szCs w:val="20"/>
        </w:rPr>
        <w:t xml:space="preserve">ustawy z dnia 7 kwietnia 2017 r. o zmianie ustawy – Kodeks postępowania administracyjnego oraz niektórych innych ustaw </w:t>
      </w:r>
      <w:r w:rsidRPr="00F532B4">
        <w:rPr>
          <w:rFonts w:cs="Times New Roman"/>
          <w:sz w:val="18"/>
          <w:szCs w:val="20"/>
        </w:rPr>
        <w:t>(Dz. U. z 2017 r. poz. 935).</w:t>
      </w:r>
    </w:p>
  </w:footnote>
  <w:footnote w:id="35">
    <w:p w14:paraId="275879D8" w14:textId="77777777" w:rsidR="005D4C4C" w:rsidRPr="008F471D" w:rsidRDefault="005D4C4C" w:rsidP="00776D77">
      <w:pPr>
        <w:autoSpaceDE w:val="0"/>
        <w:autoSpaceDN w:val="0"/>
        <w:adjustRightInd w:val="0"/>
        <w:spacing w:after="60"/>
        <w:ind w:left="181" w:hanging="181"/>
        <w:jc w:val="both"/>
        <w:rPr>
          <w:sz w:val="18"/>
          <w:szCs w:val="20"/>
        </w:rPr>
      </w:pPr>
      <w:r>
        <w:rPr>
          <w:rStyle w:val="Odwoanieprzypisudolnego"/>
        </w:rPr>
        <w:footnoteRef/>
      </w:r>
      <w:r>
        <w:t xml:space="preserve"> </w:t>
      </w:r>
      <w:r w:rsidRPr="008F471D">
        <w:rPr>
          <w:sz w:val="18"/>
          <w:szCs w:val="20"/>
        </w:rPr>
        <w:t>Model administracji publicznej oparty jest na zało</w:t>
      </w:r>
      <w:r w:rsidRPr="008F471D">
        <w:rPr>
          <w:rFonts w:eastAsia="TTE27ABA08t00"/>
          <w:sz w:val="18"/>
          <w:szCs w:val="20"/>
        </w:rPr>
        <w:t>ż</w:t>
      </w:r>
      <w:r w:rsidRPr="008F471D">
        <w:rPr>
          <w:sz w:val="18"/>
          <w:szCs w:val="20"/>
        </w:rPr>
        <w:t xml:space="preserve">eniu, </w:t>
      </w:r>
      <w:r w:rsidRPr="008F471D">
        <w:rPr>
          <w:rFonts w:eastAsia="TTE27ABA08t00"/>
          <w:sz w:val="18"/>
          <w:szCs w:val="20"/>
        </w:rPr>
        <w:t>ż</w:t>
      </w:r>
      <w:r w:rsidRPr="008F471D">
        <w:rPr>
          <w:sz w:val="18"/>
          <w:szCs w:val="20"/>
        </w:rPr>
        <w:t>e administracja publiczna składa si</w:t>
      </w:r>
      <w:r w:rsidRPr="008F471D">
        <w:rPr>
          <w:rFonts w:eastAsia="TTE27ABA08t00"/>
          <w:sz w:val="18"/>
          <w:szCs w:val="20"/>
        </w:rPr>
        <w:t xml:space="preserve">ę </w:t>
      </w:r>
      <w:r w:rsidRPr="008F471D">
        <w:rPr>
          <w:sz w:val="18"/>
          <w:szCs w:val="20"/>
        </w:rPr>
        <w:t>z administracji rz</w:t>
      </w:r>
      <w:r w:rsidRPr="008F471D">
        <w:rPr>
          <w:rFonts w:eastAsia="TTE27ABA08t00"/>
          <w:sz w:val="18"/>
          <w:szCs w:val="20"/>
        </w:rPr>
        <w:t>ą</w:t>
      </w:r>
      <w:r w:rsidRPr="008F471D">
        <w:rPr>
          <w:sz w:val="18"/>
          <w:szCs w:val="20"/>
        </w:rPr>
        <w:t>dowej oraz administracji samorz</w:t>
      </w:r>
      <w:r w:rsidRPr="008F471D">
        <w:rPr>
          <w:rFonts w:eastAsia="TTE27ABA08t00"/>
          <w:sz w:val="18"/>
          <w:szCs w:val="20"/>
        </w:rPr>
        <w:t>ą</w:t>
      </w:r>
      <w:r w:rsidRPr="008F471D">
        <w:rPr>
          <w:sz w:val="18"/>
          <w:szCs w:val="20"/>
        </w:rPr>
        <w:t>dowej, realizuj</w:t>
      </w:r>
      <w:r w:rsidRPr="008F471D">
        <w:rPr>
          <w:rFonts w:eastAsia="TTE27ABA08t00"/>
          <w:sz w:val="18"/>
          <w:szCs w:val="20"/>
        </w:rPr>
        <w:t>ą</w:t>
      </w:r>
      <w:r w:rsidRPr="008F471D">
        <w:rPr>
          <w:sz w:val="18"/>
          <w:szCs w:val="20"/>
        </w:rPr>
        <w:t>cej swoje zadania na odpowiednim szczeblu administracyjnego podziału pa</w:t>
      </w:r>
      <w:r w:rsidRPr="008F471D">
        <w:rPr>
          <w:rFonts w:eastAsia="TTE27ABA08t00"/>
          <w:sz w:val="18"/>
          <w:szCs w:val="20"/>
        </w:rPr>
        <w:t>ń</w:t>
      </w:r>
      <w:r w:rsidRPr="008F471D">
        <w:rPr>
          <w:sz w:val="18"/>
          <w:szCs w:val="20"/>
        </w:rPr>
        <w:t>stwa. Termin „administracja publiczna” definiuje się na wiele sposobów i na różnych płaszczyznach, np. w ujęciu przedmiotowym (zakres realizowanych spraw) lub podmiotowym (organy tworzące administrację publiczną). Według jednej z definicji administracja publiczna to zespół działań, czynności i przedsięwzięć organizatorskich i wykonawczych, prowadzonych na rzecz realizacji interesu publicznego przez różne podmioty, organy i instytucje, na podstawie ustawy i w określonych prawem formach. Istnienie wielu definicji pojęcia „administracja publiczn</w:t>
      </w:r>
      <w:r>
        <w:rPr>
          <w:sz w:val="18"/>
          <w:szCs w:val="20"/>
        </w:rPr>
        <w:t>a</w:t>
      </w:r>
      <w:r w:rsidRPr="008F471D">
        <w:rPr>
          <w:sz w:val="18"/>
          <w:szCs w:val="20"/>
        </w:rPr>
        <w:t xml:space="preserve">” przyczynia się do różnorodnego stosowania jej podziału. Jeden z nich dzieli administrację publiczna na: </w:t>
      </w:r>
      <w:r w:rsidRPr="008F471D">
        <w:rPr>
          <w:rStyle w:val="Pogrubienie"/>
          <w:b w:val="0"/>
          <w:sz w:val="18"/>
          <w:szCs w:val="20"/>
        </w:rPr>
        <w:t>administrację rządową</w:t>
      </w:r>
      <w:r w:rsidRPr="008F471D">
        <w:rPr>
          <w:sz w:val="18"/>
          <w:szCs w:val="20"/>
        </w:rPr>
        <w:t>,</w:t>
      </w:r>
      <w:r w:rsidRPr="008F471D">
        <w:rPr>
          <w:b/>
          <w:sz w:val="18"/>
          <w:szCs w:val="20"/>
        </w:rPr>
        <w:t xml:space="preserve"> </w:t>
      </w:r>
      <w:r w:rsidRPr="008F471D">
        <w:rPr>
          <w:rStyle w:val="Pogrubienie"/>
          <w:b w:val="0"/>
          <w:sz w:val="18"/>
          <w:szCs w:val="20"/>
        </w:rPr>
        <w:t>administrację samorządową</w:t>
      </w:r>
      <w:r w:rsidRPr="008F471D">
        <w:rPr>
          <w:sz w:val="18"/>
          <w:szCs w:val="20"/>
        </w:rPr>
        <w:t xml:space="preserve">, </w:t>
      </w:r>
      <w:r w:rsidRPr="008F471D">
        <w:rPr>
          <w:rStyle w:val="Pogrubienie"/>
          <w:b w:val="0"/>
          <w:sz w:val="18"/>
          <w:szCs w:val="20"/>
        </w:rPr>
        <w:t>administrację państwową</w:t>
      </w:r>
      <w:r w:rsidRPr="008F471D">
        <w:rPr>
          <w:b/>
          <w:sz w:val="18"/>
          <w:szCs w:val="20"/>
        </w:rPr>
        <w:t xml:space="preserve"> </w:t>
      </w:r>
      <w:r w:rsidRPr="008F471D">
        <w:rPr>
          <w:sz w:val="18"/>
          <w:szCs w:val="20"/>
        </w:rPr>
        <w:t xml:space="preserve">(do której zaliczane są jednostki organizacyjne nie będące częściami składowymi ani administracji rządowej ani administracji samorządowej). </w:t>
      </w:r>
    </w:p>
  </w:footnote>
  <w:footnote w:id="36">
    <w:p w14:paraId="08470932" w14:textId="77777777" w:rsidR="005D4C4C" w:rsidRPr="008F471D" w:rsidRDefault="005D4C4C" w:rsidP="00776D77">
      <w:pPr>
        <w:pStyle w:val="Tekstprzypisudolnego"/>
        <w:spacing w:after="60"/>
        <w:ind w:left="181" w:hanging="181"/>
        <w:rPr>
          <w:rFonts w:asciiTheme="minorHAnsi" w:hAnsiTheme="minorHAnsi"/>
          <w:sz w:val="18"/>
        </w:rPr>
      </w:pPr>
      <w:r w:rsidRPr="008F471D">
        <w:rPr>
          <w:rStyle w:val="Odwoanieprzypisudolnego"/>
          <w:rFonts w:asciiTheme="minorHAnsi" w:hAnsiTheme="minorHAnsi"/>
          <w:sz w:val="18"/>
        </w:rPr>
        <w:footnoteRef/>
      </w:r>
      <w:r w:rsidRPr="008F471D">
        <w:rPr>
          <w:rFonts w:asciiTheme="minorHAnsi" w:hAnsiTheme="minorHAnsi"/>
          <w:sz w:val="18"/>
        </w:rPr>
        <w:t xml:space="preserve"> Przedstawiona diagnoza jest uzupełnieniem informacji diagnostycznych zawartych w SOR w obszarze </w:t>
      </w:r>
      <w:r w:rsidRPr="008F471D">
        <w:rPr>
          <w:rFonts w:asciiTheme="minorHAnsi" w:hAnsiTheme="minorHAnsi" w:cs="Arial"/>
          <w:sz w:val="18"/>
        </w:rPr>
        <w:t xml:space="preserve">"Instytucje prorozwojowe i strategiczne zarządzanie rozwojem”. </w:t>
      </w:r>
    </w:p>
  </w:footnote>
  <w:footnote w:id="37">
    <w:p w14:paraId="28387FB5" w14:textId="77777777" w:rsidR="005D4C4C" w:rsidRPr="005340D6" w:rsidRDefault="005D4C4C" w:rsidP="00776D77">
      <w:pPr>
        <w:pStyle w:val="Tekstprzypisudolnego"/>
        <w:spacing w:after="60"/>
        <w:ind w:left="181" w:hanging="181"/>
        <w:jc w:val="both"/>
        <w:rPr>
          <w:rFonts w:asciiTheme="minorHAnsi" w:hAnsiTheme="minorHAnsi"/>
          <w:sz w:val="18"/>
          <w:szCs w:val="18"/>
        </w:rPr>
      </w:pPr>
      <w:r w:rsidRPr="005340D6">
        <w:rPr>
          <w:rStyle w:val="Odwoanieprzypisudolnego"/>
          <w:rFonts w:asciiTheme="minorHAnsi" w:hAnsiTheme="minorHAnsi"/>
          <w:sz w:val="18"/>
          <w:szCs w:val="18"/>
        </w:rPr>
        <w:footnoteRef/>
      </w:r>
      <w:r w:rsidRPr="005340D6">
        <w:rPr>
          <w:rFonts w:asciiTheme="minorHAnsi" w:hAnsiTheme="minorHAnsi"/>
          <w:sz w:val="18"/>
          <w:szCs w:val="18"/>
        </w:rPr>
        <w:t xml:space="preserve"> </w:t>
      </w:r>
      <w:r w:rsidRPr="005340D6">
        <w:rPr>
          <w:rFonts w:asciiTheme="minorHAnsi" w:hAnsiTheme="minorHAnsi" w:cs="Candara"/>
          <w:sz w:val="18"/>
          <w:szCs w:val="18"/>
        </w:rPr>
        <w:t>W Polsce system administracji publicznej odpowiada standardom zachodnioeuropejskiego państwa prawa. Administracja publiczna to sposób sprawowania władzy publicznej i organizowania lokalnej działalności administracyjnej.</w:t>
      </w:r>
      <w:r w:rsidRPr="005340D6">
        <w:rPr>
          <w:rFonts w:asciiTheme="minorHAnsi" w:hAnsiTheme="minorHAnsi" w:cs="Arial"/>
          <w:sz w:val="18"/>
          <w:szCs w:val="18"/>
        </w:rPr>
        <w:t xml:space="preserve"> Model administracji publicznej oparty jest na zało</w:t>
      </w:r>
      <w:r w:rsidRPr="005340D6">
        <w:rPr>
          <w:rFonts w:asciiTheme="minorHAnsi" w:eastAsia="TTE27ABA08t00" w:hAnsiTheme="minorHAnsi" w:cs="Arial"/>
          <w:sz w:val="18"/>
          <w:szCs w:val="18"/>
        </w:rPr>
        <w:t>ż</w:t>
      </w:r>
      <w:r w:rsidRPr="005340D6">
        <w:rPr>
          <w:rFonts w:asciiTheme="minorHAnsi" w:hAnsiTheme="minorHAnsi" w:cs="Arial"/>
          <w:sz w:val="18"/>
          <w:szCs w:val="18"/>
        </w:rPr>
        <w:t xml:space="preserve">eniu, </w:t>
      </w:r>
      <w:r w:rsidRPr="005340D6">
        <w:rPr>
          <w:rFonts w:asciiTheme="minorHAnsi" w:eastAsia="TTE27ABA08t00" w:hAnsiTheme="minorHAnsi" w:cs="Arial"/>
          <w:sz w:val="18"/>
          <w:szCs w:val="18"/>
        </w:rPr>
        <w:t>ż</w:t>
      </w:r>
      <w:r w:rsidRPr="005340D6">
        <w:rPr>
          <w:rFonts w:asciiTheme="minorHAnsi" w:hAnsiTheme="minorHAnsi" w:cs="Arial"/>
          <w:sz w:val="18"/>
          <w:szCs w:val="18"/>
        </w:rPr>
        <w:t>e administracja publiczna składa si</w:t>
      </w:r>
      <w:r w:rsidRPr="005340D6">
        <w:rPr>
          <w:rFonts w:asciiTheme="minorHAnsi" w:eastAsia="TTE27ABA08t00" w:hAnsiTheme="minorHAnsi" w:cs="Arial"/>
          <w:sz w:val="18"/>
          <w:szCs w:val="18"/>
        </w:rPr>
        <w:t xml:space="preserve">ę </w:t>
      </w:r>
      <w:r w:rsidRPr="005340D6">
        <w:rPr>
          <w:rFonts w:asciiTheme="minorHAnsi" w:hAnsiTheme="minorHAnsi" w:cs="Arial"/>
          <w:sz w:val="18"/>
          <w:szCs w:val="18"/>
        </w:rPr>
        <w:t>z administracji rz</w:t>
      </w:r>
      <w:r w:rsidRPr="005340D6">
        <w:rPr>
          <w:rFonts w:asciiTheme="minorHAnsi" w:eastAsia="TTE27ABA08t00" w:hAnsiTheme="minorHAnsi" w:cs="Arial"/>
          <w:sz w:val="18"/>
          <w:szCs w:val="18"/>
        </w:rPr>
        <w:t>ą</w:t>
      </w:r>
      <w:r w:rsidRPr="005340D6">
        <w:rPr>
          <w:rFonts w:asciiTheme="minorHAnsi" w:hAnsiTheme="minorHAnsi" w:cs="Arial"/>
          <w:sz w:val="18"/>
          <w:szCs w:val="18"/>
        </w:rPr>
        <w:t>dowej oraz administracji samorz</w:t>
      </w:r>
      <w:r w:rsidRPr="005340D6">
        <w:rPr>
          <w:rFonts w:asciiTheme="minorHAnsi" w:eastAsia="TTE27ABA08t00" w:hAnsiTheme="minorHAnsi" w:cs="Arial"/>
          <w:sz w:val="18"/>
          <w:szCs w:val="18"/>
        </w:rPr>
        <w:t>ą</w:t>
      </w:r>
      <w:r w:rsidRPr="005340D6">
        <w:rPr>
          <w:rFonts w:asciiTheme="minorHAnsi" w:hAnsiTheme="minorHAnsi" w:cs="Arial"/>
          <w:sz w:val="18"/>
          <w:szCs w:val="18"/>
        </w:rPr>
        <w:t>dowej, realizuj</w:t>
      </w:r>
      <w:r w:rsidRPr="005340D6">
        <w:rPr>
          <w:rFonts w:asciiTheme="minorHAnsi" w:eastAsia="TTE27ABA08t00" w:hAnsiTheme="minorHAnsi" w:cs="Arial"/>
          <w:sz w:val="18"/>
          <w:szCs w:val="18"/>
        </w:rPr>
        <w:t>ą</w:t>
      </w:r>
      <w:r w:rsidRPr="005340D6">
        <w:rPr>
          <w:rFonts w:asciiTheme="minorHAnsi" w:hAnsiTheme="minorHAnsi" w:cs="Arial"/>
          <w:sz w:val="18"/>
          <w:szCs w:val="18"/>
        </w:rPr>
        <w:t>cej swoje zadania na odpowiednim szczeblu administracyjnego podziału pa</w:t>
      </w:r>
      <w:r w:rsidRPr="005340D6">
        <w:rPr>
          <w:rFonts w:asciiTheme="minorHAnsi" w:eastAsia="TTE27ABA08t00" w:hAnsiTheme="minorHAnsi" w:cs="Arial"/>
          <w:sz w:val="18"/>
          <w:szCs w:val="18"/>
        </w:rPr>
        <w:t>ń</w:t>
      </w:r>
      <w:r w:rsidRPr="005340D6">
        <w:rPr>
          <w:rFonts w:asciiTheme="minorHAnsi" w:hAnsiTheme="minorHAnsi" w:cs="Arial"/>
          <w:sz w:val="18"/>
          <w:szCs w:val="18"/>
        </w:rPr>
        <w:t>stwa.</w:t>
      </w:r>
    </w:p>
  </w:footnote>
  <w:footnote w:id="38">
    <w:p w14:paraId="1A88139B" w14:textId="77777777" w:rsidR="005D4C4C" w:rsidRPr="005340D6" w:rsidRDefault="005D4C4C" w:rsidP="00776D77">
      <w:pPr>
        <w:pStyle w:val="NormalnyWeb"/>
        <w:spacing w:before="0" w:beforeAutospacing="0" w:after="60" w:afterAutospacing="0"/>
        <w:ind w:left="142" w:hanging="142"/>
        <w:jc w:val="both"/>
        <w:rPr>
          <w:rFonts w:asciiTheme="minorHAnsi" w:hAnsiTheme="minorHAnsi"/>
          <w:sz w:val="18"/>
          <w:szCs w:val="18"/>
        </w:rPr>
      </w:pPr>
      <w:r w:rsidRPr="005340D6">
        <w:rPr>
          <w:rStyle w:val="Odwoanieprzypisudolnego"/>
          <w:rFonts w:asciiTheme="minorHAnsi" w:hAnsiTheme="minorHAnsi"/>
          <w:sz w:val="18"/>
          <w:szCs w:val="18"/>
        </w:rPr>
        <w:footnoteRef/>
      </w:r>
      <w:r w:rsidRPr="005340D6">
        <w:rPr>
          <w:rFonts w:asciiTheme="minorHAnsi" w:hAnsiTheme="minorHAnsi"/>
          <w:sz w:val="18"/>
          <w:szCs w:val="18"/>
        </w:rPr>
        <w:t xml:space="preserve"> Źródło STRATEG: Wskaźnik jest średnią ważoną szeregu (od 7 do 13) innych indeksów odzwierciedlających opinie ekspertów, przedsiębiorców i gospodarstw domowych na temat różnych aspektów funkcjonowania sfery publicznej. Ocenie podlegają w szczególności następujące zjawiska: jakość usług publicznych; jakość administracji publicznej i stopień jej niezależności od wpływów politycznych; jakość formułowanych i wdrażanych polityk; jakość struktury publicznej: transportowej, sanitarnej, informatycznej, itd.</w:t>
      </w:r>
    </w:p>
    <w:p w14:paraId="7164D468" w14:textId="77777777" w:rsidR="005D4C4C" w:rsidRPr="005340D6" w:rsidRDefault="005D4C4C" w:rsidP="00776D77">
      <w:pPr>
        <w:spacing w:after="60" w:line="240" w:lineRule="auto"/>
        <w:ind w:left="142"/>
        <w:jc w:val="both"/>
        <w:rPr>
          <w:rFonts w:eastAsia="Times New Roman" w:cs="Times New Roman"/>
          <w:sz w:val="18"/>
          <w:szCs w:val="18"/>
          <w:lang w:eastAsia="pl-PL"/>
        </w:rPr>
      </w:pPr>
      <w:r w:rsidRPr="005340D6">
        <w:rPr>
          <w:rFonts w:eastAsia="Times New Roman" w:cs="Times New Roman"/>
          <w:sz w:val="18"/>
          <w:szCs w:val="18"/>
          <w:lang w:eastAsia="pl-PL"/>
        </w:rPr>
        <w:t>Wartość wskaźnika efektywności rządzenia jest wystandaryzowana w przedziale &lt;-2,5; 2,5&gt;, przy czym im wyższa nota, tym wyższa oceny jakości rządzenia w danym kraju.</w:t>
      </w:r>
    </w:p>
    <w:p w14:paraId="44359557" w14:textId="77777777" w:rsidR="005D4C4C" w:rsidRPr="005340D6" w:rsidRDefault="005D4C4C" w:rsidP="00776D77">
      <w:pPr>
        <w:pStyle w:val="Tekstprzypisudolnego"/>
        <w:spacing w:after="60"/>
        <w:ind w:left="142"/>
        <w:jc w:val="both"/>
        <w:rPr>
          <w:rFonts w:asciiTheme="minorHAnsi" w:hAnsiTheme="minorHAnsi"/>
          <w:sz w:val="18"/>
          <w:szCs w:val="18"/>
        </w:rPr>
      </w:pPr>
      <w:r w:rsidRPr="005340D6">
        <w:rPr>
          <w:rFonts w:asciiTheme="minorHAnsi" w:hAnsiTheme="minorHAnsi"/>
          <w:sz w:val="18"/>
          <w:szCs w:val="18"/>
        </w:rPr>
        <w:t>Wskaźnik efektywnego rządzenia lub inaczej efektywność administracji publicznej (Government Effectiveness) jest jednym z 6 wskaźników jakości rządzenia (Worldwide Governance Indicators) opracownych przez Bank Światowy. Pozostałe wskaźniki to: Prawo wyrażania opinii i wpływ obywateli (Voice and Accountability), Polityczna stabilność i brak przemocy (Political Stability and Absence of Violence), Jakość stanowionego prawa (Regulatory Quality), Rządy prawa (Rule of Law), Kontrola korupcji (Corruption Control). Skala wszystkich wskaźników wynosi od -2,5 do +2,5.</w:t>
      </w:r>
    </w:p>
  </w:footnote>
  <w:footnote w:id="39">
    <w:p w14:paraId="1092BA63" w14:textId="77777777" w:rsidR="005D4C4C" w:rsidRPr="005340D6" w:rsidRDefault="005D4C4C" w:rsidP="00776D77">
      <w:pPr>
        <w:autoSpaceDE w:val="0"/>
        <w:autoSpaceDN w:val="0"/>
        <w:adjustRightInd w:val="0"/>
        <w:spacing w:after="60" w:line="240" w:lineRule="auto"/>
        <w:jc w:val="both"/>
        <w:rPr>
          <w:sz w:val="18"/>
          <w:szCs w:val="18"/>
        </w:rPr>
      </w:pPr>
      <w:r w:rsidRPr="005340D6">
        <w:rPr>
          <w:rStyle w:val="Odwoanieprzypisudolnego"/>
          <w:sz w:val="18"/>
          <w:szCs w:val="18"/>
        </w:rPr>
        <w:footnoteRef/>
      </w:r>
      <w:r w:rsidRPr="005340D6">
        <w:rPr>
          <w:sz w:val="18"/>
          <w:szCs w:val="18"/>
        </w:rPr>
        <w:t xml:space="preserve"> Raport stanowi załącznik do uchwały </w:t>
      </w:r>
      <w:r w:rsidRPr="005340D6">
        <w:rPr>
          <w:rFonts w:cs="Times New Roman"/>
          <w:sz w:val="18"/>
          <w:szCs w:val="18"/>
        </w:rPr>
        <w:t>nr 65/2016 Rady Ministrów z dnia 6 czerwca 2016 r.</w:t>
      </w:r>
    </w:p>
  </w:footnote>
  <w:footnote w:id="40">
    <w:p w14:paraId="68051AD7" w14:textId="77777777" w:rsidR="005D4C4C" w:rsidRPr="007D1E2A" w:rsidRDefault="005D4C4C" w:rsidP="00776D77">
      <w:pPr>
        <w:spacing w:after="60" w:line="240" w:lineRule="auto"/>
        <w:ind w:left="142" w:hanging="142"/>
        <w:jc w:val="both"/>
        <w:rPr>
          <w:sz w:val="18"/>
          <w:szCs w:val="18"/>
        </w:rPr>
      </w:pPr>
      <w:r w:rsidRPr="00654DEC">
        <w:rPr>
          <w:rStyle w:val="Odwoanieprzypisudolnego"/>
          <w:sz w:val="18"/>
          <w:szCs w:val="18"/>
        </w:rPr>
        <w:footnoteRef/>
      </w:r>
      <w:r w:rsidRPr="00654DEC">
        <w:rPr>
          <w:sz w:val="18"/>
          <w:szCs w:val="18"/>
        </w:rPr>
        <w:t xml:space="preserve"> Źródło: </w:t>
      </w:r>
      <w:hyperlink r:id="rId9" w:history="1">
        <w:r w:rsidRPr="00654DEC">
          <w:rPr>
            <w:rStyle w:val="Hipercze"/>
            <w:sz w:val="18"/>
            <w:szCs w:val="18"/>
          </w:rPr>
          <w:t>http://eteryt.stat.gov.pl/eteryt/raporty/WebRaportZestawienie.aspx</w:t>
        </w:r>
      </w:hyperlink>
      <w:r w:rsidRPr="007D1E2A">
        <w:rPr>
          <w:sz w:val="18"/>
          <w:szCs w:val="18"/>
        </w:rPr>
        <w:t xml:space="preserve"> </w:t>
      </w:r>
    </w:p>
  </w:footnote>
  <w:footnote w:id="41">
    <w:p w14:paraId="26E390C2" w14:textId="77777777" w:rsidR="005D4C4C" w:rsidRPr="003938A8" w:rsidRDefault="005D4C4C" w:rsidP="00776D77">
      <w:pPr>
        <w:pStyle w:val="Tekstprzypisudolnego"/>
        <w:ind w:left="142" w:hanging="142"/>
        <w:jc w:val="both"/>
        <w:rPr>
          <w:rFonts w:asciiTheme="minorHAnsi" w:hAnsiTheme="minorHAnsi"/>
          <w:sz w:val="18"/>
          <w:szCs w:val="18"/>
        </w:rPr>
      </w:pPr>
      <w:r w:rsidRPr="003938A8">
        <w:rPr>
          <w:rStyle w:val="Odwoanieprzypisudolnego"/>
          <w:rFonts w:asciiTheme="minorHAnsi" w:hAnsiTheme="minorHAnsi"/>
          <w:sz w:val="18"/>
          <w:szCs w:val="18"/>
        </w:rPr>
        <w:footnoteRef/>
      </w:r>
      <w:r w:rsidRPr="003938A8">
        <w:rPr>
          <w:rFonts w:asciiTheme="minorHAnsi" w:hAnsiTheme="minorHAnsi"/>
          <w:sz w:val="18"/>
          <w:szCs w:val="18"/>
        </w:rPr>
        <w:t xml:space="preserve"> P.Swianiewicz, A.Gendziwłł, J.Łukomska, A.Kurniewicz, Wielkość gmin i powiatów a sprawność ich funkcjonowania. Hipotezy wielkol</w:t>
      </w:r>
      <w:r>
        <w:rPr>
          <w:rFonts w:asciiTheme="minorHAnsi" w:hAnsiTheme="minorHAnsi"/>
          <w:sz w:val="18"/>
          <w:szCs w:val="18"/>
        </w:rPr>
        <w:t>udów i liliputów, Warszawa 2016</w:t>
      </w:r>
      <w:r w:rsidRPr="003938A8">
        <w:rPr>
          <w:rFonts w:asciiTheme="minorHAnsi" w:hAnsiTheme="minorHAnsi"/>
          <w:sz w:val="18"/>
          <w:szCs w:val="18"/>
        </w:rPr>
        <w:t xml:space="preserve"> </w:t>
      </w:r>
    </w:p>
  </w:footnote>
  <w:footnote w:id="42">
    <w:p w14:paraId="0335367A" w14:textId="77777777" w:rsidR="005D4C4C" w:rsidRPr="003938A8" w:rsidRDefault="005D4C4C" w:rsidP="00776D77">
      <w:pPr>
        <w:pStyle w:val="Tekstprzypisudolnego"/>
        <w:rPr>
          <w:rFonts w:asciiTheme="minorHAnsi" w:hAnsiTheme="minorHAnsi"/>
          <w:sz w:val="18"/>
          <w:szCs w:val="18"/>
        </w:rPr>
      </w:pPr>
      <w:r w:rsidRPr="003938A8">
        <w:rPr>
          <w:rStyle w:val="Odwoanieprzypisudolnego"/>
          <w:rFonts w:asciiTheme="minorHAnsi" w:hAnsiTheme="minorHAnsi"/>
          <w:sz w:val="18"/>
          <w:szCs w:val="18"/>
        </w:rPr>
        <w:footnoteRef/>
      </w:r>
      <w:r w:rsidRPr="003938A8">
        <w:rPr>
          <w:rFonts w:asciiTheme="minorHAnsi" w:hAnsiTheme="minorHAnsi"/>
          <w:sz w:val="18"/>
          <w:szCs w:val="18"/>
        </w:rPr>
        <w:t xml:space="preserve"> </w:t>
      </w:r>
      <w:r>
        <w:rPr>
          <w:rFonts w:asciiTheme="minorHAnsi" w:hAnsiTheme="minorHAnsi"/>
          <w:sz w:val="18"/>
          <w:szCs w:val="18"/>
        </w:rPr>
        <w:t>jw.</w:t>
      </w:r>
    </w:p>
  </w:footnote>
  <w:footnote w:id="43">
    <w:p w14:paraId="2B778B30" w14:textId="77777777" w:rsidR="005D4C4C" w:rsidRPr="007F35AA" w:rsidRDefault="005D4C4C" w:rsidP="00776D77">
      <w:pPr>
        <w:spacing w:after="0"/>
        <w:ind w:left="142" w:hanging="142"/>
        <w:jc w:val="both"/>
        <w:rPr>
          <w:sz w:val="20"/>
          <w:szCs w:val="20"/>
        </w:rPr>
      </w:pPr>
      <w:r w:rsidRPr="003938A8">
        <w:rPr>
          <w:rStyle w:val="Odwoanieprzypisudolnego"/>
          <w:sz w:val="18"/>
          <w:szCs w:val="18"/>
        </w:rPr>
        <w:footnoteRef/>
      </w:r>
      <w:r w:rsidRPr="003938A8">
        <w:rPr>
          <w:sz w:val="18"/>
          <w:szCs w:val="18"/>
        </w:rPr>
        <w:t xml:space="preserve"> P. P. Antkowiak, Pozycja samorządu terytorialnego w Polsce – doświadczenia i perspektywy rozwoju, w: Opinie </w:t>
      </w:r>
      <w:r>
        <w:rPr>
          <w:sz w:val="18"/>
          <w:szCs w:val="18"/>
        </w:rPr>
        <w:t>i Analizy NIST, Nr 21, 2017</w:t>
      </w:r>
    </w:p>
  </w:footnote>
  <w:footnote w:id="44">
    <w:p w14:paraId="24237201" w14:textId="77777777" w:rsidR="005D4C4C" w:rsidRPr="00654DEC" w:rsidRDefault="005D4C4C" w:rsidP="00776D77">
      <w:pPr>
        <w:spacing w:after="0" w:line="240" w:lineRule="auto"/>
        <w:ind w:left="142" w:hanging="142"/>
        <w:jc w:val="both"/>
        <w:rPr>
          <w:sz w:val="18"/>
          <w:szCs w:val="20"/>
        </w:rPr>
      </w:pPr>
      <w:r w:rsidRPr="00654DEC">
        <w:rPr>
          <w:rStyle w:val="Odwoanieprzypisudolnego"/>
          <w:sz w:val="18"/>
          <w:szCs w:val="20"/>
        </w:rPr>
        <w:footnoteRef/>
      </w:r>
      <w:r w:rsidRPr="00654DEC">
        <w:rPr>
          <w:sz w:val="18"/>
          <w:szCs w:val="20"/>
        </w:rPr>
        <w:t xml:space="preserve"> S. Tarasek-Nowak Opinia prawna w przedmiocie „Uwarunkowań prawnych partycypacji społecznej w samorządowym zarządzaniu publicznym” w: Opinie i  Analizy NIST,   Nr 10, 2016, s. 1</w:t>
      </w:r>
      <w:r>
        <w:rPr>
          <w:sz w:val="18"/>
          <w:szCs w:val="20"/>
        </w:rPr>
        <w:t>.</w:t>
      </w:r>
    </w:p>
  </w:footnote>
  <w:footnote w:id="45">
    <w:p w14:paraId="7ED9585E" w14:textId="77777777" w:rsidR="005D4C4C" w:rsidRPr="00654DEC" w:rsidRDefault="005D4C4C" w:rsidP="00776D77">
      <w:pPr>
        <w:pStyle w:val="Tekstprzypisudolnego"/>
        <w:ind w:left="142" w:hanging="142"/>
        <w:jc w:val="both"/>
        <w:rPr>
          <w:rFonts w:asciiTheme="minorHAnsi" w:hAnsiTheme="minorHAnsi"/>
          <w:sz w:val="18"/>
        </w:rPr>
      </w:pPr>
      <w:r w:rsidRPr="00654DEC">
        <w:rPr>
          <w:rStyle w:val="Odwoanieprzypisudolnego"/>
          <w:rFonts w:asciiTheme="minorHAnsi" w:hAnsiTheme="minorHAnsi"/>
          <w:sz w:val="18"/>
        </w:rPr>
        <w:footnoteRef/>
      </w:r>
      <w:r w:rsidRPr="00654DEC">
        <w:rPr>
          <w:rFonts w:asciiTheme="minorHAnsi" w:hAnsiTheme="minorHAnsi"/>
          <w:sz w:val="18"/>
        </w:rPr>
        <w:t xml:space="preserve"> Strategia na </w:t>
      </w:r>
      <w:r>
        <w:rPr>
          <w:rFonts w:asciiTheme="minorHAnsi" w:hAnsiTheme="minorHAnsi"/>
          <w:sz w:val="18"/>
        </w:rPr>
        <w:t>r</w:t>
      </w:r>
      <w:r w:rsidRPr="00654DEC">
        <w:rPr>
          <w:rFonts w:asciiTheme="minorHAnsi" w:hAnsiTheme="minorHAnsi"/>
          <w:sz w:val="18"/>
        </w:rPr>
        <w:t>zecz Odpowiedzialnego Rozwoju 2020 (z perspektywą do 2030)</w:t>
      </w:r>
      <w:r>
        <w:rPr>
          <w:rFonts w:asciiTheme="minorHAnsi" w:hAnsiTheme="minorHAnsi"/>
          <w:sz w:val="18"/>
        </w:rPr>
        <w:t>.</w:t>
      </w:r>
    </w:p>
  </w:footnote>
  <w:footnote w:id="46">
    <w:p w14:paraId="731FFD57" w14:textId="77777777" w:rsidR="005D4C4C" w:rsidRPr="00654DEC" w:rsidRDefault="005D4C4C" w:rsidP="00776D77">
      <w:pPr>
        <w:pStyle w:val="Tekstprzypisudolnego"/>
        <w:ind w:left="142" w:hanging="142"/>
        <w:jc w:val="both"/>
        <w:rPr>
          <w:rFonts w:asciiTheme="minorHAnsi" w:hAnsiTheme="minorHAnsi"/>
          <w:sz w:val="18"/>
        </w:rPr>
      </w:pPr>
      <w:r w:rsidRPr="00654DEC">
        <w:rPr>
          <w:rStyle w:val="Odwoanieprzypisudolnego"/>
          <w:rFonts w:asciiTheme="minorHAnsi" w:hAnsiTheme="minorHAnsi"/>
          <w:sz w:val="18"/>
        </w:rPr>
        <w:footnoteRef/>
      </w:r>
      <w:r w:rsidRPr="00654DEC">
        <w:rPr>
          <w:rFonts w:asciiTheme="minorHAnsi" w:hAnsiTheme="minorHAnsi"/>
          <w:sz w:val="18"/>
        </w:rPr>
        <w:t xml:space="preserve"> Ustawa </w:t>
      </w:r>
      <w:r w:rsidRPr="00654DEC">
        <w:rPr>
          <w:rFonts w:asciiTheme="minorHAnsi" w:eastAsia="Calibri" w:hAnsiTheme="minorHAnsi"/>
          <w:color w:val="000000"/>
          <w:sz w:val="18"/>
        </w:rPr>
        <w:t>weszła w życie  w dniu 7 kwietnia 2017 r.  (Dz. U. z 2017 r. poz. 730).</w:t>
      </w:r>
    </w:p>
  </w:footnote>
  <w:footnote w:id="47">
    <w:p w14:paraId="2D46E1BA" w14:textId="77777777" w:rsidR="005D4C4C" w:rsidRPr="00654DEC" w:rsidRDefault="005D4C4C" w:rsidP="00776D77">
      <w:pPr>
        <w:pStyle w:val="Tekstprzypisudolnego"/>
        <w:ind w:left="142" w:hanging="142"/>
        <w:jc w:val="both"/>
        <w:rPr>
          <w:rFonts w:asciiTheme="minorHAnsi" w:hAnsiTheme="minorHAnsi"/>
          <w:sz w:val="18"/>
        </w:rPr>
      </w:pPr>
      <w:r w:rsidRPr="00654DEC">
        <w:rPr>
          <w:rStyle w:val="Odwoanieprzypisudolnego"/>
          <w:rFonts w:asciiTheme="minorHAnsi" w:hAnsiTheme="minorHAnsi"/>
          <w:sz w:val="18"/>
        </w:rPr>
        <w:footnoteRef/>
      </w:r>
      <w:r w:rsidRPr="00654DEC">
        <w:rPr>
          <w:rFonts w:asciiTheme="minorHAnsi" w:hAnsiTheme="minorHAnsi"/>
          <w:sz w:val="18"/>
        </w:rPr>
        <w:t xml:space="preserve"> </w:t>
      </w:r>
      <w:r>
        <w:rPr>
          <w:rFonts w:asciiTheme="minorHAnsi" w:hAnsiTheme="minorHAnsi"/>
          <w:sz w:val="18"/>
        </w:rPr>
        <w:t>B</w:t>
      </w:r>
      <w:r w:rsidRPr="00654DEC">
        <w:rPr>
          <w:rFonts w:asciiTheme="minorHAnsi" w:hAnsiTheme="minorHAnsi"/>
          <w:sz w:val="18"/>
        </w:rPr>
        <w:t xml:space="preserve">adanie pn. </w:t>
      </w:r>
      <w:r w:rsidRPr="00654DEC">
        <w:rPr>
          <w:rFonts w:asciiTheme="minorHAnsi" w:hAnsiTheme="minorHAnsi"/>
          <w:i/>
          <w:sz w:val="18"/>
        </w:rPr>
        <w:t>Barometr rozwoju instytucjonalnego JST 2017</w:t>
      </w:r>
      <w:r w:rsidRPr="00654DEC">
        <w:rPr>
          <w:rFonts w:asciiTheme="minorHAnsi" w:hAnsiTheme="minorHAnsi"/>
          <w:sz w:val="18"/>
        </w:rPr>
        <w:t xml:space="preserve"> dostępn</w:t>
      </w:r>
      <w:r>
        <w:rPr>
          <w:rFonts w:asciiTheme="minorHAnsi" w:hAnsiTheme="minorHAnsi"/>
          <w:sz w:val="18"/>
        </w:rPr>
        <w:t>e na stronie ip.mswia.gov.pl.</w:t>
      </w:r>
    </w:p>
  </w:footnote>
  <w:footnote w:id="48">
    <w:p w14:paraId="134E5E6F" w14:textId="77777777" w:rsidR="005D4C4C" w:rsidRPr="00654DEC" w:rsidRDefault="005D4C4C" w:rsidP="00776D77">
      <w:pPr>
        <w:pStyle w:val="Tekstkomentarza"/>
        <w:spacing w:after="0"/>
        <w:ind w:left="142" w:hanging="142"/>
        <w:rPr>
          <w:sz w:val="18"/>
        </w:rPr>
      </w:pPr>
      <w:r w:rsidRPr="00654DEC">
        <w:rPr>
          <w:rStyle w:val="Odwoanieprzypisudolnego"/>
          <w:sz w:val="18"/>
        </w:rPr>
        <w:footnoteRef/>
      </w:r>
      <w:r w:rsidRPr="00654DEC">
        <w:rPr>
          <w:sz w:val="18"/>
        </w:rPr>
        <w:t xml:space="preserve"> wskaźniki rozwoju instytucjonalnego oraz wskaźniki opisujące jakość usług publicznych. Szczegóły zawarte w raporcie końcowym badania „Barometr rozwoju instytucjonalnego JST 2017” </w:t>
      </w:r>
      <w:hyperlink r:id="rId10" w:history="1">
        <w:r w:rsidRPr="00654DEC">
          <w:rPr>
            <w:rStyle w:val="Hipercze"/>
            <w:rFonts w:cs="Tahoma"/>
            <w:sz w:val="18"/>
          </w:rPr>
          <w:t>http://ip.mswia.gov.pl/download/57/20748/RaportkoncowyzbadaniapnBarometrrozwojuinstytucjonalnegoJST2017.pdf</w:t>
        </w:r>
      </w:hyperlink>
    </w:p>
    <w:p w14:paraId="40899533" w14:textId="77777777" w:rsidR="005D4C4C" w:rsidRDefault="005D4C4C" w:rsidP="00776D77">
      <w:pPr>
        <w:pStyle w:val="Tekstprzypisudolnego"/>
      </w:pPr>
    </w:p>
  </w:footnote>
  <w:footnote w:id="49">
    <w:p w14:paraId="792DAD4D" w14:textId="77777777" w:rsidR="005D4C4C" w:rsidRPr="0073424C" w:rsidRDefault="005D4C4C" w:rsidP="00776D77">
      <w:pPr>
        <w:pStyle w:val="Tekstprzypisudolnego"/>
        <w:jc w:val="both"/>
        <w:rPr>
          <w:rFonts w:asciiTheme="minorHAnsi" w:hAnsiTheme="minorHAnsi"/>
          <w:sz w:val="18"/>
        </w:rPr>
      </w:pPr>
      <w:r w:rsidRPr="0073424C">
        <w:rPr>
          <w:rStyle w:val="Odwoanieprzypisudolnego"/>
          <w:rFonts w:asciiTheme="minorHAnsi" w:hAnsiTheme="minorHAnsi"/>
          <w:sz w:val="18"/>
        </w:rPr>
        <w:footnoteRef/>
      </w:r>
      <w:r w:rsidRPr="0073424C">
        <w:rPr>
          <w:rFonts w:asciiTheme="minorHAnsi" w:hAnsiTheme="minorHAnsi"/>
          <w:sz w:val="18"/>
        </w:rPr>
        <w:t xml:space="preserve"> Raport GUS o działalności organizacji non-profit pn.”Działalność organizacji non-profit w 2015 r.: zarządzanie i współpraca”.</w:t>
      </w:r>
    </w:p>
  </w:footnote>
  <w:footnote w:id="50">
    <w:p w14:paraId="685E52C3" w14:textId="77777777" w:rsidR="005D4C4C" w:rsidRPr="00B07808" w:rsidRDefault="005D4C4C" w:rsidP="00776D77">
      <w:pPr>
        <w:pStyle w:val="Tekstprzypisudolnego"/>
        <w:jc w:val="both"/>
        <w:rPr>
          <w:rFonts w:asciiTheme="minorHAnsi" w:hAnsiTheme="minorHAnsi"/>
        </w:rPr>
      </w:pPr>
      <w:r w:rsidRPr="0073424C">
        <w:rPr>
          <w:rStyle w:val="Odwoanieprzypisudolnego"/>
          <w:rFonts w:asciiTheme="minorHAnsi" w:hAnsiTheme="minorHAnsi"/>
          <w:sz w:val="18"/>
        </w:rPr>
        <w:footnoteRef/>
      </w:r>
      <w:r w:rsidRPr="0073424C">
        <w:rPr>
          <w:rFonts w:asciiTheme="minorHAnsi" w:hAnsiTheme="minorHAnsi"/>
          <w:sz w:val="18"/>
        </w:rPr>
        <w:t xml:space="preserve"> Rola sektora non-profit w dostarczaniu usług społecznych w latach 2014-2016, GUS, Warszawa 2018.</w:t>
      </w:r>
    </w:p>
  </w:footnote>
  <w:footnote w:id="51">
    <w:p w14:paraId="059A0359" w14:textId="249B94BD" w:rsidR="005D4C4C" w:rsidRPr="004D0390" w:rsidRDefault="005D4C4C" w:rsidP="004D0390">
      <w:pPr>
        <w:pStyle w:val="Tekstprzypisudolnego"/>
        <w:spacing w:after="60"/>
        <w:rPr>
          <w:rFonts w:asciiTheme="minorHAnsi" w:hAnsiTheme="minorHAnsi"/>
          <w:sz w:val="18"/>
        </w:rPr>
      </w:pPr>
      <w:r w:rsidRPr="0073424C">
        <w:rPr>
          <w:rStyle w:val="Odwoanieprzypisudolnego"/>
          <w:rFonts w:asciiTheme="minorHAnsi" w:hAnsiTheme="minorHAnsi"/>
          <w:sz w:val="18"/>
        </w:rPr>
        <w:footnoteRef/>
      </w:r>
      <w:r w:rsidRPr="0073424C">
        <w:rPr>
          <w:rFonts w:asciiTheme="minorHAnsi" w:hAnsiTheme="minorHAnsi"/>
          <w:sz w:val="18"/>
        </w:rPr>
        <w:t xml:space="preserve"> Dane własne </w:t>
      </w:r>
    </w:p>
  </w:footnote>
  <w:footnote w:id="52">
    <w:p w14:paraId="007F0E28" w14:textId="77777777" w:rsidR="005D4C4C" w:rsidRPr="004D0390" w:rsidRDefault="005D4C4C" w:rsidP="004D0390">
      <w:pPr>
        <w:autoSpaceDE w:val="0"/>
        <w:autoSpaceDN w:val="0"/>
        <w:adjustRightInd w:val="0"/>
        <w:spacing w:after="60" w:line="240" w:lineRule="auto"/>
        <w:ind w:left="142" w:hanging="142"/>
        <w:jc w:val="both"/>
        <w:rPr>
          <w:sz w:val="18"/>
          <w:szCs w:val="20"/>
        </w:rPr>
      </w:pPr>
      <w:r w:rsidRPr="004D0390">
        <w:rPr>
          <w:rStyle w:val="Odwoanieprzypisudolnego"/>
          <w:sz w:val="18"/>
          <w:szCs w:val="20"/>
        </w:rPr>
        <w:footnoteRef/>
      </w:r>
      <w:r w:rsidRPr="004D0390">
        <w:rPr>
          <w:sz w:val="18"/>
          <w:szCs w:val="20"/>
        </w:rPr>
        <w:t xml:space="preserve"> Ustawa z dnia </w:t>
      </w:r>
      <w:r w:rsidRPr="004D0390">
        <w:rPr>
          <w:rFonts w:cs="A"/>
          <w:sz w:val="18"/>
          <w:szCs w:val="20"/>
        </w:rPr>
        <w:t xml:space="preserve">z dnia 23 stycznia 2009 r. </w:t>
      </w:r>
      <w:r w:rsidRPr="004D0390">
        <w:rPr>
          <w:rFonts w:cs="A"/>
          <w:bCs/>
          <w:sz w:val="18"/>
          <w:szCs w:val="20"/>
        </w:rPr>
        <w:t xml:space="preserve">o wojewodzie i administracji rządowej w województwie (Dz. U. z 2019, poz. 1464). </w:t>
      </w:r>
    </w:p>
  </w:footnote>
  <w:footnote w:id="53">
    <w:p w14:paraId="62184FFA" w14:textId="7A7F7005" w:rsidR="005D4C4C" w:rsidRPr="004D0390" w:rsidRDefault="005D4C4C" w:rsidP="004D0390">
      <w:pPr>
        <w:spacing w:after="60" w:line="276" w:lineRule="auto"/>
        <w:jc w:val="both"/>
        <w:rPr>
          <w:sz w:val="18"/>
          <w:szCs w:val="20"/>
        </w:rPr>
      </w:pPr>
      <w:r w:rsidRPr="004D0390">
        <w:rPr>
          <w:rStyle w:val="Odwoanieprzypisudolnego"/>
          <w:sz w:val="18"/>
          <w:szCs w:val="20"/>
        </w:rPr>
        <w:footnoteRef/>
      </w:r>
      <w:r w:rsidRPr="004D0390">
        <w:rPr>
          <w:sz w:val="18"/>
          <w:szCs w:val="20"/>
        </w:rPr>
        <w:t xml:space="preserve"> Zespolone służby, inspekcje i straże: 1) Komendant Wojewódzki Policji, 2) Komendant Wojewódzki Państwowej Straży Pożarnej, 3) Kurator Oświaty, 4) Wojewódzki Inspektor Farmaceutyczny, 5) Wojewódzki Inspektor Inspekcji Handlowej, 6) Wojewódzki Inspektor Nadzoru Budowlanego, 7) Wojewódzki Inspektor Ochrony Roślin i Nasiennictwa, 8) Wojewódzki Inspektor Ochrony Środowiska, 9) Wojewódzki Inspektor Jakości Handlowej Artykułów Rolno-Spożywczych, 10) Wojewódzki Inspektor Transportu Drogowego, 11) Wojewódzki Inspektor Nadzoru Geodezyjnego i Kartograficznego, 12) Wojewódzki Konserwator Zabytków, 13) Wojewódzki Lekarz Weterynarii,</w:t>
      </w:r>
      <w:r>
        <w:rPr>
          <w:sz w:val="18"/>
          <w:szCs w:val="20"/>
        </w:rPr>
        <w:t xml:space="preserve"> </w:t>
      </w:r>
      <w:r w:rsidRPr="004D0390">
        <w:rPr>
          <w:sz w:val="18"/>
          <w:szCs w:val="20"/>
        </w:rPr>
        <w:t>14) Państwowy Wojewódzki Inspektor Sanitarny.</w:t>
      </w:r>
    </w:p>
    <w:p w14:paraId="59C108D4" w14:textId="77777777" w:rsidR="005D4C4C" w:rsidRDefault="005D4C4C" w:rsidP="00776D77">
      <w:pPr>
        <w:pStyle w:val="Tekstprzypisudolnego"/>
      </w:pPr>
    </w:p>
  </w:footnote>
  <w:footnote w:id="54">
    <w:p w14:paraId="0F25BC06" w14:textId="77777777" w:rsidR="005D4C4C" w:rsidRPr="001A4E1D" w:rsidRDefault="005D4C4C" w:rsidP="00776D77">
      <w:pPr>
        <w:pStyle w:val="Tekstprzypisudolnego"/>
        <w:rPr>
          <w:rFonts w:asciiTheme="minorHAnsi" w:hAnsiTheme="minorHAnsi"/>
        </w:rPr>
      </w:pPr>
      <w:r w:rsidRPr="001A4E1D">
        <w:rPr>
          <w:rStyle w:val="Odwoanieprzypisudolnego"/>
          <w:rFonts w:asciiTheme="minorHAnsi" w:hAnsiTheme="minorHAnsi"/>
        </w:rPr>
        <w:footnoteRef/>
      </w:r>
      <w:r w:rsidRPr="001A4E1D">
        <w:rPr>
          <w:rFonts w:asciiTheme="minorHAnsi" w:hAnsiTheme="minorHAnsi"/>
        </w:rPr>
        <w:t xml:space="preserve"> Ustawa </w:t>
      </w:r>
      <w:r w:rsidRPr="001A4E1D">
        <w:rPr>
          <w:rFonts w:asciiTheme="minorHAnsi" w:hAnsiTheme="minorHAnsi" w:cs="Arial"/>
          <w:iCs/>
          <w:color w:val="000000"/>
        </w:rPr>
        <w:t>dnia 29 czerwca 1995 r. o statystyce publicznej (Dz. U. z 20</w:t>
      </w:r>
      <w:r>
        <w:rPr>
          <w:rFonts w:asciiTheme="minorHAnsi" w:hAnsiTheme="minorHAnsi" w:cs="Arial"/>
          <w:iCs/>
          <w:color w:val="000000"/>
        </w:rPr>
        <w:t>20</w:t>
      </w:r>
      <w:r w:rsidRPr="001A4E1D">
        <w:rPr>
          <w:rFonts w:asciiTheme="minorHAnsi" w:hAnsiTheme="minorHAnsi" w:cs="Arial"/>
          <w:iCs/>
          <w:color w:val="000000"/>
        </w:rPr>
        <w:t xml:space="preserve"> r., poz. </w:t>
      </w:r>
      <w:r>
        <w:rPr>
          <w:rFonts w:asciiTheme="minorHAnsi" w:hAnsiTheme="minorHAnsi" w:cs="Arial"/>
          <w:iCs/>
          <w:color w:val="000000"/>
        </w:rPr>
        <w:t>443</w:t>
      </w:r>
      <w:r w:rsidRPr="001A4E1D">
        <w:rPr>
          <w:rFonts w:asciiTheme="minorHAnsi" w:hAnsiTheme="minorHAnsi" w:cs="Arial"/>
          <w:iCs/>
          <w:color w:val="000000"/>
        </w:rPr>
        <w:t>).</w:t>
      </w:r>
    </w:p>
  </w:footnote>
  <w:footnote w:id="55">
    <w:p w14:paraId="35AAF3E5" w14:textId="77777777" w:rsidR="005D4C4C" w:rsidRPr="00B83802" w:rsidRDefault="005D4C4C" w:rsidP="00776D77">
      <w:pPr>
        <w:autoSpaceDE w:val="0"/>
        <w:autoSpaceDN w:val="0"/>
        <w:adjustRightInd w:val="0"/>
        <w:spacing w:after="0" w:line="276" w:lineRule="auto"/>
        <w:jc w:val="both"/>
        <w:rPr>
          <w:rFonts w:cs="DINPro"/>
        </w:rPr>
      </w:pPr>
      <w:r w:rsidRPr="00722747">
        <w:rPr>
          <w:rFonts w:cs="DINPro"/>
          <w:sz w:val="18"/>
          <w:szCs w:val="18"/>
          <w:vertAlign w:val="superscript"/>
        </w:rPr>
        <w:footnoteRef/>
      </w:r>
      <w:r w:rsidRPr="00722747">
        <w:rPr>
          <w:rFonts w:cs="DINPro"/>
          <w:sz w:val="18"/>
          <w:szCs w:val="18"/>
        </w:rPr>
        <w:t xml:space="preserve"> Dane GUS - Rocznik Statystyczny Gospodarki Morskiej (2017) </w:t>
      </w:r>
    </w:p>
  </w:footnote>
  <w:footnote w:id="56">
    <w:p w14:paraId="5E183530" w14:textId="77777777" w:rsidR="005D4C4C" w:rsidRPr="00890665" w:rsidRDefault="005D4C4C" w:rsidP="00143977">
      <w:pPr>
        <w:spacing w:after="120" w:line="240" w:lineRule="auto"/>
        <w:ind w:left="284" w:hanging="284"/>
        <w:jc w:val="both"/>
        <w:rPr>
          <w:rFonts w:cs="Arial"/>
          <w:sz w:val="18"/>
        </w:rPr>
      </w:pPr>
      <w:r w:rsidRPr="00890665">
        <w:rPr>
          <w:rStyle w:val="Odwoanieprzypisudolnego"/>
          <w:sz w:val="18"/>
        </w:rPr>
        <w:footnoteRef/>
      </w:r>
      <w:r w:rsidRPr="00890665">
        <w:rPr>
          <w:sz w:val="18"/>
        </w:rPr>
        <w:t xml:space="preserve"> Gminy obwarzankowe - obszary powiązane funkcjonalnie, a faktyczny zasięg wielu usług, za które odpowiadają samorządy obejmuje terytorium administracyjnie odrębnych jednostek samorządu </w:t>
      </w:r>
      <w:r w:rsidRPr="00890665">
        <w:rPr>
          <w:rFonts w:cs="Arial"/>
          <w:sz w:val="18"/>
        </w:rPr>
        <w:t xml:space="preserve">terytorialnego i zasady pokrywania kosztów realizacji zadań zleconych przez samorządy.  </w:t>
      </w:r>
    </w:p>
    <w:p w14:paraId="61BD6740" w14:textId="77777777" w:rsidR="005D4C4C" w:rsidRPr="005266B0" w:rsidRDefault="005D4C4C" w:rsidP="00143977">
      <w:pPr>
        <w:pStyle w:val="Tekstprzypisudolnego"/>
        <w:ind w:left="284" w:hanging="284"/>
        <w:rPr>
          <w:sz w:val="18"/>
        </w:rPr>
      </w:pPr>
    </w:p>
  </w:footnote>
  <w:footnote w:id="57">
    <w:p w14:paraId="020A7E7C" w14:textId="77777777" w:rsidR="005D4C4C" w:rsidRPr="000947D8" w:rsidRDefault="005D4C4C" w:rsidP="00776D77">
      <w:pPr>
        <w:pStyle w:val="Nagwek2"/>
        <w:shd w:val="clear" w:color="auto" w:fill="FFFFFF"/>
        <w:spacing w:before="0" w:after="120" w:line="240" w:lineRule="auto"/>
        <w:ind w:left="142" w:hanging="142"/>
        <w:jc w:val="both"/>
        <w:rPr>
          <w:rFonts w:asciiTheme="minorHAnsi" w:hAnsiTheme="minorHAnsi" w:cs="Calibri-Identity-H"/>
          <w:sz w:val="16"/>
          <w:szCs w:val="16"/>
        </w:rPr>
      </w:pPr>
      <w:r w:rsidRPr="00B90FAA">
        <w:rPr>
          <w:rFonts w:asciiTheme="minorHAnsi" w:eastAsiaTheme="minorHAnsi" w:hAnsiTheme="minorHAnsi" w:cs="Calibri-Identity-H"/>
          <w:color w:val="auto"/>
          <w:sz w:val="18"/>
          <w:szCs w:val="16"/>
          <w:vertAlign w:val="superscript"/>
        </w:rPr>
        <w:footnoteRef/>
      </w:r>
      <w:r w:rsidRPr="006965F8">
        <w:rPr>
          <w:rFonts w:asciiTheme="minorHAnsi" w:eastAsiaTheme="minorHAnsi" w:hAnsiTheme="minorHAnsi" w:cs="Calibri-Identity-H"/>
          <w:color w:val="auto"/>
          <w:sz w:val="18"/>
          <w:szCs w:val="16"/>
        </w:rPr>
        <w:t xml:space="preserve"> Rozporządzenie Rady Ministrów z dnia 12 kwietnia 2012 r. w sprawie Krajowych Ram Interoperacyjności, minimalnych wymagań  dla rejestrów publicznych i wymiany informacji w postaci elektronicznej oraz minimalnych wymagań dla systemów teleinformatycznych (Dz.U. z 201</w:t>
      </w:r>
      <w:r>
        <w:rPr>
          <w:rFonts w:asciiTheme="minorHAnsi" w:eastAsiaTheme="minorHAnsi" w:hAnsiTheme="minorHAnsi" w:cs="Calibri-Identity-H"/>
          <w:color w:val="auto"/>
          <w:sz w:val="18"/>
          <w:szCs w:val="16"/>
        </w:rPr>
        <w:t>7</w:t>
      </w:r>
      <w:r w:rsidRPr="006965F8">
        <w:rPr>
          <w:rFonts w:asciiTheme="minorHAnsi" w:eastAsiaTheme="minorHAnsi" w:hAnsiTheme="minorHAnsi" w:cs="Calibri-Identity-H"/>
          <w:color w:val="auto"/>
          <w:sz w:val="18"/>
          <w:szCs w:val="16"/>
        </w:rPr>
        <w:t xml:space="preserve"> r.</w:t>
      </w:r>
      <w:r>
        <w:rPr>
          <w:rFonts w:asciiTheme="minorHAnsi" w:eastAsiaTheme="minorHAnsi" w:hAnsiTheme="minorHAnsi" w:cs="Calibri-Identity-H"/>
          <w:color w:val="auto"/>
          <w:sz w:val="18"/>
          <w:szCs w:val="16"/>
        </w:rPr>
        <w:t>,</w:t>
      </w:r>
      <w:r w:rsidRPr="006965F8">
        <w:rPr>
          <w:rFonts w:asciiTheme="minorHAnsi" w:eastAsiaTheme="minorHAnsi" w:hAnsiTheme="minorHAnsi" w:cs="Calibri-Identity-H"/>
          <w:color w:val="auto"/>
          <w:sz w:val="18"/>
          <w:szCs w:val="16"/>
        </w:rPr>
        <w:t xml:space="preserve"> poz. </w:t>
      </w:r>
      <w:r>
        <w:rPr>
          <w:rFonts w:asciiTheme="minorHAnsi" w:eastAsiaTheme="minorHAnsi" w:hAnsiTheme="minorHAnsi" w:cs="Calibri-Identity-H"/>
          <w:color w:val="auto"/>
          <w:sz w:val="18"/>
          <w:szCs w:val="16"/>
        </w:rPr>
        <w:t>2247</w:t>
      </w:r>
      <w:r w:rsidRPr="006965F8">
        <w:rPr>
          <w:rFonts w:asciiTheme="minorHAnsi" w:eastAsiaTheme="minorHAnsi" w:hAnsiTheme="minorHAnsi" w:cs="Calibri-Identity-H"/>
          <w:color w:val="auto"/>
          <w:sz w:val="18"/>
          <w:szCs w:val="16"/>
        </w:rPr>
        <w:t>).</w:t>
      </w:r>
    </w:p>
  </w:footnote>
  <w:footnote w:id="58">
    <w:p w14:paraId="4D3BFA79" w14:textId="55B28B4A" w:rsidR="005D4C4C" w:rsidRPr="00A10EF5" w:rsidRDefault="005D4C4C">
      <w:pPr>
        <w:pStyle w:val="Tekstprzypisudolnego"/>
        <w:rPr>
          <w:rFonts w:asciiTheme="minorHAnsi" w:hAnsiTheme="minorHAnsi" w:cstheme="minorHAnsi"/>
          <w:sz w:val="18"/>
        </w:rPr>
      </w:pPr>
      <w:r>
        <w:rPr>
          <w:rStyle w:val="Odwoanieprzypisudolnego"/>
        </w:rPr>
        <w:footnoteRef/>
      </w:r>
      <w:r>
        <w:t xml:space="preserve"> </w:t>
      </w:r>
      <w:r w:rsidRPr="00A10EF5">
        <w:rPr>
          <w:rFonts w:asciiTheme="minorHAnsi" w:hAnsiTheme="minorHAnsi" w:cstheme="minorHAnsi"/>
          <w:iCs/>
          <w:sz w:val="18"/>
        </w:rPr>
        <w:t>zakłada się, że ministrowi właściwemu do spraw wewnętrznych będzie powierzony nadzór</w:t>
      </w:r>
    </w:p>
  </w:footnote>
  <w:footnote w:id="59">
    <w:p w14:paraId="56EE2916" w14:textId="15265C6D" w:rsidR="005D4C4C" w:rsidRPr="000B2459" w:rsidRDefault="005D4C4C">
      <w:pPr>
        <w:pStyle w:val="Tekstprzypisudolnego"/>
        <w:rPr>
          <w:rFonts w:asciiTheme="minorHAnsi" w:hAnsiTheme="minorHAnsi" w:cstheme="minorHAnsi"/>
          <w:sz w:val="18"/>
        </w:rPr>
      </w:pPr>
      <w:r w:rsidRPr="000B2459">
        <w:rPr>
          <w:rStyle w:val="Odwoanieprzypisudolnego"/>
          <w:rFonts w:asciiTheme="minorHAnsi" w:hAnsiTheme="minorHAnsi" w:cstheme="minorHAnsi"/>
          <w:sz w:val="18"/>
        </w:rPr>
        <w:footnoteRef/>
      </w:r>
      <w:r w:rsidRPr="000B2459">
        <w:rPr>
          <w:rFonts w:asciiTheme="minorHAnsi" w:hAnsiTheme="minorHAnsi" w:cstheme="minorHAnsi"/>
          <w:sz w:val="18"/>
        </w:rPr>
        <w:t xml:space="preserve"> Sprawozdania Szefa Służby Cywilnej, </w:t>
      </w:r>
      <w:hyperlink r:id="rId11" w:history="1">
        <w:r w:rsidRPr="000B2459">
          <w:rPr>
            <w:rStyle w:val="Hipercze"/>
            <w:rFonts w:asciiTheme="minorHAnsi" w:hAnsiTheme="minorHAnsi" w:cstheme="minorHAnsi"/>
            <w:sz w:val="18"/>
          </w:rPr>
          <w:t>https://bip.kprm.gov.pl/kpr/bip-kancelarii-prezesa/sluzba-cywilna/sprawozdania</w:t>
        </w:r>
      </w:hyperlink>
      <w:r w:rsidRPr="000B2459">
        <w:rPr>
          <w:rFonts w:asciiTheme="minorHAnsi" w:hAnsiTheme="minorHAnsi" w:cstheme="minorHAnsi"/>
          <w:sz w:val="18"/>
        </w:rPr>
        <w:t xml:space="preserve"> </w:t>
      </w:r>
    </w:p>
  </w:footnote>
  <w:footnote w:id="60">
    <w:p w14:paraId="67A31CD5" w14:textId="77777777" w:rsidR="005D4C4C" w:rsidRPr="00890665" w:rsidRDefault="005D4C4C" w:rsidP="00776D77">
      <w:pPr>
        <w:pStyle w:val="Tekstprzypisudolnego"/>
        <w:rPr>
          <w:rFonts w:asciiTheme="minorHAnsi" w:hAnsiTheme="minorHAnsi"/>
          <w:sz w:val="18"/>
        </w:rPr>
      </w:pPr>
      <w:r w:rsidRPr="00890665">
        <w:rPr>
          <w:rStyle w:val="Odwoanieprzypisudolnego"/>
          <w:rFonts w:asciiTheme="minorHAnsi" w:hAnsiTheme="minorHAnsi"/>
          <w:sz w:val="18"/>
        </w:rPr>
        <w:footnoteRef/>
      </w:r>
      <w:r w:rsidRPr="00890665">
        <w:rPr>
          <w:rFonts w:asciiTheme="minorHAnsi" w:hAnsiTheme="minorHAnsi"/>
          <w:sz w:val="18"/>
        </w:rPr>
        <w:t xml:space="preserve"> Art. 3 ust. 1 pkt 2 ustawy o Polskiej Organizacji Turystycznej (Dz. U., z 2018 r., poz. 563).</w:t>
      </w:r>
    </w:p>
  </w:footnote>
  <w:footnote w:id="61">
    <w:p w14:paraId="779603A6" w14:textId="77777777" w:rsidR="005D4C4C" w:rsidRPr="00890665" w:rsidRDefault="005D4C4C" w:rsidP="00776D77">
      <w:pPr>
        <w:pStyle w:val="Tekstprzypisudolnego"/>
        <w:ind w:left="142" w:hanging="142"/>
        <w:jc w:val="both"/>
        <w:rPr>
          <w:rFonts w:asciiTheme="minorHAnsi" w:hAnsiTheme="minorHAnsi"/>
          <w:sz w:val="18"/>
        </w:rPr>
      </w:pPr>
      <w:r w:rsidRPr="00890665">
        <w:rPr>
          <w:rStyle w:val="Odwoanieprzypisudolnego"/>
          <w:rFonts w:asciiTheme="minorHAnsi" w:hAnsiTheme="minorHAnsi"/>
          <w:sz w:val="18"/>
        </w:rPr>
        <w:footnoteRef/>
      </w:r>
      <w:r w:rsidRPr="00890665">
        <w:rPr>
          <w:rFonts w:asciiTheme="minorHAnsi" w:hAnsiTheme="minorHAnsi"/>
          <w:sz w:val="18"/>
        </w:rPr>
        <w:t xml:space="preserve"> </w:t>
      </w:r>
      <w:r w:rsidRPr="00890665">
        <w:rPr>
          <w:rFonts w:asciiTheme="minorHAnsi" w:hAnsiTheme="minorHAnsi" w:cs="Arial"/>
          <w:i/>
          <w:sz w:val="18"/>
        </w:rPr>
        <w:t xml:space="preserve">Ustawa </w:t>
      </w:r>
      <w:r w:rsidRPr="00890665">
        <w:rPr>
          <w:rFonts w:asciiTheme="minorHAnsi" w:eastAsiaTheme="minorHAnsi" w:hAnsiTheme="minorHAnsi" w:cstheme="minorBidi"/>
          <w:sz w:val="18"/>
          <w:lang w:eastAsia="en-US"/>
        </w:rPr>
        <w:t xml:space="preserve">z dnia 4 kwietnia 2019 r. </w:t>
      </w:r>
      <w:r w:rsidRPr="00890665">
        <w:rPr>
          <w:rFonts w:asciiTheme="minorHAnsi" w:hAnsiTheme="minorHAnsi" w:cs="Arial"/>
          <w:i/>
          <w:sz w:val="18"/>
        </w:rPr>
        <w:t>o dostępności cyfrowej stron internetowych i aplikacji mobilnych podmiotów publicznych</w:t>
      </w:r>
      <w:r w:rsidRPr="00890665">
        <w:rPr>
          <w:rFonts w:asciiTheme="minorHAnsi" w:eastAsiaTheme="minorHAnsi" w:hAnsiTheme="minorHAnsi" w:cstheme="minorBidi"/>
          <w:sz w:val="18"/>
          <w:lang w:eastAsia="en-US"/>
        </w:rPr>
        <w:t xml:space="preserve"> </w:t>
      </w:r>
      <w:hyperlink r:id="rId12" w:history="1">
        <w:r w:rsidRPr="00890665">
          <w:rPr>
            <w:rFonts w:asciiTheme="minorHAnsi" w:eastAsiaTheme="minorHAnsi" w:hAnsiTheme="minorHAnsi" w:cstheme="minorBidi"/>
            <w:sz w:val="18"/>
            <w:lang w:eastAsia="en-US"/>
          </w:rPr>
          <w:t>(Dz.U. z 2019 r. poz. 848)</w:t>
        </w:r>
      </w:hyperlink>
    </w:p>
  </w:footnote>
  <w:footnote w:id="62">
    <w:p w14:paraId="5116FA34" w14:textId="77777777" w:rsidR="005D4C4C" w:rsidRDefault="005D4C4C" w:rsidP="00776D77">
      <w:pPr>
        <w:pStyle w:val="Tekstprzypisudolnego"/>
        <w:ind w:left="142" w:hanging="142"/>
        <w:jc w:val="both"/>
      </w:pPr>
      <w:r w:rsidRPr="00890665">
        <w:rPr>
          <w:rStyle w:val="Odwoanieprzypisudolnego"/>
          <w:rFonts w:asciiTheme="minorHAnsi" w:hAnsiTheme="minorHAnsi"/>
          <w:sz w:val="18"/>
        </w:rPr>
        <w:footnoteRef/>
      </w:r>
      <w:r w:rsidRPr="00890665">
        <w:rPr>
          <w:rFonts w:asciiTheme="minorHAnsi" w:hAnsiTheme="minorHAnsi"/>
          <w:sz w:val="18"/>
        </w:rPr>
        <w:t xml:space="preserve"> Ustawa </w:t>
      </w:r>
      <w:r w:rsidRPr="00890665">
        <w:rPr>
          <w:rFonts w:asciiTheme="minorHAnsi" w:eastAsiaTheme="minorHAnsi" w:hAnsiTheme="minorHAnsi" w:cstheme="minorBidi"/>
          <w:sz w:val="18"/>
          <w:lang w:eastAsia="en-US"/>
        </w:rPr>
        <w:t xml:space="preserve">z dnia 19 lipca 2019 r. </w:t>
      </w:r>
      <w:r w:rsidRPr="00890665">
        <w:rPr>
          <w:rFonts w:asciiTheme="minorHAnsi" w:hAnsiTheme="minorHAnsi" w:cs="Arial"/>
          <w:i/>
          <w:sz w:val="18"/>
        </w:rPr>
        <w:t>o zapewnianiu dostępności osobom ze szczególnymi potrzebami</w:t>
      </w:r>
      <w:r w:rsidRPr="00890665">
        <w:rPr>
          <w:rFonts w:asciiTheme="minorHAnsi" w:eastAsiaTheme="minorHAnsi" w:hAnsiTheme="minorHAnsi" w:cstheme="minorBidi"/>
          <w:sz w:val="18"/>
          <w:lang w:eastAsia="en-US"/>
        </w:rPr>
        <w:t xml:space="preserve"> </w:t>
      </w:r>
      <w:hyperlink r:id="rId13" w:history="1">
        <w:r w:rsidRPr="00890665">
          <w:rPr>
            <w:rFonts w:asciiTheme="minorHAnsi" w:eastAsiaTheme="minorHAnsi" w:hAnsiTheme="minorHAnsi" w:cstheme="minorBidi"/>
            <w:sz w:val="18"/>
            <w:lang w:eastAsia="en-US"/>
          </w:rPr>
          <w:t>(Dz.U. z 2019 r. poz. 1696)</w:t>
        </w:r>
      </w:hyperlink>
    </w:p>
  </w:footnote>
  <w:footnote w:id="63">
    <w:p w14:paraId="79898350" w14:textId="1526FA92" w:rsidR="005D4C4C" w:rsidRPr="00776D77" w:rsidRDefault="005D4C4C" w:rsidP="00776D77">
      <w:pPr>
        <w:pStyle w:val="Tekstprzypisudolnego"/>
        <w:rPr>
          <w:rFonts w:asciiTheme="minorHAnsi" w:hAnsiTheme="minorHAnsi" w:cstheme="minorHAnsi"/>
          <w:sz w:val="18"/>
        </w:rPr>
      </w:pPr>
      <w:r w:rsidRPr="00776D77">
        <w:rPr>
          <w:rStyle w:val="Odwoanieprzypisudolnego"/>
          <w:rFonts w:asciiTheme="minorHAnsi" w:hAnsiTheme="minorHAnsi" w:cstheme="minorHAnsi"/>
          <w:sz w:val="18"/>
        </w:rPr>
        <w:footnoteRef/>
      </w:r>
      <w:r w:rsidRPr="00776D77">
        <w:rPr>
          <w:rFonts w:asciiTheme="minorHAnsi" w:hAnsiTheme="minorHAnsi" w:cstheme="minorHAnsi"/>
          <w:sz w:val="18"/>
        </w:rPr>
        <w:t xml:space="preserve"> Ustawa  z dnia 4 marca 2010 r. o infrastrukturze informacji przestrzennej (Dz. U. z 2020 r., poz. 177, z późn. zm.).</w:t>
      </w:r>
    </w:p>
  </w:footnote>
  <w:footnote w:id="64">
    <w:p w14:paraId="2B7F9FE1" w14:textId="77777777" w:rsidR="005D4C4C" w:rsidRPr="00680F26" w:rsidRDefault="005D4C4C" w:rsidP="00776D77">
      <w:pPr>
        <w:tabs>
          <w:tab w:val="center" w:pos="4536"/>
          <w:tab w:val="right" w:pos="9072"/>
        </w:tabs>
        <w:spacing w:after="0" w:line="276" w:lineRule="auto"/>
        <w:jc w:val="both"/>
        <w:rPr>
          <w:rFonts w:cs="Arial"/>
          <w:iCs/>
          <w:sz w:val="16"/>
        </w:rPr>
      </w:pPr>
      <w:r w:rsidRPr="00680F26">
        <w:rPr>
          <w:rStyle w:val="Odwoanieprzypisudolnego"/>
          <w:sz w:val="18"/>
        </w:rPr>
        <w:footnoteRef/>
      </w:r>
      <w:r w:rsidRPr="00680F26">
        <w:rPr>
          <w:sz w:val="18"/>
        </w:rPr>
        <w:t xml:space="preserve"> Projekt realizowany </w:t>
      </w:r>
      <w:r w:rsidRPr="00680F26">
        <w:rPr>
          <w:rFonts w:cs="Arial"/>
          <w:sz w:val="18"/>
        </w:rPr>
        <w:t>w ramach Programu Operacyjnego Wiedza Edukacja Rozwój 2014-2020.</w:t>
      </w:r>
    </w:p>
    <w:p w14:paraId="5A25527A" w14:textId="77777777" w:rsidR="005D4C4C" w:rsidRDefault="005D4C4C" w:rsidP="00776D77">
      <w:pPr>
        <w:pStyle w:val="Tekstprzypisudolnego"/>
      </w:pPr>
    </w:p>
  </w:footnote>
  <w:footnote w:id="65">
    <w:p w14:paraId="0FD3378D" w14:textId="7EC12885" w:rsidR="005D4C4C" w:rsidRPr="00605B1D" w:rsidRDefault="005D4C4C" w:rsidP="00605B1D">
      <w:pPr>
        <w:pStyle w:val="Tekstprzypisudolnego"/>
        <w:jc w:val="both"/>
        <w:rPr>
          <w:rFonts w:asciiTheme="minorHAnsi" w:hAnsiTheme="minorHAnsi"/>
          <w:sz w:val="18"/>
        </w:rPr>
      </w:pPr>
      <w:r w:rsidRPr="00605B1D">
        <w:rPr>
          <w:rStyle w:val="Odwoanieprzypisudolnego"/>
          <w:rFonts w:asciiTheme="minorHAnsi" w:hAnsiTheme="minorHAnsi"/>
          <w:sz w:val="18"/>
        </w:rPr>
        <w:footnoteRef/>
      </w:r>
      <w:r w:rsidRPr="00605B1D">
        <w:rPr>
          <w:rFonts w:asciiTheme="minorHAnsi" w:hAnsiTheme="minorHAnsi"/>
          <w:sz w:val="18"/>
        </w:rPr>
        <w:t xml:space="preserve"> Organy, o których mowa w art. 3 pkt 6 i 7 ustawy z dnia 4 marca 2010 r. o infrastrukturze informacji przestrzennej (Dz</w:t>
      </w:r>
      <w:r>
        <w:rPr>
          <w:rFonts w:asciiTheme="minorHAnsi" w:hAnsiTheme="minorHAnsi"/>
          <w:sz w:val="18"/>
        </w:rPr>
        <w:t>.</w:t>
      </w:r>
      <w:r w:rsidRPr="00605B1D">
        <w:rPr>
          <w:rFonts w:asciiTheme="minorHAnsi" w:hAnsiTheme="minorHAnsi"/>
          <w:sz w:val="18"/>
        </w:rPr>
        <w:t>U</w:t>
      </w:r>
      <w:r>
        <w:rPr>
          <w:rFonts w:asciiTheme="minorHAnsi" w:hAnsiTheme="minorHAnsi"/>
          <w:sz w:val="18"/>
        </w:rPr>
        <w:t xml:space="preserve">. </w:t>
      </w:r>
      <w:r w:rsidRPr="00605B1D">
        <w:rPr>
          <w:rFonts w:asciiTheme="minorHAnsi" w:hAnsiTheme="minorHAnsi"/>
          <w:sz w:val="18"/>
        </w:rPr>
        <w:t>z 20</w:t>
      </w:r>
      <w:r>
        <w:rPr>
          <w:rFonts w:asciiTheme="minorHAnsi" w:hAnsiTheme="minorHAnsi"/>
          <w:sz w:val="18"/>
        </w:rPr>
        <w:t>20</w:t>
      </w:r>
      <w:r w:rsidRPr="00605B1D">
        <w:rPr>
          <w:rFonts w:asciiTheme="minorHAnsi" w:hAnsiTheme="minorHAnsi"/>
          <w:sz w:val="18"/>
        </w:rPr>
        <w:t xml:space="preserve"> r., poz. </w:t>
      </w:r>
      <w:r>
        <w:rPr>
          <w:rFonts w:asciiTheme="minorHAnsi" w:hAnsiTheme="minorHAnsi"/>
          <w:sz w:val="18"/>
        </w:rPr>
        <w:t>177</w:t>
      </w:r>
      <w:r w:rsidRPr="00605B1D">
        <w:rPr>
          <w:rFonts w:asciiTheme="minorHAnsi" w:hAnsiTheme="minorHAnsi"/>
          <w:sz w:val="18"/>
        </w:rPr>
        <w:t>, z późn. zm.)</w:t>
      </w:r>
    </w:p>
  </w:footnote>
  <w:footnote w:id="66">
    <w:p w14:paraId="4FAE4FAC" w14:textId="77777777" w:rsidR="005D4C4C" w:rsidRPr="00401D39" w:rsidRDefault="005D4C4C" w:rsidP="00BA057D">
      <w:pPr>
        <w:pStyle w:val="Tekstprzypisudolnego"/>
        <w:spacing w:after="60"/>
        <w:ind w:left="284" w:hanging="284"/>
        <w:rPr>
          <w:rFonts w:ascii="Calibri" w:hAnsi="Calibri"/>
          <w:sz w:val="18"/>
          <w:szCs w:val="18"/>
        </w:rPr>
      </w:pPr>
      <w:r w:rsidRPr="00401D39">
        <w:rPr>
          <w:rStyle w:val="Odwoanieprzypisudolnego"/>
          <w:rFonts w:ascii="Calibri" w:hAnsi="Calibri"/>
          <w:sz w:val="18"/>
          <w:szCs w:val="18"/>
        </w:rPr>
        <w:footnoteRef/>
      </w:r>
      <w:r w:rsidRPr="00401D39">
        <w:rPr>
          <w:rFonts w:ascii="Calibri" w:hAnsi="Calibri"/>
          <w:sz w:val="18"/>
          <w:szCs w:val="18"/>
        </w:rPr>
        <w:t xml:space="preserve"> Przedstawiona diagnoza jest uzupełnieniem informacji diagnostycznych zawartych w SOR w obszarze w obszarze: </w:t>
      </w:r>
      <w:r w:rsidRPr="00401D39">
        <w:rPr>
          <w:rFonts w:ascii="Calibri" w:hAnsi="Calibri" w:cs="Arial"/>
          <w:sz w:val="18"/>
          <w:szCs w:val="18"/>
        </w:rPr>
        <w:t>E-państwo oraz w obszarze: Cyfryzacja.</w:t>
      </w:r>
    </w:p>
  </w:footnote>
  <w:footnote w:id="67">
    <w:p w14:paraId="6D336215" w14:textId="1F2D41DE" w:rsidR="005D4C4C" w:rsidRPr="00401D39" w:rsidRDefault="005D4C4C" w:rsidP="00BA057D">
      <w:pPr>
        <w:pStyle w:val="Nagwek1"/>
        <w:spacing w:before="0" w:after="60" w:line="240" w:lineRule="auto"/>
        <w:ind w:left="284" w:hanging="284"/>
        <w:rPr>
          <w:rFonts w:ascii="Calibri" w:hAnsi="Calibri"/>
          <w:sz w:val="20"/>
          <w:szCs w:val="20"/>
        </w:rPr>
      </w:pPr>
      <w:r w:rsidRPr="00401D39">
        <w:rPr>
          <w:rStyle w:val="Odwoanieprzypisudolnego"/>
          <w:rFonts w:ascii="Calibri" w:hAnsi="Calibri"/>
          <w:color w:val="auto"/>
          <w:sz w:val="20"/>
          <w:szCs w:val="20"/>
        </w:rPr>
        <w:footnoteRef/>
      </w:r>
      <w:r w:rsidRPr="00401D39">
        <w:rPr>
          <w:rFonts w:ascii="Calibri" w:hAnsi="Calibri"/>
          <w:color w:val="auto"/>
          <w:sz w:val="20"/>
          <w:szCs w:val="20"/>
        </w:rPr>
        <w:t xml:space="preserve"> Zarządzenie </w:t>
      </w:r>
      <w:r>
        <w:rPr>
          <w:rFonts w:ascii="Calibri" w:hAnsi="Calibri"/>
          <w:color w:val="auto"/>
          <w:sz w:val="20"/>
          <w:szCs w:val="20"/>
        </w:rPr>
        <w:t>n</w:t>
      </w:r>
      <w:r w:rsidRPr="00401D39">
        <w:rPr>
          <w:rFonts w:ascii="Calibri" w:hAnsi="Calibri"/>
          <w:color w:val="auto"/>
          <w:sz w:val="20"/>
          <w:szCs w:val="20"/>
        </w:rPr>
        <w:t xml:space="preserve">r 48 Prezesa Rady Ministrów w </w:t>
      </w:r>
      <w:bookmarkStart w:id="2" w:name="highlightHit_0"/>
      <w:bookmarkEnd w:id="2"/>
      <w:r w:rsidRPr="00401D39">
        <w:rPr>
          <w:rStyle w:val="highlight"/>
          <w:rFonts w:ascii="Calibri" w:hAnsi="Calibri"/>
          <w:color w:val="auto"/>
          <w:sz w:val="20"/>
          <w:szCs w:val="20"/>
        </w:rPr>
        <w:t>sprawie</w:t>
      </w:r>
      <w:r w:rsidRPr="00401D39">
        <w:rPr>
          <w:rFonts w:ascii="Calibri" w:hAnsi="Calibri"/>
          <w:color w:val="auto"/>
          <w:sz w:val="20"/>
          <w:szCs w:val="20"/>
        </w:rPr>
        <w:t xml:space="preserve"> </w:t>
      </w:r>
      <w:bookmarkStart w:id="3" w:name="highlightHit_1"/>
      <w:bookmarkEnd w:id="3"/>
      <w:r w:rsidRPr="00401D39">
        <w:rPr>
          <w:rStyle w:val="highlight"/>
          <w:rFonts w:ascii="Calibri" w:hAnsi="Calibri"/>
          <w:color w:val="auto"/>
          <w:sz w:val="20"/>
          <w:szCs w:val="20"/>
        </w:rPr>
        <w:t>Komitetu</w:t>
      </w:r>
      <w:r w:rsidRPr="00401D39">
        <w:rPr>
          <w:rFonts w:ascii="Calibri" w:hAnsi="Calibri"/>
          <w:color w:val="auto"/>
          <w:sz w:val="20"/>
          <w:szCs w:val="20"/>
        </w:rPr>
        <w:t xml:space="preserve"> Rady Ministrów </w:t>
      </w:r>
      <w:bookmarkStart w:id="4" w:name="highlightHit_2"/>
      <w:bookmarkEnd w:id="4"/>
      <w:r w:rsidRPr="00401D39">
        <w:rPr>
          <w:rStyle w:val="highlight"/>
          <w:rFonts w:ascii="Calibri" w:hAnsi="Calibri"/>
          <w:color w:val="auto"/>
          <w:sz w:val="20"/>
          <w:szCs w:val="20"/>
        </w:rPr>
        <w:t>do</w:t>
      </w:r>
      <w:r w:rsidRPr="00401D39">
        <w:rPr>
          <w:rFonts w:ascii="Calibri" w:hAnsi="Calibri"/>
          <w:color w:val="auto"/>
          <w:sz w:val="20"/>
          <w:szCs w:val="20"/>
        </w:rPr>
        <w:t xml:space="preserve"> </w:t>
      </w:r>
      <w:bookmarkStart w:id="5" w:name="highlightHit_3"/>
      <w:bookmarkEnd w:id="5"/>
      <w:r w:rsidRPr="00401D39">
        <w:rPr>
          <w:rStyle w:val="highlight"/>
          <w:rFonts w:ascii="Calibri" w:hAnsi="Calibri"/>
          <w:color w:val="auto"/>
          <w:sz w:val="20"/>
          <w:szCs w:val="20"/>
        </w:rPr>
        <w:t>spraw</w:t>
      </w:r>
      <w:r w:rsidRPr="00401D39">
        <w:rPr>
          <w:rFonts w:ascii="Calibri" w:hAnsi="Calibri"/>
          <w:color w:val="auto"/>
          <w:sz w:val="20"/>
          <w:szCs w:val="20"/>
        </w:rPr>
        <w:t xml:space="preserve"> </w:t>
      </w:r>
      <w:bookmarkStart w:id="6" w:name="highlightHit_4"/>
      <w:bookmarkEnd w:id="6"/>
      <w:r w:rsidRPr="00401D39">
        <w:rPr>
          <w:rStyle w:val="highlight"/>
          <w:rFonts w:ascii="Calibri" w:hAnsi="Calibri"/>
          <w:color w:val="auto"/>
          <w:sz w:val="20"/>
          <w:szCs w:val="20"/>
        </w:rPr>
        <w:t xml:space="preserve">Cyfryzacji </w:t>
      </w:r>
      <w:r w:rsidRPr="00401D39">
        <w:rPr>
          <w:rFonts w:ascii="Calibri" w:hAnsi="Calibri"/>
          <w:color w:val="auto"/>
          <w:sz w:val="20"/>
          <w:szCs w:val="20"/>
        </w:rPr>
        <w:t>z dnia 12 kwietnia 2016 r. (M.P.</w:t>
      </w:r>
      <w:r w:rsidR="0064696B">
        <w:rPr>
          <w:rFonts w:ascii="Calibri" w:hAnsi="Calibri"/>
          <w:color w:val="auto"/>
          <w:sz w:val="20"/>
          <w:szCs w:val="20"/>
        </w:rPr>
        <w:t xml:space="preserve"> z </w:t>
      </w:r>
      <w:r w:rsidRPr="00401D39">
        <w:rPr>
          <w:rFonts w:ascii="Calibri" w:hAnsi="Calibri"/>
          <w:color w:val="auto"/>
          <w:sz w:val="20"/>
          <w:szCs w:val="20"/>
        </w:rPr>
        <w:t>2018 r. poz. 705).</w:t>
      </w:r>
    </w:p>
  </w:footnote>
  <w:footnote w:id="68">
    <w:p w14:paraId="6746AF58" w14:textId="77777777" w:rsidR="005D4C4C" w:rsidRPr="002F4FBD" w:rsidRDefault="005D4C4C" w:rsidP="00BA057D">
      <w:pPr>
        <w:pStyle w:val="Tekstprzypisudolnego"/>
        <w:rPr>
          <w:sz w:val="18"/>
        </w:rPr>
      </w:pPr>
      <w:r w:rsidRPr="00401D39">
        <w:rPr>
          <w:rStyle w:val="Odwoanieprzypisudolnego"/>
          <w:rFonts w:ascii="Calibri" w:hAnsi="Calibri"/>
          <w:sz w:val="18"/>
        </w:rPr>
        <w:footnoteRef/>
      </w:r>
      <w:r w:rsidRPr="00401D39">
        <w:rPr>
          <w:rFonts w:ascii="Calibri" w:hAnsi="Calibri"/>
          <w:sz w:val="18"/>
        </w:rPr>
        <w:t xml:space="preserve"> https://www.gov.pl/web/cyfryzacja/mapa-innowacji</w:t>
      </w:r>
    </w:p>
  </w:footnote>
  <w:footnote w:id="69">
    <w:p w14:paraId="1DC1BC94" w14:textId="77777777" w:rsidR="005D4C4C" w:rsidRPr="00401D39" w:rsidRDefault="005D4C4C" w:rsidP="00BA057D">
      <w:pPr>
        <w:pStyle w:val="Tekstprzypisudolnego"/>
        <w:rPr>
          <w:rFonts w:ascii="Calibri" w:hAnsi="Calibri" w:cs="Calibri"/>
          <w:sz w:val="18"/>
        </w:rPr>
      </w:pPr>
      <w:r w:rsidRPr="00401D39">
        <w:rPr>
          <w:rStyle w:val="Odwoanieprzypisudolnego"/>
          <w:rFonts w:ascii="Calibri" w:hAnsi="Calibri" w:cs="Calibri"/>
          <w:sz w:val="18"/>
        </w:rPr>
        <w:footnoteRef/>
      </w:r>
      <w:r w:rsidRPr="00401D39">
        <w:rPr>
          <w:rFonts w:ascii="Calibri" w:hAnsi="Calibri" w:cs="Calibri"/>
          <w:sz w:val="18"/>
        </w:rPr>
        <w:t xml:space="preserve"> Ustawa z dnia 5 lipca 2018 r. o krajowym systemie cyberbezpieczeństwa (Dz. U. z 2020 r., poz. 1369).</w:t>
      </w:r>
    </w:p>
  </w:footnote>
  <w:footnote w:id="70">
    <w:p w14:paraId="2C6C4C0A" w14:textId="77777777" w:rsidR="005D4C4C" w:rsidRPr="00401D39" w:rsidRDefault="005D4C4C" w:rsidP="00BA057D">
      <w:pPr>
        <w:pStyle w:val="Tekstprzypisudolnego"/>
        <w:ind w:left="142" w:hanging="142"/>
        <w:jc w:val="both"/>
        <w:rPr>
          <w:rFonts w:ascii="Calibri" w:hAnsi="Calibri"/>
          <w:sz w:val="18"/>
        </w:rPr>
      </w:pPr>
      <w:r w:rsidRPr="00401D39">
        <w:rPr>
          <w:rStyle w:val="Odwoanieprzypisudolnego"/>
          <w:rFonts w:ascii="Calibri" w:hAnsi="Calibri"/>
          <w:sz w:val="18"/>
        </w:rPr>
        <w:footnoteRef/>
      </w:r>
      <w:r w:rsidRPr="00401D39">
        <w:rPr>
          <w:rFonts w:ascii="Calibri" w:hAnsi="Calibri"/>
          <w:sz w:val="18"/>
        </w:rPr>
        <w:t xml:space="preserve"> Współfinansowane ze środków regionalnych programów operacyjnych oraz Programu Operacyjnego Rozwój Polski Wschodniej (łączna długość sieci RSS wraz z infrastrukturą dzierżawioną wyniosła ponad 29 tys. km).</w:t>
      </w:r>
    </w:p>
  </w:footnote>
  <w:footnote w:id="71">
    <w:p w14:paraId="51ADE00B" w14:textId="77777777" w:rsidR="005D4C4C" w:rsidRPr="00401D39" w:rsidRDefault="005D4C4C" w:rsidP="00BA057D">
      <w:pPr>
        <w:pStyle w:val="Tekstprzypisudolnego"/>
        <w:ind w:left="142" w:hanging="142"/>
        <w:jc w:val="both"/>
        <w:rPr>
          <w:rFonts w:ascii="Calibri" w:hAnsi="Calibri"/>
          <w:sz w:val="18"/>
        </w:rPr>
      </w:pPr>
      <w:r w:rsidRPr="00401D39">
        <w:rPr>
          <w:rStyle w:val="Odwoanieprzypisudolnego"/>
          <w:rFonts w:ascii="Calibri" w:hAnsi="Calibri"/>
          <w:sz w:val="18"/>
        </w:rPr>
        <w:footnoteRef/>
      </w:r>
      <w:r w:rsidRPr="00401D39">
        <w:rPr>
          <w:rFonts w:ascii="Calibri" w:hAnsi="Calibri"/>
          <w:sz w:val="18"/>
        </w:rPr>
        <w:t xml:space="preserve"> Sieci szkieletowo-dystrybucyjne w perspektywie 2007-2013 Raport zamknięcia, Ministerstwo Cyfryzacji</w:t>
      </w:r>
    </w:p>
  </w:footnote>
  <w:footnote w:id="72">
    <w:p w14:paraId="1678D99E" w14:textId="77777777" w:rsidR="005D4C4C" w:rsidRPr="00401D39" w:rsidRDefault="005D4C4C" w:rsidP="00BA057D">
      <w:pPr>
        <w:pStyle w:val="Tekstprzypisudolnego"/>
        <w:ind w:left="142" w:hanging="142"/>
        <w:jc w:val="both"/>
        <w:rPr>
          <w:rFonts w:ascii="Calibri" w:hAnsi="Calibri"/>
          <w:sz w:val="18"/>
        </w:rPr>
      </w:pPr>
      <w:r w:rsidRPr="00401D39">
        <w:rPr>
          <w:rStyle w:val="Odwoanieprzypisudolnego"/>
          <w:rFonts w:ascii="Calibri" w:hAnsi="Calibri"/>
          <w:sz w:val="18"/>
        </w:rPr>
        <w:footnoteRef/>
      </w:r>
      <w:r w:rsidRPr="00401D39">
        <w:rPr>
          <w:rFonts w:ascii="Calibri" w:hAnsi="Calibri"/>
          <w:sz w:val="18"/>
        </w:rPr>
        <w:t xml:space="preserve"> Współfinansowanych ze środków Programu Operacyjnego Innowacyjna Gospodarka, Programu Operacyjnego Rozwój Polski Wschodniej i regionalnych programów operacyjnych.</w:t>
      </w:r>
    </w:p>
  </w:footnote>
  <w:footnote w:id="73">
    <w:p w14:paraId="35415126" w14:textId="77777777" w:rsidR="005D4C4C" w:rsidRDefault="005D4C4C" w:rsidP="00BA057D">
      <w:pPr>
        <w:pStyle w:val="Tekstprzypisudolnego"/>
      </w:pPr>
      <w:r w:rsidRPr="00401D39">
        <w:rPr>
          <w:rStyle w:val="Odwoanieprzypisudolnego"/>
          <w:rFonts w:ascii="Calibri" w:hAnsi="Calibri"/>
          <w:sz w:val="18"/>
        </w:rPr>
        <w:footnoteRef/>
      </w:r>
      <w:r w:rsidRPr="00401D39">
        <w:rPr>
          <w:rFonts w:ascii="Calibri" w:hAnsi="Calibri"/>
          <w:sz w:val="18"/>
        </w:rPr>
        <w:t xml:space="preserve"> Narodowy Plan Szerokopasmowy. Sprawozdanie z realizacji zadań za 2015 r.</w:t>
      </w:r>
    </w:p>
  </w:footnote>
  <w:footnote w:id="74">
    <w:p w14:paraId="25D2F4F9" w14:textId="77777777" w:rsidR="005D4C4C" w:rsidRPr="000E63C1" w:rsidRDefault="005D4C4C" w:rsidP="00BA057D">
      <w:pPr>
        <w:pStyle w:val="Tekstprzypisudolnego"/>
        <w:ind w:left="142" w:hanging="142"/>
        <w:jc w:val="both"/>
        <w:rPr>
          <w:rFonts w:ascii="Calibri" w:hAnsi="Calibri" w:cs="Calibri"/>
          <w:sz w:val="18"/>
          <w:szCs w:val="18"/>
        </w:rPr>
      </w:pPr>
      <w:r w:rsidRPr="000E63C1">
        <w:rPr>
          <w:rStyle w:val="Odwoanieprzypisudolnego"/>
          <w:rFonts w:ascii="Calibri" w:hAnsi="Calibri" w:cs="Calibri"/>
          <w:sz w:val="18"/>
          <w:szCs w:val="18"/>
        </w:rPr>
        <w:footnoteRef/>
      </w:r>
      <w:r w:rsidRPr="000E63C1">
        <w:rPr>
          <w:rFonts w:ascii="Calibri" w:hAnsi="Calibri" w:cs="Calibri"/>
          <w:sz w:val="18"/>
          <w:szCs w:val="18"/>
        </w:rPr>
        <w:t xml:space="preserve"> </w:t>
      </w:r>
      <w:r w:rsidRPr="000E63C1">
        <w:rPr>
          <w:rFonts w:ascii="Calibri" w:hAnsi="Calibri"/>
          <w:sz w:val="18"/>
          <w:szCs w:val="18"/>
        </w:rPr>
        <w:t>W komunikacie Komisji do Parlamentu Europejskiego, Rady, Europejskiego Komitetu Ekonomiczno-Społecznego i Komitetu Regionów, Łączność dla Konkurencyjnego Jednolitego Ryn-ku Cyfrowego: w kierunku europejskiego społeczeństwa gigabitowego COM(2016)587 zarysowane zostały cele w zakresie rozwoju sieci łączności cyfrowej w Europie w perspektywie do roku 2025. Cele te zostały implementowane do krajowego porządku dokumentów strategicznych w Narodowym Planie Szerokopasmowym.</w:t>
      </w:r>
    </w:p>
  </w:footnote>
  <w:footnote w:id="75">
    <w:p w14:paraId="290CC9F4" w14:textId="77777777" w:rsidR="005D4C4C" w:rsidRPr="00401D39" w:rsidRDefault="005D4C4C" w:rsidP="00BA057D">
      <w:pPr>
        <w:pStyle w:val="Tekstprzypisudolnego"/>
        <w:rPr>
          <w:rFonts w:ascii="Calibri" w:hAnsi="Calibri"/>
          <w:sz w:val="18"/>
        </w:rPr>
      </w:pPr>
      <w:r w:rsidRPr="00401D39">
        <w:rPr>
          <w:rStyle w:val="Odwoanieprzypisudolnego"/>
          <w:rFonts w:ascii="Calibri" w:hAnsi="Calibri"/>
          <w:sz w:val="18"/>
        </w:rPr>
        <w:footnoteRef/>
      </w:r>
      <w:r w:rsidRPr="00401D39">
        <w:rPr>
          <w:rFonts w:ascii="Calibri" w:hAnsi="Calibri"/>
          <w:sz w:val="18"/>
        </w:rPr>
        <w:t xml:space="preserve"> Gospodarstwo domowe rozumiane zgodnie z Narodowym Planem Szerokopasmowym jako lokal mieszkalny.</w:t>
      </w:r>
    </w:p>
  </w:footnote>
  <w:footnote w:id="76">
    <w:p w14:paraId="6AAC52C8" w14:textId="77777777" w:rsidR="005D4C4C" w:rsidRPr="00401D39" w:rsidRDefault="005D4C4C" w:rsidP="00BA057D">
      <w:pPr>
        <w:pStyle w:val="Tekstprzypisudolnego"/>
        <w:rPr>
          <w:rFonts w:ascii="Calibri" w:hAnsi="Calibri"/>
          <w:sz w:val="18"/>
        </w:rPr>
      </w:pPr>
      <w:r w:rsidRPr="00401D39">
        <w:rPr>
          <w:rStyle w:val="Odwoanieprzypisudolnego"/>
          <w:rFonts w:ascii="Calibri" w:hAnsi="Calibri"/>
          <w:sz w:val="18"/>
        </w:rPr>
        <w:footnoteRef/>
      </w:r>
      <w:r w:rsidRPr="00401D39">
        <w:rPr>
          <w:rFonts w:ascii="Calibri" w:hAnsi="Calibri"/>
          <w:sz w:val="18"/>
        </w:rPr>
        <w:t xml:space="preserve"> Gospodarstwo domowe rozumiane zgodnie z Narodowym Planem Szerokopasmowym jako lokal mieszkalny.</w:t>
      </w:r>
    </w:p>
  </w:footnote>
  <w:footnote w:id="77">
    <w:p w14:paraId="6FF0A4E2" w14:textId="77777777" w:rsidR="005D4C4C" w:rsidRPr="00401D39" w:rsidRDefault="005D4C4C" w:rsidP="00BA057D">
      <w:pPr>
        <w:pStyle w:val="Tekstprzypisudolnego"/>
        <w:ind w:left="142" w:hanging="142"/>
        <w:jc w:val="both"/>
        <w:rPr>
          <w:rFonts w:ascii="Calibri" w:hAnsi="Calibri"/>
          <w:sz w:val="18"/>
        </w:rPr>
      </w:pPr>
      <w:r w:rsidRPr="00401D39">
        <w:rPr>
          <w:rStyle w:val="Odwoanieprzypisudolnego"/>
          <w:rFonts w:ascii="Calibri" w:hAnsi="Calibri"/>
          <w:sz w:val="18"/>
        </w:rPr>
        <w:footnoteRef/>
      </w:r>
      <w:r w:rsidRPr="00401D39">
        <w:rPr>
          <w:rFonts w:ascii="Calibri" w:hAnsi="Calibri"/>
          <w:sz w:val="18"/>
        </w:rPr>
        <w:t>Gospodarstwo domowe rozumiane zgodnie z Narodowym Planem Szerokopasmowym jako lokal mieszkalny. Możliwość zwiększenia do przepustowości mierzonej w gigabitach będzie oceniana na podstawie technologii łącza.</w:t>
      </w:r>
    </w:p>
  </w:footnote>
  <w:footnote w:id="78">
    <w:p w14:paraId="7DF27752" w14:textId="77777777" w:rsidR="005D4C4C" w:rsidRPr="00401D39" w:rsidRDefault="005D4C4C" w:rsidP="00BA057D">
      <w:pPr>
        <w:pStyle w:val="Tekstprzypisudolnego"/>
        <w:rPr>
          <w:rFonts w:ascii="Calibri" w:hAnsi="Calibri"/>
          <w:sz w:val="18"/>
        </w:rPr>
      </w:pPr>
      <w:r w:rsidRPr="00401D39">
        <w:rPr>
          <w:rStyle w:val="Odwoanieprzypisudolnego"/>
          <w:rFonts w:ascii="Calibri" w:hAnsi="Calibri"/>
          <w:sz w:val="18"/>
        </w:rPr>
        <w:footnoteRef/>
      </w:r>
      <w:r w:rsidRPr="00401D39">
        <w:rPr>
          <w:rFonts w:ascii="Calibri" w:hAnsi="Calibri"/>
          <w:sz w:val="18"/>
        </w:rPr>
        <w:t xml:space="preserve"> Zgodnie z siecią TEN-T.</w:t>
      </w:r>
    </w:p>
  </w:footnote>
  <w:footnote w:id="79">
    <w:p w14:paraId="59D8837E" w14:textId="77777777" w:rsidR="005D4C4C" w:rsidRDefault="005D4C4C" w:rsidP="00BA057D">
      <w:pPr>
        <w:pStyle w:val="Tekstprzypisudolnego"/>
      </w:pPr>
      <w:r w:rsidRPr="00401D39">
        <w:rPr>
          <w:rStyle w:val="Odwoanieprzypisudolnego"/>
          <w:rFonts w:ascii="Calibri" w:hAnsi="Calibri"/>
          <w:sz w:val="18"/>
        </w:rPr>
        <w:footnoteRef/>
      </w:r>
      <w:r w:rsidRPr="00401D39">
        <w:rPr>
          <w:rFonts w:ascii="Calibri" w:hAnsi="Calibri"/>
          <w:sz w:val="18"/>
        </w:rPr>
        <w:t xml:space="preserve"> Zgodnie z definicją Eurostatu.</w:t>
      </w:r>
    </w:p>
  </w:footnote>
  <w:footnote w:id="80">
    <w:p w14:paraId="6239589B" w14:textId="77777777" w:rsidR="005D4C4C" w:rsidRPr="00401D39" w:rsidRDefault="005D4C4C" w:rsidP="00BA057D">
      <w:pPr>
        <w:pStyle w:val="Tekstprzypisudolnego"/>
        <w:rPr>
          <w:rFonts w:ascii="Calibri" w:hAnsi="Calibri"/>
          <w:sz w:val="18"/>
        </w:rPr>
      </w:pPr>
      <w:r w:rsidRPr="00401D39">
        <w:rPr>
          <w:rStyle w:val="Odwoanieprzypisudolnego"/>
          <w:rFonts w:ascii="Calibri" w:hAnsi="Calibri"/>
          <w:sz w:val="18"/>
        </w:rPr>
        <w:footnoteRef/>
      </w:r>
      <w:r w:rsidRPr="00401D39">
        <w:rPr>
          <w:rFonts w:ascii="Calibri" w:hAnsi="Calibri"/>
          <w:sz w:val="18"/>
        </w:rPr>
        <w:t xml:space="preserve"> Kompetencja ministra właściwego ds. informatyzacji</w:t>
      </w:r>
    </w:p>
  </w:footnote>
  <w:footnote w:id="81">
    <w:p w14:paraId="4D09185C" w14:textId="77777777" w:rsidR="005D4C4C" w:rsidRPr="00401D39" w:rsidRDefault="005D4C4C" w:rsidP="00BA057D">
      <w:pPr>
        <w:pStyle w:val="Tekstprzypisudolnego"/>
        <w:ind w:left="284" w:hanging="284"/>
        <w:jc w:val="both"/>
        <w:rPr>
          <w:rFonts w:ascii="Calibri" w:hAnsi="Calibri"/>
        </w:rPr>
      </w:pPr>
      <w:r w:rsidRPr="00401D39">
        <w:rPr>
          <w:rStyle w:val="Odwoanieprzypisudolnego"/>
          <w:rFonts w:ascii="Calibri" w:hAnsi="Calibri"/>
        </w:rPr>
        <w:footnoteRef/>
      </w:r>
      <w:r w:rsidRPr="00401D39">
        <w:rPr>
          <w:rFonts w:ascii="Calibri" w:hAnsi="Calibri"/>
        </w:rPr>
        <w:t xml:space="preserve"> Komunikat Komisji do Parlamentu Europejskiego, Rady, Europejskiego Komitetu Ekonomiczno-Społecznego i Komitetu Regionów, Łączność dla Konkurencyjnego Jednolitego Rynku Cyfrowego: w kierunku europejskiego społeczeństwa gigabitowego COM(2016)587.</w:t>
      </w:r>
    </w:p>
  </w:footnote>
  <w:footnote w:id="82">
    <w:p w14:paraId="70F86A65" w14:textId="77777777" w:rsidR="005D4C4C" w:rsidRPr="00401D39" w:rsidRDefault="005D4C4C" w:rsidP="00BA057D">
      <w:pPr>
        <w:pStyle w:val="Tekstprzypisudolnego"/>
        <w:rPr>
          <w:rFonts w:ascii="Calibri" w:hAnsi="Calibri"/>
          <w:sz w:val="18"/>
        </w:rPr>
      </w:pPr>
      <w:r w:rsidRPr="00401D39">
        <w:rPr>
          <w:rStyle w:val="Odwoanieprzypisudolnego"/>
          <w:rFonts w:ascii="Calibri" w:hAnsi="Calibri"/>
          <w:sz w:val="18"/>
        </w:rPr>
        <w:footnoteRef/>
      </w:r>
      <w:r w:rsidRPr="00401D39">
        <w:rPr>
          <w:rFonts w:ascii="Calibri" w:hAnsi="Calibri" w:cs="Calibri"/>
          <w:sz w:val="18"/>
        </w:rPr>
        <w:t xml:space="preserve"> Ustawa z dnia 27 października 2017 r. </w:t>
      </w:r>
      <w:r w:rsidRPr="00401D39">
        <w:rPr>
          <w:rFonts w:ascii="Calibri" w:hAnsi="Calibri" w:cs="Calibri"/>
          <w:i/>
          <w:sz w:val="18"/>
        </w:rPr>
        <w:t>o Ogólnopolskiej Sieci Edukacyjnej</w:t>
      </w:r>
      <w:r w:rsidRPr="00401D39">
        <w:rPr>
          <w:rFonts w:ascii="Calibri" w:hAnsi="Calibri" w:cs="Calibri"/>
          <w:sz w:val="18"/>
        </w:rPr>
        <w:t xml:space="preserve"> (Dz. U. z 2020 r., poz. 1334).</w:t>
      </w:r>
    </w:p>
  </w:footnote>
  <w:footnote w:id="83">
    <w:p w14:paraId="7127B617" w14:textId="77777777" w:rsidR="005D4C4C" w:rsidRPr="007D6796" w:rsidRDefault="005D4C4C" w:rsidP="00A52B29">
      <w:pPr>
        <w:pStyle w:val="Tekstprzypisudolnego"/>
        <w:ind w:left="142" w:hanging="142"/>
        <w:jc w:val="both"/>
        <w:rPr>
          <w:rFonts w:asciiTheme="minorHAnsi" w:hAnsiTheme="minorHAnsi"/>
          <w:sz w:val="18"/>
        </w:rPr>
      </w:pPr>
      <w:r w:rsidRPr="007D6796">
        <w:rPr>
          <w:rStyle w:val="Odwoanieprzypisudolnego"/>
          <w:rFonts w:asciiTheme="minorHAnsi" w:hAnsiTheme="minorHAnsi"/>
          <w:sz w:val="18"/>
        </w:rPr>
        <w:footnoteRef/>
      </w:r>
      <w:r w:rsidRPr="007D6796">
        <w:rPr>
          <w:rFonts w:asciiTheme="minorHAnsi" w:hAnsiTheme="minorHAnsi"/>
          <w:sz w:val="18"/>
        </w:rPr>
        <w:t xml:space="preserve"> Przedstawiona diagnoza jest uzupełnieniem informacji diagnostycznych zawartych w SOR w obszarze </w:t>
      </w:r>
      <w:r w:rsidRPr="007D6796">
        <w:rPr>
          <w:rFonts w:asciiTheme="minorHAnsi" w:hAnsiTheme="minorHAnsi" w:cs="Arial"/>
          <w:sz w:val="18"/>
        </w:rPr>
        <w:t>"Finanse publiczne” oraz w obszarze „</w:t>
      </w:r>
      <w:r w:rsidRPr="007D6796">
        <w:rPr>
          <w:rFonts w:asciiTheme="minorHAnsi" w:hAnsiTheme="minorHAnsi" w:cs="Calibri"/>
          <w:sz w:val="18"/>
        </w:rPr>
        <w:t>Efektywność wykorzystania środków UE”.</w:t>
      </w:r>
    </w:p>
    <w:p w14:paraId="1B818C37" w14:textId="77777777" w:rsidR="005D4C4C" w:rsidRPr="00667A2E" w:rsidRDefault="005D4C4C" w:rsidP="00A52B29">
      <w:pPr>
        <w:pStyle w:val="Tekstprzypisudolnego"/>
      </w:pPr>
    </w:p>
  </w:footnote>
  <w:footnote w:id="84">
    <w:p w14:paraId="53ECD732" w14:textId="77777777" w:rsidR="005D4C4C" w:rsidRPr="00E83F01" w:rsidRDefault="005D4C4C" w:rsidP="00A52B29">
      <w:pPr>
        <w:pStyle w:val="Tekstprzypisudolnego"/>
        <w:ind w:left="142" w:hanging="142"/>
        <w:jc w:val="both"/>
        <w:rPr>
          <w:rFonts w:asciiTheme="minorHAnsi" w:hAnsiTheme="minorHAnsi"/>
          <w:lang w:val="en-GB"/>
        </w:rPr>
      </w:pPr>
      <w:r w:rsidRPr="00C75A8A">
        <w:rPr>
          <w:rStyle w:val="Odwoanieprzypisudolnego"/>
          <w:rFonts w:asciiTheme="minorHAnsi" w:hAnsiTheme="minorHAnsi"/>
          <w:sz w:val="18"/>
        </w:rPr>
        <w:footnoteRef/>
      </w:r>
      <w:r w:rsidRPr="00C75A8A">
        <w:rPr>
          <w:rFonts w:asciiTheme="minorHAnsi" w:hAnsiTheme="minorHAnsi"/>
          <w:sz w:val="18"/>
          <w:lang w:val="en-GB"/>
        </w:rPr>
        <w:t xml:space="preserve"> IMF, Allen R., Allard C., Jacobs D., Robinson M., Sierhej R., </w:t>
      </w:r>
      <w:r w:rsidRPr="00C75A8A">
        <w:rPr>
          <w:rFonts w:asciiTheme="minorHAnsi" w:hAnsiTheme="minorHAnsi"/>
          <w:i/>
          <w:sz w:val="18"/>
          <w:lang w:val="en-GB"/>
        </w:rPr>
        <w:t>Poland. Developing a multiannual fiscal framework</w:t>
      </w:r>
      <w:r w:rsidRPr="00C75A8A">
        <w:rPr>
          <w:rFonts w:asciiTheme="minorHAnsi" w:hAnsiTheme="minorHAnsi"/>
          <w:sz w:val="18"/>
          <w:lang w:val="en-GB"/>
        </w:rPr>
        <w:t xml:space="preserve">, June 2008 (dokument niepublikowany); IMF, Kumar S. Manmohan, Ali Abbas S., Caceres S., Robinson M., Sierhej R., </w:t>
      </w:r>
      <w:r w:rsidRPr="00C75A8A">
        <w:rPr>
          <w:rFonts w:asciiTheme="minorHAnsi" w:hAnsiTheme="minorHAnsi"/>
          <w:i/>
          <w:sz w:val="18"/>
          <w:lang w:val="en-GB"/>
        </w:rPr>
        <w:t>Poland. Strengthening the Fiscal Framework</w:t>
      </w:r>
      <w:r w:rsidRPr="00C75A8A">
        <w:rPr>
          <w:rFonts w:asciiTheme="minorHAnsi" w:hAnsiTheme="minorHAnsi"/>
          <w:sz w:val="18"/>
          <w:lang w:val="en-GB"/>
        </w:rPr>
        <w:t xml:space="preserve">, June 2010 (dokument niepublikowany); OECD, Hawkesworth I., von Trapp L., Fjord Nielsen D., </w:t>
      </w:r>
      <w:r w:rsidRPr="00C75A8A">
        <w:rPr>
          <w:rFonts w:asciiTheme="minorHAnsi" w:hAnsiTheme="minorHAnsi"/>
          <w:i/>
          <w:sz w:val="18"/>
          <w:lang w:val="en-GB"/>
        </w:rPr>
        <w:t>Performance Budgeting in Poland: An OECD Review</w:t>
      </w:r>
      <w:r w:rsidRPr="00C75A8A">
        <w:rPr>
          <w:rFonts w:asciiTheme="minorHAnsi" w:hAnsiTheme="minorHAnsi"/>
          <w:sz w:val="18"/>
          <w:lang w:val="en-GB"/>
        </w:rPr>
        <w:t xml:space="preserve">, OECD Journal on Budgeting, Vol. 2011/1, OECD Publishing, Paris 2011; OECD, </w:t>
      </w:r>
      <w:r w:rsidRPr="00C75A8A">
        <w:rPr>
          <w:rFonts w:asciiTheme="minorHAnsi" w:hAnsiTheme="minorHAnsi"/>
          <w:i/>
          <w:sz w:val="18"/>
          <w:lang w:val="en-GB"/>
        </w:rPr>
        <w:t>Poland: Implementing Strategic-State Capability</w:t>
      </w:r>
      <w:r w:rsidRPr="00C75A8A">
        <w:rPr>
          <w:rFonts w:asciiTheme="minorHAnsi" w:hAnsiTheme="minorHAnsi"/>
          <w:sz w:val="18"/>
          <w:lang w:val="en-GB"/>
        </w:rPr>
        <w:t>, OECD Public Governance Reviews, OECD Publishing, Paris 2013.</w:t>
      </w:r>
    </w:p>
  </w:footnote>
  <w:footnote w:id="85">
    <w:p w14:paraId="4008825D" w14:textId="77777777" w:rsidR="005D4C4C" w:rsidRPr="00401CAC" w:rsidRDefault="005D4C4C" w:rsidP="00A52B29">
      <w:pPr>
        <w:pStyle w:val="Tekstprzypisudolnego"/>
        <w:ind w:left="284" w:hanging="284"/>
        <w:jc w:val="both"/>
        <w:rPr>
          <w:rFonts w:asciiTheme="minorHAnsi" w:hAnsiTheme="minorHAnsi"/>
          <w:sz w:val="18"/>
          <w:lang w:val="en-GB"/>
        </w:rPr>
      </w:pPr>
      <w:r w:rsidRPr="00401CAC">
        <w:rPr>
          <w:rStyle w:val="Odwoanieprzypisudolnego"/>
          <w:rFonts w:asciiTheme="minorHAnsi" w:hAnsiTheme="minorHAnsi"/>
          <w:sz w:val="18"/>
        </w:rPr>
        <w:footnoteRef/>
      </w:r>
      <w:r w:rsidRPr="00401CAC">
        <w:rPr>
          <w:rFonts w:asciiTheme="minorHAnsi" w:hAnsiTheme="minorHAnsi"/>
          <w:sz w:val="18"/>
          <w:lang w:val="en-GB"/>
        </w:rPr>
        <w:t xml:space="preserve"> IMF, Renteria C., Allen R., Harris J., Last D., Sheik Rahim F., </w:t>
      </w:r>
      <w:r w:rsidRPr="00401CAC">
        <w:rPr>
          <w:rFonts w:asciiTheme="minorHAnsi" w:hAnsiTheme="minorHAnsi"/>
          <w:i/>
          <w:sz w:val="18"/>
          <w:lang w:val="en-GB"/>
        </w:rPr>
        <w:t>Republic of Poland. Developing a medium-term budget framework</w:t>
      </w:r>
      <w:r w:rsidRPr="00401CAC">
        <w:rPr>
          <w:rFonts w:asciiTheme="minorHAnsi" w:hAnsiTheme="minorHAnsi"/>
          <w:sz w:val="18"/>
          <w:lang w:val="en-GB"/>
        </w:rPr>
        <w:t xml:space="preserve">, Technical Assistance Report, March 2017 </w:t>
      </w:r>
    </w:p>
  </w:footnote>
  <w:footnote w:id="86">
    <w:p w14:paraId="217E0487" w14:textId="77777777" w:rsidR="005D4C4C" w:rsidRPr="00E31745" w:rsidRDefault="005D4C4C" w:rsidP="00A52B29">
      <w:pPr>
        <w:pStyle w:val="Tekstprzypisudolnego"/>
        <w:ind w:left="284" w:hanging="284"/>
        <w:jc w:val="both"/>
        <w:rPr>
          <w:rFonts w:asciiTheme="minorHAnsi" w:hAnsiTheme="minorHAnsi"/>
          <w:sz w:val="18"/>
          <w:szCs w:val="18"/>
        </w:rPr>
      </w:pPr>
      <w:r w:rsidRPr="00E31745">
        <w:rPr>
          <w:rStyle w:val="Odwoanieprzypisudolnego"/>
          <w:rFonts w:asciiTheme="minorHAnsi" w:hAnsiTheme="minorHAnsi"/>
          <w:sz w:val="18"/>
          <w:szCs w:val="18"/>
        </w:rPr>
        <w:footnoteRef/>
      </w:r>
      <w:r w:rsidRPr="00E31745">
        <w:rPr>
          <w:rFonts w:asciiTheme="minorHAnsi" w:hAnsiTheme="minorHAnsi"/>
          <w:sz w:val="18"/>
          <w:szCs w:val="18"/>
        </w:rPr>
        <w:t xml:space="preserve"> Ustawa z dnia 13 listopada 2003 r. o dochodach jednostek samorządu terytorialnego </w:t>
      </w:r>
      <w:hyperlink r:id="rId14" w:history="1">
        <w:r w:rsidRPr="00E31745">
          <w:rPr>
            <w:rStyle w:val="Hipercze"/>
            <w:rFonts w:asciiTheme="minorHAnsi" w:hAnsiTheme="minorHAnsi"/>
            <w:color w:val="auto"/>
            <w:sz w:val="18"/>
            <w:szCs w:val="18"/>
            <w:u w:val="none"/>
          </w:rPr>
          <w:t>(Dz.U. z 2020 r. poz. 23)</w:t>
        </w:r>
      </w:hyperlink>
    </w:p>
  </w:footnote>
  <w:footnote w:id="87">
    <w:p w14:paraId="7A80613E" w14:textId="77777777" w:rsidR="005D4C4C" w:rsidRPr="00A52B29" w:rsidRDefault="005D4C4C" w:rsidP="00A52B29">
      <w:pPr>
        <w:pStyle w:val="Tekstprzypisudolnego"/>
        <w:rPr>
          <w:rFonts w:asciiTheme="minorHAnsi" w:hAnsiTheme="minorHAnsi"/>
          <w:sz w:val="18"/>
        </w:rPr>
      </w:pPr>
      <w:r w:rsidRPr="00A52B29">
        <w:rPr>
          <w:rStyle w:val="Odwoanieprzypisudolnego"/>
          <w:rFonts w:asciiTheme="minorHAnsi" w:hAnsiTheme="minorHAnsi"/>
          <w:sz w:val="18"/>
        </w:rPr>
        <w:footnoteRef/>
      </w:r>
      <w:r w:rsidRPr="00A52B29">
        <w:rPr>
          <w:rFonts w:asciiTheme="minorHAnsi" w:hAnsiTheme="minorHAnsi"/>
          <w:sz w:val="18"/>
        </w:rPr>
        <w:t xml:space="preserve"> Europejskie Fundusze Infrastrukturalne i Inwestycyjne </w:t>
      </w:r>
    </w:p>
  </w:footnote>
  <w:footnote w:id="88">
    <w:p w14:paraId="2A1F7C30" w14:textId="77777777" w:rsidR="005D4C4C" w:rsidRPr="00A52B29" w:rsidRDefault="005D4C4C" w:rsidP="00A52B29">
      <w:pPr>
        <w:pStyle w:val="Tekstprzypisudolnego"/>
        <w:rPr>
          <w:rFonts w:asciiTheme="minorHAnsi" w:hAnsiTheme="minorHAnsi"/>
          <w:sz w:val="18"/>
        </w:rPr>
      </w:pPr>
      <w:r w:rsidRPr="00A52B29">
        <w:rPr>
          <w:rStyle w:val="Odwoanieprzypisudolnego"/>
          <w:rFonts w:asciiTheme="minorHAnsi" w:hAnsiTheme="minorHAnsi"/>
          <w:sz w:val="18"/>
        </w:rPr>
        <w:footnoteRef/>
      </w:r>
      <w:r w:rsidRPr="00A52B29">
        <w:rPr>
          <w:rFonts w:asciiTheme="minorHAnsi" w:hAnsiTheme="minorHAnsi"/>
          <w:sz w:val="18"/>
        </w:rPr>
        <w:t xml:space="preserve"> </w:t>
      </w:r>
      <w:r w:rsidRPr="00A52B29">
        <w:rPr>
          <w:rFonts w:asciiTheme="minorHAnsi" w:hAnsiTheme="minorHAnsi" w:cs="Arial"/>
          <w:sz w:val="18"/>
        </w:rPr>
        <w:t>Udział Polskich projektów w instrumencie „łącząc Europę” w 2017 roku wynosił 17 %</w:t>
      </w:r>
    </w:p>
  </w:footnote>
  <w:footnote w:id="89">
    <w:p w14:paraId="14EC103C" w14:textId="77777777" w:rsidR="005D4C4C" w:rsidRPr="005526C1" w:rsidRDefault="005D4C4C" w:rsidP="00A52B29">
      <w:pPr>
        <w:pStyle w:val="Tekstprzypisudolnego"/>
        <w:rPr>
          <w:rFonts w:asciiTheme="minorHAnsi" w:hAnsiTheme="minorHAnsi"/>
          <w:sz w:val="18"/>
          <w:lang w:val="en-US"/>
        </w:rPr>
      </w:pPr>
      <w:r w:rsidRPr="005526C1">
        <w:rPr>
          <w:rStyle w:val="Odwoanieprzypisudolnego"/>
          <w:rFonts w:asciiTheme="minorHAnsi" w:hAnsiTheme="minorHAnsi"/>
          <w:sz w:val="18"/>
        </w:rPr>
        <w:footnoteRef/>
      </w:r>
      <w:r w:rsidRPr="005526C1">
        <w:rPr>
          <w:rFonts w:asciiTheme="minorHAnsi" w:hAnsiTheme="minorHAnsi"/>
          <w:sz w:val="18"/>
          <w:lang w:val="en-US"/>
        </w:rPr>
        <w:t xml:space="preserve"> </w:t>
      </w:r>
      <w:r w:rsidRPr="005526C1">
        <w:rPr>
          <w:rFonts w:asciiTheme="minorHAnsi" w:hAnsiTheme="minorHAnsi" w:cs="Arial"/>
          <w:sz w:val="18"/>
          <w:lang w:val="en-US"/>
        </w:rPr>
        <w:t>European Public Sector Accounting Standards</w:t>
      </w:r>
    </w:p>
  </w:footnote>
  <w:footnote w:id="90">
    <w:p w14:paraId="3F379C9F" w14:textId="77777777" w:rsidR="005D4C4C" w:rsidRPr="005526C1" w:rsidRDefault="005D4C4C" w:rsidP="00A52B29">
      <w:pPr>
        <w:pStyle w:val="Tekstprzypisudolnego"/>
        <w:rPr>
          <w:rFonts w:asciiTheme="minorHAnsi" w:hAnsiTheme="minorHAnsi"/>
          <w:sz w:val="18"/>
          <w:lang w:val="en-US"/>
        </w:rPr>
      </w:pPr>
      <w:r w:rsidRPr="005526C1">
        <w:rPr>
          <w:rStyle w:val="Odwoanieprzypisudolnego"/>
          <w:rFonts w:asciiTheme="minorHAnsi" w:hAnsiTheme="minorHAnsi"/>
          <w:sz w:val="18"/>
        </w:rPr>
        <w:footnoteRef/>
      </w:r>
      <w:r w:rsidRPr="005526C1">
        <w:rPr>
          <w:rFonts w:asciiTheme="minorHAnsi" w:hAnsiTheme="minorHAnsi"/>
          <w:sz w:val="18"/>
          <w:lang w:val="en-US"/>
        </w:rPr>
        <w:t xml:space="preserve"> </w:t>
      </w:r>
      <w:r w:rsidRPr="005526C1">
        <w:rPr>
          <w:rFonts w:asciiTheme="minorHAnsi" w:hAnsiTheme="minorHAnsi" w:cs="Arial"/>
          <w:sz w:val="18"/>
          <w:lang w:val="en-GB"/>
        </w:rPr>
        <w:t>Organisation for Economic Co-operation and Development</w:t>
      </w:r>
    </w:p>
  </w:footnote>
  <w:footnote w:id="91">
    <w:p w14:paraId="53805CE6" w14:textId="77777777" w:rsidR="005D4C4C" w:rsidRPr="00886319" w:rsidRDefault="005D4C4C" w:rsidP="00A52B29">
      <w:pPr>
        <w:pStyle w:val="Tekstprzypisudolnego"/>
        <w:ind w:left="142" w:hanging="142"/>
        <w:jc w:val="both"/>
        <w:rPr>
          <w:rFonts w:asciiTheme="minorHAnsi" w:hAnsiTheme="minorHAnsi" w:cs="Arial"/>
        </w:rPr>
      </w:pPr>
      <w:r w:rsidRPr="005526C1">
        <w:rPr>
          <w:rStyle w:val="Odwoanieprzypisudolnego"/>
          <w:rFonts w:asciiTheme="minorHAnsi" w:hAnsiTheme="minorHAnsi" w:cs="Arial"/>
          <w:sz w:val="18"/>
        </w:rPr>
        <w:footnoteRef/>
      </w:r>
      <w:r w:rsidRPr="005526C1">
        <w:rPr>
          <w:rFonts w:asciiTheme="minorHAnsi" w:hAnsiTheme="minorHAnsi" w:cs="Arial"/>
          <w:sz w:val="18"/>
        </w:rPr>
        <w:t xml:space="preserve"> International Public Sector Accounting Standards</w:t>
      </w:r>
    </w:p>
  </w:footnote>
  <w:footnote w:id="92">
    <w:p w14:paraId="1973DF12" w14:textId="77777777" w:rsidR="005D4C4C" w:rsidRPr="0060045E" w:rsidRDefault="005D4C4C" w:rsidP="00B53DEC">
      <w:pPr>
        <w:pStyle w:val="Tekstprzypisudolnego"/>
        <w:ind w:left="284" w:hanging="284"/>
        <w:jc w:val="both"/>
        <w:rPr>
          <w:rFonts w:asciiTheme="minorHAnsi" w:hAnsiTheme="minorHAnsi"/>
          <w:sz w:val="18"/>
        </w:rPr>
      </w:pPr>
      <w:r w:rsidRPr="0060045E">
        <w:rPr>
          <w:rStyle w:val="Odwoanieprzypisudolnego"/>
          <w:rFonts w:asciiTheme="minorHAnsi" w:hAnsiTheme="minorHAnsi"/>
          <w:sz w:val="18"/>
        </w:rPr>
        <w:footnoteRef/>
      </w:r>
      <w:r w:rsidRPr="0060045E">
        <w:rPr>
          <w:rFonts w:asciiTheme="minorHAnsi" w:hAnsiTheme="minorHAnsi"/>
          <w:sz w:val="18"/>
        </w:rPr>
        <w:t xml:space="preserve"> Przedstawiona diagnoza jest uzupełnieniem informacji diagnostycznych zawartych w SOR w obszarze </w:t>
      </w:r>
      <w:r w:rsidRPr="0060045E">
        <w:rPr>
          <w:rFonts w:asciiTheme="minorHAnsi" w:hAnsiTheme="minorHAnsi" w:cs="Arial"/>
          <w:sz w:val="18"/>
        </w:rPr>
        <w:t>"Bezpieczeństwo narodowe”.</w:t>
      </w:r>
    </w:p>
    <w:p w14:paraId="0D417755" w14:textId="77777777" w:rsidR="005D4C4C" w:rsidRDefault="005D4C4C" w:rsidP="00B53DEC">
      <w:pPr>
        <w:pStyle w:val="Tekstprzypisudolnego"/>
      </w:pPr>
    </w:p>
  </w:footnote>
  <w:footnote w:id="93">
    <w:p w14:paraId="238BAE6E" w14:textId="77777777" w:rsidR="005D4C4C" w:rsidRDefault="005D4C4C" w:rsidP="00B53DEC">
      <w:pPr>
        <w:pStyle w:val="Tekstprzypisudolnego"/>
      </w:pPr>
    </w:p>
  </w:footnote>
  <w:footnote w:id="94">
    <w:p w14:paraId="7C3534BC" w14:textId="77777777" w:rsidR="005D4C4C" w:rsidRPr="00284810" w:rsidRDefault="005D4C4C" w:rsidP="005A13D6">
      <w:pPr>
        <w:pStyle w:val="Tekstprzypisudolnego"/>
        <w:rPr>
          <w:rFonts w:ascii="Calibri" w:hAnsi="Calibri" w:cs="Calibri"/>
          <w:sz w:val="18"/>
        </w:rPr>
      </w:pPr>
      <w:r w:rsidRPr="00284810">
        <w:rPr>
          <w:rStyle w:val="Odwoanieprzypisudolnego"/>
          <w:rFonts w:ascii="Calibri" w:hAnsi="Calibri" w:cs="Calibri"/>
          <w:sz w:val="18"/>
        </w:rPr>
        <w:footnoteRef/>
      </w:r>
      <w:r w:rsidRPr="00284810">
        <w:rPr>
          <w:rFonts w:ascii="Calibri" w:hAnsi="Calibri" w:cs="Calibri"/>
          <w:sz w:val="18"/>
        </w:rPr>
        <w:t xml:space="preserve"> KGP – Biuletyn statystyczny styczeń – grudzień 2019 r.</w:t>
      </w:r>
    </w:p>
  </w:footnote>
  <w:footnote w:id="95">
    <w:p w14:paraId="252C3BD8" w14:textId="77777777" w:rsidR="005D4C4C" w:rsidRPr="00BF6220" w:rsidRDefault="005D4C4C" w:rsidP="00B53DEC">
      <w:pPr>
        <w:pStyle w:val="Tekstprzypisudolnego"/>
        <w:jc w:val="both"/>
        <w:rPr>
          <w:rFonts w:asciiTheme="minorHAnsi" w:hAnsiTheme="minorHAnsi" w:cstheme="minorHAnsi"/>
          <w:sz w:val="18"/>
          <w:szCs w:val="18"/>
        </w:rPr>
      </w:pPr>
      <w:r w:rsidRPr="00BF6220">
        <w:rPr>
          <w:rStyle w:val="Odwoanieprzypisudolnego"/>
          <w:rFonts w:asciiTheme="minorHAnsi" w:hAnsiTheme="minorHAnsi" w:cstheme="minorHAnsi"/>
          <w:sz w:val="18"/>
          <w:szCs w:val="18"/>
        </w:rPr>
        <w:footnoteRef/>
      </w:r>
      <w:r w:rsidRPr="00BF6220">
        <w:rPr>
          <w:rFonts w:asciiTheme="minorHAnsi" w:hAnsiTheme="minorHAnsi" w:cstheme="minorHAnsi"/>
          <w:sz w:val="18"/>
          <w:szCs w:val="18"/>
        </w:rPr>
        <w:t xml:space="preserve"> GUS, Transport – wyniki działalności w 2017 roku. </w:t>
      </w:r>
    </w:p>
  </w:footnote>
  <w:footnote w:id="96">
    <w:p w14:paraId="2D0084B1" w14:textId="77777777" w:rsidR="005D4C4C" w:rsidRPr="00BF6220" w:rsidRDefault="005D4C4C" w:rsidP="00B53DEC">
      <w:pPr>
        <w:pStyle w:val="Tekstprzypisudolnego"/>
        <w:rPr>
          <w:rFonts w:asciiTheme="minorHAnsi" w:hAnsiTheme="minorHAnsi" w:cstheme="minorHAnsi"/>
          <w:sz w:val="18"/>
          <w:szCs w:val="18"/>
        </w:rPr>
      </w:pPr>
      <w:r w:rsidRPr="00BF6220">
        <w:rPr>
          <w:rStyle w:val="Odwoanieprzypisudolnego"/>
          <w:rFonts w:asciiTheme="minorHAnsi" w:hAnsiTheme="minorHAnsi" w:cstheme="minorHAnsi"/>
          <w:sz w:val="18"/>
          <w:szCs w:val="18"/>
        </w:rPr>
        <w:footnoteRef/>
      </w:r>
      <w:r w:rsidRPr="00BF6220">
        <w:rPr>
          <w:rFonts w:asciiTheme="minorHAnsi" w:hAnsiTheme="minorHAnsi" w:cstheme="minorHAnsi"/>
          <w:sz w:val="18"/>
          <w:szCs w:val="18"/>
        </w:rPr>
        <w:t xml:space="preserve"> https://www.krbrd.gov.pl/pl/koszty-zdarzen-drogowych.html</w:t>
      </w:r>
      <w:r w:rsidRPr="00BF6220" w:rsidDel="00B07EA2">
        <w:rPr>
          <w:rFonts w:asciiTheme="minorHAnsi" w:hAnsiTheme="minorHAnsi" w:cstheme="minorHAnsi"/>
          <w:sz w:val="18"/>
          <w:szCs w:val="18"/>
        </w:rPr>
        <w:t xml:space="preserve"> </w:t>
      </w:r>
      <w:r w:rsidRPr="00BF6220">
        <w:rPr>
          <w:rFonts w:asciiTheme="minorHAnsi" w:hAnsiTheme="minorHAnsi" w:cstheme="minorHAnsi"/>
          <w:sz w:val="18"/>
          <w:szCs w:val="18"/>
        </w:rPr>
        <w:t xml:space="preserve">[dostęp: 03.01.2020 r.].  </w:t>
      </w:r>
    </w:p>
  </w:footnote>
  <w:footnote w:id="97">
    <w:p w14:paraId="07EF4F20" w14:textId="77777777" w:rsidR="005D4C4C" w:rsidRPr="00DA46AA" w:rsidRDefault="005D4C4C" w:rsidP="00B53DEC">
      <w:pPr>
        <w:pStyle w:val="Tekstprzypisudolnego"/>
        <w:rPr>
          <w:rFonts w:asciiTheme="minorHAnsi" w:hAnsiTheme="minorHAnsi" w:cstheme="minorHAnsi"/>
          <w:sz w:val="18"/>
        </w:rPr>
      </w:pPr>
      <w:r w:rsidRPr="00DA46AA">
        <w:rPr>
          <w:rStyle w:val="Odwoanieprzypisudolnego"/>
          <w:rFonts w:asciiTheme="minorHAnsi" w:hAnsiTheme="minorHAnsi" w:cstheme="minorHAnsi"/>
          <w:sz w:val="18"/>
        </w:rPr>
        <w:footnoteRef/>
      </w:r>
      <w:r w:rsidRPr="00DA46AA">
        <w:rPr>
          <w:rFonts w:asciiTheme="minorHAnsi" w:hAnsiTheme="minorHAnsi" w:cstheme="minorHAnsi"/>
          <w:sz w:val="18"/>
        </w:rPr>
        <w:t xml:space="preserve"> KGP – Biuletyn statystyczny styczeń – grudzień 2019 r.</w:t>
      </w:r>
    </w:p>
  </w:footnote>
  <w:footnote w:id="98">
    <w:p w14:paraId="02BB236B" w14:textId="77777777" w:rsidR="005D4C4C" w:rsidRDefault="005D4C4C" w:rsidP="00B53DEC">
      <w:pPr>
        <w:pStyle w:val="Tekstprzypisudolnego"/>
      </w:pPr>
      <w:r w:rsidRPr="00DA46AA">
        <w:rPr>
          <w:rStyle w:val="Odwoanieprzypisudolnego"/>
          <w:rFonts w:asciiTheme="minorHAnsi" w:hAnsiTheme="minorHAnsi" w:cstheme="minorHAnsi"/>
          <w:sz w:val="18"/>
        </w:rPr>
        <w:footnoteRef/>
      </w:r>
      <w:r w:rsidRPr="00DA46AA">
        <w:rPr>
          <w:rFonts w:asciiTheme="minorHAnsi" w:hAnsiTheme="minorHAnsi" w:cstheme="minorHAnsi"/>
          <w:sz w:val="18"/>
        </w:rPr>
        <w:t xml:space="preserve"> KGP – Biuletyn statystyczny styczeń – grudzień 2019 r.</w:t>
      </w:r>
    </w:p>
  </w:footnote>
  <w:footnote w:id="99">
    <w:p w14:paraId="604A7A77" w14:textId="77A8006E" w:rsidR="005D4C4C" w:rsidRPr="00DA46AA" w:rsidRDefault="005D4C4C" w:rsidP="00B53DEC">
      <w:pPr>
        <w:pStyle w:val="Tekstprzypisudolnego"/>
        <w:rPr>
          <w:rFonts w:asciiTheme="minorHAnsi" w:hAnsiTheme="minorHAnsi"/>
          <w:sz w:val="18"/>
        </w:rPr>
      </w:pPr>
      <w:r w:rsidRPr="00DA46AA">
        <w:rPr>
          <w:rStyle w:val="Odwoanieprzypisudolnego"/>
          <w:rFonts w:asciiTheme="minorHAnsi" w:hAnsiTheme="minorHAnsi"/>
          <w:sz w:val="18"/>
        </w:rPr>
        <w:footnoteRef/>
      </w:r>
      <w:r w:rsidRPr="00DA46AA">
        <w:rPr>
          <w:rFonts w:asciiTheme="minorHAnsi" w:hAnsiTheme="minorHAnsi"/>
          <w:sz w:val="18"/>
        </w:rPr>
        <w:t xml:space="preserve"> Utworzona ustawą z dnia 16 listopada 2016 r. </w:t>
      </w:r>
      <w:r w:rsidRPr="00DA46AA">
        <w:rPr>
          <w:rFonts w:asciiTheme="minorHAnsi" w:hAnsiTheme="minorHAnsi"/>
          <w:i/>
          <w:sz w:val="18"/>
        </w:rPr>
        <w:t>o Krajowej Administracji Skarbowej</w:t>
      </w:r>
      <w:r w:rsidRPr="00DA46AA">
        <w:rPr>
          <w:rFonts w:asciiTheme="minorHAnsi" w:hAnsiTheme="minorHAnsi"/>
          <w:sz w:val="18"/>
        </w:rPr>
        <w:t xml:space="preserve"> (Dz. U. </w:t>
      </w:r>
      <w:r w:rsidR="0064696B">
        <w:rPr>
          <w:rFonts w:asciiTheme="minorHAnsi" w:hAnsiTheme="minorHAnsi"/>
          <w:sz w:val="18"/>
        </w:rPr>
        <w:t xml:space="preserve">poz. </w:t>
      </w:r>
      <w:r w:rsidRPr="00DA46AA">
        <w:rPr>
          <w:rFonts w:asciiTheme="minorHAnsi" w:hAnsiTheme="minorHAnsi"/>
          <w:sz w:val="18"/>
        </w:rPr>
        <w:t>1947).</w:t>
      </w:r>
    </w:p>
  </w:footnote>
  <w:footnote w:id="100">
    <w:p w14:paraId="244902B9" w14:textId="77777777" w:rsidR="005D4C4C" w:rsidRPr="0060045E" w:rsidRDefault="005D4C4C" w:rsidP="00B53DEC">
      <w:pPr>
        <w:spacing w:after="0" w:line="240" w:lineRule="auto"/>
        <w:jc w:val="both"/>
        <w:rPr>
          <w:rFonts w:cs="Verdana"/>
          <w:b/>
          <w:sz w:val="18"/>
          <w:szCs w:val="18"/>
        </w:rPr>
      </w:pPr>
      <w:r w:rsidRPr="0060045E">
        <w:rPr>
          <w:rStyle w:val="Odwoanieprzypisudolnego"/>
          <w:sz w:val="18"/>
          <w:szCs w:val="18"/>
        </w:rPr>
        <w:footnoteRef/>
      </w:r>
      <w:r w:rsidRPr="0060045E">
        <w:rPr>
          <w:sz w:val="18"/>
          <w:szCs w:val="18"/>
        </w:rPr>
        <w:t xml:space="preserve"> </w:t>
      </w:r>
      <w:r w:rsidRPr="0060045E">
        <w:rPr>
          <w:rFonts w:cs="Arial"/>
          <w:sz w:val="18"/>
          <w:szCs w:val="18"/>
        </w:rPr>
        <w:t>Potencjał (wg stanu na dzień 24.10.2017 r.) ksrg tworzą:</w:t>
      </w:r>
    </w:p>
    <w:p w14:paraId="1FFA355F" w14:textId="77777777" w:rsidR="005D4C4C" w:rsidRPr="0060045E" w:rsidRDefault="005D4C4C" w:rsidP="00723B3F">
      <w:pPr>
        <w:numPr>
          <w:ilvl w:val="0"/>
          <w:numId w:val="36"/>
        </w:numPr>
        <w:spacing w:after="0" w:line="240" w:lineRule="auto"/>
        <w:ind w:left="709"/>
        <w:jc w:val="both"/>
        <w:rPr>
          <w:rFonts w:cs="Arial"/>
          <w:sz w:val="18"/>
          <w:szCs w:val="18"/>
        </w:rPr>
      </w:pPr>
      <w:r w:rsidRPr="0060045E">
        <w:rPr>
          <w:rFonts w:cs="Arial"/>
          <w:sz w:val="18"/>
          <w:szCs w:val="18"/>
        </w:rPr>
        <w:t>Komenda Główna Państwowej Straży Pożarnej (1),</w:t>
      </w:r>
    </w:p>
    <w:p w14:paraId="5CDE3FE6" w14:textId="77777777" w:rsidR="005D4C4C" w:rsidRPr="0060045E" w:rsidRDefault="005D4C4C" w:rsidP="00723B3F">
      <w:pPr>
        <w:numPr>
          <w:ilvl w:val="0"/>
          <w:numId w:val="36"/>
        </w:numPr>
        <w:spacing w:after="0" w:line="240" w:lineRule="auto"/>
        <w:ind w:left="709"/>
        <w:jc w:val="both"/>
        <w:rPr>
          <w:rFonts w:cs="Arial"/>
          <w:sz w:val="18"/>
          <w:szCs w:val="18"/>
        </w:rPr>
      </w:pPr>
      <w:r w:rsidRPr="0060045E">
        <w:rPr>
          <w:rFonts w:cs="Arial"/>
          <w:sz w:val="18"/>
          <w:szCs w:val="18"/>
        </w:rPr>
        <w:t>komendy wojewódzkie Państwowej Straży Pożarnej (16),</w:t>
      </w:r>
    </w:p>
    <w:p w14:paraId="554631D8" w14:textId="77777777" w:rsidR="005D4C4C" w:rsidRPr="0060045E" w:rsidRDefault="005D4C4C" w:rsidP="00723B3F">
      <w:pPr>
        <w:numPr>
          <w:ilvl w:val="0"/>
          <w:numId w:val="36"/>
        </w:numPr>
        <w:spacing w:after="0" w:line="240" w:lineRule="auto"/>
        <w:ind w:left="709"/>
        <w:jc w:val="both"/>
        <w:rPr>
          <w:rFonts w:cs="Arial"/>
          <w:sz w:val="18"/>
          <w:szCs w:val="18"/>
        </w:rPr>
      </w:pPr>
      <w:r w:rsidRPr="0060045E">
        <w:rPr>
          <w:rFonts w:cs="Arial"/>
          <w:sz w:val="18"/>
          <w:szCs w:val="18"/>
        </w:rPr>
        <w:t>komendy powiatowe/miejskie Państwowej Straży Pożarnej (335),</w:t>
      </w:r>
    </w:p>
    <w:p w14:paraId="00F31CC4" w14:textId="77777777" w:rsidR="005D4C4C" w:rsidRPr="0060045E" w:rsidRDefault="005D4C4C" w:rsidP="00723B3F">
      <w:pPr>
        <w:numPr>
          <w:ilvl w:val="0"/>
          <w:numId w:val="36"/>
        </w:numPr>
        <w:spacing w:after="0" w:line="240" w:lineRule="auto"/>
        <w:ind w:left="709"/>
        <w:jc w:val="both"/>
        <w:rPr>
          <w:rFonts w:cs="Arial"/>
          <w:sz w:val="18"/>
          <w:szCs w:val="18"/>
        </w:rPr>
      </w:pPr>
      <w:r w:rsidRPr="0060045E">
        <w:rPr>
          <w:rFonts w:cs="Arial"/>
          <w:sz w:val="18"/>
          <w:szCs w:val="18"/>
        </w:rPr>
        <w:t>szkoły Państwowej Straży Pożarnej (5),</w:t>
      </w:r>
    </w:p>
    <w:p w14:paraId="09A330E5" w14:textId="77777777" w:rsidR="005D4C4C" w:rsidRPr="0060045E" w:rsidRDefault="005D4C4C" w:rsidP="00723B3F">
      <w:pPr>
        <w:numPr>
          <w:ilvl w:val="0"/>
          <w:numId w:val="36"/>
        </w:numPr>
        <w:spacing w:after="0" w:line="240" w:lineRule="auto"/>
        <w:ind w:left="709"/>
        <w:jc w:val="both"/>
        <w:rPr>
          <w:rFonts w:cs="Arial"/>
          <w:sz w:val="18"/>
          <w:szCs w:val="18"/>
        </w:rPr>
      </w:pPr>
      <w:r w:rsidRPr="0060045E">
        <w:rPr>
          <w:rFonts w:cs="Arial"/>
          <w:sz w:val="18"/>
          <w:szCs w:val="18"/>
        </w:rPr>
        <w:t>jednostki ratowniczo-gaśnicze Państwowej Straży Pożarnej (501),</w:t>
      </w:r>
    </w:p>
    <w:p w14:paraId="549782AE" w14:textId="77777777" w:rsidR="005D4C4C" w:rsidRPr="0060045E" w:rsidRDefault="005D4C4C" w:rsidP="00723B3F">
      <w:pPr>
        <w:numPr>
          <w:ilvl w:val="0"/>
          <w:numId w:val="35"/>
        </w:numPr>
        <w:spacing w:after="0" w:line="240" w:lineRule="auto"/>
        <w:ind w:left="709"/>
        <w:jc w:val="both"/>
        <w:rPr>
          <w:rFonts w:cs="Arial"/>
          <w:sz w:val="18"/>
          <w:szCs w:val="18"/>
        </w:rPr>
      </w:pPr>
      <w:r w:rsidRPr="0060045E">
        <w:rPr>
          <w:rFonts w:cs="Arial"/>
          <w:sz w:val="18"/>
          <w:szCs w:val="18"/>
        </w:rPr>
        <w:t>posterunki Państwowej Straży Pożarnej</w:t>
      </w:r>
      <w:r>
        <w:rPr>
          <w:rFonts w:cs="Arial"/>
          <w:sz w:val="18"/>
          <w:szCs w:val="18"/>
        </w:rPr>
        <w:t xml:space="preserve"> </w:t>
      </w:r>
      <w:r w:rsidRPr="0060045E">
        <w:rPr>
          <w:rFonts w:cs="Arial"/>
          <w:sz w:val="18"/>
          <w:szCs w:val="18"/>
        </w:rPr>
        <w:t xml:space="preserve"> (28),</w:t>
      </w:r>
    </w:p>
    <w:p w14:paraId="537D291C" w14:textId="77777777" w:rsidR="005D4C4C" w:rsidRPr="0060045E" w:rsidRDefault="005D4C4C" w:rsidP="00723B3F">
      <w:pPr>
        <w:numPr>
          <w:ilvl w:val="0"/>
          <w:numId w:val="35"/>
        </w:numPr>
        <w:spacing w:after="0" w:line="240" w:lineRule="auto"/>
        <w:ind w:left="709"/>
        <w:jc w:val="both"/>
        <w:rPr>
          <w:rFonts w:cs="Arial"/>
          <w:sz w:val="18"/>
          <w:szCs w:val="18"/>
        </w:rPr>
      </w:pPr>
      <w:r w:rsidRPr="0060045E">
        <w:rPr>
          <w:rFonts w:cs="Arial"/>
          <w:sz w:val="18"/>
          <w:szCs w:val="18"/>
        </w:rPr>
        <w:t>Centrum Naukowo-Badawcze Ochrony Przeciwpożarowej – Państwowy Instytut Badawczy (1),</w:t>
      </w:r>
    </w:p>
    <w:p w14:paraId="039EFBE1" w14:textId="77777777" w:rsidR="005D4C4C" w:rsidRPr="0060045E" w:rsidRDefault="005D4C4C" w:rsidP="00723B3F">
      <w:pPr>
        <w:numPr>
          <w:ilvl w:val="0"/>
          <w:numId w:val="35"/>
        </w:numPr>
        <w:spacing w:after="0" w:line="240" w:lineRule="auto"/>
        <w:ind w:left="709"/>
        <w:jc w:val="both"/>
        <w:rPr>
          <w:rFonts w:cs="Arial"/>
          <w:sz w:val="18"/>
          <w:szCs w:val="18"/>
        </w:rPr>
      </w:pPr>
      <w:r w:rsidRPr="0060045E">
        <w:rPr>
          <w:rFonts w:cs="Arial"/>
          <w:sz w:val="18"/>
          <w:szCs w:val="18"/>
        </w:rPr>
        <w:t>jednostki ochotniczych straży pożarnych włączone do ksrg (4339),</w:t>
      </w:r>
    </w:p>
    <w:p w14:paraId="05319F03" w14:textId="77777777" w:rsidR="005D4C4C" w:rsidRPr="0060045E" w:rsidRDefault="005D4C4C" w:rsidP="00723B3F">
      <w:pPr>
        <w:numPr>
          <w:ilvl w:val="0"/>
          <w:numId w:val="35"/>
        </w:numPr>
        <w:spacing w:after="0" w:line="240" w:lineRule="auto"/>
        <w:ind w:left="709"/>
        <w:jc w:val="both"/>
        <w:rPr>
          <w:rFonts w:cs="Arial"/>
          <w:sz w:val="18"/>
          <w:szCs w:val="18"/>
        </w:rPr>
      </w:pPr>
      <w:r w:rsidRPr="0060045E">
        <w:rPr>
          <w:rFonts w:cs="Arial"/>
          <w:sz w:val="18"/>
          <w:szCs w:val="18"/>
        </w:rPr>
        <w:t>zakładowe straże pożarne (4),</w:t>
      </w:r>
    </w:p>
    <w:p w14:paraId="5BADF960" w14:textId="77777777" w:rsidR="005D4C4C" w:rsidRPr="0060045E" w:rsidRDefault="005D4C4C" w:rsidP="00723B3F">
      <w:pPr>
        <w:numPr>
          <w:ilvl w:val="0"/>
          <w:numId w:val="35"/>
        </w:numPr>
        <w:spacing w:after="0" w:line="240" w:lineRule="auto"/>
        <w:ind w:left="709"/>
        <w:jc w:val="both"/>
        <w:rPr>
          <w:rFonts w:cs="Arial"/>
          <w:sz w:val="18"/>
          <w:szCs w:val="18"/>
        </w:rPr>
      </w:pPr>
      <w:r w:rsidRPr="0060045E">
        <w:rPr>
          <w:rFonts w:cs="Arial"/>
          <w:sz w:val="18"/>
          <w:szCs w:val="18"/>
        </w:rPr>
        <w:t>lotniskowe służby ratowniczo-gaśnicze (1),</w:t>
      </w:r>
    </w:p>
    <w:p w14:paraId="3C44B60F" w14:textId="77777777" w:rsidR="005D4C4C" w:rsidRPr="0060045E" w:rsidRDefault="005D4C4C" w:rsidP="00723B3F">
      <w:pPr>
        <w:numPr>
          <w:ilvl w:val="0"/>
          <w:numId w:val="35"/>
        </w:numPr>
        <w:spacing w:after="0" w:line="240" w:lineRule="auto"/>
        <w:ind w:left="709"/>
        <w:jc w:val="both"/>
        <w:rPr>
          <w:rFonts w:cs="Arial"/>
          <w:sz w:val="18"/>
          <w:szCs w:val="18"/>
        </w:rPr>
      </w:pPr>
      <w:r w:rsidRPr="0060045E">
        <w:rPr>
          <w:rFonts w:cs="Arial"/>
          <w:sz w:val="18"/>
          <w:szCs w:val="18"/>
        </w:rPr>
        <w:t>jednostki wojskowych straży pożarnych (12).</w:t>
      </w:r>
    </w:p>
    <w:p w14:paraId="330943A7" w14:textId="77777777" w:rsidR="005D4C4C" w:rsidRDefault="005D4C4C" w:rsidP="00B53DEC">
      <w:pPr>
        <w:pStyle w:val="Tekstprzypisudolnego"/>
      </w:pPr>
    </w:p>
  </w:footnote>
  <w:footnote w:id="101">
    <w:p w14:paraId="05752E38" w14:textId="3494FFD5" w:rsidR="005D4C4C" w:rsidRPr="00295A2D" w:rsidRDefault="005D4C4C" w:rsidP="00B53DEC">
      <w:pPr>
        <w:pStyle w:val="Tekstprzypisudolnego"/>
        <w:spacing w:after="60"/>
        <w:ind w:left="284" w:hanging="284"/>
        <w:rPr>
          <w:rFonts w:asciiTheme="minorHAnsi" w:hAnsiTheme="minorHAnsi" w:cstheme="minorHAnsi"/>
          <w:sz w:val="18"/>
          <w:szCs w:val="18"/>
        </w:rPr>
      </w:pPr>
      <w:r w:rsidRPr="00295A2D">
        <w:rPr>
          <w:rStyle w:val="Odwoanieprzypisudolnego"/>
          <w:rFonts w:asciiTheme="minorHAnsi" w:hAnsiTheme="minorHAnsi" w:cstheme="minorHAnsi"/>
          <w:sz w:val="18"/>
          <w:szCs w:val="18"/>
        </w:rPr>
        <w:footnoteRef/>
      </w:r>
      <w:r w:rsidRPr="00295A2D">
        <w:rPr>
          <w:rFonts w:asciiTheme="minorHAnsi" w:hAnsiTheme="minorHAnsi" w:cstheme="minorHAnsi"/>
          <w:sz w:val="18"/>
          <w:szCs w:val="18"/>
        </w:rPr>
        <w:t xml:space="preserve"> Ustawa z dnia 18 sierpnia 2011 r.</w:t>
      </w:r>
      <w:r w:rsidRPr="00295A2D">
        <w:rPr>
          <w:rFonts w:asciiTheme="minorHAnsi" w:hAnsiTheme="minorHAnsi" w:cstheme="minorHAnsi"/>
          <w:i/>
          <w:sz w:val="18"/>
          <w:szCs w:val="18"/>
        </w:rPr>
        <w:t xml:space="preserve"> o bezpieczeństwie i ratownictwie w górach i na zorganizowanych terenach narciarskich</w:t>
      </w:r>
      <w:r w:rsidRPr="00295A2D">
        <w:rPr>
          <w:rFonts w:asciiTheme="minorHAnsi" w:hAnsiTheme="minorHAnsi" w:cstheme="minorHAnsi"/>
          <w:sz w:val="18"/>
          <w:szCs w:val="18"/>
        </w:rPr>
        <w:t xml:space="preserve"> (Dz. U. z 2020, poz. 1084)</w:t>
      </w:r>
    </w:p>
  </w:footnote>
  <w:footnote w:id="102">
    <w:p w14:paraId="7B7AD7EE" w14:textId="4AD69A9E" w:rsidR="005D4C4C" w:rsidRPr="00295A2D" w:rsidRDefault="005D4C4C" w:rsidP="00B53DEC">
      <w:pPr>
        <w:pStyle w:val="Tekstprzypisudolnego"/>
        <w:ind w:left="284" w:hanging="284"/>
      </w:pPr>
      <w:r w:rsidRPr="00295A2D">
        <w:rPr>
          <w:rStyle w:val="Odwoanieprzypisudolnego"/>
          <w:rFonts w:asciiTheme="minorHAnsi" w:hAnsiTheme="minorHAnsi" w:cstheme="minorHAnsi"/>
          <w:sz w:val="18"/>
          <w:szCs w:val="18"/>
        </w:rPr>
        <w:footnoteRef/>
      </w:r>
      <w:r w:rsidRPr="00295A2D">
        <w:rPr>
          <w:rFonts w:asciiTheme="minorHAnsi" w:hAnsiTheme="minorHAnsi" w:cstheme="minorHAnsi"/>
          <w:sz w:val="18"/>
          <w:szCs w:val="18"/>
        </w:rPr>
        <w:t xml:space="preserve"> </w:t>
      </w:r>
      <w:r w:rsidRPr="00295A2D">
        <w:rPr>
          <w:rFonts w:asciiTheme="minorHAnsi" w:hAnsiTheme="minorHAnsi" w:cstheme="minorHAnsi"/>
          <w:bCs/>
          <w:sz w:val="18"/>
          <w:szCs w:val="18"/>
        </w:rPr>
        <w:t>Ustaw</w:t>
      </w:r>
      <w:r>
        <w:rPr>
          <w:rFonts w:asciiTheme="minorHAnsi" w:hAnsiTheme="minorHAnsi" w:cstheme="minorHAnsi"/>
          <w:bCs/>
          <w:sz w:val="18"/>
          <w:szCs w:val="18"/>
        </w:rPr>
        <w:t>a</w:t>
      </w:r>
      <w:r w:rsidRPr="00295A2D">
        <w:rPr>
          <w:rFonts w:asciiTheme="minorHAnsi" w:hAnsiTheme="minorHAnsi" w:cstheme="minorHAnsi"/>
          <w:bCs/>
          <w:sz w:val="18"/>
          <w:szCs w:val="18"/>
        </w:rPr>
        <w:t xml:space="preserve"> z dnia 18 sierpnia 2011 r. </w:t>
      </w:r>
      <w:r w:rsidRPr="00295A2D">
        <w:rPr>
          <w:rFonts w:asciiTheme="minorHAnsi" w:hAnsiTheme="minorHAnsi" w:cstheme="minorHAnsi"/>
          <w:bCs/>
          <w:i/>
          <w:sz w:val="18"/>
          <w:szCs w:val="18"/>
        </w:rPr>
        <w:t xml:space="preserve">o bezpieczeństwie osób przebywających na obszarach wodnych </w:t>
      </w:r>
      <w:r w:rsidRPr="00295A2D">
        <w:rPr>
          <w:rFonts w:asciiTheme="minorHAnsi" w:hAnsiTheme="minorHAnsi" w:cstheme="minorHAnsi"/>
          <w:bCs/>
          <w:sz w:val="18"/>
          <w:szCs w:val="18"/>
        </w:rPr>
        <w:t>(Dz. U. z 2020 r., poz. 350)</w:t>
      </w:r>
    </w:p>
  </w:footnote>
  <w:footnote w:id="103">
    <w:p w14:paraId="32BAD181" w14:textId="5823DBE7" w:rsidR="005D4C4C" w:rsidRPr="001975BF" w:rsidRDefault="005D4C4C" w:rsidP="00B53DEC">
      <w:pPr>
        <w:pStyle w:val="Tekstprzypisudolnego"/>
        <w:spacing w:after="60"/>
        <w:ind w:left="142" w:hanging="142"/>
        <w:jc w:val="both"/>
        <w:rPr>
          <w:rFonts w:asciiTheme="minorHAnsi" w:hAnsiTheme="minorHAnsi"/>
        </w:rPr>
      </w:pPr>
      <w:r w:rsidRPr="00B12934">
        <w:rPr>
          <w:rStyle w:val="Odwoanieprzypisudolnego"/>
          <w:rFonts w:asciiTheme="minorHAnsi" w:hAnsiTheme="minorHAnsi"/>
          <w:sz w:val="18"/>
        </w:rPr>
        <w:footnoteRef/>
      </w:r>
      <w:r w:rsidRPr="00B12934">
        <w:rPr>
          <w:rFonts w:asciiTheme="minorHAnsi" w:hAnsiTheme="minorHAnsi"/>
          <w:sz w:val="18"/>
        </w:rPr>
        <w:t xml:space="preserve"> Dotychczas na szczeblu Szefa Obrony Cywilnej Kraju powstały oceny stanu przygotowań w zakresie ochrony ludności i obrony cywilnej Polsce za lata 2009, 2010, 201</w:t>
      </w:r>
      <w:r>
        <w:rPr>
          <w:rFonts w:asciiTheme="minorHAnsi" w:hAnsiTheme="minorHAnsi"/>
          <w:sz w:val="18"/>
        </w:rPr>
        <w:t>1, 2012, 2013, 2014, 2015, 2016,2017, 2018 i 2019.</w:t>
      </w:r>
    </w:p>
  </w:footnote>
  <w:footnote w:id="104">
    <w:p w14:paraId="44040812" w14:textId="77777777" w:rsidR="005D4C4C" w:rsidRPr="00AC72B2" w:rsidRDefault="005D4C4C" w:rsidP="00B53DEC">
      <w:pPr>
        <w:spacing w:after="0" w:line="276" w:lineRule="auto"/>
        <w:jc w:val="both"/>
        <w:rPr>
          <w:rFonts w:cs="Arial"/>
          <w:sz w:val="18"/>
          <w:szCs w:val="18"/>
        </w:rPr>
      </w:pPr>
      <w:r w:rsidRPr="00AC72B2">
        <w:rPr>
          <w:sz w:val="18"/>
          <w:szCs w:val="18"/>
          <w:vertAlign w:val="superscript"/>
        </w:rPr>
        <w:footnoteRef/>
      </w:r>
      <w:r w:rsidRPr="00AC72B2">
        <w:rPr>
          <w:rFonts w:cs="Arial"/>
          <w:sz w:val="18"/>
          <w:szCs w:val="18"/>
        </w:rPr>
        <w:t xml:space="preserve"> Dane GUS - Rocznik Statystyczny Gospodarki Morskiej (2017)</w:t>
      </w:r>
    </w:p>
  </w:footnote>
  <w:footnote w:id="105">
    <w:p w14:paraId="69B67BF2" w14:textId="77777777" w:rsidR="005D4C4C" w:rsidRPr="00AC72B2" w:rsidRDefault="005D4C4C" w:rsidP="00B53DEC">
      <w:pPr>
        <w:spacing w:after="0" w:line="276" w:lineRule="auto"/>
        <w:jc w:val="both"/>
        <w:rPr>
          <w:rFonts w:cs="Arial"/>
          <w:sz w:val="18"/>
          <w:szCs w:val="18"/>
        </w:rPr>
      </w:pPr>
      <w:r w:rsidRPr="00AC72B2">
        <w:rPr>
          <w:sz w:val="18"/>
          <w:szCs w:val="18"/>
          <w:vertAlign w:val="superscript"/>
        </w:rPr>
        <w:footnoteRef/>
      </w:r>
      <w:r w:rsidRPr="00AC72B2">
        <w:rPr>
          <w:rFonts w:cs="Arial"/>
          <w:sz w:val="18"/>
          <w:szCs w:val="18"/>
          <w:vertAlign w:val="superscript"/>
        </w:rPr>
        <w:t xml:space="preserve"> </w:t>
      </w:r>
      <w:r w:rsidRPr="00AC72B2">
        <w:rPr>
          <w:rFonts w:cs="Arial"/>
          <w:sz w:val="18"/>
          <w:szCs w:val="18"/>
        </w:rPr>
        <w:t xml:space="preserve">jw. </w:t>
      </w:r>
    </w:p>
  </w:footnote>
  <w:footnote w:id="106">
    <w:p w14:paraId="18BDD1DA" w14:textId="77777777" w:rsidR="005D4C4C" w:rsidRPr="009035AD" w:rsidRDefault="005D4C4C" w:rsidP="00B53DEC">
      <w:pPr>
        <w:spacing w:after="0" w:line="276" w:lineRule="auto"/>
        <w:jc w:val="both"/>
        <w:rPr>
          <w:rFonts w:ascii="Arial" w:hAnsi="Arial" w:cs="Arial"/>
          <w:sz w:val="16"/>
          <w:szCs w:val="16"/>
        </w:rPr>
      </w:pPr>
      <w:r w:rsidRPr="00AC72B2">
        <w:rPr>
          <w:sz w:val="18"/>
          <w:szCs w:val="18"/>
          <w:vertAlign w:val="superscript"/>
        </w:rPr>
        <w:footnoteRef/>
      </w:r>
      <w:r w:rsidRPr="00AC72B2">
        <w:rPr>
          <w:rFonts w:cs="Arial"/>
          <w:sz w:val="18"/>
          <w:szCs w:val="18"/>
          <w:vertAlign w:val="superscript"/>
        </w:rPr>
        <w:t xml:space="preserve"> </w:t>
      </w:r>
      <w:r w:rsidRPr="00AC72B2">
        <w:rPr>
          <w:rFonts w:cs="Arial"/>
          <w:sz w:val="18"/>
          <w:szCs w:val="18"/>
        </w:rPr>
        <w:t xml:space="preserve">jw. </w:t>
      </w:r>
    </w:p>
  </w:footnote>
  <w:footnote w:id="107">
    <w:p w14:paraId="452850FE" w14:textId="77777777" w:rsidR="005D4C4C" w:rsidRPr="00A51B78" w:rsidRDefault="005D4C4C" w:rsidP="00B53DEC">
      <w:pPr>
        <w:spacing w:after="0" w:line="276" w:lineRule="auto"/>
        <w:jc w:val="both"/>
        <w:rPr>
          <w:rFonts w:cs="Arial"/>
          <w:sz w:val="18"/>
          <w:szCs w:val="18"/>
        </w:rPr>
      </w:pPr>
      <w:r w:rsidRPr="00A51B78">
        <w:rPr>
          <w:sz w:val="18"/>
          <w:szCs w:val="18"/>
          <w:vertAlign w:val="superscript"/>
        </w:rPr>
        <w:footnoteRef/>
      </w:r>
      <w:r w:rsidRPr="00A51B78">
        <w:rPr>
          <w:rFonts w:cs="Arial"/>
          <w:sz w:val="18"/>
          <w:szCs w:val="18"/>
        </w:rPr>
        <w:t xml:space="preserve"> Dane GU</w:t>
      </w:r>
      <w:r>
        <w:rPr>
          <w:rFonts w:cs="Arial"/>
          <w:sz w:val="18"/>
          <w:szCs w:val="18"/>
        </w:rPr>
        <w:t xml:space="preserve">S - Turystyka w 2017 r. </w:t>
      </w:r>
    </w:p>
  </w:footnote>
  <w:footnote w:id="108">
    <w:p w14:paraId="36B7EDFA" w14:textId="77777777" w:rsidR="005D4C4C" w:rsidRDefault="005D4C4C" w:rsidP="00B53DEC">
      <w:pPr>
        <w:spacing w:after="0" w:line="276" w:lineRule="auto"/>
        <w:jc w:val="both"/>
      </w:pPr>
      <w:r w:rsidRPr="00A51B78">
        <w:rPr>
          <w:sz w:val="18"/>
          <w:szCs w:val="18"/>
          <w:vertAlign w:val="superscript"/>
        </w:rPr>
        <w:footnoteRef/>
      </w:r>
      <w:r w:rsidRPr="00A51B78">
        <w:rPr>
          <w:rFonts w:cs="Arial"/>
          <w:sz w:val="18"/>
          <w:szCs w:val="18"/>
        </w:rPr>
        <w:t xml:space="preserve"> Dane GUS - Rocznik Statystyczny Gospodarki Morskiej (2017)</w:t>
      </w:r>
    </w:p>
  </w:footnote>
  <w:footnote w:id="109">
    <w:p w14:paraId="49315128" w14:textId="77777777" w:rsidR="005D4C4C" w:rsidRDefault="005D4C4C" w:rsidP="00B53DEC">
      <w:pPr>
        <w:pStyle w:val="Tekstprzypisudolnego"/>
      </w:pPr>
      <w:r>
        <w:rPr>
          <w:rStyle w:val="Odwoanieprzypisudolnego"/>
        </w:rPr>
        <w:footnoteRef/>
      </w:r>
      <w:r>
        <w:t xml:space="preserve"> </w:t>
      </w:r>
      <w:r w:rsidRPr="00E112C0">
        <w:rPr>
          <w:rFonts w:asciiTheme="minorHAnsi" w:hAnsiTheme="minorHAnsi"/>
        </w:rPr>
        <w:t xml:space="preserve">Dane </w:t>
      </w:r>
      <w:r>
        <w:rPr>
          <w:rFonts w:asciiTheme="minorHAnsi" w:hAnsiTheme="minorHAnsi"/>
        </w:rPr>
        <w:t>UdSC</w:t>
      </w:r>
    </w:p>
  </w:footnote>
  <w:footnote w:id="110">
    <w:p w14:paraId="0403545C" w14:textId="77777777" w:rsidR="005D4C4C" w:rsidRPr="00934B12" w:rsidRDefault="005D4C4C" w:rsidP="00B53DEC">
      <w:pPr>
        <w:pStyle w:val="Tekstprzypisudolnego"/>
        <w:ind w:left="284" w:hanging="284"/>
        <w:jc w:val="both"/>
        <w:rPr>
          <w:rFonts w:asciiTheme="minorHAnsi" w:hAnsiTheme="minorHAnsi" w:cstheme="minorHAnsi"/>
          <w:sz w:val="18"/>
          <w:szCs w:val="18"/>
        </w:rPr>
      </w:pPr>
      <w:r w:rsidRPr="00E044DB">
        <w:rPr>
          <w:rStyle w:val="Odwoanieprzypisudolnego"/>
          <w:rFonts w:asciiTheme="minorHAnsi" w:hAnsiTheme="minorHAnsi"/>
          <w:sz w:val="18"/>
        </w:rPr>
        <w:footnoteRef/>
      </w:r>
      <w:r w:rsidRPr="00E044DB">
        <w:rPr>
          <w:rFonts w:asciiTheme="minorHAnsi" w:hAnsiTheme="minorHAnsi"/>
          <w:sz w:val="18"/>
        </w:rPr>
        <w:t xml:space="preserve"> </w:t>
      </w:r>
      <w:r w:rsidRPr="00E044DB">
        <w:rPr>
          <w:rFonts w:asciiTheme="minorHAnsi" w:hAnsiTheme="minorHAnsi" w:cstheme="minorHAnsi"/>
          <w:sz w:val="18"/>
        </w:rPr>
        <w:t>Zalecenia KE (UE) 2017/820 z dnia 12 maja 2017 r. dotyczące proporcjonalnych kontroli policyjnych oraz współpracy policyjnej w strefie Schengen.</w:t>
      </w:r>
    </w:p>
  </w:footnote>
  <w:footnote w:id="111">
    <w:p w14:paraId="0EC80552" w14:textId="77777777" w:rsidR="005D4C4C" w:rsidRPr="00E044DB" w:rsidRDefault="005D4C4C" w:rsidP="00B53DEC">
      <w:pPr>
        <w:pStyle w:val="Tekstprzypisudolnego"/>
        <w:rPr>
          <w:rFonts w:asciiTheme="minorHAnsi" w:hAnsiTheme="minorHAnsi" w:cstheme="minorHAnsi"/>
          <w:sz w:val="18"/>
          <w:szCs w:val="18"/>
        </w:rPr>
      </w:pPr>
      <w:r w:rsidRPr="00E044DB">
        <w:rPr>
          <w:rStyle w:val="Odwoanieprzypisudolnego"/>
          <w:rFonts w:asciiTheme="minorHAnsi" w:hAnsiTheme="minorHAnsi" w:cstheme="minorHAnsi"/>
          <w:sz w:val="18"/>
          <w:szCs w:val="18"/>
        </w:rPr>
        <w:footnoteRef/>
      </w:r>
      <w:r w:rsidRPr="00E044DB">
        <w:rPr>
          <w:rFonts w:asciiTheme="minorHAnsi" w:hAnsiTheme="minorHAnsi" w:cstheme="minorHAnsi"/>
          <w:sz w:val="18"/>
          <w:szCs w:val="18"/>
        </w:rPr>
        <w:t xml:space="preserve"> Ustawa </w:t>
      </w:r>
      <w:r w:rsidRPr="00E044DB">
        <w:rPr>
          <w:rFonts w:asciiTheme="minorHAnsi" w:hAnsiTheme="minorHAnsi" w:cstheme="minorHAnsi"/>
          <w:bCs/>
          <w:color w:val="333333"/>
          <w:sz w:val="18"/>
          <w:szCs w:val="18"/>
          <w:shd w:val="clear" w:color="auto" w:fill="FFFFFF"/>
        </w:rPr>
        <w:t>z dnia 20 kwietnia 2004 r.</w:t>
      </w:r>
      <w:r w:rsidRPr="00E044DB">
        <w:rPr>
          <w:rFonts w:asciiTheme="minorHAnsi" w:hAnsiTheme="minorHAnsi" w:cstheme="minorHAnsi"/>
          <w:sz w:val="18"/>
          <w:szCs w:val="18"/>
        </w:rPr>
        <w:t xml:space="preserve"> o promocji zatrudnienia i instytucjach rynku pracy (Dz. U. z 2020 r. poz. 1409).</w:t>
      </w:r>
    </w:p>
  </w:footnote>
  <w:footnote w:id="112">
    <w:p w14:paraId="2A80E199" w14:textId="77777777" w:rsidR="005D4C4C" w:rsidRPr="00E044DB" w:rsidRDefault="005D4C4C" w:rsidP="00B53DEC">
      <w:pPr>
        <w:pStyle w:val="Tekstprzypisudolnego"/>
        <w:ind w:left="284" w:hanging="284"/>
        <w:jc w:val="both"/>
        <w:rPr>
          <w:rFonts w:asciiTheme="minorHAnsi" w:hAnsiTheme="minorHAnsi" w:cstheme="minorHAnsi"/>
          <w:sz w:val="18"/>
          <w:szCs w:val="18"/>
        </w:rPr>
      </w:pPr>
      <w:r w:rsidRPr="00E044DB">
        <w:rPr>
          <w:rStyle w:val="Odwoanieprzypisudolnego"/>
          <w:rFonts w:asciiTheme="minorHAnsi" w:hAnsiTheme="minorHAnsi" w:cstheme="minorHAnsi"/>
          <w:sz w:val="18"/>
          <w:szCs w:val="18"/>
        </w:rPr>
        <w:footnoteRef/>
      </w:r>
      <w:r w:rsidRPr="00E044DB">
        <w:rPr>
          <w:rFonts w:asciiTheme="minorHAnsi" w:hAnsiTheme="minorHAnsi" w:cstheme="minorHAnsi"/>
          <w:sz w:val="18"/>
          <w:szCs w:val="18"/>
        </w:rPr>
        <w:t xml:space="preserve"> Art. 3 ust. 1 Rozporządzenia Parlamentu Europejskiego i Rady (UE) 2016/1624 z dnia 14 września 2016 r. w sprawie Europejskiej Straży Granicznej i Przybrzeżnej oraz zmieniającego rozporządzenie Parlamentu Europejskiego i Rady (UE) 2016/399 i uchylającego rozporządzenie (WE) nr 863/2007 Parlamentu Europejskiego i Rady, rozporządzenie Rady (WE) nr 2007/2004 i decyzję Rady 2005/267/WE.</w:t>
      </w:r>
    </w:p>
  </w:footnote>
  <w:footnote w:id="113">
    <w:p w14:paraId="2D5B7703" w14:textId="77777777" w:rsidR="005D4C4C" w:rsidRPr="00E044DB" w:rsidRDefault="005D4C4C" w:rsidP="00B53DEC">
      <w:pPr>
        <w:pStyle w:val="Tekstprzypisudolnego"/>
        <w:spacing w:after="60"/>
        <w:ind w:left="284" w:hanging="284"/>
        <w:jc w:val="both"/>
        <w:rPr>
          <w:rFonts w:asciiTheme="minorHAnsi" w:hAnsiTheme="minorHAnsi" w:cstheme="minorHAnsi"/>
          <w:sz w:val="18"/>
          <w:szCs w:val="18"/>
          <w:lang w:val="en-US"/>
        </w:rPr>
      </w:pPr>
      <w:r w:rsidRPr="00E044DB">
        <w:rPr>
          <w:rStyle w:val="Odwoanieprzypisudolnego"/>
          <w:rFonts w:asciiTheme="minorHAnsi" w:hAnsiTheme="minorHAnsi" w:cstheme="minorHAnsi"/>
          <w:sz w:val="18"/>
          <w:szCs w:val="18"/>
        </w:rPr>
        <w:footnoteRef/>
      </w:r>
      <w:r w:rsidRPr="00E044DB">
        <w:rPr>
          <w:rFonts w:asciiTheme="minorHAnsi" w:hAnsiTheme="minorHAnsi" w:cstheme="minorHAnsi"/>
          <w:sz w:val="18"/>
          <w:szCs w:val="18"/>
          <w:lang w:val="en-US"/>
        </w:rPr>
        <w:t xml:space="preserve"> Strategia T-O EIBM ustanowiona przez FRONTEX (str. 10-14 „</w:t>
      </w:r>
      <w:r w:rsidRPr="00E044DB">
        <w:rPr>
          <w:rFonts w:asciiTheme="minorHAnsi" w:hAnsiTheme="minorHAnsi" w:cstheme="minorHAnsi"/>
          <w:i/>
          <w:sz w:val="18"/>
          <w:szCs w:val="18"/>
          <w:lang w:val="en-US"/>
        </w:rPr>
        <w:t>The Strategic Nature of the European External Borders in a Dynamic World</w:t>
      </w:r>
      <w:r w:rsidRPr="00E044DB">
        <w:rPr>
          <w:rFonts w:asciiTheme="minorHAnsi" w:hAnsiTheme="minorHAnsi" w:cstheme="minorHAnsi"/>
          <w:sz w:val="18"/>
          <w:szCs w:val="18"/>
          <w:lang w:val="en-US"/>
        </w:rPr>
        <w:t>”).</w:t>
      </w:r>
    </w:p>
  </w:footnote>
  <w:footnote w:id="114">
    <w:p w14:paraId="28F16C0F" w14:textId="77777777" w:rsidR="005D4C4C" w:rsidRPr="00E044DB" w:rsidRDefault="005D4C4C" w:rsidP="00B53DEC">
      <w:pPr>
        <w:pStyle w:val="Tekstprzypisudolnego"/>
        <w:spacing w:after="60"/>
        <w:ind w:left="284" w:hanging="284"/>
        <w:jc w:val="both"/>
        <w:rPr>
          <w:rFonts w:asciiTheme="minorHAnsi" w:hAnsiTheme="minorHAnsi"/>
          <w:sz w:val="18"/>
          <w:szCs w:val="18"/>
        </w:rPr>
      </w:pPr>
      <w:r w:rsidRPr="00E044DB">
        <w:rPr>
          <w:rStyle w:val="Odwoanieprzypisudolnego"/>
          <w:rFonts w:asciiTheme="minorHAnsi" w:hAnsiTheme="minorHAnsi"/>
          <w:sz w:val="18"/>
          <w:szCs w:val="18"/>
        </w:rPr>
        <w:footnoteRef/>
      </w:r>
      <w:r w:rsidRPr="00E044DB">
        <w:rPr>
          <w:rFonts w:asciiTheme="minorHAnsi" w:hAnsiTheme="minorHAnsi"/>
          <w:sz w:val="18"/>
          <w:szCs w:val="18"/>
        </w:rPr>
        <w:t xml:space="preserve"> Obserwacje i analizy prowadzone przez konsulów RP w państwach trzecich w ramach unijnej Lokalnej Współpracy Schengen oraz przez Ministerstwo Spraw Zagranicznych.</w:t>
      </w:r>
    </w:p>
  </w:footnote>
  <w:footnote w:id="115">
    <w:p w14:paraId="50CB373E" w14:textId="77777777" w:rsidR="005D4C4C" w:rsidRPr="00B3594E" w:rsidRDefault="005D4C4C" w:rsidP="00B53DEC">
      <w:pPr>
        <w:pStyle w:val="Tekstprzypisudolnego"/>
        <w:ind w:left="284" w:hanging="284"/>
        <w:jc w:val="both"/>
        <w:rPr>
          <w:rFonts w:asciiTheme="minorHAnsi" w:eastAsiaTheme="minorHAnsi" w:hAnsiTheme="minorHAnsi" w:cstheme="minorBidi"/>
          <w:color w:val="FF0000"/>
          <w:sz w:val="18"/>
          <w:szCs w:val="18"/>
          <w:highlight w:val="yellow"/>
          <w:lang w:eastAsia="en-US"/>
        </w:rPr>
      </w:pPr>
      <w:r w:rsidRPr="00B3594E">
        <w:rPr>
          <w:rStyle w:val="Odwoanieprzypisudolnego"/>
          <w:rFonts w:asciiTheme="minorHAnsi" w:hAnsiTheme="minorHAnsi"/>
          <w:sz w:val="18"/>
          <w:szCs w:val="18"/>
        </w:rPr>
        <w:footnoteRef/>
      </w:r>
      <w:r w:rsidRPr="00B3594E">
        <w:rPr>
          <w:rFonts w:asciiTheme="minorHAnsi" w:hAnsiTheme="minorHAnsi"/>
          <w:sz w:val="18"/>
          <w:szCs w:val="18"/>
        </w:rPr>
        <w:t xml:space="preserve"> </w:t>
      </w:r>
      <w:r w:rsidRPr="0008509D">
        <w:rPr>
          <w:rFonts w:asciiTheme="minorHAnsi" w:hAnsiTheme="minorHAnsi"/>
        </w:rPr>
        <w:t xml:space="preserve">Rozporządzenie Parlamentu Europejskiego </w:t>
      </w:r>
      <w:r>
        <w:rPr>
          <w:rFonts w:asciiTheme="minorHAnsi" w:hAnsiTheme="minorHAnsi"/>
        </w:rPr>
        <w:t>i</w:t>
      </w:r>
      <w:r w:rsidRPr="0008509D">
        <w:rPr>
          <w:rFonts w:asciiTheme="minorHAnsi" w:hAnsiTheme="minorHAnsi"/>
        </w:rPr>
        <w:t xml:space="preserve"> Rady (UE) 2019/1896 z dnia 13 listopada 2019 r. w sprawie Europejskiej Straży Granicznej i Przybrzeżnej oraz uchylenia rozporządzeń (UE) nr 1052/2013 i (UE) 2016/1624</w:t>
      </w:r>
      <w:r w:rsidRPr="0008509D">
        <w:rPr>
          <w:rFonts w:asciiTheme="minorHAnsi" w:eastAsiaTheme="minorHAnsi" w:hAnsiTheme="minorHAnsi" w:cstheme="minorBidi"/>
          <w:lang w:eastAsia="en-US"/>
        </w:rPr>
        <w:t>.</w:t>
      </w:r>
    </w:p>
  </w:footnote>
  <w:footnote w:id="116">
    <w:p w14:paraId="1F131D6B" w14:textId="77777777" w:rsidR="005D4C4C" w:rsidRPr="00DE09DD" w:rsidRDefault="005D4C4C" w:rsidP="00B53DEC">
      <w:pPr>
        <w:pStyle w:val="Tekstprzypisudolnego"/>
        <w:ind w:left="142" w:hanging="142"/>
        <w:jc w:val="both"/>
        <w:rPr>
          <w:rFonts w:asciiTheme="minorHAnsi" w:hAnsiTheme="minorHAnsi"/>
        </w:rPr>
      </w:pPr>
      <w:r w:rsidRPr="008357F6">
        <w:rPr>
          <w:rStyle w:val="Odwoanieprzypisudolnego"/>
          <w:rFonts w:asciiTheme="minorHAnsi" w:hAnsiTheme="minorHAnsi"/>
          <w:sz w:val="18"/>
        </w:rPr>
        <w:footnoteRef/>
      </w:r>
      <w:r w:rsidRPr="008357F6">
        <w:rPr>
          <w:rFonts w:asciiTheme="minorHAnsi" w:hAnsiTheme="minorHAnsi"/>
          <w:sz w:val="18"/>
        </w:rPr>
        <w:t xml:space="preserve"> Dane za rok 2016 stanowią rzeczywisty udział wydatków w podanym roku, natomiast wartości dotyczące lat 2020 i 2030 są limitami wskazanymi w ustawie z dnia 29 września 2017 r.</w:t>
      </w:r>
      <w:r w:rsidRPr="008357F6">
        <w:rPr>
          <w:rFonts w:asciiTheme="minorHAnsi" w:hAnsiTheme="minorHAnsi"/>
          <w:szCs w:val="22"/>
        </w:rPr>
        <w:t xml:space="preserve"> </w:t>
      </w:r>
      <w:r w:rsidRPr="008357F6">
        <w:rPr>
          <w:rFonts w:asciiTheme="minorHAnsi" w:hAnsiTheme="minorHAnsi"/>
          <w:sz w:val="18"/>
        </w:rPr>
        <w:t>o zmianie ustawy o przebudowie i modernizacji technicznej oraz finansowaniu Sił Zbrojnych Rzeczypospolitej Polskiej oraz ustawy – Prawo zamówień publicznych.</w:t>
      </w:r>
    </w:p>
  </w:footnote>
  <w:footnote w:id="117">
    <w:p w14:paraId="3B5C47D2" w14:textId="77777777" w:rsidR="005D4C4C" w:rsidRPr="00F060FB" w:rsidRDefault="005D4C4C" w:rsidP="00B53DEC">
      <w:pPr>
        <w:pStyle w:val="Tekstprzypisudolnego"/>
        <w:ind w:left="142" w:hanging="142"/>
        <w:jc w:val="both"/>
        <w:rPr>
          <w:rFonts w:asciiTheme="minorHAnsi" w:hAnsiTheme="minorHAnsi"/>
          <w:sz w:val="18"/>
        </w:rPr>
      </w:pPr>
      <w:r w:rsidRPr="00F060FB">
        <w:rPr>
          <w:rStyle w:val="Odwoanieprzypisudolnego"/>
          <w:rFonts w:asciiTheme="minorHAnsi" w:hAnsiTheme="minorHAnsi"/>
          <w:sz w:val="18"/>
        </w:rPr>
        <w:footnoteRef/>
      </w:r>
      <w:r w:rsidRPr="00F060FB">
        <w:rPr>
          <w:rFonts w:asciiTheme="minorHAnsi" w:hAnsiTheme="minorHAnsi"/>
          <w:sz w:val="18"/>
        </w:rPr>
        <w:t xml:space="preserve"> Działania podejmowane w ramach kierunku 2.5 są powiązane z aktualizowaną </w:t>
      </w:r>
      <w:r w:rsidRPr="00F060FB">
        <w:rPr>
          <w:rFonts w:asciiTheme="minorHAnsi" w:hAnsiTheme="minorHAnsi"/>
          <w:i/>
          <w:sz w:val="18"/>
        </w:rPr>
        <w:t>Strategią Rozwoju Transportu do roku 2020.</w:t>
      </w:r>
    </w:p>
  </w:footnote>
  <w:footnote w:id="118">
    <w:p w14:paraId="5E3C14BC" w14:textId="77777777" w:rsidR="005D4C4C" w:rsidRPr="006E7DF3" w:rsidRDefault="005D4C4C" w:rsidP="00B53DEC">
      <w:pPr>
        <w:pStyle w:val="Tekstprzypisudolnego"/>
        <w:ind w:left="142" w:hanging="142"/>
        <w:jc w:val="both"/>
        <w:rPr>
          <w:rFonts w:asciiTheme="minorHAnsi" w:hAnsiTheme="minorHAnsi"/>
          <w:sz w:val="18"/>
          <w:szCs w:val="18"/>
        </w:rPr>
      </w:pPr>
      <w:r w:rsidRPr="006E7DF3">
        <w:rPr>
          <w:rStyle w:val="Odwoanieprzypisudolnego"/>
          <w:rFonts w:asciiTheme="minorHAnsi" w:hAnsiTheme="minorHAnsi"/>
          <w:sz w:val="18"/>
          <w:szCs w:val="18"/>
        </w:rPr>
        <w:footnoteRef/>
      </w:r>
      <w:r w:rsidRPr="006E7DF3">
        <w:rPr>
          <w:rFonts w:asciiTheme="minorHAnsi" w:hAnsiTheme="minorHAnsi"/>
          <w:sz w:val="18"/>
          <w:szCs w:val="18"/>
        </w:rPr>
        <w:t xml:space="preserve"> Zgodnie z wynikami </w:t>
      </w:r>
      <w:r w:rsidRPr="006E7DF3">
        <w:rPr>
          <w:rFonts w:asciiTheme="minorHAnsi" w:hAnsiTheme="minorHAnsi"/>
          <w:i/>
          <w:sz w:val="18"/>
          <w:szCs w:val="18"/>
        </w:rPr>
        <w:t>Polskiego Badania Przestępczości</w:t>
      </w:r>
      <w:r w:rsidRPr="006E7DF3">
        <w:rPr>
          <w:rFonts w:asciiTheme="minorHAnsi" w:hAnsiTheme="minorHAnsi"/>
          <w:sz w:val="18"/>
          <w:szCs w:val="18"/>
        </w:rPr>
        <w:t xml:space="preserve"> ze stycznia 2017 roku najwięcej respondentów deklarowało obawy przed brawurowo jeżdżącymi kierowcami (29,5%). W styczniu 2016 roku było to 29% wskazań, w styczniu 2015: 30,3%.</w:t>
      </w:r>
    </w:p>
  </w:footnote>
  <w:footnote w:id="119">
    <w:p w14:paraId="41F45B25" w14:textId="77777777" w:rsidR="005D4C4C" w:rsidRPr="007F24E1" w:rsidRDefault="005D4C4C" w:rsidP="00B53DEC">
      <w:pPr>
        <w:spacing w:after="0" w:line="240" w:lineRule="auto"/>
        <w:ind w:left="142" w:hanging="142"/>
        <w:jc w:val="both"/>
        <w:rPr>
          <w:rFonts w:cs="Arial"/>
          <w:spacing w:val="4"/>
          <w:sz w:val="18"/>
          <w:szCs w:val="18"/>
        </w:rPr>
      </w:pPr>
      <w:r w:rsidRPr="007F24E1">
        <w:rPr>
          <w:rStyle w:val="Odwoanieprzypisudolnego"/>
          <w:sz w:val="18"/>
          <w:szCs w:val="18"/>
        </w:rPr>
        <w:footnoteRef/>
      </w:r>
      <w:r w:rsidRPr="007F24E1">
        <w:rPr>
          <w:sz w:val="18"/>
          <w:szCs w:val="18"/>
        </w:rPr>
        <w:t xml:space="preserve"> </w:t>
      </w:r>
      <w:r w:rsidRPr="007F24E1">
        <w:rPr>
          <w:rFonts w:cs="Arial"/>
          <w:spacing w:val="4"/>
          <w:sz w:val="18"/>
          <w:szCs w:val="18"/>
        </w:rPr>
        <w:t xml:space="preserve">Przepisy ustawy </w:t>
      </w:r>
      <w:r w:rsidRPr="007F24E1">
        <w:rPr>
          <w:bCs/>
          <w:sz w:val="18"/>
          <w:szCs w:val="18"/>
        </w:rPr>
        <w:t>z dnia 26 kwietnia 2007 r. o zarządzaniu kryzysowym (Dz.U. z 2019 r. poz. 1398</w:t>
      </w:r>
      <w:r>
        <w:rPr>
          <w:bCs/>
          <w:sz w:val="18"/>
          <w:szCs w:val="18"/>
        </w:rPr>
        <w:t>, z późn. zm.</w:t>
      </w:r>
      <w:r w:rsidRPr="007F24E1">
        <w:rPr>
          <w:bCs/>
          <w:sz w:val="18"/>
          <w:szCs w:val="18"/>
        </w:rPr>
        <w:t>)</w:t>
      </w:r>
      <w:r w:rsidRPr="007F24E1">
        <w:rPr>
          <w:rFonts w:cs="Arial"/>
          <w:spacing w:val="4"/>
          <w:sz w:val="18"/>
          <w:szCs w:val="18"/>
        </w:rPr>
        <w:t xml:space="preserve"> definiują infrastrukturę krytyczną, jako systemy oraz wchodzące w ich skład powiązane ze sobą funkcjonalnie obiekty, w tym obiekty budowlane, urządzenia, instalacje, usługi kluczowe dla bezpieczeństwa państwa i jego obywateli oraz służące zapewnieniu sprawnego funkcjonowania organów administracji publicznej, a także instytucji i przedsiębiorców. Infrastruktura krytyczna obejmuje systemy: zaopatrzenia w energię, surowce energetyczne i paliwa, łączności, sieci teleinformatycznych, finansowe, zaopatrzenia w żywność, zaopatrzenia w wodę, ochrony zdrowia, transportowe, ratownicze, zapewniające ciągłość działania administracji publicznej, produkcji, składowania, przechowywania i stosowania substancji chemicznych i promieniotwórczych, w tym rurociągi substancji niebezpiecznych. </w:t>
      </w:r>
    </w:p>
    <w:p w14:paraId="56597507" w14:textId="77777777" w:rsidR="005D4C4C" w:rsidRDefault="005D4C4C" w:rsidP="00B53DEC">
      <w:pPr>
        <w:pStyle w:val="Tekstprzypisudolnego"/>
      </w:pPr>
    </w:p>
  </w:footnote>
  <w:footnote w:id="120">
    <w:p w14:paraId="40EB7E89" w14:textId="77777777" w:rsidR="005D4C4C" w:rsidRPr="00E47975" w:rsidRDefault="005D4C4C" w:rsidP="00B53DEC">
      <w:pPr>
        <w:pStyle w:val="Tekstprzypisudolnego"/>
        <w:ind w:left="284" w:hanging="284"/>
        <w:jc w:val="both"/>
        <w:rPr>
          <w:rFonts w:asciiTheme="minorHAnsi" w:hAnsiTheme="minorHAnsi"/>
        </w:rPr>
      </w:pPr>
      <w:r w:rsidRPr="00E47975">
        <w:rPr>
          <w:rStyle w:val="Odwoanieprzypisudolnego"/>
          <w:rFonts w:asciiTheme="minorHAnsi" w:hAnsiTheme="minorHAnsi"/>
        </w:rPr>
        <w:footnoteRef/>
      </w:r>
      <w:r w:rsidRPr="00E47975">
        <w:rPr>
          <w:rFonts w:asciiTheme="minorHAnsi" w:hAnsiTheme="minorHAnsi"/>
        </w:rPr>
        <w:t xml:space="preserve"> Opracowanie strategii jest obowiązkiem państwa członkowskiego, wynikającym Rozporządzenie Parlamentu Europejskiego i Rady (UE) 2019/1896 z dnia 13 listopada 2019 r. w sprawie Europejskiej Straży Granicznej i Przybrzeżnej oraz uchylenia rozporządzeń (UE) nr 1052/2013 i (UE) 2016/1624 </w:t>
      </w:r>
    </w:p>
  </w:footnote>
  <w:footnote w:id="121">
    <w:p w14:paraId="576BBC5C" w14:textId="60748F96" w:rsidR="005D4C4C" w:rsidRPr="00C23414" w:rsidRDefault="005D4C4C" w:rsidP="00C23414">
      <w:pPr>
        <w:spacing w:after="80" w:line="240" w:lineRule="auto"/>
        <w:ind w:left="142" w:hanging="142"/>
        <w:jc w:val="both"/>
        <w:rPr>
          <w:sz w:val="18"/>
          <w:szCs w:val="20"/>
        </w:rPr>
      </w:pPr>
      <w:r w:rsidRPr="00C23414">
        <w:rPr>
          <w:rStyle w:val="Odwoanieprzypisudolnego"/>
          <w:sz w:val="18"/>
          <w:szCs w:val="20"/>
        </w:rPr>
        <w:footnoteRef/>
      </w:r>
      <w:r w:rsidRPr="00C23414">
        <w:rPr>
          <w:sz w:val="18"/>
          <w:szCs w:val="20"/>
        </w:rPr>
        <w:t xml:space="preserve"> Obszary strategicznej interwencji (OSI) odznaczają się charakterystycznym zespołem warunków i cech społecznych, gospodarczych lub przestrzennych, decydujących o występowaniu na ich terenie barier rozwoju lub trwałych, możliwych do aktywowania potencjałów rozwojowych. Na poziomie krajowym podstawą określającą OSI jest SOR, w którym wyznaczono następujące obszary strategicznej interwencji: obszary przeważnie wiejskie zagrożone trwałą marginalizacją; średnie miasta tracące funkcje społeczno-gospodarcze; wschodnia Polska; Śląsk (woj. śląskie). </w:t>
      </w:r>
    </w:p>
    <w:p w14:paraId="5B25F8DA" w14:textId="77777777" w:rsidR="005D4C4C" w:rsidRPr="005C1A56" w:rsidRDefault="005D4C4C" w:rsidP="00AA17F4">
      <w:pPr>
        <w:spacing w:after="80" w:line="276" w:lineRule="auto"/>
        <w:rPr>
          <w:sz w:val="20"/>
          <w:szCs w:val="20"/>
        </w:rPr>
      </w:pPr>
    </w:p>
    <w:p w14:paraId="5AC89E75" w14:textId="77777777" w:rsidR="005D4C4C" w:rsidRDefault="005D4C4C" w:rsidP="00AA17F4">
      <w:pPr>
        <w:spacing w:after="0" w:line="240" w:lineRule="auto"/>
        <w:ind w:left="284" w:hanging="284"/>
        <w:jc w:val="both"/>
      </w:pPr>
    </w:p>
  </w:footnote>
  <w:footnote w:id="122">
    <w:p w14:paraId="53BEA4F9" w14:textId="6E027B19" w:rsidR="005D4C4C" w:rsidRPr="00F4797D" w:rsidRDefault="005D4C4C" w:rsidP="00F4797D">
      <w:pPr>
        <w:pStyle w:val="Tekstprzypisudolnego"/>
        <w:ind w:left="284" w:hanging="284"/>
        <w:jc w:val="both"/>
        <w:rPr>
          <w:rFonts w:asciiTheme="minorHAnsi" w:hAnsiTheme="minorHAnsi"/>
          <w:sz w:val="18"/>
        </w:rPr>
      </w:pPr>
      <w:r w:rsidRPr="00F4797D">
        <w:rPr>
          <w:rStyle w:val="Odwoanieprzypisudolnego"/>
          <w:rFonts w:asciiTheme="minorHAnsi" w:hAnsiTheme="minorHAnsi"/>
          <w:sz w:val="18"/>
        </w:rPr>
        <w:footnoteRef/>
      </w:r>
      <w:r w:rsidRPr="00F4797D">
        <w:rPr>
          <w:rFonts w:asciiTheme="minorHAnsi" w:hAnsiTheme="minorHAnsi"/>
          <w:sz w:val="18"/>
        </w:rPr>
        <w:t xml:space="preserve"> KWR została opracowana przez </w:t>
      </w:r>
      <w:r>
        <w:rPr>
          <w:rFonts w:asciiTheme="minorHAnsi" w:hAnsiTheme="minorHAnsi"/>
          <w:sz w:val="18"/>
        </w:rPr>
        <w:t>MFiPR</w:t>
      </w:r>
      <w:r w:rsidRPr="00F4797D">
        <w:rPr>
          <w:rFonts w:asciiTheme="minorHAnsi" w:hAnsiTheme="minorHAnsi"/>
          <w:sz w:val="18"/>
        </w:rPr>
        <w:t xml:space="preserve"> wraz z zespołem ekspertów pod kierownictwem d</w:t>
      </w:r>
      <w:r>
        <w:rPr>
          <w:rFonts w:asciiTheme="minorHAnsi" w:hAnsiTheme="minorHAnsi"/>
          <w:sz w:val="18"/>
        </w:rPr>
        <w:t>r</w:t>
      </w:r>
      <w:r w:rsidRPr="00F4797D">
        <w:rPr>
          <w:rFonts w:asciiTheme="minorHAnsi" w:hAnsiTheme="minorHAnsi"/>
          <w:sz w:val="18"/>
        </w:rPr>
        <w:t xml:space="preserve"> hab. Michała Bitnera z Uniwersytetu Warszawskiego.</w:t>
      </w:r>
    </w:p>
  </w:footnote>
  <w:footnote w:id="123">
    <w:p w14:paraId="68815A60" w14:textId="38200F1D" w:rsidR="005D4C4C" w:rsidRPr="00E653C5" w:rsidRDefault="005D4C4C" w:rsidP="00E653C5">
      <w:pPr>
        <w:pStyle w:val="Tekstprzypisudolnego"/>
        <w:ind w:left="284" w:hanging="284"/>
        <w:rPr>
          <w:rFonts w:asciiTheme="minorHAnsi" w:hAnsiTheme="minorHAnsi" w:cstheme="minorHAnsi"/>
          <w:sz w:val="18"/>
        </w:rPr>
      </w:pPr>
      <w:r w:rsidRPr="00E653C5">
        <w:rPr>
          <w:rStyle w:val="Odwoanieprzypisudolnego"/>
          <w:rFonts w:asciiTheme="minorHAnsi" w:hAnsiTheme="minorHAnsi" w:cstheme="minorHAnsi"/>
          <w:sz w:val="18"/>
        </w:rPr>
        <w:footnoteRef/>
      </w:r>
      <w:r w:rsidRPr="00E653C5">
        <w:rPr>
          <w:rFonts w:asciiTheme="minorHAnsi" w:hAnsiTheme="minorHAnsi" w:cstheme="minorHAnsi"/>
          <w:sz w:val="18"/>
        </w:rPr>
        <w:t xml:space="preserve"> </w:t>
      </w:r>
      <w:r w:rsidRPr="00E653C5">
        <w:rPr>
          <w:rFonts w:asciiTheme="minorHAnsi" w:hAnsiTheme="minorHAnsi" w:cstheme="minorHAnsi"/>
          <w:bCs/>
          <w:color w:val="3A3A3A"/>
          <w:sz w:val="18"/>
          <w:shd w:val="clear" w:color="auto" w:fill="FFFFFF"/>
        </w:rPr>
        <w:t>Państwowy fundusz celowy</w:t>
      </w:r>
      <w:r w:rsidRPr="00E653C5">
        <w:rPr>
          <w:rFonts w:asciiTheme="minorHAnsi" w:hAnsiTheme="minorHAnsi" w:cstheme="minorHAnsi"/>
          <w:color w:val="3A3A3A"/>
          <w:sz w:val="18"/>
          <w:shd w:val="clear" w:color="auto" w:fill="FFFFFF"/>
        </w:rPr>
        <w:t> jest formą organizacyjną sektora finansów publicznych tworzoną na podstawie odrębnej ustawy, którego przychody pochodzą ze środków publicznych, a koszty są ponoszone na realizację wyodrębnionych zadań państwowych. Państwowe fundusze celowe nie posiadają osobowości prawnej. Są to rachunki bankowe, którymi dysponują odpowiedni ministrowie wskazani w ustawie tworzącej fundusz..</w:t>
      </w:r>
    </w:p>
  </w:footnote>
  <w:footnote w:id="124">
    <w:p w14:paraId="53CBCEA1" w14:textId="77777777" w:rsidR="005D4C4C" w:rsidRPr="00F4797D" w:rsidRDefault="005D4C4C" w:rsidP="00F4797D">
      <w:pPr>
        <w:pStyle w:val="Tekstprzypisudolnego"/>
        <w:ind w:left="284" w:hanging="284"/>
        <w:jc w:val="both"/>
        <w:rPr>
          <w:rFonts w:asciiTheme="minorHAnsi" w:hAnsiTheme="minorHAnsi"/>
          <w:sz w:val="18"/>
        </w:rPr>
      </w:pPr>
      <w:r w:rsidRPr="00F4797D">
        <w:rPr>
          <w:rStyle w:val="Odwoanieprzypisudolnego"/>
          <w:rFonts w:asciiTheme="minorHAnsi" w:hAnsiTheme="minorHAnsi"/>
          <w:sz w:val="18"/>
        </w:rPr>
        <w:footnoteRef/>
      </w:r>
      <w:r w:rsidRPr="00F4797D">
        <w:rPr>
          <w:rFonts w:asciiTheme="minorHAnsi" w:hAnsiTheme="minorHAnsi"/>
          <w:sz w:val="18"/>
        </w:rPr>
        <w:t xml:space="preserve"> Definicja wydatku rozwojowego przyjęta w materiale roboczym pn. </w:t>
      </w:r>
      <w:r w:rsidRPr="00F4797D">
        <w:rPr>
          <w:rFonts w:asciiTheme="minorHAnsi" w:hAnsiTheme="minorHAnsi"/>
          <w:i/>
          <w:sz w:val="18"/>
        </w:rPr>
        <w:t xml:space="preserve">Klasyfikacja wydatków rozwojowych - opis koncepcji i przyjętych konwencji. </w:t>
      </w:r>
      <w:r w:rsidRPr="00F4797D">
        <w:rPr>
          <w:rFonts w:asciiTheme="minorHAnsi" w:hAnsiTheme="minorHAnsi"/>
          <w:sz w:val="18"/>
        </w:rPr>
        <w:t>Określone w nim konwencje posłużyły do ustalenia wielkości i struktury wydatków rozwojowych budżetu państwa, budżetów jednostek samorządu terytorialnego, agencji wykonawczych oraz państwowych funduszy celowych w latach 2015-2016.</w:t>
      </w:r>
    </w:p>
    <w:p w14:paraId="4CC2DF16" w14:textId="77777777" w:rsidR="005D4C4C" w:rsidRPr="00F4797D" w:rsidRDefault="005D4C4C" w:rsidP="00F4797D">
      <w:pPr>
        <w:spacing w:line="240" w:lineRule="auto"/>
        <w:ind w:left="284" w:hanging="284"/>
        <w:rPr>
          <w:rFonts w:ascii="Times New Roman" w:hAnsi="Times New Roman" w:cs="Times New Roman"/>
          <w:b/>
          <w:sz w:val="24"/>
          <w:szCs w:val="28"/>
        </w:rPr>
      </w:pPr>
    </w:p>
    <w:p w14:paraId="6AF53EB5" w14:textId="77777777" w:rsidR="005D4C4C" w:rsidRDefault="005D4C4C">
      <w:pPr>
        <w:pStyle w:val="Tekstprzypisudolnego"/>
      </w:pPr>
    </w:p>
  </w:footnote>
  <w:footnote w:id="125">
    <w:p w14:paraId="5B7DAAB5" w14:textId="37946527" w:rsidR="005D4C4C" w:rsidRPr="0041583D" w:rsidRDefault="005D4C4C" w:rsidP="0041583D">
      <w:pPr>
        <w:pStyle w:val="Tekstprzypisudolnego"/>
        <w:ind w:left="142" w:hanging="142"/>
        <w:jc w:val="both"/>
        <w:rPr>
          <w:rFonts w:asciiTheme="minorHAnsi" w:hAnsiTheme="minorHAnsi" w:cstheme="minorHAnsi"/>
          <w:sz w:val="18"/>
          <w:szCs w:val="18"/>
        </w:rPr>
      </w:pPr>
      <w:r w:rsidRPr="0041583D">
        <w:rPr>
          <w:rStyle w:val="Odwoanieprzypisudolnego"/>
          <w:rFonts w:asciiTheme="minorHAnsi" w:hAnsiTheme="minorHAnsi" w:cstheme="minorHAnsi"/>
          <w:sz w:val="18"/>
          <w:szCs w:val="18"/>
        </w:rPr>
        <w:footnoteRef/>
      </w:r>
      <w:r w:rsidRPr="0041583D">
        <w:rPr>
          <w:rFonts w:asciiTheme="minorHAnsi" w:hAnsiTheme="minorHAnsi" w:cstheme="minorHAnsi"/>
          <w:sz w:val="18"/>
          <w:szCs w:val="18"/>
        </w:rPr>
        <w:t xml:space="preserve"> Definicja wydatku rozwojowego przyjęta w materiale roboczym pn. </w:t>
      </w:r>
      <w:r w:rsidRPr="0041583D">
        <w:rPr>
          <w:rFonts w:asciiTheme="minorHAnsi" w:hAnsiTheme="minorHAnsi" w:cstheme="minorHAnsi"/>
          <w:i/>
          <w:sz w:val="18"/>
          <w:szCs w:val="18"/>
        </w:rPr>
        <w:t xml:space="preserve">Klasyfikacja wydatków rozwojowych - opis koncepcji i przyjętych konwencji. </w:t>
      </w:r>
      <w:r w:rsidRPr="0041583D">
        <w:rPr>
          <w:rFonts w:asciiTheme="minorHAnsi" w:hAnsiTheme="minorHAnsi" w:cstheme="minorHAnsi"/>
          <w:sz w:val="18"/>
          <w:szCs w:val="18"/>
        </w:rPr>
        <w:t>Określone w nim konwencje posłużyły do ustalenia wielkości i struktury wydatków rozwojowych budżetu państwa, budżetów jednostek samorządu terytorialnego, agencji wykonawczych oraz państwowych funduszy celowych w latach 2015-2016.</w:t>
      </w:r>
    </w:p>
  </w:footnote>
  <w:footnote w:id="126">
    <w:p w14:paraId="516555AB" w14:textId="5640E814" w:rsidR="005D4C4C" w:rsidRPr="0041583D" w:rsidRDefault="005D4C4C" w:rsidP="0041583D">
      <w:pPr>
        <w:autoSpaceDE w:val="0"/>
        <w:autoSpaceDN w:val="0"/>
        <w:adjustRightInd w:val="0"/>
        <w:spacing w:after="0" w:line="240" w:lineRule="auto"/>
        <w:ind w:left="142" w:hanging="142"/>
        <w:rPr>
          <w:rFonts w:cstheme="minorHAnsi"/>
          <w:sz w:val="18"/>
          <w:szCs w:val="18"/>
        </w:rPr>
      </w:pPr>
      <w:r w:rsidRPr="0041583D">
        <w:rPr>
          <w:rStyle w:val="Odwoanieprzypisudolnego"/>
          <w:rFonts w:cstheme="minorHAnsi"/>
          <w:sz w:val="18"/>
          <w:szCs w:val="18"/>
        </w:rPr>
        <w:footnoteRef/>
      </w:r>
      <w:r w:rsidRPr="0041583D">
        <w:rPr>
          <w:rFonts w:cstheme="minorHAnsi"/>
          <w:sz w:val="18"/>
          <w:szCs w:val="18"/>
        </w:rPr>
        <w:t xml:space="preserve"> W wyniku nowelizacji klasyfikacji</w:t>
      </w:r>
      <w:r>
        <w:rPr>
          <w:rFonts w:cstheme="minorHAnsi"/>
          <w:sz w:val="18"/>
          <w:szCs w:val="18"/>
        </w:rPr>
        <w:t xml:space="preserve"> </w:t>
      </w:r>
      <w:r w:rsidRPr="0041583D">
        <w:rPr>
          <w:rFonts w:cstheme="minorHAnsi"/>
          <w:sz w:val="18"/>
          <w:szCs w:val="18"/>
        </w:rPr>
        <w:t>budżetowej w 2019 r. dział 830 uchylono w związku z agregacją podziałek klasyfikacji</w:t>
      </w:r>
      <w:r>
        <w:rPr>
          <w:rFonts w:cstheme="minorHAnsi"/>
          <w:sz w:val="18"/>
          <w:szCs w:val="18"/>
        </w:rPr>
        <w:t xml:space="preserve"> </w:t>
      </w:r>
      <w:r w:rsidRPr="0041583D">
        <w:rPr>
          <w:rFonts w:cstheme="minorHAnsi"/>
          <w:sz w:val="18"/>
          <w:szCs w:val="18"/>
        </w:rPr>
        <w:t>budżetowej znajdujących się w ramach dwóch działów, tj. 730 „Nauka” i 803 „Szkolnictwo</w:t>
      </w:r>
      <w:r>
        <w:rPr>
          <w:rFonts w:cstheme="minorHAnsi"/>
          <w:sz w:val="18"/>
          <w:szCs w:val="18"/>
        </w:rPr>
        <w:t xml:space="preserve"> </w:t>
      </w:r>
      <w:r w:rsidRPr="0041583D">
        <w:rPr>
          <w:rFonts w:cstheme="minorHAnsi"/>
          <w:sz w:val="18"/>
          <w:szCs w:val="18"/>
        </w:rPr>
        <w:t>wyższe” i utworzono jeden wspólny dział pod nazwą 730 – „Szkolnictwo wyższe i nauka”</w:t>
      </w:r>
    </w:p>
    <w:p w14:paraId="761EAF1F" w14:textId="02929E89" w:rsidR="005D4C4C" w:rsidRDefault="005D4C4C">
      <w:pPr>
        <w:pStyle w:val="Tekstprzypisudolnego"/>
      </w:pPr>
    </w:p>
  </w:footnote>
  <w:footnote w:id="127">
    <w:p w14:paraId="7F0AD31E" w14:textId="77777777" w:rsidR="005D4C4C" w:rsidRPr="00951AB9" w:rsidRDefault="005D4C4C" w:rsidP="00951AB9">
      <w:pPr>
        <w:autoSpaceDE w:val="0"/>
        <w:autoSpaceDN w:val="0"/>
        <w:adjustRightInd w:val="0"/>
        <w:spacing w:after="0" w:line="240" w:lineRule="auto"/>
        <w:ind w:left="284" w:hanging="284"/>
        <w:rPr>
          <w:rFonts w:cs="ArialMT"/>
          <w:sz w:val="18"/>
          <w:szCs w:val="24"/>
        </w:rPr>
      </w:pPr>
      <w:r>
        <w:rPr>
          <w:rStyle w:val="Odwoanieprzypisudolnego"/>
        </w:rPr>
        <w:footnoteRef/>
      </w:r>
      <w:r>
        <w:t xml:space="preserve"> </w:t>
      </w:r>
      <w:r w:rsidRPr="00951AB9">
        <w:rPr>
          <w:rFonts w:cs="ArialMT"/>
          <w:sz w:val="18"/>
          <w:szCs w:val="24"/>
        </w:rPr>
        <w:t>Należą do nich m.in. Ośrodek Studiów Wschodnich, Krajowa Szkoła</w:t>
      </w:r>
      <w:r>
        <w:rPr>
          <w:rFonts w:cs="ArialMT"/>
          <w:sz w:val="18"/>
          <w:szCs w:val="24"/>
        </w:rPr>
        <w:t xml:space="preserve"> </w:t>
      </w:r>
      <w:r w:rsidRPr="00951AB9">
        <w:rPr>
          <w:rFonts w:cs="ArialMT"/>
          <w:sz w:val="18"/>
          <w:szCs w:val="24"/>
        </w:rPr>
        <w:t>Administracji Publicznej, Instytutu Zachodni im. Zygmunta Wojciechowskiego, uczelnie wojskowe, Krajowa Szkoła Sądownictwa i Prokuratury, uczelnie służb państwowych.</w:t>
      </w:r>
    </w:p>
    <w:p w14:paraId="5D521F48" w14:textId="77777777" w:rsidR="005D4C4C" w:rsidRDefault="005D4C4C">
      <w:pPr>
        <w:pStyle w:val="Tekstprzypisudolnego"/>
      </w:pPr>
    </w:p>
  </w:footnote>
  <w:footnote w:id="128">
    <w:p w14:paraId="212AF681" w14:textId="31A8B145" w:rsidR="005D4C4C" w:rsidRDefault="005D4C4C" w:rsidP="007F4F53">
      <w:pPr>
        <w:pStyle w:val="Tekstprzypisudolnego"/>
        <w:ind w:left="142" w:hanging="142"/>
        <w:jc w:val="both"/>
      </w:pPr>
      <w:r>
        <w:rPr>
          <w:rStyle w:val="Odwoanieprzypisudolnego"/>
        </w:rPr>
        <w:footnoteRef/>
      </w:r>
      <w:r w:rsidRPr="007F4F53">
        <w:rPr>
          <w:sz w:val="18"/>
        </w:rPr>
        <w:t xml:space="preserve"> </w:t>
      </w:r>
      <w:r w:rsidRPr="007F4F53">
        <w:rPr>
          <w:rFonts w:asciiTheme="minorHAnsi" w:hAnsiTheme="minorHAnsi" w:cstheme="minorHAnsi"/>
          <w:sz w:val="18"/>
        </w:rPr>
        <w:t xml:space="preserve">28 maja 2020 r. Komisja Europejska opublikowała projekt rozporządzenia ustanawiający Instrument Wsparcia Technicznego (ang. Technical Support Instrument – TSI), który ma stanowić następcę dotychczas funkcjonującego Programu Wspierania Reform Strukturalnych (ang. Structural Reform Support Programme – SRSP/PWRS) w nowej perspektywie finansowej 2021-2027.  </w:t>
      </w:r>
    </w:p>
  </w:footnote>
  <w:footnote w:id="129">
    <w:p w14:paraId="7DD4053C" w14:textId="55F8C4B7" w:rsidR="005D4C4C" w:rsidRPr="00774882" w:rsidRDefault="005D4C4C" w:rsidP="0006375D">
      <w:pPr>
        <w:pStyle w:val="Tekstprzypisudolnego"/>
        <w:spacing w:after="60"/>
        <w:ind w:left="284" w:hanging="284"/>
        <w:jc w:val="both"/>
        <w:rPr>
          <w:rFonts w:asciiTheme="minorHAnsi" w:hAnsiTheme="minorHAnsi"/>
          <w:sz w:val="18"/>
        </w:rPr>
      </w:pPr>
      <w:r w:rsidRPr="00774882">
        <w:rPr>
          <w:rStyle w:val="Odwoanieprzypisudolnego"/>
          <w:rFonts w:asciiTheme="minorHAnsi" w:hAnsiTheme="minorHAnsi"/>
          <w:sz w:val="18"/>
        </w:rPr>
        <w:footnoteRef/>
      </w:r>
      <w:r w:rsidRPr="00774882">
        <w:rPr>
          <w:rFonts w:asciiTheme="minorHAnsi" w:hAnsiTheme="minorHAnsi"/>
          <w:sz w:val="18"/>
        </w:rPr>
        <w:t xml:space="preserve"> Rada Monitorowania Portfela Projektów Strategicznych jest organem pomocniczym Prezesa Rady Ministrów, którego pracami kieruje Minister Funduszy i Polityki Rozwoju. Rada została powołana Zarządzeniem Prezesa Rady Ministrów nr 58 z dnia 20 kwietnia 2018r. w sprawie Rady Monitorowania Portfela Projektów Strategicznych</w:t>
      </w:r>
    </w:p>
  </w:footnote>
  <w:footnote w:id="130">
    <w:p w14:paraId="49D9C7A8" w14:textId="77777777" w:rsidR="005D4C4C" w:rsidRPr="00774882" w:rsidRDefault="005D4C4C" w:rsidP="0006375D">
      <w:pPr>
        <w:pStyle w:val="Tekstprzypisudolnego"/>
        <w:spacing w:after="60"/>
        <w:ind w:left="284" w:hanging="284"/>
        <w:jc w:val="both"/>
        <w:rPr>
          <w:rFonts w:asciiTheme="minorHAnsi" w:hAnsiTheme="minorHAnsi" w:cs="Calibri"/>
          <w:sz w:val="18"/>
          <w:szCs w:val="18"/>
        </w:rPr>
      </w:pPr>
      <w:r w:rsidRPr="00774882">
        <w:rPr>
          <w:rStyle w:val="Odwoanieprzypisudolnego"/>
          <w:rFonts w:asciiTheme="minorHAnsi" w:hAnsiTheme="minorHAnsi" w:cs="Calibri"/>
          <w:sz w:val="18"/>
        </w:rPr>
        <w:footnoteRef/>
      </w:r>
      <w:r w:rsidRPr="00774882">
        <w:rPr>
          <w:rFonts w:asciiTheme="minorHAnsi" w:hAnsiTheme="minorHAnsi" w:cs="Calibri"/>
          <w:sz w:val="18"/>
        </w:rPr>
        <w:t xml:space="preserve"> Na podstawie </w:t>
      </w:r>
      <w:r w:rsidRPr="00774882">
        <w:rPr>
          <w:rFonts w:asciiTheme="minorHAnsi" w:hAnsiTheme="minorHAnsi" w:cs="Calibri"/>
          <w:i/>
          <w:sz w:val="18"/>
        </w:rPr>
        <w:t xml:space="preserve">Uchwały nr 66 Komitetu Koordynacyjnego ds. Polityki Rozwoju z dnia 30 czerwca 2017 r. ws. powołania międzyresortowych zespołów ds. aktualizacji i monitorowania strategii rozwoju realizujących Strategię na rzecz Odpowiedzialnego Rozwoju do roku 2020 (z perspektywą do 2030 r.) </w:t>
      </w:r>
      <w:r w:rsidRPr="00774882">
        <w:rPr>
          <w:rFonts w:asciiTheme="minorHAnsi" w:hAnsiTheme="minorHAnsi" w:cs="Calibri"/>
          <w:sz w:val="18"/>
        </w:rPr>
        <w:t xml:space="preserve">utworzono 9 zespołów: Zespół ds. Strategii innowacyjności i efektywności gospodarki (Nowa Polityka Przemysłowa), Zespół ds. Strategii rozwoju kapitału ludzkiego, Zespół ds. Strategii rozwoju kapitału społecznego (współdziałanie kultura, kreatywność), Zespół ds. Strategii Sprawne Państwo, Zespół ds. Krajowej Strategii Rozwoju Regionalnego, Zespół ds. zrównoważonego rozwoju wsi, rolnictwa i rybactwa, Zespół ds. Strategii rozwoju transportu, Zespół ds. </w:t>
      </w:r>
      <w:r w:rsidRPr="00774882">
        <w:rPr>
          <w:rFonts w:asciiTheme="minorHAnsi" w:hAnsiTheme="minorHAnsi" w:cs="Calibri"/>
          <w:sz w:val="18"/>
          <w:szCs w:val="18"/>
        </w:rPr>
        <w:t>Polityki Energetycznej Polski, Zespół ds. Strategii zarządzania środowiskiem (Polityki Ekologicznej Państwa).</w:t>
      </w:r>
    </w:p>
  </w:footnote>
  <w:footnote w:id="131">
    <w:p w14:paraId="3E24E149" w14:textId="53BB565B" w:rsidR="005D4C4C" w:rsidRPr="00774882" w:rsidRDefault="005D4C4C" w:rsidP="0006375D">
      <w:pPr>
        <w:pStyle w:val="Tekstprzypisudolnego"/>
        <w:spacing w:after="60"/>
        <w:ind w:left="284" w:hanging="284"/>
        <w:jc w:val="both"/>
        <w:rPr>
          <w:rFonts w:asciiTheme="minorHAnsi" w:hAnsiTheme="minorHAnsi"/>
          <w:sz w:val="18"/>
          <w:szCs w:val="18"/>
        </w:rPr>
      </w:pPr>
      <w:r w:rsidRPr="00774882">
        <w:rPr>
          <w:rStyle w:val="Odwoanieprzypisudolnego"/>
          <w:rFonts w:asciiTheme="minorHAnsi" w:hAnsiTheme="minorHAnsi"/>
          <w:sz w:val="18"/>
          <w:szCs w:val="18"/>
        </w:rPr>
        <w:footnoteRef/>
      </w:r>
      <w:r w:rsidRPr="00774882">
        <w:rPr>
          <w:rFonts w:asciiTheme="minorHAnsi" w:hAnsiTheme="minorHAnsi"/>
          <w:sz w:val="18"/>
          <w:szCs w:val="18"/>
        </w:rPr>
        <w:t xml:space="preserve"> STRATEG – to system stworzony przez GUS na potrzeby programowania i monitorowania polityki rozwoju. Zgromadzono w nim wskaźniki wykorzystywane do monitorowania realizacji strategii obowiązujących w Polsce (na poziomie krajowym, ponadregionalnym i wojewódzkim) oraz w Unii Europejskiej (strategia Europa 2020). Dodatkowo system udostępnia dane statystyczne istotne dla realizacji polityki spójności. Uzupełnieniem danych liczbowych są definicje</w:t>
      </w:r>
      <w:r w:rsidRPr="0006375D">
        <w:rPr>
          <w:rFonts w:asciiTheme="minorHAnsi" w:hAnsiTheme="minorHAnsi"/>
        </w:rPr>
        <w:t xml:space="preserve"> </w:t>
      </w:r>
      <w:r w:rsidRPr="00774882">
        <w:rPr>
          <w:rFonts w:asciiTheme="minorHAnsi" w:hAnsiTheme="minorHAnsi"/>
          <w:sz w:val="18"/>
          <w:szCs w:val="18"/>
        </w:rPr>
        <w:t>pojęć i informacje metodologiczne. Wraz z bogatym zestawem bazodanowym STRATEG oferuje funkcjonalne narzędzia ułatwiające analizę zjawisk w formie wykresów, map i raportów.</w:t>
      </w:r>
    </w:p>
  </w:footnote>
  <w:footnote w:id="132">
    <w:p w14:paraId="67292BBD" w14:textId="77777777" w:rsidR="005D4C4C" w:rsidRPr="00E9243F" w:rsidRDefault="005D4C4C" w:rsidP="0000687E">
      <w:pPr>
        <w:pStyle w:val="Tekstprzypisudolnego"/>
        <w:rPr>
          <w:rFonts w:asciiTheme="minorHAnsi" w:hAnsiTheme="minorHAnsi"/>
          <w:sz w:val="18"/>
        </w:rPr>
      </w:pPr>
      <w:r w:rsidRPr="00E9243F">
        <w:rPr>
          <w:rStyle w:val="Odwoanieprzypisudolnego"/>
          <w:rFonts w:asciiTheme="minorHAnsi" w:hAnsiTheme="minorHAnsi"/>
          <w:sz w:val="18"/>
        </w:rPr>
        <w:footnoteRef/>
      </w:r>
      <w:r w:rsidRPr="00E9243F">
        <w:rPr>
          <w:rFonts w:asciiTheme="minorHAnsi" w:hAnsiTheme="minorHAnsi"/>
          <w:sz w:val="18"/>
        </w:rPr>
        <w:t xml:space="preserve"> Gospodarstwo domowe rozumiane zgodnie z Narodowym Planem Szerokopasmowym jako lokal mieszkalny.</w:t>
      </w:r>
    </w:p>
  </w:footnote>
  <w:footnote w:id="133">
    <w:p w14:paraId="317FD28B" w14:textId="77777777" w:rsidR="005D4C4C" w:rsidRPr="00E9243F" w:rsidRDefault="005D4C4C" w:rsidP="0000687E">
      <w:pPr>
        <w:pStyle w:val="Tekstprzypisudolnego"/>
        <w:rPr>
          <w:rFonts w:asciiTheme="minorHAnsi" w:hAnsiTheme="minorHAnsi"/>
          <w:sz w:val="18"/>
        </w:rPr>
      </w:pPr>
      <w:r w:rsidRPr="00E9243F">
        <w:rPr>
          <w:rStyle w:val="Odwoanieprzypisudolnego"/>
          <w:rFonts w:asciiTheme="minorHAnsi" w:hAnsiTheme="minorHAnsi"/>
          <w:sz w:val="18"/>
        </w:rPr>
        <w:footnoteRef/>
      </w:r>
      <w:r w:rsidRPr="00E9243F">
        <w:rPr>
          <w:rFonts w:asciiTheme="minorHAnsi" w:hAnsiTheme="minorHAnsi"/>
          <w:sz w:val="18"/>
        </w:rPr>
        <w:t xml:space="preserve"> Gospodarstwo domowe rozumiane zgodnie z Narodowym Planem Szerokopasmowym jako lokal mieszkalny.</w:t>
      </w:r>
    </w:p>
  </w:footnote>
  <w:footnote w:id="134">
    <w:p w14:paraId="0FBCF305" w14:textId="4037CF58" w:rsidR="005D4C4C" w:rsidRPr="00E9243F" w:rsidRDefault="005D4C4C" w:rsidP="00463981">
      <w:pPr>
        <w:pStyle w:val="Tekstprzypisudolnego"/>
        <w:ind w:left="284" w:hanging="284"/>
        <w:rPr>
          <w:rFonts w:asciiTheme="minorHAnsi" w:hAnsiTheme="minorHAnsi"/>
          <w:sz w:val="18"/>
        </w:rPr>
      </w:pPr>
      <w:r w:rsidRPr="00E9243F">
        <w:rPr>
          <w:rStyle w:val="Odwoanieprzypisudolnego"/>
          <w:rFonts w:asciiTheme="minorHAnsi" w:hAnsiTheme="minorHAnsi"/>
          <w:sz w:val="18"/>
        </w:rPr>
        <w:footnoteRef/>
      </w:r>
      <w:r w:rsidRPr="00E9243F">
        <w:rPr>
          <w:rFonts w:asciiTheme="minorHAnsi" w:hAnsiTheme="minorHAnsi"/>
          <w:sz w:val="18"/>
        </w:rPr>
        <w:t xml:space="preserve"> Gospodarstwo domowe rozumiane zgodnie z Narodowym Planem Szerokopasmowym jako lokal mieszkalny. Możliwość zwiększenia do przepustowości mierzonej </w:t>
      </w:r>
      <w:r w:rsidRPr="00E9243F">
        <w:rPr>
          <w:rFonts w:asciiTheme="minorHAnsi" w:hAnsiTheme="minorHAnsi"/>
          <w:sz w:val="18"/>
        </w:rPr>
        <w:br/>
        <w:t>w gigabitach będzie oceniana na podstawie technologii łącza.</w:t>
      </w:r>
    </w:p>
  </w:footnote>
  <w:footnote w:id="135">
    <w:p w14:paraId="5EC3B618" w14:textId="77777777" w:rsidR="005D4C4C" w:rsidRPr="00E9243F" w:rsidRDefault="005D4C4C">
      <w:pPr>
        <w:pStyle w:val="Tekstprzypisudolnego"/>
        <w:rPr>
          <w:rFonts w:asciiTheme="minorHAnsi" w:hAnsiTheme="minorHAnsi"/>
          <w:sz w:val="18"/>
        </w:rPr>
      </w:pPr>
      <w:r w:rsidRPr="00E9243F">
        <w:rPr>
          <w:rStyle w:val="Odwoanieprzypisudolnego"/>
          <w:rFonts w:asciiTheme="minorHAnsi" w:hAnsiTheme="minorHAnsi"/>
          <w:sz w:val="18"/>
        </w:rPr>
        <w:footnoteRef/>
      </w:r>
      <w:r w:rsidRPr="00E9243F">
        <w:rPr>
          <w:rFonts w:asciiTheme="minorHAnsi" w:hAnsiTheme="minorHAnsi"/>
          <w:sz w:val="18"/>
        </w:rPr>
        <w:t xml:space="preserve"> Zgodnie z siecią TEN-T.</w:t>
      </w:r>
    </w:p>
  </w:footnote>
  <w:footnote w:id="136">
    <w:p w14:paraId="152DA82A" w14:textId="77777777" w:rsidR="005D4C4C" w:rsidRDefault="005D4C4C">
      <w:pPr>
        <w:pStyle w:val="Tekstprzypisudolnego"/>
      </w:pPr>
      <w:r w:rsidRPr="00E9243F">
        <w:rPr>
          <w:rStyle w:val="Odwoanieprzypisudolnego"/>
          <w:rFonts w:asciiTheme="minorHAnsi" w:hAnsiTheme="minorHAnsi"/>
          <w:sz w:val="18"/>
        </w:rPr>
        <w:footnoteRef/>
      </w:r>
      <w:r w:rsidRPr="00E9243F">
        <w:rPr>
          <w:rFonts w:asciiTheme="minorHAnsi" w:hAnsiTheme="minorHAnsi"/>
          <w:sz w:val="18"/>
        </w:rPr>
        <w:t xml:space="preserve"> Zgodnie z definicją Eurostatu.</w:t>
      </w:r>
    </w:p>
  </w:footnote>
  <w:footnote w:id="137">
    <w:p w14:paraId="41C47644" w14:textId="3D599842" w:rsidR="005D4C4C" w:rsidRPr="000025B3" w:rsidRDefault="005D4C4C" w:rsidP="000025B3">
      <w:pPr>
        <w:pStyle w:val="Tekstprzypisudolnego"/>
        <w:spacing w:after="60"/>
        <w:ind w:left="284" w:hanging="284"/>
        <w:jc w:val="both"/>
        <w:rPr>
          <w:rFonts w:asciiTheme="minorHAnsi" w:hAnsiTheme="minorHAnsi" w:cs="Arial"/>
        </w:rPr>
      </w:pPr>
      <w:r w:rsidRPr="000025B3">
        <w:rPr>
          <w:rStyle w:val="Odwoanieprzypisudolnego"/>
          <w:rFonts w:asciiTheme="minorHAnsi" w:hAnsiTheme="minorHAnsi" w:cs="Arial"/>
        </w:rPr>
        <w:footnoteRef/>
      </w:r>
      <w:r w:rsidRPr="000025B3">
        <w:rPr>
          <w:rFonts w:asciiTheme="minorHAnsi" w:hAnsiTheme="minorHAnsi" w:cs="Arial"/>
        </w:rPr>
        <w:t xml:space="preserve"> Dz. U. z 2018 r., poz. 2081</w:t>
      </w:r>
      <w:r>
        <w:rPr>
          <w:rFonts w:asciiTheme="minorHAnsi" w:hAnsiTheme="minorHAnsi" w:cs="Arial"/>
        </w:rPr>
        <w:t>,</w:t>
      </w:r>
      <w:r w:rsidRPr="000025B3">
        <w:rPr>
          <w:rFonts w:asciiTheme="minorHAnsi" w:hAnsiTheme="minorHAnsi" w:cs="Arial"/>
        </w:rPr>
        <w:t xml:space="preserve"> z późn. zm.</w:t>
      </w:r>
    </w:p>
  </w:footnote>
  <w:footnote w:id="138">
    <w:p w14:paraId="48868B10" w14:textId="327369FC" w:rsidR="005D4C4C" w:rsidRPr="00FA573A" w:rsidRDefault="005D4C4C" w:rsidP="000025B3">
      <w:pPr>
        <w:pStyle w:val="Nagwek1"/>
        <w:spacing w:before="0" w:after="60" w:line="240" w:lineRule="auto"/>
        <w:ind w:left="284" w:hanging="284"/>
        <w:jc w:val="both"/>
        <w:rPr>
          <w:rFonts w:asciiTheme="minorHAnsi" w:hAnsiTheme="minorHAnsi"/>
          <w:color w:val="auto"/>
          <w:sz w:val="20"/>
          <w:szCs w:val="20"/>
        </w:rPr>
      </w:pPr>
      <w:r w:rsidRPr="000025B3">
        <w:rPr>
          <w:rStyle w:val="Odwoanieprzypisudolnego"/>
          <w:rFonts w:asciiTheme="minorHAnsi" w:hAnsiTheme="minorHAnsi" w:cs="Arial"/>
          <w:color w:val="auto"/>
          <w:sz w:val="20"/>
          <w:szCs w:val="20"/>
        </w:rPr>
        <w:footnoteRef/>
      </w:r>
      <w:r w:rsidRPr="000025B3">
        <w:rPr>
          <w:rFonts w:asciiTheme="minorHAnsi" w:hAnsiTheme="minorHAnsi" w:cs="Arial"/>
          <w:color w:val="auto"/>
          <w:sz w:val="20"/>
          <w:szCs w:val="20"/>
        </w:rPr>
        <w:t xml:space="preserve"> </w:t>
      </w:r>
      <w:r w:rsidRPr="000025B3">
        <w:rPr>
          <w:rFonts w:asciiTheme="minorHAnsi" w:hAnsiTheme="minorHAnsi"/>
          <w:color w:val="auto"/>
          <w:sz w:val="20"/>
          <w:szCs w:val="20"/>
        </w:rPr>
        <w:t xml:space="preserve">Rozporządzenie Rady Ministrów z dnia 10 września 2019 r. </w:t>
      </w:r>
      <w:r w:rsidRPr="000025B3">
        <w:rPr>
          <w:rStyle w:val="highlight"/>
          <w:rFonts w:asciiTheme="minorHAnsi" w:hAnsiTheme="minorHAnsi"/>
          <w:color w:val="auto"/>
          <w:sz w:val="20"/>
          <w:szCs w:val="20"/>
        </w:rPr>
        <w:t>w</w:t>
      </w:r>
      <w:r w:rsidRPr="000025B3">
        <w:rPr>
          <w:rFonts w:asciiTheme="minorHAnsi" w:hAnsiTheme="minorHAnsi"/>
          <w:color w:val="auto"/>
          <w:sz w:val="20"/>
          <w:szCs w:val="20"/>
        </w:rPr>
        <w:t xml:space="preserve"> </w:t>
      </w:r>
      <w:r w:rsidRPr="000025B3">
        <w:rPr>
          <w:rStyle w:val="highlight"/>
          <w:rFonts w:asciiTheme="minorHAnsi" w:hAnsiTheme="minorHAnsi"/>
          <w:color w:val="auto"/>
          <w:sz w:val="20"/>
          <w:szCs w:val="20"/>
        </w:rPr>
        <w:t>sprawie</w:t>
      </w:r>
      <w:r w:rsidRPr="000025B3">
        <w:rPr>
          <w:rFonts w:asciiTheme="minorHAnsi" w:hAnsiTheme="minorHAnsi"/>
          <w:color w:val="auto"/>
          <w:sz w:val="20"/>
          <w:szCs w:val="20"/>
        </w:rPr>
        <w:t xml:space="preserve"> </w:t>
      </w:r>
      <w:r w:rsidRPr="000025B3">
        <w:rPr>
          <w:rStyle w:val="highlight"/>
          <w:rFonts w:asciiTheme="minorHAnsi" w:hAnsiTheme="minorHAnsi"/>
          <w:color w:val="auto"/>
          <w:sz w:val="20"/>
          <w:szCs w:val="20"/>
        </w:rPr>
        <w:t>przedsięwzięć</w:t>
      </w:r>
      <w:r w:rsidRPr="000025B3">
        <w:rPr>
          <w:rFonts w:asciiTheme="minorHAnsi" w:hAnsiTheme="minorHAnsi"/>
          <w:color w:val="auto"/>
          <w:sz w:val="20"/>
          <w:szCs w:val="20"/>
        </w:rPr>
        <w:t xml:space="preserve"> </w:t>
      </w:r>
      <w:r w:rsidRPr="000025B3">
        <w:rPr>
          <w:rStyle w:val="highlight"/>
          <w:rFonts w:asciiTheme="minorHAnsi" w:hAnsiTheme="minorHAnsi"/>
          <w:color w:val="auto"/>
          <w:sz w:val="20"/>
          <w:szCs w:val="20"/>
        </w:rPr>
        <w:t>mogących</w:t>
      </w:r>
      <w:r w:rsidRPr="000025B3">
        <w:rPr>
          <w:rFonts w:asciiTheme="minorHAnsi" w:hAnsiTheme="minorHAnsi"/>
          <w:color w:val="auto"/>
          <w:sz w:val="20"/>
          <w:szCs w:val="20"/>
        </w:rPr>
        <w:t xml:space="preserve"> znacząco oddziaływać na środowisko </w:t>
      </w:r>
      <w:hyperlink r:id="rId15" w:history="1">
        <w:r w:rsidRPr="00FA573A">
          <w:rPr>
            <w:rStyle w:val="Hipercze"/>
            <w:rFonts w:asciiTheme="minorHAnsi" w:hAnsiTheme="minorHAnsi"/>
            <w:color w:val="auto"/>
            <w:sz w:val="20"/>
            <w:szCs w:val="20"/>
            <w:u w:val="none"/>
          </w:rPr>
          <w:t>(Dz.U. z 2019 r. poz. 1839)</w:t>
        </w:r>
      </w:hyperlink>
    </w:p>
    <w:p w14:paraId="28F9DDC1" w14:textId="620BF3A3" w:rsidR="005D4C4C" w:rsidRPr="00B26B2E" w:rsidRDefault="005D4C4C" w:rsidP="000025B3">
      <w:pPr>
        <w:pStyle w:val="Tekstprzypisudolnego"/>
        <w:spacing w:after="60"/>
        <w:ind w:left="120" w:hanging="120"/>
        <w:jc w:val="both"/>
        <w:rPr>
          <w:rFonts w:ascii="Arial" w:hAnsi="Arial" w:cs="Arial"/>
          <w:sz w:val="14"/>
          <w:szCs w:val="14"/>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975AD"/>
    <w:multiLevelType w:val="hybridMultilevel"/>
    <w:tmpl w:val="7D14E05A"/>
    <w:lvl w:ilvl="0" w:tplc="895CEFC8">
      <w:start w:val="1"/>
      <w:numFmt w:val="ordinal"/>
      <w:lvlText w:val="%1"/>
      <w:lvlJc w:val="left"/>
      <w:pPr>
        <w:ind w:left="720" w:hanging="360"/>
      </w:pPr>
      <w:rPr>
        <w:rFonts w:ascii="Calibri" w:hAnsi="Calibri"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F67227"/>
    <w:multiLevelType w:val="hybridMultilevel"/>
    <w:tmpl w:val="235C0974"/>
    <w:lvl w:ilvl="0" w:tplc="895CEFC8">
      <w:start w:val="1"/>
      <w:numFmt w:val="ordinal"/>
      <w:lvlText w:val="%1"/>
      <w:lvlJc w:val="left"/>
      <w:pPr>
        <w:ind w:left="720" w:hanging="360"/>
      </w:pPr>
      <w:rPr>
        <w:rFonts w:ascii="Calibri" w:hAnsi="Calibri"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27D14BA"/>
    <w:multiLevelType w:val="hybridMultilevel"/>
    <w:tmpl w:val="72F6C500"/>
    <w:lvl w:ilvl="0" w:tplc="215C0BC4">
      <w:start w:val="1"/>
      <w:numFmt w:val="bullet"/>
      <w:lvlText w:val=""/>
      <w:lvlJc w:val="left"/>
      <w:pPr>
        <w:ind w:left="720" w:hanging="360"/>
      </w:pPr>
      <w:rPr>
        <w:rFonts w:ascii="Wingdings" w:hAnsi="Wingdings" w:hint="default"/>
        <w:color w:val="2F5496" w:themeColor="accent5"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034830"/>
    <w:multiLevelType w:val="hybridMultilevel"/>
    <w:tmpl w:val="16BA5AD4"/>
    <w:lvl w:ilvl="0" w:tplc="F5E85A20">
      <w:start w:val="1"/>
      <w:numFmt w:val="bullet"/>
      <w:lvlText w:val=""/>
      <w:lvlJc w:val="left"/>
      <w:pPr>
        <w:ind w:left="720" w:hanging="360"/>
      </w:pPr>
      <w:rPr>
        <w:rFonts w:ascii="Wingdings" w:hAnsi="Wingdings" w:hint="default"/>
        <w:color w:val="538135" w:themeColor="accent6" w:themeShade="BF"/>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3D0696C"/>
    <w:multiLevelType w:val="hybridMultilevel"/>
    <w:tmpl w:val="4FD61814"/>
    <w:lvl w:ilvl="0" w:tplc="0415000B">
      <w:start w:val="1"/>
      <w:numFmt w:val="bullet"/>
      <w:lvlText w:val=""/>
      <w:lvlJc w:val="left"/>
      <w:pPr>
        <w:tabs>
          <w:tab w:val="num" w:pos="900"/>
        </w:tabs>
        <w:ind w:left="900" w:hanging="360"/>
      </w:pPr>
      <w:rPr>
        <w:rFonts w:ascii="Wingdings" w:hAnsi="Wingding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15:restartNumberingAfterBreak="0">
    <w:nsid w:val="04705B65"/>
    <w:multiLevelType w:val="hybridMultilevel"/>
    <w:tmpl w:val="E850F2AC"/>
    <w:lvl w:ilvl="0" w:tplc="215C0BC4">
      <w:start w:val="1"/>
      <w:numFmt w:val="bullet"/>
      <w:lvlText w:val=""/>
      <w:lvlJc w:val="left"/>
      <w:pPr>
        <w:ind w:left="720" w:hanging="360"/>
      </w:pPr>
      <w:rPr>
        <w:rFonts w:ascii="Wingdings" w:hAnsi="Wingdings" w:hint="default"/>
        <w:color w:val="2F5496" w:themeColor="accent5"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5B6382E"/>
    <w:multiLevelType w:val="hybridMultilevel"/>
    <w:tmpl w:val="ED1AC7E4"/>
    <w:lvl w:ilvl="0" w:tplc="215C0BC4">
      <w:start w:val="1"/>
      <w:numFmt w:val="bullet"/>
      <w:lvlText w:val=""/>
      <w:lvlJc w:val="left"/>
      <w:pPr>
        <w:ind w:left="720" w:hanging="360"/>
      </w:pPr>
      <w:rPr>
        <w:rFonts w:ascii="Wingdings" w:hAnsi="Wingdings" w:hint="default"/>
        <w:color w:val="2F5496" w:themeColor="accent5"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5BE0B48"/>
    <w:multiLevelType w:val="hybridMultilevel"/>
    <w:tmpl w:val="D36C78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6A06094"/>
    <w:multiLevelType w:val="hybridMultilevel"/>
    <w:tmpl w:val="B12C8FD4"/>
    <w:lvl w:ilvl="0" w:tplc="1D825C2A">
      <w:start w:val="1"/>
      <w:numFmt w:val="bullet"/>
      <w:lvlText w:val=""/>
      <w:lvlJc w:val="left"/>
      <w:pPr>
        <w:ind w:left="720" w:hanging="360"/>
      </w:pPr>
      <w:rPr>
        <w:rFonts w:ascii="Wingdings" w:hAnsi="Wingdings" w:hint="default"/>
        <w:color w:val="FFD966" w:themeColor="accent4" w:themeTint="99"/>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A0A4415"/>
    <w:multiLevelType w:val="hybridMultilevel"/>
    <w:tmpl w:val="291A39BC"/>
    <w:lvl w:ilvl="0" w:tplc="33B07862">
      <w:start w:val="1"/>
      <w:numFmt w:val="bullet"/>
      <w:lvlText w:val=""/>
      <w:lvlJc w:val="left"/>
      <w:pPr>
        <w:ind w:left="1854" w:hanging="360"/>
      </w:pPr>
      <w:rPr>
        <w:rFonts w:ascii="Wingdings" w:hAnsi="Wingdings" w:hint="default"/>
        <w:color w:val="538135" w:themeColor="accent6" w:themeShade="BF"/>
      </w:rPr>
    </w:lvl>
    <w:lvl w:ilvl="1" w:tplc="04150003">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0" w15:restartNumberingAfterBreak="0">
    <w:nsid w:val="0C8A4B0C"/>
    <w:multiLevelType w:val="hybridMultilevel"/>
    <w:tmpl w:val="EBA0EC30"/>
    <w:lvl w:ilvl="0" w:tplc="6BC260BA">
      <w:start w:val="1"/>
      <w:numFmt w:val="bullet"/>
      <w:lvlText w:val=""/>
      <w:lvlJc w:val="left"/>
      <w:pPr>
        <w:ind w:left="720" w:hanging="360"/>
      </w:pPr>
      <w:rPr>
        <w:rFonts w:ascii="Wingdings" w:hAnsi="Wingdings" w:hint="default"/>
        <w:color w:val="FFD966" w:themeColor="accent4" w:themeTint="99"/>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2452484"/>
    <w:multiLevelType w:val="hybridMultilevel"/>
    <w:tmpl w:val="4E4059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82E513D"/>
    <w:multiLevelType w:val="hybridMultilevel"/>
    <w:tmpl w:val="97A2B7CC"/>
    <w:lvl w:ilvl="0" w:tplc="A8B263D6">
      <w:numFmt w:val="bullet"/>
      <w:lvlText w:val="–"/>
      <w:lvlJc w:val="left"/>
      <w:pPr>
        <w:ind w:left="360" w:hanging="360"/>
      </w:pPr>
      <w:rPr>
        <w:rFonts w:ascii="Book Antiqua" w:hAnsi="Book Antiqua" w:cs="Times New Roman" w:hint="default"/>
        <w:b w:val="0"/>
        <w:i w:val="0"/>
        <w:caps w:val="0"/>
        <w:strike w:val="0"/>
        <w:dstrike w:val="0"/>
        <w:vanish w:val="0"/>
        <w:sz w:val="20"/>
        <w:vertAlign w:val="baseline"/>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19C30452"/>
    <w:multiLevelType w:val="hybridMultilevel"/>
    <w:tmpl w:val="B5BC899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9D24CC6"/>
    <w:multiLevelType w:val="hybridMultilevel"/>
    <w:tmpl w:val="1644A3F0"/>
    <w:lvl w:ilvl="0" w:tplc="895CEFC8">
      <w:start w:val="1"/>
      <w:numFmt w:val="ordinal"/>
      <w:lvlText w:val="%1"/>
      <w:lvlJc w:val="left"/>
      <w:pPr>
        <w:ind w:left="720" w:hanging="360"/>
      </w:pPr>
      <w:rPr>
        <w:rFonts w:ascii="Calibri" w:hAnsi="Calibri"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B275880"/>
    <w:multiLevelType w:val="hybridMultilevel"/>
    <w:tmpl w:val="DE1EB062"/>
    <w:lvl w:ilvl="0" w:tplc="895CEFC8">
      <w:start w:val="1"/>
      <w:numFmt w:val="ordinal"/>
      <w:lvlText w:val="%1"/>
      <w:lvlJc w:val="left"/>
      <w:pPr>
        <w:ind w:left="720" w:hanging="360"/>
      </w:pPr>
      <w:rPr>
        <w:rFonts w:ascii="Calibri" w:hAnsi="Calibri"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B6B193E"/>
    <w:multiLevelType w:val="hybridMultilevel"/>
    <w:tmpl w:val="1A70A9A2"/>
    <w:lvl w:ilvl="0" w:tplc="BFD860C8">
      <w:start w:val="1"/>
      <w:numFmt w:val="bullet"/>
      <w:lvlText w:val=""/>
      <w:lvlJc w:val="left"/>
      <w:pPr>
        <w:ind w:left="720" w:hanging="360"/>
      </w:pPr>
      <w:rPr>
        <w:rFonts w:ascii="Wingdings" w:hAnsi="Wingdings" w:hint="default"/>
        <w:color w:val="538135" w:themeColor="accent6"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CBB5698"/>
    <w:multiLevelType w:val="hybridMultilevel"/>
    <w:tmpl w:val="AC5E00EC"/>
    <w:lvl w:ilvl="0" w:tplc="215C0BC4">
      <w:start w:val="1"/>
      <w:numFmt w:val="bullet"/>
      <w:lvlText w:val=""/>
      <w:lvlJc w:val="left"/>
      <w:pPr>
        <w:ind w:left="1440" w:hanging="360"/>
      </w:pPr>
      <w:rPr>
        <w:rFonts w:ascii="Wingdings" w:hAnsi="Wingdings" w:hint="default"/>
        <w:color w:val="2F5496" w:themeColor="accent5" w:themeShade="BF"/>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18" w15:restartNumberingAfterBreak="0">
    <w:nsid w:val="1D7E2EEF"/>
    <w:multiLevelType w:val="hybridMultilevel"/>
    <w:tmpl w:val="76B0C7D4"/>
    <w:lvl w:ilvl="0" w:tplc="1D825C2A">
      <w:start w:val="1"/>
      <w:numFmt w:val="bullet"/>
      <w:lvlText w:val=""/>
      <w:lvlJc w:val="left"/>
      <w:pPr>
        <w:ind w:left="1440" w:hanging="360"/>
      </w:pPr>
      <w:rPr>
        <w:rFonts w:ascii="Wingdings" w:hAnsi="Wingdings" w:hint="default"/>
        <w:color w:val="FFD966" w:themeColor="accent4" w:themeTint="99"/>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 w15:restartNumberingAfterBreak="0">
    <w:nsid w:val="20756E15"/>
    <w:multiLevelType w:val="hybridMultilevel"/>
    <w:tmpl w:val="BE1E3870"/>
    <w:lvl w:ilvl="0" w:tplc="BFD860C8">
      <w:start w:val="1"/>
      <w:numFmt w:val="bullet"/>
      <w:lvlText w:val=""/>
      <w:lvlJc w:val="left"/>
      <w:pPr>
        <w:ind w:left="720" w:hanging="360"/>
      </w:pPr>
      <w:rPr>
        <w:rFonts w:ascii="Wingdings" w:hAnsi="Wingdings" w:hint="default"/>
        <w:color w:val="538135" w:themeColor="accent6" w:themeShade="BF"/>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18779AE"/>
    <w:multiLevelType w:val="hybridMultilevel"/>
    <w:tmpl w:val="C3CAABB6"/>
    <w:lvl w:ilvl="0" w:tplc="0415000B">
      <w:start w:val="1"/>
      <w:numFmt w:val="bullet"/>
      <w:lvlText w:val=""/>
      <w:lvlJc w:val="left"/>
      <w:pPr>
        <w:ind w:left="1287" w:hanging="360"/>
      </w:pPr>
      <w:rPr>
        <w:rFonts w:ascii="Wingdings" w:hAnsi="Wingdings"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21" w15:restartNumberingAfterBreak="0">
    <w:nsid w:val="230E0306"/>
    <w:multiLevelType w:val="hybridMultilevel"/>
    <w:tmpl w:val="78664010"/>
    <w:lvl w:ilvl="0" w:tplc="BFD860C8">
      <w:start w:val="1"/>
      <w:numFmt w:val="bullet"/>
      <w:lvlText w:val=""/>
      <w:lvlJc w:val="left"/>
      <w:pPr>
        <w:ind w:left="720" w:hanging="360"/>
      </w:pPr>
      <w:rPr>
        <w:rFonts w:ascii="Wingdings" w:hAnsi="Wingdings" w:hint="default"/>
        <w:color w:val="538135" w:themeColor="accent6" w:themeShade="BF"/>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4371B86"/>
    <w:multiLevelType w:val="hybridMultilevel"/>
    <w:tmpl w:val="D2AE0230"/>
    <w:lvl w:ilvl="0" w:tplc="1D825C2A">
      <w:start w:val="1"/>
      <w:numFmt w:val="bullet"/>
      <w:lvlText w:val=""/>
      <w:lvlJc w:val="left"/>
      <w:pPr>
        <w:ind w:left="720" w:hanging="360"/>
      </w:pPr>
      <w:rPr>
        <w:rFonts w:ascii="Wingdings" w:hAnsi="Wingdings" w:hint="default"/>
        <w:color w:val="FFD966" w:themeColor="accent4" w:themeTint="99"/>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516096B"/>
    <w:multiLevelType w:val="hybridMultilevel"/>
    <w:tmpl w:val="E954E4F8"/>
    <w:lvl w:ilvl="0" w:tplc="895CEFC8">
      <w:start w:val="1"/>
      <w:numFmt w:val="ordinal"/>
      <w:lvlText w:val="%1"/>
      <w:lvlJc w:val="left"/>
      <w:pPr>
        <w:ind w:left="720" w:hanging="360"/>
      </w:pPr>
      <w:rPr>
        <w:rFonts w:ascii="Calibri" w:hAnsi="Calibri"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5560309"/>
    <w:multiLevelType w:val="hybridMultilevel"/>
    <w:tmpl w:val="647663B0"/>
    <w:lvl w:ilvl="0" w:tplc="71F0A07E">
      <w:start w:val="1"/>
      <w:numFmt w:val="bullet"/>
      <w:lvlText w:val=""/>
      <w:lvlJc w:val="left"/>
      <w:pPr>
        <w:ind w:left="720" w:hanging="360"/>
      </w:pPr>
      <w:rPr>
        <w:rFonts w:ascii="Wingdings" w:hAnsi="Wingdings" w:hint="default"/>
        <w:color w:val="F4B083" w:themeColor="accent2" w:themeTint="99"/>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6AB1C68"/>
    <w:multiLevelType w:val="hybridMultilevel"/>
    <w:tmpl w:val="F1EC7AB0"/>
    <w:lvl w:ilvl="0" w:tplc="0415000B">
      <w:start w:val="1"/>
      <w:numFmt w:val="bullet"/>
      <w:lvlText w:val=""/>
      <w:lvlJc w:val="left"/>
      <w:pPr>
        <w:ind w:left="1494" w:hanging="360"/>
      </w:pPr>
      <w:rPr>
        <w:rFonts w:ascii="Wingdings" w:hAnsi="Wingdings"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26" w15:restartNumberingAfterBreak="0">
    <w:nsid w:val="29E910B7"/>
    <w:multiLevelType w:val="hybridMultilevel"/>
    <w:tmpl w:val="0400E0EC"/>
    <w:lvl w:ilvl="0" w:tplc="215C0BC4">
      <w:start w:val="1"/>
      <w:numFmt w:val="bullet"/>
      <w:lvlText w:val=""/>
      <w:lvlJc w:val="left"/>
      <w:pPr>
        <w:ind w:left="720" w:hanging="360"/>
      </w:pPr>
      <w:rPr>
        <w:rFonts w:ascii="Wingdings" w:hAnsi="Wingdings" w:hint="default"/>
        <w:color w:val="2F5496" w:themeColor="accent5"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CE757F0"/>
    <w:multiLevelType w:val="hybridMultilevel"/>
    <w:tmpl w:val="4DBEC3D0"/>
    <w:lvl w:ilvl="0" w:tplc="9D321752">
      <w:start w:val="1"/>
      <w:numFmt w:val="lowerLetter"/>
      <w:lvlText w:val="%1)"/>
      <w:lvlJc w:val="left"/>
      <w:pPr>
        <w:ind w:left="360" w:hanging="360"/>
      </w:pPr>
      <w:rPr>
        <w:rFonts w:ascii="Calibri" w:eastAsiaTheme="minorHAnsi" w:hAnsi="Calibri" w:cs="Times New Roman"/>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2D6E03E9"/>
    <w:multiLevelType w:val="hybridMultilevel"/>
    <w:tmpl w:val="7B9817FC"/>
    <w:lvl w:ilvl="0" w:tplc="215C0BC4">
      <w:start w:val="1"/>
      <w:numFmt w:val="bullet"/>
      <w:lvlText w:val=""/>
      <w:lvlJc w:val="left"/>
      <w:pPr>
        <w:ind w:left="1440" w:hanging="360"/>
      </w:pPr>
      <w:rPr>
        <w:rFonts w:ascii="Wingdings" w:hAnsi="Wingdings" w:hint="default"/>
        <w:color w:val="2F5496" w:themeColor="accent5" w:themeShade="BF"/>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29" w15:restartNumberingAfterBreak="0">
    <w:nsid w:val="2DD33D02"/>
    <w:multiLevelType w:val="hybridMultilevel"/>
    <w:tmpl w:val="CC18400E"/>
    <w:lvl w:ilvl="0" w:tplc="71F0A07E">
      <w:start w:val="1"/>
      <w:numFmt w:val="bullet"/>
      <w:lvlText w:val=""/>
      <w:lvlJc w:val="left"/>
      <w:pPr>
        <w:ind w:left="1003" w:hanging="360"/>
      </w:pPr>
      <w:rPr>
        <w:rFonts w:ascii="Wingdings" w:hAnsi="Wingdings" w:hint="default"/>
        <w:color w:val="F4B083" w:themeColor="accent2" w:themeTint="99"/>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30" w15:restartNumberingAfterBreak="0">
    <w:nsid w:val="2EF10315"/>
    <w:multiLevelType w:val="hybridMultilevel"/>
    <w:tmpl w:val="A3BE1B6E"/>
    <w:lvl w:ilvl="0" w:tplc="B3E4CF7E">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1" w15:restartNumberingAfterBreak="0">
    <w:nsid w:val="357E5A8F"/>
    <w:multiLevelType w:val="hybridMultilevel"/>
    <w:tmpl w:val="D2E057A4"/>
    <w:lvl w:ilvl="0" w:tplc="BFD860C8">
      <w:start w:val="1"/>
      <w:numFmt w:val="bullet"/>
      <w:lvlText w:val=""/>
      <w:lvlJc w:val="left"/>
      <w:pPr>
        <w:ind w:left="786" w:hanging="360"/>
      </w:pPr>
      <w:rPr>
        <w:rFonts w:ascii="Wingdings" w:hAnsi="Wingdings" w:hint="default"/>
        <w:color w:val="538135" w:themeColor="accent6" w:themeShade="BF"/>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32" w15:restartNumberingAfterBreak="0">
    <w:nsid w:val="36756D30"/>
    <w:multiLevelType w:val="hybridMultilevel"/>
    <w:tmpl w:val="94E0D6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15:restartNumberingAfterBreak="0">
    <w:nsid w:val="379E6537"/>
    <w:multiLevelType w:val="hybridMultilevel"/>
    <w:tmpl w:val="8ABE3F8E"/>
    <w:lvl w:ilvl="0" w:tplc="71F0A07E">
      <w:start w:val="1"/>
      <w:numFmt w:val="bullet"/>
      <w:lvlText w:val=""/>
      <w:lvlJc w:val="left"/>
      <w:pPr>
        <w:ind w:left="720" w:hanging="360"/>
      </w:pPr>
      <w:rPr>
        <w:rFonts w:ascii="Wingdings" w:hAnsi="Wingdings" w:hint="default"/>
        <w:color w:val="F4B083" w:themeColor="accent2" w:themeTint="99"/>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7DA543F"/>
    <w:multiLevelType w:val="hybridMultilevel"/>
    <w:tmpl w:val="E0662C7E"/>
    <w:lvl w:ilvl="0" w:tplc="33B07862">
      <w:start w:val="1"/>
      <w:numFmt w:val="bullet"/>
      <w:lvlText w:val=""/>
      <w:lvlJc w:val="left"/>
      <w:pPr>
        <w:ind w:left="720" w:hanging="360"/>
      </w:pPr>
      <w:rPr>
        <w:rFonts w:ascii="Wingdings" w:hAnsi="Wingdings" w:hint="default"/>
        <w:color w:val="538135" w:themeColor="accent6" w:themeShade="BF"/>
      </w:rPr>
    </w:lvl>
    <w:lvl w:ilvl="1" w:tplc="384AEB46">
      <w:start w:val="21"/>
      <w:numFmt w:val="bullet"/>
      <w:lvlText w:val="•"/>
      <w:lvlJc w:val="left"/>
      <w:pPr>
        <w:ind w:left="1785" w:hanging="705"/>
      </w:pPr>
      <w:rPr>
        <w:rFonts w:ascii="Calibri" w:eastAsia="Calibri" w:hAnsi="Calibri" w:cstheme="minorHAns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9355780"/>
    <w:multiLevelType w:val="hybridMultilevel"/>
    <w:tmpl w:val="33F0CF7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9B05A98"/>
    <w:multiLevelType w:val="hybridMultilevel"/>
    <w:tmpl w:val="8FBCB42C"/>
    <w:lvl w:ilvl="0" w:tplc="0415000F">
      <w:start w:val="1"/>
      <w:numFmt w:val="decimal"/>
      <w:lvlText w:val="%1."/>
      <w:lvlJc w:val="left"/>
      <w:pPr>
        <w:ind w:left="2280" w:hanging="360"/>
      </w:pPr>
    </w:lvl>
    <w:lvl w:ilvl="1" w:tplc="04150019" w:tentative="1">
      <w:start w:val="1"/>
      <w:numFmt w:val="lowerLetter"/>
      <w:lvlText w:val="%2."/>
      <w:lvlJc w:val="left"/>
      <w:pPr>
        <w:ind w:left="3000" w:hanging="360"/>
      </w:pPr>
    </w:lvl>
    <w:lvl w:ilvl="2" w:tplc="0415001B" w:tentative="1">
      <w:start w:val="1"/>
      <w:numFmt w:val="lowerRoman"/>
      <w:lvlText w:val="%3."/>
      <w:lvlJc w:val="right"/>
      <w:pPr>
        <w:ind w:left="3720" w:hanging="180"/>
      </w:pPr>
    </w:lvl>
    <w:lvl w:ilvl="3" w:tplc="0415000F" w:tentative="1">
      <w:start w:val="1"/>
      <w:numFmt w:val="decimal"/>
      <w:lvlText w:val="%4."/>
      <w:lvlJc w:val="left"/>
      <w:pPr>
        <w:ind w:left="4440" w:hanging="360"/>
      </w:pPr>
    </w:lvl>
    <w:lvl w:ilvl="4" w:tplc="04150019" w:tentative="1">
      <w:start w:val="1"/>
      <w:numFmt w:val="lowerLetter"/>
      <w:lvlText w:val="%5."/>
      <w:lvlJc w:val="left"/>
      <w:pPr>
        <w:ind w:left="5160" w:hanging="360"/>
      </w:pPr>
    </w:lvl>
    <w:lvl w:ilvl="5" w:tplc="0415001B" w:tentative="1">
      <w:start w:val="1"/>
      <w:numFmt w:val="lowerRoman"/>
      <w:lvlText w:val="%6."/>
      <w:lvlJc w:val="right"/>
      <w:pPr>
        <w:ind w:left="5880" w:hanging="180"/>
      </w:pPr>
    </w:lvl>
    <w:lvl w:ilvl="6" w:tplc="0415000F" w:tentative="1">
      <w:start w:val="1"/>
      <w:numFmt w:val="decimal"/>
      <w:lvlText w:val="%7."/>
      <w:lvlJc w:val="left"/>
      <w:pPr>
        <w:ind w:left="6600" w:hanging="360"/>
      </w:pPr>
    </w:lvl>
    <w:lvl w:ilvl="7" w:tplc="04150019" w:tentative="1">
      <w:start w:val="1"/>
      <w:numFmt w:val="lowerLetter"/>
      <w:lvlText w:val="%8."/>
      <w:lvlJc w:val="left"/>
      <w:pPr>
        <w:ind w:left="7320" w:hanging="360"/>
      </w:pPr>
    </w:lvl>
    <w:lvl w:ilvl="8" w:tplc="0415001B" w:tentative="1">
      <w:start w:val="1"/>
      <w:numFmt w:val="lowerRoman"/>
      <w:lvlText w:val="%9."/>
      <w:lvlJc w:val="right"/>
      <w:pPr>
        <w:ind w:left="8040" w:hanging="180"/>
      </w:pPr>
    </w:lvl>
  </w:abstractNum>
  <w:abstractNum w:abstractNumId="37" w15:restartNumberingAfterBreak="0">
    <w:nsid w:val="3A365D71"/>
    <w:multiLevelType w:val="hybridMultilevel"/>
    <w:tmpl w:val="F8C07CD6"/>
    <w:lvl w:ilvl="0" w:tplc="96D03638">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CAD72B7"/>
    <w:multiLevelType w:val="hybridMultilevel"/>
    <w:tmpl w:val="D250F5B6"/>
    <w:lvl w:ilvl="0" w:tplc="0B46E224">
      <w:start w:val="1"/>
      <w:numFmt w:val="bullet"/>
      <w:lvlText w:val=""/>
      <w:lvlJc w:val="left"/>
      <w:pPr>
        <w:ind w:left="720" w:hanging="360"/>
      </w:pPr>
      <w:rPr>
        <w:rFonts w:ascii="Wingdings" w:hAnsi="Wingdings" w:hint="default"/>
        <w:b w:val="0"/>
        <w:i w:val="0"/>
        <w:caps w:val="0"/>
        <w:strike w:val="0"/>
        <w:dstrike w:val="0"/>
        <w:vanish w:val="0"/>
        <w:color w:val="BF8F00" w:themeColor="accent4" w:themeShade="BF"/>
        <w:sz w:val="20"/>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D5B0AB3"/>
    <w:multiLevelType w:val="hybridMultilevel"/>
    <w:tmpl w:val="3ABCC884"/>
    <w:lvl w:ilvl="0" w:tplc="1D825C2A">
      <w:start w:val="1"/>
      <w:numFmt w:val="bullet"/>
      <w:lvlText w:val=""/>
      <w:lvlJc w:val="left"/>
      <w:pPr>
        <w:ind w:left="862" w:hanging="360"/>
      </w:pPr>
      <w:rPr>
        <w:rFonts w:ascii="Wingdings" w:hAnsi="Wingdings" w:hint="default"/>
        <w:b w:val="0"/>
        <w:i w:val="0"/>
        <w:color w:val="FFD966" w:themeColor="accent4" w:themeTint="99"/>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0" w15:restartNumberingAfterBreak="0">
    <w:nsid w:val="41ED6E09"/>
    <w:multiLevelType w:val="hybridMultilevel"/>
    <w:tmpl w:val="40FEAA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2CA1386"/>
    <w:multiLevelType w:val="hybridMultilevel"/>
    <w:tmpl w:val="4D4A8736"/>
    <w:lvl w:ilvl="0" w:tplc="1D825C2A">
      <w:start w:val="1"/>
      <w:numFmt w:val="bullet"/>
      <w:lvlText w:val=""/>
      <w:lvlJc w:val="left"/>
      <w:pPr>
        <w:ind w:left="720" w:hanging="360"/>
      </w:pPr>
      <w:rPr>
        <w:rFonts w:ascii="Wingdings" w:hAnsi="Wingdings" w:hint="default"/>
        <w:color w:val="FFD966" w:themeColor="accent4" w:themeTint="99"/>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302689A"/>
    <w:multiLevelType w:val="hybridMultilevel"/>
    <w:tmpl w:val="56CAE1A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491212D"/>
    <w:multiLevelType w:val="hybridMultilevel"/>
    <w:tmpl w:val="C7F4830C"/>
    <w:lvl w:ilvl="0" w:tplc="1D825C2A">
      <w:start w:val="1"/>
      <w:numFmt w:val="bullet"/>
      <w:lvlText w:val=""/>
      <w:lvlJc w:val="left"/>
      <w:pPr>
        <w:ind w:left="720" w:hanging="360"/>
      </w:pPr>
      <w:rPr>
        <w:rFonts w:ascii="Wingdings" w:hAnsi="Wingdings" w:hint="default"/>
        <w:color w:val="FFD966" w:themeColor="accent4" w:themeTint="99"/>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5587AB7"/>
    <w:multiLevelType w:val="hybridMultilevel"/>
    <w:tmpl w:val="3D987CA4"/>
    <w:lvl w:ilvl="0" w:tplc="0415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4745679D"/>
    <w:multiLevelType w:val="hybridMultilevel"/>
    <w:tmpl w:val="6318088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75A7F7F"/>
    <w:multiLevelType w:val="hybridMultilevel"/>
    <w:tmpl w:val="175C83A0"/>
    <w:lvl w:ilvl="0" w:tplc="215C0BC4">
      <w:start w:val="1"/>
      <w:numFmt w:val="bullet"/>
      <w:lvlText w:val=""/>
      <w:lvlJc w:val="left"/>
      <w:pPr>
        <w:ind w:left="1494" w:hanging="360"/>
      </w:pPr>
      <w:rPr>
        <w:rFonts w:ascii="Wingdings" w:hAnsi="Wingdings" w:hint="default"/>
        <w:color w:val="2F5496" w:themeColor="accent5" w:themeShade="BF"/>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47" w15:restartNumberingAfterBreak="0">
    <w:nsid w:val="48622D96"/>
    <w:multiLevelType w:val="hybridMultilevel"/>
    <w:tmpl w:val="3CA4C56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8" w15:restartNumberingAfterBreak="0">
    <w:nsid w:val="48A34C03"/>
    <w:multiLevelType w:val="hybridMultilevel"/>
    <w:tmpl w:val="B01C9F6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D237A04"/>
    <w:multiLevelType w:val="hybridMultilevel"/>
    <w:tmpl w:val="6366D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0324E44"/>
    <w:multiLevelType w:val="hybridMultilevel"/>
    <w:tmpl w:val="B530614E"/>
    <w:lvl w:ilvl="0" w:tplc="215C0BC4">
      <w:start w:val="1"/>
      <w:numFmt w:val="bullet"/>
      <w:lvlText w:val=""/>
      <w:lvlJc w:val="left"/>
      <w:pPr>
        <w:ind w:left="720" w:hanging="360"/>
      </w:pPr>
      <w:rPr>
        <w:rFonts w:ascii="Wingdings" w:hAnsi="Wingdings" w:hint="default"/>
        <w:color w:val="2F5496" w:themeColor="accent5"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22D49A7"/>
    <w:multiLevelType w:val="hybridMultilevel"/>
    <w:tmpl w:val="8E40B852"/>
    <w:lvl w:ilvl="0" w:tplc="215C0BC4">
      <w:start w:val="1"/>
      <w:numFmt w:val="bullet"/>
      <w:lvlText w:val=""/>
      <w:lvlJc w:val="left"/>
      <w:pPr>
        <w:ind w:left="1440" w:hanging="360"/>
      </w:pPr>
      <w:rPr>
        <w:rFonts w:ascii="Wingdings" w:hAnsi="Wingdings" w:hint="default"/>
        <w:color w:val="2F5496" w:themeColor="accent5" w:themeShade="BF"/>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52" w15:restartNumberingAfterBreak="0">
    <w:nsid w:val="532B5618"/>
    <w:multiLevelType w:val="hybridMultilevel"/>
    <w:tmpl w:val="4022C2E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4731647"/>
    <w:multiLevelType w:val="hybridMultilevel"/>
    <w:tmpl w:val="44AAA506"/>
    <w:lvl w:ilvl="0" w:tplc="60AAB328">
      <w:start w:val="1"/>
      <w:numFmt w:val="bullet"/>
      <w:lvlText w:val=""/>
      <w:lvlJc w:val="left"/>
      <w:pPr>
        <w:ind w:left="2160" w:hanging="360"/>
      </w:pPr>
      <w:rPr>
        <w:rFonts w:ascii="Wingdings" w:hAnsi="Wingdings" w:hint="default"/>
        <w:color w:val="BF8F00" w:themeColor="accent4" w:themeShade="BF"/>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54" w15:restartNumberingAfterBreak="0">
    <w:nsid w:val="59073A53"/>
    <w:multiLevelType w:val="hybridMultilevel"/>
    <w:tmpl w:val="81202150"/>
    <w:lvl w:ilvl="0" w:tplc="04150001">
      <w:start w:val="1"/>
      <w:numFmt w:val="bullet"/>
      <w:lvlText w:val=""/>
      <w:lvlJc w:val="left"/>
      <w:pPr>
        <w:tabs>
          <w:tab w:val="num" w:pos="720"/>
        </w:tabs>
        <w:ind w:left="720" w:hanging="360"/>
      </w:pPr>
      <w:rPr>
        <w:rFonts w:ascii="Symbol" w:hAnsi="Symbol" w:hint="default"/>
      </w:rPr>
    </w:lvl>
    <w:lvl w:ilvl="1" w:tplc="88349446" w:tentative="1">
      <w:start w:val="1"/>
      <w:numFmt w:val="bullet"/>
      <w:lvlText w:val="•"/>
      <w:lvlJc w:val="left"/>
      <w:pPr>
        <w:tabs>
          <w:tab w:val="num" w:pos="1440"/>
        </w:tabs>
        <w:ind w:left="1440" w:hanging="360"/>
      </w:pPr>
      <w:rPr>
        <w:rFonts w:ascii="Arial" w:hAnsi="Arial" w:hint="default"/>
      </w:rPr>
    </w:lvl>
    <w:lvl w:ilvl="2" w:tplc="C430D874" w:tentative="1">
      <w:start w:val="1"/>
      <w:numFmt w:val="bullet"/>
      <w:lvlText w:val="•"/>
      <w:lvlJc w:val="left"/>
      <w:pPr>
        <w:tabs>
          <w:tab w:val="num" w:pos="2160"/>
        </w:tabs>
        <w:ind w:left="2160" w:hanging="360"/>
      </w:pPr>
      <w:rPr>
        <w:rFonts w:ascii="Arial" w:hAnsi="Arial" w:hint="default"/>
      </w:rPr>
    </w:lvl>
    <w:lvl w:ilvl="3" w:tplc="8EEED0E2" w:tentative="1">
      <w:start w:val="1"/>
      <w:numFmt w:val="bullet"/>
      <w:lvlText w:val="•"/>
      <w:lvlJc w:val="left"/>
      <w:pPr>
        <w:tabs>
          <w:tab w:val="num" w:pos="2880"/>
        </w:tabs>
        <w:ind w:left="2880" w:hanging="360"/>
      </w:pPr>
      <w:rPr>
        <w:rFonts w:ascii="Arial" w:hAnsi="Arial" w:hint="default"/>
      </w:rPr>
    </w:lvl>
    <w:lvl w:ilvl="4" w:tplc="14B6DB12" w:tentative="1">
      <w:start w:val="1"/>
      <w:numFmt w:val="bullet"/>
      <w:lvlText w:val="•"/>
      <w:lvlJc w:val="left"/>
      <w:pPr>
        <w:tabs>
          <w:tab w:val="num" w:pos="3600"/>
        </w:tabs>
        <w:ind w:left="3600" w:hanging="360"/>
      </w:pPr>
      <w:rPr>
        <w:rFonts w:ascii="Arial" w:hAnsi="Arial" w:hint="default"/>
      </w:rPr>
    </w:lvl>
    <w:lvl w:ilvl="5" w:tplc="CA1E9E22" w:tentative="1">
      <w:start w:val="1"/>
      <w:numFmt w:val="bullet"/>
      <w:lvlText w:val="•"/>
      <w:lvlJc w:val="left"/>
      <w:pPr>
        <w:tabs>
          <w:tab w:val="num" w:pos="4320"/>
        </w:tabs>
        <w:ind w:left="4320" w:hanging="360"/>
      </w:pPr>
      <w:rPr>
        <w:rFonts w:ascii="Arial" w:hAnsi="Arial" w:hint="default"/>
      </w:rPr>
    </w:lvl>
    <w:lvl w:ilvl="6" w:tplc="0A06C98C" w:tentative="1">
      <w:start w:val="1"/>
      <w:numFmt w:val="bullet"/>
      <w:lvlText w:val="•"/>
      <w:lvlJc w:val="left"/>
      <w:pPr>
        <w:tabs>
          <w:tab w:val="num" w:pos="5040"/>
        </w:tabs>
        <w:ind w:left="5040" w:hanging="360"/>
      </w:pPr>
      <w:rPr>
        <w:rFonts w:ascii="Arial" w:hAnsi="Arial" w:hint="default"/>
      </w:rPr>
    </w:lvl>
    <w:lvl w:ilvl="7" w:tplc="8EC49CD4" w:tentative="1">
      <w:start w:val="1"/>
      <w:numFmt w:val="bullet"/>
      <w:lvlText w:val="•"/>
      <w:lvlJc w:val="left"/>
      <w:pPr>
        <w:tabs>
          <w:tab w:val="num" w:pos="5760"/>
        </w:tabs>
        <w:ind w:left="5760" w:hanging="360"/>
      </w:pPr>
      <w:rPr>
        <w:rFonts w:ascii="Arial" w:hAnsi="Arial" w:hint="default"/>
      </w:rPr>
    </w:lvl>
    <w:lvl w:ilvl="8" w:tplc="F74CE440"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59623A78"/>
    <w:multiLevelType w:val="hybridMultilevel"/>
    <w:tmpl w:val="8BF242B2"/>
    <w:lvl w:ilvl="0" w:tplc="BFD860C8">
      <w:start w:val="1"/>
      <w:numFmt w:val="bullet"/>
      <w:lvlText w:val=""/>
      <w:lvlJc w:val="left"/>
      <w:pPr>
        <w:ind w:left="720" w:hanging="360"/>
      </w:pPr>
      <w:rPr>
        <w:rFonts w:ascii="Wingdings" w:hAnsi="Wingdings" w:hint="default"/>
        <w:b w:val="0"/>
        <w:i w:val="0"/>
        <w:caps w:val="0"/>
        <w:strike w:val="0"/>
        <w:dstrike w:val="0"/>
        <w:vanish w:val="0"/>
        <w:color w:val="538135" w:themeColor="accent6" w:themeShade="BF"/>
        <w:sz w:val="20"/>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99C785B"/>
    <w:multiLevelType w:val="hybridMultilevel"/>
    <w:tmpl w:val="3EDE4CBA"/>
    <w:lvl w:ilvl="0" w:tplc="33B07862">
      <w:start w:val="1"/>
      <w:numFmt w:val="bullet"/>
      <w:lvlText w:val=""/>
      <w:lvlJc w:val="left"/>
      <w:pPr>
        <w:ind w:left="862" w:hanging="360"/>
      </w:pPr>
      <w:rPr>
        <w:rFonts w:ascii="Wingdings" w:hAnsi="Wingdings" w:hint="default"/>
        <w:color w:val="538135" w:themeColor="accent6" w:themeShade="BF"/>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57" w15:restartNumberingAfterBreak="0">
    <w:nsid w:val="5B504603"/>
    <w:multiLevelType w:val="hybridMultilevel"/>
    <w:tmpl w:val="6B3C5E9C"/>
    <w:lvl w:ilvl="0" w:tplc="1D825C2A">
      <w:start w:val="1"/>
      <w:numFmt w:val="bullet"/>
      <w:lvlText w:val=""/>
      <w:lvlJc w:val="left"/>
      <w:pPr>
        <w:ind w:left="360" w:hanging="360"/>
      </w:pPr>
      <w:rPr>
        <w:rFonts w:ascii="Wingdings" w:hAnsi="Wingdings" w:hint="default"/>
        <w:color w:val="FFD966" w:themeColor="accent4" w:themeTint="99"/>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5C1721E3"/>
    <w:multiLevelType w:val="hybridMultilevel"/>
    <w:tmpl w:val="67BE4FA4"/>
    <w:lvl w:ilvl="0" w:tplc="1D825C2A">
      <w:start w:val="1"/>
      <w:numFmt w:val="bullet"/>
      <w:lvlText w:val=""/>
      <w:lvlJc w:val="left"/>
      <w:pPr>
        <w:ind w:left="720" w:hanging="360"/>
      </w:pPr>
      <w:rPr>
        <w:rFonts w:ascii="Wingdings" w:hAnsi="Wingdings" w:hint="default"/>
        <w:color w:val="FFD966" w:themeColor="accent4" w:themeTint="99"/>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60E4574D"/>
    <w:multiLevelType w:val="hybridMultilevel"/>
    <w:tmpl w:val="27705E74"/>
    <w:lvl w:ilvl="0" w:tplc="215C0BC4">
      <w:start w:val="1"/>
      <w:numFmt w:val="bullet"/>
      <w:lvlText w:val=""/>
      <w:lvlJc w:val="left"/>
      <w:pPr>
        <w:ind w:left="720" w:hanging="360"/>
      </w:pPr>
      <w:rPr>
        <w:rFonts w:ascii="Wingdings" w:hAnsi="Wingdings" w:hint="default"/>
        <w:color w:val="2F5496" w:themeColor="accent5" w:themeShade="BF"/>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0" w15:restartNumberingAfterBreak="0">
    <w:nsid w:val="62BE6D33"/>
    <w:multiLevelType w:val="multilevel"/>
    <w:tmpl w:val="D694AD6A"/>
    <w:lvl w:ilvl="0">
      <w:start w:val="1"/>
      <w:numFmt w:val="decimal"/>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62F237E0"/>
    <w:multiLevelType w:val="hybridMultilevel"/>
    <w:tmpl w:val="AD0C5760"/>
    <w:lvl w:ilvl="0" w:tplc="71F0A07E">
      <w:start w:val="1"/>
      <w:numFmt w:val="bullet"/>
      <w:lvlText w:val=""/>
      <w:lvlJc w:val="left"/>
      <w:pPr>
        <w:tabs>
          <w:tab w:val="num" w:pos="360"/>
        </w:tabs>
        <w:ind w:left="360" w:hanging="360"/>
      </w:pPr>
      <w:rPr>
        <w:rFonts w:ascii="Wingdings" w:hAnsi="Wingdings" w:hint="default"/>
        <w:color w:val="F4B083" w:themeColor="accent2" w:themeTint="99"/>
      </w:rPr>
    </w:lvl>
    <w:lvl w:ilvl="1" w:tplc="99303C32" w:tentative="1">
      <w:start w:val="1"/>
      <w:numFmt w:val="bullet"/>
      <w:lvlText w:val=""/>
      <w:lvlJc w:val="left"/>
      <w:pPr>
        <w:tabs>
          <w:tab w:val="num" w:pos="1080"/>
        </w:tabs>
        <w:ind w:left="1080" w:hanging="360"/>
      </w:pPr>
      <w:rPr>
        <w:rFonts w:ascii="Wingdings" w:hAnsi="Wingdings" w:hint="default"/>
      </w:rPr>
    </w:lvl>
    <w:lvl w:ilvl="2" w:tplc="AEA2F8C0" w:tentative="1">
      <w:start w:val="1"/>
      <w:numFmt w:val="bullet"/>
      <w:lvlText w:val=""/>
      <w:lvlJc w:val="left"/>
      <w:pPr>
        <w:tabs>
          <w:tab w:val="num" w:pos="1800"/>
        </w:tabs>
        <w:ind w:left="1800" w:hanging="360"/>
      </w:pPr>
      <w:rPr>
        <w:rFonts w:ascii="Wingdings" w:hAnsi="Wingdings" w:hint="default"/>
      </w:rPr>
    </w:lvl>
    <w:lvl w:ilvl="3" w:tplc="91503FEE" w:tentative="1">
      <w:start w:val="1"/>
      <w:numFmt w:val="bullet"/>
      <w:lvlText w:val=""/>
      <w:lvlJc w:val="left"/>
      <w:pPr>
        <w:tabs>
          <w:tab w:val="num" w:pos="2520"/>
        </w:tabs>
        <w:ind w:left="2520" w:hanging="360"/>
      </w:pPr>
      <w:rPr>
        <w:rFonts w:ascii="Wingdings" w:hAnsi="Wingdings" w:hint="default"/>
      </w:rPr>
    </w:lvl>
    <w:lvl w:ilvl="4" w:tplc="02D61056" w:tentative="1">
      <w:start w:val="1"/>
      <w:numFmt w:val="bullet"/>
      <w:lvlText w:val=""/>
      <w:lvlJc w:val="left"/>
      <w:pPr>
        <w:tabs>
          <w:tab w:val="num" w:pos="3240"/>
        </w:tabs>
        <w:ind w:left="3240" w:hanging="360"/>
      </w:pPr>
      <w:rPr>
        <w:rFonts w:ascii="Wingdings" w:hAnsi="Wingdings" w:hint="default"/>
      </w:rPr>
    </w:lvl>
    <w:lvl w:ilvl="5" w:tplc="0256EC9A" w:tentative="1">
      <w:start w:val="1"/>
      <w:numFmt w:val="bullet"/>
      <w:lvlText w:val=""/>
      <w:lvlJc w:val="left"/>
      <w:pPr>
        <w:tabs>
          <w:tab w:val="num" w:pos="3960"/>
        </w:tabs>
        <w:ind w:left="3960" w:hanging="360"/>
      </w:pPr>
      <w:rPr>
        <w:rFonts w:ascii="Wingdings" w:hAnsi="Wingdings" w:hint="default"/>
      </w:rPr>
    </w:lvl>
    <w:lvl w:ilvl="6" w:tplc="665C764E" w:tentative="1">
      <w:start w:val="1"/>
      <w:numFmt w:val="bullet"/>
      <w:lvlText w:val=""/>
      <w:lvlJc w:val="left"/>
      <w:pPr>
        <w:tabs>
          <w:tab w:val="num" w:pos="4680"/>
        </w:tabs>
        <w:ind w:left="4680" w:hanging="360"/>
      </w:pPr>
      <w:rPr>
        <w:rFonts w:ascii="Wingdings" w:hAnsi="Wingdings" w:hint="default"/>
      </w:rPr>
    </w:lvl>
    <w:lvl w:ilvl="7" w:tplc="F7A62A84" w:tentative="1">
      <w:start w:val="1"/>
      <w:numFmt w:val="bullet"/>
      <w:lvlText w:val=""/>
      <w:lvlJc w:val="left"/>
      <w:pPr>
        <w:tabs>
          <w:tab w:val="num" w:pos="5400"/>
        </w:tabs>
        <w:ind w:left="5400" w:hanging="360"/>
      </w:pPr>
      <w:rPr>
        <w:rFonts w:ascii="Wingdings" w:hAnsi="Wingdings" w:hint="default"/>
      </w:rPr>
    </w:lvl>
    <w:lvl w:ilvl="8" w:tplc="9334DE22" w:tentative="1">
      <w:start w:val="1"/>
      <w:numFmt w:val="bullet"/>
      <w:lvlText w:val=""/>
      <w:lvlJc w:val="left"/>
      <w:pPr>
        <w:tabs>
          <w:tab w:val="num" w:pos="6120"/>
        </w:tabs>
        <w:ind w:left="6120" w:hanging="360"/>
      </w:pPr>
      <w:rPr>
        <w:rFonts w:ascii="Wingdings" w:hAnsi="Wingdings" w:hint="default"/>
      </w:rPr>
    </w:lvl>
  </w:abstractNum>
  <w:abstractNum w:abstractNumId="62" w15:restartNumberingAfterBreak="0">
    <w:nsid w:val="6369066D"/>
    <w:multiLevelType w:val="hybridMultilevel"/>
    <w:tmpl w:val="551EBFC0"/>
    <w:lvl w:ilvl="0" w:tplc="9A00A006">
      <w:start w:val="1"/>
      <w:numFmt w:val="bullet"/>
      <w:lvlText w:val=""/>
      <w:lvlJc w:val="left"/>
      <w:pPr>
        <w:ind w:left="502" w:hanging="360"/>
      </w:pPr>
      <w:rPr>
        <w:rFonts w:ascii="Wingdings" w:hAnsi="Wingdings" w:hint="default"/>
        <w:color w:val="C45911" w:themeColor="accent2"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63C003B3"/>
    <w:multiLevelType w:val="hybridMultilevel"/>
    <w:tmpl w:val="1AA22902"/>
    <w:lvl w:ilvl="0" w:tplc="71F0A07E">
      <w:start w:val="1"/>
      <w:numFmt w:val="bullet"/>
      <w:lvlText w:val=""/>
      <w:lvlJc w:val="left"/>
      <w:pPr>
        <w:ind w:left="1440" w:hanging="360"/>
      </w:pPr>
      <w:rPr>
        <w:rFonts w:ascii="Wingdings" w:hAnsi="Wingdings" w:hint="default"/>
        <w:color w:val="F4B083" w:themeColor="accent2" w:themeTint="99"/>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4" w15:restartNumberingAfterBreak="0">
    <w:nsid w:val="6BEC169D"/>
    <w:multiLevelType w:val="hybridMultilevel"/>
    <w:tmpl w:val="5D9A3CA8"/>
    <w:lvl w:ilvl="0" w:tplc="04150001">
      <w:start w:val="1"/>
      <w:numFmt w:val="bullet"/>
      <w:lvlText w:val=""/>
      <w:lvlJc w:val="left"/>
      <w:pPr>
        <w:ind w:left="757" w:hanging="360"/>
      </w:pPr>
      <w:rPr>
        <w:rFonts w:ascii="Symbol" w:hAnsi="Symbol" w:hint="default"/>
      </w:rPr>
    </w:lvl>
    <w:lvl w:ilvl="1" w:tplc="04150003" w:tentative="1">
      <w:start w:val="1"/>
      <w:numFmt w:val="bullet"/>
      <w:lvlText w:val="o"/>
      <w:lvlJc w:val="left"/>
      <w:pPr>
        <w:ind w:left="1477" w:hanging="360"/>
      </w:pPr>
      <w:rPr>
        <w:rFonts w:ascii="Courier New" w:hAnsi="Courier New" w:cs="Courier New" w:hint="default"/>
      </w:rPr>
    </w:lvl>
    <w:lvl w:ilvl="2" w:tplc="04150005" w:tentative="1">
      <w:start w:val="1"/>
      <w:numFmt w:val="bullet"/>
      <w:lvlText w:val=""/>
      <w:lvlJc w:val="left"/>
      <w:pPr>
        <w:ind w:left="2197" w:hanging="360"/>
      </w:pPr>
      <w:rPr>
        <w:rFonts w:ascii="Wingdings" w:hAnsi="Wingdings" w:hint="default"/>
      </w:rPr>
    </w:lvl>
    <w:lvl w:ilvl="3" w:tplc="04150001" w:tentative="1">
      <w:start w:val="1"/>
      <w:numFmt w:val="bullet"/>
      <w:lvlText w:val=""/>
      <w:lvlJc w:val="left"/>
      <w:pPr>
        <w:ind w:left="2917" w:hanging="360"/>
      </w:pPr>
      <w:rPr>
        <w:rFonts w:ascii="Symbol" w:hAnsi="Symbol" w:hint="default"/>
      </w:rPr>
    </w:lvl>
    <w:lvl w:ilvl="4" w:tplc="04150003" w:tentative="1">
      <w:start w:val="1"/>
      <w:numFmt w:val="bullet"/>
      <w:lvlText w:val="o"/>
      <w:lvlJc w:val="left"/>
      <w:pPr>
        <w:ind w:left="3637" w:hanging="360"/>
      </w:pPr>
      <w:rPr>
        <w:rFonts w:ascii="Courier New" w:hAnsi="Courier New" w:cs="Courier New" w:hint="default"/>
      </w:rPr>
    </w:lvl>
    <w:lvl w:ilvl="5" w:tplc="04150005" w:tentative="1">
      <w:start w:val="1"/>
      <w:numFmt w:val="bullet"/>
      <w:lvlText w:val=""/>
      <w:lvlJc w:val="left"/>
      <w:pPr>
        <w:ind w:left="4357" w:hanging="360"/>
      </w:pPr>
      <w:rPr>
        <w:rFonts w:ascii="Wingdings" w:hAnsi="Wingdings" w:hint="default"/>
      </w:rPr>
    </w:lvl>
    <w:lvl w:ilvl="6" w:tplc="04150001" w:tentative="1">
      <w:start w:val="1"/>
      <w:numFmt w:val="bullet"/>
      <w:lvlText w:val=""/>
      <w:lvlJc w:val="left"/>
      <w:pPr>
        <w:ind w:left="5077" w:hanging="360"/>
      </w:pPr>
      <w:rPr>
        <w:rFonts w:ascii="Symbol" w:hAnsi="Symbol" w:hint="default"/>
      </w:rPr>
    </w:lvl>
    <w:lvl w:ilvl="7" w:tplc="04150003" w:tentative="1">
      <w:start w:val="1"/>
      <w:numFmt w:val="bullet"/>
      <w:lvlText w:val="o"/>
      <w:lvlJc w:val="left"/>
      <w:pPr>
        <w:ind w:left="5797" w:hanging="360"/>
      </w:pPr>
      <w:rPr>
        <w:rFonts w:ascii="Courier New" w:hAnsi="Courier New" w:cs="Courier New" w:hint="default"/>
      </w:rPr>
    </w:lvl>
    <w:lvl w:ilvl="8" w:tplc="04150005" w:tentative="1">
      <w:start w:val="1"/>
      <w:numFmt w:val="bullet"/>
      <w:lvlText w:val=""/>
      <w:lvlJc w:val="left"/>
      <w:pPr>
        <w:ind w:left="6517" w:hanging="360"/>
      </w:pPr>
      <w:rPr>
        <w:rFonts w:ascii="Wingdings" w:hAnsi="Wingdings" w:hint="default"/>
      </w:rPr>
    </w:lvl>
  </w:abstractNum>
  <w:abstractNum w:abstractNumId="65" w15:restartNumberingAfterBreak="0">
    <w:nsid w:val="6C8879D3"/>
    <w:multiLevelType w:val="hybridMultilevel"/>
    <w:tmpl w:val="F01E4F02"/>
    <w:lvl w:ilvl="0" w:tplc="71F0A07E">
      <w:start w:val="1"/>
      <w:numFmt w:val="bullet"/>
      <w:lvlText w:val=""/>
      <w:lvlJc w:val="left"/>
      <w:pPr>
        <w:ind w:left="360" w:hanging="360"/>
      </w:pPr>
      <w:rPr>
        <w:rFonts w:ascii="Wingdings" w:hAnsi="Wingdings" w:hint="default"/>
        <w:color w:val="F4B083" w:themeColor="accent2" w:themeTint="99"/>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6" w15:restartNumberingAfterBreak="0">
    <w:nsid w:val="6DEC3A57"/>
    <w:multiLevelType w:val="hybridMultilevel"/>
    <w:tmpl w:val="AC98B756"/>
    <w:lvl w:ilvl="0" w:tplc="1D825C2A">
      <w:start w:val="1"/>
      <w:numFmt w:val="bullet"/>
      <w:lvlText w:val=""/>
      <w:lvlJc w:val="left"/>
      <w:pPr>
        <w:ind w:left="720" w:hanging="360"/>
      </w:pPr>
      <w:rPr>
        <w:rFonts w:ascii="Wingdings" w:hAnsi="Wingdings" w:hint="default"/>
        <w:color w:val="FFD966" w:themeColor="accent4" w:themeTint="99"/>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F83559B"/>
    <w:multiLevelType w:val="hybridMultilevel"/>
    <w:tmpl w:val="BE846B48"/>
    <w:lvl w:ilvl="0" w:tplc="C2BAF64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8" w15:restartNumberingAfterBreak="0">
    <w:nsid w:val="76FE4B8C"/>
    <w:multiLevelType w:val="hybridMultilevel"/>
    <w:tmpl w:val="2D986E2C"/>
    <w:lvl w:ilvl="0" w:tplc="15A495FC">
      <w:start w:val="1"/>
      <w:numFmt w:val="bullet"/>
      <w:lvlText w:val=""/>
      <w:lvlJc w:val="left"/>
      <w:pPr>
        <w:ind w:left="1069" w:hanging="360"/>
      </w:pPr>
      <w:rPr>
        <w:rFonts w:ascii="Wingdings" w:hAnsi="Wingdings" w:hint="default"/>
        <w:color w:val="BF8F00" w:themeColor="accent4" w:themeShade="BF"/>
      </w:rPr>
    </w:lvl>
    <w:lvl w:ilvl="1" w:tplc="04150003">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69" w15:restartNumberingAfterBreak="0">
    <w:nsid w:val="77373E82"/>
    <w:multiLevelType w:val="hybridMultilevel"/>
    <w:tmpl w:val="945C2928"/>
    <w:lvl w:ilvl="0" w:tplc="04150001">
      <w:start w:val="1"/>
      <w:numFmt w:val="bullet"/>
      <w:lvlText w:val=""/>
      <w:lvlJc w:val="left"/>
      <w:pPr>
        <w:tabs>
          <w:tab w:val="num" w:pos="720"/>
        </w:tabs>
        <w:ind w:left="720" w:hanging="360"/>
      </w:pPr>
      <w:rPr>
        <w:rFonts w:ascii="Symbol" w:hAnsi="Symbol" w:hint="default"/>
      </w:rPr>
    </w:lvl>
    <w:lvl w:ilvl="1" w:tplc="67CA2BFC" w:tentative="1">
      <w:start w:val="1"/>
      <w:numFmt w:val="bullet"/>
      <w:lvlText w:val="•"/>
      <w:lvlJc w:val="left"/>
      <w:pPr>
        <w:tabs>
          <w:tab w:val="num" w:pos="1440"/>
        </w:tabs>
        <w:ind w:left="1440" w:hanging="360"/>
      </w:pPr>
      <w:rPr>
        <w:rFonts w:ascii="Arial" w:hAnsi="Arial" w:hint="default"/>
      </w:rPr>
    </w:lvl>
    <w:lvl w:ilvl="2" w:tplc="D626FE20" w:tentative="1">
      <w:start w:val="1"/>
      <w:numFmt w:val="bullet"/>
      <w:lvlText w:val="•"/>
      <w:lvlJc w:val="left"/>
      <w:pPr>
        <w:tabs>
          <w:tab w:val="num" w:pos="2160"/>
        </w:tabs>
        <w:ind w:left="2160" w:hanging="360"/>
      </w:pPr>
      <w:rPr>
        <w:rFonts w:ascii="Arial" w:hAnsi="Arial" w:hint="default"/>
      </w:rPr>
    </w:lvl>
    <w:lvl w:ilvl="3" w:tplc="9B96459E" w:tentative="1">
      <w:start w:val="1"/>
      <w:numFmt w:val="bullet"/>
      <w:lvlText w:val="•"/>
      <w:lvlJc w:val="left"/>
      <w:pPr>
        <w:tabs>
          <w:tab w:val="num" w:pos="2880"/>
        </w:tabs>
        <w:ind w:left="2880" w:hanging="360"/>
      </w:pPr>
      <w:rPr>
        <w:rFonts w:ascii="Arial" w:hAnsi="Arial" w:hint="default"/>
      </w:rPr>
    </w:lvl>
    <w:lvl w:ilvl="4" w:tplc="50E01F7E" w:tentative="1">
      <w:start w:val="1"/>
      <w:numFmt w:val="bullet"/>
      <w:lvlText w:val="•"/>
      <w:lvlJc w:val="left"/>
      <w:pPr>
        <w:tabs>
          <w:tab w:val="num" w:pos="3600"/>
        </w:tabs>
        <w:ind w:left="3600" w:hanging="360"/>
      </w:pPr>
      <w:rPr>
        <w:rFonts w:ascii="Arial" w:hAnsi="Arial" w:hint="default"/>
      </w:rPr>
    </w:lvl>
    <w:lvl w:ilvl="5" w:tplc="A3B019C2" w:tentative="1">
      <w:start w:val="1"/>
      <w:numFmt w:val="bullet"/>
      <w:lvlText w:val="•"/>
      <w:lvlJc w:val="left"/>
      <w:pPr>
        <w:tabs>
          <w:tab w:val="num" w:pos="4320"/>
        </w:tabs>
        <w:ind w:left="4320" w:hanging="360"/>
      </w:pPr>
      <w:rPr>
        <w:rFonts w:ascii="Arial" w:hAnsi="Arial" w:hint="default"/>
      </w:rPr>
    </w:lvl>
    <w:lvl w:ilvl="6" w:tplc="82D4A840" w:tentative="1">
      <w:start w:val="1"/>
      <w:numFmt w:val="bullet"/>
      <w:lvlText w:val="•"/>
      <w:lvlJc w:val="left"/>
      <w:pPr>
        <w:tabs>
          <w:tab w:val="num" w:pos="5040"/>
        </w:tabs>
        <w:ind w:left="5040" w:hanging="360"/>
      </w:pPr>
      <w:rPr>
        <w:rFonts w:ascii="Arial" w:hAnsi="Arial" w:hint="default"/>
      </w:rPr>
    </w:lvl>
    <w:lvl w:ilvl="7" w:tplc="29E80344" w:tentative="1">
      <w:start w:val="1"/>
      <w:numFmt w:val="bullet"/>
      <w:lvlText w:val="•"/>
      <w:lvlJc w:val="left"/>
      <w:pPr>
        <w:tabs>
          <w:tab w:val="num" w:pos="5760"/>
        </w:tabs>
        <w:ind w:left="5760" w:hanging="360"/>
      </w:pPr>
      <w:rPr>
        <w:rFonts w:ascii="Arial" w:hAnsi="Arial" w:hint="default"/>
      </w:rPr>
    </w:lvl>
    <w:lvl w:ilvl="8" w:tplc="B60ED4D2"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786762DD"/>
    <w:multiLevelType w:val="hybridMultilevel"/>
    <w:tmpl w:val="E8BAD7FA"/>
    <w:lvl w:ilvl="0" w:tplc="87C4DA14">
      <w:start w:val="1"/>
      <w:numFmt w:val="bullet"/>
      <w:lvlText w:val=""/>
      <w:lvlJc w:val="left"/>
      <w:pPr>
        <w:tabs>
          <w:tab w:val="num" w:pos="5464"/>
        </w:tabs>
        <w:ind w:left="5464"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A642FFF"/>
    <w:multiLevelType w:val="hybridMultilevel"/>
    <w:tmpl w:val="65E207E2"/>
    <w:lvl w:ilvl="0" w:tplc="DB0299CC">
      <w:start w:val="1"/>
      <w:numFmt w:val="bullet"/>
      <w:lvlText w:val=""/>
      <w:lvlJc w:val="left"/>
      <w:pPr>
        <w:ind w:left="720" w:hanging="360"/>
      </w:pPr>
      <w:rPr>
        <w:rFonts w:ascii="Wingdings" w:hAnsi="Wingdings" w:hint="default"/>
        <w:color w:val="FFE599" w:themeColor="accent4" w:themeTint="6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5"/>
  </w:num>
  <w:num w:numId="2">
    <w:abstractNumId w:val="37"/>
  </w:num>
  <w:num w:numId="3">
    <w:abstractNumId w:val="4"/>
  </w:num>
  <w:num w:numId="4">
    <w:abstractNumId w:val="12"/>
  </w:num>
  <w:num w:numId="5">
    <w:abstractNumId w:val="70"/>
  </w:num>
  <w:num w:numId="6">
    <w:abstractNumId w:val="32"/>
  </w:num>
  <w:num w:numId="7">
    <w:abstractNumId w:val="57"/>
  </w:num>
  <w:num w:numId="8">
    <w:abstractNumId w:val="71"/>
  </w:num>
  <w:num w:numId="9">
    <w:abstractNumId w:val="48"/>
  </w:num>
  <w:num w:numId="10">
    <w:abstractNumId w:val="11"/>
  </w:num>
  <w:num w:numId="11">
    <w:abstractNumId w:val="62"/>
  </w:num>
  <w:num w:numId="12">
    <w:abstractNumId w:val="59"/>
  </w:num>
  <w:num w:numId="13">
    <w:abstractNumId w:val="44"/>
  </w:num>
  <w:num w:numId="14">
    <w:abstractNumId w:val="42"/>
  </w:num>
  <w:num w:numId="15">
    <w:abstractNumId w:val="20"/>
  </w:num>
  <w:num w:numId="16">
    <w:abstractNumId w:val="14"/>
  </w:num>
  <w:num w:numId="17">
    <w:abstractNumId w:val="27"/>
  </w:num>
  <w:num w:numId="18">
    <w:abstractNumId w:val="66"/>
  </w:num>
  <w:num w:numId="19">
    <w:abstractNumId w:val="9"/>
  </w:num>
  <w:num w:numId="20">
    <w:abstractNumId w:val="53"/>
  </w:num>
  <w:num w:numId="21">
    <w:abstractNumId w:val="36"/>
  </w:num>
  <w:num w:numId="22">
    <w:abstractNumId w:val="68"/>
  </w:num>
  <w:num w:numId="23">
    <w:abstractNumId w:val="61"/>
  </w:num>
  <w:num w:numId="24">
    <w:abstractNumId w:val="3"/>
  </w:num>
  <w:num w:numId="25">
    <w:abstractNumId w:val="10"/>
  </w:num>
  <w:num w:numId="26">
    <w:abstractNumId w:val="60"/>
  </w:num>
  <w:num w:numId="27">
    <w:abstractNumId w:val="49"/>
  </w:num>
  <w:num w:numId="28">
    <w:abstractNumId w:val="64"/>
  </w:num>
  <w:num w:numId="29">
    <w:abstractNumId w:val="69"/>
  </w:num>
  <w:num w:numId="30">
    <w:abstractNumId w:val="47"/>
  </w:num>
  <w:num w:numId="31">
    <w:abstractNumId w:val="54"/>
  </w:num>
  <w:num w:numId="32">
    <w:abstractNumId w:val="8"/>
  </w:num>
  <w:num w:numId="33">
    <w:abstractNumId w:val="41"/>
  </w:num>
  <w:num w:numId="34">
    <w:abstractNumId w:val="17"/>
  </w:num>
  <w:num w:numId="35">
    <w:abstractNumId w:val="28"/>
  </w:num>
  <w:num w:numId="36">
    <w:abstractNumId w:val="51"/>
  </w:num>
  <w:num w:numId="37">
    <w:abstractNumId w:val="6"/>
  </w:num>
  <w:num w:numId="38">
    <w:abstractNumId w:val="22"/>
  </w:num>
  <w:num w:numId="39">
    <w:abstractNumId w:val="38"/>
  </w:num>
  <w:num w:numId="40">
    <w:abstractNumId w:val="21"/>
  </w:num>
  <w:num w:numId="41">
    <w:abstractNumId w:val="19"/>
  </w:num>
  <w:num w:numId="42">
    <w:abstractNumId w:val="31"/>
  </w:num>
  <w:num w:numId="43">
    <w:abstractNumId w:val="16"/>
  </w:num>
  <w:num w:numId="44">
    <w:abstractNumId w:val="2"/>
  </w:num>
  <w:num w:numId="45">
    <w:abstractNumId w:val="35"/>
  </w:num>
  <w:num w:numId="46">
    <w:abstractNumId w:val="55"/>
  </w:num>
  <w:num w:numId="47">
    <w:abstractNumId w:val="43"/>
  </w:num>
  <w:num w:numId="48">
    <w:abstractNumId w:val="58"/>
  </w:num>
  <w:num w:numId="49">
    <w:abstractNumId w:val="52"/>
  </w:num>
  <w:num w:numId="50">
    <w:abstractNumId w:val="30"/>
  </w:num>
  <w:num w:numId="51">
    <w:abstractNumId w:val="33"/>
  </w:num>
  <w:num w:numId="52">
    <w:abstractNumId w:val="29"/>
  </w:num>
  <w:num w:numId="53">
    <w:abstractNumId w:val="13"/>
  </w:num>
  <w:num w:numId="54">
    <w:abstractNumId w:val="56"/>
  </w:num>
  <w:num w:numId="55">
    <w:abstractNumId w:val="34"/>
  </w:num>
  <w:num w:numId="56">
    <w:abstractNumId w:val="18"/>
  </w:num>
  <w:num w:numId="57">
    <w:abstractNumId w:val="15"/>
  </w:num>
  <w:num w:numId="58">
    <w:abstractNumId w:val="23"/>
  </w:num>
  <w:num w:numId="59">
    <w:abstractNumId w:val="1"/>
  </w:num>
  <w:num w:numId="60">
    <w:abstractNumId w:val="0"/>
  </w:num>
  <w:num w:numId="61">
    <w:abstractNumId w:val="45"/>
  </w:num>
  <w:num w:numId="62">
    <w:abstractNumId w:val="39"/>
  </w:num>
  <w:num w:numId="63">
    <w:abstractNumId w:val="7"/>
  </w:num>
  <w:num w:numId="64">
    <w:abstractNumId w:val="63"/>
  </w:num>
  <w:num w:numId="65">
    <w:abstractNumId w:val="65"/>
  </w:num>
  <w:num w:numId="66">
    <w:abstractNumId w:val="24"/>
  </w:num>
  <w:num w:numId="67">
    <w:abstractNumId w:val="26"/>
  </w:num>
  <w:num w:numId="68">
    <w:abstractNumId w:val="5"/>
  </w:num>
  <w:num w:numId="69">
    <w:abstractNumId w:val="50"/>
  </w:num>
  <w:num w:numId="70">
    <w:abstractNumId w:val="67"/>
  </w:num>
  <w:num w:numId="71">
    <w:abstractNumId w:val="40"/>
  </w:num>
  <w:num w:numId="72">
    <w:abstractNumId w:val="46"/>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D34"/>
    <w:rsid w:val="00000874"/>
    <w:rsid w:val="000012AC"/>
    <w:rsid w:val="0000162C"/>
    <w:rsid w:val="00001900"/>
    <w:rsid w:val="00001BDF"/>
    <w:rsid w:val="0000232D"/>
    <w:rsid w:val="000025B3"/>
    <w:rsid w:val="000029B4"/>
    <w:rsid w:val="00002E4E"/>
    <w:rsid w:val="00002FDA"/>
    <w:rsid w:val="00003069"/>
    <w:rsid w:val="0000390C"/>
    <w:rsid w:val="00003C2E"/>
    <w:rsid w:val="000040DF"/>
    <w:rsid w:val="00004AA4"/>
    <w:rsid w:val="00004D78"/>
    <w:rsid w:val="00004DB1"/>
    <w:rsid w:val="00005221"/>
    <w:rsid w:val="00005364"/>
    <w:rsid w:val="0000548E"/>
    <w:rsid w:val="00005860"/>
    <w:rsid w:val="00005FC3"/>
    <w:rsid w:val="000063B1"/>
    <w:rsid w:val="0000687E"/>
    <w:rsid w:val="00007167"/>
    <w:rsid w:val="0000737D"/>
    <w:rsid w:val="0001074A"/>
    <w:rsid w:val="000111A0"/>
    <w:rsid w:val="00011CF1"/>
    <w:rsid w:val="0001219E"/>
    <w:rsid w:val="0001223E"/>
    <w:rsid w:val="0001229E"/>
    <w:rsid w:val="00012302"/>
    <w:rsid w:val="00012440"/>
    <w:rsid w:val="000127D2"/>
    <w:rsid w:val="000145A3"/>
    <w:rsid w:val="00014933"/>
    <w:rsid w:val="00014B34"/>
    <w:rsid w:val="000158D5"/>
    <w:rsid w:val="00016541"/>
    <w:rsid w:val="000166E2"/>
    <w:rsid w:val="00017727"/>
    <w:rsid w:val="0002019C"/>
    <w:rsid w:val="00020B43"/>
    <w:rsid w:val="0002156D"/>
    <w:rsid w:val="000217D2"/>
    <w:rsid w:val="000217EB"/>
    <w:rsid w:val="0002195D"/>
    <w:rsid w:val="00022187"/>
    <w:rsid w:val="00022E9A"/>
    <w:rsid w:val="00023D71"/>
    <w:rsid w:val="00024E38"/>
    <w:rsid w:val="00024F8A"/>
    <w:rsid w:val="00025452"/>
    <w:rsid w:val="000259CF"/>
    <w:rsid w:val="00025C2A"/>
    <w:rsid w:val="00026962"/>
    <w:rsid w:val="0002700B"/>
    <w:rsid w:val="0002732A"/>
    <w:rsid w:val="00027E45"/>
    <w:rsid w:val="00030281"/>
    <w:rsid w:val="0003115A"/>
    <w:rsid w:val="00031499"/>
    <w:rsid w:val="00032022"/>
    <w:rsid w:val="00032CCA"/>
    <w:rsid w:val="000340A4"/>
    <w:rsid w:val="00034A32"/>
    <w:rsid w:val="000351D9"/>
    <w:rsid w:val="00035273"/>
    <w:rsid w:val="0003528E"/>
    <w:rsid w:val="00035336"/>
    <w:rsid w:val="00035967"/>
    <w:rsid w:val="000360FC"/>
    <w:rsid w:val="00040BB9"/>
    <w:rsid w:val="00041282"/>
    <w:rsid w:val="00041BCE"/>
    <w:rsid w:val="00041F53"/>
    <w:rsid w:val="00042376"/>
    <w:rsid w:val="00042408"/>
    <w:rsid w:val="000427C6"/>
    <w:rsid w:val="00042960"/>
    <w:rsid w:val="00042FBE"/>
    <w:rsid w:val="0004300F"/>
    <w:rsid w:val="000431BF"/>
    <w:rsid w:val="00043D0F"/>
    <w:rsid w:val="000440D7"/>
    <w:rsid w:val="000448D8"/>
    <w:rsid w:val="000448E1"/>
    <w:rsid w:val="000451DB"/>
    <w:rsid w:val="00045C50"/>
    <w:rsid w:val="00046C39"/>
    <w:rsid w:val="00047FFC"/>
    <w:rsid w:val="00050446"/>
    <w:rsid w:val="00050D38"/>
    <w:rsid w:val="00050D8D"/>
    <w:rsid w:val="00051725"/>
    <w:rsid w:val="00051801"/>
    <w:rsid w:val="00051959"/>
    <w:rsid w:val="00051D52"/>
    <w:rsid w:val="000524DC"/>
    <w:rsid w:val="00053DC0"/>
    <w:rsid w:val="00054A81"/>
    <w:rsid w:val="00054ECF"/>
    <w:rsid w:val="000556C7"/>
    <w:rsid w:val="000557DE"/>
    <w:rsid w:val="000560A2"/>
    <w:rsid w:val="000562A1"/>
    <w:rsid w:val="000562F7"/>
    <w:rsid w:val="00060881"/>
    <w:rsid w:val="00060BD9"/>
    <w:rsid w:val="00060C9A"/>
    <w:rsid w:val="00061905"/>
    <w:rsid w:val="00061AF1"/>
    <w:rsid w:val="00061D52"/>
    <w:rsid w:val="00061F4D"/>
    <w:rsid w:val="00062155"/>
    <w:rsid w:val="0006219F"/>
    <w:rsid w:val="000633C9"/>
    <w:rsid w:val="000636BF"/>
    <w:rsid w:val="0006375D"/>
    <w:rsid w:val="00063E2E"/>
    <w:rsid w:val="000647AC"/>
    <w:rsid w:val="00065C6B"/>
    <w:rsid w:val="00065DE1"/>
    <w:rsid w:val="00066639"/>
    <w:rsid w:val="000667F9"/>
    <w:rsid w:val="00066B4C"/>
    <w:rsid w:val="00066F91"/>
    <w:rsid w:val="0006753A"/>
    <w:rsid w:val="0006758D"/>
    <w:rsid w:val="00067599"/>
    <w:rsid w:val="000675FD"/>
    <w:rsid w:val="00067A9E"/>
    <w:rsid w:val="00067DC4"/>
    <w:rsid w:val="00070A9D"/>
    <w:rsid w:val="0007103B"/>
    <w:rsid w:val="00071050"/>
    <w:rsid w:val="00071BE4"/>
    <w:rsid w:val="00071CF8"/>
    <w:rsid w:val="00073213"/>
    <w:rsid w:val="00073462"/>
    <w:rsid w:val="000734CC"/>
    <w:rsid w:val="00073669"/>
    <w:rsid w:val="00073CE6"/>
    <w:rsid w:val="000741B8"/>
    <w:rsid w:val="000741F1"/>
    <w:rsid w:val="0007464E"/>
    <w:rsid w:val="00074A82"/>
    <w:rsid w:val="0007530B"/>
    <w:rsid w:val="00075E50"/>
    <w:rsid w:val="000761DC"/>
    <w:rsid w:val="00076B66"/>
    <w:rsid w:val="0007728B"/>
    <w:rsid w:val="0007749C"/>
    <w:rsid w:val="00077668"/>
    <w:rsid w:val="00080387"/>
    <w:rsid w:val="000808F4"/>
    <w:rsid w:val="00080D34"/>
    <w:rsid w:val="00080DE5"/>
    <w:rsid w:val="00080ECE"/>
    <w:rsid w:val="0008128E"/>
    <w:rsid w:val="00082180"/>
    <w:rsid w:val="000821B1"/>
    <w:rsid w:val="00082AE6"/>
    <w:rsid w:val="00083E44"/>
    <w:rsid w:val="000840B0"/>
    <w:rsid w:val="00084367"/>
    <w:rsid w:val="0008509D"/>
    <w:rsid w:val="00085294"/>
    <w:rsid w:val="0008536B"/>
    <w:rsid w:val="00085FBD"/>
    <w:rsid w:val="000867B5"/>
    <w:rsid w:val="000868D9"/>
    <w:rsid w:val="00086E4E"/>
    <w:rsid w:val="00086E88"/>
    <w:rsid w:val="0008763F"/>
    <w:rsid w:val="00087960"/>
    <w:rsid w:val="00087BC3"/>
    <w:rsid w:val="00087C1A"/>
    <w:rsid w:val="0009026A"/>
    <w:rsid w:val="000903D0"/>
    <w:rsid w:val="00090463"/>
    <w:rsid w:val="00090A1C"/>
    <w:rsid w:val="00090DCD"/>
    <w:rsid w:val="00091468"/>
    <w:rsid w:val="00091526"/>
    <w:rsid w:val="0009181F"/>
    <w:rsid w:val="000918F4"/>
    <w:rsid w:val="00091FAC"/>
    <w:rsid w:val="0009264E"/>
    <w:rsid w:val="00092B14"/>
    <w:rsid w:val="00092DA5"/>
    <w:rsid w:val="00093B68"/>
    <w:rsid w:val="000945DA"/>
    <w:rsid w:val="00094765"/>
    <w:rsid w:val="000947D8"/>
    <w:rsid w:val="00095625"/>
    <w:rsid w:val="00095936"/>
    <w:rsid w:val="00095946"/>
    <w:rsid w:val="00095A42"/>
    <w:rsid w:val="00095E2A"/>
    <w:rsid w:val="000973C0"/>
    <w:rsid w:val="000A1158"/>
    <w:rsid w:val="000A22B7"/>
    <w:rsid w:val="000A2DEB"/>
    <w:rsid w:val="000A2FB6"/>
    <w:rsid w:val="000A309F"/>
    <w:rsid w:val="000A3D80"/>
    <w:rsid w:val="000A4760"/>
    <w:rsid w:val="000A4CC4"/>
    <w:rsid w:val="000A59F2"/>
    <w:rsid w:val="000A60E6"/>
    <w:rsid w:val="000A6146"/>
    <w:rsid w:val="000A649D"/>
    <w:rsid w:val="000A6B99"/>
    <w:rsid w:val="000A72B6"/>
    <w:rsid w:val="000A786A"/>
    <w:rsid w:val="000A7B7B"/>
    <w:rsid w:val="000B10CE"/>
    <w:rsid w:val="000B15EF"/>
    <w:rsid w:val="000B1C8F"/>
    <w:rsid w:val="000B1FBF"/>
    <w:rsid w:val="000B205D"/>
    <w:rsid w:val="000B2459"/>
    <w:rsid w:val="000B266A"/>
    <w:rsid w:val="000B39F1"/>
    <w:rsid w:val="000B525B"/>
    <w:rsid w:val="000B5407"/>
    <w:rsid w:val="000B551D"/>
    <w:rsid w:val="000B5812"/>
    <w:rsid w:val="000B6712"/>
    <w:rsid w:val="000B7003"/>
    <w:rsid w:val="000B7750"/>
    <w:rsid w:val="000C0292"/>
    <w:rsid w:val="000C1B52"/>
    <w:rsid w:val="000C1E70"/>
    <w:rsid w:val="000C1EE5"/>
    <w:rsid w:val="000C26E8"/>
    <w:rsid w:val="000C2C0F"/>
    <w:rsid w:val="000C2D6A"/>
    <w:rsid w:val="000C33B4"/>
    <w:rsid w:val="000C34AB"/>
    <w:rsid w:val="000C4830"/>
    <w:rsid w:val="000C590A"/>
    <w:rsid w:val="000C5B6B"/>
    <w:rsid w:val="000C6E3A"/>
    <w:rsid w:val="000C7268"/>
    <w:rsid w:val="000C7475"/>
    <w:rsid w:val="000D00B2"/>
    <w:rsid w:val="000D1046"/>
    <w:rsid w:val="000D25EF"/>
    <w:rsid w:val="000D31A6"/>
    <w:rsid w:val="000D338F"/>
    <w:rsid w:val="000D4190"/>
    <w:rsid w:val="000D49C1"/>
    <w:rsid w:val="000D4DDD"/>
    <w:rsid w:val="000D519A"/>
    <w:rsid w:val="000D548B"/>
    <w:rsid w:val="000D5622"/>
    <w:rsid w:val="000D6404"/>
    <w:rsid w:val="000D6781"/>
    <w:rsid w:val="000D68D5"/>
    <w:rsid w:val="000D6DC7"/>
    <w:rsid w:val="000D755B"/>
    <w:rsid w:val="000E034B"/>
    <w:rsid w:val="000E0AC3"/>
    <w:rsid w:val="000E0B00"/>
    <w:rsid w:val="000E0C98"/>
    <w:rsid w:val="000E0F69"/>
    <w:rsid w:val="000E181D"/>
    <w:rsid w:val="000E271F"/>
    <w:rsid w:val="000E31D0"/>
    <w:rsid w:val="000E31FF"/>
    <w:rsid w:val="000E44F0"/>
    <w:rsid w:val="000E47FD"/>
    <w:rsid w:val="000E55E9"/>
    <w:rsid w:val="000E5772"/>
    <w:rsid w:val="000E5A8B"/>
    <w:rsid w:val="000E5ED3"/>
    <w:rsid w:val="000E63C1"/>
    <w:rsid w:val="000E6CA4"/>
    <w:rsid w:val="000E6D46"/>
    <w:rsid w:val="000E6F79"/>
    <w:rsid w:val="000E7466"/>
    <w:rsid w:val="000E74C7"/>
    <w:rsid w:val="000E7880"/>
    <w:rsid w:val="000E7FAB"/>
    <w:rsid w:val="000F00F5"/>
    <w:rsid w:val="000F070B"/>
    <w:rsid w:val="000F0DE9"/>
    <w:rsid w:val="000F1224"/>
    <w:rsid w:val="000F428E"/>
    <w:rsid w:val="000F45F6"/>
    <w:rsid w:val="000F4A5B"/>
    <w:rsid w:val="000F5714"/>
    <w:rsid w:val="000F64A8"/>
    <w:rsid w:val="000F663B"/>
    <w:rsid w:val="000F6D78"/>
    <w:rsid w:val="000F7C14"/>
    <w:rsid w:val="00100E36"/>
    <w:rsid w:val="001012E0"/>
    <w:rsid w:val="00101BD3"/>
    <w:rsid w:val="00101F61"/>
    <w:rsid w:val="0010235D"/>
    <w:rsid w:val="00102E55"/>
    <w:rsid w:val="00102EF7"/>
    <w:rsid w:val="00103868"/>
    <w:rsid w:val="00104599"/>
    <w:rsid w:val="001055D3"/>
    <w:rsid w:val="00105A25"/>
    <w:rsid w:val="00105B60"/>
    <w:rsid w:val="00106BF4"/>
    <w:rsid w:val="001073FC"/>
    <w:rsid w:val="00107A8F"/>
    <w:rsid w:val="00107BA5"/>
    <w:rsid w:val="0011000D"/>
    <w:rsid w:val="00111666"/>
    <w:rsid w:val="00111B9D"/>
    <w:rsid w:val="00111D78"/>
    <w:rsid w:val="001126DF"/>
    <w:rsid w:val="001127AB"/>
    <w:rsid w:val="0011295F"/>
    <w:rsid w:val="0011313C"/>
    <w:rsid w:val="00113A48"/>
    <w:rsid w:val="0011436B"/>
    <w:rsid w:val="0011445A"/>
    <w:rsid w:val="001147E2"/>
    <w:rsid w:val="00114976"/>
    <w:rsid w:val="00115D68"/>
    <w:rsid w:val="001162C2"/>
    <w:rsid w:val="00116B12"/>
    <w:rsid w:val="00116BD9"/>
    <w:rsid w:val="00117997"/>
    <w:rsid w:val="00117CEA"/>
    <w:rsid w:val="00117E2B"/>
    <w:rsid w:val="00120604"/>
    <w:rsid w:val="00121F96"/>
    <w:rsid w:val="00122263"/>
    <w:rsid w:val="00122693"/>
    <w:rsid w:val="00122D12"/>
    <w:rsid w:val="00122EA3"/>
    <w:rsid w:val="00123AC4"/>
    <w:rsid w:val="00124789"/>
    <w:rsid w:val="00124940"/>
    <w:rsid w:val="00124CA7"/>
    <w:rsid w:val="0012514E"/>
    <w:rsid w:val="00125ECB"/>
    <w:rsid w:val="00126270"/>
    <w:rsid w:val="00126A0E"/>
    <w:rsid w:val="00127BA6"/>
    <w:rsid w:val="001306EC"/>
    <w:rsid w:val="00130927"/>
    <w:rsid w:val="001318E6"/>
    <w:rsid w:val="001319C5"/>
    <w:rsid w:val="00131A89"/>
    <w:rsid w:val="00131F18"/>
    <w:rsid w:val="00131FCC"/>
    <w:rsid w:val="0013386A"/>
    <w:rsid w:val="0013390B"/>
    <w:rsid w:val="00133A77"/>
    <w:rsid w:val="00133ABD"/>
    <w:rsid w:val="00133BC8"/>
    <w:rsid w:val="001345F1"/>
    <w:rsid w:val="00134F67"/>
    <w:rsid w:val="00135280"/>
    <w:rsid w:val="001356E1"/>
    <w:rsid w:val="00136002"/>
    <w:rsid w:val="00136454"/>
    <w:rsid w:val="00137123"/>
    <w:rsid w:val="00137505"/>
    <w:rsid w:val="00137938"/>
    <w:rsid w:val="001408A3"/>
    <w:rsid w:val="00141733"/>
    <w:rsid w:val="00141BD5"/>
    <w:rsid w:val="00141E45"/>
    <w:rsid w:val="0014200A"/>
    <w:rsid w:val="00142452"/>
    <w:rsid w:val="001424BC"/>
    <w:rsid w:val="001428C9"/>
    <w:rsid w:val="00142D6F"/>
    <w:rsid w:val="001437D3"/>
    <w:rsid w:val="00143977"/>
    <w:rsid w:val="00143D98"/>
    <w:rsid w:val="0014445E"/>
    <w:rsid w:val="00144EE9"/>
    <w:rsid w:val="00145A9A"/>
    <w:rsid w:val="00145EF6"/>
    <w:rsid w:val="00146D13"/>
    <w:rsid w:val="0014742D"/>
    <w:rsid w:val="001500AE"/>
    <w:rsid w:val="00150B04"/>
    <w:rsid w:val="00150D53"/>
    <w:rsid w:val="00152067"/>
    <w:rsid w:val="0015211F"/>
    <w:rsid w:val="00152AA0"/>
    <w:rsid w:val="00152D4C"/>
    <w:rsid w:val="001539C9"/>
    <w:rsid w:val="0015445A"/>
    <w:rsid w:val="0015475E"/>
    <w:rsid w:val="001553AB"/>
    <w:rsid w:val="001569BC"/>
    <w:rsid w:val="00157273"/>
    <w:rsid w:val="00157412"/>
    <w:rsid w:val="001578E9"/>
    <w:rsid w:val="00157949"/>
    <w:rsid w:val="001603A6"/>
    <w:rsid w:val="00160972"/>
    <w:rsid w:val="00161060"/>
    <w:rsid w:val="0016176F"/>
    <w:rsid w:val="00161BE9"/>
    <w:rsid w:val="00161FB1"/>
    <w:rsid w:val="00162C00"/>
    <w:rsid w:val="001633E9"/>
    <w:rsid w:val="00163CF0"/>
    <w:rsid w:val="00164031"/>
    <w:rsid w:val="00165C2C"/>
    <w:rsid w:val="001661D2"/>
    <w:rsid w:val="00166915"/>
    <w:rsid w:val="0016771C"/>
    <w:rsid w:val="00167EC0"/>
    <w:rsid w:val="00170D4A"/>
    <w:rsid w:val="0017182C"/>
    <w:rsid w:val="00172DA2"/>
    <w:rsid w:val="00174915"/>
    <w:rsid w:val="00176076"/>
    <w:rsid w:val="0017689E"/>
    <w:rsid w:val="00177DBB"/>
    <w:rsid w:val="0018098E"/>
    <w:rsid w:val="00180DB5"/>
    <w:rsid w:val="001817A3"/>
    <w:rsid w:val="001822C0"/>
    <w:rsid w:val="00182371"/>
    <w:rsid w:val="001836A8"/>
    <w:rsid w:val="0018419A"/>
    <w:rsid w:val="0018440E"/>
    <w:rsid w:val="00184944"/>
    <w:rsid w:val="00184A89"/>
    <w:rsid w:val="00184E03"/>
    <w:rsid w:val="00184F7C"/>
    <w:rsid w:val="00185110"/>
    <w:rsid w:val="0018547B"/>
    <w:rsid w:val="00185FA4"/>
    <w:rsid w:val="00186001"/>
    <w:rsid w:val="00187414"/>
    <w:rsid w:val="0018794C"/>
    <w:rsid w:val="00190C83"/>
    <w:rsid w:val="001919C3"/>
    <w:rsid w:val="001919CE"/>
    <w:rsid w:val="0019213A"/>
    <w:rsid w:val="00192300"/>
    <w:rsid w:val="00192377"/>
    <w:rsid w:val="0019398A"/>
    <w:rsid w:val="00193BE2"/>
    <w:rsid w:val="001954DE"/>
    <w:rsid w:val="0019684B"/>
    <w:rsid w:val="00196B69"/>
    <w:rsid w:val="00196FF5"/>
    <w:rsid w:val="00197C87"/>
    <w:rsid w:val="001A022C"/>
    <w:rsid w:val="001A04AD"/>
    <w:rsid w:val="001A087B"/>
    <w:rsid w:val="001A09C0"/>
    <w:rsid w:val="001A0AC4"/>
    <w:rsid w:val="001A0CDD"/>
    <w:rsid w:val="001A0E28"/>
    <w:rsid w:val="001A216D"/>
    <w:rsid w:val="001A239C"/>
    <w:rsid w:val="001A38C3"/>
    <w:rsid w:val="001A38F8"/>
    <w:rsid w:val="001A41DE"/>
    <w:rsid w:val="001A4E1D"/>
    <w:rsid w:val="001A4E9D"/>
    <w:rsid w:val="001A5AB0"/>
    <w:rsid w:val="001A5E30"/>
    <w:rsid w:val="001A6A29"/>
    <w:rsid w:val="001A6D0D"/>
    <w:rsid w:val="001A7107"/>
    <w:rsid w:val="001A7F11"/>
    <w:rsid w:val="001B04D5"/>
    <w:rsid w:val="001B0A3E"/>
    <w:rsid w:val="001B0C5F"/>
    <w:rsid w:val="001B0DBD"/>
    <w:rsid w:val="001B1D25"/>
    <w:rsid w:val="001B221A"/>
    <w:rsid w:val="001B2B98"/>
    <w:rsid w:val="001B2C7A"/>
    <w:rsid w:val="001B33DE"/>
    <w:rsid w:val="001B3474"/>
    <w:rsid w:val="001B38E4"/>
    <w:rsid w:val="001B45A1"/>
    <w:rsid w:val="001B45DC"/>
    <w:rsid w:val="001B49D8"/>
    <w:rsid w:val="001B50C3"/>
    <w:rsid w:val="001B56EA"/>
    <w:rsid w:val="001B5959"/>
    <w:rsid w:val="001B6B1B"/>
    <w:rsid w:val="001B7071"/>
    <w:rsid w:val="001C00B0"/>
    <w:rsid w:val="001C032E"/>
    <w:rsid w:val="001C07FB"/>
    <w:rsid w:val="001C1CBE"/>
    <w:rsid w:val="001C3D44"/>
    <w:rsid w:val="001C4191"/>
    <w:rsid w:val="001C42A9"/>
    <w:rsid w:val="001C5771"/>
    <w:rsid w:val="001C62A7"/>
    <w:rsid w:val="001C646B"/>
    <w:rsid w:val="001C73C1"/>
    <w:rsid w:val="001C7D6A"/>
    <w:rsid w:val="001D1649"/>
    <w:rsid w:val="001D2D6C"/>
    <w:rsid w:val="001D49F5"/>
    <w:rsid w:val="001D526A"/>
    <w:rsid w:val="001D6D08"/>
    <w:rsid w:val="001D71C3"/>
    <w:rsid w:val="001D7ECA"/>
    <w:rsid w:val="001E167A"/>
    <w:rsid w:val="001E1CAD"/>
    <w:rsid w:val="001E1D9F"/>
    <w:rsid w:val="001E1E3D"/>
    <w:rsid w:val="001E271C"/>
    <w:rsid w:val="001E2910"/>
    <w:rsid w:val="001E3538"/>
    <w:rsid w:val="001E3A81"/>
    <w:rsid w:val="001E46AA"/>
    <w:rsid w:val="001E6329"/>
    <w:rsid w:val="001E6D40"/>
    <w:rsid w:val="001E70A9"/>
    <w:rsid w:val="001E72C3"/>
    <w:rsid w:val="001E78D9"/>
    <w:rsid w:val="001F01C4"/>
    <w:rsid w:val="001F12B5"/>
    <w:rsid w:val="001F1AA2"/>
    <w:rsid w:val="001F299D"/>
    <w:rsid w:val="001F2CA5"/>
    <w:rsid w:val="001F2D71"/>
    <w:rsid w:val="001F3ABE"/>
    <w:rsid w:val="001F4D04"/>
    <w:rsid w:val="001F574A"/>
    <w:rsid w:val="001F5D02"/>
    <w:rsid w:val="001F5D56"/>
    <w:rsid w:val="001F5EC4"/>
    <w:rsid w:val="001F6181"/>
    <w:rsid w:val="001F690A"/>
    <w:rsid w:val="001F6C94"/>
    <w:rsid w:val="001F7769"/>
    <w:rsid w:val="001F7E74"/>
    <w:rsid w:val="002004DB"/>
    <w:rsid w:val="002005B7"/>
    <w:rsid w:val="00200CD8"/>
    <w:rsid w:val="00200F68"/>
    <w:rsid w:val="002010F8"/>
    <w:rsid w:val="00201188"/>
    <w:rsid w:val="00201703"/>
    <w:rsid w:val="00201D9C"/>
    <w:rsid w:val="00202355"/>
    <w:rsid w:val="00202529"/>
    <w:rsid w:val="00202668"/>
    <w:rsid w:val="00202AE6"/>
    <w:rsid w:val="00203100"/>
    <w:rsid w:val="0020330C"/>
    <w:rsid w:val="0020433A"/>
    <w:rsid w:val="00204D93"/>
    <w:rsid w:val="0020517B"/>
    <w:rsid w:val="002061EA"/>
    <w:rsid w:val="00206B15"/>
    <w:rsid w:val="002071F8"/>
    <w:rsid w:val="0020780C"/>
    <w:rsid w:val="002104B2"/>
    <w:rsid w:val="002109A3"/>
    <w:rsid w:val="00210E96"/>
    <w:rsid w:val="00210F1E"/>
    <w:rsid w:val="00211289"/>
    <w:rsid w:val="0021210E"/>
    <w:rsid w:val="00212223"/>
    <w:rsid w:val="002130CE"/>
    <w:rsid w:val="002144CE"/>
    <w:rsid w:val="00214556"/>
    <w:rsid w:val="002148DB"/>
    <w:rsid w:val="002149F9"/>
    <w:rsid w:val="00214BC3"/>
    <w:rsid w:val="0021648B"/>
    <w:rsid w:val="00216632"/>
    <w:rsid w:val="00216892"/>
    <w:rsid w:val="00217223"/>
    <w:rsid w:val="0021795B"/>
    <w:rsid w:val="00217F4F"/>
    <w:rsid w:val="00220101"/>
    <w:rsid w:val="00220CA7"/>
    <w:rsid w:val="00220E4E"/>
    <w:rsid w:val="002213BD"/>
    <w:rsid w:val="00221415"/>
    <w:rsid w:val="0022322C"/>
    <w:rsid w:val="0022329E"/>
    <w:rsid w:val="0022382C"/>
    <w:rsid w:val="00224525"/>
    <w:rsid w:val="00224DBE"/>
    <w:rsid w:val="002253AA"/>
    <w:rsid w:val="00225588"/>
    <w:rsid w:val="0022565A"/>
    <w:rsid w:val="0022590F"/>
    <w:rsid w:val="00225A5A"/>
    <w:rsid w:val="00225E34"/>
    <w:rsid w:val="0022764C"/>
    <w:rsid w:val="00227701"/>
    <w:rsid w:val="002279CF"/>
    <w:rsid w:val="00227F10"/>
    <w:rsid w:val="00230878"/>
    <w:rsid w:val="00230BF2"/>
    <w:rsid w:val="00231455"/>
    <w:rsid w:val="00231B16"/>
    <w:rsid w:val="00231D6D"/>
    <w:rsid w:val="002329AA"/>
    <w:rsid w:val="00233B64"/>
    <w:rsid w:val="00234174"/>
    <w:rsid w:val="002343F8"/>
    <w:rsid w:val="0023472D"/>
    <w:rsid w:val="002353C4"/>
    <w:rsid w:val="00235D23"/>
    <w:rsid w:val="00236E4B"/>
    <w:rsid w:val="002378F4"/>
    <w:rsid w:val="00237DC0"/>
    <w:rsid w:val="00240615"/>
    <w:rsid w:val="00240A40"/>
    <w:rsid w:val="0024114B"/>
    <w:rsid w:val="00241411"/>
    <w:rsid w:val="002417C2"/>
    <w:rsid w:val="00241F93"/>
    <w:rsid w:val="002421EA"/>
    <w:rsid w:val="0024340B"/>
    <w:rsid w:val="00243D60"/>
    <w:rsid w:val="00243F08"/>
    <w:rsid w:val="00244B6C"/>
    <w:rsid w:val="00244C05"/>
    <w:rsid w:val="0024512A"/>
    <w:rsid w:val="0024527E"/>
    <w:rsid w:val="00245532"/>
    <w:rsid w:val="00245543"/>
    <w:rsid w:val="00245AB6"/>
    <w:rsid w:val="00245BBB"/>
    <w:rsid w:val="002460EC"/>
    <w:rsid w:val="00246D68"/>
    <w:rsid w:val="00247130"/>
    <w:rsid w:val="002518C8"/>
    <w:rsid w:val="00252082"/>
    <w:rsid w:val="0025277C"/>
    <w:rsid w:val="00252BED"/>
    <w:rsid w:val="002536D2"/>
    <w:rsid w:val="002536FD"/>
    <w:rsid w:val="00254522"/>
    <w:rsid w:val="002553DC"/>
    <w:rsid w:val="00255DC0"/>
    <w:rsid w:val="00256D21"/>
    <w:rsid w:val="00256D92"/>
    <w:rsid w:val="00257442"/>
    <w:rsid w:val="00257951"/>
    <w:rsid w:val="002601AE"/>
    <w:rsid w:val="00260303"/>
    <w:rsid w:val="00260709"/>
    <w:rsid w:val="002607B8"/>
    <w:rsid w:val="00260C02"/>
    <w:rsid w:val="002612B4"/>
    <w:rsid w:val="00261670"/>
    <w:rsid w:val="00261814"/>
    <w:rsid w:val="00261848"/>
    <w:rsid w:val="0026210C"/>
    <w:rsid w:val="0026219B"/>
    <w:rsid w:val="00262642"/>
    <w:rsid w:val="0026268B"/>
    <w:rsid w:val="002633A2"/>
    <w:rsid w:val="002637AE"/>
    <w:rsid w:val="00263B6A"/>
    <w:rsid w:val="002645EA"/>
    <w:rsid w:val="00265197"/>
    <w:rsid w:val="00265ED4"/>
    <w:rsid w:val="002664B6"/>
    <w:rsid w:val="0026656D"/>
    <w:rsid w:val="0026662D"/>
    <w:rsid w:val="002669FA"/>
    <w:rsid w:val="00266D2C"/>
    <w:rsid w:val="002673A5"/>
    <w:rsid w:val="00267620"/>
    <w:rsid w:val="002678CB"/>
    <w:rsid w:val="00267B97"/>
    <w:rsid w:val="00267F60"/>
    <w:rsid w:val="00272462"/>
    <w:rsid w:val="00272470"/>
    <w:rsid w:val="00272FD3"/>
    <w:rsid w:val="00274314"/>
    <w:rsid w:val="002753A8"/>
    <w:rsid w:val="0027763C"/>
    <w:rsid w:val="00277F41"/>
    <w:rsid w:val="002800AF"/>
    <w:rsid w:val="002802C9"/>
    <w:rsid w:val="002803F4"/>
    <w:rsid w:val="002822B9"/>
    <w:rsid w:val="00283C49"/>
    <w:rsid w:val="00283DB9"/>
    <w:rsid w:val="00284350"/>
    <w:rsid w:val="002843EF"/>
    <w:rsid w:val="00286244"/>
    <w:rsid w:val="0028763C"/>
    <w:rsid w:val="002907A7"/>
    <w:rsid w:val="0029089B"/>
    <w:rsid w:val="00290BC0"/>
    <w:rsid w:val="00291217"/>
    <w:rsid w:val="002912AF"/>
    <w:rsid w:val="002918B2"/>
    <w:rsid w:val="00291A08"/>
    <w:rsid w:val="00291FBB"/>
    <w:rsid w:val="00292037"/>
    <w:rsid w:val="00292522"/>
    <w:rsid w:val="00292DD9"/>
    <w:rsid w:val="00293DBF"/>
    <w:rsid w:val="002942D6"/>
    <w:rsid w:val="002946DE"/>
    <w:rsid w:val="002947A1"/>
    <w:rsid w:val="00294DDB"/>
    <w:rsid w:val="00295070"/>
    <w:rsid w:val="002957B2"/>
    <w:rsid w:val="002958F9"/>
    <w:rsid w:val="00295A2D"/>
    <w:rsid w:val="002964E6"/>
    <w:rsid w:val="002966CC"/>
    <w:rsid w:val="00296E3F"/>
    <w:rsid w:val="00297500"/>
    <w:rsid w:val="00297B20"/>
    <w:rsid w:val="00297D60"/>
    <w:rsid w:val="002A075E"/>
    <w:rsid w:val="002A08D7"/>
    <w:rsid w:val="002A12F5"/>
    <w:rsid w:val="002A1DC8"/>
    <w:rsid w:val="002A1F8C"/>
    <w:rsid w:val="002A23F3"/>
    <w:rsid w:val="002A2DFE"/>
    <w:rsid w:val="002A2FBF"/>
    <w:rsid w:val="002A3352"/>
    <w:rsid w:val="002A3488"/>
    <w:rsid w:val="002A38C3"/>
    <w:rsid w:val="002A3972"/>
    <w:rsid w:val="002A3FF0"/>
    <w:rsid w:val="002A465B"/>
    <w:rsid w:val="002A61B4"/>
    <w:rsid w:val="002A6F12"/>
    <w:rsid w:val="002A7059"/>
    <w:rsid w:val="002A7196"/>
    <w:rsid w:val="002A722E"/>
    <w:rsid w:val="002A7569"/>
    <w:rsid w:val="002A7625"/>
    <w:rsid w:val="002B07C3"/>
    <w:rsid w:val="002B0D9F"/>
    <w:rsid w:val="002B0FC9"/>
    <w:rsid w:val="002B1009"/>
    <w:rsid w:val="002B101E"/>
    <w:rsid w:val="002B1824"/>
    <w:rsid w:val="002B19EC"/>
    <w:rsid w:val="002B2E71"/>
    <w:rsid w:val="002B30C2"/>
    <w:rsid w:val="002B43EF"/>
    <w:rsid w:val="002B5193"/>
    <w:rsid w:val="002B5DC3"/>
    <w:rsid w:val="002B69F6"/>
    <w:rsid w:val="002B6A25"/>
    <w:rsid w:val="002B74D4"/>
    <w:rsid w:val="002B7522"/>
    <w:rsid w:val="002B79EB"/>
    <w:rsid w:val="002B7E1A"/>
    <w:rsid w:val="002C035D"/>
    <w:rsid w:val="002C12E1"/>
    <w:rsid w:val="002C133B"/>
    <w:rsid w:val="002C1EFD"/>
    <w:rsid w:val="002C1F6B"/>
    <w:rsid w:val="002C225A"/>
    <w:rsid w:val="002C29EF"/>
    <w:rsid w:val="002C2B9D"/>
    <w:rsid w:val="002C2EDB"/>
    <w:rsid w:val="002C362D"/>
    <w:rsid w:val="002C4051"/>
    <w:rsid w:val="002C445B"/>
    <w:rsid w:val="002C4D88"/>
    <w:rsid w:val="002C4E88"/>
    <w:rsid w:val="002C680E"/>
    <w:rsid w:val="002C6BF9"/>
    <w:rsid w:val="002C7119"/>
    <w:rsid w:val="002D0B20"/>
    <w:rsid w:val="002D0E0E"/>
    <w:rsid w:val="002D1E4C"/>
    <w:rsid w:val="002D2484"/>
    <w:rsid w:val="002D2C70"/>
    <w:rsid w:val="002D3B67"/>
    <w:rsid w:val="002D48CB"/>
    <w:rsid w:val="002D4DF7"/>
    <w:rsid w:val="002D4F78"/>
    <w:rsid w:val="002D53B7"/>
    <w:rsid w:val="002D59E5"/>
    <w:rsid w:val="002D5D82"/>
    <w:rsid w:val="002D65FC"/>
    <w:rsid w:val="002D672A"/>
    <w:rsid w:val="002D6B5E"/>
    <w:rsid w:val="002D6B8E"/>
    <w:rsid w:val="002E050A"/>
    <w:rsid w:val="002E0D0B"/>
    <w:rsid w:val="002E1EBB"/>
    <w:rsid w:val="002E1FB6"/>
    <w:rsid w:val="002E2434"/>
    <w:rsid w:val="002E379C"/>
    <w:rsid w:val="002E383A"/>
    <w:rsid w:val="002E3891"/>
    <w:rsid w:val="002E3A50"/>
    <w:rsid w:val="002E4CEE"/>
    <w:rsid w:val="002E4F0F"/>
    <w:rsid w:val="002E4FA0"/>
    <w:rsid w:val="002E506E"/>
    <w:rsid w:val="002E543D"/>
    <w:rsid w:val="002E58A9"/>
    <w:rsid w:val="002E5B45"/>
    <w:rsid w:val="002E5C0C"/>
    <w:rsid w:val="002E5F58"/>
    <w:rsid w:val="002E612B"/>
    <w:rsid w:val="002E6DF4"/>
    <w:rsid w:val="002E70BE"/>
    <w:rsid w:val="002E7220"/>
    <w:rsid w:val="002E75D6"/>
    <w:rsid w:val="002E7B5F"/>
    <w:rsid w:val="002F07DC"/>
    <w:rsid w:val="002F10F3"/>
    <w:rsid w:val="002F1273"/>
    <w:rsid w:val="002F141A"/>
    <w:rsid w:val="002F17ED"/>
    <w:rsid w:val="002F1B87"/>
    <w:rsid w:val="002F236B"/>
    <w:rsid w:val="002F276D"/>
    <w:rsid w:val="002F284B"/>
    <w:rsid w:val="002F2915"/>
    <w:rsid w:val="002F355F"/>
    <w:rsid w:val="002F36D3"/>
    <w:rsid w:val="002F3756"/>
    <w:rsid w:val="002F3BE0"/>
    <w:rsid w:val="002F4756"/>
    <w:rsid w:val="002F4FBD"/>
    <w:rsid w:val="002F55C6"/>
    <w:rsid w:val="002F5E69"/>
    <w:rsid w:val="002F708A"/>
    <w:rsid w:val="002F7C0C"/>
    <w:rsid w:val="0030052C"/>
    <w:rsid w:val="00300542"/>
    <w:rsid w:val="00300703"/>
    <w:rsid w:val="00300BAD"/>
    <w:rsid w:val="00301A7C"/>
    <w:rsid w:val="00301DE5"/>
    <w:rsid w:val="003023C9"/>
    <w:rsid w:val="00302E09"/>
    <w:rsid w:val="003030A3"/>
    <w:rsid w:val="00303924"/>
    <w:rsid w:val="00303CFD"/>
    <w:rsid w:val="0030468D"/>
    <w:rsid w:val="00305017"/>
    <w:rsid w:val="003050A6"/>
    <w:rsid w:val="003053BB"/>
    <w:rsid w:val="0030609D"/>
    <w:rsid w:val="00306177"/>
    <w:rsid w:val="003064D5"/>
    <w:rsid w:val="0030671F"/>
    <w:rsid w:val="00306A0A"/>
    <w:rsid w:val="003070A0"/>
    <w:rsid w:val="00307BDE"/>
    <w:rsid w:val="00307CFB"/>
    <w:rsid w:val="00307DBE"/>
    <w:rsid w:val="003106F8"/>
    <w:rsid w:val="00310FFB"/>
    <w:rsid w:val="003114E7"/>
    <w:rsid w:val="00311BCB"/>
    <w:rsid w:val="00311DF1"/>
    <w:rsid w:val="0031214A"/>
    <w:rsid w:val="00312379"/>
    <w:rsid w:val="003142D3"/>
    <w:rsid w:val="003147F9"/>
    <w:rsid w:val="00314E27"/>
    <w:rsid w:val="003151C8"/>
    <w:rsid w:val="00315A05"/>
    <w:rsid w:val="00315CC9"/>
    <w:rsid w:val="0031672D"/>
    <w:rsid w:val="00316AD9"/>
    <w:rsid w:val="00317D57"/>
    <w:rsid w:val="003211D6"/>
    <w:rsid w:val="003218AD"/>
    <w:rsid w:val="00321AE6"/>
    <w:rsid w:val="00321FEA"/>
    <w:rsid w:val="00322213"/>
    <w:rsid w:val="00322647"/>
    <w:rsid w:val="00322FC3"/>
    <w:rsid w:val="00323073"/>
    <w:rsid w:val="00323272"/>
    <w:rsid w:val="00323404"/>
    <w:rsid w:val="003238AB"/>
    <w:rsid w:val="00323D4F"/>
    <w:rsid w:val="003243C0"/>
    <w:rsid w:val="00324C76"/>
    <w:rsid w:val="003260E0"/>
    <w:rsid w:val="003270A9"/>
    <w:rsid w:val="003313DC"/>
    <w:rsid w:val="00331CDD"/>
    <w:rsid w:val="003320FA"/>
    <w:rsid w:val="003327C8"/>
    <w:rsid w:val="00332E76"/>
    <w:rsid w:val="003335F2"/>
    <w:rsid w:val="0033360B"/>
    <w:rsid w:val="0033379E"/>
    <w:rsid w:val="003339E8"/>
    <w:rsid w:val="00333B39"/>
    <w:rsid w:val="0033479F"/>
    <w:rsid w:val="00334D40"/>
    <w:rsid w:val="00335412"/>
    <w:rsid w:val="003364ED"/>
    <w:rsid w:val="00336DFE"/>
    <w:rsid w:val="00336FF6"/>
    <w:rsid w:val="00337561"/>
    <w:rsid w:val="003377A7"/>
    <w:rsid w:val="003403AF"/>
    <w:rsid w:val="00340A5B"/>
    <w:rsid w:val="00341296"/>
    <w:rsid w:val="00341C80"/>
    <w:rsid w:val="003423FF"/>
    <w:rsid w:val="00342691"/>
    <w:rsid w:val="003427E6"/>
    <w:rsid w:val="003428A8"/>
    <w:rsid w:val="0034364F"/>
    <w:rsid w:val="00343808"/>
    <w:rsid w:val="00343B9A"/>
    <w:rsid w:val="0034413D"/>
    <w:rsid w:val="00345792"/>
    <w:rsid w:val="00345C63"/>
    <w:rsid w:val="00346127"/>
    <w:rsid w:val="00346537"/>
    <w:rsid w:val="00347496"/>
    <w:rsid w:val="003476ED"/>
    <w:rsid w:val="0034788F"/>
    <w:rsid w:val="00347F05"/>
    <w:rsid w:val="00347FA5"/>
    <w:rsid w:val="0035037A"/>
    <w:rsid w:val="003509D4"/>
    <w:rsid w:val="00351158"/>
    <w:rsid w:val="003512F6"/>
    <w:rsid w:val="003512FE"/>
    <w:rsid w:val="003516FB"/>
    <w:rsid w:val="0035263F"/>
    <w:rsid w:val="00352ABD"/>
    <w:rsid w:val="00352EF9"/>
    <w:rsid w:val="003535C9"/>
    <w:rsid w:val="00353958"/>
    <w:rsid w:val="00353FD1"/>
    <w:rsid w:val="00354851"/>
    <w:rsid w:val="00354D4D"/>
    <w:rsid w:val="0035759A"/>
    <w:rsid w:val="00357B07"/>
    <w:rsid w:val="0036089E"/>
    <w:rsid w:val="003617BA"/>
    <w:rsid w:val="00361CFA"/>
    <w:rsid w:val="003649E8"/>
    <w:rsid w:val="00364A07"/>
    <w:rsid w:val="00366053"/>
    <w:rsid w:val="0036651C"/>
    <w:rsid w:val="00366A34"/>
    <w:rsid w:val="00366AA3"/>
    <w:rsid w:val="00366C6B"/>
    <w:rsid w:val="00366E18"/>
    <w:rsid w:val="00366F1C"/>
    <w:rsid w:val="00367656"/>
    <w:rsid w:val="00370287"/>
    <w:rsid w:val="003706CE"/>
    <w:rsid w:val="00370BEE"/>
    <w:rsid w:val="00371101"/>
    <w:rsid w:val="003712F2"/>
    <w:rsid w:val="00371385"/>
    <w:rsid w:val="00371A82"/>
    <w:rsid w:val="00372848"/>
    <w:rsid w:val="00372A01"/>
    <w:rsid w:val="00372BAA"/>
    <w:rsid w:val="00373199"/>
    <w:rsid w:val="003737B5"/>
    <w:rsid w:val="00374972"/>
    <w:rsid w:val="00374F5F"/>
    <w:rsid w:val="003754D3"/>
    <w:rsid w:val="003755AE"/>
    <w:rsid w:val="00376262"/>
    <w:rsid w:val="00376791"/>
    <w:rsid w:val="00377770"/>
    <w:rsid w:val="00377850"/>
    <w:rsid w:val="0038057D"/>
    <w:rsid w:val="00380933"/>
    <w:rsid w:val="00381283"/>
    <w:rsid w:val="00381535"/>
    <w:rsid w:val="0038183C"/>
    <w:rsid w:val="00381879"/>
    <w:rsid w:val="00381D6A"/>
    <w:rsid w:val="003834D4"/>
    <w:rsid w:val="0038376E"/>
    <w:rsid w:val="0038379F"/>
    <w:rsid w:val="00383FEA"/>
    <w:rsid w:val="003855A3"/>
    <w:rsid w:val="00385867"/>
    <w:rsid w:val="00385A70"/>
    <w:rsid w:val="00385A90"/>
    <w:rsid w:val="00385F03"/>
    <w:rsid w:val="00386244"/>
    <w:rsid w:val="0038644E"/>
    <w:rsid w:val="00386716"/>
    <w:rsid w:val="00386F96"/>
    <w:rsid w:val="003902A0"/>
    <w:rsid w:val="00390AB8"/>
    <w:rsid w:val="00390BBE"/>
    <w:rsid w:val="00391C21"/>
    <w:rsid w:val="00392E60"/>
    <w:rsid w:val="00392F4E"/>
    <w:rsid w:val="003938A8"/>
    <w:rsid w:val="00393BF2"/>
    <w:rsid w:val="00393D07"/>
    <w:rsid w:val="00394C7B"/>
    <w:rsid w:val="00395E77"/>
    <w:rsid w:val="0039619A"/>
    <w:rsid w:val="00396ED8"/>
    <w:rsid w:val="003972DC"/>
    <w:rsid w:val="00397AD7"/>
    <w:rsid w:val="003A035B"/>
    <w:rsid w:val="003A14D5"/>
    <w:rsid w:val="003A2117"/>
    <w:rsid w:val="003A25EC"/>
    <w:rsid w:val="003A2925"/>
    <w:rsid w:val="003A3479"/>
    <w:rsid w:val="003A4553"/>
    <w:rsid w:val="003A4D39"/>
    <w:rsid w:val="003A5290"/>
    <w:rsid w:val="003A6497"/>
    <w:rsid w:val="003A65F6"/>
    <w:rsid w:val="003A7931"/>
    <w:rsid w:val="003A7B05"/>
    <w:rsid w:val="003B046D"/>
    <w:rsid w:val="003B07DF"/>
    <w:rsid w:val="003B08E4"/>
    <w:rsid w:val="003B1999"/>
    <w:rsid w:val="003B1AB2"/>
    <w:rsid w:val="003B1C9C"/>
    <w:rsid w:val="003B1CD0"/>
    <w:rsid w:val="003B2E06"/>
    <w:rsid w:val="003B3761"/>
    <w:rsid w:val="003B3A90"/>
    <w:rsid w:val="003B3D81"/>
    <w:rsid w:val="003B4AEB"/>
    <w:rsid w:val="003B54D2"/>
    <w:rsid w:val="003B5595"/>
    <w:rsid w:val="003B6732"/>
    <w:rsid w:val="003B71EC"/>
    <w:rsid w:val="003B7AB1"/>
    <w:rsid w:val="003C004D"/>
    <w:rsid w:val="003C041B"/>
    <w:rsid w:val="003C1319"/>
    <w:rsid w:val="003C1627"/>
    <w:rsid w:val="003C190A"/>
    <w:rsid w:val="003C1E14"/>
    <w:rsid w:val="003C1FEA"/>
    <w:rsid w:val="003C2172"/>
    <w:rsid w:val="003C2890"/>
    <w:rsid w:val="003C54A8"/>
    <w:rsid w:val="003C6EDB"/>
    <w:rsid w:val="003C6F30"/>
    <w:rsid w:val="003C7171"/>
    <w:rsid w:val="003C734E"/>
    <w:rsid w:val="003C7B8C"/>
    <w:rsid w:val="003D075A"/>
    <w:rsid w:val="003D0A42"/>
    <w:rsid w:val="003D1E8A"/>
    <w:rsid w:val="003D201B"/>
    <w:rsid w:val="003D33F4"/>
    <w:rsid w:val="003D348D"/>
    <w:rsid w:val="003D58CF"/>
    <w:rsid w:val="003D5AA8"/>
    <w:rsid w:val="003D6AA0"/>
    <w:rsid w:val="003D706D"/>
    <w:rsid w:val="003D7819"/>
    <w:rsid w:val="003D7BD5"/>
    <w:rsid w:val="003D7F65"/>
    <w:rsid w:val="003E0876"/>
    <w:rsid w:val="003E12D7"/>
    <w:rsid w:val="003E1AC2"/>
    <w:rsid w:val="003E343B"/>
    <w:rsid w:val="003E3A15"/>
    <w:rsid w:val="003E3EF8"/>
    <w:rsid w:val="003E466F"/>
    <w:rsid w:val="003E4A0E"/>
    <w:rsid w:val="003E50FA"/>
    <w:rsid w:val="003E572B"/>
    <w:rsid w:val="003E6B65"/>
    <w:rsid w:val="003E6EDC"/>
    <w:rsid w:val="003E6FCD"/>
    <w:rsid w:val="003E7AF1"/>
    <w:rsid w:val="003E7E73"/>
    <w:rsid w:val="003E7E89"/>
    <w:rsid w:val="003F0627"/>
    <w:rsid w:val="003F1065"/>
    <w:rsid w:val="003F1A47"/>
    <w:rsid w:val="003F2978"/>
    <w:rsid w:val="003F2BA2"/>
    <w:rsid w:val="003F2C29"/>
    <w:rsid w:val="003F2DF5"/>
    <w:rsid w:val="003F45D0"/>
    <w:rsid w:val="003F583F"/>
    <w:rsid w:val="003F5941"/>
    <w:rsid w:val="003F5E2F"/>
    <w:rsid w:val="003F673D"/>
    <w:rsid w:val="003F6BB4"/>
    <w:rsid w:val="003F6CDA"/>
    <w:rsid w:val="003F6DEE"/>
    <w:rsid w:val="003F6FDF"/>
    <w:rsid w:val="003F7108"/>
    <w:rsid w:val="003F7229"/>
    <w:rsid w:val="003F7C68"/>
    <w:rsid w:val="0040049E"/>
    <w:rsid w:val="0040118D"/>
    <w:rsid w:val="004018EC"/>
    <w:rsid w:val="00401CAC"/>
    <w:rsid w:val="004025E3"/>
    <w:rsid w:val="00402770"/>
    <w:rsid w:val="00403E3B"/>
    <w:rsid w:val="004043AC"/>
    <w:rsid w:val="00404A84"/>
    <w:rsid w:val="0040580C"/>
    <w:rsid w:val="00406439"/>
    <w:rsid w:val="00406F57"/>
    <w:rsid w:val="004077F4"/>
    <w:rsid w:val="00410456"/>
    <w:rsid w:val="00410BD0"/>
    <w:rsid w:val="00410CC1"/>
    <w:rsid w:val="00411D11"/>
    <w:rsid w:val="00412333"/>
    <w:rsid w:val="004124BD"/>
    <w:rsid w:val="00412757"/>
    <w:rsid w:val="00412EBF"/>
    <w:rsid w:val="00413AAF"/>
    <w:rsid w:val="00415179"/>
    <w:rsid w:val="0041583D"/>
    <w:rsid w:val="004163B6"/>
    <w:rsid w:val="00416FA7"/>
    <w:rsid w:val="0041705C"/>
    <w:rsid w:val="0041714D"/>
    <w:rsid w:val="00420311"/>
    <w:rsid w:val="00420557"/>
    <w:rsid w:val="00420823"/>
    <w:rsid w:val="00420A91"/>
    <w:rsid w:val="004213D3"/>
    <w:rsid w:val="004215E0"/>
    <w:rsid w:val="00423355"/>
    <w:rsid w:val="00423AD7"/>
    <w:rsid w:val="00424280"/>
    <w:rsid w:val="00424C9B"/>
    <w:rsid w:val="00424CDF"/>
    <w:rsid w:val="00425245"/>
    <w:rsid w:val="00425CC8"/>
    <w:rsid w:val="00425F1D"/>
    <w:rsid w:val="004260F9"/>
    <w:rsid w:val="00426856"/>
    <w:rsid w:val="00427E97"/>
    <w:rsid w:val="0043080B"/>
    <w:rsid w:val="00430A7B"/>
    <w:rsid w:val="00431D47"/>
    <w:rsid w:val="00431D5C"/>
    <w:rsid w:val="0043227A"/>
    <w:rsid w:val="00432EB3"/>
    <w:rsid w:val="00433F5E"/>
    <w:rsid w:val="00434A11"/>
    <w:rsid w:val="00434C8B"/>
    <w:rsid w:val="00435085"/>
    <w:rsid w:val="00435C6D"/>
    <w:rsid w:val="00436147"/>
    <w:rsid w:val="00436E62"/>
    <w:rsid w:val="0043733B"/>
    <w:rsid w:val="00437AA9"/>
    <w:rsid w:val="00437C0E"/>
    <w:rsid w:val="00440BC2"/>
    <w:rsid w:val="00440C10"/>
    <w:rsid w:val="00441D22"/>
    <w:rsid w:val="00441F98"/>
    <w:rsid w:val="004421C2"/>
    <w:rsid w:val="00442E1E"/>
    <w:rsid w:val="00442FB0"/>
    <w:rsid w:val="00443DD8"/>
    <w:rsid w:val="00443F74"/>
    <w:rsid w:val="004441C9"/>
    <w:rsid w:val="004451E6"/>
    <w:rsid w:val="004466EF"/>
    <w:rsid w:val="00446706"/>
    <w:rsid w:val="0044681C"/>
    <w:rsid w:val="00446B12"/>
    <w:rsid w:val="00446B4C"/>
    <w:rsid w:val="00446F89"/>
    <w:rsid w:val="00447A95"/>
    <w:rsid w:val="00447CA4"/>
    <w:rsid w:val="00447ECB"/>
    <w:rsid w:val="004502D8"/>
    <w:rsid w:val="004512EE"/>
    <w:rsid w:val="00451CA0"/>
    <w:rsid w:val="00451E46"/>
    <w:rsid w:val="00452D0C"/>
    <w:rsid w:val="00453E71"/>
    <w:rsid w:val="00454036"/>
    <w:rsid w:val="004550B3"/>
    <w:rsid w:val="004554D8"/>
    <w:rsid w:val="00455963"/>
    <w:rsid w:val="00455B23"/>
    <w:rsid w:val="00456AE2"/>
    <w:rsid w:val="00456CCC"/>
    <w:rsid w:val="0045743C"/>
    <w:rsid w:val="00457519"/>
    <w:rsid w:val="00457A93"/>
    <w:rsid w:val="00457E31"/>
    <w:rsid w:val="00460153"/>
    <w:rsid w:val="0046019A"/>
    <w:rsid w:val="00460FC8"/>
    <w:rsid w:val="0046230F"/>
    <w:rsid w:val="004626EB"/>
    <w:rsid w:val="004626F7"/>
    <w:rsid w:val="00462CD1"/>
    <w:rsid w:val="00462F5E"/>
    <w:rsid w:val="004633D7"/>
    <w:rsid w:val="004637AB"/>
    <w:rsid w:val="00463981"/>
    <w:rsid w:val="004640DF"/>
    <w:rsid w:val="004643B5"/>
    <w:rsid w:val="00464F24"/>
    <w:rsid w:val="0046581F"/>
    <w:rsid w:val="00466458"/>
    <w:rsid w:val="00466651"/>
    <w:rsid w:val="00466BCE"/>
    <w:rsid w:val="004672DF"/>
    <w:rsid w:val="00470269"/>
    <w:rsid w:val="00470270"/>
    <w:rsid w:val="00470872"/>
    <w:rsid w:val="004710B8"/>
    <w:rsid w:val="0047138E"/>
    <w:rsid w:val="00471B7B"/>
    <w:rsid w:val="00471CA1"/>
    <w:rsid w:val="004729BD"/>
    <w:rsid w:val="0047304D"/>
    <w:rsid w:val="0047356C"/>
    <w:rsid w:val="00473590"/>
    <w:rsid w:val="0047398A"/>
    <w:rsid w:val="00473AE2"/>
    <w:rsid w:val="00473D8A"/>
    <w:rsid w:val="00473E2E"/>
    <w:rsid w:val="0047470C"/>
    <w:rsid w:val="00474EAC"/>
    <w:rsid w:val="004755D1"/>
    <w:rsid w:val="00475E9B"/>
    <w:rsid w:val="00476547"/>
    <w:rsid w:val="004769FE"/>
    <w:rsid w:val="00476E47"/>
    <w:rsid w:val="004773FF"/>
    <w:rsid w:val="00480299"/>
    <w:rsid w:val="004820A2"/>
    <w:rsid w:val="00483287"/>
    <w:rsid w:val="00483AE0"/>
    <w:rsid w:val="00483F8D"/>
    <w:rsid w:val="00484168"/>
    <w:rsid w:val="004849CF"/>
    <w:rsid w:val="00484A2C"/>
    <w:rsid w:val="0048559F"/>
    <w:rsid w:val="004861B8"/>
    <w:rsid w:val="004861D6"/>
    <w:rsid w:val="00486253"/>
    <w:rsid w:val="004876CC"/>
    <w:rsid w:val="004878FC"/>
    <w:rsid w:val="00487D0E"/>
    <w:rsid w:val="00490243"/>
    <w:rsid w:val="00491021"/>
    <w:rsid w:val="004911F6"/>
    <w:rsid w:val="00491FAA"/>
    <w:rsid w:val="004920A1"/>
    <w:rsid w:val="004930FF"/>
    <w:rsid w:val="00493273"/>
    <w:rsid w:val="00494A42"/>
    <w:rsid w:val="0049624B"/>
    <w:rsid w:val="004962BE"/>
    <w:rsid w:val="004A07E9"/>
    <w:rsid w:val="004A0D42"/>
    <w:rsid w:val="004A14A2"/>
    <w:rsid w:val="004A1736"/>
    <w:rsid w:val="004A1AF3"/>
    <w:rsid w:val="004A1D4A"/>
    <w:rsid w:val="004A1FAB"/>
    <w:rsid w:val="004A385F"/>
    <w:rsid w:val="004A3A42"/>
    <w:rsid w:val="004A3D13"/>
    <w:rsid w:val="004A58AD"/>
    <w:rsid w:val="004A7752"/>
    <w:rsid w:val="004A7F9F"/>
    <w:rsid w:val="004B039F"/>
    <w:rsid w:val="004B08E6"/>
    <w:rsid w:val="004B1286"/>
    <w:rsid w:val="004B1BF2"/>
    <w:rsid w:val="004B1C8B"/>
    <w:rsid w:val="004B3AC2"/>
    <w:rsid w:val="004B4340"/>
    <w:rsid w:val="004B4F17"/>
    <w:rsid w:val="004B5271"/>
    <w:rsid w:val="004B5280"/>
    <w:rsid w:val="004B5BE6"/>
    <w:rsid w:val="004B5D46"/>
    <w:rsid w:val="004B62EB"/>
    <w:rsid w:val="004B6304"/>
    <w:rsid w:val="004B6D40"/>
    <w:rsid w:val="004B6D63"/>
    <w:rsid w:val="004C0B0E"/>
    <w:rsid w:val="004C1700"/>
    <w:rsid w:val="004C2719"/>
    <w:rsid w:val="004C44E8"/>
    <w:rsid w:val="004C4994"/>
    <w:rsid w:val="004C57DB"/>
    <w:rsid w:val="004C5999"/>
    <w:rsid w:val="004C680D"/>
    <w:rsid w:val="004C7186"/>
    <w:rsid w:val="004C75EB"/>
    <w:rsid w:val="004C79DE"/>
    <w:rsid w:val="004D026F"/>
    <w:rsid w:val="004D0390"/>
    <w:rsid w:val="004D0514"/>
    <w:rsid w:val="004D06E5"/>
    <w:rsid w:val="004D08CC"/>
    <w:rsid w:val="004D0BE1"/>
    <w:rsid w:val="004D1178"/>
    <w:rsid w:val="004D230E"/>
    <w:rsid w:val="004D2B70"/>
    <w:rsid w:val="004D2F77"/>
    <w:rsid w:val="004D3770"/>
    <w:rsid w:val="004D381C"/>
    <w:rsid w:val="004D3BBC"/>
    <w:rsid w:val="004D3F26"/>
    <w:rsid w:val="004D4155"/>
    <w:rsid w:val="004D4CC6"/>
    <w:rsid w:val="004D5DFE"/>
    <w:rsid w:val="004D647A"/>
    <w:rsid w:val="004D7D5A"/>
    <w:rsid w:val="004D7DBF"/>
    <w:rsid w:val="004E18D5"/>
    <w:rsid w:val="004E1B8B"/>
    <w:rsid w:val="004E1BD8"/>
    <w:rsid w:val="004E208C"/>
    <w:rsid w:val="004E2334"/>
    <w:rsid w:val="004E2710"/>
    <w:rsid w:val="004E2F84"/>
    <w:rsid w:val="004E371A"/>
    <w:rsid w:val="004E3DE2"/>
    <w:rsid w:val="004E3E7E"/>
    <w:rsid w:val="004E4452"/>
    <w:rsid w:val="004E474B"/>
    <w:rsid w:val="004E5BC7"/>
    <w:rsid w:val="004E6787"/>
    <w:rsid w:val="004E6A9C"/>
    <w:rsid w:val="004E7576"/>
    <w:rsid w:val="004F0A00"/>
    <w:rsid w:val="004F0E4C"/>
    <w:rsid w:val="004F11E4"/>
    <w:rsid w:val="004F2B9D"/>
    <w:rsid w:val="004F3562"/>
    <w:rsid w:val="004F369E"/>
    <w:rsid w:val="004F3EC7"/>
    <w:rsid w:val="004F3FC5"/>
    <w:rsid w:val="004F461E"/>
    <w:rsid w:val="004F499B"/>
    <w:rsid w:val="004F4FED"/>
    <w:rsid w:val="004F5497"/>
    <w:rsid w:val="004F55ED"/>
    <w:rsid w:val="004F56FA"/>
    <w:rsid w:val="004F61F5"/>
    <w:rsid w:val="004F6329"/>
    <w:rsid w:val="004F6B21"/>
    <w:rsid w:val="004F6F2D"/>
    <w:rsid w:val="005002C7"/>
    <w:rsid w:val="005011AE"/>
    <w:rsid w:val="0050159A"/>
    <w:rsid w:val="00502AC9"/>
    <w:rsid w:val="00502C2A"/>
    <w:rsid w:val="00502C43"/>
    <w:rsid w:val="00502CE5"/>
    <w:rsid w:val="00503563"/>
    <w:rsid w:val="0050509E"/>
    <w:rsid w:val="00505B17"/>
    <w:rsid w:val="005060B1"/>
    <w:rsid w:val="00506411"/>
    <w:rsid w:val="00506B87"/>
    <w:rsid w:val="00506FF8"/>
    <w:rsid w:val="005070FD"/>
    <w:rsid w:val="0050796D"/>
    <w:rsid w:val="00507DA0"/>
    <w:rsid w:val="00507F63"/>
    <w:rsid w:val="00507F6D"/>
    <w:rsid w:val="0051134D"/>
    <w:rsid w:val="0051148F"/>
    <w:rsid w:val="00511AFE"/>
    <w:rsid w:val="00512019"/>
    <w:rsid w:val="00512142"/>
    <w:rsid w:val="00512277"/>
    <w:rsid w:val="0051259E"/>
    <w:rsid w:val="00512A8E"/>
    <w:rsid w:val="00512AA5"/>
    <w:rsid w:val="00512AB9"/>
    <w:rsid w:val="005136DA"/>
    <w:rsid w:val="00513756"/>
    <w:rsid w:val="00513C5A"/>
    <w:rsid w:val="00513CFE"/>
    <w:rsid w:val="005142AB"/>
    <w:rsid w:val="005144F6"/>
    <w:rsid w:val="00514D9F"/>
    <w:rsid w:val="00514FFB"/>
    <w:rsid w:val="0051509C"/>
    <w:rsid w:val="00515236"/>
    <w:rsid w:val="0051546D"/>
    <w:rsid w:val="00515991"/>
    <w:rsid w:val="00516A55"/>
    <w:rsid w:val="00516E6A"/>
    <w:rsid w:val="00516EC7"/>
    <w:rsid w:val="00517858"/>
    <w:rsid w:val="00517AB6"/>
    <w:rsid w:val="00520149"/>
    <w:rsid w:val="00520E9F"/>
    <w:rsid w:val="00521C50"/>
    <w:rsid w:val="005222A3"/>
    <w:rsid w:val="00524222"/>
    <w:rsid w:val="00525F1C"/>
    <w:rsid w:val="005262E3"/>
    <w:rsid w:val="00526453"/>
    <w:rsid w:val="005266B0"/>
    <w:rsid w:val="00526718"/>
    <w:rsid w:val="00526CE7"/>
    <w:rsid w:val="0053074B"/>
    <w:rsid w:val="005309A4"/>
    <w:rsid w:val="00531336"/>
    <w:rsid w:val="00531615"/>
    <w:rsid w:val="00531736"/>
    <w:rsid w:val="005324AE"/>
    <w:rsid w:val="00532E89"/>
    <w:rsid w:val="00532FA5"/>
    <w:rsid w:val="0053369E"/>
    <w:rsid w:val="005340D6"/>
    <w:rsid w:val="005342C9"/>
    <w:rsid w:val="00535213"/>
    <w:rsid w:val="00535A66"/>
    <w:rsid w:val="005362DE"/>
    <w:rsid w:val="00536413"/>
    <w:rsid w:val="0053644F"/>
    <w:rsid w:val="00536CB2"/>
    <w:rsid w:val="00536FCA"/>
    <w:rsid w:val="0054069C"/>
    <w:rsid w:val="00540ACB"/>
    <w:rsid w:val="00540C9F"/>
    <w:rsid w:val="00540F63"/>
    <w:rsid w:val="0054173B"/>
    <w:rsid w:val="00541A5C"/>
    <w:rsid w:val="00541BE5"/>
    <w:rsid w:val="00542ED9"/>
    <w:rsid w:val="00543B55"/>
    <w:rsid w:val="005445FB"/>
    <w:rsid w:val="00545186"/>
    <w:rsid w:val="005451CC"/>
    <w:rsid w:val="00545213"/>
    <w:rsid w:val="005455FA"/>
    <w:rsid w:val="0054594C"/>
    <w:rsid w:val="00545D93"/>
    <w:rsid w:val="005468C7"/>
    <w:rsid w:val="00546C69"/>
    <w:rsid w:val="00546CEF"/>
    <w:rsid w:val="005473DA"/>
    <w:rsid w:val="00550946"/>
    <w:rsid w:val="00550E31"/>
    <w:rsid w:val="00550F03"/>
    <w:rsid w:val="005526C1"/>
    <w:rsid w:val="00553B15"/>
    <w:rsid w:val="00554004"/>
    <w:rsid w:val="005542BA"/>
    <w:rsid w:val="0055447A"/>
    <w:rsid w:val="00554609"/>
    <w:rsid w:val="00555AF3"/>
    <w:rsid w:val="00556B56"/>
    <w:rsid w:val="00556BC5"/>
    <w:rsid w:val="00557C47"/>
    <w:rsid w:val="0056004D"/>
    <w:rsid w:val="005600BF"/>
    <w:rsid w:val="0056034C"/>
    <w:rsid w:val="00561390"/>
    <w:rsid w:val="005613F0"/>
    <w:rsid w:val="00561A6D"/>
    <w:rsid w:val="00561E9F"/>
    <w:rsid w:val="0056250B"/>
    <w:rsid w:val="00562F62"/>
    <w:rsid w:val="00562FA8"/>
    <w:rsid w:val="00564328"/>
    <w:rsid w:val="0056498F"/>
    <w:rsid w:val="0056585B"/>
    <w:rsid w:val="00566635"/>
    <w:rsid w:val="00566A29"/>
    <w:rsid w:val="00567911"/>
    <w:rsid w:val="00567C75"/>
    <w:rsid w:val="005704C6"/>
    <w:rsid w:val="00570669"/>
    <w:rsid w:val="00570726"/>
    <w:rsid w:val="005709B4"/>
    <w:rsid w:val="00570A39"/>
    <w:rsid w:val="00570C84"/>
    <w:rsid w:val="00571334"/>
    <w:rsid w:val="00571948"/>
    <w:rsid w:val="00571AB6"/>
    <w:rsid w:val="00571E3E"/>
    <w:rsid w:val="005721A9"/>
    <w:rsid w:val="00572431"/>
    <w:rsid w:val="005729E2"/>
    <w:rsid w:val="005730F6"/>
    <w:rsid w:val="00573395"/>
    <w:rsid w:val="00573AEF"/>
    <w:rsid w:val="00574C94"/>
    <w:rsid w:val="00574FEF"/>
    <w:rsid w:val="00575244"/>
    <w:rsid w:val="00575736"/>
    <w:rsid w:val="005758AD"/>
    <w:rsid w:val="00575D3D"/>
    <w:rsid w:val="005771DE"/>
    <w:rsid w:val="00577821"/>
    <w:rsid w:val="005779EA"/>
    <w:rsid w:val="00577ED9"/>
    <w:rsid w:val="00580E9F"/>
    <w:rsid w:val="00581724"/>
    <w:rsid w:val="00581E44"/>
    <w:rsid w:val="0058375B"/>
    <w:rsid w:val="00584092"/>
    <w:rsid w:val="005844B6"/>
    <w:rsid w:val="00584E0F"/>
    <w:rsid w:val="005856EB"/>
    <w:rsid w:val="005872E6"/>
    <w:rsid w:val="00587A37"/>
    <w:rsid w:val="00587C7C"/>
    <w:rsid w:val="00590070"/>
    <w:rsid w:val="00590453"/>
    <w:rsid w:val="005906B1"/>
    <w:rsid w:val="00590828"/>
    <w:rsid w:val="00591200"/>
    <w:rsid w:val="0059172E"/>
    <w:rsid w:val="00591B95"/>
    <w:rsid w:val="005938E9"/>
    <w:rsid w:val="00593954"/>
    <w:rsid w:val="0059452E"/>
    <w:rsid w:val="00594F9B"/>
    <w:rsid w:val="00595767"/>
    <w:rsid w:val="005957E6"/>
    <w:rsid w:val="00596ADC"/>
    <w:rsid w:val="00597181"/>
    <w:rsid w:val="005A13D6"/>
    <w:rsid w:val="005A1D6B"/>
    <w:rsid w:val="005A2EB0"/>
    <w:rsid w:val="005A32A3"/>
    <w:rsid w:val="005A3302"/>
    <w:rsid w:val="005A358D"/>
    <w:rsid w:val="005A3F84"/>
    <w:rsid w:val="005A4101"/>
    <w:rsid w:val="005A44B5"/>
    <w:rsid w:val="005A4677"/>
    <w:rsid w:val="005A4852"/>
    <w:rsid w:val="005A498A"/>
    <w:rsid w:val="005A524D"/>
    <w:rsid w:val="005A5537"/>
    <w:rsid w:val="005A565D"/>
    <w:rsid w:val="005A57B8"/>
    <w:rsid w:val="005A61D7"/>
    <w:rsid w:val="005A71E6"/>
    <w:rsid w:val="005A72BE"/>
    <w:rsid w:val="005A7ABB"/>
    <w:rsid w:val="005B157E"/>
    <w:rsid w:val="005B17EF"/>
    <w:rsid w:val="005B1D21"/>
    <w:rsid w:val="005B2291"/>
    <w:rsid w:val="005B4197"/>
    <w:rsid w:val="005B4C78"/>
    <w:rsid w:val="005B4F43"/>
    <w:rsid w:val="005B5026"/>
    <w:rsid w:val="005B5129"/>
    <w:rsid w:val="005B577D"/>
    <w:rsid w:val="005B63D8"/>
    <w:rsid w:val="005B6908"/>
    <w:rsid w:val="005B6B08"/>
    <w:rsid w:val="005B6B6B"/>
    <w:rsid w:val="005B7234"/>
    <w:rsid w:val="005B76EA"/>
    <w:rsid w:val="005B7C09"/>
    <w:rsid w:val="005C0CE9"/>
    <w:rsid w:val="005C125C"/>
    <w:rsid w:val="005C1A56"/>
    <w:rsid w:val="005C23BD"/>
    <w:rsid w:val="005C2CD8"/>
    <w:rsid w:val="005C30C8"/>
    <w:rsid w:val="005C3502"/>
    <w:rsid w:val="005C371E"/>
    <w:rsid w:val="005C3BA7"/>
    <w:rsid w:val="005C4699"/>
    <w:rsid w:val="005C4B0E"/>
    <w:rsid w:val="005C55F6"/>
    <w:rsid w:val="005C563D"/>
    <w:rsid w:val="005C57BB"/>
    <w:rsid w:val="005C6085"/>
    <w:rsid w:val="005C65D9"/>
    <w:rsid w:val="005C66BF"/>
    <w:rsid w:val="005C6EC1"/>
    <w:rsid w:val="005D02AD"/>
    <w:rsid w:val="005D052D"/>
    <w:rsid w:val="005D0B64"/>
    <w:rsid w:val="005D1CDF"/>
    <w:rsid w:val="005D20D9"/>
    <w:rsid w:val="005D35C1"/>
    <w:rsid w:val="005D367D"/>
    <w:rsid w:val="005D3947"/>
    <w:rsid w:val="005D39BA"/>
    <w:rsid w:val="005D39DE"/>
    <w:rsid w:val="005D3D31"/>
    <w:rsid w:val="005D4C4C"/>
    <w:rsid w:val="005D4D6C"/>
    <w:rsid w:val="005D4DE6"/>
    <w:rsid w:val="005D515D"/>
    <w:rsid w:val="005D6458"/>
    <w:rsid w:val="005D6836"/>
    <w:rsid w:val="005D6851"/>
    <w:rsid w:val="005D7781"/>
    <w:rsid w:val="005D7B99"/>
    <w:rsid w:val="005E03ED"/>
    <w:rsid w:val="005E0662"/>
    <w:rsid w:val="005E1723"/>
    <w:rsid w:val="005E17BA"/>
    <w:rsid w:val="005E184C"/>
    <w:rsid w:val="005E18F7"/>
    <w:rsid w:val="005E1A08"/>
    <w:rsid w:val="005E24D8"/>
    <w:rsid w:val="005E3364"/>
    <w:rsid w:val="005E377F"/>
    <w:rsid w:val="005E38F4"/>
    <w:rsid w:val="005E3DA4"/>
    <w:rsid w:val="005E4BFB"/>
    <w:rsid w:val="005E4D2B"/>
    <w:rsid w:val="005E4F33"/>
    <w:rsid w:val="005E527D"/>
    <w:rsid w:val="005E55C4"/>
    <w:rsid w:val="005E6A0A"/>
    <w:rsid w:val="005F031E"/>
    <w:rsid w:val="005F0DA6"/>
    <w:rsid w:val="005F180F"/>
    <w:rsid w:val="005F23C5"/>
    <w:rsid w:val="005F2497"/>
    <w:rsid w:val="005F2564"/>
    <w:rsid w:val="005F292B"/>
    <w:rsid w:val="005F414F"/>
    <w:rsid w:val="005F460C"/>
    <w:rsid w:val="005F471F"/>
    <w:rsid w:val="005F48E4"/>
    <w:rsid w:val="005F4F5D"/>
    <w:rsid w:val="005F55B4"/>
    <w:rsid w:val="005F6500"/>
    <w:rsid w:val="005F69D9"/>
    <w:rsid w:val="005F6F1F"/>
    <w:rsid w:val="005F76A9"/>
    <w:rsid w:val="0060045E"/>
    <w:rsid w:val="00601B6C"/>
    <w:rsid w:val="0060284C"/>
    <w:rsid w:val="00603024"/>
    <w:rsid w:val="006032AF"/>
    <w:rsid w:val="0060366F"/>
    <w:rsid w:val="00603B50"/>
    <w:rsid w:val="00603D96"/>
    <w:rsid w:val="00604DF5"/>
    <w:rsid w:val="00605AFC"/>
    <w:rsid w:val="00605B1D"/>
    <w:rsid w:val="00606FD2"/>
    <w:rsid w:val="006074B5"/>
    <w:rsid w:val="00607B11"/>
    <w:rsid w:val="00607FD2"/>
    <w:rsid w:val="00611810"/>
    <w:rsid w:val="00611A5A"/>
    <w:rsid w:val="00611CDC"/>
    <w:rsid w:val="00611DA7"/>
    <w:rsid w:val="00613494"/>
    <w:rsid w:val="00613A7E"/>
    <w:rsid w:val="00613BC1"/>
    <w:rsid w:val="00614BE7"/>
    <w:rsid w:val="00614F1B"/>
    <w:rsid w:val="006152C3"/>
    <w:rsid w:val="00615D12"/>
    <w:rsid w:val="006161B1"/>
    <w:rsid w:val="006161CD"/>
    <w:rsid w:val="0061638D"/>
    <w:rsid w:val="00616BCB"/>
    <w:rsid w:val="00616C53"/>
    <w:rsid w:val="00616D4E"/>
    <w:rsid w:val="006170BF"/>
    <w:rsid w:val="00617A82"/>
    <w:rsid w:val="006206CD"/>
    <w:rsid w:val="006228BE"/>
    <w:rsid w:val="00622CA8"/>
    <w:rsid w:val="00623039"/>
    <w:rsid w:val="0062354C"/>
    <w:rsid w:val="00623C1B"/>
    <w:rsid w:val="00624980"/>
    <w:rsid w:val="00624C10"/>
    <w:rsid w:val="00625358"/>
    <w:rsid w:val="00625579"/>
    <w:rsid w:val="00626146"/>
    <w:rsid w:val="00626A93"/>
    <w:rsid w:val="00626BCA"/>
    <w:rsid w:val="00626EEB"/>
    <w:rsid w:val="00627608"/>
    <w:rsid w:val="006277FD"/>
    <w:rsid w:val="00630123"/>
    <w:rsid w:val="00630198"/>
    <w:rsid w:val="00630B25"/>
    <w:rsid w:val="00633A16"/>
    <w:rsid w:val="00633A50"/>
    <w:rsid w:val="0063456F"/>
    <w:rsid w:val="006345AC"/>
    <w:rsid w:val="006345F7"/>
    <w:rsid w:val="00634DE7"/>
    <w:rsid w:val="00635032"/>
    <w:rsid w:val="00635250"/>
    <w:rsid w:val="00635DF3"/>
    <w:rsid w:val="00636071"/>
    <w:rsid w:val="0063631C"/>
    <w:rsid w:val="006364BB"/>
    <w:rsid w:val="006365A1"/>
    <w:rsid w:val="00637147"/>
    <w:rsid w:val="00637236"/>
    <w:rsid w:val="00637CB4"/>
    <w:rsid w:val="006404CE"/>
    <w:rsid w:val="00640D0F"/>
    <w:rsid w:val="00641647"/>
    <w:rsid w:val="006416C4"/>
    <w:rsid w:val="00641755"/>
    <w:rsid w:val="00641E8E"/>
    <w:rsid w:val="0064254E"/>
    <w:rsid w:val="00643469"/>
    <w:rsid w:val="0064395A"/>
    <w:rsid w:val="006444AA"/>
    <w:rsid w:val="006446A3"/>
    <w:rsid w:val="00644866"/>
    <w:rsid w:val="00645478"/>
    <w:rsid w:val="00645CBF"/>
    <w:rsid w:val="00645D28"/>
    <w:rsid w:val="006463DE"/>
    <w:rsid w:val="00646504"/>
    <w:rsid w:val="0064696B"/>
    <w:rsid w:val="006469C5"/>
    <w:rsid w:val="00647903"/>
    <w:rsid w:val="006506B5"/>
    <w:rsid w:val="00650B46"/>
    <w:rsid w:val="0065131D"/>
    <w:rsid w:val="0065147E"/>
    <w:rsid w:val="00651566"/>
    <w:rsid w:val="0065161A"/>
    <w:rsid w:val="00651672"/>
    <w:rsid w:val="0065187F"/>
    <w:rsid w:val="006522D8"/>
    <w:rsid w:val="00652DD7"/>
    <w:rsid w:val="006546DD"/>
    <w:rsid w:val="00654DEC"/>
    <w:rsid w:val="00655448"/>
    <w:rsid w:val="0065584C"/>
    <w:rsid w:val="0065714A"/>
    <w:rsid w:val="00657574"/>
    <w:rsid w:val="006579B5"/>
    <w:rsid w:val="00657D38"/>
    <w:rsid w:val="00660F91"/>
    <w:rsid w:val="006611D4"/>
    <w:rsid w:val="006611F7"/>
    <w:rsid w:val="00661338"/>
    <w:rsid w:val="006614CB"/>
    <w:rsid w:val="00661A99"/>
    <w:rsid w:val="0066282A"/>
    <w:rsid w:val="00662E3D"/>
    <w:rsid w:val="00664661"/>
    <w:rsid w:val="00664903"/>
    <w:rsid w:val="00664A52"/>
    <w:rsid w:val="00664BEC"/>
    <w:rsid w:val="0066501B"/>
    <w:rsid w:val="006651A6"/>
    <w:rsid w:val="0066624F"/>
    <w:rsid w:val="00666C12"/>
    <w:rsid w:val="00666E98"/>
    <w:rsid w:val="00667052"/>
    <w:rsid w:val="00667A2E"/>
    <w:rsid w:val="00667BDC"/>
    <w:rsid w:val="0067034F"/>
    <w:rsid w:val="006705AA"/>
    <w:rsid w:val="0067092B"/>
    <w:rsid w:val="00670A97"/>
    <w:rsid w:val="00670B2F"/>
    <w:rsid w:val="00672110"/>
    <w:rsid w:val="00672559"/>
    <w:rsid w:val="00672BE6"/>
    <w:rsid w:val="0067482C"/>
    <w:rsid w:val="0067508F"/>
    <w:rsid w:val="00675290"/>
    <w:rsid w:val="0067599B"/>
    <w:rsid w:val="00675CE4"/>
    <w:rsid w:val="00675FC5"/>
    <w:rsid w:val="00676524"/>
    <w:rsid w:val="0067760C"/>
    <w:rsid w:val="0067797D"/>
    <w:rsid w:val="00677F88"/>
    <w:rsid w:val="00680F26"/>
    <w:rsid w:val="00682232"/>
    <w:rsid w:val="006823D4"/>
    <w:rsid w:val="00683717"/>
    <w:rsid w:val="00684F48"/>
    <w:rsid w:val="00685146"/>
    <w:rsid w:val="00685548"/>
    <w:rsid w:val="006874C9"/>
    <w:rsid w:val="006874D1"/>
    <w:rsid w:val="006907CA"/>
    <w:rsid w:val="00690884"/>
    <w:rsid w:val="0069088A"/>
    <w:rsid w:val="00691307"/>
    <w:rsid w:val="0069197B"/>
    <w:rsid w:val="00692952"/>
    <w:rsid w:val="00692CCA"/>
    <w:rsid w:val="00693073"/>
    <w:rsid w:val="0069368B"/>
    <w:rsid w:val="00693E4C"/>
    <w:rsid w:val="006941C0"/>
    <w:rsid w:val="00695532"/>
    <w:rsid w:val="00695989"/>
    <w:rsid w:val="006965F8"/>
    <w:rsid w:val="0069671F"/>
    <w:rsid w:val="00696AB3"/>
    <w:rsid w:val="00697458"/>
    <w:rsid w:val="0069756A"/>
    <w:rsid w:val="006A03AC"/>
    <w:rsid w:val="006A16AB"/>
    <w:rsid w:val="006A1E9A"/>
    <w:rsid w:val="006A2455"/>
    <w:rsid w:val="006A2997"/>
    <w:rsid w:val="006A3D32"/>
    <w:rsid w:val="006A410F"/>
    <w:rsid w:val="006A4ACE"/>
    <w:rsid w:val="006A4ACF"/>
    <w:rsid w:val="006A4B10"/>
    <w:rsid w:val="006A544A"/>
    <w:rsid w:val="006A59AC"/>
    <w:rsid w:val="006A5BFA"/>
    <w:rsid w:val="006A6712"/>
    <w:rsid w:val="006A67FD"/>
    <w:rsid w:val="006A6FC2"/>
    <w:rsid w:val="006A7175"/>
    <w:rsid w:val="006A7340"/>
    <w:rsid w:val="006A752C"/>
    <w:rsid w:val="006A7932"/>
    <w:rsid w:val="006B00EA"/>
    <w:rsid w:val="006B06E5"/>
    <w:rsid w:val="006B0769"/>
    <w:rsid w:val="006B07D5"/>
    <w:rsid w:val="006B0CEA"/>
    <w:rsid w:val="006B0ED9"/>
    <w:rsid w:val="006B1BB5"/>
    <w:rsid w:val="006B20D3"/>
    <w:rsid w:val="006B22B2"/>
    <w:rsid w:val="006B3391"/>
    <w:rsid w:val="006B4005"/>
    <w:rsid w:val="006B466A"/>
    <w:rsid w:val="006B610E"/>
    <w:rsid w:val="006B63BB"/>
    <w:rsid w:val="006B649F"/>
    <w:rsid w:val="006B7384"/>
    <w:rsid w:val="006B7C59"/>
    <w:rsid w:val="006C2661"/>
    <w:rsid w:val="006C2FAB"/>
    <w:rsid w:val="006C3320"/>
    <w:rsid w:val="006C3671"/>
    <w:rsid w:val="006C3968"/>
    <w:rsid w:val="006C3A20"/>
    <w:rsid w:val="006C423F"/>
    <w:rsid w:val="006C487E"/>
    <w:rsid w:val="006C48AB"/>
    <w:rsid w:val="006C4CF1"/>
    <w:rsid w:val="006C55D1"/>
    <w:rsid w:val="006C578D"/>
    <w:rsid w:val="006C5DDF"/>
    <w:rsid w:val="006C6140"/>
    <w:rsid w:val="006C636C"/>
    <w:rsid w:val="006C638B"/>
    <w:rsid w:val="006C75B5"/>
    <w:rsid w:val="006D011F"/>
    <w:rsid w:val="006D02C7"/>
    <w:rsid w:val="006D0DEA"/>
    <w:rsid w:val="006D28F6"/>
    <w:rsid w:val="006D497E"/>
    <w:rsid w:val="006D5F75"/>
    <w:rsid w:val="006D6BCC"/>
    <w:rsid w:val="006D6F30"/>
    <w:rsid w:val="006D7568"/>
    <w:rsid w:val="006E0264"/>
    <w:rsid w:val="006E1509"/>
    <w:rsid w:val="006E1629"/>
    <w:rsid w:val="006E16D5"/>
    <w:rsid w:val="006E18BE"/>
    <w:rsid w:val="006E18CF"/>
    <w:rsid w:val="006E1EC6"/>
    <w:rsid w:val="006E255C"/>
    <w:rsid w:val="006E49D7"/>
    <w:rsid w:val="006E5863"/>
    <w:rsid w:val="006E5E18"/>
    <w:rsid w:val="006E6060"/>
    <w:rsid w:val="006E6988"/>
    <w:rsid w:val="006E6FC8"/>
    <w:rsid w:val="006E71E8"/>
    <w:rsid w:val="006E79CF"/>
    <w:rsid w:val="006E7DF3"/>
    <w:rsid w:val="006E7F98"/>
    <w:rsid w:val="006F10E0"/>
    <w:rsid w:val="006F1A4C"/>
    <w:rsid w:val="006F1DF5"/>
    <w:rsid w:val="006F2799"/>
    <w:rsid w:val="006F342F"/>
    <w:rsid w:val="006F3BF4"/>
    <w:rsid w:val="006F3CF2"/>
    <w:rsid w:val="006F4312"/>
    <w:rsid w:val="006F450D"/>
    <w:rsid w:val="006F4D09"/>
    <w:rsid w:val="006F51F7"/>
    <w:rsid w:val="006F5B5C"/>
    <w:rsid w:val="006F5C22"/>
    <w:rsid w:val="006F6310"/>
    <w:rsid w:val="006F6339"/>
    <w:rsid w:val="006F648C"/>
    <w:rsid w:val="006F7429"/>
    <w:rsid w:val="006F74C7"/>
    <w:rsid w:val="007000DF"/>
    <w:rsid w:val="00700238"/>
    <w:rsid w:val="00700A0D"/>
    <w:rsid w:val="00700E22"/>
    <w:rsid w:val="0070172E"/>
    <w:rsid w:val="00701803"/>
    <w:rsid w:val="007024D8"/>
    <w:rsid w:val="00702DE3"/>
    <w:rsid w:val="00703C7A"/>
    <w:rsid w:val="00704188"/>
    <w:rsid w:val="0070425E"/>
    <w:rsid w:val="007046A4"/>
    <w:rsid w:val="00704B6C"/>
    <w:rsid w:val="00704D70"/>
    <w:rsid w:val="00704EEF"/>
    <w:rsid w:val="00705623"/>
    <w:rsid w:val="00706C65"/>
    <w:rsid w:val="00706E21"/>
    <w:rsid w:val="00710446"/>
    <w:rsid w:val="00710EAD"/>
    <w:rsid w:val="00711409"/>
    <w:rsid w:val="00712415"/>
    <w:rsid w:val="007139FE"/>
    <w:rsid w:val="00713E62"/>
    <w:rsid w:val="00713EB4"/>
    <w:rsid w:val="00714566"/>
    <w:rsid w:val="007146DB"/>
    <w:rsid w:val="0071627F"/>
    <w:rsid w:val="007173BD"/>
    <w:rsid w:val="007174DD"/>
    <w:rsid w:val="00717AB6"/>
    <w:rsid w:val="007201B7"/>
    <w:rsid w:val="00720CE4"/>
    <w:rsid w:val="007214BD"/>
    <w:rsid w:val="007214EB"/>
    <w:rsid w:val="0072167B"/>
    <w:rsid w:val="00721839"/>
    <w:rsid w:val="00721D2D"/>
    <w:rsid w:val="00722111"/>
    <w:rsid w:val="007230A7"/>
    <w:rsid w:val="007232F6"/>
    <w:rsid w:val="0072346E"/>
    <w:rsid w:val="007235B8"/>
    <w:rsid w:val="00723B3F"/>
    <w:rsid w:val="00724576"/>
    <w:rsid w:val="0072469A"/>
    <w:rsid w:val="00726362"/>
    <w:rsid w:val="007269C3"/>
    <w:rsid w:val="00726EE4"/>
    <w:rsid w:val="0072706D"/>
    <w:rsid w:val="007274C4"/>
    <w:rsid w:val="007308A9"/>
    <w:rsid w:val="00730BF1"/>
    <w:rsid w:val="00730C53"/>
    <w:rsid w:val="007311DD"/>
    <w:rsid w:val="0073214C"/>
    <w:rsid w:val="00733E7D"/>
    <w:rsid w:val="007340C9"/>
    <w:rsid w:val="0073424C"/>
    <w:rsid w:val="00734700"/>
    <w:rsid w:val="00734B65"/>
    <w:rsid w:val="00734F15"/>
    <w:rsid w:val="00734FCF"/>
    <w:rsid w:val="00735141"/>
    <w:rsid w:val="007354B3"/>
    <w:rsid w:val="007356C6"/>
    <w:rsid w:val="00735E6E"/>
    <w:rsid w:val="00736810"/>
    <w:rsid w:val="00736921"/>
    <w:rsid w:val="0073695D"/>
    <w:rsid w:val="00736DB9"/>
    <w:rsid w:val="007372F1"/>
    <w:rsid w:val="00740462"/>
    <w:rsid w:val="00740F1B"/>
    <w:rsid w:val="0074148A"/>
    <w:rsid w:val="00742C01"/>
    <w:rsid w:val="00742CB7"/>
    <w:rsid w:val="0074325B"/>
    <w:rsid w:val="007433CE"/>
    <w:rsid w:val="00743CDE"/>
    <w:rsid w:val="007442C6"/>
    <w:rsid w:val="00744414"/>
    <w:rsid w:val="00744E47"/>
    <w:rsid w:val="00745292"/>
    <w:rsid w:val="00745DB0"/>
    <w:rsid w:val="00746201"/>
    <w:rsid w:val="00746518"/>
    <w:rsid w:val="0074766C"/>
    <w:rsid w:val="007500B7"/>
    <w:rsid w:val="00750470"/>
    <w:rsid w:val="007504B0"/>
    <w:rsid w:val="00751DEE"/>
    <w:rsid w:val="007522AB"/>
    <w:rsid w:val="00752618"/>
    <w:rsid w:val="007531BC"/>
    <w:rsid w:val="00753E2F"/>
    <w:rsid w:val="00753EE9"/>
    <w:rsid w:val="00753F60"/>
    <w:rsid w:val="00754540"/>
    <w:rsid w:val="00754BBF"/>
    <w:rsid w:val="00756BFA"/>
    <w:rsid w:val="00756CBC"/>
    <w:rsid w:val="00757865"/>
    <w:rsid w:val="0075799F"/>
    <w:rsid w:val="007607BD"/>
    <w:rsid w:val="007608FB"/>
    <w:rsid w:val="00760A5F"/>
    <w:rsid w:val="00760D1A"/>
    <w:rsid w:val="00760E76"/>
    <w:rsid w:val="007611CA"/>
    <w:rsid w:val="007612B8"/>
    <w:rsid w:val="00761383"/>
    <w:rsid w:val="0076182F"/>
    <w:rsid w:val="0076191B"/>
    <w:rsid w:val="00761E97"/>
    <w:rsid w:val="0076270B"/>
    <w:rsid w:val="00763495"/>
    <w:rsid w:val="0076374B"/>
    <w:rsid w:val="0076401D"/>
    <w:rsid w:val="00764733"/>
    <w:rsid w:val="0076480C"/>
    <w:rsid w:val="00765232"/>
    <w:rsid w:val="00765897"/>
    <w:rsid w:val="00765E0F"/>
    <w:rsid w:val="00766422"/>
    <w:rsid w:val="00766781"/>
    <w:rsid w:val="00767545"/>
    <w:rsid w:val="00767894"/>
    <w:rsid w:val="007700A5"/>
    <w:rsid w:val="00771553"/>
    <w:rsid w:val="00771A79"/>
    <w:rsid w:val="0077301E"/>
    <w:rsid w:val="007732D1"/>
    <w:rsid w:val="00774882"/>
    <w:rsid w:val="00774B9C"/>
    <w:rsid w:val="00774BE1"/>
    <w:rsid w:val="0077530F"/>
    <w:rsid w:val="007757B9"/>
    <w:rsid w:val="00775B99"/>
    <w:rsid w:val="00776093"/>
    <w:rsid w:val="00776D71"/>
    <w:rsid w:val="00776D77"/>
    <w:rsid w:val="007771FF"/>
    <w:rsid w:val="0077744E"/>
    <w:rsid w:val="00777C61"/>
    <w:rsid w:val="00780FE6"/>
    <w:rsid w:val="00782074"/>
    <w:rsid w:val="007827DF"/>
    <w:rsid w:val="0078292C"/>
    <w:rsid w:val="007832D8"/>
    <w:rsid w:val="00783704"/>
    <w:rsid w:val="00783D09"/>
    <w:rsid w:val="00784081"/>
    <w:rsid w:val="007846F6"/>
    <w:rsid w:val="007862F5"/>
    <w:rsid w:val="0078631E"/>
    <w:rsid w:val="007863D6"/>
    <w:rsid w:val="007878BD"/>
    <w:rsid w:val="00790054"/>
    <w:rsid w:val="0079098B"/>
    <w:rsid w:val="007912C1"/>
    <w:rsid w:val="00792882"/>
    <w:rsid w:val="00792CA0"/>
    <w:rsid w:val="00792F8D"/>
    <w:rsid w:val="00794F46"/>
    <w:rsid w:val="00795800"/>
    <w:rsid w:val="00796610"/>
    <w:rsid w:val="007A2682"/>
    <w:rsid w:val="007A27CB"/>
    <w:rsid w:val="007A2E0B"/>
    <w:rsid w:val="007A3334"/>
    <w:rsid w:val="007A3737"/>
    <w:rsid w:val="007A3B68"/>
    <w:rsid w:val="007A3FD5"/>
    <w:rsid w:val="007B0DA8"/>
    <w:rsid w:val="007B0DFD"/>
    <w:rsid w:val="007B107B"/>
    <w:rsid w:val="007B1E23"/>
    <w:rsid w:val="007B2679"/>
    <w:rsid w:val="007B2C5E"/>
    <w:rsid w:val="007B2EB7"/>
    <w:rsid w:val="007B2FCE"/>
    <w:rsid w:val="007B38BD"/>
    <w:rsid w:val="007B3FAF"/>
    <w:rsid w:val="007B43E9"/>
    <w:rsid w:val="007B466C"/>
    <w:rsid w:val="007B46F7"/>
    <w:rsid w:val="007B5027"/>
    <w:rsid w:val="007B63AB"/>
    <w:rsid w:val="007B66A4"/>
    <w:rsid w:val="007B6B91"/>
    <w:rsid w:val="007B6F8F"/>
    <w:rsid w:val="007C00BD"/>
    <w:rsid w:val="007C0F1C"/>
    <w:rsid w:val="007C10B4"/>
    <w:rsid w:val="007C19EE"/>
    <w:rsid w:val="007C1AEB"/>
    <w:rsid w:val="007C2BA2"/>
    <w:rsid w:val="007C2E5B"/>
    <w:rsid w:val="007C3267"/>
    <w:rsid w:val="007C4267"/>
    <w:rsid w:val="007C471A"/>
    <w:rsid w:val="007C4A44"/>
    <w:rsid w:val="007C4B3D"/>
    <w:rsid w:val="007C4CE4"/>
    <w:rsid w:val="007C4DA3"/>
    <w:rsid w:val="007C58B2"/>
    <w:rsid w:val="007C6BF9"/>
    <w:rsid w:val="007C7720"/>
    <w:rsid w:val="007C79D2"/>
    <w:rsid w:val="007C7F2C"/>
    <w:rsid w:val="007C7FEE"/>
    <w:rsid w:val="007D0A7D"/>
    <w:rsid w:val="007D0B0D"/>
    <w:rsid w:val="007D0B54"/>
    <w:rsid w:val="007D0F8B"/>
    <w:rsid w:val="007D199F"/>
    <w:rsid w:val="007D1CCA"/>
    <w:rsid w:val="007D1E2A"/>
    <w:rsid w:val="007D21E2"/>
    <w:rsid w:val="007D2592"/>
    <w:rsid w:val="007D26E2"/>
    <w:rsid w:val="007D344B"/>
    <w:rsid w:val="007D3B70"/>
    <w:rsid w:val="007D3CFE"/>
    <w:rsid w:val="007D4897"/>
    <w:rsid w:val="007D4A5B"/>
    <w:rsid w:val="007D4C14"/>
    <w:rsid w:val="007D4C9B"/>
    <w:rsid w:val="007D5677"/>
    <w:rsid w:val="007D5A7D"/>
    <w:rsid w:val="007D65B3"/>
    <w:rsid w:val="007D6730"/>
    <w:rsid w:val="007D6796"/>
    <w:rsid w:val="007D691A"/>
    <w:rsid w:val="007E11D4"/>
    <w:rsid w:val="007E14F7"/>
    <w:rsid w:val="007E16D9"/>
    <w:rsid w:val="007E1D36"/>
    <w:rsid w:val="007E3242"/>
    <w:rsid w:val="007E3A1D"/>
    <w:rsid w:val="007E3EA6"/>
    <w:rsid w:val="007E45A8"/>
    <w:rsid w:val="007E4A2D"/>
    <w:rsid w:val="007E4E6A"/>
    <w:rsid w:val="007E6B1F"/>
    <w:rsid w:val="007E6C9F"/>
    <w:rsid w:val="007E7879"/>
    <w:rsid w:val="007E78AC"/>
    <w:rsid w:val="007F0E20"/>
    <w:rsid w:val="007F12ED"/>
    <w:rsid w:val="007F17FB"/>
    <w:rsid w:val="007F1DBC"/>
    <w:rsid w:val="007F1DCC"/>
    <w:rsid w:val="007F2047"/>
    <w:rsid w:val="007F24E1"/>
    <w:rsid w:val="007F2991"/>
    <w:rsid w:val="007F35AA"/>
    <w:rsid w:val="007F3CFF"/>
    <w:rsid w:val="007F438A"/>
    <w:rsid w:val="007F438F"/>
    <w:rsid w:val="007F4F53"/>
    <w:rsid w:val="007F5216"/>
    <w:rsid w:val="007F5586"/>
    <w:rsid w:val="007F56EF"/>
    <w:rsid w:val="007F683B"/>
    <w:rsid w:val="007F70AB"/>
    <w:rsid w:val="007F7DD9"/>
    <w:rsid w:val="00800966"/>
    <w:rsid w:val="008019FF"/>
    <w:rsid w:val="00802D37"/>
    <w:rsid w:val="00802F0F"/>
    <w:rsid w:val="0080321D"/>
    <w:rsid w:val="00803323"/>
    <w:rsid w:val="0080370D"/>
    <w:rsid w:val="00804F0B"/>
    <w:rsid w:val="00805262"/>
    <w:rsid w:val="00805321"/>
    <w:rsid w:val="00805EFC"/>
    <w:rsid w:val="00805FAC"/>
    <w:rsid w:val="00806468"/>
    <w:rsid w:val="0080690A"/>
    <w:rsid w:val="00806E5D"/>
    <w:rsid w:val="00807493"/>
    <w:rsid w:val="00810068"/>
    <w:rsid w:val="00810734"/>
    <w:rsid w:val="00810E5A"/>
    <w:rsid w:val="008112BC"/>
    <w:rsid w:val="00811324"/>
    <w:rsid w:val="00811D6B"/>
    <w:rsid w:val="00811DEC"/>
    <w:rsid w:val="008129C5"/>
    <w:rsid w:val="0081313E"/>
    <w:rsid w:val="00813429"/>
    <w:rsid w:val="00813616"/>
    <w:rsid w:val="008140BA"/>
    <w:rsid w:val="008143DD"/>
    <w:rsid w:val="00815A87"/>
    <w:rsid w:val="00815B03"/>
    <w:rsid w:val="00817B33"/>
    <w:rsid w:val="00821701"/>
    <w:rsid w:val="00821F02"/>
    <w:rsid w:val="00822DFA"/>
    <w:rsid w:val="00823619"/>
    <w:rsid w:val="0082397D"/>
    <w:rsid w:val="008243D5"/>
    <w:rsid w:val="00824B24"/>
    <w:rsid w:val="00824CB7"/>
    <w:rsid w:val="00824FBA"/>
    <w:rsid w:val="008255E6"/>
    <w:rsid w:val="00825C83"/>
    <w:rsid w:val="00826922"/>
    <w:rsid w:val="00826C56"/>
    <w:rsid w:val="00827136"/>
    <w:rsid w:val="008271EC"/>
    <w:rsid w:val="0082769D"/>
    <w:rsid w:val="008307CC"/>
    <w:rsid w:val="008309FF"/>
    <w:rsid w:val="00830AC3"/>
    <w:rsid w:val="00831007"/>
    <w:rsid w:val="00831185"/>
    <w:rsid w:val="0083158A"/>
    <w:rsid w:val="00832094"/>
    <w:rsid w:val="0083220F"/>
    <w:rsid w:val="00832273"/>
    <w:rsid w:val="008323F8"/>
    <w:rsid w:val="008325FF"/>
    <w:rsid w:val="00833170"/>
    <w:rsid w:val="008336BD"/>
    <w:rsid w:val="00833970"/>
    <w:rsid w:val="0083442F"/>
    <w:rsid w:val="00834870"/>
    <w:rsid w:val="00834A14"/>
    <w:rsid w:val="008352B5"/>
    <w:rsid w:val="008357F6"/>
    <w:rsid w:val="00835DF8"/>
    <w:rsid w:val="00836ACE"/>
    <w:rsid w:val="00836E1D"/>
    <w:rsid w:val="00836E64"/>
    <w:rsid w:val="00837310"/>
    <w:rsid w:val="008405C8"/>
    <w:rsid w:val="008407EC"/>
    <w:rsid w:val="008409DD"/>
    <w:rsid w:val="00840C63"/>
    <w:rsid w:val="00840D1B"/>
    <w:rsid w:val="00840EE4"/>
    <w:rsid w:val="00840F13"/>
    <w:rsid w:val="008422A0"/>
    <w:rsid w:val="00842301"/>
    <w:rsid w:val="00842897"/>
    <w:rsid w:val="008432DB"/>
    <w:rsid w:val="00843C5A"/>
    <w:rsid w:val="00844463"/>
    <w:rsid w:val="00844B6E"/>
    <w:rsid w:val="008451DA"/>
    <w:rsid w:val="008465B0"/>
    <w:rsid w:val="00846803"/>
    <w:rsid w:val="00847C95"/>
    <w:rsid w:val="00847EB7"/>
    <w:rsid w:val="0085091F"/>
    <w:rsid w:val="00850C46"/>
    <w:rsid w:val="00851181"/>
    <w:rsid w:val="008514A0"/>
    <w:rsid w:val="00851790"/>
    <w:rsid w:val="00851855"/>
    <w:rsid w:val="008526D6"/>
    <w:rsid w:val="0085274C"/>
    <w:rsid w:val="00852FA6"/>
    <w:rsid w:val="00853FD0"/>
    <w:rsid w:val="00854FEC"/>
    <w:rsid w:val="00855515"/>
    <w:rsid w:val="008559F5"/>
    <w:rsid w:val="00855B0A"/>
    <w:rsid w:val="0085639F"/>
    <w:rsid w:val="00857040"/>
    <w:rsid w:val="008600FC"/>
    <w:rsid w:val="00861276"/>
    <w:rsid w:val="008615D9"/>
    <w:rsid w:val="00862A42"/>
    <w:rsid w:val="00862C86"/>
    <w:rsid w:val="00863E6F"/>
    <w:rsid w:val="00864658"/>
    <w:rsid w:val="00864826"/>
    <w:rsid w:val="00864CBD"/>
    <w:rsid w:val="00865432"/>
    <w:rsid w:val="008654B7"/>
    <w:rsid w:val="00865692"/>
    <w:rsid w:val="0086640C"/>
    <w:rsid w:val="008700CC"/>
    <w:rsid w:val="00870799"/>
    <w:rsid w:val="00871A4B"/>
    <w:rsid w:val="008730CA"/>
    <w:rsid w:val="00873318"/>
    <w:rsid w:val="008734ED"/>
    <w:rsid w:val="0087362C"/>
    <w:rsid w:val="008739F6"/>
    <w:rsid w:val="00873A5E"/>
    <w:rsid w:val="008740FB"/>
    <w:rsid w:val="00874635"/>
    <w:rsid w:val="00874CD2"/>
    <w:rsid w:val="00874D96"/>
    <w:rsid w:val="00875453"/>
    <w:rsid w:val="008759EE"/>
    <w:rsid w:val="00875C93"/>
    <w:rsid w:val="00875EF0"/>
    <w:rsid w:val="008761F5"/>
    <w:rsid w:val="008764E4"/>
    <w:rsid w:val="00876C27"/>
    <w:rsid w:val="00877278"/>
    <w:rsid w:val="008774EB"/>
    <w:rsid w:val="00877838"/>
    <w:rsid w:val="00877890"/>
    <w:rsid w:val="00877B64"/>
    <w:rsid w:val="00880B7E"/>
    <w:rsid w:val="00881497"/>
    <w:rsid w:val="0088186F"/>
    <w:rsid w:val="00881AD6"/>
    <w:rsid w:val="0088209E"/>
    <w:rsid w:val="00882673"/>
    <w:rsid w:val="0088393B"/>
    <w:rsid w:val="00883B80"/>
    <w:rsid w:val="00883F91"/>
    <w:rsid w:val="00884272"/>
    <w:rsid w:val="0088495B"/>
    <w:rsid w:val="008855AB"/>
    <w:rsid w:val="00886319"/>
    <w:rsid w:val="008864C4"/>
    <w:rsid w:val="00886F5B"/>
    <w:rsid w:val="00887B63"/>
    <w:rsid w:val="0089046D"/>
    <w:rsid w:val="00890665"/>
    <w:rsid w:val="00890826"/>
    <w:rsid w:val="00890B81"/>
    <w:rsid w:val="00891272"/>
    <w:rsid w:val="00891445"/>
    <w:rsid w:val="008914D6"/>
    <w:rsid w:val="008917D0"/>
    <w:rsid w:val="00893060"/>
    <w:rsid w:val="008933A0"/>
    <w:rsid w:val="00894264"/>
    <w:rsid w:val="0089469F"/>
    <w:rsid w:val="00894A12"/>
    <w:rsid w:val="0089631F"/>
    <w:rsid w:val="00896A90"/>
    <w:rsid w:val="00896AF4"/>
    <w:rsid w:val="0089710D"/>
    <w:rsid w:val="008A08E3"/>
    <w:rsid w:val="008A11EF"/>
    <w:rsid w:val="008A22AA"/>
    <w:rsid w:val="008A2827"/>
    <w:rsid w:val="008A2A89"/>
    <w:rsid w:val="008A348C"/>
    <w:rsid w:val="008A361A"/>
    <w:rsid w:val="008A3F11"/>
    <w:rsid w:val="008A40D6"/>
    <w:rsid w:val="008A421D"/>
    <w:rsid w:val="008A4930"/>
    <w:rsid w:val="008A4AC2"/>
    <w:rsid w:val="008A4D0E"/>
    <w:rsid w:val="008A55D9"/>
    <w:rsid w:val="008A5E49"/>
    <w:rsid w:val="008A629B"/>
    <w:rsid w:val="008A63DC"/>
    <w:rsid w:val="008A6669"/>
    <w:rsid w:val="008A674D"/>
    <w:rsid w:val="008A7BBF"/>
    <w:rsid w:val="008A7DBA"/>
    <w:rsid w:val="008B0A48"/>
    <w:rsid w:val="008B1E16"/>
    <w:rsid w:val="008B26E3"/>
    <w:rsid w:val="008B2832"/>
    <w:rsid w:val="008B3B92"/>
    <w:rsid w:val="008B3D53"/>
    <w:rsid w:val="008B54D1"/>
    <w:rsid w:val="008B550B"/>
    <w:rsid w:val="008B5F25"/>
    <w:rsid w:val="008B5F4B"/>
    <w:rsid w:val="008B611E"/>
    <w:rsid w:val="008B6ADD"/>
    <w:rsid w:val="008B79E0"/>
    <w:rsid w:val="008B7D56"/>
    <w:rsid w:val="008B7F78"/>
    <w:rsid w:val="008C0141"/>
    <w:rsid w:val="008C05B8"/>
    <w:rsid w:val="008C14BF"/>
    <w:rsid w:val="008C1835"/>
    <w:rsid w:val="008C203D"/>
    <w:rsid w:val="008C2821"/>
    <w:rsid w:val="008C2CC8"/>
    <w:rsid w:val="008C310E"/>
    <w:rsid w:val="008C45E8"/>
    <w:rsid w:val="008C4CC0"/>
    <w:rsid w:val="008C550E"/>
    <w:rsid w:val="008C641B"/>
    <w:rsid w:val="008C672D"/>
    <w:rsid w:val="008C6844"/>
    <w:rsid w:val="008C6DFA"/>
    <w:rsid w:val="008D02A1"/>
    <w:rsid w:val="008D058D"/>
    <w:rsid w:val="008D09D7"/>
    <w:rsid w:val="008D1BCB"/>
    <w:rsid w:val="008D297C"/>
    <w:rsid w:val="008D2A12"/>
    <w:rsid w:val="008D2BD1"/>
    <w:rsid w:val="008D3876"/>
    <w:rsid w:val="008D3E46"/>
    <w:rsid w:val="008D3EA9"/>
    <w:rsid w:val="008D429A"/>
    <w:rsid w:val="008D47AA"/>
    <w:rsid w:val="008D4CBB"/>
    <w:rsid w:val="008D5003"/>
    <w:rsid w:val="008D5D31"/>
    <w:rsid w:val="008D7A6D"/>
    <w:rsid w:val="008E044F"/>
    <w:rsid w:val="008E04D3"/>
    <w:rsid w:val="008E092C"/>
    <w:rsid w:val="008E1564"/>
    <w:rsid w:val="008E18FD"/>
    <w:rsid w:val="008E1B5D"/>
    <w:rsid w:val="008E1D28"/>
    <w:rsid w:val="008E26D4"/>
    <w:rsid w:val="008E3450"/>
    <w:rsid w:val="008E34F5"/>
    <w:rsid w:val="008E437E"/>
    <w:rsid w:val="008E43C4"/>
    <w:rsid w:val="008E45CA"/>
    <w:rsid w:val="008E4C98"/>
    <w:rsid w:val="008E5465"/>
    <w:rsid w:val="008E60A4"/>
    <w:rsid w:val="008E6855"/>
    <w:rsid w:val="008E705E"/>
    <w:rsid w:val="008E706B"/>
    <w:rsid w:val="008E72AD"/>
    <w:rsid w:val="008E74D1"/>
    <w:rsid w:val="008E7B31"/>
    <w:rsid w:val="008E7F56"/>
    <w:rsid w:val="008E7F63"/>
    <w:rsid w:val="008F06F7"/>
    <w:rsid w:val="008F07AD"/>
    <w:rsid w:val="008F10B1"/>
    <w:rsid w:val="008F1D92"/>
    <w:rsid w:val="008F204F"/>
    <w:rsid w:val="008F27A4"/>
    <w:rsid w:val="008F2B25"/>
    <w:rsid w:val="008F2D60"/>
    <w:rsid w:val="008F2FB0"/>
    <w:rsid w:val="008F3AE4"/>
    <w:rsid w:val="008F3ECF"/>
    <w:rsid w:val="008F424F"/>
    <w:rsid w:val="008F471D"/>
    <w:rsid w:val="008F5031"/>
    <w:rsid w:val="008F540B"/>
    <w:rsid w:val="008F552B"/>
    <w:rsid w:val="008F633A"/>
    <w:rsid w:val="008F65E4"/>
    <w:rsid w:val="008F6898"/>
    <w:rsid w:val="008F7551"/>
    <w:rsid w:val="008F77F4"/>
    <w:rsid w:val="0090006A"/>
    <w:rsid w:val="009024F6"/>
    <w:rsid w:val="00902B1E"/>
    <w:rsid w:val="0090396E"/>
    <w:rsid w:val="009041FB"/>
    <w:rsid w:val="00904ACA"/>
    <w:rsid w:val="00904B49"/>
    <w:rsid w:val="00905AAE"/>
    <w:rsid w:val="00905C3F"/>
    <w:rsid w:val="00905F7C"/>
    <w:rsid w:val="00906C98"/>
    <w:rsid w:val="00906DA0"/>
    <w:rsid w:val="0090766F"/>
    <w:rsid w:val="00907CD3"/>
    <w:rsid w:val="0091021A"/>
    <w:rsid w:val="00910987"/>
    <w:rsid w:val="00910F97"/>
    <w:rsid w:val="00911042"/>
    <w:rsid w:val="0091185F"/>
    <w:rsid w:val="009118F5"/>
    <w:rsid w:val="00913154"/>
    <w:rsid w:val="0091317B"/>
    <w:rsid w:val="0091420A"/>
    <w:rsid w:val="00914349"/>
    <w:rsid w:val="00914399"/>
    <w:rsid w:val="00914D2F"/>
    <w:rsid w:val="00914F56"/>
    <w:rsid w:val="00915564"/>
    <w:rsid w:val="00915B6A"/>
    <w:rsid w:val="00916023"/>
    <w:rsid w:val="00916197"/>
    <w:rsid w:val="009162DA"/>
    <w:rsid w:val="0091666F"/>
    <w:rsid w:val="009174B1"/>
    <w:rsid w:val="00917F0B"/>
    <w:rsid w:val="00920559"/>
    <w:rsid w:val="00920FF3"/>
    <w:rsid w:val="0092171E"/>
    <w:rsid w:val="00921942"/>
    <w:rsid w:val="00921AFE"/>
    <w:rsid w:val="00921FEE"/>
    <w:rsid w:val="00923463"/>
    <w:rsid w:val="009236C9"/>
    <w:rsid w:val="00923EEA"/>
    <w:rsid w:val="0092405D"/>
    <w:rsid w:val="00924746"/>
    <w:rsid w:val="009248D2"/>
    <w:rsid w:val="00925775"/>
    <w:rsid w:val="00925B0F"/>
    <w:rsid w:val="00925C1C"/>
    <w:rsid w:val="00926712"/>
    <w:rsid w:val="009267E8"/>
    <w:rsid w:val="009268FF"/>
    <w:rsid w:val="00926E2B"/>
    <w:rsid w:val="00927CF7"/>
    <w:rsid w:val="00927F8C"/>
    <w:rsid w:val="00930617"/>
    <w:rsid w:val="00931678"/>
    <w:rsid w:val="00931A3D"/>
    <w:rsid w:val="00931EA5"/>
    <w:rsid w:val="00931F2D"/>
    <w:rsid w:val="00931FA2"/>
    <w:rsid w:val="00931FCD"/>
    <w:rsid w:val="009321E1"/>
    <w:rsid w:val="00932D5D"/>
    <w:rsid w:val="00932F49"/>
    <w:rsid w:val="00933082"/>
    <w:rsid w:val="00933C68"/>
    <w:rsid w:val="00933ECC"/>
    <w:rsid w:val="009349DB"/>
    <w:rsid w:val="00934B12"/>
    <w:rsid w:val="009355BB"/>
    <w:rsid w:val="009363FD"/>
    <w:rsid w:val="00936F68"/>
    <w:rsid w:val="00936FC3"/>
    <w:rsid w:val="00937708"/>
    <w:rsid w:val="0094047C"/>
    <w:rsid w:val="009406A5"/>
    <w:rsid w:val="00940C77"/>
    <w:rsid w:val="00940C96"/>
    <w:rsid w:val="00941364"/>
    <w:rsid w:val="00942770"/>
    <w:rsid w:val="00943396"/>
    <w:rsid w:val="00943D76"/>
    <w:rsid w:val="009441EA"/>
    <w:rsid w:val="00944290"/>
    <w:rsid w:val="0094475D"/>
    <w:rsid w:val="00944D8C"/>
    <w:rsid w:val="00945637"/>
    <w:rsid w:val="00945809"/>
    <w:rsid w:val="00946329"/>
    <w:rsid w:val="009469A3"/>
    <w:rsid w:val="009472BE"/>
    <w:rsid w:val="00947348"/>
    <w:rsid w:val="00947553"/>
    <w:rsid w:val="00947852"/>
    <w:rsid w:val="00947E1D"/>
    <w:rsid w:val="00950145"/>
    <w:rsid w:val="00950D86"/>
    <w:rsid w:val="00950DD6"/>
    <w:rsid w:val="00951283"/>
    <w:rsid w:val="00951323"/>
    <w:rsid w:val="009513E5"/>
    <w:rsid w:val="00951AB9"/>
    <w:rsid w:val="00951F7D"/>
    <w:rsid w:val="0095210D"/>
    <w:rsid w:val="00952157"/>
    <w:rsid w:val="00952E03"/>
    <w:rsid w:val="009534E6"/>
    <w:rsid w:val="009538C0"/>
    <w:rsid w:val="00953937"/>
    <w:rsid w:val="009544D9"/>
    <w:rsid w:val="009549F0"/>
    <w:rsid w:val="00954AE0"/>
    <w:rsid w:val="00954E1D"/>
    <w:rsid w:val="00955337"/>
    <w:rsid w:val="00955672"/>
    <w:rsid w:val="00955DE2"/>
    <w:rsid w:val="00956D1D"/>
    <w:rsid w:val="00957246"/>
    <w:rsid w:val="00957394"/>
    <w:rsid w:val="009618B5"/>
    <w:rsid w:val="00961BC7"/>
    <w:rsid w:val="0096248B"/>
    <w:rsid w:val="00962E94"/>
    <w:rsid w:val="00963E46"/>
    <w:rsid w:val="009644A7"/>
    <w:rsid w:val="0096523E"/>
    <w:rsid w:val="0096764F"/>
    <w:rsid w:val="00967D64"/>
    <w:rsid w:val="00970490"/>
    <w:rsid w:val="009709ED"/>
    <w:rsid w:val="009725B4"/>
    <w:rsid w:val="00973127"/>
    <w:rsid w:val="009739D2"/>
    <w:rsid w:val="009741C4"/>
    <w:rsid w:val="009744AB"/>
    <w:rsid w:val="0097510A"/>
    <w:rsid w:val="00975907"/>
    <w:rsid w:val="00975DB4"/>
    <w:rsid w:val="0097630C"/>
    <w:rsid w:val="00976522"/>
    <w:rsid w:val="00976732"/>
    <w:rsid w:val="00976A1D"/>
    <w:rsid w:val="00976CA8"/>
    <w:rsid w:val="00977221"/>
    <w:rsid w:val="009800AF"/>
    <w:rsid w:val="0098078D"/>
    <w:rsid w:val="00980842"/>
    <w:rsid w:val="00980971"/>
    <w:rsid w:val="00980FE9"/>
    <w:rsid w:val="00981FF9"/>
    <w:rsid w:val="00983852"/>
    <w:rsid w:val="00983C46"/>
    <w:rsid w:val="00983EDD"/>
    <w:rsid w:val="009841BC"/>
    <w:rsid w:val="009854F2"/>
    <w:rsid w:val="009861B8"/>
    <w:rsid w:val="009900DA"/>
    <w:rsid w:val="00990187"/>
    <w:rsid w:val="0099069B"/>
    <w:rsid w:val="0099106C"/>
    <w:rsid w:val="0099142B"/>
    <w:rsid w:val="00991C12"/>
    <w:rsid w:val="00991CDB"/>
    <w:rsid w:val="0099223C"/>
    <w:rsid w:val="0099248C"/>
    <w:rsid w:val="00992D9E"/>
    <w:rsid w:val="00992F44"/>
    <w:rsid w:val="0099357A"/>
    <w:rsid w:val="00993631"/>
    <w:rsid w:val="00993B6B"/>
    <w:rsid w:val="00994170"/>
    <w:rsid w:val="0099564D"/>
    <w:rsid w:val="00995ED0"/>
    <w:rsid w:val="009964F5"/>
    <w:rsid w:val="00996A0F"/>
    <w:rsid w:val="00997C92"/>
    <w:rsid w:val="009A0049"/>
    <w:rsid w:val="009A0B0A"/>
    <w:rsid w:val="009A0FAA"/>
    <w:rsid w:val="009A0FDE"/>
    <w:rsid w:val="009A329C"/>
    <w:rsid w:val="009A35DF"/>
    <w:rsid w:val="009A3698"/>
    <w:rsid w:val="009A454F"/>
    <w:rsid w:val="009A5E57"/>
    <w:rsid w:val="009A6AE2"/>
    <w:rsid w:val="009A6BC8"/>
    <w:rsid w:val="009A788F"/>
    <w:rsid w:val="009A7C26"/>
    <w:rsid w:val="009A7DE7"/>
    <w:rsid w:val="009B0A6E"/>
    <w:rsid w:val="009B1F6A"/>
    <w:rsid w:val="009B2572"/>
    <w:rsid w:val="009B263B"/>
    <w:rsid w:val="009B2B4D"/>
    <w:rsid w:val="009B2DDC"/>
    <w:rsid w:val="009B3690"/>
    <w:rsid w:val="009B38F8"/>
    <w:rsid w:val="009B3A71"/>
    <w:rsid w:val="009B3ADC"/>
    <w:rsid w:val="009B3E8D"/>
    <w:rsid w:val="009B46F6"/>
    <w:rsid w:val="009B52C1"/>
    <w:rsid w:val="009B63F8"/>
    <w:rsid w:val="009B6F39"/>
    <w:rsid w:val="009C083F"/>
    <w:rsid w:val="009C1037"/>
    <w:rsid w:val="009C1C59"/>
    <w:rsid w:val="009C230C"/>
    <w:rsid w:val="009C2F5C"/>
    <w:rsid w:val="009C347D"/>
    <w:rsid w:val="009C3825"/>
    <w:rsid w:val="009C3DA0"/>
    <w:rsid w:val="009C5596"/>
    <w:rsid w:val="009C5DDF"/>
    <w:rsid w:val="009C5FD3"/>
    <w:rsid w:val="009C6CCF"/>
    <w:rsid w:val="009C6E77"/>
    <w:rsid w:val="009C7543"/>
    <w:rsid w:val="009D01BF"/>
    <w:rsid w:val="009D0301"/>
    <w:rsid w:val="009D06EE"/>
    <w:rsid w:val="009D0BB0"/>
    <w:rsid w:val="009D0E63"/>
    <w:rsid w:val="009D1584"/>
    <w:rsid w:val="009D1910"/>
    <w:rsid w:val="009D2033"/>
    <w:rsid w:val="009D266B"/>
    <w:rsid w:val="009D40A9"/>
    <w:rsid w:val="009D43C3"/>
    <w:rsid w:val="009D5660"/>
    <w:rsid w:val="009D59F9"/>
    <w:rsid w:val="009D624C"/>
    <w:rsid w:val="009D6CBC"/>
    <w:rsid w:val="009D7DF8"/>
    <w:rsid w:val="009E01C1"/>
    <w:rsid w:val="009E029D"/>
    <w:rsid w:val="009E13AB"/>
    <w:rsid w:val="009E1594"/>
    <w:rsid w:val="009E1CC8"/>
    <w:rsid w:val="009E2308"/>
    <w:rsid w:val="009E3BE7"/>
    <w:rsid w:val="009E4144"/>
    <w:rsid w:val="009E4B00"/>
    <w:rsid w:val="009E5095"/>
    <w:rsid w:val="009E5E0D"/>
    <w:rsid w:val="009E6056"/>
    <w:rsid w:val="009E6977"/>
    <w:rsid w:val="009E6F0F"/>
    <w:rsid w:val="009E7498"/>
    <w:rsid w:val="009F276D"/>
    <w:rsid w:val="009F4108"/>
    <w:rsid w:val="009F44B9"/>
    <w:rsid w:val="009F5209"/>
    <w:rsid w:val="009F55C6"/>
    <w:rsid w:val="009F6111"/>
    <w:rsid w:val="009F6566"/>
    <w:rsid w:val="009F65B6"/>
    <w:rsid w:val="009F7BA7"/>
    <w:rsid w:val="009F7C3E"/>
    <w:rsid w:val="00A003F5"/>
    <w:rsid w:val="00A004AA"/>
    <w:rsid w:val="00A00E02"/>
    <w:rsid w:val="00A01168"/>
    <w:rsid w:val="00A0262B"/>
    <w:rsid w:val="00A039A5"/>
    <w:rsid w:val="00A0544F"/>
    <w:rsid w:val="00A0561C"/>
    <w:rsid w:val="00A05876"/>
    <w:rsid w:val="00A05C57"/>
    <w:rsid w:val="00A0636F"/>
    <w:rsid w:val="00A063CB"/>
    <w:rsid w:val="00A06AE2"/>
    <w:rsid w:val="00A07995"/>
    <w:rsid w:val="00A07A38"/>
    <w:rsid w:val="00A103BF"/>
    <w:rsid w:val="00A1068C"/>
    <w:rsid w:val="00A108DB"/>
    <w:rsid w:val="00A10ED7"/>
    <w:rsid w:val="00A10EF5"/>
    <w:rsid w:val="00A1115B"/>
    <w:rsid w:val="00A11A6B"/>
    <w:rsid w:val="00A11C62"/>
    <w:rsid w:val="00A12026"/>
    <w:rsid w:val="00A120A9"/>
    <w:rsid w:val="00A1256E"/>
    <w:rsid w:val="00A12A04"/>
    <w:rsid w:val="00A13885"/>
    <w:rsid w:val="00A15F9C"/>
    <w:rsid w:val="00A165FA"/>
    <w:rsid w:val="00A17658"/>
    <w:rsid w:val="00A17856"/>
    <w:rsid w:val="00A201AE"/>
    <w:rsid w:val="00A20518"/>
    <w:rsid w:val="00A2331C"/>
    <w:rsid w:val="00A23644"/>
    <w:rsid w:val="00A2384E"/>
    <w:rsid w:val="00A24332"/>
    <w:rsid w:val="00A26281"/>
    <w:rsid w:val="00A268A4"/>
    <w:rsid w:val="00A268D2"/>
    <w:rsid w:val="00A2784A"/>
    <w:rsid w:val="00A30046"/>
    <w:rsid w:val="00A3016B"/>
    <w:rsid w:val="00A3038F"/>
    <w:rsid w:val="00A30F0F"/>
    <w:rsid w:val="00A31319"/>
    <w:rsid w:val="00A32EEA"/>
    <w:rsid w:val="00A33EE8"/>
    <w:rsid w:val="00A341A4"/>
    <w:rsid w:val="00A34B2F"/>
    <w:rsid w:val="00A35051"/>
    <w:rsid w:val="00A352BD"/>
    <w:rsid w:val="00A357AC"/>
    <w:rsid w:val="00A36F5D"/>
    <w:rsid w:val="00A37142"/>
    <w:rsid w:val="00A40F0E"/>
    <w:rsid w:val="00A415D6"/>
    <w:rsid w:val="00A41E5A"/>
    <w:rsid w:val="00A42282"/>
    <w:rsid w:val="00A42516"/>
    <w:rsid w:val="00A43031"/>
    <w:rsid w:val="00A43294"/>
    <w:rsid w:val="00A44A22"/>
    <w:rsid w:val="00A467BC"/>
    <w:rsid w:val="00A46D13"/>
    <w:rsid w:val="00A47A05"/>
    <w:rsid w:val="00A5036B"/>
    <w:rsid w:val="00A51857"/>
    <w:rsid w:val="00A51D7C"/>
    <w:rsid w:val="00A5235A"/>
    <w:rsid w:val="00A527E0"/>
    <w:rsid w:val="00A52ACA"/>
    <w:rsid w:val="00A52B29"/>
    <w:rsid w:val="00A52EF8"/>
    <w:rsid w:val="00A53143"/>
    <w:rsid w:val="00A53583"/>
    <w:rsid w:val="00A555FE"/>
    <w:rsid w:val="00A55EA7"/>
    <w:rsid w:val="00A5610D"/>
    <w:rsid w:val="00A5611C"/>
    <w:rsid w:val="00A56135"/>
    <w:rsid w:val="00A576EB"/>
    <w:rsid w:val="00A57AA4"/>
    <w:rsid w:val="00A60D1F"/>
    <w:rsid w:val="00A618F0"/>
    <w:rsid w:val="00A61B6B"/>
    <w:rsid w:val="00A6360A"/>
    <w:rsid w:val="00A63ADF"/>
    <w:rsid w:val="00A64714"/>
    <w:rsid w:val="00A647C4"/>
    <w:rsid w:val="00A649CC"/>
    <w:rsid w:val="00A64F94"/>
    <w:rsid w:val="00A653BD"/>
    <w:rsid w:val="00A653E4"/>
    <w:rsid w:val="00A65D1A"/>
    <w:rsid w:val="00A66574"/>
    <w:rsid w:val="00A6699A"/>
    <w:rsid w:val="00A669A5"/>
    <w:rsid w:val="00A675DC"/>
    <w:rsid w:val="00A67AF1"/>
    <w:rsid w:val="00A67D4A"/>
    <w:rsid w:val="00A67E5C"/>
    <w:rsid w:val="00A700F9"/>
    <w:rsid w:val="00A70708"/>
    <w:rsid w:val="00A7089E"/>
    <w:rsid w:val="00A709D0"/>
    <w:rsid w:val="00A70E41"/>
    <w:rsid w:val="00A70F60"/>
    <w:rsid w:val="00A71705"/>
    <w:rsid w:val="00A71A22"/>
    <w:rsid w:val="00A71E77"/>
    <w:rsid w:val="00A724F4"/>
    <w:rsid w:val="00A734E9"/>
    <w:rsid w:val="00A73566"/>
    <w:rsid w:val="00A73CDC"/>
    <w:rsid w:val="00A74391"/>
    <w:rsid w:val="00A74D2A"/>
    <w:rsid w:val="00A74D69"/>
    <w:rsid w:val="00A7547D"/>
    <w:rsid w:val="00A754A9"/>
    <w:rsid w:val="00A760AC"/>
    <w:rsid w:val="00A779C0"/>
    <w:rsid w:val="00A80E7A"/>
    <w:rsid w:val="00A822FD"/>
    <w:rsid w:val="00A82F35"/>
    <w:rsid w:val="00A8316A"/>
    <w:rsid w:val="00A83EBC"/>
    <w:rsid w:val="00A84D22"/>
    <w:rsid w:val="00A86854"/>
    <w:rsid w:val="00A86A8F"/>
    <w:rsid w:val="00A87B00"/>
    <w:rsid w:val="00A903B2"/>
    <w:rsid w:val="00A905D5"/>
    <w:rsid w:val="00A9118B"/>
    <w:rsid w:val="00A9189C"/>
    <w:rsid w:val="00A91A14"/>
    <w:rsid w:val="00A92258"/>
    <w:rsid w:val="00A92308"/>
    <w:rsid w:val="00A926D3"/>
    <w:rsid w:val="00A940C7"/>
    <w:rsid w:val="00A94EE2"/>
    <w:rsid w:val="00A95C45"/>
    <w:rsid w:val="00A961D4"/>
    <w:rsid w:val="00A96238"/>
    <w:rsid w:val="00A96BB0"/>
    <w:rsid w:val="00A979B5"/>
    <w:rsid w:val="00A97A51"/>
    <w:rsid w:val="00AA00E5"/>
    <w:rsid w:val="00AA08FA"/>
    <w:rsid w:val="00AA17F4"/>
    <w:rsid w:val="00AA1A3A"/>
    <w:rsid w:val="00AA1F32"/>
    <w:rsid w:val="00AA2817"/>
    <w:rsid w:val="00AA348F"/>
    <w:rsid w:val="00AA45DA"/>
    <w:rsid w:val="00AA4623"/>
    <w:rsid w:val="00AA4AB1"/>
    <w:rsid w:val="00AA505D"/>
    <w:rsid w:val="00AA5390"/>
    <w:rsid w:val="00AA55CF"/>
    <w:rsid w:val="00AA5652"/>
    <w:rsid w:val="00AA5A21"/>
    <w:rsid w:val="00AA65A9"/>
    <w:rsid w:val="00AA7491"/>
    <w:rsid w:val="00AA7607"/>
    <w:rsid w:val="00AA79A0"/>
    <w:rsid w:val="00AB0847"/>
    <w:rsid w:val="00AB086F"/>
    <w:rsid w:val="00AB12A1"/>
    <w:rsid w:val="00AB19F1"/>
    <w:rsid w:val="00AB212D"/>
    <w:rsid w:val="00AB2241"/>
    <w:rsid w:val="00AB29A9"/>
    <w:rsid w:val="00AB2B38"/>
    <w:rsid w:val="00AB2D73"/>
    <w:rsid w:val="00AB2DC2"/>
    <w:rsid w:val="00AB2DEF"/>
    <w:rsid w:val="00AB3915"/>
    <w:rsid w:val="00AB5284"/>
    <w:rsid w:val="00AB5B0E"/>
    <w:rsid w:val="00AB5B6E"/>
    <w:rsid w:val="00AB5D4E"/>
    <w:rsid w:val="00AB633E"/>
    <w:rsid w:val="00AB66F6"/>
    <w:rsid w:val="00AB684F"/>
    <w:rsid w:val="00AB6A51"/>
    <w:rsid w:val="00AB6CE0"/>
    <w:rsid w:val="00AB7B0F"/>
    <w:rsid w:val="00AB7E65"/>
    <w:rsid w:val="00AC0095"/>
    <w:rsid w:val="00AC00D6"/>
    <w:rsid w:val="00AC0102"/>
    <w:rsid w:val="00AC0710"/>
    <w:rsid w:val="00AC0A29"/>
    <w:rsid w:val="00AC0CA7"/>
    <w:rsid w:val="00AC14C5"/>
    <w:rsid w:val="00AC18E0"/>
    <w:rsid w:val="00AC2674"/>
    <w:rsid w:val="00AC2A9D"/>
    <w:rsid w:val="00AC329C"/>
    <w:rsid w:val="00AC34D7"/>
    <w:rsid w:val="00AC40A6"/>
    <w:rsid w:val="00AC4E84"/>
    <w:rsid w:val="00AC543F"/>
    <w:rsid w:val="00AC5C84"/>
    <w:rsid w:val="00AC60D8"/>
    <w:rsid w:val="00AC6598"/>
    <w:rsid w:val="00AC6698"/>
    <w:rsid w:val="00AC67A1"/>
    <w:rsid w:val="00AC6947"/>
    <w:rsid w:val="00AC7B18"/>
    <w:rsid w:val="00AC7CE0"/>
    <w:rsid w:val="00AD00B0"/>
    <w:rsid w:val="00AD050F"/>
    <w:rsid w:val="00AD1310"/>
    <w:rsid w:val="00AD2233"/>
    <w:rsid w:val="00AD28D0"/>
    <w:rsid w:val="00AD28EE"/>
    <w:rsid w:val="00AD2F4D"/>
    <w:rsid w:val="00AD313A"/>
    <w:rsid w:val="00AD36D0"/>
    <w:rsid w:val="00AD3929"/>
    <w:rsid w:val="00AD3D0F"/>
    <w:rsid w:val="00AD449C"/>
    <w:rsid w:val="00AD451A"/>
    <w:rsid w:val="00AD6B2D"/>
    <w:rsid w:val="00AD7EAF"/>
    <w:rsid w:val="00AE0093"/>
    <w:rsid w:val="00AE1721"/>
    <w:rsid w:val="00AE1A7A"/>
    <w:rsid w:val="00AE21B7"/>
    <w:rsid w:val="00AE232B"/>
    <w:rsid w:val="00AE2630"/>
    <w:rsid w:val="00AE32BE"/>
    <w:rsid w:val="00AE3878"/>
    <w:rsid w:val="00AE3AD4"/>
    <w:rsid w:val="00AE3C93"/>
    <w:rsid w:val="00AE3F40"/>
    <w:rsid w:val="00AE48DE"/>
    <w:rsid w:val="00AE4D0B"/>
    <w:rsid w:val="00AE58BC"/>
    <w:rsid w:val="00AE62B2"/>
    <w:rsid w:val="00AE6F44"/>
    <w:rsid w:val="00AE755D"/>
    <w:rsid w:val="00AF0090"/>
    <w:rsid w:val="00AF0D85"/>
    <w:rsid w:val="00AF156A"/>
    <w:rsid w:val="00AF33F5"/>
    <w:rsid w:val="00AF36D9"/>
    <w:rsid w:val="00AF3717"/>
    <w:rsid w:val="00AF3D86"/>
    <w:rsid w:val="00AF3E1C"/>
    <w:rsid w:val="00AF3ED6"/>
    <w:rsid w:val="00AF4F5C"/>
    <w:rsid w:val="00AF52A0"/>
    <w:rsid w:val="00AF58FA"/>
    <w:rsid w:val="00AF5A23"/>
    <w:rsid w:val="00AF6053"/>
    <w:rsid w:val="00AF6606"/>
    <w:rsid w:val="00AF69AA"/>
    <w:rsid w:val="00AF7F54"/>
    <w:rsid w:val="00B0118C"/>
    <w:rsid w:val="00B01953"/>
    <w:rsid w:val="00B01FCA"/>
    <w:rsid w:val="00B02DB8"/>
    <w:rsid w:val="00B03AA4"/>
    <w:rsid w:val="00B0523C"/>
    <w:rsid w:val="00B05CE7"/>
    <w:rsid w:val="00B05F06"/>
    <w:rsid w:val="00B067A8"/>
    <w:rsid w:val="00B071F4"/>
    <w:rsid w:val="00B07740"/>
    <w:rsid w:val="00B07808"/>
    <w:rsid w:val="00B07B00"/>
    <w:rsid w:val="00B10769"/>
    <w:rsid w:val="00B107AF"/>
    <w:rsid w:val="00B11102"/>
    <w:rsid w:val="00B1142C"/>
    <w:rsid w:val="00B116CB"/>
    <w:rsid w:val="00B11AB8"/>
    <w:rsid w:val="00B1236B"/>
    <w:rsid w:val="00B1241F"/>
    <w:rsid w:val="00B12934"/>
    <w:rsid w:val="00B12BF9"/>
    <w:rsid w:val="00B132B0"/>
    <w:rsid w:val="00B139FD"/>
    <w:rsid w:val="00B13D24"/>
    <w:rsid w:val="00B14608"/>
    <w:rsid w:val="00B15C90"/>
    <w:rsid w:val="00B15EDC"/>
    <w:rsid w:val="00B173CE"/>
    <w:rsid w:val="00B175A8"/>
    <w:rsid w:val="00B17844"/>
    <w:rsid w:val="00B17D93"/>
    <w:rsid w:val="00B20013"/>
    <w:rsid w:val="00B2049D"/>
    <w:rsid w:val="00B21229"/>
    <w:rsid w:val="00B21326"/>
    <w:rsid w:val="00B22AA6"/>
    <w:rsid w:val="00B22CEE"/>
    <w:rsid w:val="00B22D9B"/>
    <w:rsid w:val="00B22FD8"/>
    <w:rsid w:val="00B23502"/>
    <w:rsid w:val="00B24C70"/>
    <w:rsid w:val="00B25FC6"/>
    <w:rsid w:val="00B2606D"/>
    <w:rsid w:val="00B26894"/>
    <w:rsid w:val="00B273F7"/>
    <w:rsid w:val="00B30688"/>
    <w:rsid w:val="00B308AD"/>
    <w:rsid w:val="00B308B1"/>
    <w:rsid w:val="00B30E66"/>
    <w:rsid w:val="00B31490"/>
    <w:rsid w:val="00B316CD"/>
    <w:rsid w:val="00B345BC"/>
    <w:rsid w:val="00B34ECA"/>
    <w:rsid w:val="00B3594E"/>
    <w:rsid w:val="00B35963"/>
    <w:rsid w:val="00B35FCE"/>
    <w:rsid w:val="00B363CB"/>
    <w:rsid w:val="00B370BE"/>
    <w:rsid w:val="00B407C8"/>
    <w:rsid w:val="00B40D41"/>
    <w:rsid w:val="00B40D63"/>
    <w:rsid w:val="00B41241"/>
    <w:rsid w:val="00B41609"/>
    <w:rsid w:val="00B41688"/>
    <w:rsid w:val="00B41F0F"/>
    <w:rsid w:val="00B41F31"/>
    <w:rsid w:val="00B42298"/>
    <w:rsid w:val="00B430EE"/>
    <w:rsid w:val="00B434C4"/>
    <w:rsid w:val="00B43B4C"/>
    <w:rsid w:val="00B43F87"/>
    <w:rsid w:val="00B44870"/>
    <w:rsid w:val="00B44E6A"/>
    <w:rsid w:val="00B44F99"/>
    <w:rsid w:val="00B4538C"/>
    <w:rsid w:val="00B45941"/>
    <w:rsid w:val="00B45D81"/>
    <w:rsid w:val="00B45EE3"/>
    <w:rsid w:val="00B4626C"/>
    <w:rsid w:val="00B465B7"/>
    <w:rsid w:val="00B46A53"/>
    <w:rsid w:val="00B4709E"/>
    <w:rsid w:val="00B4744D"/>
    <w:rsid w:val="00B47AF3"/>
    <w:rsid w:val="00B505CF"/>
    <w:rsid w:val="00B509DF"/>
    <w:rsid w:val="00B5138C"/>
    <w:rsid w:val="00B52608"/>
    <w:rsid w:val="00B52F81"/>
    <w:rsid w:val="00B52F93"/>
    <w:rsid w:val="00B53DEC"/>
    <w:rsid w:val="00B53E56"/>
    <w:rsid w:val="00B54373"/>
    <w:rsid w:val="00B551D2"/>
    <w:rsid w:val="00B55571"/>
    <w:rsid w:val="00B561E9"/>
    <w:rsid w:val="00B56D6A"/>
    <w:rsid w:val="00B57BD8"/>
    <w:rsid w:val="00B57D1D"/>
    <w:rsid w:val="00B57E94"/>
    <w:rsid w:val="00B6028C"/>
    <w:rsid w:val="00B60E2E"/>
    <w:rsid w:val="00B617A3"/>
    <w:rsid w:val="00B61FA0"/>
    <w:rsid w:val="00B62074"/>
    <w:rsid w:val="00B62081"/>
    <w:rsid w:val="00B624D6"/>
    <w:rsid w:val="00B6255D"/>
    <w:rsid w:val="00B63381"/>
    <w:rsid w:val="00B63CC5"/>
    <w:rsid w:val="00B63F95"/>
    <w:rsid w:val="00B647AC"/>
    <w:rsid w:val="00B64C5F"/>
    <w:rsid w:val="00B65106"/>
    <w:rsid w:val="00B65447"/>
    <w:rsid w:val="00B658D0"/>
    <w:rsid w:val="00B65F13"/>
    <w:rsid w:val="00B66189"/>
    <w:rsid w:val="00B66F23"/>
    <w:rsid w:val="00B70AB9"/>
    <w:rsid w:val="00B73479"/>
    <w:rsid w:val="00B73D46"/>
    <w:rsid w:val="00B760D9"/>
    <w:rsid w:val="00B7612A"/>
    <w:rsid w:val="00B76196"/>
    <w:rsid w:val="00B7649E"/>
    <w:rsid w:val="00B76715"/>
    <w:rsid w:val="00B76BCD"/>
    <w:rsid w:val="00B76FCB"/>
    <w:rsid w:val="00B7753F"/>
    <w:rsid w:val="00B7756E"/>
    <w:rsid w:val="00B776F1"/>
    <w:rsid w:val="00B8002A"/>
    <w:rsid w:val="00B80D8D"/>
    <w:rsid w:val="00B810FB"/>
    <w:rsid w:val="00B8170E"/>
    <w:rsid w:val="00B81E67"/>
    <w:rsid w:val="00B82787"/>
    <w:rsid w:val="00B82802"/>
    <w:rsid w:val="00B82C4D"/>
    <w:rsid w:val="00B84125"/>
    <w:rsid w:val="00B8419F"/>
    <w:rsid w:val="00B8422A"/>
    <w:rsid w:val="00B85A56"/>
    <w:rsid w:val="00B86736"/>
    <w:rsid w:val="00B867C0"/>
    <w:rsid w:val="00B87D9C"/>
    <w:rsid w:val="00B907B0"/>
    <w:rsid w:val="00B90D66"/>
    <w:rsid w:val="00B90FAA"/>
    <w:rsid w:val="00B91C22"/>
    <w:rsid w:val="00B91DF6"/>
    <w:rsid w:val="00B92419"/>
    <w:rsid w:val="00B92914"/>
    <w:rsid w:val="00B9438D"/>
    <w:rsid w:val="00B94B16"/>
    <w:rsid w:val="00B94CBC"/>
    <w:rsid w:val="00B9548A"/>
    <w:rsid w:val="00B95800"/>
    <w:rsid w:val="00B95D21"/>
    <w:rsid w:val="00B96807"/>
    <w:rsid w:val="00B97003"/>
    <w:rsid w:val="00B97087"/>
    <w:rsid w:val="00B972DC"/>
    <w:rsid w:val="00BA057D"/>
    <w:rsid w:val="00BA0726"/>
    <w:rsid w:val="00BA105F"/>
    <w:rsid w:val="00BA12E7"/>
    <w:rsid w:val="00BA23C9"/>
    <w:rsid w:val="00BA37F6"/>
    <w:rsid w:val="00BA39D4"/>
    <w:rsid w:val="00BA3D67"/>
    <w:rsid w:val="00BA4705"/>
    <w:rsid w:val="00BA53F7"/>
    <w:rsid w:val="00BA54D7"/>
    <w:rsid w:val="00BA645C"/>
    <w:rsid w:val="00BA64FA"/>
    <w:rsid w:val="00BA6755"/>
    <w:rsid w:val="00BA68EF"/>
    <w:rsid w:val="00BA74B1"/>
    <w:rsid w:val="00BA79A4"/>
    <w:rsid w:val="00BA7AA8"/>
    <w:rsid w:val="00BB0329"/>
    <w:rsid w:val="00BB0C9B"/>
    <w:rsid w:val="00BB1478"/>
    <w:rsid w:val="00BB156F"/>
    <w:rsid w:val="00BB1578"/>
    <w:rsid w:val="00BB250F"/>
    <w:rsid w:val="00BB34A7"/>
    <w:rsid w:val="00BB3C2B"/>
    <w:rsid w:val="00BB4B41"/>
    <w:rsid w:val="00BB548B"/>
    <w:rsid w:val="00BB594E"/>
    <w:rsid w:val="00BB65D4"/>
    <w:rsid w:val="00BB6D7D"/>
    <w:rsid w:val="00BB7356"/>
    <w:rsid w:val="00BB7530"/>
    <w:rsid w:val="00BB7D79"/>
    <w:rsid w:val="00BC02A6"/>
    <w:rsid w:val="00BC073E"/>
    <w:rsid w:val="00BC0FDB"/>
    <w:rsid w:val="00BC13FF"/>
    <w:rsid w:val="00BC2237"/>
    <w:rsid w:val="00BC2E53"/>
    <w:rsid w:val="00BC3471"/>
    <w:rsid w:val="00BC34BE"/>
    <w:rsid w:val="00BC44B2"/>
    <w:rsid w:val="00BC4E84"/>
    <w:rsid w:val="00BC568A"/>
    <w:rsid w:val="00BC61AE"/>
    <w:rsid w:val="00BC6486"/>
    <w:rsid w:val="00BC722B"/>
    <w:rsid w:val="00BC7429"/>
    <w:rsid w:val="00BD006C"/>
    <w:rsid w:val="00BD10CD"/>
    <w:rsid w:val="00BD1293"/>
    <w:rsid w:val="00BD19E0"/>
    <w:rsid w:val="00BD1F35"/>
    <w:rsid w:val="00BD2BFA"/>
    <w:rsid w:val="00BD3B26"/>
    <w:rsid w:val="00BD3D64"/>
    <w:rsid w:val="00BD5173"/>
    <w:rsid w:val="00BD58FB"/>
    <w:rsid w:val="00BD6786"/>
    <w:rsid w:val="00BD696B"/>
    <w:rsid w:val="00BD7254"/>
    <w:rsid w:val="00BD7622"/>
    <w:rsid w:val="00BE027B"/>
    <w:rsid w:val="00BE037C"/>
    <w:rsid w:val="00BE0CC7"/>
    <w:rsid w:val="00BE1097"/>
    <w:rsid w:val="00BE12C4"/>
    <w:rsid w:val="00BE131F"/>
    <w:rsid w:val="00BE142D"/>
    <w:rsid w:val="00BE15D0"/>
    <w:rsid w:val="00BE271B"/>
    <w:rsid w:val="00BE2B89"/>
    <w:rsid w:val="00BE3079"/>
    <w:rsid w:val="00BE3B9C"/>
    <w:rsid w:val="00BE5427"/>
    <w:rsid w:val="00BE5AAB"/>
    <w:rsid w:val="00BE7169"/>
    <w:rsid w:val="00BE75A7"/>
    <w:rsid w:val="00BF0096"/>
    <w:rsid w:val="00BF0FD6"/>
    <w:rsid w:val="00BF168E"/>
    <w:rsid w:val="00BF1E3F"/>
    <w:rsid w:val="00BF2195"/>
    <w:rsid w:val="00BF228D"/>
    <w:rsid w:val="00BF25C1"/>
    <w:rsid w:val="00BF2721"/>
    <w:rsid w:val="00BF3772"/>
    <w:rsid w:val="00BF3BCF"/>
    <w:rsid w:val="00BF3D2A"/>
    <w:rsid w:val="00BF4609"/>
    <w:rsid w:val="00BF480A"/>
    <w:rsid w:val="00BF49E2"/>
    <w:rsid w:val="00BF4D3B"/>
    <w:rsid w:val="00BF606B"/>
    <w:rsid w:val="00BF6CD7"/>
    <w:rsid w:val="00BF7D35"/>
    <w:rsid w:val="00C00152"/>
    <w:rsid w:val="00C0017A"/>
    <w:rsid w:val="00C002F5"/>
    <w:rsid w:val="00C00D73"/>
    <w:rsid w:val="00C01955"/>
    <w:rsid w:val="00C02CC0"/>
    <w:rsid w:val="00C03749"/>
    <w:rsid w:val="00C038EA"/>
    <w:rsid w:val="00C03D3C"/>
    <w:rsid w:val="00C03E7E"/>
    <w:rsid w:val="00C04FA1"/>
    <w:rsid w:val="00C058FC"/>
    <w:rsid w:val="00C0597E"/>
    <w:rsid w:val="00C05CEB"/>
    <w:rsid w:val="00C05FD9"/>
    <w:rsid w:val="00C06591"/>
    <w:rsid w:val="00C101E1"/>
    <w:rsid w:val="00C1086A"/>
    <w:rsid w:val="00C11087"/>
    <w:rsid w:val="00C11576"/>
    <w:rsid w:val="00C12858"/>
    <w:rsid w:val="00C1549E"/>
    <w:rsid w:val="00C1623E"/>
    <w:rsid w:val="00C16867"/>
    <w:rsid w:val="00C16AA4"/>
    <w:rsid w:val="00C17D83"/>
    <w:rsid w:val="00C20058"/>
    <w:rsid w:val="00C21C75"/>
    <w:rsid w:val="00C22B2A"/>
    <w:rsid w:val="00C23414"/>
    <w:rsid w:val="00C2396E"/>
    <w:rsid w:val="00C23FF2"/>
    <w:rsid w:val="00C24064"/>
    <w:rsid w:val="00C240B1"/>
    <w:rsid w:val="00C245A2"/>
    <w:rsid w:val="00C2466D"/>
    <w:rsid w:val="00C25BC1"/>
    <w:rsid w:val="00C25C96"/>
    <w:rsid w:val="00C265D7"/>
    <w:rsid w:val="00C26B90"/>
    <w:rsid w:val="00C26C63"/>
    <w:rsid w:val="00C318B7"/>
    <w:rsid w:val="00C319E8"/>
    <w:rsid w:val="00C32401"/>
    <w:rsid w:val="00C324A7"/>
    <w:rsid w:val="00C3345E"/>
    <w:rsid w:val="00C33D16"/>
    <w:rsid w:val="00C33E2F"/>
    <w:rsid w:val="00C34F6B"/>
    <w:rsid w:val="00C360DE"/>
    <w:rsid w:val="00C37921"/>
    <w:rsid w:val="00C379E0"/>
    <w:rsid w:val="00C37C8E"/>
    <w:rsid w:val="00C409AD"/>
    <w:rsid w:val="00C41033"/>
    <w:rsid w:val="00C41936"/>
    <w:rsid w:val="00C41E75"/>
    <w:rsid w:val="00C43068"/>
    <w:rsid w:val="00C436E8"/>
    <w:rsid w:val="00C437BC"/>
    <w:rsid w:val="00C439E4"/>
    <w:rsid w:val="00C439EA"/>
    <w:rsid w:val="00C45E3C"/>
    <w:rsid w:val="00C45FBA"/>
    <w:rsid w:val="00C467D8"/>
    <w:rsid w:val="00C46DB8"/>
    <w:rsid w:val="00C478E3"/>
    <w:rsid w:val="00C47920"/>
    <w:rsid w:val="00C47B72"/>
    <w:rsid w:val="00C47CAF"/>
    <w:rsid w:val="00C47F9B"/>
    <w:rsid w:val="00C50F9F"/>
    <w:rsid w:val="00C512F8"/>
    <w:rsid w:val="00C51949"/>
    <w:rsid w:val="00C51C2B"/>
    <w:rsid w:val="00C5216D"/>
    <w:rsid w:val="00C5246A"/>
    <w:rsid w:val="00C52ADF"/>
    <w:rsid w:val="00C531A5"/>
    <w:rsid w:val="00C53657"/>
    <w:rsid w:val="00C53697"/>
    <w:rsid w:val="00C537AA"/>
    <w:rsid w:val="00C54024"/>
    <w:rsid w:val="00C54420"/>
    <w:rsid w:val="00C5548E"/>
    <w:rsid w:val="00C5617F"/>
    <w:rsid w:val="00C56EC7"/>
    <w:rsid w:val="00C56F6B"/>
    <w:rsid w:val="00C572BA"/>
    <w:rsid w:val="00C5778A"/>
    <w:rsid w:val="00C60EDA"/>
    <w:rsid w:val="00C61B12"/>
    <w:rsid w:val="00C6238A"/>
    <w:rsid w:val="00C62D81"/>
    <w:rsid w:val="00C6385B"/>
    <w:rsid w:val="00C63CD2"/>
    <w:rsid w:val="00C65017"/>
    <w:rsid w:val="00C65680"/>
    <w:rsid w:val="00C6598A"/>
    <w:rsid w:val="00C662EA"/>
    <w:rsid w:val="00C666F3"/>
    <w:rsid w:val="00C66700"/>
    <w:rsid w:val="00C669AB"/>
    <w:rsid w:val="00C66BA0"/>
    <w:rsid w:val="00C66E7D"/>
    <w:rsid w:val="00C671FB"/>
    <w:rsid w:val="00C67A9A"/>
    <w:rsid w:val="00C67FA9"/>
    <w:rsid w:val="00C70884"/>
    <w:rsid w:val="00C7088A"/>
    <w:rsid w:val="00C70A5F"/>
    <w:rsid w:val="00C70ECC"/>
    <w:rsid w:val="00C710B4"/>
    <w:rsid w:val="00C7234F"/>
    <w:rsid w:val="00C739CE"/>
    <w:rsid w:val="00C7550E"/>
    <w:rsid w:val="00C75656"/>
    <w:rsid w:val="00C758BD"/>
    <w:rsid w:val="00C75A8A"/>
    <w:rsid w:val="00C75BEB"/>
    <w:rsid w:val="00C76013"/>
    <w:rsid w:val="00C76D5D"/>
    <w:rsid w:val="00C76D65"/>
    <w:rsid w:val="00C77593"/>
    <w:rsid w:val="00C81189"/>
    <w:rsid w:val="00C82416"/>
    <w:rsid w:val="00C82AE0"/>
    <w:rsid w:val="00C8323A"/>
    <w:rsid w:val="00C832BF"/>
    <w:rsid w:val="00C847E9"/>
    <w:rsid w:val="00C84B3C"/>
    <w:rsid w:val="00C854B4"/>
    <w:rsid w:val="00C85CE1"/>
    <w:rsid w:val="00C85F15"/>
    <w:rsid w:val="00C86437"/>
    <w:rsid w:val="00C865C9"/>
    <w:rsid w:val="00C86E92"/>
    <w:rsid w:val="00C87EC9"/>
    <w:rsid w:val="00C87ECC"/>
    <w:rsid w:val="00C91D6D"/>
    <w:rsid w:val="00C92258"/>
    <w:rsid w:val="00C9227C"/>
    <w:rsid w:val="00C927CC"/>
    <w:rsid w:val="00C9288D"/>
    <w:rsid w:val="00C92D2E"/>
    <w:rsid w:val="00C933A6"/>
    <w:rsid w:val="00C9401B"/>
    <w:rsid w:val="00C94495"/>
    <w:rsid w:val="00C94EB0"/>
    <w:rsid w:val="00C952EC"/>
    <w:rsid w:val="00C95894"/>
    <w:rsid w:val="00C96A9E"/>
    <w:rsid w:val="00C97435"/>
    <w:rsid w:val="00C978C4"/>
    <w:rsid w:val="00CA01B0"/>
    <w:rsid w:val="00CA079B"/>
    <w:rsid w:val="00CA108D"/>
    <w:rsid w:val="00CA1CE5"/>
    <w:rsid w:val="00CA37E4"/>
    <w:rsid w:val="00CA3EDD"/>
    <w:rsid w:val="00CA3FE1"/>
    <w:rsid w:val="00CA4984"/>
    <w:rsid w:val="00CA4E2F"/>
    <w:rsid w:val="00CA77B6"/>
    <w:rsid w:val="00CA79BE"/>
    <w:rsid w:val="00CB0D31"/>
    <w:rsid w:val="00CB1A0C"/>
    <w:rsid w:val="00CB1E18"/>
    <w:rsid w:val="00CB1FE6"/>
    <w:rsid w:val="00CB3342"/>
    <w:rsid w:val="00CB3EA9"/>
    <w:rsid w:val="00CB7141"/>
    <w:rsid w:val="00CB7617"/>
    <w:rsid w:val="00CC01EA"/>
    <w:rsid w:val="00CC0DB7"/>
    <w:rsid w:val="00CC142E"/>
    <w:rsid w:val="00CC179F"/>
    <w:rsid w:val="00CC1BC6"/>
    <w:rsid w:val="00CC20F3"/>
    <w:rsid w:val="00CC2F90"/>
    <w:rsid w:val="00CC353B"/>
    <w:rsid w:val="00CC38E9"/>
    <w:rsid w:val="00CC3DD4"/>
    <w:rsid w:val="00CC43C8"/>
    <w:rsid w:val="00CC4424"/>
    <w:rsid w:val="00CC5078"/>
    <w:rsid w:val="00CC55EB"/>
    <w:rsid w:val="00CC57AA"/>
    <w:rsid w:val="00CC741F"/>
    <w:rsid w:val="00CC7D02"/>
    <w:rsid w:val="00CD036E"/>
    <w:rsid w:val="00CD04E5"/>
    <w:rsid w:val="00CD050F"/>
    <w:rsid w:val="00CD0FAB"/>
    <w:rsid w:val="00CD141E"/>
    <w:rsid w:val="00CD1618"/>
    <w:rsid w:val="00CD1AAC"/>
    <w:rsid w:val="00CD1EEE"/>
    <w:rsid w:val="00CD3B24"/>
    <w:rsid w:val="00CD3D56"/>
    <w:rsid w:val="00CD4AAE"/>
    <w:rsid w:val="00CD5064"/>
    <w:rsid w:val="00CD6714"/>
    <w:rsid w:val="00CD6CFE"/>
    <w:rsid w:val="00CD7178"/>
    <w:rsid w:val="00CD7264"/>
    <w:rsid w:val="00CD7269"/>
    <w:rsid w:val="00CE15D9"/>
    <w:rsid w:val="00CE1846"/>
    <w:rsid w:val="00CE2616"/>
    <w:rsid w:val="00CE29C6"/>
    <w:rsid w:val="00CE2B9D"/>
    <w:rsid w:val="00CE2D8E"/>
    <w:rsid w:val="00CE3574"/>
    <w:rsid w:val="00CE358C"/>
    <w:rsid w:val="00CE3724"/>
    <w:rsid w:val="00CE4F61"/>
    <w:rsid w:val="00CE56F8"/>
    <w:rsid w:val="00CE6652"/>
    <w:rsid w:val="00CE6B21"/>
    <w:rsid w:val="00CE7928"/>
    <w:rsid w:val="00CE7AE4"/>
    <w:rsid w:val="00CE7BA3"/>
    <w:rsid w:val="00CF0491"/>
    <w:rsid w:val="00CF0897"/>
    <w:rsid w:val="00CF0B93"/>
    <w:rsid w:val="00CF1514"/>
    <w:rsid w:val="00CF1FE9"/>
    <w:rsid w:val="00CF216C"/>
    <w:rsid w:val="00CF2A24"/>
    <w:rsid w:val="00CF3954"/>
    <w:rsid w:val="00CF3E57"/>
    <w:rsid w:val="00CF41DC"/>
    <w:rsid w:val="00CF4A53"/>
    <w:rsid w:val="00CF4AE7"/>
    <w:rsid w:val="00CF4B45"/>
    <w:rsid w:val="00CF4DEB"/>
    <w:rsid w:val="00CF51FD"/>
    <w:rsid w:val="00CF52A8"/>
    <w:rsid w:val="00CF66CB"/>
    <w:rsid w:val="00CF7593"/>
    <w:rsid w:val="00CF7D78"/>
    <w:rsid w:val="00D0027E"/>
    <w:rsid w:val="00D007DB"/>
    <w:rsid w:val="00D00815"/>
    <w:rsid w:val="00D00D2B"/>
    <w:rsid w:val="00D0269F"/>
    <w:rsid w:val="00D036DE"/>
    <w:rsid w:val="00D04AF4"/>
    <w:rsid w:val="00D04CF6"/>
    <w:rsid w:val="00D05472"/>
    <w:rsid w:val="00D055CC"/>
    <w:rsid w:val="00D0633B"/>
    <w:rsid w:val="00D06586"/>
    <w:rsid w:val="00D06616"/>
    <w:rsid w:val="00D0661C"/>
    <w:rsid w:val="00D06BED"/>
    <w:rsid w:val="00D07A39"/>
    <w:rsid w:val="00D07A86"/>
    <w:rsid w:val="00D10A96"/>
    <w:rsid w:val="00D11153"/>
    <w:rsid w:val="00D116B9"/>
    <w:rsid w:val="00D124DD"/>
    <w:rsid w:val="00D1311A"/>
    <w:rsid w:val="00D14D89"/>
    <w:rsid w:val="00D14DC2"/>
    <w:rsid w:val="00D14F1D"/>
    <w:rsid w:val="00D152EC"/>
    <w:rsid w:val="00D15CD7"/>
    <w:rsid w:val="00D163B6"/>
    <w:rsid w:val="00D16600"/>
    <w:rsid w:val="00D16C4B"/>
    <w:rsid w:val="00D1717B"/>
    <w:rsid w:val="00D173FF"/>
    <w:rsid w:val="00D17910"/>
    <w:rsid w:val="00D179E3"/>
    <w:rsid w:val="00D20E4B"/>
    <w:rsid w:val="00D213C5"/>
    <w:rsid w:val="00D223C6"/>
    <w:rsid w:val="00D23542"/>
    <w:rsid w:val="00D23862"/>
    <w:rsid w:val="00D247D0"/>
    <w:rsid w:val="00D2566A"/>
    <w:rsid w:val="00D2630C"/>
    <w:rsid w:val="00D27680"/>
    <w:rsid w:val="00D2768C"/>
    <w:rsid w:val="00D3088B"/>
    <w:rsid w:val="00D308E2"/>
    <w:rsid w:val="00D30AC7"/>
    <w:rsid w:val="00D30F28"/>
    <w:rsid w:val="00D31130"/>
    <w:rsid w:val="00D31BFC"/>
    <w:rsid w:val="00D31D68"/>
    <w:rsid w:val="00D31FBE"/>
    <w:rsid w:val="00D32801"/>
    <w:rsid w:val="00D32CED"/>
    <w:rsid w:val="00D338D7"/>
    <w:rsid w:val="00D360EE"/>
    <w:rsid w:val="00D36635"/>
    <w:rsid w:val="00D366A6"/>
    <w:rsid w:val="00D36FC9"/>
    <w:rsid w:val="00D37CED"/>
    <w:rsid w:val="00D4214F"/>
    <w:rsid w:val="00D42984"/>
    <w:rsid w:val="00D42B97"/>
    <w:rsid w:val="00D42F2F"/>
    <w:rsid w:val="00D43312"/>
    <w:rsid w:val="00D435B9"/>
    <w:rsid w:val="00D43B29"/>
    <w:rsid w:val="00D44103"/>
    <w:rsid w:val="00D44B94"/>
    <w:rsid w:val="00D456EF"/>
    <w:rsid w:val="00D460CF"/>
    <w:rsid w:val="00D46348"/>
    <w:rsid w:val="00D463ED"/>
    <w:rsid w:val="00D464DA"/>
    <w:rsid w:val="00D465F2"/>
    <w:rsid w:val="00D46E07"/>
    <w:rsid w:val="00D4726C"/>
    <w:rsid w:val="00D473C9"/>
    <w:rsid w:val="00D47DAB"/>
    <w:rsid w:val="00D5046A"/>
    <w:rsid w:val="00D50D40"/>
    <w:rsid w:val="00D51494"/>
    <w:rsid w:val="00D51AD3"/>
    <w:rsid w:val="00D52CF3"/>
    <w:rsid w:val="00D53061"/>
    <w:rsid w:val="00D5385F"/>
    <w:rsid w:val="00D53A5B"/>
    <w:rsid w:val="00D55105"/>
    <w:rsid w:val="00D5517B"/>
    <w:rsid w:val="00D554DD"/>
    <w:rsid w:val="00D5641F"/>
    <w:rsid w:val="00D56838"/>
    <w:rsid w:val="00D57565"/>
    <w:rsid w:val="00D60898"/>
    <w:rsid w:val="00D61017"/>
    <w:rsid w:val="00D61316"/>
    <w:rsid w:val="00D61881"/>
    <w:rsid w:val="00D61B7F"/>
    <w:rsid w:val="00D62172"/>
    <w:rsid w:val="00D626B9"/>
    <w:rsid w:val="00D630AB"/>
    <w:rsid w:val="00D636BF"/>
    <w:rsid w:val="00D63FD5"/>
    <w:rsid w:val="00D6417E"/>
    <w:rsid w:val="00D643BE"/>
    <w:rsid w:val="00D65D7E"/>
    <w:rsid w:val="00D662C3"/>
    <w:rsid w:val="00D66DDD"/>
    <w:rsid w:val="00D66E34"/>
    <w:rsid w:val="00D67715"/>
    <w:rsid w:val="00D70B5B"/>
    <w:rsid w:val="00D71818"/>
    <w:rsid w:val="00D72672"/>
    <w:rsid w:val="00D728C3"/>
    <w:rsid w:val="00D72BF0"/>
    <w:rsid w:val="00D744B7"/>
    <w:rsid w:val="00D74E6D"/>
    <w:rsid w:val="00D76612"/>
    <w:rsid w:val="00D76987"/>
    <w:rsid w:val="00D77264"/>
    <w:rsid w:val="00D77326"/>
    <w:rsid w:val="00D77507"/>
    <w:rsid w:val="00D77FD9"/>
    <w:rsid w:val="00D80267"/>
    <w:rsid w:val="00D81AC1"/>
    <w:rsid w:val="00D81C4E"/>
    <w:rsid w:val="00D83177"/>
    <w:rsid w:val="00D83250"/>
    <w:rsid w:val="00D83EDA"/>
    <w:rsid w:val="00D84326"/>
    <w:rsid w:val="00D84621"/>
    <w:rsid w:val="00D846A6"/>
    <w:rsid w:val="00D846F8"/>
    <w:rsid w:val="00D8494A"/>
    <w:rsid w:val="00D850B9"/>
    <w:rsid w:val="00D855B8"/>
    <w:rsid w:val="00D86AA7"/>
    <w:rsid w:val="00D86F51"/>
    <w:rsid w:val="00D901F1"/>
    <w:rsid w:val="00D906D0"/>
    <w:rsid w:val="00D912D9"/>
    <w:rsid w:val="00D918CA"/>
    <w:rsid w:val="00D91969"/>
    <w:rsid w:val="00D91D16"/>
    <w:rsid w:val="00D921B9"/>
    <w:rsid w:val="00D924E5"/>
    <w:rsid w:val="00D9268B"/>
    <w:rsid w:val="00D931F1"/>
    <w:rsid w:val="00D934D8"/>
    <w:rsid w:val="00D9385C"/>
    <w:rsid w:val="00D93E61"/>
    <w:rsid w:val="00D954A0"/>
    <w:rsid w:val="00D95905"/>
    <w:rsid w:val="00D95E85"/>
    <w:rsid w:val="00D9621C"/>
    <w:rsid w:val="00D9679E"/>
    <w:rsid w:val="00D96B10"/>
    <w:rsid w:val="00D971ED"/>
    <w:rsid w:val="00D97784"/>
    <w:rsid w:val="00D97A80"/>
    <w:rsid w:val="00DA071D"/>
    <w:rsid w:val="00DA0EBB"/>
    <w:rsid w:val="00DA16FF"/>
    <w:rsid w:val="00DA1E51"/>
    <w:rsid w:val="00DA2C68"/>
    <w:rsid w:val="00DA2E34"/>
    <w:rsid w:val="00DA3468"/>
    <w:rsid w:val="00DA46AA"/>
    <w:rsid w:val="00DA4A43"/>
    <w:rsid w:val="00DA4ED8"/>
    <w:rsid w:val="00DA4F5C"/>
    <w:rsid w:val="00DA629B"/>
    <w:rsid w:val="00DA631D"/>
    <w:rsid w:val="00DA648C"/>
    <w:rsid w:val="00DA6BC0"/>
    <w:rsid w:val="00DA6CC6"/>
    <w:rsid w:val="00DA6FA7"/>
    <w:rsid w:val="00DA7183"/>
    <w:rsid w:val="00DA7A40"/>
    <w:rsid w:val="00DB076D"/>
    <w:rsid w:val="00DB1951"/>
    <w:rsid w:val="00DB19F2"/>
    <w:rsid w:val="00DB2446"/>
    <w:rsid w:val="00DB2B52"/>
    <w:rsid w:val="00DB2B6C"/>
    <w:rsid w:val="00DB32D3"/>
    <w:rsid w:val="00DB3518"/>
    <w:rsid w:val="00DB3688"/>
    <w:rsid w:val="00DB388F"/>
    <w:rsid w:val="00DB4296"/>
    <w:rsid w:val="00DB501F"/>
    <w:rsid w:val="00DB52D8"/>
    <w:rsid w:val="00DB56AD"/>
    <w:rsid w:val="00DB594B"/>
    <w:rsid w:val="00DB5C76"/>
    <w:rsid w:val="00DB5D33"/>
    <w:rsid w:val="00DB66E5"/>
    <w:rsid w:val="00DB6C6C"/>
    <w:rsid w:val="00DB6CCD"/>
    <w:rsid w:val="00DC00B9"/>
    <w:rsid w:val="00DC0492"/>
    <w:rsid w:val="00DC053A"/>
    <w:rsid w:val="00DC0B7C"/>
    <w:rsid w:val="00DC0B9A"/>
    <w:rsid w:val="00DC0C71"/>
    <w:rsid w:val="00DC0DFB"/>
    <w:rsid w:val="00DC1421"/>
    <w:rsid w:val="00DC1763"/>
    <w:rsid w:val="00DC2482"/>
    <w:rsid w:val="00DC2569"/>
    <w:rsid w:val="00DC2985"/>
    <w:rsid w:val="00DC2CE1"/>
    <w:rsid w:val="00DC33C4"/>
    <w:rsid w:val="00DC3FD7"/>
    <w:rsid w:val="00DC4B38"/>
    <w:rsid w:val="00DC52F8"/>
    <w:rsid w:val="00DC61CB"/>
    <w:rsid w:val="00DC667C"/>
    <w:rsid w:val="00DC7131"/>
    <w:rsid w:val="00DC7188"/>
    <w:rsid w:val="00DC792C"/>
    <w:rsid w:val="00DD0E5A"/>
    <w:rsid w:val="00DD256D"/>
    <w:rsid w:val="00DD351B"/>
    <w:rsid w:val="00DD352C"/>
    <w:rsid w:val="00DD36D9"/>
    <w:rsid w:val="00DD3D1D"/>
    <w:rsid w:val="00DD430D"/>
    <w:rsid w:val="00DD4C39"/>
    <w:rsid w:val="00DD4D39"/>
    <w:rsid w:val="00DD51FC"/>
    <w:rsid w:val="00DD52AD"/>
    <w:rsid w:val="00DD56D7"/>
    <w:rsid w:val="00DD5B9E"/>
    <w:rsid w:val="00DD6112"/>
    <w:rsid w:val="00DD65EB"/>
    <w:rsid w:val="00DD665C"/>
    <w:rsid w:val="00DD6768"/>
    <w:rsid w:val="00DD6871"/>
    <w:rsid w:val="00DD7612"/>
    <w:rsid w:val="00DD7DB3"/>
    <w:rsid w:val="00DE018F"/>
    <w:rsid w:val="00DE03C4"/>
    <w:rsid w:val="00DE04C4"/>
    <w:rsid w:val="00DE09DD"/>
    <w:rsid w:val="00DE1339"/>
    <w:rsid w:val="00DE1A28"/>
    <w:rsid w:val="00DE1C97"/>
    <w:rsid w:val="00DE1F04"/>
    <w:rsid w:val="00DE2156"/>
    <w:rsid w:val="00DE2406"/>
    <w:rsid w:val="00DE25C7"/>
    <w:rsid w:val="00DE33E3"/>
    <w:rsid w:val="00DE3949"/>
    <w:rsid w:val="00DE45AB"/>
    <w:rsid w:val="00DE547A"/>
    <w:rsid w:val="00DE58E7"/>
    <w:rsid w:val="00DE5A41"/>
    <w:rsid w:val="00DE616B"/>
    <w:rsid w:val="00DE6227"/>
    <w:rsid w:val="00DE63A8"/>
    <w:rsid w:val="00DE64CA"/>
    <w:rsid w:val="00DE6ADB"/>
    <w:rsid w:val="00DE6FCF"/>
    <w:rsid w:val="00DE774E"/>
    <w:rsid w:val="00DE7960"/>
    <w:rsid w:val="00DF044E"/>
    <w:rsid w:val="00DF099B"/>
    <w:rsid w:val="00DF118D"/>
    <w:rsid w:val="00DF1601"/>
    <w:rsid w:val="00DF21E4"/>
    <w:rsid w:val="00DF24D8"/>
    <w:rsid w:val="00DF3A32"/>
    <w:rsid w:val="00DF3F0A"/>
    <w:rsid w:val="00DF4A2F"/>
    <w:rsid w:val="00DF4C05"/>
    <w:rsid w:val="00DF4CED"/>
    <w:rsid w:val="00DF564E"/>
    <w:rsid w:val="00DF57F3"/>
    <w:rsid w:val="00DF675C"/>
    <w:rsid w:val="00DF6905"/>
    <w:rsid w:val="00DF6B60"/>
    <w:rsid w:val="00DF72D9"/>
    <w:rsid w:val="00DF7363"/>
    <w:rsid w:val="00E002A6"/>
    <w:rsid w:val="00E005A2"/>
    <w:rsid w:val="00E012BB"/>
    <w:rsid w:val="00E013EB"/>
    <w:rsid w:val="00E01ACA"/>
    <w:rsid w:val="00E01F96"/>
    <w:rsid w:val="00E02684"/>
    <w:rsid w:val="00E04103"/>
    <w:rsid w:val="00E044DB"/>
    <w:rsid w:val="00E050F8"/>
    <w:rsid w:val="00E05545"/>
    <w:rsid w:val="00E05858"/>
    <w:rsid w:val="00E064E8"/>
    <w:rsid w:val="00E0661D"/>
    <w:rsid w:val="00E0677E"/>
    <w:rsid w:val="00E0688F"/>
    <w:rsid w:val="00E068B5"/>
    <w:rsid w:val="00E06ACA"/>
    <w:rsid w:val="00E0717D"/>
    <w:rsid w:val="00E075C7"/>
    <w:rsid w:val="00E1068C"/>
    <w:rsid w:val="00E10CC6"/>
    <w:rsid w:val="00E112C0"/>
    <w:rsid w:val="00E117E7"/>
    <w:rsid w:val="00E12238"/>
    <w:rsid w:val="00E12596"/>
    <w:rsid w:val="00E135DF"/>
    <w:rsid w:val="00E146E9"/>
    <w:rsid w:val="00E14B29"/>
    <w:rsid w:val="00E14C1D"/>
    <w:rsid w:val="00E14C79"/>
    <w:rsid w:val="00E1542C"/>
    <w:rsid w:val="00E15D98"/>
    <w:rsid w:val="00E16227"/>
    <w:rsid w:val="00E174CA"/>
    <w:rsid w:val="00E17B77"/>
    <w:rsid w:val="00E17DD9"/>
    <w:rsid w:val="00E20E16"/>
    <w:rsid w:val="00E21005"/>
    <w:rsid w:val="00E21365"/>
    <w:rsid w:val="00E22DAA"/>
    <w:rsid w:val="00E2518D"/>
    <w:rsid w:val="00E266A4"/>
    <w:rsid w:val="00E27090"/>
    <w:rsid w:val="00E27632"/>
    <w:rsid w:val="00E27779"/>
    <w:rsid w:val="00E27E41"/>
    <w:rsid w:val="00E30883"/>
    <w:rsid w:val="00E31745"/>
    <w:rsid w:val="00E31B55"/>
    <w:rsid w:val="00E31C4E"/>
    <w:rsid w:val="00E32588"/>
    <w:rsid w:val="00E332E9"/>
    <w:rsid w:val="00E347CF"/>
    <w:rsid w:val="00E36711"/>
    <w:rsid w:val="00E3677F"/>
    <w:rsid w:val="00E37EB9"/>
    <w:rsid w:val="00E41643"/>
    <w:rsid w:val="00E418C4"/>
    <w:rsid w:val="00E422EA"/>
    <w:rsid w:val="00E42730"/>
    <w:rsid w:val="00E42CA5"/>
    <w:rsid w:val="00E42E85"/>
    <w:rsid w:val="00E43983"/>
    <w:rsid w:val="00E44179"/>
    <w:rsid w:val="00E44618"/>
    <w:rsid w:val="00E44E84"/>
    <w:rsid w:val="00E44FB1"/>
    <w:rsid w:val="00E45D28"/>
    <w:rsid w:val="00E45EE4"/>
    <w:rsid w:val="00E461AE"/>
    <w:rsid w:val="00E461C6"/>
    <w:rsid w:val="00E461D7"/>
    <w:rsid w:val="00E47282"/>
    <w:rsid w:val="00E473C4"/>
    <w:rsid w:val="00E47975"/>
    <w:rsid w:val="00E50288"/>
    <w:rsid w:val="00E50A78"/>
    <w:rsid w:val="00E50C28"/>
    <w:rsid w:val="00E51FB1"/>
    <w:rsid w:val="00E5238C"/>
    <w:rsid w:val="00E52829"/>
    <w:rsid w:val="00E5321A"/>
    <w:rsid w:val="00E53C30"/>
    <w:rsid w:val="00E541E4"/>
    <w:rsid w:val="00E54A1A"/>
    <w:rsid w:val="00E55190"/>
    <w:rsid w:val="00E5575F"/>
    <w:rsid w:val="00E5616E"/>
    <w:rsid w:val="00E5670B"/>
    <w:rsid w:val="00E56A96"/>
    <w:rsid w:val="00E57354"/>
    <w:rsid w:val="00E60144"/>
    <w:rsid w:val="00E60612"/>
    <w:rsid w:val="00E608CD"/>
    <w:rsid w:val="00E60DE0"/>
    <w:rsid w:val="00E61042"/>
    <w:rsid w:val="00E6192E"/>
    <w:rsid w:val="00E61AB7"/>
    <w:rsid w:val="00E622A1"/>
    <w:rsid w:val="00E63DA5"/>
    <w:rsid w:val="00E64464"/>
    <w:rsid w:val="00E65335"/>
    <w:rsid w:val="00E653C5"/>
    <w:rsid w:val="00E6544C"/>
    <w:rsid w:val="00E665FA"/>
    <w:rsid w:val="00E66683"/>
    <w:rsid w:val="00E66732"/>
    <w:rsid w:val="00E670D4"/>
    <w:rsid w:val="00E67AE7"/>
    <w:rsid w:val="00E67C78"/>
    <w:rsid w:val="00E67DD8"/>
    <w:rsid w:val="00E7033A"/>
    <w:rsid w:val="00E703C7"/>
    <w:rsid w:val="00E71397"/>
    <w:rsid w:val="00E71709"/>
    <w:rsid w:val="00E71903"/>
    <w:rsid w:val="00E71F56"/>
    <w:rsid w:val="00E734D0"/>
    <w:rsid w:val="00E73577"/>
    <w:rsid w:val="00E737EC"/>
    <w:rsid w:val="00E73948"/>
    <w:rsid w:val="00E73A51"/>
    <w:rsid w:val="00E740D4"/>
    <w:rsid w:val="00E74C55"/>
    <w:rsid w:val="00E7551A"/>
    <w:rsid w:val="00E7607E"/>
    <w:rsid w:val="00E76270"/>
    <w:rsid w:val="00E76969"/>
    <w:rsid w:val="00E76B20"/>
    <w:rsid w:val="00E76C25"/>
    <w:rsid w:val="00E76E43"/>
    <w:rsid w:val="00E77880"/>
    <w:rsid w:val="00E77BE1"/>
    <w:rsid w:val="00E8068A"/>
    <w:rsid w:val="00E80693"/>
    <w:rsid w:val="00E80C16"/>
    <w:rsid w:val="00E81B12"/>
    <w:rsid w:val="00E825E2"/>
    <w:rsid w:val="00E82781"/>
    <w:rsid w:val="00E82B41"/>
    <w:rsid w:val="00E83271"/>
    <w:rsid w:val="00E83E19"/>
    <w:rsid w:val="00E83F01"/>
    <w:rsid w:val="00E840A9"/>
    <w:rsid w:val="00E842AB"/>
    <w:rsid w:val="00E84651"/>
    <w:rsid w:val="00E84728"/>
    <w:rsid w:val="00E849D5"/>
    <w:rsid w:val="00E85DBA"/>
    <w:rsid w:val="00E86251"/>
    <w:rsid w:val="00E86B95"/>
    <w:rsid w:val="00E8701F"/>
    <w:rsid w:val="00E8785A"/>
    <w:rsid w:val="00E87A0E"/>
    <w:rsid w:val="00E87A41"/>
    <w:rsid w:val="00E9011A"/>
    <w:rsid w:val="00E9058B"/>
    <w:rsid w:val="00E90F90"/>
    <w:rsid w:val="00E91EE2"/>
    <w:rsid w:val="00E9232E"/>
    <w:rsid w:val="00E923BD"/>
    <w:rsid w:val="00E9243F"/>
    <w:rsid w:val="00E92B2A"/>
    <w:rsid w:val="00E930F8"/>
    <w:rsid w:val="00E9388F"/>
    <w:rsid w:val="00E93980"/>
    <w:rsid w:val="00E93B06"/>
    <w:rsid w:val="00E94697"/>
    <w:rsid w:val="00E94E6B"/>
    <w:rsid w:val="00E95274"/>
    <w:rsid w:val="00E952EE"/>
    <w:rsid w:val="00E95A6F"/>
    <w:rsid w:val="00E96F42"/>
    <w:rsid w:val="00E972E6"/>
    <w:rsid w:val="00E976CD"/>
    <w:rsid w:val="00EA03BA"/>
    <w:rsid w:val="00EA1015"/>
    <w:rsid w:val="00EA2976"/>
    <w:rsid w:val="00EA3A7D"/>
    <w:rsid w:val="00EA3BA9"/>
    <w:rsid w:val="00EA463E"/>
    <w:rsid w:val="00EA4D48"/>
    <w:rsid w:val="00EA4FBE"/>
    <w:rsid w:val="00EA55DB"/>
    <w:rsid w:val="00EB07A0"/>
    <w:rsid w:val="00EB0B65"/>
    <w:rsid w:val="00EB0BB7"/>
    <w:rsid w:val="00EB0D3D"/>
    <w:rsid w:val="00EB1260"/>
    <w:rsid w:val="00EB26D3"/>
    <w:rsid w:val="00EB2CF3"/>
    <w:rsid w:val="00EB2D3B"/>
    <w:rsid w:val="00EB3311"/>
    <w:rsid w:val="00EB3663"/>
    <w:rsid w:val="00EB3BC4"/>
    <w:rsid w:val="00EB43CE"/>
    <w:rsid w:val="00EB4C06"/>
    <w:rsid w:val="00EB5793"/>
    <w:rsid w:val="00EB66F1"/>
    <w:rsid w:val="00EB713C"/>
    <w:rsid w:val="00EB7362"/>
    <w:rsid w:val="00EB7495"/>
    <w:rsid w:val="00EB7512"/>
    <w:rsid w:val="00EB7D01"/>
    <w:rsid w:val="00EC076B"/>
    <w:rsid w:val="00EC0AE0"/>
    <w:rsid w:val="00EC0D5A"/>
    <w:rsid w:val="00EC0DA2"/>
    <w:rsid w:val="00EC16A3"/>
    <w:rsid w:val="00EC215A"/>
    <w:rsid w:val="00EC3361"/>
    <w:rsid w:val="00EC3C01"/>
    <w:rsid w:val="00EC3DEA"/>
    <w:rsid w:val="00EC3E62"/>
    <w:rsid w:val="00EC3EEA"/>
    <w:rsid w:val="00EC429E"/>
    <w:rsid w:val="00EC461B"/>
    <w:rsid w:val="00EC6094"/>
    <w:rsid w:val="00EC66B5"/>
    <w:rsid w:val="00EC685D"/>
    <w:rsid w:val="00EC6DB9"/>
    <w:rsid w:val="00EC7B62"/>
    <w:rsid w:val="00EC7D60"/>
    <w:rsid w:val="00EC7EDF"/>
    <w:rsid w:val="00ED0547"/>
    <w:rsid w:val="00ED0849"/>
    <w:rsid w:val="00ED14CD"/>
    <w:rsid w:val="00ED1C7B"/>
    <w:rsid w:val="00ED1E12"/>
    <w:rsid w:val="00ED1E15"/>
    <w:rsid w:val="00ED2516"/>
    <w:rsid w:val="00ED3C18"/>
    <w:rsid w:val="00ED4283"/>
    <w:rsid w:val="00ED438B"/>
    <w:rsid w:val="00ED4C3F"/>
    <w:rsid w:val="00ED5147"/>
    <w:rsid w:val="00ED6372"/>
    <w:rsid w:val="00ED6C35"/>
    <w:rsid w:val="00ED7169"/>
    <w:rsid w:val="00ED74DD"/>
    <w:rsid w:val="00EE0441"/>
    <w:rsid w:val="00EE0523"/>
    <w:rsid w:val="00EE0BB9"/>
    <w:rsid w:val="00EE0F26"/>
    <w:rsid w:val="00EE124E"/>
    <w:rsid w:val="00EE152D"/>
    <w:rsid w:val="00EE1966"/>
    <w:rsid w:val="00EE19CB"/>
    <w:rsid w:val="00EE1A4C"/>
    <w:rsid w:val="00EE1E46"/>
    <w:rsid w:val="00EE2094"/>
    <w:rsid w:val="00EE2516"/>
    <w:rsid w:val="00EE3B8E"/>
    <w:rsid w:val="00EE4699"/>
    <w:rsid w:val="00EE4A66"/>
    <w:rsid w:val="00EE4E90"/>
    <w:rsid w:val="00EE55D6"/>
    <w:rsid w:val="00EE5DE2"/>
    <w:rsid w:val="00EE5FE5"/>
    <w:rsid w:val="00EE69AD"/>
    <w:rsid w:val="00EF0BC7"/>
    <w:rsid w:val="00EF4547"/>
    <w:rsid w:val="00EF45F5"/>
    <w:rsid w:val="00EF598A"/>
    <w:rsid w:val="00EF5A92"/>
    <w:rsid w:val="00EF6882"/>
    <w:rsid w:val="00EF6A09"/>
    <w:rsid w:val="00EF6E3B"/>
    <w:rsid w:val="00EF7FBC"/>
    <w:rsid w:val="00F01C5D"/>
    <w:rsid w:val="00F01DA4"/>
    <w:rsid w:val="00F0205B"/>
    <w:rsid w:val="00F02F73"/>
    <w:rsid w:val="00F03E44"/>
    <w:rsid w:val="00F04180"/>
    <w:rsid w:val="00F046B4"/>
    <w:rsid w:val="00F04BC9"/>
    <w:rsid w:val="00F05011"/>
    <w:rsid w:val="00F058EF"/>
    <w:rsid w:val="00F05AB4"/>
    <w:rsid w:val="00F060FB"/>
    <w:rsid w:val="00F069CF"/>
    <w:rsid w:val="00F070C2"/>
    <w:rsid w:val="00F071BD"/>
    <w:rsid w:val="00F076A3"/>
    <w:rsid w:val="00F07D87"/>
    <w:rsid w:val="00F07E40"/>
    <w:rsid w:val="00F10652"/>
    <w:rsid w:val="00F10BA4"/>
    <w:rsid w:val="00F11184"/>
    <w:rsid w:val="00F1129D"/>
    <w:rsid w:val="00F1248B"/>
    <w:rsid w:val="00F13195"/>
    <w:rsid w:val="00F13D99"/>
    <w:rsid w:val="00F14061"/>
    <w:rsid w:val="00F150B8"/>
    <w:rsid w:val="00F153EA"/>
    <w:rsid w:val="00F15A41"/>
    <w:rsid w:val="00F15D5D"/>
    <w:rsid w:val="00F163B5"/>
    <w:rsid w:val="00F164E0"/>
    <w:rsid w:val="00F16840"/>
    <w:rsid w:val="00F172B6"/>
    <w:rsid w:val="00F17E84"/>
    <w:rsid w:val="00F2066C"/>
    <w:rsid w:val="00F21026"/>
    <w:rsid w:val="00F21196"/>
    <w:rsid w:val="00F21A67"/>
    <w:rsid w:val="00F22A54"/>
    <w:rsid w:val="00F2346A"/>
    <w:rsid w:val="00F236C9"/>
    <w:rsid w:val="00F23876"/>
    <w:rsid w:val="00F244C5"/>
    <w:rsid w:val="00F24B89"/>
    <w:rsid w:val="00F24C94"/>
    <w:rsid w:val="00F2543E"/>
    <w:rsid w:val="00F256CB"/>
    <w:rsid w:val="00F263F9"/>
    <w:rsid w:val="00F26418"/>
    <w:rsid w:val="00F26C1A"/>
    <w:rsid w:val="00F2782B"/>
    <w:rsid w:val="00F303B6"/>
    <w:rsid w:val="00F30D57"/>
    <w:rsid w:val="00F31501"/>
    <w:rsid w:val="00F31D8F"/>
    <w:rsid w:val="00F324B5"/>
    <w:rsid w:val="00F32A1F"/>
    <w:rsid w:val="00F32BD7"/>
    <w:rsid w:val="00F33229"/>
    <w:rsid w:val="00F344DF"/>
    <w:rsid w:val="00F34A0B"/>
    <w:rsid w:val="00F355FD"/>
    <w:rsid w:val="00F35A8D"/>
    <w:rsid w:val="00F366D6"/>
    <w:rsid w:val="00F3674D"/>
    <w:rsid w:val="00F3683F"/>
    <w:rsid w:val="00F36FFF"/>
    <w:rsid w:val="00F370FF"/>
    <w:rsid w:val="00F3752E"/>
    <w:rsid w:val="00F4001B"/>
    <w:rsid w:val="00F40114"/>
    <w:rsid w:val="00F4084F"/>
    <w:rsid w:val="00F40986"/>
    <w:rsid w:val="00F41029"/>
    <w:rsid w:val="00F41A4D"/>
    <w:rsid w:val="00F41B37"/>
    <w:rsid w:val="00F41C48"/>
    <w:rsid w:val="00F4219F"/>
    <w:rsid w:val="00F428C1"/>
    <w:rsid w:val="00F4330A"/>
    <w:rsid w:val="00F45028"/>
    <w:rsid w:val="00F457FF"/>
    <w:rsid w:val="00F45ABF"/>
    <w:rsid w:val="00F460E6"/>
    <w:rsid w:val="00F46128"/>
    <w:rsid w:val="00F47037"/>
    <w:rsid w:val="00F4740E"/>
    <w:rsid w:val="00F474F6"/>
    <w:rsid w:val="00F4797D"/>
    <w:rsid w:val="00F5016B"/>
    <w:rsid w:val="00F509A6"/>
    <w:rsid w:val="00F5166A"/>
    <w:rsid w:val="00F5172E"/>
    <w:rsid w:val="00F52CEC"/>
    <w:rsid w:val="00F532B4"/>
    <w:rsid w:val="00F53B3F"/>
    <w:rsid w:val="00F547F7"/>
    <w:rsid w:val="00F54A91"/>
    <w:rsid w:val="00F555B3"/>
    <w:rsid w:val="00F566F9"/>
    <w:rsid w:val="00F56A36"/>
    <w:rsid w:val="00F572A1"/>
    <w:rsid w:val="00F6022D"/>
    <w:rsid w:val="00F605BC"/>
    <w:rsid w:val="00F60A8F"/>
    <w:rsid w:val="00F60CD0"/>
    <w:rsid w:val="00F60E99"/>
    <w:rsid w:val="00F6110A"/>
    <w:rsid w:val="00F6116C"/>
    <w:rsid w:val="00F61F94"/>
    <w:rsid w:val="00F6218D"/>
    <w:rsid w:val="00F624F0"/>
    <w:rsid w:val="00F625E1"/>
    <w:rsid w:val="00F6356D"/>
    <w:rsid w:val="00F64187"/>
    <w:rsid w:val="00F643D6"/>
    <w:rsid w:val="00F64963"/>
    <w:rsid w:val="00F64D28"/>
    <w:rsid w:val="00F6550A"/>
    <w:rsid w:val="00F65BC1"/>
    <w:rsid w:val="00F65E3B"/>
    <w:rsid w:val="00F6701D"/>
    <w:rsid w:val="00F67863"/>
    <w:rsid w:val="00F679A9"/>
    <w:rsid w:val="00F67E9D"/>
    <w:rsid w:val="00F70BE0"/>
    <w:rsid w:val="00F70E5C"/>
    <w:rsid w:val="00F71890"/>
    <w:rsid w:val="00F71A2F"/>
    <w:rsid w:val="00F72A10"/>
    <w:rsid w:val="00F72D00"/>
    <w:rsid w:val="00F730DD"/>
    <w:rsid w:val="00F7392B"/>
    <w:rsid w:val="00F73C47"/>
    <w:rsid w:val="00F73CCF"/>
    <w:rsid w:val="00F752B3"/>
    <w:rsid w:val="00F752D7"/>
    <w:rsid w:val="00F75949"/>
    <w:rsid w:val="00F75A76"/>
    <w:rsid w:val="00F7612E"/>
    <w:rsid w:val="00F7613A"/>
    <w:rsid w:val="00F76699"/>
    <w:rsid w:val="00F766F5"/>
    <w:rsid w:val="00F76DBB"/>
    <w:rsid w:val="00F77EC7"/>
    <w:rsid w:val="00F77F62"/>
    <w:rsid w:val="00F8061F"/>
    <w:rsid w:val="00F80DBC"/>
    <w:rsid w:val="00F81D60"/>
    <w:rsid w:val="00F81DDF"/>
    <w:rsid w:val="00F82252"/>
    <w:rsid w:val="00F82CA4"/>
    <w:rsid w:val="00F82F2E"/>
    <w:rsid w:val="00F83BF4"/>
    <w:rsid w:val="00F83E28"/>
    <w:rsid w:val="00F84794"/>
    <w:rsid w:val="00F84B8C"/>
    <w:rsid w:val="00F850FD"/>
    <w:rsid w:val="00F85502"/>
    <w:rsid w:val="00F855A1"/>
    <w:rsid w:val="00F85C68"/>
    <w:rsid w:val="00F862C3"/>
    <w:rsid w:val="00F86A7F"/>
    <w:rsid w:val="00F86BE3"/>
    <w:rsid w:val="00F86C65"/>
    <w:rsid w:val="00F874E4"/>
    <w:rsid w:val="00F8789A"/>
    <w:rsid w:val="00F87FC8"/>
    <w:rsid w:val="00F90626"/>
    <w:rsid w:val="00F90B49"/>
    <w:rsid w:val="00F9189C"/>
    <w:rsid w:val="00F920F5"/>
    <w:rsid w:val="00F92235"/>
    <w:rsid w:val="00F93F21"/>
    <w:rsid w:val="00F9451F"/>
    <w:rsid w:val="00F94BDC"/>
    <w:rsid w:val="00F94C36"/>
    <w:rsid w:val="00F951AB"/>
    <w:rsid w:val="00F95798"/>
    <w:rsid w:val="00F967AB"/>
    <w:rsid w:val="00F9706C"/>
    <w:rsid w:val="00F971A2"/>
    <w:rsid w:val="00FA01C8"/>
    <w:rsid w:val="00FA038A"/>
    <w:rsid w:val="00FA0543"/>
    <w:rsid w:val="00FA07EB"/>
    <w:rsid w:val="00FA0B6C"/>
    <w:rsid w:val="00FA14AD"/>
    <w:rsid w:val="00FA1A6F"/>
    <w:rsid w:val="00FA1A9C"/>
    <w:rsid w:val="00FA3332"/>
    <w:rsid w:val="00FA38B6"/>
    <w:rsid w:val="00FA4518"/>
    <w:rsid w:val="00FA4C86"/>
    <w:rsid w:val="00FA4CBC"/>
    <w:rsid w:val="00FA505A"/>
    <w:rsid w:val="00FA573A"/>
    <w:rsid w:val="00FA5CD1"/>
    <w:rsid w:val="00FA6028"/>
    <w:rsid w:val="00FA67A3"/>
    <w:rsid w:val="00FA6ABE"/>
    <w:rsid w:val="00FA7509"/>
    <w:rsid w:val="00FA7AF2"/>
    <w:rsid w:val="00FB0FB9"/>
    <w:rsid w:val="00FB0FD3"/>
    <w:rsid w:val="00FB12EC"/>
    <w:rsid w:val="00FB1460"/>
    <w:rsid w:val="00FB180D"/>
    <w:rsid w:val="00FB223A"/>
    <w:rsid w:val="00FB27CE"/>
    <w:rsid w:val="00FB3AC6"/>
    <w:rsid w:val="00FB3BCD"/>
    <w:rsid w:val="00FB4683"/>
    <w:rsid w:val="00FB5F4C"/>
    <w:rsid w:val="00FC131B"/>
    <w:rsid w:val="00FC26E5"/>
    <w:rsid w:val="00FC2A6B"/>
    <w:rsid w:val="00FC349E"/>
    <w:rsid w:val="00FC3511"/>
    <w:rsid w:val="00FC36C2"/>
    <w:rsid w:val="00FC394B"/>
    <w:rsid w:val="00FC4DB7"/>
    <w:rsid w:val="00FC53D0"/>
    <w:rsid w:val="00FC581F"/>
    <w:rsid w:val="00FC59F9"/>
    <w:rsid w:val="00FC5E08"/>
    <w:rsid w:val="00FC606B"/>
    <w:rsid w:val="00FC6267"/>
    <w:rsid w:val="00FC65B3"/>
    <w:rsid w:val="00FC66D8"/>
    <w:rsid w:val="00FC691B"/>
    <w:rsid w:val="00FC74B5"/>
    <w:rsid w:val="00FD0CF5"/>
    <w:rsid w:val="00FD0EDA"/>
    <w:rsid w:val="00FD0FC0"/>
    <w:rsid w:val="00FD1CE2"/>
    <w:rsid w:val="00FD1ECC"/>
    <w:rsid w:val="00FD1FEB"/>
    <w:rsid w:val="00FD2471"/>
    <w:rsid w:val="00FD302F"/>
    <w:rsid w:val="00FD35C6"/>
    <w:rsid w:val="00FD38A2"/>
    <w:rsid w:val="00FD441B"/>
    <w:rsid w:val="00FD56CA"/>
    <w:rsid w:val="00FD5C3D"/>
    <w:rsid w:val="00FD5DDD"/>
    <w:rsid w:val="00FD636F"/>
    <w:rsid w:val="00FD727A"/>
    <w:rsid w:val="00FD73C6"/>
    <w:rsid w:val="00FD7643"/>
    <w:rsid w:val="00FD7BD5"/>
    <w:rsid w:val="00FD7E20"/>
    <w:rsid w:val="00FE09CB"/>
    <w:rsid w:val="00FE0B36"/>
    <w:rsid w:val="00FE0B70"/>
    <w:rsid w:val="00FE15F1"/>
    <w:rsid w:val="00FE1A03"/>
    <w:rsid w:val="00FE38EE"/>
    <w:rsid w:val="00FE3E16"/>
    <w:rsid w:val="00FE495C"/>
    <w:rsid w:val="00FE58DA"/>
    <w:rsid w:val="00FE6C58"/>
    <w:rsid w:val="00FE7517"/>
    <w:rsid w:val="00FE793E"/>
    <w:rsid w:val="00FE7C03"/>
    <w:rsid w:val="00FF057C"/>
    <w:rsid w:val="00FF05EC"/>
    <w:rsid w:val="00FF1850"/>
    <w:rsid w:val="00FF1955"/>
    <w:rsid w:val="00FF219A"/>
    <w:rsid w:val="00FF244F"/>
    <w:rsid w:val="00FF2C2D"/>
    <w:rsid w:val="00FF4828"/>
    <w:rsid w:val="00FF4989"/>
    <w:rsid w:val="00FF5208"/>
    <w:rsid w:val="00FF52B4"/>
    <w:rsid w:val="00FF5AC4"/>
    <w:rsid w:val="00FF69CE"/>
    <w:rsid w:val="00FF6AB8"/>
    <w:rsid w:val="00FF74A1"/>
    <w:rsid w:val="00FF77D5"/>
    <w:rsid w:val="00FF7A0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7F71F3"/>
  <w15:chartTrackingRefBased/>
  <w15:docId w15:val="{55080C6C-E1A7-4CA7-9D53-B9E0383F6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57949"/>
  </w:style>
  <w:style w:type="paragraph" w:styleId="Nagwek1">
    <w:name w:val="heading 1"/>
    <w:basedOn w:val="Normalny"/>
    <w:next w:val="Normalny"/>
    <w:link w:val="Nagwek1Znak"/>
    <w:uiPriority w:val="9"/>
    <w:qFormat/>
    <w:rsid w:val="00080D3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F140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semiHidden/>
    <w:unhideWhenUsed/>
    <w:qFormat/>
    <w:rsid w:val="003B3A9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080D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080D34"/>
    <w:rPr>
      <w:rFonts w:asciiTheme="majorHAnsi" w:eastAsiaTheme="majorEastAsia" w:hAnsiTheme="majorHAnsi" w:cstheme="majorBidi"/>
      <w:color w:val="2E74B5" w:themeColor="accent1" w:themeShade="BF"/>
      <w:sz w:val="32"/>
      <w:szCs w:val="32"/>
    </w:rPr>
  </w:style>
  <w:style w:type="paragraph" w:styleId="Nagwekspisutreci">
    <w:name w:val="TOC Heading"/>
    <w:basedOn w:val="Nagwek1"/>
    <w:next w:val="Normalny"/>
    <w:uiPriority w:val="39"/>
    <w:semiHidden/>
    <w:unhideWhenUsed/>
    <w:qFormat/>
    <w:rsid w:val="00080D34"/>
    <w:pPr>
      <w:spacing w:before="480" w:line="276" w:lineRule="auto"/>
      <w:outlineLvl w:val="9"/>
    </w:pPr>
    <w:rPr>
      <w:rFonts w:ascii="Cambria" w:eastAsia="Times New Roman" w:hAnsi="Cambria" w:cs="Times New Roman"/>
      <w:b/>
      <w:bCs/>
      <w:color w:val="365F91"/>
      <w:sz w:val="28"/>
      <w:szCs w:val="28"/>
      <w:lang w:eastAsia="pl-PL"/>
    </w:rPr>
  </w:style>
  <w:style w:type="paragraph" w:styleId="Spistreci1">
    <w:name w:val="toc 1"/>
    <w:basedOn w:val="Normalny"/>
    <w:next w:val="Normalny"/>
    <w:autoRedefine/>
    <w:uiPriority w:val="39"/>
    <w:unhideWhenUsed/>
    <w:qFormat/>
    <w:rsid w:val="000E63C1"/>
    <w:pPr>
      <w:shd w:val="clear" w:color="auto" w:fill="9CC2E5" w:themeFill="accent1" w:themeFillTint="99"/>
      <w:tabs>
        <w:tab w:val="right" w:leader="dot" w:pos="9072"/>
      </w:tabs>
      <w:spacing w:after="0" w:line="276" w:lineRule="auto"/>
      <w:jc w:val="both"/>
    </w:pPr>
    <w:rPr>
      <w:rFonts w:eastAsia="Times New Roman" w:cs="Calibri"/>
      <w:b/>
      <w:bCs/>
      <w:sz w:val="28"/>
      <w:szCs w:val="28"/>
      <w:lang w:eastAsia="pl-PL"/>
    </w:rPr>
  </w:style>
  <w:style w:type="paragraph" w:customStyle="1" w:styleId="Default">
    <w:name w:val="Default"/>
    <w:qFormat/>
    <w:rsid w:val="00080D34"/>
    <w:pPr>
      <w:autoSpaceDE w:val="0"/>
      <w:autoSpaceDN w:val="0"/>
      <w:adjustRightInd w:val="0"/>
      <w:spacing w:after="0" w:line="240" w:lineRule="auto"/>
    </w:pPr>
    <w:rPr>
      <w:rFonts w:ascii="Calibri" w:hAnsi="Calibri" w:cs="Calibri"/>
      <w:color w:val="000000"/>
      <w:sz w:val="24"/>
      <w:szCs w:val="24"/>
    </w:rPr>
  </w:style>
  <w:style w:type="paragraph" w:styleId="Tekstprzypisudolnego">
    <w:name w:val="footnote text"/>
    <w:aliases w:val="Podrozdział,Footnote,Podrozdzia3,-E Fuﬂnotentext,Fuﬂnotentext Ursprung,Fußnotentext Ursprung,-E Fußnotentext,Footnote text,Tekst przypisu Znak Znak Znak Znak,Tekst przypisu Znak Znak Znak Znak Znak,Footnote Text OCR,Przypis,Fußnot"/>
    <w:basedOn w:val="Normalny"/>
    <w:link w:val="TekstprzypisudolnegoZnak"/>
    <w:qFormat/>
    <w:rsid w:val="00307BDE"/>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aliases w:val="Podrozdział Znak,Footnote Znak,Podrozdzia3 Znak,-E Fuﬂnotentext Znak,Fuﬂnotentext Ursprung Znak,Fußnotentext Ursprung Znak,-E Fußnotentext Znak,Footnote text Znak,Tekst przypisu Znak Znak Znak Znak Znak1,Przypis Znak"/>
    <w:basedOn w:val="Domylnaczcionkaakapitu"/>
    <w:link w:val="Tekstprzypisudolnego"/>
    <w:qFormat/>
    <w:rsid w:val="00307BDE"/>
    <w:rPr>
      <w:rFonts w:ascii="Times New Roman" w:eastAsia="Times New Roman" w:hAnsi="Times New Roman" w:cs="Times New Roman"/>
      <w:sz w:val="20"/>
      <w:szCs w:val="20"/>
      <w:lang w:eastAsia="pl-PL"/>
    </w:rPr>
  </w:style>
  <w:style w:type="character" w:styleId="Odwoanieprzypisudolnego">
    <w:name w:val="footnote reference"/>
    <w:aliases w:val="Footnote Reference Number,Footnote symbol,Footnote reference number,note TESI,Footnote Reference Superscript,SUPERS,EN Footnote Reference,Footnote number,Odwołanie przypisu,FZ,(Voetnootmarkering),Ref,de nota al pie,number,Nota"/>
    <w:basedOn w:val="Domylnaczcionkaakapitu"/>
    <w:link w:val="stylishCar"/>
    <w:qFormat/>
    <w:rsid w:val="00307BDE"/>
    <w:rPr>
      <w:vertAlign w:val="superscript"/>
    </w:rPr>
  </w:style>
  <w:style w:type="paragraph" w:styleId="Akapitzlist">
    <w:name w:val="List Paragraph"/>
    <w:aliases w:val="Numerowanie,List Paragraph,L1,Akapit z listą5,T_SZ_List Paragraph,Dot pt,F5 List Paragraph,Kolorowa lista — akcent 11,List Paragraph11,Recommendation"/>
    <w:basedOn w:val="Normalny"/>
    <w:link w:val="AkapitzlistZnak"/>
    <w:qFormat/>
    <w:rsid w:val="00B81E67"/>
    <w:pPr>
      <w:spacing w:after="0" w:line="240" w:lineRule="auto"/>
      <w:ind w:left="720"/>
      <w:contextualSpacing/>
    </w:pPr>
    <w:rPr>
      <w:rFonts w:ascii="Times New Roman" w:hAnsi="Times New Roman" w:cs="Times New Roman"/>
      <w:sz w:val="24"/>
      <w:szCs w:val="24"/>
      <w:lang w:eastAsia="pl-PL"/>
    </w:rPr>
  </w:style>
  <w:style w:type="character" w:styleId="Pogrubienie">
    <w:name w:val="Strong"/>
    <w:qFormat/>
    <w:rsid w:val="0099223C"/>
    <w:rPr>
      <w:rFonts w:cs="Times New Roman"/>
      <w:b/>
      <w:bCs/>
    </w:rPr>
  </w:style>
  <w:style w:type="paragraph" w:styleId="Tekstpodstawowywcity">
    <w:name w:val="Body Text Indent"/>
    <w:basedOn w:val="Normalny"/>
    <w:link w:val="TekstpodstawowywcityZnak"/>
    <w:rsid w:val="00FD441B"/>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rsid w:val="00FD441B"/>
    <w:rPr>
      <w:rFonts w:ascii="Times New Roman" w:eastAsia="Times New Roman" w:hAnsi="Times New Roman" w:cs="Times New Roman"/>
      <w:sz w:val="24"/>
      <w:szCs w:val="24"/>
      <w:lang w:eastAsia="pl-PL"/>
    </w:rPr>
  </w:style>
  <w:style w:type="paragraph" w:customStyle="1" w:styleId="NormalnyGaramond">
    <w:name w:val="Normalny + Garamond"/>
    <w:aliases w:val="Wyjustowany,Pierwszy wiersz:  1,25 cm,Interlinia:  1,5..."/>
    <w:basedOn w:val="Normalny"/>
    <w:rsid w:val="00FD441B"/>
    <w:pPr>
      <w:autoSpaceDE w:val="0"/>
      <w:autoSpaceDN w:val="0"/>
      <w:adjustRightInd w:val="0"/>
      <w:spacing w:after="0" w:line="312" w:lineRule="auto"/>
      <w:ind w:firstLine="708"/>
      <w:jc w:val="both"/>
    </w:pPr>
    <w:rPr>
      <w:rFonts w:ascii="Garamond" w:eastAsia="Times New Roman" w:hAnsi="Garamond" w:cs="Times New Roman"/>
      <w:sz w:val="24"/>
      <w:szCs w:val="24"/>
      <w:lang w:eastAsia="pl-PL"/>
    </w:rPr>
  </w:style>
  <w:style w:type="paragraph" w:styleId="NormalnyWeb">
    <w:name w:val="Normal (Web)"/>
    <w:basedOn w:val="Normalny"/>
    <w:uiPriority w:val="99"/>
    <w:rsid w:val="00546CE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ZnakZnak">
    <w:name w:val="Znak Znak"/>
    <w:basedOn w:val="Normalny"/>
    <w:rsid w:val="00546CEF"/>
    <w:pPr>
      <w:spacing w:after="0" w:line="360" w:lineRule="auto"/>
      <w:jc w:val="both"/>
    </w:pPr>
    <w:rPr>
      <w:rFonts w:ascii="Verdana" w:eastAsia="Times New Roman" w:hAnsi="Verdana" w:cs="Times New Roman"/>
      <w:sz w:val="20"/>
      <w:szCs w:val="20"/>
      <w:lang w:eastAsia="pl-PL"/>
    </w:rPr>
  </w:style>
  <w:style w:type="paragraph" w:customStyle="1" w:styleId="ZnakZnak1">
    <w:name w:val="Znak Znak1"/>
    <w:basedOn w:val="Normalny"/>
    <w:rsid w:val="00753E2F"/>
    <w:pPr>
      <w:spacing w:after="0" w:line="360" w:lineRule="auto"/>
      <w:jc w:val="both"/>
    </w:pPr>
    <w:rPr>
      <w:rFonts w:ascii="Verdana" w:eastAsia="Times New Roman" w:hAnsi="Verdana" w:cs="Times New Roman"/>
      <w:sz w:val="20"/>
      <w:szCs w:val="20"/>
      <w:lang w:eastAsia="pl-PL"/>
    </w:rPr>
  </w:style>
  <w:style w:type="character" w:customStyle="1" w:styleId="Nagwek3Znak">
    <w:name w:val="Nagłówek 3 Znak"/>
    <w:basedOn w:val="Domylnaczcionkaakapitu"/>
    <w:link w:val="Nagwek3"/>
    <w:uiPriority w:val="9"/>
    <w:semiHidden/>
    <w:rsid w:val="003B3A90"/>
    <w:rPr>
      <w:rFonts w:asciiTheme="majorHAnsi" w:eastAsiaTheme="majorEastAsia" w:hAnsiTheme="majorHAnsi" w:cstheme="majorBidi"/>
      <w:color w:val="1F4D78" w:themeColor="accent1" w:themeShade="7F"/>
      <w:sz w:val="24"/>
      <w:szCs w:val="24"/>
    </w:rPr>
  </w:style>
  <w:style w:type="paragraph" w:customStyle="1" w:styleId="Akapitzlist1">
    <w:name w:val="Akapit z listą1"/>
    <w:basedOn w:val="Normalny"/>
    <w:rsid w:val="003B3A90"/>
    <w:pPr>
      <w:spacing w:after="0" w:line="276" w:lineRule="auto"/>
      <w:ind w:left="720"/>
      <w:contextualSpacing/>
    </w:pPr>
    <w:rPr>
      <w:rFonts w:ascii="Calibri" w:eastAsia="Times New Roman" w:hAnsi="Calibri" w:cs="Times New Roman"/>
      <w:lang w:val="en-US"/>
    </w:rPr>
  </w:style>
  <w:style w:type="paragraph" w:styleId="Nagwek">
    <w:name w:val="header"/>
    <w:basedOn w:val="Normalny"/>
    <w:link w:val="NagwekZnak"/>
    <w:uiPriority w:val="99"/>
    <w:unhideWhenUsed/>
    <w:rsid w:val="00570A3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70A39"/>
  </w:style>
  <w:style w:type="paragraph" w:styleId="Stopka">
    <w:name w:val="footer"/>
    <w:basedOn w:val="Normalny"/>
    <w:link w:val="StopkaZnak"/>
    <w:uiPriority w:val="99"/>
    <w:unhideWhenUsed/>
    <w:rsid w:val="00570A3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70A39"/>
  </w:style>
  <w:style w:type="paragraph" w:customStyle="1" w:styleId="Styl1">
    <w:name w:val="Styl1"/>
    <w:basedOn w:val="Normalny"/>
    <w:link w:val="Styl1Znak"/>
    <w:qFormat/>
    <w:rsid w:val="00AC2A9D"/>
    <w:pPr>
      <w:suppressAutoHyphens/>
      <w:spacing w:after="120" w:line="240" w:lineRule="auto"/>
      <w:ind w:firstLine="567"/>
      <w:jc w:val="both"/>
    </w:pPr>
    <w:rPr>
      <w:rFonts w:ascii="Times New Roman" w:eastAsia="Times New Roman" w:hAnsi="Times New Roman" w:cs="Times New Roman"/>
      <w:sz w:val="24"/>
      <w:szCs w:val="20"/>
      <w:lang w:eastAsia="pl-PL"/>
    </w:rPr>
  </w:style>
  <w:style w:type="character" w:customStyle="1" w:styleId="StylGaramond11ptCzarny">
    <w:name w:val="Styl Garamond 11 pt Czarny"/>
    <w:rsid w:val="00A64714"/>
    <w:rPr>
      <w:rFonts w:ascii="Garamond" w:hAnsi="Garamond"/>
      <w:b/>
      <w:spacing w:val="12"/>
      <w:sz w:val="28"/>
      <w:szCs w:val="28"/>
    </w:rPr>
  </w:style>
  <w:style w:type="paragraph" w:styleId="Tekstdymka">
    <w:name w:val="Balloon Text"/>
    <w:basedOn w:val="Normalny"/>
    <w:link w:val="TekstdymkaZnak"/>
    <w:uiPriority w:val="99"/>
    <w:semiHidden/>
    <w:unhideWhenUsed/>
    <w:rsid w:val="00233B6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33B64"/>
    <w:rPr>
      <w:rFonts w:ascii="Segoe UI" w:hAnsi="Segoe UI" w:cs="Segoe UI"/>
      <w:sz w:val="18"/>
      <w:szCs w:val="18"/>
    </w:rPr>
  </w:style>
  <w:style w:type="character" w:customStyle="1" w:styleId="Nagwek2Znak">
    <w:name w:val="Nagłówek 2 Znak"/>
    <w:basedOn w:val="Domylnaczcionkaakapitu"/>
    <w:link w:val="Nagwek2"/>
    <w:uiPriority w:val="9"/>
    <w:rsid w:val="00F14061"/>
    <w:rPr>
      <w:rFonts w:asciiTheme="majorHAnsi" w:eastAsiaTheme="majorEastAsia" w:hAnsiTheme="majorHAnsi" w:cstheme="majorBidi"/>
      <w:color w:val="2E74B5" w:themeColor="accent1" w:themeShade="BF"/>
      <w:sz w:val="26"/>
      <w:szCs w:val="26"/>
    </w:rPr>
  </w:style>
  <w:style w:type="character" w:styleId="Odwoaniedokomentarza">
    <w:name w:val="annotation reference"/>
    <w:basedOn w:val="Domylnaczcionkaakapitu"/>
    <w:uiPriority w:val="99"/>
    <w:semiHidden/>
    <w:unhideWhenUsed/>
    <w:rsid w:val="00F14061"/>
    <w:rPr>
      <w:sz w:val="16"/>
      <w:szCs w:val="16"/>
    </w:rPr>
  </w:style>
  <w:style w:type="paragraph" w:styleId="Tekstkomentarza">
    <w:name w:val="annotation text"/>
    <w:basedOn w:val="Normalny"/>
    <w:link w:val="TekstkomentarzaZnak"/>
    <w:uiPriority w:val="99"/>
    <w:unhideWhenUsed/>
    <w:rsid w:val="00F14061"/>
    <w:pPr>
      <w:spacing w:line="240" w:lineRule="auto"/>
    </w:pPr>
    <w:rPr>
      <w:sz w:val="20"/>
      <w:szCs w:val="20"/>
    </w:rPr>
  </w:style>
  <w:style w:type="character" w:customStyle="1" w:styleId="TekstkomentarzaZnak">
    <w:name w:val="Tekst komentarza Znak"/>
    <w:basedOn w:val="Domylnaczcionkaakapitu"/>
    <w:link w:val="Tekstkomentarza"/>
    <w:uiPriority w:val="99"/>
    <w:rsid w:val="00F14061"/>
    <w:rPr>
      <w:sz w:val="20"/>
      <w:szCs w:val="20"/>
    </w:rPr>
  </w:style>
  <w:style w:type="table" w:customStyle="1" w:styleId="Tabela-Siatka1">
    <w:name w:val="Tabela - Siatka1"/>
    <w:basedOn w:val="Standardowy"/>
    <w:next w:val="Tabela-Siatka"/>
    <w:uiPriority w:val="39"/>
    <w:rsid w:val="00F0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y1">
    <w:name w:val="Normalny1"/>
    <w:rsid w:val="0031672D"/>
    <w:pPr>
      <w:suppressAutoHyphens/>
      <w:autoSpaceDN w:val="0"/>
      <w:spacing w:line="240" w:lineRule="auto"/>
      <w:textAlignment w:val="baseline"/>
    </w:pPr>
    <w:rPr>
      <w:rFonts w:ascii="Calibri" w:eastAsia="Calibri" w:hAnsi="Calibri" w:cs="Times New Roman"/>
    </w:rPr>
  </w:style>
  <w:style w:type="paragraph" w:customStyle="1" w:styleId="Style12">
    <w:name w:val="Style12"/>
    <w:basedOn w:val="Normalny"/>
    <w:uiPriority w:val="99"/>
    <w:rsid w:val="00340A5B"/>
    <w:pPr>
      <w:widowControl w:val="0"/>
      <w:autoSpaceDE w:val="0"/>
      <w:autoSpaceDN w:val="0"/>
      <w:adjustRightInd w:val="0"/>
      <w:spacing w:after="0" w:line="218" w:lineRule="exact"/>
    </w:pPr>
    <w:rPr>
      <w:rFonts w:ascii="Times New Roman" w:eastAsiaTheme="minorEastAsia" w:hAnsi="Times New Roman" w:cs="Times New Roman"/>
      <w:sz w:val="24"/>
      <w:szCs w:val="24"/>
      <w:lang w:eastAsia="pl-PL"/>
    </w:rPr>
  </w:style>
  <w:style w:type="character" w:customStyle="1" w:styleId="FontStyle42">
    <w:name w:val="Font Style42"/>
    <w:basedOn w:val="Domylnaczcionkaakapitu"/>
    <w:uiPriority w:val="99"/>
    <w:rsid w:val="00340A5B"/>
    <w:rPr>
      <w:rFonts w:ascii="Calibri" w:hAnsi="Calibri" w:cs="Calibri"/>
      <w:sz w:val="16"/>
      <w:szCs w:val="16"/>
    </w:rPr>
  </w:style>
  <w:style w:type="character" w:customStyle="1" w:styleId="FontStyle39">
    <w:name w:val="Font Style39"/>
    <w:basedOn w:val="Domylnaczcionkaakapitu"/>
    <w:uiPriority w:val="99"/>
    <w:rsid w:val="00340A5B"/>
    <w:rPr>
      <w:rFonts w:ascii="Calibri" w:hAnsi="Calibri" w:cs="Calibri"/>
      <w:b/>
      <w:bCs/>
      <w:i/>
      <w:iCs/>
      <w:sz w:val="16"/>
      <w:szCs w:val="16"/>
    </w:rPr>
  </w:style>
  <w:style w:type="character" w:customStyle="1" w:styleId="FontStyle40">
    <w:name w:val="Font Style40"/>
    <w:basedOn w:val="Domylnaczcionkaakapitu"/>
    <w:uiPriority w:val="99"/>
    <w:rsid w:val="00340A5B"/>
    <w:rPr>
      <w:rFonts w:ascii="Calibri" w:hAnsi="Calibri" w:cs="Calibri"/>
      <w:b/>
      <w:bCs/>
      <w:sz w:val="16"/>
      <w:szCs w:val="16"/>
    </w:rPr>
  </w:style>
  <w:style w:type="character" w:styleId="Hipercze">
    <w:name w:val="Hyperlink"/>
    <w:rsid w:val="007269C3"/>
    <w:rPr>
      <w:color w:val="0000FF"/>
      <w:u w:val="single"/>
    </w:rPr>
  </w:style>
  <w:style w:type="paragraph" w:customStyle="1" w:styleId="Tekstprzypisudolnego1">
    <w:name w:val="Tekst przypisu dolnego1"/>
    <w:basedOn w:val="Normalny"/>
    <w:next w:val="Tekstprzypisudolnego"/>
    <w:uiPriority w:val="99"/>
    <w:semiHidden/>
    <w:unhideWhenUsed/>
    <w:rsid w:val="007269C3"/>
    <w:pPr>
      <w:spacing w:after="0" w:line="240" w:lineRule="auto"/>
      <w:jc w:val="both"/>
    </w:pPr>
    <w:rPr>
      <w:rFonts w:ascii="Times New Roman" w:eastAsia="Times New Roman" w:hAnsi="Times New Roman" w:cs="Times New Roman"/>
      <w:sz w:val="20"/>
      <w:szCs w:val="20"/>
      <w:lang w:eastAsia="pl-PL"/>
    </w:rPr>
  </w:style>
  <w:style w:type="character" w:customStyle="1" w:styleId="AkapitzlistZnak">
    <w:name w:val="Akapit z listą Znak"/>
    <w:aliases w:val="Numerowanie Znak,List Paragraph Znak,L1 Znak,Akapit z listą5 Znak,T_SZ_List Paragraph Znak,Dot pt Znak,F5 List Paragraph Znak,Kolorowa lista — akcent 11 Znak,List Paragraph11 Znak,Recommendation Znak"/>
    <w:basedOn w:val="Domylnaczcionkaakapitu"/>
    <w:link w:val="Akapitzlist"/>
    <w:uiPriority w:val="34"/>
    <w:qFormat/>
    <w:locked/>
    <w:rsid w:val="00F855A1"/>
    <w:rPr>
      <w:rFonts w:ascii="Times New Roman" w:hAnsi="Times New Roman" w:cs="Times New Roman"/>
      <w:sz w:val="24"/>
      <w:szCs w:val="24"/>
      <w:lang w:eastAsia="pl-PL"/>
    </w:rPr>
  </w:style>
  <w:style w:type="character" w:customStyle="1" w:styleId="TreuzasadnieniaZnak">
    <w:name w:val="Treść uzasadnienia Znak"/>
    <w:basedOn w:val="Domylnaczcionkaakapitu"/>
    <w:link w:val="Treuzasadnienia"/>
    <w:locked/>
    <w:rsid w:val="00F172B6"/>
    <w:rPr>
      <w:rFonts w:ascii="Times New Roman" w:eastAsiaTheme="minorEastAsia" w:hAnsi="Times New Roman" w:cs="Times New Roman"/>
      <w:bCs/>
      <w:lang w:eastAsia="pl-PL"/>
    </w:rPr>
  </w:style>
  <w:style w:type="paragraph" w:customStyle="1" w:styleId="Treuzasadnienia">
    <w:name w:val="Treść uzasadnienia"/>
    <w:basedOn w:val="Normalny"/>
    <w:link w:val="TreuzasadnieniaZnak"/>
    <w:qFormat/>
    <w:rsid w:val="00F172B6"/>
    <w:pPr>
      <w:spacing w:after="0" w:line="360" w:lineRule="auto"/>
      <w:jc w:val="both"/>
    </w:pPr>
    <w:rPr>
      <w:rFonts w:ascii="Times New Roman" w:eastAsiaTheme="minorEastAsia" w:hAnsi="Times New Roman" w:cs="Times New Roman"/>
      <w:bCs/>
      <w:lang w:eastAsia="pl-PL"/>
    </w:rPr>
  </w:style>
  <w:style w:type="paragraph" w:styleId="Bezodstpw">
    <w:name w:val="No Spacing"/>
    <w:qFormat/>
    <w:rsid w:val="00117CEA"/>
    <w:pPr>
      <w:spacing w:after="0" w:line="240" w:lineRule="auto"/>
    </w:pPr>
    <w:rPr>
      <w:rFonts w:ascii="Calibri" w:eastAsia="Times New Roman" w:hAnsi="Calibri" w:cs="Calibri"/>
      <w:lang w:eastAsia="pl-PL"/>
    </w:rPr>
  </w:style>
  <w:style w:type="paragraph" w:styleId="Zwykytekst">
    <w:name w:val="Plain Text"/>
    <w:basedOn w:val="Normalny"/>
    <w:link w:val="ZwykytekstZnak"/>
    <w:uiPriority w:val="99"/>
    <w:unhideWhenUsed/>
    <w:rsid w:val="004D4CC6"/>
    <w:pPr>
      <w:spacing w:after="0" w:line="240" w:lineRule="auto"/>
    </w:pPr>
    <w:rPr>
      <w:rFonts w:ascii="Calibri" w:hAnsi="Calibri"/>
      <w:szCs w:val="21"/>
    </w:rPr>
  </w:style>
  <w:style w:type="character" w:customStyle="1" w:styleId="ZwykytekstZnak">
    <w:name w:val="Zwykły tekst Znak"/>
    <w:basedOn w:val="Domylnaczcionkaakapitu"/>
    <w:link w:val="Zwykytekst"/>
    <w:uiPriority w:val="99"/>
    <w:rsid w:val="004D4CC6"/>
    <w:rPr>
      <w:rFonts w:ascii="Calibri" w:hAnsi="Calibri"/>
      <w:szCs w:val="21"/>
    </w:rPr>
  </w:style>
  <w:style w:type="paragraph" w:customStyle="1" w:styleId="Tekstpodstawowy22">
    <w:name w:val="Tekst podstawowy22"/>
    <w:basedOn w:val="Normalny"/>
    <w:rsid w:val="007E7879"/>
    <w:pPr>
      <w:shd w:val="clear" w:color="auto" w:fill="FFFFFF"/>
      <w:spacing w:before="300" w:after="0" w:line="240" w:lineRule="exact"/>
      <w:ind w:hanging="280"/>
      <w:jc w:val="both"/>
    </w:pPr>
    <w:rPr>
      <w:rFonts w:ascii="Calibri" w:eastAsia="Calibri" w:hAnsi="Calibri" w:cs="Calibri"/>
      <w:sz w:val="20"/>
      <w:szCs w:val="20"/>
    </w:rPr>
  </w:style>
  <w:style w:type="paragraph" w:customStyle="1" w:styleId="Pa5">
    <w:name w:val="Pa5"/>
    <w:basedOn w:val="Default"/>
    <w:next w:val="Default"/>
    <w:uiPriority w:val="99"/>
    <w:rsid w:val="00FB27CE"/>
    <w:pPr>
      <w:spacing w:line="201" w:lineRule="atLeast"/>
    </w:pPr>
    <w:rPr>
      <w:rFonts w:ascii="Myriad Pro" w:hAnsi="Myriad Pro" w:cstheme="minorBidi"/>
      <w:color w:val="auto"/>
    </w:rPr>
  </w:style>
  <w:style w:type="character" w:customStyle="1" w:styleId="A7">
    <w:name w:val="A7"/>
    <w:uiPriority w:val="99"/>
    <w:rsid w:val="00FB27CE"/>
    <w:rPr>
      <w:rFonts w:cs="Myriad Pro"/>
      <w:color w:val="000000"/>
      <w:sz w:val="20"/>
      <w:szCs w:val="20"/>
    </w:rPr>
  </w:style>
  <w:style w:type="paragraph" w:customStyle="1" w:styleId="Pa20">
    <w:name w:val="Pa20"/>
    <w:basedOn w:val="Default"/>
    <w:next w:val="Default"/>
    <w:uiPriority w:val="99"/>
    <w:rsid w:val="00FB27CE"/>
    <w:pPr>
      <w:spacing w:line="201" w:lineRule="atLeast"/>
    </w:pPr>
    <w:rPr>
      <w:rFonts w:ascii="Myriad Pro" w:hAnsi="Myriad Pro" w:cstheme="minorBidi"/>
      <w:color w:val="auto"/>
    </w:rPr>
  </w:style>
  <w:style w:type="paragraph" w:customStyle="1" w:styleId="stylishCar">
    <w:name w:val="stylish Car"/>
    <w:aliases w:val="Footnote Refernece Car,BVI fnr Car,Fußnotenzeichen_Raxen Car,callout Car,Footnote Reference Number Car,Footnote Reference Superscript Car,Footnote symbol Car,Footnote reference number Car,Footnotemark Car,FR Car,FR1 C"/>
    <w:basedOn w:val="Normalny"/>
    <w:link w:val="Odwoanieprzypisudolnego"/>
    <w:rsid w:val="00A039A5"/>
    <w:pPr>
      <w:spacing w:line="240" w:lineRule="exact"/>
    </w:pPr>
    <w:rPr>
      <w:vertAlign w:val="superscript"/>
    </w:rPr>
  </w:style>
  <w:style w:type="table" w:customStyle="1" w:styleId="Tabela-Siatka2">
    <w:name w:val="Tabela - Siatka2"/>
    <w:basedOn w:val="Standardowy"/>
    <w:next w:val="Tabela-Siatka"/>
    <w:uiPriority w:val="59"/>
    <w:rsid w:val="00A039A5"/>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8211">
    <w:name w:val="ART(§) &amp;#8211"/>
    <w:aliases w:val="art. ustawy (§ np. rozporządzenia)"/>
    <w:basedOn w:val="Normalny"/>
    <w:rsid w:val="0030052C"/>
    <w:pPr>
      <w:autoSpaceDE w:val="0"/>
      <w:autoSpaceDN w:val="0"/>
      <w:spacing w:before="120" w:after="0" w:line="360" w:lineRule="auto"/>
      <w:ind w:firstLine="510"/>
      <w:jc w:val="both"/>
    </w:pPr>
    <w:rPr>
      <w:rFonts w:ascii="Times" w:eastAsia="Times New Roman" w:hAnsi="Times" w:cs="Times New Roman"/>
      <w:sz w:val="24"/>
      <w:szCs w:val="24"/>
      <w:lang w:eastAsia="pl-PL"/>
    </w:rPr>
  </w:style>
  <w:style w:type="paragraph" w:customStyle="1" w:styleId="UST8211">
    <w:name w:val="UST(§) &amp;#8211"/>
    <w:aliases w:val="ust. (§ np. kodeksu)"/>
    <w:basedOn w:val="Normalny"/>
    <w:rsid w:val="0030052C"/>
    <w:pPr>
      <w:autoSpaceDE w:val="0"/>
      <w:autoSpaceDN w:val="0"/>
      <w:spacing w:after="0" w:line="360" w:lineRule="auto"/>
      <w:ind w:firstLine="510"/>
      <w:jc w:val="both"/>
    </w:pPr>
    <w:rPr>
      <w:rFonts w:ascii="Times" w:eastAsia="Times New Roman" w:hAnsi="Times" w:cs="Times New Roman"/>
      <w:sz w:val="24"/>
      <w:szCs w:val="24"/>
      <w:lang w:eastAsia="pl-PL"/>
    </w:rPr>
  </w:style>
  <w:style w:type="character" w:customStyle="1" w:styleId="P8211">
    <w:name w:val="_P_ &amp;#8211"/>
    <w:aliases w:val="pogrubienie"/>
    <w:basedOn w:val="Domylnaczcionkaakapitu"/>
    <w:rsid w:val="0030052C"/>
    <w:rPr>
      <w:b/>
      <w:bCs/>
    </w:rPr>
  </w:style>
  <w:style w:type="character" w:customStyle="1" w:styleId="K8211">
    <w:name w:val="_K_ &amp;#8211"/>
    <w:aliases w:val="kursywa"/>
    <w:basedOn w:val="Domylnaczcionkaakapitu"/>
    <w:rsid w:val="0030052C"/>
    <w:rPr>
      <w:i/>
      <w:iCs/>
    </w:rPr>
  </w:style>
  <w:style w:type="character" w:customStyle="1" w:styleId="Tekstpodstawowy2">
    <w:name w:val="Tekst podstawowy2"/>
    <w:basedOn w:val="Domylnaczcionkaakapitu"/>
    <w:rsid w:val="00607B11"/>
    <w:rPr>
      <w:rFonts w:ascii="Calibri" w:eastAsia="Calibri" w:hAnsi="Calibri" w:cs="Calibri" w:hint="default"/>
      <w:b w:val="0"/>
      <w:bCs w:val="0"/>
      <w:i w:val="0"/>
      <w:iCs w:val="0"/>
      <w:smallCaps w:val="0"/>
      <w:spacing w:val="0"/>
      <w:sz w:val="21"/>
      <w:szCs w:val="21"/>
      <w:u w:val="single"/>
    </w:rPr>
  </w:style>
  <w:style w:type="paragraph" w:styleId="Tematkomentarza">
    <w:name w:val="annotation subject"/>
    <w:basedOn w:val="Tekstkomentarza"/>
    <w:next w:val="Tekstkomentarza"/>
    <w:link w:val="TematkomentarzaZnak"/>
    <w:uiPriority w:val="99"/>
    <w:semiHidden/>
    <w:unhideWhenUsed/>
    <w:rsid w:val="00EB3663"/>
    <w:rPr>
      <w:b/>
      <w:bCs/>
    </w:rPr>
  </w:style>
  <w:style w:type="character" w:customStyle="1" w:styleId="TematkomentarzaZnak">
    <w:name w:val="Temat komentarza Znak"/>
    <w:basedOn w:val="TekstkomentarzaZnak"/>
    <w:link w:val="Tematkomentarza"/>
    <w:uiPriority w:val="99"/>
    <w:semiHidden/>
    <w:rsid w:val="00EB3663"/>
    <w:rPr>
      <w:b/>
      <w:bCs/>
      <w:sz w:val="20"/>
      <w:szCs w:val="20"/>
    </w:rPr>
  </w:style>
  <w:style w:type="character" w:customStyle="1" w:styleId="Teksttreci11">
    <w:name w:val="Tekst treści (11)_"/>
    <w:basedOn w:val="Domylnaczcionkaakapitu"/>
    <w:link w:val="Teksttreci110"/>
    <w:rsid w:val="00F752D7"/>
    <w:rPr>
      <w:rFonts w:ascii="Calibri" w:eastAsia="Calibri" w:hAnsi="Calibri" w:cs="Calibri"/>
      <w:spacing w:val="-10"/>
      <w:sz w:val="24"/>
      <w:szCs w:val="24"/>
      <w:shd w:val="clear" w:color="auto" w:fill="FFFFFF"/>
    </w:rPr>
  </w:style>
  <w:style w:type="paragraph" w:customStyle="1" w:styleId="Teksttreci110">
    <w:name w:val="Tekst treści (11)"/>
    <w:basedOn w:val="Normalny"/>
    <w:link w:val="Teksttreci11"/>
    <w:rsid w:val="00F752D7"/>
    <w:pPr>
      <w:shd w:val="clear" w:color="auto" w:fill="FFFFFF"/>
      <w:spacing w:before="720" w:after="60" w:line="0" w:lineRule="atLeast"/>
      <w:jc w:val="both"/>
    </w:pPr>
    <w:rPr>
      <w:rFonts w:ascii="Calibri" w:eastAsia="Calibri" w:hAnsi="Calibri" w:cs="Calibri"/>
      <w:spacing w:val="-10"/>
      <w:sz w:val="24"/>
      <w:szCs w:val="24"/>
    </w:rPr>
  </w:style>
  <w:style w:type="character" w:customStyle="1" w:styleId="Teksttreci">
    <w:name w:val="Tekst treści_"/>
    <w:basedOn w:val="Domylnaczcionkaakapitu"/>
    <w:link w:val="Teksttreci0"/>
    <w:rsid w:val="00DF1601"/>
    <w:rPr>
      <w:rFonts w:ascii="Calibri" w:eastAsia="Calibri" w:hAnsi="Calibri" w:cs="Calibri"/>
      <w:spacing w:val="-10"/>
      <w:sz w:val="24"/>
      <w:szCs w:val="24"/>
      <w:shd w:val="clear" w:color="auto" w:fill="FFFFFF"/>
    </w:rPr>
  </w:style>
  <w:style w:type="paragraph" w:customStyle="1" w:styleId="Teksttreci0">
    <w:name w:val="Tekst treści"/>
    <w:basedOn w:val="Normalny"/>
    <w:link w:val="Teksttreci"/>
    <w:rsid w:val="00DF1601"/>
    <w:pPr>
      <w:shd w:val="clear" w:color="auto" w:fill="FFFFFF"/>
      <w:spacing w:after="0" w:line="0" w:lineRule="atLeast"/>
    </w:pPr>
    <w:rPr>
      <w:rFonts w:ascii="Calibri" w:eastAsia="Calibri" w:hAnsi="Calibri" w:cs="Calibri"/>
      <w:spacing w:val="-10"/>
      <w:sz w:val="24"/>
      <w:szCs w:val="24"/>
    </w:rPr>
  </w:style>
  <w:style w:type="paragraph" w:styleId="Tekstprzypisukocowego">
    <w:name w:val="endnote text"/>
    <w:basedOn w:val="Normalny"/>
    <w:link w:val="TekstprzypisukocowegoZnak"/>
    <w:uiPriority w:val="99"/>
    <w:semiHidden/>
    <w:unhideWhenUsed/>
    <w:rsid w:val="000947D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947D8"/>
    <w:rPr>
      <w:sz w:val="20"/>
      <w:szCs w:val="20"/>
    </w:rPr>
  </w:style>
  <w:style w:type="character" w:styleId="Odwoanieprzypisukocowego">
    <w:name w:val="endnote reference"/>
    <w:basedOn w:val="Domylnaczcionkaakapitu"/>
    <w:uiPriority w:val="99"/>
    <w:semiHidden/>
    <w:unhideWhenUsed/>
    <w:rsid w:val="000947D8"/>
    <w:rPr>
      <w:vertAlign w:val="superscript"/>
    </w:rPr>
  </w:style>
  <w:style w:type="paragraph" w:styleId="Tekstpodstawowy">
    <w:name w:val="Body Text"/>
    <w:basedOn w:val="Normalny"/>
    <w:link w:val="TekstpodstawowyZnak"/>
    <w:uiPriority w:val="99"/>
    <w:unhideWhenUsed/>
    <w:rsid w:val="00765897"/>
    <w:pPr>
      <w:spacing w:after="120"/>
    </w:pPr>
  </w:style>
  <w:style w:type="character" w:customStyle="1" w:styleId="TekstpodstawowyZnak">
    <w:name w:val="Tekst podstawowy Znak"/>
    <w:basedOn w:val="Domylnaczcionkaakapitu"/>
    <w:link w:val="Tekstpodstawowy"/>
    <w:uiPriority w:val="99"/>
    <w:rsid w:val="00765897"/>
  </w:style>
  <w:style w:type="character" w:customStyle="1" w:styleId="highlight">
    <w:name w:val="highlight"/>
    <w:basedOn w:val="Domylnaczcionkaakapitu"/>
    <w:rsid w:val="008E3450"/>
  </w:style>
  <w:style w:type="character" w:styleId="UyteHipercze">
    <w:name w:val="FollowedHyperlink"/>
    <w:basedOn w:val="Domylnaczcionkaakapitu"/>
    <w:uiPriority w:val="99"/>
    <w:semiHidden/>
    <w:unhideWhenUsed/>
    <w:rsid w:val="00DA6BC0"/>
    <w:rPr>
      <w:color w:val="954F72" w:themeColor="followedHyperlink"/>
      <w:u w:val="single"/>
    </w:rPr>
  </w:style>
  <w:style w:type="paragraph" w:customStyle="1" w:styleId="mainpub">
    <w:name w:val="mainpub"/>
    <w:basedOn w:val="Normalny"/>
    <w:rsid w:val="000D4DDD"/>
    <w:pPr>
      <w:spacing w:before="100" w:beforeAutospacing="1" w:after="100" w:afterAutospacing="1" w:line="240" w:lineRule="auto"/>
    </w:pPr>
    <w:rPr>
      <w:rFonts w:ascii="Times New Roman" w:eastAsia="Times New Roman" w:hAnsi="Times New Roman" w:cs="Times New Roman"/>
      <w:sz w:val="24"/>
      <w:szCs w:val="24"/>
      <w:lang w:eastAsia="pl-PL"/>
    </w:rPr>
  </w:style>
  <w:style w:type="table" w:customStyle="1" w:styleId="Tabela-Siatka3">
    <w:name w:val="Tabela - Siatka3"/>
    <w:basedOn w:val="Standardowy"/>
    <w:next w:val="Tabela-Siatka"/>
    <w:uiPriority w:val="39"/>
    <w:rsid w:val="002144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
    <w:name w:val="footnote"/>
    <w:basedOn w:val="Domylnaczcionkaakapitu"/>
    <w:rsid w:val="000025B3"/>
  </w:style>
  <w:style w:type="character" w:customStyle="1" w:styleId="BrakA">
    <w:name w:val="Brak A"/>
    <w:rsid w:val="00D07A86"/>
  </w:style>
  <w:style w:type="paragraph" w:customStyle="1" w:styleId="Domylne">
    <w:name w:val="Domyślne"/>
    <w:rsid w:val="00D07A86"/>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u w:color="000000"/>
      <w:bdr w:val="nil"/>
      <w:lang w:eastAsia="pl-PL"/>
      <w14:textOutline w14:w="12700" w14:cap="flat" w14:cmpd="sng" w14:algn="ctr">
        <w14:noFill/>
        <w14:prstDash w14:val="solid"/>
        <w14:miter w14:lim="400000"/>
      </w14:textOutline>
    </w:rPr>
  </w:style>
  <w:style w:type="character" w:customStyle="1" w:styleId="Brak">
    <w:name w:val="Brak"/>
    <w:rsid w:val="0072706D"/>
  </w:style>
  <w:style w:type="paragraph" w:customStyle="1" w:styleId="TYTUAKTUprzedmiotregulacjiustawylubrozporzdzenia">
    <w:name w:val="TYTUŁ_AKTU – przedmiot regulacji ustawy lub rozporządzenia"/>
    <w:next w:val="Normalny"/>
    <w:uiPriority w:val="6"/>
    <w:qFormat/>
    <w:rsid w:val="009F6566"/>
    <w:pPr>
      <w:keepNext/>
      <w:suppressAutoHyphens/>
      <w:spacing w:before="120" w:after="360" w:line="360" w:lineRule="auto"/>
      <w:jc w:val="center"/>
    </w:pPr>
    <w:rPr>
      <w:rFonts w:ascii="Times" w:eastAsia="Times New Roman" w:hAnsi="Times" w:cs="Arial"/>
      <w:b/>
      <w:bCs/>
      <w:sz w:val="24"/>
      <w:szCs w:val="24"/>
      <w:lang w:eastAsia="pl-PL"/>
    </w:rPr>
  </w:style>
  <w:style w:type="character" w:customStyle="1" w:styleId="tekstprzypisudolnegoznak0">
    <w:name w:val="tekst przypisu dolnego znak"/>
    <w:aliases w:val="podrozdział znak,footnote znak,podrozdzia3 znak,-e funotentext znak,funotentext ursprung znak,fußnotentext ursprung znak,-e fußnotentext znak,footnote text znak,tekst przypisu znak znak znak znak znak1,przypis znak"/>
    <w:basedOn w:val="Domylnaczcionkaakapitu"/>
    <w:link w:val="tekstprzypisudolnego0"/>
    <w:locked/>
    <w:rsid w:val="00B57BD8"/>
  </w:style>
  <w:style w:type="paragraph" w:customStyle="1" w:styleId="tekstprzypisudolnego0">
    <w:name w:val="tekst przypisu dolnego"/>
    <w:aliases w:val="podrozdział,podrozdzia3,-e funotentext,funotentext ursprung,fußnotentext ursprung,-e fußnotentext,footnote text,tekst przypisu znak znak znak znak,tekst przypisu znak znak znak znak znak,footnote text ocr,przypis,fußnot"/>
    <w:basedOn w:val="Normalny"/>
    <w:link w:val="tekstprzypisudolnegoznak0"/>
    <w:rsid w:val="00B57BD8"/>
    <w:pPr>
      <w:spacing w:after="0" w:line="240" w:lineRule="auto"/>
    </w:pPr>
  </w:style>
  <w:style w:type="character" w:customStyle="1" w:styleId="Styl1Znak">
    <w:name w:val="Styl1 Znak"/>
    <w:link w:val="Styl1"/>
    <w:locked/>
    <w:rsid w:val="000C7268"/>
    <w:rPr>
      <w:rFonts w:ascii="Times New Roman" w:eastAsia="Times New Roman" w:hAnsi="Times New Roman" w:cs="Times New Roman"/>
      <w:sz w:val="24"/>
      <w:szCs w:val="20"/>
      <w:lang w:eastAsia="pl-PL"/>
    </w:rPr>
  </w:style>
  <w:style w:type="paragraph" w:styleId="Poprawka">
    <w:name w:val="Revision"/>
    <w:hidden/>
    <w:uiPriority w:val="99"/>
    <w:semiHidden/>
    <w:rsid w:val="0057782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89731">
      <w:bodyDiv w:val="1"/>
      <w:marLeft w:val="0"/>
      <w:marRight w:val="0"/>
      <w:marTop w:val="0"/>
      <w:marBottom w:val="0"/>
      <w:divBdr>
        <w:top w:val="none" w:sz="0" w:space="0" w:color="auto"/>
        <w:left w:val="none" w:sz="0" w:space="0" w:color="auto"/>
        <w:bottom w:val="none" w:sz="0" w:space="0" w:color="auto"/>
        <w:right w:val="none" w:sz="0" w:space="0" w:color="auto"/>
      </w:divBdr>
    </w:div>
    <w:div w:id="94983334">
      <w:bodyDiv w:val="1"/>
      <w:marLeft w:val="0"/>
      <w:marRight w:val="0"/>
      <w:marTop w:val="0"/>
      <w:marBottom w:val="0"/>
      <w:divBdr>
        <w:top w:val="none" w:sz="0" w:space="0" w:color="auto"/>
        <w:left w:val="none" w:sz="0" w:space="0" w:color="auto"/>
        <w:bottom w:val="none" w:sz="0" w:space="0" w:color="auto"/>
        <w:right w:val="none" w:sz="0" w:space="0" w:color="auto"/>
      </w:divBdr>
      <w:divsChild>
        <w:div w:id="347023970">
          <w:marLeft w:val="0"/>
          <w:marRight w:val="0"/>
          <w:marTop w:val="0"/>
          <w:marBottom w:val="0"/>
          <w:divBdr>
            <w:top w:val="none" w:sz="0" w:space="0" w:color="auto"/>
            <w:left w:val="none" w:sz="0" w:space="0" w:color="auto"/>
            <w:bottom w:val="none" w:sz="0" w:space="0" w:color="auto"/>
            <w:right w:val="none" w:sz="0" w:space="0" w:color="auto"/>
          </w:divBdr>
          <w:divsChild>
            <w:div w:id="914049123">
              <w:marLeft w:val="0"/>
              <w:marRight w:val="0"/>
              <w:marTop w:val="0"/>
              <w:marBottom w:val="0"/>
              <w:divBdr>
                <w:top w:val="none" w:sz="0" w:space="0" w:color="auto"/>
                <w:left w:val="none" w:sz="0" w:space="0" w:color="auto"/>
                <w:bottom w:val="none" w:sz="0" w:space="0" w:color="auto"/>
                <w:right w:val="none" w:sz="0" w:space="0" w:color="auto"/>
              </w:divBdr>
              <w:divsChild>
                <w:div w:id="499195444">
                  <w:marLeft w:val="0"/>
                  <w:marRight w:val="0"/>
                  <w:marTop w:val="0"/>
                  <w:marBottom w:val="0"/>
                  <w:divBdr>
                    <w:top w:val="none" w:sz="0" w:space="0" w:color="auto"/>
                    <w:left w:val="none" w:sz="0" w:space="0" w:color="auto"/>
                    <w:bottom w:val="none" w:sz="0" w:space="0" w:color="auto"/>
                    <w:right w:val="none" w:sz="0" w:space="0" w:color="auto"/>
                  </w:divBdr>
                  <w:divsChild>
                    <w:div w:id="1256745945">
                      <w:marLeft w:val="0"/>
                      <w:marRight w:val="0"/>
                      <w:marTop w:val="420"/>
                      <w:marBottom w:val="0"/>
                      <w:divBdr>
                        <w:top w:val="none" w:sz="0" w:space="0" w:color="auto"/>
                        <w:left w:val="none" w:sz="0" w:space="0" w:color="auto"/>
                        <w:bottom w:val="none" w:sz="0" w:space="0" w:color="auto"/>
                        <w:right w:val="none" w:sz="0" w:space="0" w:color="auto"/>
                      </w:divBdr>
                      <w:divsChild>
                        <w:div w:id="135727166">
                          <w:marLeft w:val="0"/>
                          <w:marRight w:val="0"/>
                          <w:marTop w:val="0"/>
                          <w:marBottom w:val="0"/>
                          <w:divBdr>
                            <w:top w:val="none" w:sz="0" w:space="0" w:color="auto"/>
                            <w:left w:val="none" w:sz="0" w:space="0" w:color="auto"/>
                            <w:bottom w:val="none" w:sz="0" w:space="0" w:color="auto"/>
                            <w:right w:val="none" w:sz="0" w:space="0" w:color="auto"/>
                          </w:divBdr>
                          <w:divsChild>
                            <w:div w:id="1352872497">
                              <w:marLeft w:val="0"/>
                              <w:marRight w:val="0"/>
                              <w:marTop w:val="0"/>
                              <w:marBottom w:val="0"/>
                              <w:divBdr>
                                <w:top w:val="none" w:sz="0" w:space="0" w:color="auto"/>
                                <w:left w:val="none" w:sz="0" w:space="0" w:color="auto"/>
                                <w:bottom w:val="none" w:sz="0" w:space="0" w:color="auto"/>
                                <w:right w:val="none" w:sz="0" w:space="0" w:color="auto"/>
                              </w:divBdr>
                              <w:divsChild>
                                <w:div w:id="1586256217">
                                  <w:marLeft w:val="0"/>
                                  <w:marRight w:val="0"/>
                                  <w:marTop w:val="0"/>
                                  <w:marBottom w:val="0"/>
                                  <w:divBdr>
                                    <w:top w:val="none" w:sz="0" w:space="0" w:color="auto"/>
                                    <w:left w:val="none" w:sz="0" w:space="0" w:color="auto"/>
                                    <w:bottom w:val="none" w:sz="0" w:space="0" w:color="auto"/>
                                    <w:right w:val="none" w:sz="0" w:space="0" w:color="auto"/>
                                  </w:divBdr>
                                  <w:divsChild>
                                    <w:div w:id="229461150">
                                      <w:marLeft w:val="0"/>
                                      <w:marRight w:val="0"/>
                                      <w:marTop w:val="0"/>
                                      <w:marBottom w:val="0"/>
                                      <w:divBdr>
                                        <w:top w:val="none" w:sz="0" w:space="0" w:color="auto"/>
                                        <w:left w:val="none" w:sz="0" w:space="0" w:color="auto"/>
                                        <w:bottom w:val="none" w:sz="0" w:space="0" w:color="auto"/>
                                        <w:right w:val="none" w:sz="0" w:space="0" w:color="auto"/>
                                      </w:divBdr>
                                      <w:divsChild>
                                        <w:div w:id="1851792913">
                                          <w:marLeft w:val="0"/>
                                          <w:marRight w:val="0"/>
                                          <w:marTop w:val="0"/>
                                          <w:marBottom w:val="0"/>
                                          <w:divBdr>
                                            <w:top w:val="none" w:sz="0" w:space="0" w:color="auto"/>
                                            <w:left w:val="none" w:sz="0" w:space="0" w:color="auto"/>
                                            <w:bottom w:val="none" w:sz="0" w:space="0" w:color="auto"/>
                                            <w:right w:val="none" w:sz="0" w:space="0" w:color="auto"/>
                                          </w:divBdr>
                                          <w:divsChild>
                                            <w:div w:id="68656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735451">
      <w:bodyDiv w:val="1"/>
      <w:marLeft w:val="0"/>
      <w:marRight w:val="0"/>
      <w:marTop w:val="0"/>
      <w:marBottom w:val="0"/>
      <w:divBdr>
        <w:top w:val="none" w:sz="0" w:space="0" w:color="auto"/>
        <w:left w:val="none" w:sz="0" w:space="0" w:color="auto"/>
        <w:bottom w:val="none" w:sz="0" w:space="0" w:color="auto"/>
        <w:right w:val="none" w:sz="0" w:space="0" w:color="auto"/>
      </w:divBdr>
    </w:div>
    <w:div w:id="110978809">
      <w:bodyDiv w:val="1"/>
      <w:marLeft w:val="0"/>
      <w:marRight w:val="0"/>
      <w:marTop w:val="0"/>
      <w:marBottom w:val="0"/>
      <w:divBdr>
        <w:top w:val="none" w:sz="0" w:space="0" w:color="auto"/>
        <w:left w:val="none" w:sz="0" w:space="0" w:color="auto"/>
        <w:bottom w:val="none" w:sz="0" w:space="0" w:color="auto"/>
        <w:right w:val="none" w:sz="0" w:space="0" w:color="auto"/>
      </w:divBdr>
    </w:div>
    <w:div w:id="133330123">
      <w:bodyDiv w:val="1"/>
      <w:marLeft w:val="0"/>
      <w:marRight w:val="0"/>
      <w:marTop w:val="0"/>
      <w:marBottom w:val="0"/>
      <w:divBdr>
        <w:top w:val="none" w:sz="0" w:space="0" w:color="auto"/>
        <w:left w:val="none" w:sz="0" w:space="0" w:color="auto"/>
        <w:bottom w:val="none" w:sz="0" w:space="0" w:color="auto"/>
        <w:right w:val="none" w:sz="0" w:space="0" w:color="auto"/>
      </w:divBdr>
      <w:divsChild>
        <w:div w:id="585530871">
          <w:marLeft w:val="0"/>
          <w:marRight w:val="0"/>
          <w:marTop w:val="0"/>
          <w:marBottom w:val="0"/>
          <w:divBdr>
            <w:top w:val="none" w:sz="0" w:space="0" w:color="auto"/>
            <w:left w:val="none" w:sz="0" w:space="0" w:color="auto"/>
            <w:bottom w:val="none" w:sz="0" w:space="0" w:color="auto"/>
            <w:right w:val="none" w:sz="0" w:space="0" w:color="auto"/>
          </w:divBdr>
          <w:divsChild>
            <w:div w:id="959336414">
              <w:marLeft w:val="0"/>
              <w:marRight w:val="0"/>
              <w:marTop w:val="0"/>
              <w:marBottom w:val="0"/>
              <w:divBdr>
                <w:top w:val="none" w:sz="0" w:space="0" w:color="auto"/>
                <w:left w:val="none" w:sz="0" w:space="0" w:color="auto"/>
                <w:bottom w:val="none" w:sz="0" w:space="0" w:color="auto"/>
                <w:right w:val="none" w:sz="0" w:space="0" w:color="auto"/>
              </w:divBdr>
              <w:divsChild>
                <w:div w:id="1286501672">
                  <w:marLeft w:val="0"/>
                  <w:marRight w:val="0"/>
                  <w:marTop w:val="0"/>
                  <w:marBottom w:val="0"/>
                  <w:divBdr>
                    <w:top w:val="none" w:sz="0" w:space="0" w:color="auto"/>
                    <w:left w:val="none" w:sz="0" w:space="0" w:color="auto"/>
                    <w:bottom w:val="none" w:sz="0" w:space="0" w:color="auto"/>
                    <w:right w:val="none" w:sz="0" w:space="0" w:color="auto"/>
                  </w:divBdr>
                  <w:divsChild>
                    <w:div w:id="992635536">
                      <w:marLeft w:val="0"/>
                      <w:marRight w:val="0"/>
                      <w:marTop w:val="420"/>
                      <w:marBottom w:val="0"/>
                      <w:divBdr>
                        <w:top w:val="none" w:sz="0" w:space="0" w:color="auto"/>
                        <w:left w:val="none" w:sz="0" w:space="0" w:color="auto"/>
                        <w:bottom w:val="none" w:sz="0" w:space="0" w:color="auto"/>
                        <w:right w:val="none" w:sz="0" w:space="0" w:color="auto"/>
                      </w:divBdr>
                      <w:divsChild>
                        <w:div w:id="304702322">
                          <w:marLeft w:val="0"/>
                          <w:marRight w:val="0"/>
                          <w:marTop w:val="0"/>
                          <w:marBottom w:val="0"/>
                          <w:divBdr>
                            <w:top w:val="none" w:sz="0" w:space="0" w:color="auto"/>
                            <w:left w:val="none" w:sz="0" w:space="0" w:color="auto"/>
                            <w:bottom w:val="none" w:sz="0" w:space="0" w:color="auto"/>
                            <w:right w:val="none" w:sz="0" w:space="0" w:color="auto"/>
                          </w:divBdr>
                          <w:divsChild>
                            <w:div w:id="1869677605">
                              <w:marLeft w:val="0"/>
                              <w:marRight w:val="0"/>
                              <w:marTop w:val="0"/>
                              <w:marBottom w:val="0"/>
                              <w:divBdr>
                                <w:top w:val="none" w:sz="0" w:space="0" w:color="auto"/>
                                <w:left w:val="none" w:sz="0" w:space="0" w:color="auto"/>
                                <w:bottom w:val="none" w:sz="0" w:space="0" w:color="auto"/>
                                <w:right w:val="none" w:sz="0" w:space="0" w:color="auto"/>
                              </w:divBdr>
                              <w:divsChild>
                                <w:div w:id="1829011451">
                                  <w:marLeft w:val="0"/>
                                  <w:marRight w:val="0"/>
                                  <w:marTop w:val="0"/>
                                  <w:marBottom w:val="0"/>
                                  <w:divBdr>
                                    <w:top w:val="none" w:sz="0" w:space="0" w:color="auto"/>
                                    <w:left w:val="none" w:sz="0" w:space="0" w:color="auto"/>
                                    <w:bottom w:val="none" w:sz="0" w:space="0" w:color="auto"/>
                                    <w:right w:val="none" w:sz="0" w:space="0" w:color="auto"/>
                                  </w:divBdr>
                                  <w:divsChild>
                                    <w:div w:id="1793132304">
                                      <w:marLeft w:val="0"/>
                                      <w:marRight w:val="0"/>
                                      <w:marTop w:val="0"/>
                                      <w:marBottom w:val="0"/>
                                      <w:divBdr>
                                        <w:top w:val="none" w:sz="0" w:space="0" w:color="auto"/>
                                        <w:left w:val="none" w:sz="0" w:space="0" w:color="auto"/>
                                        <w:bottom w:val="none" w:sz="0" w:space="0" w:color="auto"/>
                                        <w:right w:val="none" w:sz="0" w:space="0" w:color="auto"/>
                                      </w:divBdr>
                                      <w:divsChild>
                                        <w:div w:id="721560224">
                                          <w:marLeft w:val="0"/>
                                          <w:marRight w:val="0"/>
                                          <w:marTop w:val="0"/>
                                          <w:marBottom w:val="0"/>
                                          <w:divBdr>
                                            <w:top w:val="none" w:sz="0" w:space="0" w:color="auto"/>
                                            <w:left w:val="none" w:sz="0" w:space="0" w:color="auto"/>
                                            <w:bottom w:val="none" w:sz="0" w:space="0" w:color="auto"/>
                                            <w:right w:val="none" w:sz="0" w:space="0" w:color="auto"/>
                                          </w:divBdr>
                                          <w:divsChild>
                                            <w:div w:id="23188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0433742">
      <w:bodyDiv w:val="1"/>
      <w:marLeft w:val="0"/>
      <w:marRight w:val="0"/>
      <w:marTop w:val="0"/>
      <w:marBottom w:val="0"/>
      <w:divBdr>
        <w:top w:val="none" w:sz="0" w:space="0" w:color="auto"/>
        <w:left w:val="none" w:sz="0" w:space="0" w:color="auto"/>
        <w:bottom w:val="none" w:sz="0" w:space="0" w:color="auto"/>
        <w:right w:val="none" w:sz="0" w:space="0" w:color="auto"/>
      </w:divBdr>
    </w:div>
    <w:div w:id="301811188">
      <w:bodyDiv w:val="1"/>
      <w:marLeft w:val="0"/>
      <w:marRight w:val="0"/>
      <w:marTop w:val="0"/>
      <w:marBottom w:val="0"/>
      <w:divBdr>
        <w:top w:val="none" w:sz="0" w:space="0" w:color="auto"/>
        <w:left w:val="none" w:sz="0" w:space="0" w:color="auto"/>
        <w:bottom w:val="none" w:sz="0" w:space="0" w:color="auto"/>
        <w:right w:val="none" w:sz="0" w:space="0" w:color="auto"/>
      </w:divBdr>
    </w:div>
    <w:div w:id="323624678">
      <w:bodyDiv w:val="1"/>
      <w:marLeft w:val="0"/>
      <w:marRight w:val="0"/>
      <w:marTop w:val="0"/>
      <w:marBottom w:val="0"/>
      <w:divBdr>
        <w:top w:val="none" w:sz="0" w:space="0" w:color="auto"/>
        <w:left w:val="none" w:sz="0" w:space="0" w:color="auto"/>
        <w:bottom w:val="none" w:sz="0" w:space="0" w:color="auto"/>
        <w:right w:val="none" w:sz="0" w:space="0" w:color="auto"/>
      </w:divBdr>
    </w:div>
    <w:div w:id="338431668">
      <w:bodyDiv w:val="1"/>
      <w:marLeft w:val="0"/>
      <w:marRight w:val="0"/>
      <w:marTop w:val="0"/>
      <w:marBottom w:val="0"/>
      <w:divBdr>
        <w:top w:val="none" w:sz="0" w:space="0" w:color="auto"/>
        <w:left w:val="none" w:sz="0" w:space="0" w:color="auto"/>
        <w:bottom w:val="none" w:sz="0" w:space="0" w:color="auto"/>
        <w:right w:val="none" w:sz="0" w:space="0" w:color="auto"/>
      </w:divBdr>
    </w:div>
    <w:div w:id="345592976">
      <w:bodyDiv w:val="1"/>
      <w:marLeft w:val="0"/>
      <w:marRight w:val="0"/>
      <w:marTop w:val="0"/>
      <w:marBottom w:val="0"/>
      <w:divBdr>
        <w:top w:val="none" w:sz="0" w:space="0" w:color="auto"/>
        <w:left w:val="none" w:sz="0" w:space="0" w:color="auto"/>
        <w:bottom w:val="none" w:sz="0" w:space="0" w:color="auto"/>
        <w:right w:val="none" w:sz="0" w:space="0" w:color="auto"/>
      </w:divBdr>
    </w:div>
    <w:div w:id="355928422">
      <w:bodyDiv w:val="1"/>
      <w:marLeft w:val="0"/>
      <w:marRight w:val="0"/>
      <w:marTop w:val="0"/>
      <w:marBottom w:val="0"/>
      <w:divBdr>
        <w:top w:val="none" w:sz="0" w:space="0" w:color="auto"/>
        <w:left w:val="none" w:sz="0" w:space="0" w:color="auto"/>
        <w:bottom w:val="none" w:sz="0" w:space="0" w:color="auto"/>
        <w:right w:val="none" w:sz="0" w:space="0" w:color="auto"/>
      </w:divBdr>
    </w:div>
    <w:div w:id="430398480">
      <w:bodyDiv w:val="1"/>
      <w:marLeft w:val="0"/>
      <w:marRight w:val="0"/>
      <w:marTop w:val="0"/>
      <w:marBottom w:val="0"/>
      <w:divBdr>
        <w:top w:val="none" w:sz="0" w:space="0" w:color="auto"/>
        <w:left w:val="none" w:sz="0" w:space="0" w:color="auto"/>
        <w:bottom w:val="none" w:sz="0" w:space="0" w:color="auto"/>
        <w:right w:val="none" w:sz="0" w:space="0" w:color="auto"/>
      </w:divBdr>
    </w:div>
    <w:div w:id="476537736">
      <w:bodyDiv w:val="1"/>
      <w:marLeft w:val="0"/>
      <w:marRight w:val="0"/>
      <w:marTop w:val="0"/>
      <w:marBottom w:val="0"/>
      <w:divBdr>
        <w:top w:val="none" w:sz="0" w:space="0" w:color="auto"/>
        <w:left w:val="none" w:sz="0" w:space="0" w:color="auto"/>
        <w:bottom w:val="none" w:sz="0" w:space="0" w:color="auto"/>
        <w:right w:val="none" w:sz="0" w:space="0" w:color="auto"/>
      </w:divBdr>
    </w:div>
    <w:div w:id="593436047">
      <w:bodyDiv w:val="1"/>
      <w:marLeft w:val="0"/>
      <w:marRight w:val="0"/>
      <w:marTop w:val="0"/>
      <w:marBottom w:val="0"/>
      <w:divBdr>
        <w:top w:val="none" w:sz="0" w:space="0" w:color="auto"/>
        <w:left w:val="none" w:sz="0" w:space="0" w:color="auto"/>
        <w:bottom w:val="none" w:sz="0" w:space="0" w:color="auto"/>
        <w:right w:val="none" w:sz="0" w:space="0" w:color="auto"/>
      </w:divBdr>
    </w:div>
    <w:div w:id="717508788">
      <w:bodyDiv w:val="1"/>
      <w:marLeft w:val="0"/>
      <w:marRight w:val="0"/>
      <w:marTop w:val="0"/>
      <w:marBottom w:val="0"/>
      <w:divBdr>
        <w:top w:val="none" w:sz="0" w:space="0" w:color="auto"/>
        <w:left w:val="none" w:sz="0" w:space="0" w:color="auto"/>
        <w:bottom w:val="none" w:sz="0" w:space="0" w:color="auto"/>
        <w:right w:val="none" w:sz="0" w:space="0" w:color="auto"/>
      </w:divBdr>
    </w:div>
    <w:div w:id="722867245">
      <w:bodyDiv w:val="1"/>
      <w:marLeft w:val="0"/>
      <w:marRight w:val="0"/>
      <w:marTop w:val="0"/>
      <w:marBottom w:val="0"/>
      <w:divBdr>
        <w:top w:val="none" w:sz="0" w:space="0" w:color="auto"/>
        <w:left w:val="none" w:sz="0" w:space="0" w:color="auto"/>
        <w:bottom w:val="none" w:sz="0" w:space="0" w:color="auto"/>
        <w:right w:val="none" w:sz="0" w:space="0" w:color="auto"/>
      </w:divBdr>
    </w:div>
    <w:div w:id="795100091">
      <w:bodyDiv w:val="1"/>
      <w:marLeft w:val="0"/>
      <w:marRight w:val="0"/>
      <w:marTop w:val="0"/>
      <w:marBottom w:val="0"/>
      <w:divBdr>
        <w:top w:val="none" w:sz="0" w:space="0" w:color="auto"/>
        <w:left w:val="none" w:sz="0" w:space="0" w:color="auto"/>
        <w:bottom w:val="none" w:sz="0" w:space="0" w:color="auto"/>
        <w:right w:val="none" w:sz="0" w:space="0" w:color="auto"/>
      </w:divBdr>
    </w:div>
    <w:div w:id="800264153">
      <w:bodyDiv w:val="1"/>
      <w:marLeft w:val="0"/>
      <w:marRight w:val="0"/>
      <w:marTop w:val="0"/>
      <w:marBottom w:val="0"/>
      <w:divBdr>
        <w:top w:val="none" w:sz="0" w:space="0" w:color="auto"/>
        <w:left w:val="none" w:sz="0" w:space="0" w:color="auto"/>
        <w:bottom w:val="none" w:sz="0" w:space="0" w:color="auto"/>
        <w:right w:val="none" w:sz="0" w:space="0" w:color="auto"/>
      </w:divBdr>
    </w:div>
    <w:div w:id="810101317">
      <w:bodyDiv w:val="1"/>
      <w:marLeft w:val="0"/>
      <w:marRight w:val="0"/>
      <w:marTop w:val="0"/>
      <w:marBottom w:val="0"/>
      <w:divBdr>
        <w:top w:val="none" w:sz="0" w:space="0" w:color="auto"/>
        <w:left w:val="none" w:sz="0" w:space="0" w:color="auto"/>
        <w:bottom w:val="none" w:sz="0" w:space="0" w:color="auto"/>
        <w:right w:val="none" w:sz="0" w:space="0" w:color="auto"/>
      </w:divBdr>
    </w:div>
    <w:div w:id="837883154">
      <w:bodyDiv w:val="1"/>
      <w:marLeft w:val="0"/>
      <w:marRight w:val="0"/>
      <w:marTop w:val="0"/>
      <w:marBottom w:val="0"/>
      <w:divBdr>
        <w:top w:val="none" w:sz="0" w:space="0" w:color="auto"/>
        <w:left w:val="none" w:sz="0" w:space="0" w:color="auto"/>
        <w:bottom w:val="none" w:sz="0" w:space="0" w:color="auto"/>
        <w:right w:val="none" w:sz="0" w:space="0" w:color="auto"/>
      </w:divBdr>
      <w:divsChild>
        <w:div w:id="1893347516">
          <w:marLeft w:val="0"/>
          <w:marRight w:val="0"/>
          <w:marTop w:val="0"/>
          <w:marBottom w:val="0"/>
          <w:divBdr>
            <w:top w:val="none" w:sz="0" w:space="0" w:color="auto"/>
            <w:left w:val="none" w:sz="0" w:space="0" w:color="auto"/>
            <w:bottom w:val="none" w:sz="0" w:space="0" w:color="auto"/>
            <w:right w:val="none" w:sz="0" w:space="0" w:color="auto"/>
          </w:divBdr>
          <w:divsChild>
            <w:div w:id="150607219">
              <w:marLeft w:val="0"/>
              <w:marRight w:val="0"/>
              <w:marTop w:val="0"/>
              <w:marBottom w:val="0"/>
              <w:divBdr>
                <w:top w:val="none" w:sz="0" w:space="0" w:color="auto"/>
                <w:left w:val="none" w:sz="0" w:space="0" w:color="auto"/>
                <w:bottom w:val="none" w:sz="0" w:space="0" w:color="auto"/>
                <w:right w:val="none" w:sz="0" w:space="0" w:color="auto"/>
              </w:divBdr>
              <w:divsChild>
                <w:div w:id="523789639">
                  <w:marLeft w:val="0"/>
                  <w:marRight w:val="0"/>
                  <w:marTop w:val="0"/>
                  <w:marBottom w:val="0"/>
                  <w:divBdr>
                    <w:top w:val="none" w:sz="0" w:space="0" w:color="auto"/>
                    <w:left w:val="none" w:sz="0" w:space="0" w:color="auto"/>
                    <w:bottom w:val="none" w:sz="0" w:space="0" w:color="auto"/>
                    <w:right w:val="none" w:sz="0" w:space="0" w:color="auto"/>
                  </w:divBdr>
                  <w:divsChild>
                    <w:div w:id="1007169680">
                      <w:marLeft w:val="0"/>
                      <w:marRight w:val="0"/>
                      <w:marTop w:val="420"/>
                      <w:marBottom w:val="0"/>
                      <w:divBdr>
                        <w:top w:val="none" w:sz="0" w:space="0" w:color="auto"/>
                        <w:left w:val="none" w:sz="0" w:space="0" w:color="auto"/>
                        <w:bottom w:val="none" w:sz="0" w:space="0" w:color="auto"/>
                        <w:right w:val="none" w:sz="0" w:space="0" w:color="auto"/>
                      </w:divBdr>
                      <w:divsChild>
                        <w:div w:id="1490562279">
                          <w:marLeft w:val="0"/>
                          <w:marRight w:val="0"/>
                          <w:marTop w:val="0"/>
                          <w:marBottom w:val="0"/>
                          <w:divBdr>
                            <w:top w:val="none" w:sz="0" w:space="0" w:color="auto"/>
                            <w:left w:val="none" w:sz="0" w:space="0" w:color="auto"/>
                            <w:bottom w:val="none" w:sz="0" w:space="0" w:color="auto"/>
                            <w:right w:val="none" w:sz="0" w:space="0" w:color="auto"/>
                          </w:divBdr>
                          <w:divsChild>
                            <w:div w:id="1242371673">
                              <w:marLeft w:val="0"/>
                              <w:marRight w:val="0"/>
                              <w:marTop w:val="0"/>
                              <w:marBottom w:val="0"/>
                              <w:divBdr>
                                <w:top w:val="none" w:sz="0" w:space="0" w:color="auto"/>
                                <w:left w:val="none" w:sz="0" w:space="0" w:color="auto"/>
                                <w:bottom w:val="none" w:sz="0" w:space="0" w:color="auto"/>
                                <w:right w:val="none" w:sz="0" w:space="0" w:color="auto"/>
                              </w:divBdr>
                              <w:divsChild>
                                <w:div w:id="1593199139">
                                  <w:marLeft w:val="0"/>
                                  <w:marRight w:val="0"/>
                                  <w:marTop w:val="0"/>
                                  <w:marBottom w:val="0"/>
                                  <w:divBdr>
                                    <w:top w:val="none" w:sz="0" w:space="0" w:color="auto"/>
                                    <w:left w:val="none" w:sz="0" w:space="0" w:color="auto"/>
                                    <w:bottom w:val="none" w:sz="0" w:space="0" w:color="auto"/>
                                    <w:right w:val="none" w:sz="0" w:space="0" w:color="auto"/>
                                  </w:divBdr>
                                  <w:divsChild>
                                    <w:div w:id="284511446">
                                      <w:marLeft w:val="0"/>
                                      <w:marRight w:val="0"/>
                                      <w:marTop w:val="0"/>
                                      <w:marBottom w:val="0"/>
                                      <w:divBdr>
                                        <w:top w:val="none" w:sz="0" w:space="0" w:color="auto"/>
                                        <w:left w:val="none" w:sz="0" w:space="0" w:color="auto"/>
                                        <w:bottom w:val="none" w:sz="0" w:space="0" w:color="auto"/>
                                        <w:right w:val="none" w:sz="0" w:space="0" w:color="auto"/>
                                      </w:divBdr>
                                      <w:divsChild>
                                        <w:div w:id="240337351">
                                          <w:marLeft w:val="0"/>
                                          <w:marRight w:val="0"/>
                                          <w:marTop w:val="0"/>
                                          <w:marBottom w:val="0"/>
                                          <w:divBdr>
                                            <w:top w:val="none" w:sz="0" w:space="0" w:color="auto"/>
                                            <w:left w:val="none" w:sz="0" w:space="0" w:color="auto"/>
                                            <w:bottom w:val="none" w:sz="0" w:space="0" w:color="auto"/>
                                            <w:right w:val="none" w:sz="0" w:space="0" w:color="auto"/>
                                          </w:divBdr>
                                          <w:divsChild>
                                            <w:div w:id="96030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9758085">
      <w:bodyDiv w:val="1"/>
      <w:marLeft w:val="0"/>
      <w:marRight w:val="0"/>
      <w:marTop w:val="0"/>
      <w:marBottom w:val="0"/>
      <w:divBdr>
        <w:top w:val="none" w:sz="0" w:space="0" w:color="auto"/>
        <w:left w:val="none" w:sz="0" w:space="0" w:color="auto"/>
        <w:bottom w:val="none" w:sz="0" w:space="0" w:color="auto"/>
        <w:right w:val="none" w:sz="0" w:space="0" w:color="auto"/>
      </w:divBdr>
    </w:div>
    <w:div w:id="890001572">
      <w:bodyDiv w:val="1"/>
      <w:marLeft w:val="0"/>
      <w:marRight w:val="0"/>
      <w:marTop w:val="0"/>
      <w:marBottom w:val="0"/>
      <w:divBdr>
        <w:top w:val="none" w:sz="0" w:space="0" w:color="auto"/>
        <w:left w:val="none" w:sz="0" w:space="0" w:color="auto"/>
        <w:bottom w:val="none" w:sz="0" w:space="0" w:color="auto"/>
        <w:right w:val="none" w:sz="0" w:space="0" w:color="auto"/>
      </w:divBdr>
    </w:div>
    <w:div w:id="909079246">
      <w:bodyDiv w:val="1"/>
      <w:marLeft w:val="0"/>
      <w:marRight w:val="0"/>
      <w:marTop w:val="0"/>
      <w:marBottom w:val="0"/>
      <w:divBdr>
        <w:top w:val="none" w:sz="0" w:space="0" w:color="auto"/>
        <w:left w:val="none" w:sz="0" w:space="0" w:color="auto"/>
        <w:bottom w:val="none" w:sz="0" w:space="0" w:color="auto"/>
        <w:right w:val="none" w:sz="0" w:space="0" w:color="auto"/>
      </w:divBdr>
    </w:div>
    <w:div w:id="962082457">
      <w:bodyDiv w:val="1"/>
      <w:marLeft w:val="0"/>
      <w:marRight w:val="0"/>
      <w:marTop w:val="0"/>
      <w:marBottom w:val="0"/>
      <w:divBdr>
        <w:top w:val="none" w:sz="0" w:space="0" w:color="auto"/>
        <w:left w:val="none" w:sz="0" w:space="0" w:color="auto"/>
        <w:bottom w:val="none" w:sz="0" w:space="0" w:color="auto"/>
        <w:right w:val="none" w:sz="0" w:space="0" w:color="auto"/>
      </w:divBdr>
    </w:div>
    <w:div w:id="984355122">
      <w:bodyDiv w:val="1"/>
      <w:marLeft w:val="0"/>
      <w:marRight w:val="0"/>
      <w:marTop w:val="0"/>
      <w:marBottom w:val="0"/>
      <w:divBdr>
        <w:top w:val="none" w:sz="0" w:space="0" w:color="auto"/>
        <w:left w:val="none" w:sz="0" w:space="0" w:color="auto"/>
        <w:bottom w:val="none" w:sz="0" w:space="0" w:color="auto"/>
        <w:right w:val="none" w:sz="0" w:space="0" w:color="auto"/>
      </w:divBdr>
    </w:div>
    <w:div w:id="1047027833">
      <w:bodyDiv w:val="1"/>
      <w:marLeft w:val="0"/>
      <w:marRight w:val="0"/>
      <w:marTop w:val="0"/>
      <w:marBottom w:val="0"/>
      <w:divBdr>
        <w:top w:val="none" w:sz="0" w:space="0" w:color="auto"/>
        <w:left w:val="none" w:sz="0" w:space="0" w:color="auto"/>
        <w:bottom w:val="none" w:sz="0" w:space="0" w:color="auto"/>
        <w:right w:val="none" w:sz="0" w:space="0" w:color="auto"/>
      </w:divBdr>
    </w:div>
    <w:div w:id="1091507356">
      <w:bodyDiv w:val="1"/>
      <w:marLeft w:val="0"/>
      <w:marRight w:val="0"/>
      <w:marTop w:val="0"/>
      <w:marBottom w:val="0"/>
      <w:divBdr>
        <w:top w:val="none" w:sz="0" w:space="0" w:color="auto"/>
        <w:left w:val="none" w:sz="0" w:space="0" w:color="auto"/>
        <w:bottom w:val="none" w:sz="0" w:space="0" w:color="auto"/>
        <w:right w:val="none" w:sz="0" w:space="0" w:color="auto"/>
      </w:divBdr>
    </w:div>
    <w:div w:id="1095587654">
      <w:bodyDiv w:val="1"/>
      <w:marLeft w:val="0"/>
      <w:marRight w:val="0"/>
      <w:marTop w:val="0"/>
      <w:marBottom w:val="0"/>
      <w:divBdr>
        <w:top w:val="none" w:sz="0" w:space="0" w:color="auto"/>
        <w:left w:val="none" w:sz="0" w:space="0" w:color="auto"/>
        <w:bottom w:val="none" w:sz="0" w:space="0" w:color="auto"/>
        <w:right w:val="none" w:sz="0" w:space="0" w:color="auto"/>
      </w:divBdr>
    </w:div>
    <w:div w:id="1106080539">
      <w:bodyDiv w:val="1"/>
      <w:marLeft w:val="0"/>
      <w:marRight w:val="0"/>
      <w:marTop w:val="0"/>
      <w:marBottom w:val="0"/>
      <w:divBdr>
        <w:top w:val="none" w:sz="0" w:space="0" w:color="auto"/>
        <w:left w:val="none" w:sz="0" w:space="0" w:color="auto"/>
        <w:bottom w:val="none" w:sz="0" w:space="0" w:color="auto"/>
        <w:right w:val="none" w:sz="0" w:space="0" w:color="auto"/>
      </w:divBdr>
    </w:div>
    <w:div w:id="1200237921">
      <w:bodyDiv w:val="1"/>
      <w:marLeft w:val="0"/>
      <w:marRight w:val="0"/>
      <w:marTop w:val="0"/>
      <w:marBottom w:val="0"/>
      <w:divBdr>
        <w:top w:val="none" w:sz="0" w:space="0" w:color="auto"/>
        <w:left w:val="none" w:sz="0" w:space="0" w:color="auto"/>
        <w:bottom w:val="none" w:sz="0" w:space="0" w:color="auto"/>
        <w:right w:val="none" w:sz="0" w:space="0" w:color="auto"/>
      </w:divBdr>
    </w:div>
    <w:div w:id="1223560617">
      <w:bodyDiv w:val="1"/>
      <w:marLeft w:val="0"/>
      <w:marRight w:val="0"/>
      <w:marTop w:val="0"/>
      <w:marBottom w:val="0"/>
      <w:divBdr>
        <w:top w:val="none" w:sz="0" w:space="0" w:color="auto"/>
        <w:left w:val="none" w:sz="0" w:space="0" w:color="auto"/>
        <w:bottom w:val="none" w:sz="0" w:space="0" w:color="auto"/>
        <w:right w:val="none" w:sz="0" w:space="0" w:color="auto"/>
      </w:divBdr>
    </w:div>
    <w:div w:id="1228489979">
      <w:bodyDiv w:val="1"/>
      <w:marLeft w:val="0"/>
      <w:marRight w:val="0"/>
      <w:marTop w:val="0"/>
      <w:marBottom w:val="0"/>
      <w:divBdr>
        <w:top w:val="none" w:sz="0" w:space="0" w:color="auto"/>
        <w:left w:val="none" w:sz="0" w:space="0" w:color="auto"/>
        <w:bottom w:val="none" w:sz="0" w:space="0" w:color="auto"/>
        <w:right w:val="none" w:sz="0" w:space="0" w:color="auto"/>
      </w:divBdr>
    </w:div>
    <w:div w:id="1263762462">
      <w:bodyDiv w:val="1"/>
      <w:marLeft w:val="0"/>
      <w:marRight w:val="0"/>
      <w:marTop w:val="0"/>
      <w:marBottom w:val="0"/>
      <w:divBdr>
        <w:top w:val="none" w:sz="0" w:space="0" w:color="auto"/>
        <w:left w:val="none" w:sz="0" w:space="0" w:color="auto"/>
        <w:bottom w:val="none" w:sz="0" w:space="0" w:color="auto"/>
        <w:right w:val="none" w:sz="0" w:space="0" w:color="auto"/>
      </w:divBdr>
    </w:div>
    <w:div w:id="1306466946">
      <w:bodyDiv w:val="1"/>
      <w:marLeft w:val="0"/>
      <w:marRight w:val="0"/>
      <w:marTop w:val="0"/>
      <w:marBottom w:val="0"/>
      <w:divBdr>
        <w:top w:val="none" w:sz="0" w:space="0" w:color="auto"/>
        <w:left w:val="none" w:sz="0" w:space="0" w:color="auto"/>
        <w:bottom w:val="none" w:sz="0" w:space="0" w:color="auto"/>
        <w:right w:val="none" w:sz="0" w:space="0" w:color="auto"/>
      </w:divBdr>
    </w:div>
    <w:div w:id="1307856182">
      <w:bodyDiv w:val="1"/>
      <w:marLeft w:val="0"/>
      <w:marRight w:val="0"/>
      <w:marTop w:val="0"/>
      <w:marBottom w:val="0"/>
      <w:divBdr>
        <w:top w:val="none" w:sz="0" w:space="0" w:color="auto"/>
        <w:left w:val="none" w:sz="0" w:space="0" w:color="auto"/>
        <w:bottom w:val="none" w:sz="0" w:space="0" w:color="auto"/>
        <w:right w:val="none" w:sz="0" w:space="0" w:color="auto"/>
      </w:divBdr>
      <w:divsChild>
        <w:div w:id="5254073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7513808">
      <w:bodyDiv w:val="1"/>
      <w:marLeft w:val="0"/>
      <w:marRight w:val="0"/>
      <w:marTop w:val="0"/>
      <w:marBottom w:val="0"/>
      <w:divBdr>
        <w:top w:val="none" w:sz="0" w:space="0" w:color="auto"/>
        <w:left w:val="none" w:sz="0" w:space="0" w:color="auto"/>
        <w:bottom w:val="none" w:sz="0" w:space="0" w:color="auto"/>
        <w:right w:val="none" w:sz="0" w:space="0" w:color="auto"/>
      </w:divBdr>
      <w:divsChild>
        <w:div w:id="106119074">
          <w:marLeft w:val="547"/>
          <w:marRight w:val="0"/>
          <w:marTop w:val="96"/>
          <w:marBottom w:val="0"/>
          <w:divBdr>
            <w:top w:val="none" w:sz="0" w:space="0" w:color="auto"/>
            <w:left w:val="none" w:sz="0" w:space="0" w:color="auto"/>
            <w:bottom w:val="none" w:sz="0" w:space="0" w:color="auto"/>
            <w:right w:val="none" w:sz="0" w:space="0" w:color="auto"/>
          </w:divBdr>
        </w:div>
      </w:divsChild>
    </w:div>
    <w:div w:id="1456605729">
      <w:bodyDiv w:val="1"/>
      <w:marLeft w:val="0"/>
      <w:marRight w:val="0"/>
      <w:marTop w:val="0"/>
      <w:marBottom w:val="0"/>
      <w:divBdr>
        <w:top w:val="none" w:sz="0" w:space="0" w:color="auto"/>
        <w:left w:val="none" w:sz="0" w:space="0" w:color="auto"/>
        <w:bottom w:val="none" w:sz="0" w:space="0" w:color="auto"/>
        <w:right w:val="none" w:sz="0" w:space="0" w:color="auto"/>
      </w:divBdr>
    </w:div>
    <w:div w:id="1503470535">
      <w:bodyDiv w:val="1"/>
      <w:marLeft w:val="0"/>
      <w:marRight w:val="0"/>
      <w:marTop w:val="0"/>
      <w:marBottom w:val="0"/>
      <w:divBdr>
        <w:top w:val="none" w:sz="0" w:space="0" w:color="auto"/>
        <w:left w:val="none" w:sz="0" w:space="0" w:color="auto"/>
        <w:bottom w:val="none" w:sz="0" w:space="0" w:color="auto"/>
        <w:right w:val="none" w:sz="0" w:space="0" w:color="auto"/>
      </w:divBdr>
    </w:div>
    <w:div w:id="1535071024">
      <w:bodyDiv w:val="1"/>
      <w:marLeft w:val="0"/>
      <w:marRight w:val="0"/>
      <w:marTop w:val="0"/>
      <w:marBottom w:val="0"/>
      <w:divBdr>
        <w:top w:val="none" w:sz="0" w:space="0" w:color="auto"/>
        <w:left w:val="none" w:sz="0" w:space="0" w:color="auto"/>
        <w:bottom w:val="none" w:sz="0" w:space="0" w:color="auto"/>
        <w:right w:val="none" w:sz="0" w:space="0" w:color="auto"/>
      </w:divBdr>
    </w:div>
    <w:div w:id="1544098076">
      <w:bodyDiv w:val="1"/>
      <w:marLeft w:val="0"/>
      <w:marRight w:val="0"/>
      <w:marTop w:val="0"/>
      <w:marBottom w:val="0"/>
      <w:divBdr>
        <w:top w:val="none" w:sz="0" w:space="0" w:color="auto"/>
        <w:left w:val="none" w:sz="0" w:space="0" w:color="auto"/>
        <w:bottom w:val="none" w:sz="0" w:space="0" w:color="auto"/>
        <w:right w:val="none" w:sz="0" w:space="0" w:color="auto"/>
      </w:divBdr>
    </w:div>
    <w:div w:id="1578782510">
      <w:bodyDiv w:val="1"/>
      <w:marLeft w:val="0"/>
      <w:marRight w:val="0"/>
      <w:marTop w:val="0"/>
      <w:marBottom w:val="0"/>
      <w:divBdr>
        <w:top w:val="none" w:sz="0" w:space="0" w:color="auto"/>
        <w:left w:val="none" w:sz="0" w:space="0" w:color="auto"/>
        <w:bottom w:val="none" w:sz="0" w:space="0" w:color="auto"/>
        <w:right w:val="none" w:sz="0" w:space="0" w:color="auto"/>
      </w:divBdr>
    </w:div>
    <w:div w:id="1579680167">
      <w:bodyDiv w:val="1"/>
      <w:marLeft w:val="0"/>
      <w:marRight w:val="0"/>
      <w:marTop w:val="0"/>
      <w:marBottom w:val="0"/>
      <w:divBdr>
        <w:top w:val="none" w:sz="0" w:space="0" w:color="auto"/>
        <w:left w:val="none" w:sz="0" w:space="0" w:color="auto"/>
        <w:bottom w:val="none" w:sz="0" w:space="0" w:color="auto"/>
        <w:right w:val="none" w:sz="0" w:space="0" w:color="auto"/>
      </w:divBdr>
    </w:div>
    <w:div w:id="1721972741">
      <w:bodyDiv w:val="1"/>
      <w:marLeft w:val="0"/>
      <w:marRight w:val="0"/>
      <w:marTop w:val="0"/>
      <w:marBottom w:val="0"/>
      <w:divBdr>
        <w:top w:val="none" w:sz="0" w:space="0" w:color="auto"/>
        <w:left w:val="none" w:sz="0" w:space="0" w:color="auto"/>
        <w:bottom w:val="none" w:sz="0" w:space="0" w:color="auto"/>
        <w:right w:val="none" w:sz="0" w:space="0" w:color="auto"/>
      </w:divBdr>
    </w:div>
    <w:div w:id="1729723512">
      <w:bodyDiv w:val="1"/>
      <w:marLeft w:val="0"/>
      <w:marRight w:val="0"/>
      <w:marTop w:val="0"/>
      <w:marBottom w:val="0"/>
      <w:divBdr>
        <w:top w:val="none" w:sz="0" w:space="0" w:color="auto"/>
        <w:left w:val="none" w:sz="0" w:space="0" w:color="auto"/>
        <w:bottom w:val="none" w:sz="0" w:space="0" w:color="auto"/>
        <w:right w:val="none" w:sz="0" w:space="0" w:color="auto"/>
      </w:divBdr>
    </w:div>
    <w:div w:id="1764761795">
      <w:bodyDiv w:val="1"/>
      <w:marLeft w:val="0"/>
      <w:marRight w:val="0"/>
      <w:marTop w:val="0"/>
      <w:marBottom w:val="0"/>
      <w:divBdr>
        <w:top w:val="none" w:sz="0" w:space="0" w:color="auto"/>
        <w:left w:val="none" w:sz="0" w:space="0" w:color="auto"/>
        <w:bottom w:val="none" w:sz="0" w:space="0" w:color="auto"/>
        <w:right w:val="none" w:sz="0" w:space="0" w:color="auto"/>
      </w:divBdr>
      <w:divsChild>
        <w:div w:id="1545366141">
          <w:marLeft w:val="0"/>
          <w:marRight w:val="0"/>
          <w:marTop w:val="0"/>
          <w:marBottom w:val="0"/>
          <w:divBdr>
            <w:top w:val="none" w:sz="0" w:space="0" w:color="auto"/>
            <w:left w:val="none" w:sz="0" w:space="0" w:color="auto"/>
            <w:bottom w:val="none" w:sz="0" w:space="0" w:color="auto"/>
            <w:right w:val="none" w:sz="0" w:space="0" w:color="auto"/>
          </w:divBdr>
          <w:divsChild>
            <w:div w:id="786041752">
              <w:marLeft w:val="0"/>
              <w:marRight w:val="0"/>
              <w:marTop w:val="0"/>
              <w:marBottom w:val="0"/>
              <w:divBdr>
                <w:top w:val="none" w:sz="0" w:space="0" w:color="auto"/>
                <w:left w:val="none" w:sz="0" w:space="0" w:color="auto"/>
                <w:bottom w:val="none" w:sz="0" w:space="0" w:color="auto"/>
                <w:right w:val="none" w:sz="0" w:space="0" w:color="auto"/>
              </w:divBdr>
              <w:divsChild>
                <w:div w:id="1935630908">
                  <w:marLeft w:val="0"/>
                  <w:marRight w:val="0"/>
                  <w:marTop w:val="0"/>
                  <w:marBottom w:val="0"/>
                  <w:divBdr>
                    <w:top w:val="none" w:sz="0" w:space="0" w:color="auto"/>
                    <w:left w:val="none" w:sz="0" w:space="0" w:color="auto"/>
                    <w:bottom w:val="none" w:sz="0" w:space="0" w:color="auto"/>
                    <w:right w:val="none" w:sz="0" w:space="0" w:color="auto"/>
                  </w:divBdr>
                  <w:divsChild>
                    <w:div w:id="188875983">
                      <w:marLeft w:val="0"/>
                      <w:marRight w:val="0"/>
                      <w:marTop w:val="420"/>
                      <w:marBottom w:val="0"/>
                      <w:divBdr>
                        <w:top w:val="none" w:sz="0" w:space="0" w:color="auto"/>
                        <w:left w:val="none" w:sz="0" w:space="0" w:color="auto"/>
                        <w:bottom w:val="none" w:sz="0" w:space="0" w:color="auto"/>
                        <w:right w:val="none" w:sz="0" w:space="0" w:color="auto"/>
                      </w:divBdr>
                      <w:divsChild>
                        <w:div w:id="604730737">
                          <w:marLeft w:val="0"/>
                          <w:marRight w:val="0"/>
                          <w:marTop w:val="0"/>
                          <w:marBottom w:val="0"/>
                          <w:divBdr>
                            <w:top w:val="none" w:sz="0" w:space="0" w:color="auto"/>
                            <w:left w:val="none" w:sz="0" w:space="0" w:color="auto"/>
                            <w:bottom w:val="none" w:sz="0" w:space="0" w:color="auto"/>
                            <w:right w:val="none" w:sz="0" w:space="0" w:color="auto"/>
                          </w:divBdr>
                          <w:divsChild>
                            <w:div w:id="362097598">
                              <w:marLeft w:val="0"/>
                              <w:marRight w:val="0"/>
                              <w:marTop w:val="0"/>
                              <w:marBottom w:val="0"/>
                              <w:divBdr>
                                <w:top w:val="none" w:sz="0" w:space="0" w:color="auto"/>
                                <w:left w:val="none" w:sz="0" w:space="0" w:color="auto"/>
                                <w:bottom w:val="none" w:sz="0" w:space="0" w:color="auto"/>
                                <w:right w:val="none" w:sz="0" w:space="0" w:color="auto"/>
                              </w:divBdr>
                              <w:divsChild>
                                <w:div w:id="2075394062">
                                  <w:marLeft w:val="0"/>
                                  <w:marRight w:val="0"/>
                                  <w:marTop w:val="0"/>
                                  <w:marBottom w:val="0"/>
                                  <w:divBdr>
                                    <w:top w:val="none" w:sz="0" w:space="0" w:color="auto"/>
                                    <w:left w:val="none" w:sz="0" w:space="0" w:color="auto"/>
                                    <w:bottom w:val="none" w:sz="0" w:space="0" w:color="auto"/>
                                    <w:right w:val="none" w:sz="0" w:space="0" w:color="auto"/>
                                  </w:divBdr>
                                  <w:divsChild>
                                    <w:div w:id="1045375092">
                                      <w:marLeft w:val="0"/>
                                      <w:marRight w:val="0"/>
                                      <w:marTop w:val="0"/>
                                      <w:marBottom w:val="0"/>
                                      <w:divBdr>
                                        <w:top w:val="none" w:sz="0" w:space="0" w:color="auto"/>
                                        <w:left w:val="none" w:sz="0" w:space="0" w:color="auto"/>
                                        <w:bottom w:val="none" w:sz="0" w:space="0" w:color="auto"/>
                                        <w:right w:val="none" w:sz="0" w:space="0" w:color="auto"/>
                                      </w:divBdr>
                                      <w:divsChild>
                                        <w:div w:id="1026634714">
                                          <w:marLeft w:val="0"/>
                                          <w:marRight w:val="0"/>
                                          <w:marTop w:val="0"/>
                                          <w:marBottom w:val="0"/>
                                          <w:divBdr>
                                            <w:top w:val="none" w:sz="0" w:space="0" w:color="auto"/>
                                            <w:left w:val="none" w:sz="0" w:space="0" w:color="auto"/>
                                            <w:bottom w:val="none" w:sz="0" w:space="0" w:color="auto"/>
                                            <w:right w:val="none" w:sz="0" w:space="0" w:color="auto"/>
                                          </w:divBdr>
                                          <w:divsChild>
                                            <w:div w:id="155708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2142490">
      <w:bodyDiv w:val="1"/>
      <w:marLeft w:val="0"/>
      <w:marRight w:val="0"/>
      <w:marTop w:val="0"/>
      <w:marBottom w:val="0"/>
      <w:divBdr>
        <w:top w:val="none" w:sz="0" w:space="0" w:color="auto"/>
        <w:left w:val="none" w:sz="0" w:space="0" w:color="auto"/>
        <w:bottom w:val="none" w:sz="0" w:space="0" w:color="auto"/>
        <w:right w:val="none" w:sz="0" w:space="0" w:color="auto"/>
      </w:divBdr>
      <w:divsChild>
        <w:div w:id="1719278607">
          <w:marLeft w:val="0"/>
          <w:marRight w:val="0"/>
          <w:marTop w:val="0"/>
          <w:marBottom w:val="0"/>
          <w:divBdr>
            <w:top w:val="none" w:sz="0" w:space="0" w:color="auto"/>
            <w:left w:val="none" w:sz="0" w:space="0" w:color="auto"/>
            <w:bottom w:val="none" w:sz="0" w:space="0" w:color="auto"/>
            <w:right w:val="none" w:sz="0" w:space="0" w:color="auto"/>
          </w:divBdr>
          <w:divsChild>
            <w:div w:id="1883208922">
              <w:marLeft w:val="0"/>
              <w:marRight w:val="0"/>
              <w:marTop w:val="0"/>
              <w:marBottom w:val="0"/>
              <w:divBdr>
                <w:top w:val="none" w:sz="0" w:space="0" w:color="auto"/>
                <w:left w:val="none" w:sz="0" w:space="0" w:color="auto"/>
                <w:bottom w:val="none" w:sz="0" w:space="0" w:color="auto"/>
                <w:right w:val="none" w:sz="0" w:space="0" w:color="auto"/>
              </w:divBdr>
              <w:divsChild>
                <w:div w:id="2021816234">
                  <w:marLeft w:val="0"/>
                  <w:marRight w:val="0"/>
                  <w:marTop w:val="0"/>
                  <w:marBottom w:val="0"/>
                  <w:divBdr>
                    <w:top w:val="none" w:sz="0" w:space="0" w:color="auto"/>
                    <w:left w:val="none" w:sz="0" w:space="0" w:color="auto"/>
                    <w:bottom w:val="none" w:sz="0" w:space="0" w:color="auto"/>
                    <w:right w:val="none" w:sz="0" w:space="0" w:color="auto"/>
                  </w:divBdr>
                  <w:divsChild>
                    <w:div w:id="518854527">
                      <w:marLeft w:val="0"/>
                      <w:marRight w:val="0"/>
                      <w:marTop w:val="420"/>
                      <w:marBottom w:val="0"/>
                      <w:divBdr>
                        <w:top w:val="none" w:sz="0" w:space="0" w:color="auto"/>
                        <w:left w:val="none" w:sz="0" w:space="0" w:color="auto"/>
                        <w:bottom w:val="none" w:sz="0" w:space="0" w:color="auto"/>
                        <w:right w:val="none" w:sz="0" w:space="0" w:color="auto"/>
                      </w:divBdr>
                      <w:divsChild>
                        <w:div w:id="1405878600">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sChild>
                                <w:div w:id="357124608">
                                  <w:marLeft w:val="0"/>
                                  <w:marRight w:val="0"/>
                                  <w:marTop w:val="0"/>
                                  <w:marBottom w:val="0"/>
                                  <w:divBdr>
                                    <w:top w:val="none" w:sz="0" w:space="0" w:color="auto"/>
                                    <w:left w:val="none" w:sz="0" w:space="0" w:color="auto"/>
                                    <w:bottom w:val="none" w:sz="0" w:space="0" w:color="auto"/>
                                    <w:right w:val="none" w:sz="0" w:space="0" w:color="auto"/>
                                  </w:divBdr>
                                  <w:divsChild>
                                    <w:div w:id="616135382">
                                      <w:marLeft w:val="0"/>
                                      <w:marRight w:val="0"/>
                                      <w:marTop w:val="0"/>
                                      <w:marBottom w:val="0"/>
                                      <w:divBdr>
                                        <w:top w:val="none" w:sz="0" w:space="0" w:color="auto"/>
                                        <w:left w:val="none" w:sz="0" w:space="0" w:color="auto"/>
                                        <w:bottom w:val="none" w:sz="0" w:space="0" w:color="auto"/>
                                        <w:right w:val="none" w:sz="0" w:space="0" w:color="auto"/>
                                      </w:divBdr>
                                      <w:divsChild>
                                        <w:div w:id="1718119879">
                                          <w:marLeft w:val="0"/>
                                          <w:marRight w:val="0"/>
                                          <w:marTop w:val="0"/>
                                          <w:marBottom w:val="0"/>
                                          <w:divBdr>
                                            <w:top w:val="none" w:sz="0" w:space="0" w:color="auto"/>
                                            <w:left w:val="none" w:sz="0" w:space="0" w:color="auto"/>
                                            <w:bottom w:val="none" w:sz="0" w:space="0" w:color="auto"/>
                                            <w:right w:val="none" w:sz="0" w:space="0" w:color="auto"/>
                                          </w:divBdr>
                                          <w:divsChild>
                                            <w:div w:id="57647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4541257">
      <w:bodyDiv w:val="1"/>
      <w:marLeft w:val="0"/>
      <w:marRight w:val="0"/>
      <w:marTop w:val="0"/>
      <w:marBottom w:val="0"/>
      <w:divBdr>
        <w:top w:val="none" w:sz="0" w:space="0" w:color="auto"/>
        <w:left w:val="none" w:sz="0" w:space="0" w:color="auto"/>
        <w:bottom w:val="none" w:sz="0" w:space="0" w:color="auto"/>
        <w:right w:val="none" w:sz="0" w:space="0" w:color="auto"/>
      </w:divBdr>
    </w:div>
    <w:div w:id="1939946444">
      <w:bodyDiv w:val="1"/>
      <w:marLeft w:val="0"/>
      <w:marRight w:val="0"/>
      <w:marTop w:val="0"/>
      <w:marBottom w:val="0"/>
      <w:divBdr>
        <w:top w:val="none" w:sz="0" w:space="0" w:color="auto"/>
        <w:left w:val="none" w:sz="0" w:space="0" w:color="auto"/>
        <w:bottom w:val="none" w:sz="0" w:space="0" w:color="auto"/>
        <w:right w:val="none" w:sz="0" w:space="0" w:color="auto"/>
      </w:divBdr>
    </w:div>
    <w:div w:id="1965572608">
      <w:bodyDiv w:val="1"/>
      <w:marLeft w:val="0"/>
      <w:marRight w:val="0"/>
      <w:marTop w:val="0"/>
      <w:marBottom w:val="0"/>
      <w:divBdr>
        <w:top w:val="none" w:sz="0" w:space="0" w:color="auto"/>
        <w:left w:val="none" w:sz="0" w:space="0" w:color="auto"/>
        <w:bottom w:val="none" w:sz="0" w:space="0" w:color="auto"/>
        <w:right w:val="none" w:sz="0" w:space="0" w:color="auto"/>
      </w:divBdr>
      <w:divsChild>
        <w:div w:id="552039855">
          <w:marLeft w:val="547"/>
          <w:marRight w:val="0"/>
          <w:marTop w:val="0"/>
          <w:marBottom w:val="0"/>
          <w:divBdr>
            <w:top w:val="none" w:sz="0" w:space="0" w:color="auto"/>
            <w:left w:val="none" w:sz="0" w:space="0" w:color="auto"/>
            <w:bottom w:val="none" w:sz="0" w:space="0" w:color="auto"/>
            <w:right w:val="none" w:sz="0" w:space="0" w:color="auto"/>
          </w:divBdr>
        </w:div>
      </w:divsChild>
    </w:div>
    <w:div w:id="2023898830">
      <w:bodyDiv w:val="1"/>
      <w:marLeft w:val="0"/>
      <w:marRight w:val="0"/>
      <w:marTop w:val="0"/>
      <w:marBottom w:val="0"/>
      <w:divBdr>
        <w:top w:val="none" w:sz="0" w:space="0" w:color="auto"/>
        <w:left w:val="none" w:sz="0" w:space="0" w:color="auto"/>
        <w:bottom w:val="none" w:sz="0" w:space="0" w:color="auto"/>
        <w:right w:val="none" w:sz="0" w:space="0" w:color="auto"/>
      </w:divBdr>
      <w:divsChild>
        <w:div w:id="509563639">
          <w:marLeft w:val="0"/>
          <w:marRight w:val="0"/>
          <w:marTop w:val="0"/>
          <w:marBottom w:val="0"/>
          <w:divBdr>
            <w:top w:val="none" w:sz="0" w:space="0" w:color="auto"/>
            <w:left w:val="none" w:sz="0" w:space="0" w:color="auto"/>
            <w:bottom w:val="none" w:sz="0" w:space="0" w:color="auto"/>
            <w:right w:val="none" w:sz="0" w:space="0" w:color="auto"/>
          </w:divBdr>
          <w:divsChild>
            <w:div w:id="1836991347">
              <w:marLeft w:val="0"/>
              <w:marRight w:val="0"/>
              <w:marTop w:val="0"/>
              <w:marBottom w:val="0"/>
              <w:divBdr>
                <w:top w:val="none" w:sz="0" w:space="0" w:color="auto"/>
                <w:left w:val="none" w:sz="0" w:space="0" w:color="auto"/>
                <w:bottom w:val="none" w:sz="0" w:space="0" w:color="auto"/>
                <w:right w:val="none" w:sz="0" w:space="0" w:color="auto"/>
              </w:divBdr>
              <w:divsChild>
                <w:div w:id="2104300868">
                  <w:marLeft w:val="0"/>
                  <w:marRight w:val="0"/>
                  <w:marTop w:val="0"/>
                  <w:marBottom w:val="0"/>
                  <w:divBdr>
                    <w:top w:val="none" w:sz="0" w:space="0" w:color="auto"/>
                    <w:left w:val="none" w:sz="0" w:space="0" w:color="auto"/>
                    <w:bottom w:val="none" w:sz="0" w:space="0" w:color="auto"/>
                    <w:right w:val="none" w:sz="0" w:space="0" w:color="auto"/>
                  </w:divBdr>
                  <w:divsChild>
                    <w:div w:id="332685756">
                      <w:marLeft w:val="0"/>
                      <w:marRight w:val="0"/>
                      <w:marTop w:val="0"/>
                      <w:marBottom w:val="0"/>
                      <w:divBdr>
                        <w:top w:val="none" w:sz="0" w:space="0" w:color="auto"/>
                        <w:left w:val="none" w:sz="0" w:space="0" w:color="auto"/>
                        <w:bottom w:val="none" w:sz="0" w:space="0" w:color="auto"/>
                        <w:right w:val="none" w:sz="0" w:space="0" w:color="auto"/>
                      </w:divBdr>
                      <w:divsChild>
                        <w:div w:id="225527767">
                          <w:marLeft w:val="0"/>
                          <w:marRight w:val="0"/>
                          <w:marTop w:val="0"/>
                          <w:marBottom w:val="0"/>
                          <w:divBdr>
                            <w:top w:val="none" w:sz="0" w:space="0" w:color="auto"/>
                            <w:left w:val="none" w:sz="0" w:space="0" w:color="auto"/>
                            <w:bottom w:val="none" w:sz="0" w:space="0" w:color="auto"/>
                            <w:right w:val="none" w:sz="0" w:space="0" w:color="auto"/>
                          </w:divBdr>
                          <w:divsChild>
                            <w:div w:id="1062018270">
                              <w:marLeft w:val="0"/>
                              <w:marRight w:val="0"/>
                              <w:marTop w:val="0"/>
                              <w:marBottom w:val="0"/>
                              <w:divBdr>
                                <w:top w:val="none" w:sz="0" w:space="0" w:color="auto"/>
                                <w:left w:val="none" w:sz="0" w:space="0" w:color="auto"/>
                                <w:bottom w:val="none" w:sz="0" w:space="0" w:color="auto"/>
                                <w:right w:val="none" w:sz="0" w:space="0" w:color="auto"/>
                              </w:divBdr>
                              <w:divsChild>
                                <w:div w:id="701902319">
                                  <w:marLeft w:val="0"/>
                                  <w:marRight w:val="0"/>
                                  <w:marTop w:val="0"/>
                                  <w:marBottom w:val="0"/>
                                  <w:divBdr>
                                    <w:top w:val="none" w:sz="0" w:space="0" w:color="auto"/>
                                    <w:left w:val="none" w:sz="0" w:space="0" w:color="auto"/>
                                    <w:bottom w:val="none" w:sz="0" w:space="0" w:color="auto"/>
                                    <w:right w:val="none" w:sz="0" w:space="0" w:color="auto"/>
                                  </w:divBdr>
                                  <w:divsChild>
                                    <w:div w:id="1267469647">
                                      <w:marLeft w:val="0"/>
                                      <w:marRight w:val="0"/>
                                      <w:marTop w:val="0"/>
                                      <w:marBottom w:val="0"/>
                                      <w:divBdr>
                                        <w:top w:val="none" w:sz="0" w:space="0" w:color="auto"/>
                                        <w:left w:val="none" w:sz="0" w:space="0" w:color="auto"/>
                                        <w:bottom w:val="none" w:sz="0" w:space="0" w:color="auto"/>
                                        <w:right w:val="none" w:sz="0" w:space="0" w:color="auto"/>
                                      </w:divBdr>
                                      <w:divsChild>
                                        <w:div w:id="490870741">
                                          <w:marLeft w:val="0"/>
                                          <w:marRight w:val="0"/>
                                          <w:marTop w:val="0"/>
                                          <w:marBottom w:val="0"/>
                                          <w:divBdr>
                                            <w:top w:val="none" w:sz="0" w:space="0" w:color="auto"/>
                                            <w:left w:val="none" w:sz="0" w:space="0" w:color="auto"/>
                                            <w:bottom w:val="none" w:sz="0" w:space="0" w:color="auto"/>
                                            <w:right w:val="none" w:sz="0" w:space="0" w:color="auto"/>
                                          </w:divBdr>
                                          <w:divsChild>
                                            <w:div w:id="139427570">
                                              <w:marLeft w:val="0"/>
                                              <w:marRight w:val="0"/>
                                              <w:marTop w:val="0"/>
                                              <w:marBottom w:val="0"/>
                                              <w:divBdr>
                                                <w:top w:val="none" w:sz="0" w:space="0" w:color="auto"/>
                                                <w:left w:val="none" w:sz="0" w:space="0" w:color="auto"/>
                                                <w:bottom w:val="none" w:sz="0" w:space="0" w:color="auto"/>
                                                <w:right w:val="none" w:sz="0" w:space="0" w:color="auto"/>
                                              </w:divBdr>
                                            </w:div>
                                            <w:div w:id="1430083991">
                                              <w:marLeft w:val="0"/>
                                              <w:marRight w:val="0"/>
                                              <w:marTop w:val="0"/>
                                              <w:marBottom w:val="0"/>
                                              <w:divBdr>
                                                <w:top w:val="none" w:sz="0" w:space="0" w:color="auto"/>
                                                <w:left w:val="none" w:sz="0" w:space="0" w:color="auto"/>
                                                <w:bottom w:val="none" w:sz="0" w:space="0" w:color="auto"/>
                                                <w:right w:val="none" w:sz="0" w:space="0" w:color="auto"/>
                                              </w:divBdr>
                                              <w:divsChild>
                                                <w:div w:id="1220242385">
                                                  <w:marLeft w:val="0"/>
                                                  <w:marRight w:val="0"/>
                                                  <w:marTop w:val="0"/>
                                                  <w:marBottom w:val="0"/>
                                                  <w:divBdr>
                                                    <w:top w:val="none" w:sz="0" w:space="0" w:color="auto"/>
                                                    <w:left w:val="none" w:sz="0" w:space="0" w:color="auto"/>
                                                    <w:bottom w:val="none" w:sz="0" w:space="0" w:color="auto"/>
                                                    <w:right w:val="none" w:sz="0" w:space="0" w:color="auto"/>
                                                  </w:divBdr>
                                                  <w:divsChild>
                                                    <w:div w:id="152600230">
                                                      <w:marLeft w:val="0"/>
                                                      <w:marRight w:val="0"/>
                                                      <w:marTop w:val="0"/>
                                                      <w:marBottom w:val="0"/>
                                                      <w:divBdr>
                                                        <w:top w:val="none" w:sz="0" w:space="0" w:color="auto"/>
                                                        <w:left w:val="none" w:sz="0" w:space="0" w:color="auto"/>
                                                        <w:bottom w:val="none" w:sz="0" w:space="0" w:color="auto"/>
                                                        <w:right w:val="none" w:sz="0" w:space="0" w:color="auto"/>
                                                      </w:divBdr>
                                                      <w:divsChild>
                                                        <w:div w:id="115345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2992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tat.gov.pl" TargetMode="External"/><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www.geoportal.gov.pl"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gov.pl/app/rdp/"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read.oecd-ilibrary.org/governance/oecd-regulatory-policy-outlook-2018_9789264303072-en" TargetMode="External"/><Relationship Id="rId13" Type="http://schemas.openxmlformats.org/officeDocument/2006/relationships/hyperlink" Target="https://sip.legalis.pl/document-view.seam?documentId=mfrxilrtg4ytimbuga2di" TargetMode="External"/><Relationship Id="rId3" Type="http://schemas.openxmlformats.org/officeDocument/2006/relationships/hyperlink" Target="https://sip.legalis.pl/document-view.seam?documentId=mfrxilrtg4ytimzxgm3dk" TargetMode="External"/><Relationship Id="rId7" Type="http://schemas.openxmlformats.org/officeDocument/2006/relationships/hyperlink" Target="http://www.doingbusiness.org/rankings" TargetMode="External"/><Relationship Id="rId12" Type="http://schemas.openxmlformats.org/officeDocument/2006/relationships/hyperlink" Target="https://sip.legalis.pl/document-view.seam?documentId=mfrxilrtg4ytgnrug4ydk" TargetMode="External"/><Relationship Id="rId2" Type="http://schemas.openxmlformats.org/officeDocument/2006/relationships/hyperlink" Target="https://sip.legalis.pl/document-view.seam?documentId=mfrxilrtg4ytimrvgy4tc" TargetMode="External"/><Relationship Id="rId1" Type="http://schemas.openxmlformats.org/officeDocument/2006/relationships/hyperlink" Target="http://ks.mkidn.gov.pl/media/download_gallery/20130520SRKS_na_stronie_internetowej.pdf" TargetMode="External"/><Relationship Id="rId6" Type="http://schemas.openxmlformats.org/officeDocument/2006/relationships/hyperlink" Target="https://sip.legalis.pl/document-view.seam?documentId=mfrxilrtg4ytimbvgaztm" TargetMode="External"/><Relationship Id="rId11" Type="http://schemas.openxmlformats.org/officeDocument/2006/relationships/hyperlink" Target="https://bip.kprm.gov.pl/kpr/bip-kancelarii-prezesa/sluzba-cywilna/sprawozdania" TargetMode="External"/><Relationship Id="rId5" Type="http://schemas.openxmlformats.org/officeDocument/2006/relationships/hyperlink" Target="https://www.gov.pl/web/energia/polityka-energetyczna-polski-do-2040-r-zapraszamy-do-konsultacji" TargetMode="External"/><Relationship Id="rId15" Type="http://schemas.openxmlformats.org/officeDocument/2006/relationships/hyperlink" Target="https://sip.legalis.pl/document-view.seam?documentId=mfrxilrtg4ytimjqgyydq" TargetMode="External"/><Relationship Id="rId10" Type="http://schemas.openxmlformats.org/officeDocument/2006/relationships/hyperlink" Target="http://ip.mswia.gov.pl/download/57/20748/RaportkoncowyzbadaniapnBarometrrozwojuinstytucjonalnegoJST2017.pdf" TargetMode="External"/><Relationship Id="rId4" Type="http://schemas.openxmlformats.org/officeDocument/2006/relationships/hyperlink" Target="https://sip.legalis.pl/document-view.seam?documentId=mfrxilrtg4ytimrugm4tc" TargetMode="External"/><Relationship Id="rId9" Type="http://schemas.openxmlformats.org/officeDocument/2006/relationships/hyperlink" Target="http://eteryt.stat.gov.pl/eteryt/raporty/WebRaportZestawienie.aspx" TargetMode="External"/><Relationship Id="rId14" Type="http://schemas.openxmlformats.org/officeDocument/2006/relationships/hyperlink" Target="https://sip.legalis.pl/document-view.seam?documentId=mfrxilrtg4ytinjwgi3di"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pl-PL" sz="1000"/>
              <a:t>% posiadających co najmniej podstawowe</a:t>
            </a:r>
            <a:r>
              <a:rPr lang="pl-PL" sz="1000" baseline="0"/>
              <a:t> u</a:t>
            </a:r>
            <a:r>
              <a:rPr lang="pl-PL" sz="1000"/>
              <a:t>miejętności</a:t>
            </a:r>
            <a:r>
              <a:rPr lang="pl-PL" sz="1000" baseline="0"/>
              <a:t> cyfrowe w krajach UE w 2017 r. </a:t>
            </a:r>
            <a:endParaRPr lang="pl-PL" sz="1000" i="1"/>
          </a:p>
        </c:rich>
      </c:tx>
      <c:layout>
        <c:manualLayout>
          <c:xMode val="edge"/>
          <c:yMode val="edge"/>
          <c:x val="0.17747348970385043"/>
          <c:y val="1.0208417845278969E-2"/>
        </c:manualLayout>
      </c:layout>
      <c:overlay val="0"/>
    </c:title>
    <c:autoTitleDeleted val="0"/>
    <c:plotArea>
      <c:layout>
        <c:manualLayout>
          <c:layoutTarget val="inner"/>
          <c:xMode val="edge"/>
          <c:yMode val="edge"/>
          <c:x val="0"/>
          <c:y val="0"/>
          <c:w val="0.99722222222222223"/>
          <c:h val="0.766152846529363"/>
        </c:manualLayout>
      </c:layout>
      <c:barChart>
        <c:barDir val="col"/>
        <c:grouping val="clustered"/>
        <c:varyColors val="0"/>
        <c:ser>
          <c:idx val="0"/>
          <c:order val="0"/>
          <c:invertIfNegative val="0"/>
          <c:dPt>
            <c:idx val="12"/>
            <c:invertIfNegative val="0"/>
            <c:bubble3D val="0"/>
            <c:spPr>
              <a:solidFill>
                <a:srgbClr val="4472C4">
                  <a:lumMod val="75000"/>
                </a:srgbClr>
              </a:solidFill>
            </c:spPr>
          </c:dPt>
          <c:dPt>
            <c:idx val="24"/>
            <c:invertIfNegative val="0"/>
            <c:bubble3D val="0"/>
            <c:spPr>
              <a:solidFill>
                <a:srgbClr val="FF5050"/>
              </a:solidFill>
            </c:spPr>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'e-umiejętności Eurostat 2017'!$H$261:$H$289</c:f>
              <c:strCache>
                <c:ptCount val="29"/>
                <c:pt idx="0">
                  <c:v>Luksemburg</c:v>
                </c:pt>
                <c:pt idx="1">
                  <c:v>Holandia</c:v>
                </c:pt>
                <c:pt idx="2">
                  <c:v>Szwecja</c:v>
                </c:pt>
                <c:pt idx="3">
                  <c:v>Finlandia</c:v>
                </c:pt>
                <c:pt idx="4">
                  <c:v>Dania</c:v>
                </c:pt>
                <c:pt idx="5">
                  <c:v>Wlk. Brytania</c:v>
                </c:pt>
                <c:pt idx="6">
                  <c:v>Niemcy</c:v>
                </c:pt>
                <c:pt idx="7">
                  <c:v>Austria</c:v>
                </c:pt>
                <c:pt idx="8">
                  <c:v>Belgia</c:v>
                </c:pt>
                <c:pt idx="9">
                  <c:v>Czechy</c:v>
                </c:pt>
                <c:pt idx="10">
                  <c:v>Estonia</c:v>
                </c:pt>
                <c:pt idx="11">
                  <c:v>Słowacja</c:v>
                </c:pt>
                <c:pt idx="12">
                  <c:v>UE (28 krajów)</c:v>
                </c:pt>
                <c:pt idx="13">
                  <c:v>Francja</c:v>
                </c:pt>
                <c:pt idx="14">
                  <c:v>Malta</c:v>
                </c:pt>
                <c:pt idx="15">
                  <c:v>Litwa</c:v>
                </c:pt>
                <c:pt idx="16">
                  <c:v>Hiszpania</c:v>
                </c:pt>
                <c:pt idx="17">
                  <c:v>Słowenia</c:v>
                </c:pt>
                <c:pt idx="18">
                  <c:v>Cypr</c:v>
                </c:pt>
                <c:pt idx="19">
                  <c:v>Węgry</c:v>
                </c:pt>
                <c:pt idx="20">
                  <c:v>Portugalia</c:v>
                </c:pt>
                <c:pt idx="21">
                  <c:v>Irlandia</c:v>
                </c:pt>
                <c:pt idx="22">
                  <c:v>Łotwa</c:v>
                </c:pt>
                <c:pt idx="23">
                  <c:v>Grecja</c:v>
                </c:pt>
                <c:pt idx="24">
                  <c:v>Polska</c:v>
                </c:pt>
                <c:pt idx="25">
                  <c:v>Włochy (2016)</c:v>
                </c:pt>
                <c:pt idx="26">
                  <c:v>Chorwacja</c:v>
                </c:pt>
                <c:pt idx="27">
                  <c:v>Bułgaria</c:v>
                </c:pt>
                <c:pt idx="28">
                  <c:v>Rumunia</c:v>
                </c:pt>
              </c:strCache>
            </c:strRef>
          </c:cat>
          <c:val>
            <c:numRef>
              <c:f>'e-umiejętności Eurostat 2017'!$I$261:$I$289</c:f>
              <c:numCache>
                <c:formatCode>#,##0</c:formatCode>
                <c:ptCount val="29"/>
                <c:pt idx="0">
                  <c:v>85</c:v>
                </c:pt>
                <c:pt idx="1">
                  <c:v>79</c:v>
                </c:pt>
                <c:pt idx="2">
                  <c:v>77</c:v>
                </c:pt>
                <c:pt idx="3">
                  <c:v>76</c:v>
                </c:pt>
                <c:pt idx="4">
                  <c:v>71</c:v>
                </c:pt>
                <c:pt idx="5">
                  <c:v>71</c:v>
                </c:pt>
                <c:pt idx="6">
                  <c:v>68</c:v>
                </c:pt>
                <c:pt idx="7">
                  <c:v>67</c:v>
                </c:pt>
                <c:pt idx="8">
                  <c:v>61</c:v>
                </c:pt>
                <c:pt idx="9">
                  <c:v>60</c:v>
                </c:pt>
                <c:pt idx="10">
                  <c:v>60</c:v>
                </c:pt>
                <c:pt idx="11">
                  <c:v>59</c:v>
                </c:pt>
                <c:pt idx="12">
                  <c:v>57</c:v>
                </c:pt>
                <c:pt idx="13">
                  <c:v>57</c:v>
                </c:pt>
                <c:pt idx="14">
                  <c:v>57</c:v>
                </c:pt>
                <c:pt idx="15">
                  <c:v>55</c:v>
                </c:pt>
                <c:pt idx="16">
                  <c:v>55</c:v>
                </c:pt>
                <c:pt idx="17">
                  <c:v>54</c:v>
                </c:pt>
                <c:pt idx="18">
                  <c:v>50</c:v>
                </c:pt>
                <c:pt idx="19">
                  <c:v>50</c:v>
                </c:pt>
                <c:pt idx="20">
                  <c:v>50</c:v>
                </c:pt>
                <c:pt idx="21">
                  <c:v>48</c:v>
                </c:pt>
                <c:pt idx="22">
                  <c:v>48</c:v>
                </c:pt>
                <c:pt idx="23">
                  <c:v>46</c:v>
                </c:pt>
                <c:pt idx="24">
                  <c:v>46</c:v>
                </c:pt>
                <c:pt idx="25" formatCode="General">
                  <c:v>44</c:v>
                </c:pt>
                <c:pt idx="26">
                  <c:v>41</c:v>
                </c:pt>
                <c:pt idx="27">
                  <c:v>29</c:v>
                </c:pt>
                <c:pt idx="28">
                  <c:v>29</c:v>
                </c:pt>
              </c:numCache>
            </c:numRef>
          </c:val>
        </c:ser>
        <c:dLbls>
          <c:dLblPos val="outEnd"/>
          <c:showLegendKey val="0"/>
          <c:showVal val="1"/>
          <c:showCatName val="0"/>
          <c:showSerName val="0"/>
          <c:showPercent val="0"/>
          <c:showBubbleSize val="0"/>
        </c:dLbls>
        <c:gapWidth val="219"/>
        <c:overlap val="-27"/>
        <c:axId val="239097008"/>
        <c:axId val="417020192"/>
      </c:barChart>
      <c:catAx>
        <c:axId val="2390970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7020192"/>
        <c:crosses val="autoZero"/>
        <c:auto val="1"/>
        <c:lblAlgn val="ctr"/>
        <c:lblOffset val="100"/>
        <c:noMultiLvlLbl val="0"/>
      </c:catAx>
      <c:valAx>
        <c:axId val="417020192"/>
        <c:scaling>
          <c:orientation val="minMax"/>
        </c:scaling>
        <c:delete val="1"/>
        <c:axPos val="l"/>
        <c:numFmt formatCode="#,##0" sourceLinked="1"/>
        <c:majorTickMark val="out"/>
        <c:minorTickMark val="none"/>
        <c:tickLblPos val="nextTo"/>
        <c:crossAx val="239097008"/>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numRef>
              <c:f>Arkusz1!$C$2:$G$2</c:f>
              <c:numCache>
                <c:formatCode>General</c:formatCode>
                <c:ptCount val="5"/>
                <c:pt idx="0">
                  <c:v>2014</c:v>
                </c:pt>
                <c:pt idx="1">
                  <c:v>2015</c:v>
                </c:pt>
                <c:pt idx="2">
                  <c:v>2016</c:v>
                </c:pt>
                <c:pt idx="3">
                  <c:v>2017</c:v>
                </c:pt>
                <c:pt idx="4">
                  <c:v>2018</c:v>
                </c:pt>
              </c:numCache>
            </c:numRef>
          </c:cat>
          <c:val>
            <c:numRef>
              <c:f>Arkusz1!$C$3:$G$3</c:f>
              <c:numCache>
                <c:formatCode>General</c:formatCode>
                <c:ptCount val="5"/>
                <c:pt idx="0">
                  <c:v>394709</c:v>
                </c:pt>
                <c:pt idx="1">
                  <c:v>461028</c:v>
                </c:pt>
                <c:pt idx="2">
                  <c:v>414644</c:v>
                </c:pt>
                <c:pt idx="3">
                  <c:v>480633</c:v>
                </c:pt>
                <c:pt idx="4">
                  <c:v>461412</c:v>
                </c:pt>
              </c:numCache>
            </c:numRef>
          </c:val>
          <c:smooth val="0"/>
          <c:extLst xmlns:c16r2="http://schemas.microsoft.com/office/drawing/2015/06/chart">
            <c:ext xmlns:c16="http://schemas.microsoft.com/office/drawing/2014/chart" uri="{C3380CC4-5D6E-409C-BE32-E72D297353CC}">
              <c16:uniqueId val="{00000000-7A84-4174-BA78-924A60BB8FE9}"/>
            </c:ext>
          </c:extLst>
        </c:ser>
        <c:dLbls>
          <c:showLegendKey val="0"/>
          <c:showVal val="0"/>
          <c:showCatName val="0"/>
          <c:showSerName val="0"/>
          <c:showPercent val="0"/>
          <c:showBubbleSize val="0"/>
        </c:dLbls>
        <c:smooth val="0"/>
        <c:axId val="417019800"/>
        <c:axId val="417020584"/>
      </c:lineChart>
      <c:catAx>
        <c:axId val="417019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7020584"/>
        <c:crosses val="autoZero"/>
        <c:auto val="1"/>
        <c:lblAlgn val="ctr"/>
        <c:lblOffset val="100"/>
        <c:noMultiLvlLbl val="0"/>
      </c:catAx>
      <c:valAx>
        <c:axId val="417020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7019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Arkusz1!$B$9</c:f>
              <c:strCache>
                <c:ptCount val="1"/>
                <c:pt idx="0">
                  <c:v>w transporcie drogowym</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Arkusz1!$G$9</c:f>
              <c:numCache>
                <c:formatCode>General</c:formatCode>
                <c:ptCount val="1"/>
                <c:pt idx="0">
                  <c:v>70567</c:v>
                </c:pt>
              </c:numCache>
            </c:numRef>
          </c:val>
          <c:extLst xmlns:c16r2="http://schemas.microsoft.com/office/drawing/2015/06/chart">
            <c:ext xmlns:c16="http://schemas.microsoft.com/office/drawing/2014/chart" uri="{C3380CC4-5D6E-409C-BE32-E72D297353CC}">
              <c16:uniqueId val="{00000000-C313-4ED7-A3B3-C0E89B6182FE}"/>
            </c:ext>
          </c:extLst>
        </c:ser>
        <c:ser>
          <c:idx val="1"/>
          <c:order val="1"/>
          <c:tx>
            <c:strRef>
              <c:f>Arkusz1!$B$10</c:f>
              <c:strCache>
                <c:ptCount val="1"/>
                <c:pt idx="0">
                  <c:v>silne wiatry</c:v>
                </c:pt>
              </c:strCache>
            </c:strRef>
          </c:tx>
          <c:spPr>
            <a:solidFill>
              <a:schemeClr val="accent2"/>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Arkusz1!$G$10</c:f>
              <c:numCache>
                <c:formatCode>General</c:formatCode>
                <c:ptCount val="1"/>
                <c:pt idx="0">
                  <c:v>39760</c:v>
                </c:pt>
              </c:numCache>
            </c:numRef>
          </c:val>
          <c:extLst xmlns:c16r2="http://schemas.microsoft.com/office/drawing/2015/06/chart">
            <c:ext xmlns:c16="http://schemas.microsoft.com/office/drawing/2014/chart" uri="{C3380CC4-5D6E-409C-BE32-E72D297353CC}">
              <c16:uniqueId val="{00000001-C313-4ED7-A3B3-C0E89B6182FE}"/>
            </c:ext>
          </c:extLst>
        </c:ser>
        <c:ser>
          <c:idx val="2"/>
          <c:order val="2"/>
          <c:tx>
            <c:strRef>
              <c:f>Arkusz1!$B$11</c:f>
              <c:strCache>
                <c:ptCount val="1"/>
                <c:pt idx="0">
                  <c:v>medyczne</c:v>
                </c:pt>
              </c:strCache>
            </c:strRef>
          </c:tx>
          <c:spPr>
            <a:solidFill>
              <a:schemeClr val="accent3"/>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Arkusz1!$G$11</c:f>
              <c:numCache>
                <c:formatCode>General</c:formatCode>
                <c:ptCount val="1"/>
                <c:pt idx="0">
                  <c:v>32139</c:v>
                </c:pt>
              </c:numCache>
            </c:numRef>
          </c:val>
          <c:extLst xmlns:c16r2="http://schemas.microsoft.com/office/drawing/2015/06/chart">
            <c:ext xmlns:c16="http://schemas.microsoft.com/office/drawing/2014/chart" uri="{C3380CC4-5D6E-409C-BE32-E72D297353CC}">
              <c16:uniqueId val="{00000002-C313-4ED7-A3B3-C0E89B6182FE}"/>
            </c:ext>
          </c:extLst>
        </c:ser>
        <c:ser>
          <c:idx val="3"/>
          <c:order val="3"/>
          <c:tx>
            <c:strRef>
              <c:f>Arkusz1!$B$12</c:f>
              <c:strCache>
                <c:ptCount val="1"/>
                <c:pt idx="0">
                  <c:v>opady deszczu</c:v>
                </c:pt>
              </c:strCache>
            </c:strRef>
          </c:tx>
          <c:spPr>
            <a:solidFill>
              <a:schemeClr val="accent4"/>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Arkusz1!$G$12</c:f>
              <c:numCache>
                <c:formatCode>General</c:formatCode>
                <c:ptCount val="1"/>
                <c:pt idx="0">
                  <c:v>12179</c:v>
                </c:pt>
              </c:numCache>
            </c:numRef>
          </c:val>
          <c:extLst xmlns:c16r2="http://schemas.microsoft.com/office/drawing/2015/06/chart">
            <c:ext xmlns:c16="http://schemas.microsoft.com/office/drawing/2014/chart" uri="{C3380CC4-5D6E-409C-BE32-E72D297353CC}">
              <c16:uniqueId val="{00000003-C313-4ED7-A3B3-C0E89B6182FE}"/>
            </c:ext>
          </c:extLst>
        </c:ser>
        <c:ser>
          <c:idx val="4"/>
          <c:order val="4"/>
          <c:tx>
            <c:strRef>
              <c:f>Arkusz1!$B$13</c:f>
              <c:strCache>
                <c:ptCount val="1"/>
                <c:pt idx="0">
                  <c:v>chemiczne</c:v>
                </c:pt>
              </c:strCache>
            </c:strRef>
          </c:tx>
          <c:spPr>
            <a:solidFill>
              <a:schemeClr val="accent5"/>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Arkusz1!$G$13</c:f>
              <c:numCache>
                <c:formatCode>General</c:formatCode>
                <c:ptCount val="1"/>
                <c:pt idx="0">
                  <c:v>9811</c:v>
                </c:pt>
              </c:numCache>
            </c:numRef>
          </c:val>
          <c:extLst xmlns:c16r2="http://schemas.microsoft.com/office/drawing/2015/06/chart">
            <c:ext xmlns:c16="http://schemas.microsoft.com/office/drawing/2014/chart" uri="{C3380CC4-5D6E-409C-BE32-E72D297353CC}">
              <c16:uniqueId val="{00000004-C313-4ED7-A3B3-C0E89B6182FE}"/>
            </c:ext>
          </c:extLst>
        </c:ser>
        <c:ser>
          <c:idx val="5"/>
          <c:order val="5"/>
          <c:tx>
            <c:strRef>
              <c:f>Arkusz1!$B$14</c:f>
              <c:strCache>
                <c:ptCount val="1"/>
                <c:pt idx="0">
                  <c:v>infrastruktury komunalnej</c:v>
                </c:pt>
              </c:strCache>
            </c:strRef>
          </c:tx>
          <c:spPr>
            <a:solidFill>
              <a:schemeClr val="accent6"/>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Arkusz1!$G$14</c:f>
              <c:numCache>
                <c:formatCode>General</c:formatCode>
                <c:ptCount val="1"/>
                <c:pt idx="0">
                  <c:v>5430</c:v>
                </c:pt>
              </c:numCache>
            </c:numRef>
          </c:val>
          <c:extLst xmlns:c16r2="http://schemas.microsoft.com/office/drawing/2015/06/chart">
            <c:ext xmlns:c16="http://schemas.microsoft.com/office/drawing/2014/chart" uri="{C3380CC4-5D6E-409C-BE32-E72D297353CC}">
              <c16:uniqueId val="{00000005-C313-4ED7-A3B3-C0E89B6182FE}"/>
            </c:ext>
          </c:extLst>
        </c:ser>
        <c:ser>
          <c:idx val="6"/>
          <c:order val="6"/>
          <c:tx>
            <c:strRef>
              <c:f>Arkusz1!$B$15</c:f>
              <c:strCache>
                <c:ptCount val="1"/>
                <c:pt idx="0">
                  <c:v>wodne</c:v>
                </c:pt>
              </c:strCache>
            </c:strRef>
          </c:tx>
          <c:spPr>
            <a:solidFill>
              <a:schemeClr val="accent1">
                <a:lumMod val="6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Arkusz1!$G$15</c:f>
              <c:numCache>
                <c:formatCode>General</c:formatCode>
                <c:ptCount val="1"/>
                <c:pt idx="0">
                  <c:v>4304</c:v>
                </c:pt>
              </c:numCache>
            </c:numRef>
          </c:val>
          <c:extLst xmlns:c16r2="http://schemas.microsoft.com/office/drawing/2015/06/chart">
            <c:ext xmlns:c16="http://schemas.microsoft.com/office/drawing/2014/chart" uri="{C3380CC4-5D6E-409C-BE32-E72D297353CC}">
              <c16:uniqueId val="{00000006-C313-4ED7-A3B3-C0E89B6182FE}"/>
            </c:ext>
          </c:extLst>
        </c:ser>
        <c:ser>
          <c:idx val="7"/>
          <c:order val="7"/>
          <c:tx>
            <c:strRef>
              <c:f>Arkusz1!$B$16</c:f>
              <c:strCache>
                <c:ptCount val="1"/>
                <c:pt idx="0">
                  <c:v>budowlane</c:v>
                </c:pt>
              </c:strCache>
            </c:strRef>
          </c:tx>
          <c:spPr>
            <a:solidFill>
              <a:schemeClr val="accent2">
                <a:lumMod val="6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Arkusz1!$G$16</c:f>
              <c:numCache>
                <c:formatCode>General</c:formatCode>
                <c:ptCount val="1"/>
                <c:pt idx="0">
                  <c:v>3988</c:v>
                </c:pt>
              </c:numCache>
            </c:numRef>
          </c:val>
          <c:extLst xmlns:c16r2="http://schemas.microsoft.com/office/drawing/2015/06/chart">
            <c:ext xmlns:c16="http://schemas.microsoft.com/office/drawing/2014/chart" uri="{C3380CC4-5D6E-409C-BE32-E72D297353CC}">
              <c16:uniqueId val="{00000007-C313-4ED7-A3B3-C0E89B6182FE}"/>
            </c:ext>
          </c:extLst>
        </c:ser>
        <c:ser>
          <c:idx val="8"/>
          <c:order val="8"/>
          <c:tx>
            <c:strRef>
              <c:f>Arkusz1!$B$17</c:f>
              <c:strCache>
                <c:ptCount val="1"/>
                <c:pt idx="0">
                  <c:v>przybory wody</c:v>
                </c:pt>
              </c:strCache>
            </c:strRef>
          </c:tx>
          <c:spPr>
            <a:solidFill>
              <a:schemeClr val="accent3">
                <a:lumMod val="6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Arkusz1!$G$17</c:f>
              <c:numCache>
                <c:formatCode>General</c:formatCode>
                <c:ptCount val="1"/>
                <c:pt idx="0">
                  <c:v>2634</c:v>
                </c:pt>
              </c:numCache>
            </c:numRef>
          </c:val>
          <c:extLst xmlns:c16r2="http://schemas.microsoft.com/office/drawing/2015/06/chart">
            <c:ext xmlns:c16="http://schemas.microsoft.com/office/drawing/2014/chart" uri="{C3380CC4-5D6E-409C-BE32-E72D297353CC}">
              <c16:uniqueId val="{00000008-C313-4ED7-A3B3-C0E89B6182FE}"/>
            </c:ext>
          </c:extLst>
        </c:ser>
        <c:ser>
          <c:idx val="9"/>
          <c:order val="9"/>
          <c:tx>
            <c:strRef>
              <c:f>Arkusz1!$B$18</c:f>
              <c:strCache>
                <c:ptCount val="1"/>
                <c:pt idx="0">
                  <c:v>opady śniegu</c:v>
                </c:pt>
              </c:strCache>
            </c:strRef>
          </c:tx>
          <c:spPr>
            <a:solidFill>
              <a:schemeClr val="accent4">
                <a:lumMod val="6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Arkusz1!$G$18</c:f>
              <c:numCache>
                <c:formatCode>General</c:formatCode>
                <c:ptCount val="1"/>
                <c:pt idx="0">
                  <c:v>1487</c:v>
                </c:pt>
              </c:numCache>
            </c:numRef>
          </c:val>
          <c:extLst xmlns:c16r2="http://schemas.microsoft.com/office/drawing/2015/06/chart">
            <c:ext xmlns:c16="http://schemas.microsoft.com/office/drawing/2014/chart" uri="{C3380CC4-5D6E-409C-BE32-E72D297353CC}">
              <c16:uniqueId val="{00000009-C313-4ED7-A3B3-C0E89B6182FE}"/>
            </c:ext>
          </c:extLst>
        </c:ser>
        <c:ser>
          <c:idx val="10"/>
          <c:order val="10"/>
          <c:tx>
            <c:strRef>
              <c:f>Arkusz1!$B$19</c:f>
              <c:strCache>
                <c:ptCount val="1"/>
                <c:pt idx="0">
                  <c:v>ekologiczne</c:v>
                </c:pt>
              </c:strCache>
            </c:strRef>
          </c:tx>
          <c:spPr>
            <a:solidFill>
              <a:schemeClr val="accent5">
                <a:lumMod val="6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Arkusz1!$G$19</c:f>
              <c:numCache>
                <c:formatCode>General</c:formatCode>
                <c:ptCount val="1"/>
                <c:pt idx="0">
                  <c:v>855</c:v>
                </c:pt>
              </c:numCache>
            </c:numRef>
          </c:val>
          <c:extLst xmlns:c16r2="http://schemas.microsoft.com/office/drawing/2015/06/chart">
            <c:ext xmlns:c16="http://schemas.microsoft.com/office/drawing/2014/chart" uri="{C3380CC4-5D6E-409C-BE32-E72D297353CC}">
              <c16:uniqueId val="{0000000A-C313-4ED7-A3B3-C0E89B6182FE}"/>
            </c:ext>
          </c:extLst>
        </c:ser>
        <c:dLbls>
          <c:dLblPos val="outEnd"/>
          <c:showLegendKey val="0"/>
          <c:showVal val="1"/>
          <c:showCatName val="0"/>
          <c:showSerName val="0"/>
          <c:showPercent val="0"/>
          <c:showBubbleSize val="0"/>
        </c:dLbls>
        <c:gapWidth val="150"/>
        <c:axId val="417019408"/>
        <c:axId val="417017056"/>
        <c:extLst xmlns:c16r2="http://schemas.microsoft.com/office/drawing/2015/06/chart">
          <c:ext xmlns:c15="http://schemas.microsoft.com/office/drawing/2012/chart" uri="{02D57815-91ED-43cb-92C2-25804820EDAC}">
            <c15:filteredBarSeries>
              <c15:ser>
                <c:idx val="11"/>
                <c:order val="11"/>
                <c:tx>
                  <c:strRef>
                    <c:extLst xmlns:c16r2="http://schemas.microsoft.com/office/drawing/2015/06/chart">
                      <c:ext uri="{02D57815-91ED-43cb-92C2-25804820EDAC}">
                        <c15:formulaRef>
                          <c15:sqref>Arkusz1!$B$20</c15:sqref>
                        </c15:formulaRef>
                      </c:ext>
                    </c:extLst>
                    <c:strCache>
                      <c:ptCount val="1"/>
                      <c:pt idx="0">
                        <c:v>w transporcie kolejowym</c:v>
                      </c:pt>
                    </c:strCache>
                  </c:strRef>
                </c:tx>
                <c:spPr>
                  <a:solidFill>
                    <a:schemeClr val="accent6">
                      <a:lumMod val="6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xmlns:c16r2="http://schemas.microsoft.com/office/drawing/2015/06/chart">
                      <c:ext uri="{02D57815-91ED-43cb-92C2-25804820EDAC}">
                        <c15:formulaRef>
                          <c15:sqref>Arkusz1!$G$20</c15:sqref>
                        </c15:formulaRef>
                      </c:ext>
                    </c:extLst>
                    <c:numCache>
                      <c:formatCode>General</c:formatCode>
                      <c:ptCount val="1"/>
                      <c:pt idx="0">
                        <c:v>474</c:v>
                      </c:pt>
                    </c:numCache>
                  </c:numRef>
                </c:val>
                <c:extLst xmlns:c16r2="http://schemas.microsoft.com/office/drawing/2015/06/chart">
                  <c:ext xmlns:c16="http://schemas.microsoft.com/office/drawing/2014/chart" uri="{C3380CC4-5D6E-409C-BE32-E72D297353CC}">
                    <c16:uniqueId val="{0000000B-C313-4ED7-A3B3-C0E89B6182FE}"/>
                  </c:ext>
                </c:extLst>
              </c15:ser>
            </c15:filteredBarSeries>
            <c15:filteredBarSeries>
              <c15:ser>
                <c:idx val="12"/>
                <c:order val="12"/>
                <c:tx>
                  <c:strRef>
                    <c:extLst xmlns:c15="http://schemas.microsoft.com/office/drawing/2012/chart" xmlns:c16r2="http://schemas.microsoft.com/office/drawing/2015/06/chart">
                      <c:ext xmlns:c15="http://schemas.microsoft.com/office/drawing/2012/chart" uri="{02D57815-91ED-43cb-92C2-25804820EDAC}">
                        <c15:formulaRef>
                          <c15:sqref>Arkusz1!$B$21</c15:sqref>
                        </c15:formulaRef>
                      </c:ext>
                    </c:extLst>
                    <c:strCache>
                      <c:ptCount val="1"/>
                      <c:pt idx="0">
                        <c:v>w transporcie lotniczym</c:v>
                      </c:pt>
                    </c:strCache>
                  </c:strRef>
                </c:tx>
                <c:spPr>
                  <a:solidFill>
                    <a:schemeClr val="accent1">
                      <a:lumMod val="80000"/>
                      <a:lumOff val="2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xmlns:c15="http://schemas.microsoft.com/office/drawing/2012/chart" xmlns:c16r2="http://schemas.microsoft.com/office/drawing/2015/06/chart">
                      <c:ext xmlns:c15="http://schemas.microsoft.com/office/drawing/2012/chart" uri="{02D57815-91ED-43cb-92C2-25804820EDAC}">
                        <c15:formulaRef>
                          <c15:sqref>Arkusz1!$G$21</c15:sqref>
                        </c15:formulaRef>
                      </c:ext>
                    </c:extLst>
                    <c:numCache>
                      <c:formatCode>General</c:formatCode>
                      <c:ptCount val="1"/>
                    </c:numCache>
                  </c:numRef>
                </c:val>
                <c:extLst xmlns:c15="http://schemas.microsoft.com/office/drawing/2012/chart" xmlns:c16r2="http://schemas.microsoft.com/office/drawing/2015/06/chart">
                  <c:ext xmlns:c16="http://schemas.microsoft.com/office/drawing/2014/chart" uri="{C3380CC4-5D6E-409C-BE32-E72D297353CC}">
                    <c16:uniqueId val="{0000000C-C313-4ED7-A3B3-C0E89B6182FE}"/>
                  </c:ext>
                </c:extLst>
              </c15:ser>
            </c15:filteredBarSeries>
            <c15:filteredBarSeries>
              <c15:ser>
                <c:idx val="13"/>
                <c:order val="13"/>
                <c:tx>
                  <c:strRef>
                    <c:extLst xmlns:c15="http://schemas.microsoft.com/office/drawing/2012/chart" xmlns:c16r2="http://schemas.microsoft.com/office/drawing/2015/06/chart">
                      <c:ext xmlns:c15="http://schemas.microsoft.com/office/drawing/2012/chart" uri="{02D57815-91ED-43cb-92C2-25804820EDAC}">
                        <c15:formulaRef>
                          <c15:sqref>Arkusz1!$B$22</c15:sqref>
                        </c15:formulaRef>
                      </c:ext>
                    </c:extLst>
                    <c:strCache>
                      <c:ptCount val="1"/>
                      <c:pt idx="0">
                        <c:v>radiologiczne</c:v>
                      </c:pt>
                    </c:strCache>
                  </c:strRef>
                </c:tx>
                <c:spPr>
                  <a:solidFill>
                    <a:schemeClr val="accent2">
                      <a:lumMod val="80000"/>
                      <a:lumOff val="2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xmlns:c15="http://schemas.microsoft.com/office/drawing/2012/chart" xmlns:c16r2="http://schemas.microsoft.com/office/drawing/2015/06/chart">
                      <c:ext xmlns:c15="http://schemas.microsoft.com/office/drawing/2012/chart" uri="{02D57815-91ED-43cb-92C2-25804820EDAC}">
                        <c15:formulaRef>
                          <c15:sqref>Arkusz1!$G$22</c15:sqref>
                        </c15:formulaRef>
                      </c:ext>
                    </c:extLst>
                    <c:numCache>
                      <c:formatCode>General</c:formatCode>
                      <c:ptCount val="1"/>
                    </c:numCache>
                  </c:numRef>
                </c:val>
                <c:extLst xmlns:c15="http://schemas.microsoft.com/office/drawing/2012/chart" xmlns:c16r2="http://schemas.microsoft.com/office/drawing/2015/06/chart">
                  <c:ext xmlns:c16="http://schemas.microsoft.com/office/drawing/2014/chart" uri="{C3380CC4-5D6E-409C-BE32-E72D297353CC}">
                    <c16:uniqueId val="{0000000D-C313-4ED7-A3B3-C0E89B6182FE}"/>
                  </c:ext>
                </c:extLst>
              </c15:ser>
            </c15:filteredBarSeries>
          </c:ext>
        </c:extLst>
      </c:barChart>
      <c:valAx>
        <c:axId val="4170170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7019408"/>
        <c:crosses val="autoZero"/>
        <c:crossBetween val="between"/>
      </c:valAx>
      <c:catAx>
        <c:axId val="417019408"/>
        <c:scaling>
          <c:orientation val="minMax"/>
        </c:scaling>
        <c:delete val="1"/>
        <c:axPos val="l"/>
        <c:majorTickMark val="out"/>
        <c:minorTickMark val="none"/>
        <c:tickLblPos val="nextTo"/>
        <c:crossAx val="4170170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346461-6029-4AEF-B6C4-F49CD6808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72631</Words>
  <Characters>435786</Characters>
  <Application>Microsoft Office Word</Application>
  <DocSecurity>0</DocSecurity>
  <Lines>3631</Lines>
  <Paragraphs>1014</Paragraphs>
  <ScaleCrop>false</ScaleCrop>
  <HeadingPairs>
    <vt:vector size="2" baseType="variant">
      <vt:variant>
        <vt:lpstr>Tytuł</vt:lpstr>
      </vt:variant>
      <vt:variant>
        <vt:i4>1</vt:i4>
      </vt:variant>
    </vt:vector>
  </HeadingPairs>
  <TitlesOfParts>
    <vt:vector size="1" baseType="lpstr">
      <vt:lpstr/>
    </vt:vector>
  </TitlesOfParts>
  <Company>MSWIA</Company>
  <LinksUpToDate>false</LinksUpToDate>
  <CharactersWithSpaces>507403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Soduł Małgorzata</dc:creator>
  <cp:keywords/>
  <dc:description/>
  <cp:lastModifiedBy>Jakubiak Magdalena</cp:lastModifiedBy>
  <cp:revision>2</cp:revision>
  <cp:lastPrinted>2020-10-07T11:44:00Z</cp:lastPrinted>
  <dcterms:created xsi:type="dcterms:W3CDTF">2020-11-13T12:51:00Z</dcterms:created>
  <dcterms:modified xsi:type="dcterms:W3CDTF">2020-11-13T12:51:00Z</dcterms:modified>
</cp:coreProperties>
</file>