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155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97BF0">
        <w:rPr>
          <w:rFonts w:asciiTheme="minorHAnsi" w:hAnsiTheme="minorHAnsi" w:cstheme="minorHAnsi"/>
          <w:bCs/>
          <w:sz w:val="24"/>
          <w:szCs w:val="24"/>
        </w:rPr>
        <w:t>18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84745" w:rsidRDefault="00784745" w:rsidP="00784745">
      <w:pPr>
        <w:tabs>
          <w:tab w:val="left" w:pos="3330"/>
          <w:tab w:val="center" w:pos="4535"/>
        </w:tabs>
        <w:spacing w:after="120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84745">
        <w:rPr>
          <w:rFonts w:asciiTheme="minorHAnsi" w:hAnsiTheme="minorHAnsi" w:cstheme="minorHAnsi"/>
          <w:bCs/>
          <w:sz w:val="24"/>
          <w:szCs w:val="24"/>
          <w:lang w:eastAsia="pl-PL"/>
        </w:rPr>
        <w:t>DOOŚ-WDŚZ00.420.10.2020.EW/MW.21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784745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DOOŚ-WDŚ/ZOO.420.26.2020.EW/MW)</w:t>
      </w:r>
    </w:p>
    <w:p w:rsidR="00784745" w:rsidRDefault="00784745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84745" w:rsidRPr="00784745" w:rsidRDefault="00784745" w:rsidP="0078474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474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w prowadzonym postępowaniu dotyczącym wznowienia postępowania zakończonego decyzją ostateczną Generalnego Dyrektora Ochrony Środowiska z dnia z dnia 23 sierpnia 2018 r., znak: DOOŚ-DŚI.4231.6.2017.mko.74, uchylającą decyzję Regionalnego Dyrektora Ochrony Środowiska w Białymstoku z dnia 3 sierpnia 2017 r., znak: WOOŚ-II.4231.1.2015.DK, o środowiskowych uwarunkowaniach dla przedsięwzięcia pod nazwą: Budowa </w:t>
      </w:r>
      <w:r w:rsidRPr="00784745">
        <w:rPr>
          <w:rFonts w:asciiTheme="minorHAnsi" w:hAnsiTheme="minorHAnsi" w:cstheme="minorHAnsi"/>
          <w:bCs/>
          <w:color w:val="000000"/>
          <w:sz w:val="24"/>
          <w:szCs w:val="24"/>
        </w:rPr>
        <w:t>międzysystemowego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</w:t>
      </w:r>
      <w:r w:rsidRPr="00784745">
        <w:rPr>
          <w:rFonts w:asciiTheme="minorHAnsi" w:hAnsiTheme="minorHAnsi" w:cstheme="minorHAnsi"/>
          <w:bCs/>
          <w:color w:val="000000"/>
          <w:sz w:val="24"/>
          <w:szCs w:val="24"/>
        </w:rPr>
        <w:t>zenie systemów przesyłowych Rzeczypo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spolitej Polskiej i Republiki Litewskiej wraz z</w:t>
      </w:r>
      <w:r w:rsidRPr="0078474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obsługi — gazociąg </w:t>
      </w:r>
      <w:r w:rsidRPr="00784745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</w:t>
      </w:r>
      <w:r w:rsidRPr="00784745">
        <w:rPr>
          <w:rFonts w:asciiTheme="minorHAnsi" w:hAnsiTheme="minorHAnsi" w:cstheme="minorHAnsi"/>
          <w:bCs/>
          <w:color w:val="000000"/>
          <w:sz w:val="24"/>
          <w:szCs w:val="24"/>
        </w:rPr>
        <w:t>Granica RP w części i w tym zakresie orzekającą co do istoty sprawy albo umarzającą postępowanie pierwszej instancji, a w pozostałej części utrzymującą decyzję w mocy, zgromadzony został cały materiał dowodowy.</w:t>
      </w:r>
    </w:p>
    <w:p w:rsidR="00784745" w:rsidRDefault="00784745" w:rsidP="0078474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4745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784745" w:rsidRDefault="00784745" w:rsidP="0078474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78474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35315B">
        <w:rPr>
          <w:rFonts w:asciiTheme="minorHAnsi" w:hAnsiTheme="minorHAnsi" w:cstheme="minorHAnsi"/>
          <w:color w:val="000000"/>
        </w:rPr>
        <w:t>Jasińska</w:t>
      </w:r>
      <w:r w:rsidR="00400536">
        <w:rPr>
          <w:rFonts w:asciiTheme="minorHAnsi" w:hAnsiTheme="minorHAnsi" w:cstheme="minorHAnsi"/>
          <w:color w:val="000000"/>
        </w:rPr>
        <w:t xml:space="preserve"> </w:t>
      </w:r>
      <w:r w:rsidR="006A3893">
        <w:rPr>
          <w:rFonts w:asciiTheme="minorHAnsi" w:hAnsiTheme="minorHAnsi" w:cstheme="minorHAnsi"/>
          <w:color w:val="000000"/>
        </w:rPr>
        <w:t xml:space="preserve">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84745" w:rsidRPr="00784745" w:rsidRDefault="00784745" w:rsidP="00784745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784745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784745" w:rsidRPr="00784745" w:rsidRDefault="00784745" w:rsidP="00784745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784745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784745" w:rsidP="00784745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784745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8474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8474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8474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8474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8474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5315B"/>
    <w:rsid w:val="003A4832"/>
    <w:rsid w:val="00400536"/>
    <w:rsid w:val="00457259"/>
    <w:rsid w:val="004F5C94"/>
    <w:rsid w:val="0054399D"/>
    <w:rsid w:val="00617ABD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5EC4-E9B1-4D15-AEA5-6D7646D0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2023-07-03T07:26:00Z</dcterms:created>
  <dcterms:modified xsi:type="dcterms:W3CDTF">2023-07-03T07:26:00Z</dcterms:modified>
</cp:coreProperties>
</file>