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7E00">
      <w:pPr>
        <w:autoSpaceDE w:val="0"/>
        <w:spacing w:line="360" w:lineRule="auto"/>
        <w:rPr>
          <w:b/>
          <w:sz w:val="28"/>
          <w:szCs w:val="28"/>
          <w:u w:val="single"/>
        </w:rPr>
      </w:pPr>
      <w:bookmarkStart w:id="0" w:name="_GoBack"/>
      <w:bookmarkEnd w:id="0"/>
    </w:p>
    <w:p w:rsidR="00000000" w:rsidRDefault="008C7E00">
      <w:pPr>
        <w:pStyle w:val="NormalnyWeb"/>
        <w:spacing w:line="276" w:lineRule="auto"/>
        <w:textAlignment w:val="baseline"/>
      </w:pPr>
      <w:r>
        <w:rPr>
          <w:color w:val="000000"/>
          <w:kern w:val="2"/>
          <w:sz w:val="28"/>
          <w:szCs w:val="28"/>
        </w:rPr>
        <w:t xml:space="preserve">  </w:t>
      </w:r>
      <w:r w:rsidR="00ED0FE4">
        <w:rPr>
          <w:noProof/>
          <w:lang w:eastAsia="pl-PL"/>
        </w:rPr>
        <w:drawing>
          <wp:inline distT="0" distB="0" distL="0" distR="0">
            <wp:extent cx="2114550" cy="6953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2" r="-31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2"/>
          <w:sz w:val="28"/>
          <w:szCs w:val="28"/>
        </w:rPr>
        <w:t xml:space="preserve">   </w:t>
      </w:r>
    </w:p>
    <w:p w:rsidR="00000000" w:rsidRDefault="008C7E00">
      <w:pPr>
        <w:pStyle w:val="NormalnyWeb"/>
        <w:spacing w:line="276" w:lineRule="auto"/>
        <w:textAlignment w:val="baseline"/>
        <w:rPr>
          <w:color w:val="000000"/>
          <w:kern w:val="2"/>
          <w:sz w:val="28"/>
          <w:szCs w:val="28"/>
        </w:rPr>
      </w:pPr>
    </w:p>
    <w:p w:rsidR="00000000" w:rsidRDefault="008C7E00">
      <w:pPr>
        <w:ind w:left="5670" w:firstLine="567"/>
      </w:pPr>
      <w:r>
        <w:rPr>
          <w:rFonts w:ascii="Tms Rmn" w:eastAsia="Tms Rmn" w:hAnsi="Tms Rmn" w:cs="Tms Rmn"/>
        </w:rPr>
        <w:t xml:space="preserve">              </w:t>
      </w:r>
    </w:p>
    <w:p w:rsidR="00000000" w:rsidRDefault="008C7E00">
      <w:pPr>
        <w:ind w:left="6237" w:firstLine="567"/>
      </w:pPr>
      <w:r>
        <w:rPr>
          <w:rFonts w:ascii="Tms Rmn" w:eastAsia="Tms Rmn" w:hAnsi="Tms Rmn" w:cs="Tms Rmn"/>
        </w:rPr>
        <w:t xml:space="preserve">    </w:t>
      </w:r>
      <w:r>
        <w:rPr>
          <w:rFonts w:ascii="Tms Rmn" w:hAnsi="Tms Rmn" w:cs="Tms Rmn"/>
        </w:rPr>
        <w:t>Akceptuję:</w:t>
      </w:r>
    </w:p>
    <w:p w:rsidR="00000000" w:rsidRDefault="008C7E00">
      <w:pPr>
        <w:jc w:val="center"/>
        <w:rPr>
          <w:rFonts w:ascii="Tms Rmn" w:hAnsi="Tms Rmn" w:cs="Tms Rmn"/>
        </w:rPr>
      </w:pPr>
    </w:p>
    <w:p w:rsidR="00000000" w:rsidRDefault="008C7E00">
      <w:pPr>
        <w:jc w:val="center"/>
        <w:rPr>
          <w:rFonts w:ascii="Tms Rmn" w:hAnsi="Tms Rmn" w:cs="Tms Rmn"/>
        </w:rPr>
      </w:pPr>
    </w:p>
    <w:p w:rsidR="00000000" w:rsidRDefault="008C7E00">
      <w:pPr>
        <w:ind w:left="5670" w:firstLine="567"/>
        <w:jc w:val="center"/>
      </w:pPr>
      <w:r>
        <w:rPr>
          <w:rFonts w:ascii="Tms Rmn" w:hAnsi="Tms Rmn" w:cs="Tms Rmn"/>
          <w:b/>
        </w:rPr>
        <w:t>Marlena Maląg</w:t>
      </w:r>
    </w:p>
    <w:p w:rsidR="00000000" w:rsidRDefault="008C7E00">
      <w:pPr>
        <w:ind w:left="4536" w:firstLine="567"/>
        <w:jc w:val="center"/>
        <w:rPr>
          <w:rFonts w:ascii="Tms Rmn" w:hAnsi="Tms Rmn" w:cs="Tms Rmn"/>
          <w:b/>
        </w:rPr>
      </w:pPr>
    </w:p>
    <w:p w:rsidR="00000000" w:rsidRDefault="008C7E00">
      <w:pPr>
        <w:ind w:left="5670"/>
        <w:jc w:val="center"/>
      </w:pPr>
      <w:r>
        <w:rPr>
          <w:rFonts w:ascii="Tms Rmn" w:eastAsia="Tms Rmn" w:hAnsi="Tms Rmn" w:cs="Tms Rmn"/>
          <w:b/>
        </w:rPr>
        <w:t xml:space="preserve">          </w:t>
      </w:r>
      <w:r>
        <w:rPr>
          <w:rFonts w:ascii="Tms Rmn" w:hAnsi="Tms Rmn" w:cs="Tms Rmn"/>
          <w:b/>
        </w:rPr>
        <w:t>Mini</w:t>
      </w:r>
      <w:r>
        <w:rPr>
          <w:rFonts w:ascii="Tms Rmn" w:hAnsi="Tms Rmn" w:cs="Tms Rmn"/>
          <w:b/>
        </w:rPr>
        <w:lastRenderedPageBreak/>
        <w:t xml:space="preserve">ster Rodziny i Polityki    </w:t>
      </w:r>
    </w:p>
    <w:p w:rsidR="00000000" w:rsidRDefault="008C7E00">
      <w:pPr>
        <w:ind w:left="5670"/>
        <w:jc w:val="center"/>
      </w:pPr>
      <w:r>
        <w:rPr>
          <w:rFonts w:ascii="Tms Rmn" w:eastAsia="Tms Rmn" w:hAnsi="Tms Rmn" w:cs="Tms Rmn"/>
          <w:b/>
        </w:rPr>
        <w:t xml:space="preserve">         </w:t>
      </w:r>
      <w:r>
        <w:rPr>
          <w:rFonts w:ascii="Tms Rmn" w:hAnsi="Tms Rmn" w:cs="Tms Rmn"/>
          <w:b/>
        </w:rPr>
        <w:t>Społecznej</w:t>
      </w:r>
    </w:p>
    <w:p w:rsidR="00000000" w:rsidRDefault="008C7E00">
      <w:pPr>
        <w:ind w:left="5670" w:firstLine="567"/>
        <w:rPr>
          <w:rFonts w:ascii="Tms Rmn" w:hAnsi="Tms Rmn" w:cs="Tms Rmn"/>
          <w:b/>
        </w:rPr>
      </w:pPr>
    </w:p>
    <w:p w:rsidR="00000000" w:rsidRDefault="008C7E00">
      <w:pPr>
        <w:pStyle w:val="Tekstpodstawowy"/>
        <w:spacing w:after="0"/>
        <w:jc w:val="center"/>
        <w:rPr>
          <w:rFonts w:ascii="Tms Rmn" w:hAnsi="Tms Rmn" w:cs="Tms Rmn"/>
          <w:b/>
        </w:rPr>
      </w:pPr>
    </w:p>
    <w:p w:rsidR="00000000" w:rsidRDefault="008C7E00">
      <w:pPr>
        <w:pStyle w:val="Tekstpodstawowy"/>
        <w:jc w:val="center"/>
        <w:rPr>
          <w:rFonts w:ascii="Tms Rmn" w:hAnsi="Tms Rmn" w:cs="Tms Rmn"/>
          <w:b/>
        </w:rPr>
      </w:pPr>
    </w:p>
    <w:p w:rsidR="00000000" w:rsidRDefault="008C7E00">
      <w:pPr>
        <w:pStyle w:val="Tekstpodstawowy"/>
        <w:jc w:val="center"/>
      </w:pPr>
      <w:r>
        <w:rPr>
          <w:b/>
        </w:rPr>
        <w:t>OGŁOSZENIE</w:t>
      </w:r>
    </w:p>
    <w:p w:rsidR="00000000" w:rsidRDefault="008C7E0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center"/>
      </w:pPr>
      <w:r>
        <w:rPr>
          <w:b/>
          <w:sz w:val="28"/>
          <w:szCs w:val="28"/>
        </w:rPr>
        <w:t xml:space="preserve">Program asystent rodziny na rok 2022 </w:t>
      </w:r>
    </w:p>
    <w:p w:rsidR="00000000" w:rsidRDefault="008C7E00">
      <w:pPr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</w:p>
    <w:p w:rsidR="00000000" w:rsidRDefault="008C7E00">
      <w:pPr>
        <w:spacing w:line="360" w:lineRule="auto"/>
        <w:ind w:firstLine="708"/>
        <w:jc w:val="both"/>
      </w:pPr>
      <w:r>
        <w:rPr>
          <w:color w:val="000000"/>
        </w:rPr>
        <w:lastRenderedPageBreak/>
        <w:t xml:space="preserve">Minister Rodziny i Polityki Społecznej na podstawie </w:t>
      </w:r>
      <w:r>
        <w:t>art. 247 u</w:t>
      </w:r>
      <w:r>
        <w:rPr>
          <w:rFonts w:eastAsia="Calibri"/>
        </w:rPr>
        <w:t xml:space="preserve">stawy z dnia </w:t>
      </w:r>
      <w:r>
        <w:rPr>
          <w:rFonts w:eastAsia="Calibri"/>
        </w:rPr>
        <w:br/>
        <w:t>9 czerwca</w:t>
      </w:r>
      <w:r>
        <w:rPr>
          <w:rFonts w:eastAsia="Calibri"/>
        </w:rPr>
        <w:t xml:space="preserve"> 2011 r. o wspieraniu rodziny i systemie pieczy zastępczej </w:t>
      </w:r>
      <w:r>
        <w:t>(Dz.U. z 2022 r. poz. 447, z późn. zm.)</w:t>
      </w:r>
      <w:r>
        <w:rPr>
          <w:color w:val="000000"/>
        </w:rPr>
        <w:t xml:space="preserve"> oraz art. 9 ustawy z dnia 4 listopada 2016 r. o wsparciu kobiet w ciąży i rodzin „Za życiem” </w:t>
      </w:r>
      <w:hyperlink r:id="rId8" w:history="1">
        <w:r>
          <w:rPr>
            <w:rStyle w:val="Hipercze"/>
            <w:color w:val="000000"/>
          </w:rPr>
          <w:t>(Dz. U. z 2020 r. poz. 1329, z późn. zm.)</w:t>
        </w:r>
      </w:hyperlink>
      <w:r>
        <w:rPr>
          <w:color w:val="000000"/>
        </w:rPr>
        <w:t xml:space="preserve">, przy uwzględnieniu zasad określonych w </w:t>
      </w:r>
      <w:bookmarkStart w:id="1" w:name="_Hlk44510627"/>
      <w:r>
        <w:rPr>
          <w:color w:val="000000"/>
        </w:rPr>
        <w:t>ustawie</w:t>
      </w:r>
      <w:r>
        <w:t xml:space="preserve"> z dnia 27 sierpnia 2009 r.</w:t>
      </w:r>
      <w:r>
        <w:rPr>
          <w:color w:val="000000"/>
        </w:rPr>
        <w:t xml:space="preserve"> o finansach publicznych </w:t>
      </w:r>
      <w:r>
        <w:t>(</w:t>
      </w:r>
      <w:r>
        <w:rPr>
          <w:bCs/>
        </w:rPr>
        <w:t xml:space="preserve">Dz.U. z 2022 r. poz. 1634, z późn. zm.) </w:t>
      </w:r>
      <w:bookmarkEnd w:id="1"/>
      <w:r>
        <w:rPr>
          <w:rFonts w:eastAsia="Calibri"/>
        </w:rPr>
        <w:t>ogłasza</w:t>
      </w:r>
      <w:r>
        <w:t xml:space="preserve"> „Program asystent rodziny na rok 2022”,</w:t>
      </w:r>
      <w:r>
        <w:t xml:space="preserve"> zwany dalej „Programem”, dotyczący dofinansowania dodatków do wynagrodzenia asystentów rodziny.</w:t>
      </w:r>
    </w:p>
    <w:p w:rsidR="00000000" w:rsidRDefault="008C7E00">
      <w:pPr>
        <w:spacing w:line="360" w:lineRule="auto"/>
        <w:ind w:firstLine="708"/>
        <w:jc w:val="both"/>
      </w:pPr>
      <w:r>
        <w:rPr>
          <w:color w:val="000000"/>
        </w:rPr>
        <w:tab/>
      </w:r>
    </w:p>
    <w:p w:rsidR="00000000" w:rsidRDefault="008C7E00">
      <w:pPr>
        <w:numPr>
          <w:ilvl w:val="0"/>
          <w:numId w:val="5"/>
        </w:numPr>
        <w:spacing w:line="360" w:lineRule="auto"/>
        <w:jc w:val="both"/>
      </w:pPr>
      <w:r>
        <w:rPr>
          <w:b/>
          <w:sz w:val="28"/>
          <w:szCs w:val="28"/>
        </w:rPr>
        <w:t>Finansowanie Programu</w:t>
      </w:r>
    </w:p>
    <w:p w:rsidR="00000000" w:rsidRDefault="008C7E00">
      <w:pPr>
        <w:pStyle w:val="Akapitzlist"/>
        <w:numPr>
          <w:ilvl w:val="0"/>
          <w:numId w:val="2"/>
        </w:numPr>
        <w:autoSpaceDE w:val="0"/>
        <w:spacing w:after="200" w:line="360" w:lineRule="auto"/>
        <w:ind w:left="567" w:hanging="567"/>
        <w:contextualSpacing/>
        <w:jc w:val="both"/>
      </w:pPr>
      <w:r>
        <w:t>Źródłem finansowania Programu są środki Funduszu Pracy ujęte w planie finansowym Funduszu Pracy na 2022 r. na podstawie art. 9 ust. 1 u</w:t>
      </w:r>
      <w:r>
        <w:t xml:space="preserve">stawy </w:t>
      </w:r>
      <w:r>
        <w:lastRenderedPageBreak/>
        <w:t xml:space="preserve">z dnia 4 listopada 2016 r. </w:t>
      </w:r>
      <w:r>
        <w:br/>
        <w:t>o wsparciu kobiet w ciąży i rodzin „Za życiem”.</w:t>
      </w:r>
    </w:p>
    <w:p w:rsidR="00000000" w:rsidRDefault="008C7E00">
      <w:pPr>
        <w:pStyle w:val="Akapitzlist"/>
        <w:numPr>
          <w:ilvl w:val="0"/>
          <w:numId w:val="2"/>
        </w:numPr>
        <w:autoSpaceDE w:val="0"/>
        <w:spacing w:after="200" w:line="360" w:lineRule="auto"/>
        <w:ind w:left="567" w:hanging="567"/>
        <w:contextualSpacing/>
        <w:jc w:val="both"/>
      </w:pPr>
      <w:r>
        <w:t xml:space="preserve">Maksymalnie na Program zaplanowano środki w wysokości do </w:t>
      </w:r>
      <w:r>
        <w:rPr>
          <w:b/>
        </w:rPr>
        <w:t>10 mln zł</w:t>
      </w:r>
      <w:r>
        <w:t xml:space="preserve">. Jednocześnie minister właściwy do spraw rodziny może dokonać zmian kwoty wskazanej </w:t>
      </w:r>
      <w:r>
        <w:br/>
        <w:t>w Programie.</w:t>
      </w:r>
    </w:p>
    <w:p w:rsidR="00000000" w:rsidRDefault="008C7E00">
      <w:pPr>
        <w:pStyle w:val="Akapitzlist"/>
        <w:numPr>
          <w:ilvl w:val="0"/>
          <w:numId w:val="2"/>
        </w:numPr>
        <w:autoSpaceDE w:val="0"/>
        <w:spacing w:line="360" w:lineRule="auto"/>
        <w:ind w:left="567" w:hanging="567"/>
        <w:jc w:val="both"/>
      </w:pPr>
      <w:r>
        <w:t>Program d</w:t>
      </w:r>
      <w:r>
        <w:t xml:space="preserve">otyczy również zadań realizowanych przez organizacje pozarządowe </w:t>
      </w:r>
      <w:r>
        <w:br/>
        <w:t>w trybie zlecenia im realizacji części lub całości zadania przez jednostki samorządu terytorialnego na podstawie art. 190 ustawy z dnia 9 czerwca 2011 r. o wspieraniu rodziny i systemie piec</w:t>
      </w:r>
      <w:r>
        <w:t>zy zastępczej.</w:t>
      </w:r>
    </w:p>
    <w:p w:rsidR="00000000" w:rsidRDefault="008C7E00">
      <w:pPr>
        <w:spacing w:line="360" w:lineRule="auto"/>
        <w:jc w:val="both"/>
      </w:pPr>
    </w:p>
    <w:p w:rsidR="00000000" w:rsidRDefault="008C7E00">
      <w:pPr>
        <w:numPr>
          <w:ilvl w:val="0"/>
          <w:numId w:val="5"/>
        </w:numPr>
        <w:spacing w:line="360" w:lineRule="auto"/>
        <w:jc w:val="both"/>
      </w:pPr>
      <w:r>
        <w:rPr>
          <w:b/>
          <w:sz w:val="28"/>
          <w:szCs w:val="28"/>
        </w:rPr>
        <w:t xml:space="preserve">Zadania objęte Programem </w:t>
      </w:r>
    </w:p>
    <w:p w:rsidR="00000000" w:rsidRDefault="008C7E00">
      <w:pPr>
        <w:spacing w:line="360" w:lineRule="auto"/>
        <w:ind w:firstLine="708"/>
        <w:jc w:val="both"/>
      </w:pPr>
      <w:r>
        <w:t xml:space="preserve">Dofinansowanie przyznane w formie dofinansowania dodatków </w:t>
      </w:r>
      <w:r>
        <w:lastRenderedPageBreak/>
        <w:t xml:space="preserve">do wynagrodzenia asystentów rodziny w wysokości </w:t>
      </w:r>
      <w:r>
        <w:rPr>
          <w:b/>
        </w:rPr>
        <w:t>do</w:t>
      </w:r>
      <w:r>
        <w:t xml:space="preserve"> </w:t>
      </w:r>
      <w:r>
        <w:rPr>
          <w:b/>
        </w:rPr>
        <w:t>3 000 zł brutto</w:t>
      </w:r>
      <w:r>
        <w:t xml:space="preserve"> w formie jednorazowej lub podzielonej na kilka części na każdego asystenta rodziny zatrud</w:t>
      </w:r>
      <w:r>
        <w:t xml:space="preserve">nionego w gminie na dzień ogłoszenia Programu, proporcjonalnie do wymiaru etatu.  </w:t>
      </w:r>
    </w:p>
    <w:p w:rsidR="00000000" w:rsidRDefault="008C7E00">
      <w:pPr>
        <w:spacing w:line="360" w:lineRule="auto"/>
        <w:ind w:firstLine="567"/>
        <w:jc w:val="both"/>
        <w:rPr>
          <w:color w:val="FF0000"/>
        </w:rPr>
      </w:pPr>
    </w:p>
    <w:p w:rsidR="00000000" w:rsidRDefault="008C7E00">
      <w:pPr>
        <w:pStyle w:val="Akapitzlist"/>
        <w:numPr>
          <w:ilvl w:val="0"/>
          <w:numId w:val="5"/>
        </w:numPr>
        <w:spacing w:after="200" w:line="360" w:lineRule="auto"/>
        <w:contextualSpacing/>
        <w:jc w:val="both"/>
      </w:pPr>
      <w:r>
        <w:rPr>
          <w:b/>
          <w:sz w:val="28"/>
          <w:szCs w:val="28"/>
        </w:rPr>
        <w:t>Zasady składania ofert</w:t>
      </w:r>
    </w:p>
    <w:p w:rsidR="00000000" w:rsidRDefault="008C7E00">
      <w:pPr>
        <w:pStyle w:val="Akapitzlist"/>
        <w:numPr>
          <w:ilvl w:val="0"/>
          <w:numId w:val="4"/>
        </w:numPr>
        <w:tabs>
          <w:tab w:val="left" w:pos="-720"/>
          <w:tab w:val="left" w:pos="0"/>
          <w:tab w:val="left" w:pos="709"/>
          <w:tab w:val="left" w:pos="2160"/>
          <w:tab w:val="left" w:pos="2880"/>
          <w:tab w:val="left" w:pos="3600"/>
          <w:tab w:val="left" w:pos="4320"/>
        </w:tabs>
        <w:autoSpaceDE w:val="0"/>
        <w:spacing w:line="360" w:lineRule="auto"/>
        <w:ind w:left="709" w:hanging="709"/>
        <w:jc w:val="both"/>
      </w:pPr>
      <w:r>
        <w:rPr>
          <w:color w:val="000000"/>
        </w:rPr>
        <w:t>Wojewoda w terminie 7 dni od dnia ogłoszenia programu zbierze od gmin informacje o liczbie pracujących asystentów rodziny.</w:t>
      </w:r>
    </w:p>
    <w:p w:rsidR="00000000" w:rsidRDefault="008C7E00">
      <w:pPr>
        <w:pStyle w:val="Akapitzlist"/>
        <w:numPr>
          <w:ilvl w:val="0"/>
          <w:numId w:val="4"/>
        </w:numPr>
        <w:tabs>
          <w:tab w:val="left" w:pos="-720"/>
          <w:tab w:val="left" w:pos="0"/>
          <w:tab w:val="left" w:pos="709"/>
          <w:tab w:val="left" w:pos="2160"/>
          <w:tab w:val="left" w:pos="2880"/>
          <w:tab w:val="left" w:pos="3600"/>
          <w:tab w:val="left" w:pos="4320"/>
        </w:tabs>
        <w:autoSpaceDE w:val="0"/>
        <w:spacing w:line="360" w:lineRule="auto"/>
        <w:ind w:left="709" w:hanging="709"/>
        <w:jc w:val="both"/>
      </w:pPr>
      <w:r>
        <w:rPr>
          <w:color w:val="000000"/>
        </w:rPr>
        <w:t>Wojewoda zatwierdzi zestaw</w:t>
      </w:r>
      <w:r>
        <w:rPr>
          <w:color w:val="000000"/>
        </w:rPr>
        <w:t xml:space="preserve">ienie gminne, tj. jednorazowe sprawozdanie opublikowane w Centralnej Aplikacji Statystycznej (CAS) i przekaże wygenerowany z CAS plik .xls do Ministerstwa Rodziny i Polityki Społecznej (MRiPS) </w:t>
      </w:r>
      <w:r>
        <w:rPr>
          <w:color w:val="000000"/>
        </w:rPr>
        <w:br/>
        <w:t>za pośrednictwem platformy ePUAP.</w:t>
      </w:r>
    </w:p>
    <w:p w:rsidR="00000000" w:rsidRDefault="008C7E00">
      <w:pPr>
        <w:pStyle w:val="Akapitzlist"/>
        <w:numPr>
          <w:ilvl w:val="0"/>
          <w:numId w:val="4"/>
        </w:numPr>
        <w:tabs>
          <w:tab w:val="left" w:pos="-720"/>
          <w:tab w:val="left" w:pos="0"/>
          <w:tab w:val="left" w:pos="709"/>
          <w:tab w:val="left" w:pos="2160"/>
          <w:tab w:val="left" w:pos="2880"/>
          <w:tab w:val="left" w:pos="3600"/>
          <w:tab w:val="left" w:pos="4320"/>
        </w:tabs>
        <w:autoSpaceDE w:val="0"/>
        <w:spacing w:line="360" w:lineRule="auto"/>
        <w:ind w:left="709" w:hanging="709"/>
        <w:jc w:val="both"/>
      </w:pPr>
      <w:r>
        <w:lastRenderedPageBreak/>
        <w:t>Minister właściwy do spraw r</w:t>
      </w:r>
      <w:r>
        <w:t>odziny w terminie do 7 dni od dnia przesłania przez wojewodów zestawień zbiorczych ogłosi listę gmin z określeniem wysokości dofinansowania.</w:t>
      </w:r>
    </w:p>
    <w:p w:rsidR="00000000" w:rsidRDefault="008C7E00">
      <w:pPr>
        <w:pStyle w:val="Akapitzlist"/>
        <w:numPr>
          <w:ilvl w:val="0"/>
          <w:numId w:val="4"/>
        </w:numPr>
        <w:tabs>
          <w:tab w:val="left" w:pos="-720"/>
          <w:tab w:val="left" w:pos="0"/>
          <w:tab w:val="left" w:pos="709"/>
          <w:tab w:val="left" w:pos="2160"/>
          <w:tab w:val="left" w:pos="2880"/>
          <w:tab w:val="left" w:pos="3600"/>
          <w:tab w:val="left" w:pos="4320"/>
        </w:tabs>
        <w:autoSpaceDE w:val="0"/>
        <w:spacing w:line="360" w:lineRule="auto"/>
        <w:ind w:left="709" w:hanging="709"/>
        <w:jc w:val="both"/>
      </w:pPr>
      <w:r>
        <w:t>Gminy w ciągu 5 dni od dnia ukazania się niniejszego ogłoszenia przesyłają do właściwego miejscowo urzędu wojewódzk</w:t>
      </w:r>
      <w:r>
        <w:t xml:space="preserve">iego oświadczenie o przyjęciu lub nieprzyjęciu środków Funduszu Pracy. </w:t>
      </w:r>
    </w:p>
    <w:p w:rsidR="00000000" w:rsidRDefault="008C7E00">
      <w:pPr>
        <w:pStyle w:val="Akapitzlist"/>
        <w:numPr>
          <w:ilvl w:val="0"/>
          <w:numId w:val="4"/>
        </w:numPr>
        <w:tabs>
          <w:tab w:val="left" w:pos="-720"/>
          <w:tab w:val="left" w:pos="0"/>
          <w:tab w:val="left" w:pos="709"/>
          <w:tab w:val="left" w:pos="2160"/>
          <w:tab w:val="left" w:pos="2880"/>
          <w:tab w:val="left" w:pos="3600"/>
          <w:tab w:val="left" w:pos="4320"/>
        </w:tabs>
        <w:autoSpaceDE w:val="0"/>
        <w:spacing w:line="360" w:lineRule="auto"/>
        <w:ind w:left="709" w:hanging="709"/>
        <w:jc w:val="both"/>
      </w:pPr>
      <w:r>
        <w:t xml:space="preserve">Wojewoda oraz beneficjent Programu zobowiązani są do podpisania umowy </w:t>
      </w:r>
      <w:r>
        <w:br/>
        <w:t>w sprawie przekazania dofinansowania niezwłocznie po uzyskaniu środków na realizację Programu (tj. od daty wpływu</w:t>
      </w:r>
      <w:r>
        <w:t xml:space="preserve"> środków Funduszu Pracy na rachunek bankowy wojewody).</w:t>
      </w:r>
    </w:p>
    <w:p w:rsidR="00000000" w:rsidRDefault="008C7E00">
      <w:pPr>
        <w:pStyle w:val="Akapitzlist"/>
        <w:numPr>
          <w:ilvl w:val="0"/>
          <w:numId w:val="4"/>
        </w:numPr>
        <w:tabs>
          <w:tab w:val="left" w:pos="-720"/>
          <w:tab w:val="left" w:pos="0"/>
          <w:tab w:val="left" w:pos="709"/>
          <w:tab w:val="left" w:pos="2160"/>
          <w:tab w:val="left" w:pos="2880"/>
          <w:tab w:val="left" w:pos="3600"/>
          <w:tab w:val="left" w:pos="4320"/>
        </w:tabs>
        <w:autoSpaceDE w:val="0"/>
        <w:spacing w:line="360" w:lineRule="auto"/>
        <w:ind w:left="709" w:hanging="709"/>
        <w:jc w:val="both"/>
      </w:pPr>
      <w:r>
        <w:lastRenderedPageBreak/>
        <w:t>W przypadku rezygnacji z udziału w Programie, beneficjent Programu jest zobowiązany do złożenia niezwłocznie rezygnacji do urzędu wojewódzkiego w formie pisemnej.</w:t>
      </w:r>
    </w:p>
    <w:p w:rsidR="00000000" w:rsidRDefault="008C7E00">
      <w:pPr>
        <w:pStyle w:val="Akapitzlist"/>
        <w:tabs>
          <w:tab w:val="left" w:pos="-720"/>
          <w:tab w:val="left" w:pos="0"/>
          <w:tab w:val="left" w:pos="709"/>
          <w:tab w:val="left" w:pos="2160"/>
          <w:tab w:val="left" w:pos="2880"/>
          <w:tab w:val="left" w:pos="3600"/>
          <w:tab w:val="left" w:pos="4320"/>
        </w:tabs>
        <w:autoSpaceDE w:val="0"/>
        <w:spacing w:line="360" w:lineRule="auto"/>
        <w:ind w:left="709"/>
        <w:jc w:val="both"/>
      </w:pPr>
    </w:p>
    <w:p w:rsidR="00000000" w:rsidRDefault="008C7E00">
      <w:pPr>
        <w:pStyle w:val="Akapitzlist"/>
        <w:numPr>
          <w:ilvl w:val="0"/>
          <w:numId w:val="5"/>
        </w:numPr>
        <w:tabs>
          <w:tab w:val="left" w:pos="-720"/>
          <w:tab w:val="left" w:pos="0"/>
          <w:tab w:val="left" w:pos="709"/>
          <w:tab w:val="left" w:pos="2160"/>
          <w:tab w:val="left" w:pos="2880"/>
          <w:tab w:val="left" w:pos="3600"/>
          <w:tab w:val="left" w:pos="4320"/>
        </w:tabs>
        <w:autoSpaceDE w:val="0"/>
        <w:spacing w:after="120"/>
        <w:jc w:val="both"/>
      </w:pPr>
      <w:r>
        <w:rPr>
          <w:b/>
          <w:sz w:val="28"/>
          <w:szCs w:val="28"/>
        </w:rPr>
        <w:t>Zasady i tryb rozpatrywania ofert</w:t>
      </w:r>
    </w:p>
    <w:p w:rsidR="00000000" w:rsidRDefault="008C7E00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ind w:hanging="720"/>
        <w:jc w:val="both"/>
      </w:pPr>
      <w:r>
        <w:rPr>
          <w:bCs/>
          <w:color w:val="000000"/>
        </w:rPr>
        <w:t>Wyn</w:t>
      </w:r>
      <w:r>
        <w:rPr>
          <w:bCs/>
          <w:color w:val="000000"/>
        </w:rPr>
        <w:t>iki, z podaniem listy gmin otrzymujących dofinansowanie wraz z kwotami dofinansowania, zostaną ogłoszone na stronie internetowej MRiPS.</w:t>
      </w:r>
    </w:p>
    <w:p w:rsidR="008C7E00" w:rsidRDefault="008C7E00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360" w:lineRule="auto"/>
        <w:ind w:left="851" w:hanging="851"/>
        <w:jc w:val="both"/>
      </w:pPr>
      <w:r>
        <w:rPr>
          <w:bCs/>
          <w:color w:val="000000"/>
        </w:rPr>
        <w:t>Na rozstrzygnięcie w sprawie udzielenia dofinansowania nie przysługuje odwołanie.</w:t>
      </w:r>
    </w:p>
    <w:sectPr w:rsidR="008C7E00">
      <w:footerReference w:type="default" r:id="rId9"/>
      <w:pgSz w:w="11906" w:h="16838"/>
      <w:pgMar w:top="567" w:right="1417" w:bottom="568" w:left="1417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00" w:rsidRDefault="008C7E00">
      <w:r>
        <w:separator/>
      </w:r>
    </w:p>
  </w:endnote>
  <w:endnote w:type="continuationSeparator" w:id="0">
    <w:p w:rsidR="008C7E00" w:rsidRDefault="008C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C7E00">
    <w:pPr>
      <w:pStyle w:val="Stopka"/>
      <w:jc w:val="center"/>
      <w:rPr>
        <w:sz w:val="18"/>
        <w:szCs w:val="18"/>
      </w:rPr>
    </w:pPr>
    <w:r>
      <w:fldChar w:fldCharType="begin"/>
    </w:r>
    <w:r>
      <w:instrText xml:space="preserve"> PAGE </w:instrText>
    </w:r>
    <w:r>
      <w:fldChar w:fldCharType="separate"/>
    </w:r>
    <w:r w:rsidR="00ED0FE4">
      <w:rPr>
        <w:noProof/>
      </w:rPr>
      <w:t>1</w:t>
    </w:r>
    <w:r>
      <w:fldChar w:fldCharType="end"/>
    </w:r>
  </w:p>
  <w:p w:rsidR="00000000" w:rsidRDefault="008C7E00">
    <w:pPr>
      <w:pStyle w:val="Stopka"/>
    </w:pPr>
    <w:r>
      <w:rPr>
        <w:sz w:val="18"/>
        <w:szCs w:val="18"/>
      </w:rPr>
      <w:t>Ministerstwo Rodziny i Poli</w:t>
    </w:r>
    <w:r>
      <w:rPr>
        <w:sz w:val="18"/>
        <w:szCs w:val="18"/>
      </w:rPr>
      <w:t>tyki Społecznej</w:t>
    </w:r>
  </w:p>
  <w:p w:rsidR="00000000" w:rsidRDefault="008C7E00">
    <w:pPr>
      <w:pStyle w:val="Stopka"/>
      <w:tabs>
        <w:tab w:val="left" w:pos="8004"/>
      </w:tabs>
    </w:pPr>
    <w:r>
      <w:rPr>
        <w:sz w:val="18"/>
        <w:szCs w:val="18"/>
      </w:rPr>
      <w:t>ul. Nowogrodzka 1/3/5, 00-513 Warszawa</w:t>
    </w:r>
  </w:p>
  <w:p w:rsidR="00000000" w:rsidRDefault="008C7E00">
    <w:pPr>
      <w:pStyle w:val="Stopka"/>
      <w:tabs>
        <w:tab w:val="left" w:pos="8025"/>
      </w:tabs>
    </w:pPr>
    <w:r>
      <w:rPr>
        <w:sz w:val="18"/>
        <w:szCs w:val="18"/>
        <w:lang w:val="en-US"/>
      </w:rPr>
      <w:t xml:space="preserve">e-mail: </w:t>
    </w:r>
    <w:hyperlink r:id="rId1" w:history="1">
      <w:r>
        <w:rPr>
          <w:rStyle w:val="Hipercze"/>
          <w:szCs w:val="18"/>
          <w:lang w:val="en-US"/>
        </w:rPr>
        <w:t>info@mrips.gov.pl</w:t>
      </w:r>
    </w:hyperlink>
    <w:r>
      <w:rPr>
        <w:sz w:val="18"/>
        <w:szCs w:val="18"/>
        <w:lang w:val="en-US"/>
      </w:rPr>
      <w:t>, tel. 222-500-108</w:t>
    </w:r>
    <w:r>
      <w:rPr>
        <w:sz w:val="18"/>
        <w:szCs w:val="18"/>
        <w:lang w:val="en-US"/>
      </w:rPr>
      <w:tab/>
    </w:r>
  </w:p>
  <w:p w:rsidR="00000000" w:rsidRDefault="008C7E00">
    <w:pPr>
      <w:pStyle w:val="Stopka"/>
      <w:rPr>
        <w:sz w:val="18"/>
        <w:szCs w:val="18"/>
        <w:lang w:val="en-US"/>
      </w:rPr>
    </w:pPr>
  </w:p>
  <w:p w:rsidR="00000000" w:rsidRDefault="008C7E00">
    <w:pPr>
      <w:pStyle w:val="Stopka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00" w:rsidRDefault="008C7E00">
      <w:r>
        <w:separator/>
      </w:r>
    </w:p>
  </w:footnote>
  <w:footnote w:type="continuationSeparator" w:id="0">
    <w:p w:rsidR="008C7E00" w:rsidRDefault="008C7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67"/>
        </w:tabs>
        <w:ind w:left="720" w:hanging="360"/>
      </w:pPr>
      <w:rPr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E4"/>
    <w:rsid w:val="008C7E00"/>
    <w:rsid w:val="00E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F603C747-BB98-45E8-B53F-0883ED8B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480" w:after="3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 w:cs="Cambria"/>
      <w:b/>
      <w:bCs/>
      <w:szCs w:val="28"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line="220" w:lineRule="atLeast"/>
      <w:ind w:left="1080"/>
      <w:jc w:val="both"/>
      <w:outlineLvl w:val="5"/>
    </w:pPr>
    <w:rPr>
      <w:rFonts w:ascii="Arial Black" w:hAnsi="Arial Black" w:cs="Arial Black"/>
      <w:spacing w:val="-5"/>
      <w:kern w:val="2"/>
      <w:sz w:val="18"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i w:val="0"/>
    </w:rPr>
  </w:style>
  <w:style w:type="character" w:customStyle="1" w:styleId="WW8Num4z0">
    <w:name w:val="WW8Num4z0"/>
    <w:rPr>
      <w:sz w:val="28"/>
      <w:szCs w:val="28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8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color w:val="000000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sz w:val="28"/>
      <w:szCs w:val="28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sz w:val="28"/>
      <w:szCs w:val="2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sz w:val="24"/>
      <w:szCs w:val="28"/>
    </w:rPr>
  </w:style>
  <w:style w:type="character" w:customStyle="1" w:styleId="Nagwek6Znak">
    <w:name w:val="Nagłówek 6 Znak"/>
    <w:rPr>
      <w:rFonts w:ascii="Arial Black" w:eastAsia="Times New Roman" w:hAnsi="Arial Black" w:cs="Times New Roman"/>
      <w:spacing w:val="-5"/>
      <w:kern w:val="2"/>
      <w:sz w:val="18"/>
      <w:szCs w:val="20"/>
    </w:rPr>
  </w:style>
  <w:style w:type="character" w:customStyle="1" w:styleId="Nagwek9Znak">
    <w:name w:val="Nagłówek 9 Znak"/>
    <w:rPr>
      <w:rFonts w:ascii="Cambria" w:eastAsia="Times New Roman" w:hAnsi="Cambria" w:cs="Times New Roman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qFormat/>
    <w:rPr>
      <w:b/>
      <w:bCs/>
      <w:i w:val="0"/>
      <w:iCs w:val="0"/>
    </w:rPr>
  </w:style>
  <w:style w:type="character" w:styleId="Pogrubienie">
    <w:name w:val="Strong"/>
    <w:qFormat/>
    <w:rPr>
      <w:b/>
      <w:bCs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rPr>
      <w:sz w:val="16"/>
      <w:szCs w:val="16"/>
      <w:lang w:val="pl-PL" w:bidi="ar-SA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Nierozpoznanawzmianka">
    <w:name w:val="Nierozpoznana wzmianka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lang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Spistreci1">
    <w:name w:val="toc 1"/>
    <w:basedOn w:val="Normalny"/>
    <w:next w:val="Normalny"/>
    <w:pPr>
      <w:spacing w:line="360" w:lineRule="auto"/>
    </w:pPr>
  </w:style>
  <w:style w:type="paragraph" w:styleId="Spistreci4">
    <w:name w:val="toc 4"/>
    <w:basedOn w:val="Normalny"/>
    <w:next w:val="Normalny"/>
    <w:pPr>
      <w:ind w:left="720"/>
    </w:pPr>
  </w:style>
  <w:style w:type="paragraph" w:styleId="Spistreci2">
    <w:name w:val="toc 2"/>
    <w:basedOn w:val="Normalny"/>
    <w:next w:val="Normalny"/>
    <w:pPr>
      <w:spacing w:line="360" w:lineRule="auto"/>
      <w:ind w:left="238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jc w:val="both"/>
    </w:pPr>
    <w:rPr>
      <w:spacing w:val="-5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M2013e2-s3">
    <w:name w:val="M2013e2-s3"/>
    <w:basedOn w:val="Tekstpodstawowywcity"/>
    <w:pPr>
      <w:spacing w:before="120" w:line="360" w:lineRule="auto"/>
      <w:ind w:left="9793" w:hanging="720"/>
      <w:jc w:val="both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brga3d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Wanda Rutecka - Wybraniec</cp:lastModifiedBy>
  <cp:revision>2</cp:revision>
  <cp:lastPrinted>2015-03-09T14:05:00Z</cp:lastPrinted>
  <dcterms:created xsi:type="dcterms:W3CDTF">2022-11-21T12:58:00Z</dcterms:created>
  <dcterms:modified xsi:type="dcterms:W3CDTF">2022-11-21T12:58:00Z</dcterms:modified>
</cp:coreProperties>
</file>