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26" w:rsidRDefault="00E52F26" w:rsidP="00255628">
      <w:pPr>
        <w:ind w:left="3540"/>
        <w:rPr>
          <w:sz w:val="23"/>
          <w:szCs w:val="23"/>
        </w:rPr>
      </w:pPr>
    </w:p>
    <w:p w:rsidR="00E52F26" w:rsidRDefault="00E52F26" w:rsidP="00255628">
      <w:pPr>
        <w:ind w:left="3540"/>
        <w:rPr>
          <w:sz w:val="23"/>
          <w:szCs w:val="23"/>
        </w:rPr>
      </w:pPr>
    </w:p>
    <w:p w:rsidR="00E52F26" w:rsidRDefault="00E52F26" w:rsidP="00255628">
      <w:pPr>
        <w:ind w:left="3540"/>
        <w:rPr>
          <w:sz w:val="23"/>
          <w:szCs w:val="23"/>
        </w:rPr>
      </w:pPr>
    </w:p>
    <w:p w:rsidR="00255628" w:rsidRPr="00255628" w:rsidRDefault="00255628" w:rsidP="00255628">
      <w:pPr>
        <w:ind w:left="3540"/>
        <w:rPr>
          <w:sz w:val="23"/>
          <w:szCs w:val="23"/>
        </w:rPr>
      </w:pPr>
      <w:r w:rsidRPr="00255628">
        <w:rPr>
          <w:sz w:val="23"/>
          <w:szCs w:val="23"/>
        </w:rPr>
        <w:t>Departament Cen Transferowych i Wycen</w:t>
      </w:r>
    </w:p>
    <w:p w:rsidR="00255628" w:rsidRPr="00255628" w:rsidRDefault="00255628" w:rsidP="00255628">
      <w:pPr>
        <w:ind w:left="3540"/>
        <w:rPr>
          <w:sz w:val="23"/>
          <w:szCs w:val="23"/>
        </w:rPr>
      </w:pPr>
      <w:r w:rsidRPr="00255628">
        <w:rPr>
          <w:sz w:val="23"/>
          <w:szCs w:val="23"/>
        </w:rPr>
        <w:t>Ministerstwo Finansów</w:t>
      </w:r>
    </w:p>
    <w:p w:rsidR="00255628" w:rsidRPr="00255628" w:rsidRDefault="00255628" w:rsidP="00255628">
      <w:pPr>
        <w:ind w:left="3540"/>
        <w:rPr>
          <w:sz w:val="23"/>
          <w:szCs w:val="23"/>
        </w:rPr>
      </w:pPr>
      <w:r w:rsidRPr="00255628">
        <w:rPr>
          <w:sz w:val="23"/>
          <w:szCs w:val="23"/>
        </w:rPr>
        <w:t>ul. Świętokrzyska 12</w:t>
      </w:r>
    </w:p>
    <w:p w:rsidR="00255628" w:rsidRPr="00255628" w:rsidRDefault="00255628" w:rsidP="00255628">
      <w:pPr>
        <w:ind w:left="3540"/>
        <w:rPr>
          <w:sz w:val="23"/>
          <w:szCs w:val="23"/>
        </w:rPr>
      </w:pPr>
      <w:r w:rsidRPr="00255628">
        <w:rPr>
          <w:sz w:val="23"/>
          <w:szCs w:val="23"/>
        </w:rPr>
        <w:t>00-916 Warszawa</w:t>
      </w:r>
    </w:p>
    <w:p w:rsidR="00255628" w:rsidRPr="00255628" w:rsidRDefault="00255628" w:rsidP="00255628">
      <w:pPr>
        <w:rPr>
          <w:sz w:val="23"/>
          <w:szCs w:val="23"/>
        </w:rPr>
      </w:pPr>
    </w:p>
    <w:p w:rsidR="00255628" w:rsidRPr="00255628" w:rsidRDefault="00255628" w:rsidP="00255628">
      <w:pPr>
        <w:rPr>
          <w:sz w:val="23"/>
          <w:szCs w:val="23"/>
        </w:rPr>
      </w:pPr>
      <w:r w:rsidRPr="00255628">
        <w:rPr>
          <w:sz w:val="23"/>
          <w:szCs w:val="23"/>
        </w:rPr>
        <w:t>Szanowni Państwo,</w:t>
      </w:r>
    </w:p>
    <w:p w:rsidR="00255628" w:rsidRDefault="00255628" w:rsidP="00255628">
      <w:pPr>
        <w:rPr>
          <w:b/>
          <w:sz w:val="23"/>
          <w:szCs w:val="23"/>
        </w:rPr>
      </w:pPr>
    </w:p>
    <w:p w:rsidR="00255628" w:rsidRDefault="00255628" w:rsidP="00255628">
      <w:pPr>
        <w:jc w:val="center"/>
        <w:rPr>
          <w:b/>
          <w:sz w:val="23"/>
          <w:szCs w:val="23"/>
        </w:rPr>
      </w:pPr>
      <w:r>
        <w:rPr>
          <w:b/>
          <w:sz w:val="23"/>
          <w:szCs w:val="23"/>
        </w:rPr>
        <w:t>Uwagi w ramach procesu konsultacji na Forum Cen Transferowych</w:t>
      </w:r>
    </w:p>
    <w:p w:rsidR="00255628" w:rsidRPr="00255628" w:rsidRDefault="00255628" w:rsidP="00255628">
      <w:pPr>
        <w:rPr>
          <w:b/>
          <w:sz w:val="23"/>
          <w:szCs w:val="23"/>
        </w:rPr>
      </w:pPr>
    </w:p>
    <w:p w:rsidR="00255628" w:rsidRDefault="00255628" w:rsidP="00255628">
      <w:pPr>
        <w:rPr>
          <w:sz w:val="23"/>
          <w:szCs w:val="23"/>
        </w:rPr>
      </w:pPr>
    </w:p>
    <w:p w:rsidR="00255628" w:rsidRPr="00255628" w:rsidRDefault="00255628" w:rsidP="003F1BE2">
      <w:pPr>
        <w:spacing w:line="360" w:lineRule="auto"/>
        <w:jc w:val="both"/>
        <w:rPr>
          <w:sz w:val="23"/>
          <w:szCs w:val="23"/>
        </w:rPr>
      </w:pPr>
      <w:r w:rsidRPr="00255628">
        <w:rPr>
          <w:sz w:val="23"/>
          <w:szCs w:val="23"/>
        </w:rPr>
        <w:t xml:space="preserve">W nawiązaniu do dyskusji w dniu 8 stycznia 2019r., </w:t>
      </w:r>
      <w:r w:rsidR="00C62C7E">
        <w:rPr>
          <w:sz w:val="23"/>
          <w:szCs w:val="23"/>
        </w:rPr>
        <w:t xml:space="preserve">w ramach Forum Cen Transferowych </w:t>
      </w:r>
      <w:r w:rsidRPr="00255628">
        <w:rPr>
          <w:sz w:val="23"/>
          <w:szCs w:val="23"/>
        </w:rPr>
        <w:t>zgłaszam uwagi w nw. tem</w:t>
      </w:r>
      <w:r w:rsidR="003F1BE2">
        <w:rPr>
          <w:sz w:val="23"/>
          <w:szCs w:val="23"/>
        </w:rPr>
        <w:t xml:space="preserve">atach poruszanych na spotkaniu. Pragnę zwrócić uwagę, że nn. uwagi mają charakter roboczy, zgodnie z charakterem pracy Forum. </w:t>
      </w:r>
    </w:p>
    <w:p w:rsidR="00255628" w:rsidRDefault="00255628">
      <w:pPr>
        <w:rPr>
          <w:b/>
          <w:sz w:val="23"/>
          <w:szCs w:val="23"/>
        </w:rPr>
      </w:pPr>
    </w:p>
    <w:sdt>
      <w:sdtPr>
        <w:id w:val="1955517711"/>
        <w:docPartObj>
          <w:docPartGallery w:val="Table of Contents"/>
          <w:docPartUnique/>
        </w:docPartObj>
      </w:sdtPr>
      <w:sdtEndPr>
        <w:rPr>
          <w:rFonts w:ascii="Times New Roman" w:eastAsia="Times New Roman" w:hAnsi="Times New Roman"/>
          <w:b/>
          <w:i w:val="0"/>
          <w:color w:val="auto"/>
          <w:sz w:val="24"/>
          <w:szCs w:val="24"/>
        </w:rPr>
      </w:sdtEndPr>
      <w:sdtContent>
        <w:p w:rsidR="00255628" w:rsidRDefault="00255628">
          <w:pPr>
            <w:pStyle w:val="Nagwekspisutreci"/>
          </w:pPr>
          <w:r>
            <w:t>Spis treści</w:t>
          </w:r>
        </w:p>
        <w:p w:rsidR="00C62C7E" w:rsidRDefault="00255628">
          <w:pPr>
            <w:pStyle w:val="Spistreci1"/>
            <w:tabs>
              <w:tab w:val="right" w:leader="dot" w:pos="9062"/>
            </w:tabs>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534795886" w:history="1">
            <w:r w:rsidR="00C62C7E" w:rsidRPr="001E7E17">
              <w:rPr>
                <w:rStyle w:val="Hipercze"/>
                <w:noProof/>
              </w:rPr>
              <w:t>Art. 11c ust. 1 Wymóg ustalania ceny transferowej na warunkach, które uzgodniłyby między sobą podmioty niepowiązane</w:t>
            </w:r>
            <w:r w:rsidR="00C62C7E">
              <w:rPr>
                <w:noProof/>
                <w:webHidden/>
              </w:rPr>
              <w:tab/>
            </w:r>
            <w:r w:rsidR="00C62C7E">
              <w:rPr>
                <w:noProof/>
                <w:webHidden/>
              </w:rPr>
              <w:fldChar w:fldCharType="begin"/>
            </w:r>
            <w:r w:rsidR="00C62C7E">
              <w:rPr>
                <w:noProof/>
                <w:webHidden/>
              </w:rPr>
              <w:instrText xml:space="preserve"> PAGEREF _Toc534795886 \h </w:instrText>
            </w:r>
            <w:r w:rsidR="00C62C7E">
              <w:rPr>
                <w:noProof/>
                <w:webHidden/>
              </w:rPr>
            </w:r>
            <w:r w:rsidR="00C62C7E">
              <w:rPr>
                <w:noProof/>
                <w:webHidden/>
              </w:rPr>
              <w:fldChar w:fldCharType="separate"/>
            </w:r>
            <w:r w:rsidR="00C62C7E">
              <w:rPr>
                <w:noProof/>
                <w:webHidden/>
              </w:rPr>
              <w:t>1</w:t>
            </w:r>
            <w:r w:rsidR="00C62C7E">
              <w:rPr>
                <w:noProof/>
                <w:webHidden/>
              </w:rPr>
              <w:fldChar w:fldCharType="end"/>
            </w:r>
          </w:hyperlink>
        </w:p>
        <w:p w:rsidR="00C62C7E" w:rsidRDefault="00C62C7E">
          <w:pPr>
            <w:pStyle w:val="Spistreci1"/>
            <w:tabs>
              <w:tab w:val="right" w:leader="dot" w:pos="9062"/>
            </w:tabs>
            <w:rPr>
              <w:rFonts w:asciiTheme="minorHAnsi" w:eastAsiaTheme="minorEastAsia" w:hAnsiTheme="minorHAnsi" w:cstheme="minorBidi"/>
              <w:noProof/>
              <w:sz w:val="22"/>
              <w:szCs w:val="22"/>
              <w:lang w:eastAsia="pl-PL"/>
            </w:rPr>
          </w:pPr>
          <w:hyperlink w:anchor="_Toc534795887" w:history="1">
            <w:r w:rsidRPr="001E7E17">
              <w:rPr>
                <w:rStyle w:val="Hipercze"/>
                <w:noProof/>
              </w:rPr>
              <w:t>Baza kosztowa dla usług wewnątrz grupowych – wydatki akcjonariusza</w:t>
            </w:r>
            <w:r>
              <w:rPr>
                <w:noProof/>
                <w:webHidden/>
              </w:rPr>
              <w:tab/>
            </w:r>
            <w:r>
              <w:rPr>
                <w:noProof/>
                <w:webHidden/>
              </w:rPr>
              <w:fldChar w:fldCharType="begin"/>
            </w:r>
            <w:r>
              <w:rPr>
                <w:noProof/>
                <w:webHidden/>
              </w:rPr>
              <w:instrText xml:space="preserve"> PAGEREF _Toc534795887 \h </w:instrText>
            </w:r>
            <w:r>
              <w:rPr>
                <w:noProof/>
                <w:webHidden/>
              </w:rPr>
            </w:r>
            <w:r>
              <w:rPr>
                <w:noProof/>
                <w:webHidden/>
              </w:rPr>
              <w:fldChar w:fldCharType="separate"/>
            </w:r>
            <w:r>
              <w:rPr>
                <w:noProof/>
                <w:webHidden/>
              </w:rPr>
              <w:t>6</w:t>
            </w:r>
            <w:r>
              <w:rPr>
                <w:noProof/>
                <w:webHidden/>
              </w:rPr>
              <w:fldChar w:fldCharType="end"/>
            </w:r>
          </w:hyperlink>
        </w:p>
        <w:p w:rsidR="00C62C7E" w:rsidRDefault="00C62C7E">
          <w:pPr>
            <w:pStyle w:val="Spistreci1"/>
            <w:tabs>
              <w:tab w:val="right" w:leader="dot" w:pos="9062"/>
            </w:tabs>
            <w:rPr>
              <w:rFonts w:asciiTheme="minorHAnsi" w:eastAsiaTheme="minorEastAsia" w:hAnsiTheme="minorHAnsi" w:cstheme="minorBidi"/>
              <w:noProof/>
              <w:sz w:val="22"/>
              <w:szCs w:val="22"/>
              <w:lang w:eastAsia="pl-PL"/>
            </w:rPr>
          </w:pPr>
          <w:hyperlink w:anchor="_Toc534795888" w:history="1">
            <w:r w:rsidRPr="001E7E17">
              <w:rPr>
                <w:rStyle w:val="Hipercze"/>
                <w:noProof/>
              </w:rPr>
              <w:t>Informacje o schematach podatkowych a przepisy o cenach transferowych</w:t>
            </w:r>
            <w:r>
              <w:rPr>
                <w:noProof/>
                <w:webHidden/>
              </w:rPr>
              <w:tab/>
            </w:r>
            <w:r>
              <w:rPr>
                <w:noProof/>
                <w:webHidden/>
              </w:rPr>
              <w:fldChar w:fldCharType="begin"/>
            </w:r>
            <w:r>
              <w:rPr>
                <w:noProof/>
                <w:webHidden/>
              </w:rPr>
              <w:instrText xml:space="preserve"> PAGEREF _Toc534795888 \h </w:instrText>
            </w:r>
            <w:r>
              <w:rPr>
                <w:noProof/>
                <w:webHidden/>
              </w:rPr>
            </w:r>
            <w:r>
              <w:rPr>
                <w:noProof/>
                <w:webHidden/>
              </w:rPr>
              <w:fldChar w:fldCharType="separate"/>
            </w:r>
            <w:r>
              <w:rPr>
                <w:noProof/>
                <w:webHidden/>
              </w:rPr>
              <w:t>6</w:t>
            </w:r>
            <w:r>
              <w:rPr>
                <w:noProof/>
                <w:webHidden/>
              </w:rPr>
              <w:fldChar w:fldCharType="end"/>
            </w:r>
          </w:hyperlink>
        </w:p>
        <w:p w:rsidR="00C62C7E" w:rsidRDefault="00C62C7E">
          <w:pPr>
            <w:pStyle w:val="Spistreci1"/>
            <w:tabs>
              <w:tab w:val="right" w:leader="dot" w:pos="9062"/>
            </w:tabs>
            <w:rPr>
              <w:rFonts w:asciiTheme="minorHAnsi" w:eastAsiaTheme="minorEastAsia" w:hAnsiTheme="minorHAnsi" w:cstheme="minorBidi"/>
              <w:noProof/>
              <w:sz w:val="22"/>
              <w:szCs w:val="22"/>
              <w:lang w:eastAsia="pl-PL"/>
            </w:rPr>
          </w:pPr>
          <w:hyperlink w:anchor="_Toc534795889" w:history="1">
            <w:r w:rsidRPr="001E7E17">
              <w:rPr>
                <w:rStyle w:val="Hipercze"/>
                <w:noProof/>
              </w:rPr>
              <w:t>Uwagi dotyczące metody polegającej na zastosowaniu techniki wyceny</w:t>
            </w:r>
            <w:r>
              <w:rPr>
                <w:noProof/>
                <w:webHidden/>
              </w:rPr>
              <w:tab/>
            </w:r>
            <w:r>
              <w:rPr>
                <w:noProof/>
                <w:webHidden/>
              </w:rPr>
              <w:fldChar w:fldCharType="begin"/>
            </w:r>
            <w:r>
              <w:rPr>
                <w:noProof/>
                <w:webHidden/>
              </w:rPr>
              <w:instrText xml:space="preserve"> PAGEREF _Toc534795889 \h </w:instrText>
            </w:r>
            <w:r>
              <w:rPr>
                <w:noProof/>
                <w:webHidden/>
              </w:rPr>
            </w:r>
            <w:r>
              <w:rPr>
                <w:noProof/>
                <w:webHidden/>
              </w:rPr>
              <w:fldChar w:fldCharType="separate"/>
            </w:r>
            <w:r>
              <w:rPr>
                <w:noProof/>
                <w:webHidden/>
              </w:rPr>
              <w:t>7</w:t>
            </w:r>
            <w:r>
              <w:rPr>
                <w:noProof/>
                <w:webHidden/>
              </w:rPr>
              <w:fldChar w:fldCharType="end"/>
            </w:r>
          </w:hyperlink>
        </w:p>
        <w:p w:rsidR="00C62C7E" w:rsidRDefault="00C62C7E">
          <w:pPr>
            <w:pStyle w:val="Spistreci1"/>
            <w:tabs>
              <w:tab w:val="right" w:leader="dot" w:pos="9062"/>
            </w:tabs>
            <w:rPr>
              <w:rFonts w:asciiTheme="minorHAnsi" w:eastAsiaTheme="minorEastAsia" w:hAnsiTheme="minorHAnsi" w:cstheme="minorBidi"/>
              <w:noProof/>
              <w:sz w:val="22"/>
              <w:szCs w:val="22"/>
              <w:lang w:eastAsia="pl-PL"/>
            </w:rPr>
          </w:pPr>
          <w:hyperlink w:anchor="_Toc534795890" w:history="1">
            <w:r w:rsidRPr="001E7E17">
              <w:rPr>
                <w:rStyle w:val="Hipercze"/>
                <w:noProof/>
              </w:rPr>
              <w:t>Objaśnienie kwestii sprawowania kontroli nad ryzkiem oraz zdolności do pełnienia przypisanej funkcji</w:t>
            </w:r>
            <w:r>
              <w:rPr>
                <w:noProof/>
                <w:webHidden/>
              </w:rPr>
              <w:tab/>
            </w:r>
            <w:r>
              <w:rPr>
                <w:noProof/>
                <w:webHidden/>
              </w:rPr>
              <w:fldChar w:fldCharType="begin"/>
            </w:r>
            <w:r>
              <w:rPr>
                <w:noProof/>
                <w:webHidden/>
              </w:rPr>
              <w:instrText xml:space="preserve"> PAGEREF _Toc534795890 \h </w:instrText>
            </w:r>
            <w:r>
              <w:rPr>
                <w:noProof/>
                <w:webHidden/>
              </w:rPr>
            </w:r>
            <w:r>
              <w:rPr>
                <w:noProof/>
                <w:webHidden/>
              </w:rPr>
              <w:fldChar w:fldCharType="separate"/>
            </w:r>
            <w:r>
              <w:rPr>
                <w:noProof/>
                <w:webHidden/>
              </w:rPr>
              <w:t>10</w:t>
            </w:r>
            <w:r>
              <w:rPr>
                <w:noProof/>
                <w:webHidden/>
              </w:rPr>
              <w:fldChar w:fldCharType="end"/>
            </w:r>
          </w:hyperlink>
        </w:p>
        <w:p w:rsidR="00C62C7E" w:rsidRDefault="00C62C7E">
          <w:pPr>
            <w:pStyle w:val="Spistreci1"/>
            <w:tabs>
              <w:tab w:val="right" w:leader="dot" w:pos="9062"/>
            </w:tabs>
            <w:rPr>
              <w:rFonts w:asciiTheme="minorHAnsi" w:eastAsiaTheme="minorEastAsia" w:hAnsiTheme="minorHAnsi" w:cstheme="minorBidi"/>
              <w:noProof/>
              <w:sz w:val="22"/>
              <w:szCs w:val="22"/>
              <w:lang w:eastAsia="pl-PL"/>
            </w:rPr>
          </w:pPr>
          <w:hyperlink w:anchor="_Toc534795891" w:history="1">
            <w:r w:rsidRPr="001E7E17">
              <w:rPr>
                <w:rStyle w:val="Hipercze"/>
                <w:noProof/>
              </w:rPr>
              <w:t>Zakończenie</w:t>
            </w:r>
            <w:r>
              <w:rPr>
                <w:noProof/>
                <w:webHidden/>
              </w:rPr>
              <w:tab/>
            </w:r>
            <w:r>
              <w:rPr>
                <w:noProof/>
                <w:webHidden/>
              </w:rPr>
              <w:fldChar w:fldCharType="begin"/>
            </w:r>
            <w:r>
              <w:rPr>
                <w:noProof/>
                <w:webHidden/>
              </w:rPr>
              <w:instrText xml:space="preserve"> PAGEREF _Toc534795891 \h </w:instrText>
            </w:r>
            <w:r>
              <w:rPr>
                <w:noProof/>
                <w:webHidden/>
              </w:rPr>
            </w:r>
            <w:r>
              <w:rPr>
                <w:noProof/>
                <w:webHidden/>
              </w:rPr>
              <w:fldChar w:fldCharType="separate"/>
            </w:r>
            <w:r>
              <w:rPr>
                <w:noProof/>
                <w:webHidden/>
              </w:rPr>
              <w:t>11</w:t>
            </w:r>
            <w:r>
              <w:rPr>
                <w:noProof/>
                <w:webHidden/>
              </w:rPr>
              <w:fldChar w:fldCharType="end"/>
            </w:r>
          </w:hyperlink>
        </w:p>
        <w:p w:rsidR="00255628" w:rsidRDefault="00255628">
          <w:r>
            <w:rPr>
              <w:b/>
              <w:bCs/>
            </w:rPr>
            <w:fldChar w:fldCharType="end"/>
          </w:r>
        </w:p>
      </w:sdtContent>
    </w:sdt>
    <w:p w:rsidR="00255628" w:rsidRDefault="00255628">
      <w:pPr>
        <w:rPr>
          <w:b/>
          <w:sz w:val="23"/>
          <w:szCs w:val="23"/>
        </w:rPr>
      </w:pPr>
    </w:p>
    <w:p w:rsidR="00D60CA1" w:rsidRPr="000779C2" w:rsidRDefault="00D60CA1" w:rsidP="00255628">
      <w:pPr>
        <w:pStyle w:val="Nagwek1"/>
      </w:pPr>
      <w:bookmarkStart w:id="0" w:name="_Toc534795886"/>
      <w:r w:rsidRPr="000779C2">
        <w:t>Art. 11c ust. 1 Wymóg ustalania ceny transferowej na warunkach, które uzgodniłyby między sobą podmioty niepowiązane</w:t>
      </w:r>
      <w:bookmarkEnd w:id="0"/>
    </w:p>
    <w:p w:rsidR="00D60CA1" w:rsidRDefault="00D60CA1">
      <w:pPr>
        <w:rPr>
          <w:sz w:val="23"/>
          <w:szCs w:val="23"/>
        </w:rPr>
      </w:pPr>
    </w:p>
    <w:p w:rsidR="004D5A25" w:rsidRDefault="00D60CA1" w:rsidP="004D5A25">
      <w:pPr>
        <w:spacing w:line="360" w:lineRule="auto"/>
        <w:jc w:val="both"/>
        <w:rPr>
          <w:sz w:val="23"/>
          <w:szCs w:val="23"/>
        </w:rPr>
      </w:pPr>
      <w:r>
        <w:rPr>
          <w:sz w:val="23"/>
          <w:szCs w:val="23"/>
        </w:rPr>
        <w:t xml:space="preserve">W tej </w:t>
      </w:r>
      <w:r w:rsidR="004D5A25">
        <w:rPr>
          <w:sz w:val="23"/>
          <w:szCs w:val="23"/>
        </w:rPr>
        <w:t>kwestii</w:t>
      </w:r>
      <w:r>
        <w:rPr>
          <w:sz w:val="23"/>
          <w:szCs w:val="23"/>
        </w:rPr>
        <w:t xml:space="preserve"> </w:t>
      </w:r>
      <w:r w:rsidR="004D5A25">
        <w:rPr>
          <w:sz w:val="23"/>
          <w:szCs w:val="23"/>
        </w:rPr>
        <w:t>wszyscy</w:t>
      </w:r>
      <w:r>
        <w:rPr>
          <w:sz w:val="23"/>
          <w:szCs w:val="23"/>
        </w:rPr>
        <w:t xml:space="preserve"> </w:t>
      </w:r>
      <w:r w:rsidR="004D5A25">
        <w:rPr>
          <w:sz w:val="23"/>
          <w:szCs w:val="23"/>
        </w:rPr>
        <w:t>są</w:t>
      </w:r>
      <w:r>
        <w:rPr>
          <w:sz w:val="23"/>
          <w:szCs w:val="23"/>
        </w:rPr>
        <w:t xml:space="preserve"> </w:t>
      </w:r>
      <w:r w:rsidR="004D5A25">
        <w:rPr>
          <w:sz w:val="23"/>
          <w:szCs w:val="23"/>
        </w:rPr>
        <w:t>zgodni, że</w:t>
      </w:r>
      <w:r>
        <w:rPr>
          <w:sz w:val="23"/>
          <w:szCs w:val="23"/>
        </w:rPr>
        <w:t xml:space="preserve"> w </w:t>
      </w:r>
      <w:r w:rsidR="004D5A25">
        <w:rPr>
          <w:sz w:val="23"/>
          <w:szCs w:val="23"/>
        </w:rPr>
        <w:t>Objaśnieniach</w:t>
      </w:r>
      <w:r>
        <w:rPr>
          <w:sz w:val="23"/>
          <w:szCs w:val="23"/>
        </w:rPr>
        <w:t xml:space="preserve"> należy </w:t>
      </w:r>
      <w:r w:rsidR="004D5A25">
        <w:rPr>
          <w:sz w:val="23"/>
          <w:szCs w:val="23"/>
        </w:rPr>
        <w:t>koniecznie</w:t>
      </w:r>
      <w:r>
        <w:rPr>
          <w:sz w:val="23"/>
          <w:szCs w:val="23"/>
        </w:rPr>
        <w:t xml:space="preserve"> </w:t>
      </w:r>
      <w:r w:rsidR="004D5A25">
        <w:rPr>
          <w:sz w:val="23"/>
          <w:szCs w:val="23"/>
        </w:rPr>
        <w:t>wskazać</w:t>
      </w:r>
      <w:r>
        <w:rPr>
          <w:sz w:val="23"/>
          <w:szCs w:val="23"/>
        </w:rPr>
        <w:t>, że pr</w:t>
      </w:r>
      <w:r w:rsidR="004D5A25">
        <w:rPr>
          <w:sz w:val="23"/>
          <w:szCs w:val="23"/>
        </w:rPr>
        <w:t xml:space="preserve">zepis </w:t>
      </w:r>
      <w:r>
        <w:rPr>
          <w:sz w:val="23"/>
          <w:szCs w:val="23"/>
        </w:rPr>
        <w:t xml:space="preserve">ten </w:t>
      </w:r>
      <w:r w:rsidR="004D5A25">
        <w:rPr>
          <w:sz w:val="23"/>
          <w:szCs w:val="23"/>
        </w:rPr>
        <w:t>należy</w:t>
      </w:r>
      <w:r>
        <w:rPr>
          <w:sz w:val="23"/>
          <w:szCs w:val="23"/>
        </w:rPr>
        <w:t xml:space="preserve"> </w:t>
      </w:r>
      <w:r w:rsidR="00E52F26">
        <w:rPr>
          <w:sz w:val="23"/>
          <w:szCs w:val="23"/>
        </w:rPr>
        <w:t xml:space="preserve">pojmować </w:t>
      </w:r>
      <w:r w:rsidR="004D5A25">
        <w:rPr>
          <w:sz w:val="23"/>
          <w:szCs w:val="23"/>
        </w:rPr>
        <w:t>wąsko</w:t>
      </w:r>
      <w:r w:rsidR="00E52F26">
        <w:rPr>
          <w:sz w:val="23"/>
          <w:szCs w:val="23"/>
        </w:rPr>
        <w:t xml:space="preserve">, w tym znaczeniu </w:t>
      </w:r>
      <w:r w:rsidR="00642F28">
        <w:rPr>
          <w:sz w:val="23"/>
          <w:szCs w:val="23"/>
        </w:rPr>
        <w:t xml:space="preserve">że </w:t>
      </w:r>
      <w:r>
        <w:rPr>
          <w:sz w:val="23"/>
          <w:szCs w:val="23"/>
        </w:rPr>
        <w:t xml:space="preserve"> ma </w:t>
      </w:r>
      <w:r w:rsidR="004D5A25">
        <w:rPr>
          <w:sz w:val="23"/>
          <w:szCs w:val="23"/>
        </w:rPr>
        <w:t>zastosowanie</w:t>
      </w:r>
      <w:r>
        <w:rPr>
          <w:sz w:val="23"/>
          <w:szCs w:val="23"/>
        </w:rPr>
        <w:t xml:space="preserve"> tylko dla celów </w:t>
      </w:r>
      <w:r w:rsidR="004D5A25">
        <w:rPr>
          <w:sz w:val="23"/>
          <w:szCs w:val="23"/>
        </w:rPr>
        <w:t>podatk</w:t>
      </w:r>
      <w:r w:rsidR="00E52F26">
        <w:rPr>
          <w:sz w:val="23"/>
          <w:szCs w:val="23"/>
        </w:rPr>
        <w:t>ów dochodowych</w:t>
      </w:r>
      <w:r>
        <w:rPr>
          <w:sz w:val="23"/>
          <w:szCs w:val="23"/>
        </w:rPr>
        <w:t xml:space="preserve">, </w:t>
      </w:r>
      <w:r w:rsidR="004D5A25">
        <w:rPr>
          <w:sz w:val="23"/>
          <w:szCs w:val="23"/>
        </w:rPr>
        <w:t>natomiast</w:t>
      </w:r>
      <w:r>
        <w:rPr>
          <w:sz w:val="23"/>
          <w:szCs w:val="23"/>
        </w:rPr>
        <w:t xml:space="preserve"> </w:t>
      </w:r>
      <w:r w:rsidR="004D5A25">
        <w:rPr>
          <w:sz w:val="23"/>
          <w:szCs w:val="23"/>
        </w:rPr>
        <w:t xml:space="preserve">nie ingeruje w prawa przedsiębiorcy do swobodnego </w:t>
      </w:r>
      <w:r>
        <w:rPr>
          <w:sz w:val="23"/>
          <w:szCs w:val="23"/>
        </w:rPr>
        <w:t xml:space="preserve">ustalania </w:t>
      </w:r>
      <w:r w:rsidR="004D5A25">
        <w:rPr>
          <w:sz w:val="23"/>
          <w:szCs w:val="23"/>
        </w:rPr>
        <w:t xml:space="preserve">i prezentacji w sprawozdaniach finansowych </w:t>
      </w:r>
      <w:r w:rsidR="00E52F26">
        <w:rPr>
          <w:sz w:val="23"/>
          <w:szCs w:val="23"/>
        </w:rPr>
        <w:t xml:space="preserve">czy innych dokumentach </w:t>
      </w:r>
      <w:r w:rsidR="004D5A25">
        <w:rPr>
          <w:sz w:val="23"/>
          <w:szCs w:val="23"/>
        </w:rPr>
        <w:t xml:space="preserve">zgodnie z </w:t>
      </w:r>
      <w:r w:rsidR="00E52F26">
        <w:rPr>
          <w:sz w:val="23"/>
          <w:szCs w:val="23"/>
        </w:rPr>
        <w:t xml:space="preserve">obowiązującymi </w:t>
      </w:r>
      <w:r w:rsidR="0098560F">
        <w:rPr>
          <w:sz w:val="23"/>
          <w:szCs w:val="23"/>
        </w:rPr>
        <w:t xml:space="preserve">przepisami </w:t>
      </w:r>
      <w:r w:rsidR="00E52F26">
        <w:rPr>
          <w:sz w:val="23"/>
          <w:szCs w:val="23"/>
        </w:rPr>
        <w:t xml:space="preserve">czy zwyczajami w danej branży. </w:t>
      </w:r>
    </w:p>
    <w:p w:rsidR="004D5A25" w:rsidRDefault="004D5A25" w:rsidP="004D5A25">
      <w:pPr>
        <w:spacing w:line="360" w:lineRule="auto"/>
        <w:jc w:val="both"/>
        <w:rPr>
          <w:sz w:val="23"/>
          <w:szCs w:val="23"/>
        </w:rPr>
      </w:pPr>
    </w:p>
    <w:p w:rsidR="002F6292" w:rsidRDefault="00E52F26" w:rsidP="004D5A25">
      <w:pPr>
        <w:spacing w:line="360" w:lineRule="auto"/>
        <w:jc w:val="both"/>
        <w:rPr>
          <w:sz w:val="23"/>
          <w:szCs w:val="23"/>
        </w:rPr>
      </w:pPr>
      <w:r>
        <w:rPr>
          <w:sz w:val="23"/>
          <w:szCs w:val="23"/>
        </w:rPr>
        <w:t xml:space="preserve">Kolejna uwaga dotyczy realizacji obowiązku wynikającego z art. 11c ust. 1. </w:t>
      </w:r>
      <w:r w:rsidR="004D5A25">
        <w:rPr>
          <w:sz w:val="23"/>
          <w:szCs w:val="23"/>
        </w:rPr>
        <w:t xml:space="preserve">W ślad za Wytycznymi OECD </w:t>
      </w:r>
      <w:r>
        <w:rPr>
          <w:sz w:val="23"/>
          <w:szCs w:val="23"/>
        </w:rPr>
        <w:t xml:space="preserve">w sprawie cen transferowych </w:t>
      </w:r>
      <w:r w:rsidR="004D5A25">
        <w:rPr>
          <w:sz w:val="23"/>
          <w:szCs w:val="23"/>
        </w:rPr>
        <w:t xml:space="preserve">należy </w:t>
      </w:r>
      <w:r w:rsidR="0098560F">
        <w:rPr>
          <w:sz w:val="23"/>
          <w:szCs w:val="23"/>
        </w:rPr>
        <w:t>uznać</w:t>
      </w:r>
      <w:r w:rsidR="004D5A25">
        <w:rPr>
          <w:sz w:val="23"/>
          <w:szCs w:val="23"/>
        </w:rPr>
        <w:t>, że przedsi</w:t>
      </w:r>
      <w:r w:rsidR="002F6292">
        <w:rPr>
          <w:sz w:val="23"/>
          <w:szCs w:val="23"/>
        </w:rPr>
        <w:t xml:space="preserve">ębiorcy napotykają </w:t>
      </w:r>
      <w:r w:rsidR="0098560F">
        <w:rPr>
          <w:sz w:val="23"/>
          <w:szCs w:val="23"/>
        </w:rPr>
        <w:t>obiektywn</w:t>
      </w:r>
      <w:r w:rsidR="002F6292">
        <w:rPr>
          <w:sz w:val="23"/>
          <w:szCs w:val="23"/>
        </w:rPr>
        <w:t>e</w:t>
      </w:r>
      <w:r w:rsidR="0098560F">
        <w:rPr>
          <w:sz w:val="23"/>
          <w:szCs w:val="23"/>
        </w:rPr>
        <w:t xml:space="preserve"> trudnoś</w:t>
      </w:r>
      <w:r w:rsidR="002F6292">
        <w:rPr>
          <w:sz w:val="23"/>
          <w:szCs w:val="23"/>
        </w:rPr>
        <w:t>ci</w:t>
      </w:r>
      <w:r>
        <w:rPr>
          <w:sz w:val="23"/>
          <w:szCs w:val="23"/>
        </w:rPr>
        <w:t xml:space="preserve"> w określeniu </w:t>
      </w:r>
      <w:r w:rsidRPr="00E52F26">
        <w:rPr>
          <w:sz w:val="23"/>
          <w:szCs w:val="23"/>
          <w:u w:val="single"/>
        </w:rPr>
        <w:t>jaki w przyszłości będzie rynkowy poziom cen</w:t>
      </w:r>
      <w:r>
        <w:rPr>
          <w:sz w:val="23"/>
          <w:szCs w:val="23"/>
        </w:rPr>
        <w:t>.</w:t>
      </w:r>
      <w:r w:rsidR="000779C2">
        <w:rPr>
          <w:sz w:val="23"/>
          <w:szCs w:val="23"/>
        </w:rPr>
        <w:t xml:space="preserve"> </w:t>
      </w:r>
      <w:r w:rsidR="0098560F">
        <w:rPr>
          <w:sz w:val="23"/>
          <w:szCs w:val="23"/>
        </w:rPr>
        <w:t xml:space="preserve"> </w:t>
      </w:r>
      <w:r>
        <w:rPr>
          <w:sz w:val="23"/>
          <w:szCs w:val="23"/>
        </w:rPr>
        <w:lastRenderedPageBreak/>
        <w:t xml:space="preserve">Przedsiębiorcy </w:t>
      </w:r>
      <w:r w:rsidR="0098560F">
        <w:rPr>
          <w:sz w:val="23"/>
          <w:szCs w:val="23"/>
        </w:rPr>
        <w:t>zazwyczaj ustala</w:t>
      </w:r>
      <w:r>
        <w:rPr>
          <w:sz w:val="23"/>
          <w:szCs w:val="23"/>
        </w:rPr>
        <w:t xml:space="preserve">ją ceny na następny rok </w:t>
      </w:r>
      <w:r w:rsidR="0098560F">
        <w:rPr>
          <w:sz w:val="23"/>
          <w:szCs w:val="23"/>
        </w:rPr>
        <w:t xml:space="preserve">w procesie budżetowym, </w:t>
      </w:r>
      <w:r>
        <w:rPr>
          <w:sz w:val="23"/>
          <w:szCs w:val="23"/>
        </w:rPr>
        <w:t xml:space="preserve">który odbywa się </w:t>
      </w:r>
      <w:r w:rsidR="0098560F">
        <w:rPr>
          <w:sz w:val="23"/>
          <w:szCs w:val="23"/>
        </w:rPr>
        <w:t xml:space="preserve">w drugiej połowie </w:t>
      </w:r>
      <w:r>
        <w:rPr>
          <w:sz w:val="23"/>
          <w:szCs w:val="23"/>
        </w:rPr>
        <w:t xml:space="preserve">poprzedniego </w:t>
      </w:r>
      <w:r w:rsidR="0098560F">
        <w:rPr>
          <w:sz w:val="23"/>
          <w:szCs w:val="23"/>
        </w:rPr>
        <w:t>roku</w:t>
      </w:r>
      <w:r>
        <w:rPr>
          <w:sz w:val="23"/>
          <w:szCs w:val="23"/>
        </w:rPr>
        <w:t xml:space="preserve">. </w:t>
      </w:r>
      <w:r w:rsidR="0098560F">
        <w:rPr>
          <w:sz w:val="23"/>
          <w:szCs w:val="23"/>
        </w:rPr>
        <w:t xml:space="preserve"> </w:t>
      </w:r>
    </w:p>
    <w:p w:rsidR="002F6292" w:rsidRDefault="002F6292" w:rsidP="004D5A25">
      <w:pPr>
        <w:spacing w:line="360" w:lineRule="auto"/>
        <w:jc w:val="both"/>
        <w:rPr>
          <w:sz w:val="23"/>
          <w:szCs w:val="23"/>
        </w:rPr>
      </w:pPr>
      <w:r>
        <w:rPr>
          <w:sz w:val="23"/>
          <w:szCs w:val="23"/>
        </w:rPr>
        <w:t>Postuluje się, aby w</w:t>
      </w:r>
      <w:r w:rsidR="0098560F">
        <w:rPr>
          <w:sz w:val="23"/>
          <w:szCs w:val="23"/>
        </w:rPr>
        <w:t xml:space="preserve"> </w:t>
      </w:r>
      <w:r w:rsidR="00E52F26">
        <w:rPr>
          <w:sz w:val="23"/>
          <w:szCs w:val="23"/>
        </w:rPr>
        <w:t>O</w:t>
      </w:r>
      <w:r w:rsidR="0098560F">
        <w:rPr>
          <w:sz w:val="23"/>
          <w:szCs w:val="23"/>
        </w:rPr>
        <w:t>bjaśnieniach zaznaczyć, że jeśli przedsiębiorca nie ma innych możliwości</w:t>
      </w:r>
      <w:r>
        <w:rPr>
          <w:sz w:val="23"/>
          <w:szCs w:val="23"/>
        </w:rPr>
        <w:t xml:space="preserve"> ustalenia </w:t>
      </w:r>
      <w:r w:rsidR="000779C2">
        <w:rPr>
          <w:sz w:val="23"/>
          <w:szCs w:val="23"/>
        </w:rPr>
        <w:t>jaki</w:t>
      </w:r>
      <w:r w:rsidR="0098560F" w:rsidRPr="000779C2">
        <w:rPr>
          <w:sz w:val="23"/>
          <w:szCs w:val="23"/>
          <w:u w:val="single"/>
        </w:rPr>
        <w:t xml:space="preserve"> </w:t>
      </w:r>
      <w:r w:rsidR="000779C2" w:rsidRPr="000779C2">
        <w:rPr>
          <w:sz w:val="23"/>
          <w:szCs w:val="23"/>
          <w:u w:val="single"/>
        </w:rPr>
        <w:t>będzie</w:t>
      </w:r>
      <w:r w:rsidR="000779C2">
        <w:rPr>
          <w:sz w:val="23"/>
          <w:szCs w:val="23"/>
        </w:rPr>
        <w:t xml:space="preserve"> </w:t>
      </w:r>
      <w:r w:rsidR="0098560F">
        <w:rPr>
          <w:sz w:val="23"/>
          <w:szCs w:val="23"/>
        </w:rPr>
        <w:t>rynkowy poziom wskaźników finansowych potrzebnych do wyliczenia cen transferowych, może się posłużyć danymi publikowanymi przez Główny Urząd Statystyczny (GUS) lub Narodowy Bank Polski (NBP) lub Giełdy Papierów Wartościowych, a po sporządzeniu analizy cen transferowych skorygować ceny transferowe, o ile spełni</w:t>
      </w:r>
      <w:r>
        <w:rPr>
          <w:sz w:val="23"/>
          <w:szCs w:val="23"/>
        </w:rPr>
        <w:t xml:space="preserve">one zostaną </w:t>
      </w:r>
      <w:r w:rsidR="0098560F">
        <w:rPr>
          <w:sz w:val="23"/>
          <w:szCs w:val="23"/>
        </w:rPr>
        <w:t xml:space="preserve">warunki określone w art. 11e. </w:t>
      </w:r>
    </w:p>
    <w:p w:rsidR="00803AE7" w:rsidRDefault="000779C2" w:rsidP="002F6292">
      <w:pPr>
        <w:spacing w:line="360" w:lineRule="auto"/>
        <w:jc w:val="both"/>
        <w:rPr>
          <w:sz w:val="23"/>
          <w:szCs w:val="23"/>
        </w:rPr>
      </w:pPr>
      <w:r>
        <w:rPr>
          <w:sz w:val="23"/>
          <w:szCs w:val="23"/>
        </w:rPr>
        <w:t xml:space="preserve">Wymienione 3 źródła danych </w:t>
      </w:r>
      <w:r w:rsidR="002F6292">
        <w:rPr>
          <w:sz w:val="23"/>
          <w:szCs w:val="23"/>
        </w:rPr>
        <w:t xml:space="preserve">zwierają </w:t>
      </w:r>
      <w:r>
        <w:rPr>
          <w:sz w:val="23"/>
          <w:szCs w:val="23"/>
        </w:rPr>
        <w:t>najnowsze</w:t>
      </w:r>
      <w:r w:rsidR="002F6292">
        <w:rPr>
          <w:sz w:val="23"/>
          <w:szCs w:val="23"/>
        </w:rPr>
        <w:t xml:space="preserve"> dane</w:t>
      </w:r>
      <w:r>
        <w:rPr>
          <w:sz w:val="23"/>
          <w:szCs w:val="23"/>
        </w:rPr>
        <w:t xml:space="preserve">, jakie może uzyskać przedsiębiorca. Dla przykładu, GUS </w:t>
      </w:r>
      <w:r w:rsidR="00E52F26">
        <w:rPr>
          <w:sz w:val="23"/>
          <w:szCs w:val="23"/>
        </w:rPr>
        <w:t xml:space="preserve">opublikował </w:t>
      </w:r>
      <w:r>
        <w:rPr>
          <w:sz w:val="23"/>
          <w:szCs w:val="23"/>
        </w:rPr>
        <w:t xml:space="preserve"> </w:t>
      </w:r>
      <w:r w:rsidR="003A6D4E">
        <w:rPr>
          <w:sz w:val="23"/>
          <w:szCs w:val="23"/>
        </w:rPr>
        <w:t>21.12.2018 Biuletyn St</w:t>
      </w:r>
      <w:r w:rsidR="00803AE7">
        <w:rPr>
          <w:sz w:val="23"/>
          <w:szCs w:val="23"/>
        </w:rPr>
        <w:t>at</w:t>
      </w:r>
      <w:r w:rsidR="003A6D4E">
        <w:rPr>
          <w:sz w:val="23"/>
          <w:szCs w:val="23"/>
        </w:rPr>
        <w:t>ystyczny Nr 11/2018</w:t>
      </w:r>
      <w:r w:rsidR="00F32DC5">
        <w:rPr>
          <w:sz w:val="23"/>
          <w:szCs w:val="23"/>
        </w:rPr>
        <w:t xml:space="preserve">, </w:t>
      </w:r>
      <w:r w:rsidR="002F6292">
        <w:rPr>
          <w:sz w:val="23"/>
          <w:szCs w:val="23"/>
        </w:rPr>
        <w:t xml:space="preserve">w którym </w:t>
      </w:r>
      <w:r w:rsidR="00803AE7">
        <w:rPr>
          <w:sz w:val="23"/>
          <w:szCs w:val="23"/>
        </w:rPr>
        <w:t>zamieszczone są dane</w:t>
      </w:r>
      <w:r w:rsidR="002F6292">
        <w:rPr>
          <w:sz w:val="23"/>
          <w:szCs w:val="23"/>
        </w:rPr>
        <w:t xml:space="preserve"> już za 3 kwartały roku 2018, czyli dane z tego samego roku. </w:t>
      </w:r>
      <w:r w:rsidR="00803AE7">
        <w:rPr>
          <w:sz w:val="23"/>
          <w:szCs w:val="23"/>
        </w:rPr>
        <w:t xml:space="preserve"> Dane </w:t>
      </w:r>
      <w:r w:rsidR="002F6292">
        <w:rPr>
          <w:sz w:val="23"/>
          <w:szCs w:val="23"/>
        </w:rPr>
        <w:t xml:space="preserve">te </w:t>
      </w:r>
      <w:r w:rsidR="00803AE7">
        <w:rPr>
          <w:sz w:val="23"/>
          <w:szCs w:val="23"/>
        </w:rPr>
        <w:t xml:space="preserve">pozwalają ocenić ogólny wskaźniki koniunktury w skali kraju i poszczególnych obszarów gospodarki narodowej, co znacznie ułatwia prognozowanie przyszłych cen. </w:t>
      </w:r>
    </w:p>
    <w:p w:rsidR="00F32DC5" w:rsidRDefault="00F32DC5" w:rsidP="004D5A25">
      <w:pPr>
        <w:spacing w:line="360" w:lineRule="auto"/>
        <w:jc w:val="both"/>
        <w:rPr>
          <w:sz w:val="23"/>
          <w:szCs w:val="23"/>
        </w:rPr>
      </w:pPr>
    </w:p>
    <w:p w:rsidR="00D133D4" w:rsidRDefault="00803AE7" w:rsidP="004D5A25">
      <w:pPr>
        <w:spacing w:line="360" w:lineRule="auto"/>
        <w:jc w:val="both"/>
        <w:rPr>
          <w:sz w:val="23"/>
          <w:szCs w:val="23"/>
        </w:rPr>
      </w:pPr>
      <w:r>
        <w:rPr>
          <w:sz w:val="23"/>
          <w:szCs w:val="23"/>
        </w:rPr>
        <w:t xml:space="preserve">Dla przykładu, </w:t>
      </w:r>
      <w:r w:rsidR="00E52F26">
        <w:rPr>
          <w:sz w:val="23"/>
          <w:szCs w:val="23"/>
        </w:rPr>
        <w:t xml:space="preserve">poniżej zamieszczono </w:t>
      </w:r>
      <w:r>
        <w:rPr>
          <w:sz w:val="23"/>
          <w:szCs w:val="23"/>
        </w:rPr>
        <w:t xml:space="preserve">dane </w:t>
      </w:r>
      <w:r w:rsidR="002F6292">
        <w:rPr>
          <w:sz w:val="23"/>
          <w:szCs w:val="23"/>
        </w:rPr>
        <w:t xml:space="preserve">określające </w:t>
      </w:r>
      <w:r>
        <w:rPr>
          <w:sz w:val="23"/>
          <w:szCs w:val="23"/>
        </w:rPr>
        <w:t xml:space="preserve">dynamikę wzrostu PKB oraz poszczególnych obszarów gospodarki za 3 kwartały roku 2018 w porównaniu do lat poprzednich. </w:t>
      </w:r>
    </w:p>
    <w:p w:rsidR="00D133D4" w:rsidRDefault="00D133D4" w:rsidP="004D5A25">
      <w:pPr>
        <w:spacing w:line="360" w:lineRule="auto"/>
        <w:jc w:val="both"/>
        <w:rPr>
          <w:sz w:val="23"/>
          <w:szCs w:val="23"/>
        </w:rPr>
      </w:pPr>
      <w:r>
        <w:rPr>
          <w:noProof/>
          <w:lang w:eastAsia="pl-PL"/>
        </w:rPr>
        <w:drawing>
          <wp:inline distT="0" distB="0" distL="0" distR="0" wp14:anchorId="17DFDB6D" wp14:editId="5BD139A3">
            <wp:extent cx="5760720" cy="3732280"/>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732280"/>
                    </a:xfrm>
                    <a:prstGeom prst="rect">
                      <a:avLst/>
                    </a:prstGeom>
                  </pic:spPr>
                </pic:pic>
              </a:graphicData>
            </a:graphic>
          </wp:inline>
        </w:drawing>
      </w:r>
    </w:p>
    <w:p w:rsidR="00D133D4" w:rsidRDefault="00D133D4" w:rsidP="004D5A25">
      <w:pPr>
        <w:spacing w:line="360" w:lineRule="auto"/>
        <w:jc w:val="both"/>
        <w:rPr>
          <w:sz w:val="23"/>
          <w:szCs w:val="23"/>
        </w:rPr>
      </w:pPr>
      <w:r>
        <w:rPr>
          <w:sz w:val="23"/>
          <w:szCs w:val="23"/>
        </w:rPr>
        <w:t>Jak wynika z tabeli nr 3 przez 3 kwartały roku 2018 PKB wz</w:t>
      </w:r>
      <w:r w:rsidR="002F6292">
        <w:rPr>
          <w:sz w:val="23"/>
          <w:szCs w:val="23"/>
        </w:rPr>
        <w:t xml:space="preserve">rósł </w:t>
      </w:r>
      <w:r>
        <w:rPr>
          <w:sz w:val="23"/>
          <w:szCs w:val="23"/>
        </w:rPr>
        <w:t xml:space="preserve">o 5,1% , natomiast budownictwo o 13,8%. Jest to bardzo dobry wskaźnik </w:t>
      </w:r>
      <w:r w:rsidR="00AA6658">
        <w:rPr>
          <w:sz w:val="23"/>
          <w:szCs w:val="23"/>
        </w:rPr>
        <w:t xml:space="preserve">koniunktury oraz dane do określenia trendu. Przyjmując trend uzyskany na podstawie ww. danych oraz </w:t>
      </w:r>
      <w:r w:rsidR="001364D9">
        <w:rPr>
          <w:sz w:val="23"/>
          <w:szCs w:val="23"/>
        </w:rPr>
        <w:t xml:space="preserve">uwzględniając </w:t>
      </w:r>
      <w:r w:rsidR="00AA6658">
        <w:rPr>
          <w:sz w:val="23"/>
          <w:szCs w:val="23"/>
        </w:rPr>
        <w:t xml:space="preserve">inne okoliczności bieżące można </w:t>
      </w:r>
      <w:r w:rsidR="00AA6658">
        <w:rPr>
          <w:sz w:val="23"/>
          <w:szCs w:val="23"/>
        </w:rPr>
        <w:lastRenderedPageBreak/>
        <w:t xml:space="preserve">ekstrapolować posiadane wyniki benchmarku  czy analizy zgodności i w ten sposób </w:t>
      </w:r>
      <w:r w:rsidR="00E52F26">
        <w:rPr>
          <w:sz w:val="23"/>
          <w:szCs w:val="23"/>
        </w:rPr>
        <w:t xml:space="preserve">określić wynagrodzeni następny rok na poziomie rynkowym. </w:t>
      </w:r>
      <w:r w:rsidR="00AA6658">
        <w:rPr>
          <w:sz w:val="23"/>
          <w:szCs w:val="23"/>
        </w:rPr>
        <w:t xml:space="preserve">  </w:t>
      </w:r>
    </w:p>
    <w:p w:rsidR="00F229FA" w:rsidRDefault="00F229FA" w:rsidP="004D5A25">
      <w:pPr>
        <w:spacing w:line="360" w:lineRule="auto"/>
        <w:jc w:val="both"/>
        <w:rPr>
          <w:sz w:val="23"/>
          <w:szCs w:val="23"/>
        </w:rPr>
      </w:pPr>
    </w:p>
    <w:p w:rsidR="00D133D4" w:rsidRDefault="00AA6658" w:rsidP="004D5A25">
      <w:pPr>
        <w:spacing w:line="360" w:lineRule="auto"/>
        <w:jc w:val="both"/>
        <w:rPr>
          <w:sz w:val="23"/>
          <w:szCs w:val="23"/>
        </w:rPr>
      </w:pPr>
      <w:r>
        <w:rPr>
          <w:sz w:val="23"/>
          <w:szCs w:val="23"/>
        </w:rPr>
        <w:t>B</w:t>
      </w:r>
      <w:r w:rsidR="00D133D4">
        <w:rPr>
          <w:sz w:val="23"/>
          <w:szCs w:val="23"/>
        </w:rPr>
        <w:t>ardziej przydatne do prognozowania cen rynkowych są wskaźniki rentowności dla poszczególnych obszarów gospodarki</w:t>
      </w:r>
      <w:r>
        <w:rPr>
          <w:sz w:val="23"/>
          <w:szCs w:val="23"/>
        </w:rPr>
        <w:t xml:space="preserve">, gdyż </w:t>
      </w:r>
      <w:r w:rsidR="00864629">
        <w:rPr>
          <w:sz w:val="23"/>
          <w:szCs w:val="23"/>
        </w:rPr>
        <w:t>liczone są</w:t>
      </w:r>
      <w:r>
        <w:rPr>
          <w:sz w:val="23"/>
          <w:szCs w:val="23"/>
        </w:rPr>
        <w:t xml:space="preserve"> według algorytmów podobnych do tych</w:t>
      </w:r>
      <w:r w:rsidR="00660161">
        <w:rPr>
          <w:sz w:val="23"/>
          <w:szCs w:val="23"/>
        </w:rPr>
        <w:t>,</w:t>
      </w:r>
      <w:r>
        <w:rPr>
          <w:sz w:val="23"/>
          <w:szCs w:val="23"/>
        </w:rPr>
        <w:t xml:space="preserve"> stosowanych do weryfikacji cen transferowych. Wskaźniki rentowności dla poszczególnego obszaru gospodarczego znajdują się </w:t>
      </w:r>
      <w:r w:rsidR="00D133D4">
        <w:rPr>
          <w:sz w:val="23"/>
          <w:szCs w:val="23"/>
        </w:rPr>
        <w:t>w tabeli</w:t>
      </w:r>
      <w:r w:rsidR="00F229FA">
        <w:rPr>
          <w:sz w:val="23"/>
          <w:szCs w:val="23"/>
        </w:rPr>
        <w:t xml:space="preserve"> nr 32</w:t>
      </w:r>
      <w:r>
        <w:rPr>
          <w:sz w:val="23"/>
          <w:szCs w:val="23"/>
        </w:rPr>
        <w:t xml:space="preserve"> Biuletynu Statystycznego</w:t>
      </w:r>
      <w:r w:rsidR="00F229FA">
        <w:rPr>
          <w:sz w:val="23"/>
          <w:szCs w:val="23"/>
        </w:rPr>
        <w:t xml:space="preserve">, a poniżej zamieszczono jej fragment: </w:t>
      </w:r>
    </w:p>
    <w:p w:rsidR="00F229FA" w:rsidRDefault="000B56E2" w:rsidP="004D5A25">
      <w:pPr>
        <w:spacing w:line="360" w:lineRule="auto"/>
        <w:jc w:val="both"/>
        <w:rPr>
          <w:sz w:val="23"/>
          <w:szCs w:val="23"/>
        </w:rPr>
      </w:pPr>
      <w:r>
        <w:rPr>
          <w:noProof/>
          <w:lang w:eastAsia="pl-PL"/>
        </w:rPr>
        <w:lastRenderedPageBreak/>
        <w:drawing>
          <wp:inline distT="0" distB="0" distL="0" distR="0" wp14:anchorId="4898AFB6" wp14:editId="37BDEF50">
            <wp:extent cx="5760720" cy="7634125"/>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7634125"/>
                    </a:xfrm>
                    <a:prstGeom prst="rect">
                      <a:avLst/>
                    </a:prstGeom>
                  </pic:spPr>
                </pic:pic>
              </a:graphicData>
            </a:graphic>
          </wp:inline>
        </w:drawing>
      </w:r>
    </w:p>
    <w:p w:rsidR="00F229FA" w:rsidRDefault="00F229FA" w:rsidP="004D5A25">
      <w:pPr>
        <w:spacing w:line="360" w:lineRule="auto"/>
        <w:jc w:val="both"/>
        <w:rPr>
          <w:sz w:val="23"/>
          <w:szCs w:val="23"/>
        </w:rPr>
      </w:pPr>
      <w:r>
        <w:rPr>
          <w:sz w:val="23"/>
          <w:szCs w:val="23"/>
        </w:rPr>
        <w:t xml:space="preserve">Źródło: </w:t>
      </w:r>
      <w:hyperlink r:id="rId11" w:history="1">
        <w:r w:rsidR="002F6292" w:rsidRPr="004C5DEF">
          <w:rPr>
            <w:rStyle w:val="Hipercze"/>
            <w:sz w:val="23"/>
            <w:szCs w:val="23"/>
          </w:rPr>
          <w:t>file:///D:/Profil/Downloads/biuletyn_statystyczny_11_2018.pdf</w:t>
        </w:r>
      </w:hyperlink>
    </w:p>
    <w:p w:rsidR="002F6292" w:rsidRDefault="002F6292" w:rsidP="004D5A25">
      <w:pPr>
        <w:spacing w:line="360" w:lineRule="auto"/>
        <w:jc w:val="both"/>
        <w:rPr>
          <w:sz w:val="23"/>
          <w:szCs w:val="23"/>
        </w:rPr>
      </w:pPr>
    </w:p>
    <w:p w:rsidR="00D133D4" w:rsidRDefault="00F32DC5" w:rsidP="004D5A25">
      <w:pPr>
        <w:spacing w:line="360" w:lineRule="auto"/>
        <w:jc w:val="both"/>
        <w:rPr>
          <w:sz w:val="23"/>
          <w:szCs w:val="23"/>
        </w:rPr>
      </w:pPr>
      <w:r>
        <w:rPr>
          <w:sz w:val="23"/>
          <w:szCs w:val="23"/>
        </w:rPr>
        <w:t>Zgodnie</w:t>
      </w:r>
      <w:r w:rsidR="00F229FA">
        <w:rPr>
          <w:sz w:val="23"/>
          <w:szCs w:val="23"/>
        </w:rPr>
        <w:t xml:space="preserve"> z objaśnieniami zawartymi n astr 238</w:t>
      </w:r>
      <w:r>
        <w:rPr>
          <w:sz w:val="23"/>
          <w:szCs w:val="23"/>
        </w:rPr>
        <w:t xml:space="preserve"> i 239</w:t>
      </w:r>
      <w:r w:rsidR="00F229FA">
        <w:rPr>
          <w:sz w:val="23"/>
          <w:szCs w:val="23"/>
        </w:rPr>
        <w:t xml:space="preserve"> Biuletynu wskaźniki zostały skalkulowane w </w:t>
      </w:r>
      <w:r>
        <w:rPr>
          <w:sz w:val="23"/>
          <w:szCs w:val="23"/>
        </w:rPr>
        <w:t>sposób następujący</w:t>
      </w:r>
      <w:r w:rsidR="00F229FA">
        <w:rPr>
          <w:sz w:val="23"/>
          <w:szCs w:val="23"/>
        </w:rPr>
        <w:t>:</w:t>
      </w:r>
    </w:p>
    <w:p w:rsidR="00F229FA" w:rsidRDefault="00F229FA" w:rsidP="004D5A25">
      <w:pPr>
        <w:spacing w:line="360" w:lineRule="auto"/>
        <w:jc w:val="both"/>
        <w:rPr>
          <w:sz w:val="23"/>
          <w:szCs w:val="23"/>
        </w:rPr>
      </w:pPr>
    </w:p>
    <w:p w:rsidR="00F229FA" w:rsidRPr="00864629" w:rsidRDefault="00864629" w:rsidP="00F229FA">
      <w:pPr>
        <w:spacing w:line="360" w:lineRule="auto"/>
        <w:jc w:val="both"/>
        <w:rPr>
          <w:i/>
          <w:sz w:val="23"/>
          <w:szCs w:val="23"/>
        </w:rPr>
      </w:pPr>
      <w:r w:rsidRPr="00864629">
        <w:rPr>
          <w:i/>
          <w:sz w:val="23"/>
          <w:szCs w:val="23"/>
        </w:rPr>
        <w:t>„</w:t>
      </w:r>
      <w:r w:rsidR="00F229FA" w:rsidRPr="00864629">
        <w:rPr>
          <w:i/>
          <w:sz w:val="23"/>
          <w:szCs w:val="23"/>
        </w:rPr>
        <w:t>36. Wskaźniki:</w:t>
      </w:r>
    </w:p>
    <w:p w:rsidR="00F229FA" w:rsidRPr="00864629" w:rsidRDefault="00F229FA" w:rsidP="00F229FA">
      <w:pPr>
        <w:spacing w:line="360" w:lineRule="auto"/>
        <w:jc w:val="both"/>
        <w:rPr>
          <w:i/>
          <w:sz w:val="23"/>
          <w:szCs w:val="23"/>
        </w:rPr>
      </w:pPr>
      <w:r w:rsidRPr="00864629">
        <w:rPr>
          <w:i/>
          <w:sz w:val="23"/>
          <w:szCs w:val="23"/>
        </w:rPr>
        <w:t>a) wskaźnik rentowności ze sprzedaży jest to relacja wyniku ze sprzedaży produktów, towarów i materiałów do przychodów</w:t>
      </w:r>
      <w:r w:rsidR="00F32DC5" w:rsidRPr="00864629">
        <w:rPr>
          <w:i/>
          <w:sz w:val="23"/>
          <w:szCs w:val="23"/>
        </w:rPr>
        <w:t xml:space="preserve"> </w:t>
      </w:r>
      <w:r w:rsidRPr="00864629">
        <w:rPr>
          <w:i/>
          <w:sz w:val="23"/>
          <w:szCs w:val="23"/>
        </w:rPr>
        <w:t>netto ze sprzedaży produktów, towarów i materiałów;</w:t>
      </w:r>
    </w:p>
    <w:p w:rsidR="00F229FA" w:rsidRPr="00864629" w:rsidRDefault="00F229FA" w:rsidP="00F229FA">
      <w:pPr>
        <w:spacing w:line="360" w:lineRule="auto"/>
        <w:jc w:val="both"/>
        <w:rPr>
          <w:i/>
          <w:sz w:val="23"/>
          <w:szCs w:val="23"/>
        </w:rPr>
      </w:pPr>
      <w:r w:rsidRPr="00864629">
        <w:rPr>
          <w:i/>
          <w:sz w:val="23"/>
          <w:szCs w:val="23"/>
        </w:rPr>
        <w:t>b) wskaźnik rentowności obrotu brutto jest to relacja wyniku finansowego brutto do przychodów z całokształtu</w:t>
      </w:r>
      <w:r w:rsidR="00F32DC5" w:rsidRPr="00864629">
        <w:rPr>
          <w:i/>
          <w:sz w:val="23"/>
          <w:szCs w:val="23"/>
        </w:rPr>
        <w:t xml:space="preserve"> </w:t>
      </w:r>
      <w:r w:rsidRPr="00864629">
        <w:rPr>
          <w:i/>
          <w:sz w:val="23"/>
          <w:szCs w:val="23"/>
        </w:rPr>
        <w:t>działalności;</w:t>
      </w:r>
    </w:p>
    <w:p w:rsidR="00F229FA" w:rsidRPr="00864629" w:rsidRDefault="00F229FA" w:rsidP="00F229FA">
      <w:pPr>
        <w:spacing w:line="360" w:lineRule="auto"/>
        <w:jc w:val="both"/>
        <w:rPr>
          <w:i/>
          <w:sz w:val="23"/>
          <w:szCs w:val="23"/>
        </w:rPr>
      </w:pPr>
      <w:r w:rsidRPr="00864629">
        <w:rPr>
          <w:i/>
          <w:sz w:val="23"/>
          <w:szCs w:val="23"/>
        </w:rPr>
        <w:t>c) wskaźnik rentowności obrotu netto jest to relacja wyniku finansowego netto do przychodów z całokształtu działalności;</w:t>
      </w:r>
      <w:r w:rsidR="00864629" w:rsidRPr="00864629">
        <w:rPr>
          <w:i/>
          <w:sz w:val="23"/>
          <w:szCs w:val="23"/>
        </w:rPr>
        <w:t>”</w:t>
      </w:r>
    </w:p>
    <w:p w:rsidR="00F229FA" w:rsidRPr="00864629" w:rsidRDefault="00864629" w:rsidP="004D5A25">
      <w:pPr>
        <w:spacing w:line="360" w:lineRule="auto"/>
        <w:jc w:val="both"/>
        <w:rPr>
          <w:i/>
          <w:sz w:val="23"/>
          <w:szCs w:val="23"/>
        </w:rPr>
      </w:pPr>
      <w:r w:rsidRPr="00864629">
        <w:rPr>
          <w:i/>
          <w:sz w:val="23"/>
          <w:szCs w:val="23"/>
        </w:rPr>
        <w:t>……</w:t>
      </w:r>
    </w:p>
    <w:p w:rsidR="00F32DC5" w:rsidRPr="00864629" w:rsidRDefault="00864629" w:rsidP="00F32DC5">
      <w:pPr>
        <w:spacing w:line="360" w:lineRule="auto"/>
        <w:jc w:val="both"/>
        <w:rPr>
          <w:i/>
          <w:sz w:val="23"/>
          <w:szCs w:val="23"/>
        </w:rPr>
      </w:pPr>
      <w:r w:rsidRPr="00864629">
        <w:rPr>
          <w:i/>
          <w:sz w:val="23"/>
          <w:szCs w:val="23"/>
        </w:rPr>
        <w:t>„</w:t>
      </w:r>
      <w:r w:rsidR="00F32DC5" w:rsidRPr="00864629">
        <w:rPr>
          <w:i/>
          <w:sz w:val="23"/>
          <w:szCs w:val="23"/>
        </w:rPr>
        <w:t>34. Wyniki finansowe:</w:t>
      </w:r>
    </w:p>
    <w:p w:rsidR="00F32DC5" w:rsidRPr="00864629" w:rsidRDefault="00F32DC5" w:rsidP="00F32DC5">
      <w:pPr>
        <w:spacing w:line="360" w:lineRule="auto"/>
        <w:jc w:val="both"/>
        <w:rPr>
          <w:i/>
          <w:sz w:val="23"/>
          <w:szCs w:val="23"/>
        </w:rPr>
      </w:pPr>
      <w:r w:rsidRPr="00864629">
        <w:rPr>
          <w:i/>
          <w:sz w:val="23"/>
          <w:szCs w:val="23"/>
        </w:rPr>
        <w:t>….</w:t>
      </w:r>
    </w:p>
    <w:p w:rsidR="00F32DC5" w:rsidRPr="00864629" w:rsidRDefault="00F32DC5" w:rsidP="00F32DC5">
      <w:pPr>
        <w:spacing w:line="360" w:lineRule="auto"/>
        <w:jc w:val="both"/>
        <w:rPr>
          <w:i/>
          <w:sz w:val="23"/>
          <w:szCs w:val="23"/>
        </w:rPr>
      </w:pPr>
      <w:r w:rsidRPr="00864629">
        <w:rPr>
          <w:i/>
          <w:sz w:val="23"/>
          <w:szCs w:val="23"/>
        </w:rPr>
        <w:t>e) wynik finansowy brutto (zysk lub strata) jest sumą wyników finansowych: na sprzedaży produktów, towarów i materiałów, na pozostałej działalności operacyjnej oraz na operacjach finansowych;</w:t>
      </w:r>
    </w:p>
    <w:p w:rsidR="00F32DC5" w:rsidRPr="00864629" w:rsidRDefault="00F32DC5" w:rsidP="00F32DC5">
      <w:pPr>
        <w:spacing w:line="360" w:lineRule="auto"/>
        <w:jc w:val="both"/>
        <w:rPr>
          <w:i/>
          <w:sz w:val="23"/>
          <w:szCs w:val="23"/>
        </w:rPr>
      </w:pPr>
      <w:r w:rsidRPr="00864629">
        <w:rPr>
          <w:i/>
          <w:sz w:val="23"/>
          <w:szCs w:val="23"/>
        </w:rPr>
        <w:t>f) wynik finansowy netto (zysk lub strata) otrzymuje się po pomniejszeniu wyniku finansowego brutto o obowiązkowe obciążenia, które obejmują podatek dochodowy od osób prawnych i fizycznych oraz inne płatności wynikające z odrębnych przepisów.</w:t>
      </w:r>
    </w:p>
    <w:p w:rsidR="00D133D4" w:rsidRPr="00864629" w:rsidRDefault="00D133D4" w:rsidP="004D5A25">
      <w:pPr>
        <w:spacing w:line="360" w:lineRule="auto"/>
        <w:jc w:val="both"/>
        <w:rPr>
          <w:i/>
          <w:sz w:val="23"/>
          <w:szCs w:val="23"/>
        </w:rPr>
      </w:pPr>
    </w:p>
    <w:p w:rsidR="00803AE7" w:rsidRPr="00864629" w:rsidRDefault="00F32DC5" w:rsidP="004D5A25">
      <w:pPr>
        <w:spacing w:line="360" w:lineRule="auto"/>
        <w:jc w:val="both"/>
        <w:rPr>
          <w:i/>
          <w:sz w:val="23"/>
          <w:szCs w:val="23"/>
        </w:rPr>
      </w:pPr>
      <w:r w:rsidRPr="00864629">
        <w:rPr>
          <w:i/>
          <w:sz w:val="23"/>
          <w:szCs w:val="23"/>
        </w:rPr>
        <w:t>Wskaźnik rento</w:t>
      </w:r>
      <w:r w:rsidR="002F6292" w:rsidRPr="00864629">
        <w:rPr>
          <w:i/>
          <w:sz w:val="23"/>
          <w:szCs w:val="23"/>
        </w:rPr>
        <w:t xml:space="preserve">wności obrotu brutto odpowiada </w:t>
      </w:r>
      <w:r w:rsidRPr="00864629">
        <w:rPr>
          <w:i/>
          <w:sz w:val="23"/>
          <w:szCs w:val="23"/>
        </w:rPr>
        <w:t>w przybliżeniu wskaźnikowi używanemu</w:t>
      </w:r>
      <w:r w:rsidR="00255628" w:rsidRPr="00864629">
        <w:rPr>
          <w:i/>
          <w:sz w:val="23"/>
          <w:szCs w:val="23"/>
        </w:rPr>
        <w:t xml:space="preserve"> </w:t>
      </w:r>
      <w:r w:rsidRPr="00864629">
        <w:rPr>
          <w:i/>
          <w:sz w:val="23"/>
          <w:szCs w:val="23"/>
        </w:rPr>
        <w:t>metodzie marży transakcyjnej n</w:t>
      </w:r>
      <w:r w:rsidR="002F6292" w:rsidRPr="00864629">
        <w:rPr>
          <w:i/>
          <w:sz w:val="23"/>
          <w:szCs w:val="23"/>
        </w:rPr>
        <w:t xml:space="preserve">etto </w:t>
      </w:r>
      <w:r w:rsidRPr="00864629">
        <w:rPr>
          <w:i/>
          <w:sz w:val="23"/>
          <w:szCs w:val="23"/>
        </w:rPr>
        <w:t xml:space="preserve">(MMTN). </w:t>
      </w:r>
      <w:r w:rsidR="00864629" w:rsidRPr="00864629">
        <w:rPr>
          <w:i/>
          <w:sz w:val="23"/>
          <w:szCs w:val="23"/>
        </w:rPr>
        <w:t>„</w:t>
      </w:r>
    </w:p>
    <w:p w:rsidR="00803AE7" w:rsidRDefault="00803AE7" w:rsidP="004D5A25">
      <w:pPr>
        <w:spacing w:line="360" w:lineRule="auto"/>
        <w:jc w:val="both"/>
        <w:rPr>
          <w:sz w:val="23"/>
          <w:szCs w:val="23"/>
        </w:rPr>
      </w:pPr>
    </w:p>
    <w:p w:rsidR="00AA6658" w:rsidRDefault="00AA6658" w:rsidP="004D5A25">
      <w:pPr>
        <w:spacing w:line="360" w:lineRule="auto"/>
        <w:jc w:val="both"/>
        <w:rPr>
          <w:sz w:val="23"/>
          <w:szCs w:val="23"/>
        </w:rPr>
      </w:pPr>
      <w:r>
        <w:rPr>
          <w:sz w:val="23"/>
          <w:szCs w:val="23"/>
        </w:rPr>
        <w:t xml:space="preserve">Dla </w:t>
      </w:r>
      <w:r w:rsidR="000B56E2">
        <w:rPr>
          <w:sz w:val="23"/>
          <w:szCs w:val="23"/>
        </w:rPr>
        <w:t>przykładu</w:t>
      </w:r>
      <w:r w:rsidR="00B73A23">
        <w:rPr>
          <w:sz w:val="23"/>
          <w:szCs w:val="23"/>
        </w:rPr>
        <w:t xml:space="preserve">, jak </w:t>
      </w:r>
      <w:r>
        <w:rPr>
          <w:sz w:val="23"/>
          <w:szCs w:val="23"/>
        </w:rPr>
        <w:t xml:space="preserve">wynika z zamieszczonej tabeli </w:t>
      </w:r>
      <w:r w:rsidR="000B56E2">
        <w:rPr>
          <w:sz w:val="23"/>
          <w:szCs w:val="23"/>
        </w:rPr>
        <w:t xml:space="preserve">w roku 2018 </w:t>
      </w:r>
      <w:r>
        <w:rPr>
          <w:sz w:val="23"/>
          <w:szCs w:val="23"/>
        </w:rPr>
        <w:t xml:space="preserve">rentowność obrotu brutto </w:t>
      </w:r>
      <w:r w:rsidR="000B56E2">
        <w:rPr>
          <w:sz w:val="23"/>
          <w:szCs w:val="23"/>
        </w:rPr>
        <w:t xml:space="preserve">w obszarze budowy obiektów inżynierii lądowej i wodnej </w:t>
      </w:r>
      <w:r>
        <w:rPr>
          <w:sz w:val="23"/>
          <w:szCs w:val="23"/>
        </w:rPr>
        <w:t xml:space="preserve">netto za 3 kwartały  wzrosła z </w:t>
      </w:r>
      <w:r w:rsidR="000B56E2">
        <w:rPr>
          <w:sz w:val="23"/>
          <w:szCs w:val="23"/>
        </w:rPr>
        <w:t xml:space="preserve">poziomu 2% do poziomu 2,5% w stosunku do roku 2017. </w:t>
      </w:r>
      <w:r w:rsidR="00B73A23">
        <w:rPr>
          <w:sz w:val="23"/>
          <w:szCs w:val="23"/>
        </w:rPr>
        <w:t>Wzrost rentowności wyniósł 25% [(2,5%-2%)</w:t>
      </w:r>
      <w:r w:rsidR="00B73A23" w:rsidRPr="00B73A23">
        <w:rPr>
          <w:b/>
          <w:sz w:val="23"/>
          <w:szCs w:val="23"/>
        </w:rPr>
        <w:t>/</w:t>
      </w:r>
      <w:r w:rsidR="00B73A23">
        <w:rPr>
          <w:sz w:val="23"/>
          <w:szCs w:val="23"/>
        </w:rPr>
        <w:t xml:space="preserve">2%]. </w:t>
      </w:r>
      <w:r w:rsidR="000B56E2">
        <w:rPr>
          <w:sz w:val="23"/>
          <w:szCs w:val="23"/>
        </w:rPr>
        <w:t xml:space="preserve">Tak ustalony trend można zastosować do posiadanej analizy, w której dane zazwyczaj pochodzą jeszcze z lat poprzednich. </w:t>
      </w:r>
    </w:p>
    <w:p w:rsidR="000B56E2" w:rsidRDefault="00B73A23" w:rsidP="004D5A25">
      <w:pPr>
        <w:spacing w:line="360" w:lineRule="auto"/>
        <w:jc w:val="both"/>
        <w:rPr>
          <w:sz w:val="23"/>
          <w:szCs w:val="23"/>
        </w:rPr>
      </w:pPr>
      <w:r>
        <w:rPr>
          <w:sz w:val="23"/>
          <w:szCs w:val="23"/>
        </w:rPr>
        <w:t>Uwaga:  n</w:t>
      </w:r>
      <w:r w:rsidR="000B56E2">
        <w:rPr>
          <w:sz w:val="23"/>
          <w:szCs w:val="23"/>
        </w:rPr>
        <w:t>ie dla wszystkich branż zastosowanie danych z GUS będzie możliwe. W branżach gdzie podmioty powiązane generują ponad połowę obrotu, wskaźniki nie będą odzwierciedlać trendu rynkowego, gdyż podmioty powiązane często stosują tzw. zysk gwarantowany, ustalony na sztywnym poziomie</w:t>
      </w:r>
      <w:r>
        <w:rPr>
          <w:sz w:val="23"/>
          <w:szCs w:val="23"/>
        </w:rPr>
        <w:t>, bez względu na wahania koniunktury</w:t>
      </w:r>
      <w:r w:rsidR="000B56E2">
        <w:rPr>
          <w:sz w:val="23"/>
          <w:szCs w:val="23"/>
        </w:rPr>
        <w:t xml:space="preserve">. </w:t>
      </w:r>
    </w:p>
    <w:p w:rsidR="000B56E2" w:rsidRDefault="000B56E2" w:rsidP="004D5A25">
      <w:pPr>
        <w:spacing w:line="360" w:lineRule="auto"/>
        <w:jc w:val="both"/>
        <w:rPr>
          <w:sz w:val="23"/>
          <w:szCs w:val="23"/>
        </w:rPr>
      </w:pPr>
      <w:r>
        <w:rPr>
          <w:sz w:val="23"/>
          <w:szCs w:val="23"/>
        </w:rPr>
        <w:t xml:space="preserve">Dane GUS byłyby bardziej przydatne do weryfikacji cen transferowych, gdyby GUS wprowadził do statystyki wyróżnienie podmiotów powiązanych, np. podmiotów, których ponad połowa kosztów czy przychodów pochodzi od podmiotów powiązanych. </w:t>
      </w:r>
    </w:p>
    <w:p w:rsidR="00F32DC5" w:rsidRDefault="000779C2" w:rsidP="00F32DC5">
      <w:pPr>
        <w:spacing w:line="360" w:lineRule="auto"/>
        <w:jc w:val="both"/>
        <w:rPr>
          <w:sz w:val="23"/>
          <w:szCs w:val="23"/>
        </w:rPr>
      </w:pPr>
      <w:r>
        <w:rPr>
          <w:sz w:val="23"/>
          <w:szCs w:val="23"/>
        </w:rPr>
        <w:t xml:space="preserve"> </w:t>
      </w:r>
      <w:r w:rsidR="00F32DC5">
        <w:rPr>
          <w:sz w:val="23"/>
          <w:szCs w:val="23"/>
        </w:rPr>
        <w:t xml:space="preserve">Link do biuletynu Statystycznego GUS wydawanego, co miesiąc:  </w:t>
      </w:r>
    </w:p>
    <w:p w:rsidR="00F32DC5" w:rsidRDefault="00F32DC5" w:rsidP="00F32DC5">
      <w:pPr>
        <w:spacing w:line="360" w:lineRule="auto"/>
        <w:jc w:val="both"/>
        <w:rPr>
          <w:sz w:val="23"/>
          <w:szCs w:val="23"/>
        </w:rPr>
      </w:pPr>
      <w:hyperlink r:id="rId12" w:history="1">
        <w:r w:rsidRPr="004C5DEF">
          <w:rPr>
            <w:rStyle w:val="Hipercze"/>
            <w:sz w:val="23"/>
            <w:szCs w:val="23"/>
          </w:rPr>
          <w:t>http://stat.gov.pl/obszary-tematyczne/inne-opracowania/informacje-o-sytuacji-spoleczno-gospodarczej/biuletyn-statystyczny-nr-112018,4,82.html</w:t>
        </w:r>
      </w:hyperlink>
    </w:p>
    <w:p w:rsidR="0098560F" w:rsidRDefault="0098560F" w:rsidP="004D5A25">
      <w:pPr>
        <w:spacing w:line="360" w:lineRule="auto"/>
        <w:jc w:val="both"/>
        <w:rPr>
          <w:sz w:val="23"/>
          <w:szCs w:val="23"/>
        </w:rPr>
      </w:pPr>
    </w:p>
    <w:p w:rsidR="00764ABA" w:rsidRDefault="00764ABA" w:rsidP="004D5A25">
      <w:pPr>
        <w:spacing w:line="360" w:lineRule="auto"/>
        <w:jc w:val="both"/>
        <w:rPr>
          <w:sz w:val="23"/>
          <w:szCs w:val="23"/>
        </w:rPr>
      </w:pPr>
    </w:p>
    <w:p w:rsidR="00764ABA" w:rsidRDefault="00764ABA" w:rsidP="00764ABA">
      <w:pPr>
        <w:pStyle w:val="Nagwek1"/>
      </w:pPr>
      <w:bookmarkStart w:id="1" w:name="_Toc534795887"/>
      <w:r>
        <w:t xml:space="preserve">Baza kosztowa dla usług wewnątrz grupowych </w:t>
      </w:r>
      <w:r w:rsidR="00D77045">
        <w:t>– wydatki akcjonariusza</w:t>
      </w:r>
      <w:bookmarkEnd w:id="1"/>
      <w:r w:rsidR="00D77045">
        <w:t xml:space="preserve"> </w:t>
      </w:r>
    </w:p>
    <w:p w:rsidR="00764ABA" w:rsidRDefault="00764ABA" w:rsidP="00764ABA"/>
    <w:p w:rsidR="00764ABA" w:rsidRDefault="00764ABA" w:rsidP="00E40D11">
      <w:pPr>
        <w:spacing w:line="360" w:lineRule="auto"/>
        <w:jc w:val="both"/>
      </w:pPr>
      <w:r>
        <w:t xml:space="preserve">Dyskusja na spotkaniu </w:t>
      </w:r>
      <w:r w:rsidR="00E40D11">
        <w:t>wykazała</w:t>
      </w:r>
      <w:r>
        <w:t xml:space="preserve">, </w:t>
      </w:r>
      <w:r w:rsidR="00421E25">
        <w:t>że kontrolowana</w:t>
      </w:r>
      <w:r>
        <w:t xml:space="preserve"> będzie baza kosztów w przypadku stosowania metody koszt plus do ustalenia ceny na usługi</w:t>
      </w:r>
      <w:r w:rsidR="00E40D11">
        <w:t xml:space="preserve"> wewnątrz grupowe</w:t>
      </w:r>
      <w:r>
        <w:t xml:space="preserve">. </w:t>
      </w:r>
    </w:p>
    <w:p w:rsidR="00764ABA" w:rsidRDefault="00764ABA" w:rsidP="00E40D11">
      <w:pPr>
        <w:spacing w:line="360" w:lineRule="auto"/>
        <w:jc w:val="both"/>
      </w:pPr>
    </w:p>
    <w:p w:rsidR="00764ABA" w:rsidRDefault="00764ABA" w:rsidP="00E40D11">
      <w:pPr>
        <w:spacing w:line="360" w:lineRule="auto"/>
        <w:jc w:val="both"/>
      </w:pPr>
      <w:r>
        <w:t xml:space="preserve">Badając bazę kosztową pojawia się kwestia wydzielenia kosztów, które będą podlegać podziałowi na poszczególnych beneficjentów tych usług. </w:t>
      </w:r>
    </w:p>
    <w:p w:rsidR="00764ABA" w:rsidRDefault="00764ABA" w:rsidP="00421E25">
      <w:pPr>
        <w:spacing w:line="360" w:lineRule="auto"/>
        <w:jc w:val="both"/>
      </w:pPr>
    </w:p>
    <w:p w:rsidR="00764ABA" w:rsidRDefault="00764ABA" w:rsidP="00421E25">
      <w:pPr>
        <w:spacing w:line="360" w:lineRule="auto"/>
        <w:jc w:val="both"/>
      </w:pPr>
      <w:r>
        <w:t xml:space="preserve">W celu </w:t>
      </w:r>
      <w:r w:rsidR="00421E25">
        <w:t xml:space="preserve">wyodrębnienia </w:t>
      </w:r>
      <w:r>
        <w:t xml:space="preserve">puli kosztów do podziału pomocne będzie </w:t>
      </w:r>
      <w:r w:rsidR="00421E25">
        <w:t>określenie, jakie są</w:t>
      </w:r>
      <w:r>
        <w:t xml:space="preserve"> </w:t>
      </w:r>
      <w:r w:rsidR="00421E25">
        <w:t>wydatki udziałowca</w:t>
      </w:r>
      <w:r>
        <w:t xml:space="preserve"> (akcjonariusza) i czy je wyłączyć z </w:t>
      </w:r>
      <w:r w:rsidR="00421E25">
        <w:t xml:space="preserve">tej </w:t>
      </w:r>
      <w:r>
        <w:t>puli</w:t>
      </w:r>
      <w:r w:rsidR="00421E25">
        <w:t xml:space="preserve">. </w:t>
      </w:r>
      <w:r>
        <w:t xml:space="preserve">  Lista takich wydatków był określona w poprzednim rozporz</w:t>
      </w:r>
      <w:r w:rsidR="00421E25">
        <w:t>ądzeniu</w:t>
      </w:r>
      <w:r w:rsidRPr="00764ABA">
        <w:t xml:space="preserve">, lecz od roku 2019 </w:t>
      </w:r>
      <w:r w:rsidR="00421E25" w:rsidRPr="00764ABA">
        <w:t>został</w:t>
      </w:r>
      <w:r w:rsidR="00421E25">
        <w:t>a</w:t>
      </w:r>
      <w:r w:rsidRPr="00764ABA">
        <w:t xml:space="preserve"> uchylona. </w:t>
      </w:r>
      <w:r>
        <w:t xml:space="preserve"> </w:t>
      </w:r>
      <w:r w:rsidR="00421E25">
        <w:t xml:space="preserve">Dlatego pomocne będzie określenie tej kwestii w Objaśnieniach. </w:t>
      </w:r>
      <w:r>
        <w:t xml:space="preserve"> </w:t>
      </w:r>
    </w:p>
    <w:p w:rsidR="00421E25" w:rsidRDefault="00421E25" w:rsidP="00421E25">
      <w:pPr>
        <w:spacing w:line="360" w:lineRule="auto"/>
        <w:jc w:val="both"/>
      </w:pPr>
    </w:p>
    <w:p w:rsidR="00421E25" w:rsidRDefault="00421E25" w:rsidP="00421E25">
      <w:pPr>
        <w:pStyle w:val="Nagwek1"/>
      </w:pPr>
      <w:bookmarkStart w:id="2" w:name="_Toc534795888"/>
      <w:r w:rsidRPr="00421E25">
        <w:t>Informacje o schematach podatkowych</w:t>
      </w:r>
      <w:r>
        <w:t xml:space="preserve"> a przepisy o cenach transferowych</w:t>
      </w:r>
      <w:bookmarkEnd w:id="2"/>
      <w:r>
        <w:t xml:space="preserve"> </w:t>
      </w:r>
    </w:p>
    <w:p w:rsidR="00421E25" w:rsidRDefault="00421E25" w:rsidP="00764ABA"/>
    <w:p w:rsidR="00421E25" w:rsidRDefault="00E40D11" w:rsidP="00E40D11">
      <w:pPr>
        <w:spacing w:line="360" w:lineRule="auto"/>
        <w:jc w:val="both"/>
      </w:pPr>
      <w:r>
        <w:t>Dążenie</w:t>
      </w:r>
      <w:r w:rsidR="00421E25">
        <w:t xml:space="preserve"> do określenia warunków </w:t>
      </w:r>
      <w:r>
        <w:t>transakcji</w:t>
      </w:r>
      <w:r w:rsidR="00421E25">
        <w:t xml:space="preserve"> na za</w:t>
      </w:r>
      <w:r>
        <w:t>sa</w:t>
      </w:r>
      <w:r w:rsidR="00421E25">
        <w:t>dach zgodnych z tymi, jaki</w:t>
      </w:r>
      <w:r>
        <w:t>e</w:t>
      </w:r>
      <w:r w:rsidR="00421E25">
        <w:t xml:space="preserve"> by uzgodniły n</w:t>
      </w:r>
      <w:r>
        <w:t xml:space="preserve">iezależne </w:t>
      </w:r>
      <w:r w:rsidR="00421E25">
        <w:t xml:space="preserve">podmioty </w:t>
      </w:r>
      <w:r>
        <w:t xml:space="preserve">nie powinno podlegać </w:t>
      </w:r>
      <w:r w:rsidR="00421E25">
        <w:t>obowiązk</w:t>
      </w:r>
      <w:r>
        <w:t>owi informowania o schematach podatkowych, określonemu w Rozdziale 11a ustawy ordynacja podatkowa. W szczególności wyniki badania porównywalności nie powinny podlegać raportowaniu. Powody tego są następujące:</w:t>
      </w:r>
    </w:p>
    <w:p w:rsidR="00E40D11" w:rsidRDefault="00E40D11" w:rsidP="002528AF">
      <w:pPr>
        <w:pStyle w:val="Akapitzlist"/>
        <w:numPr>
          <w:ilvl w:val="0"/>
          <w:numId w:val="4"/>
        </w:numPr>
        <w:spacing w:line="360" w:lineRule="auto"/>
        <w:jc w:val="both"/>
      </w:pPr>
      <w:r>
        <w:t xml:space="preserve">W myśl ustaw o podatku dochodowym od osób prawnych jak i osób fizycznych określenie wysokości dochodu </w:t>
      </w:r>
      <w:r w:rsidR="00FC2C23">
        <w:t xml:space="preserve">pomiędzy podmiotami powiązanymi </w:t>
      </w:r>
      <w:r>
        <w:t xml:space="preserve">i eliminowanie podwójnego opodatkowania winno być dokonane z uwzględnieniem Wytycznych OECD w sprawie cen transferowych. Wytyczne te w żadnym postanowieniu nie przewidują </w:t>
      </w:r>
      <w:r w:rsidR="002528AF">
        <w:t>obowiązku raportowania</w:t>
      </w:r>
      <w:r w:rsidR="00660161">
        <w:t xml:space="preserve"> przewidzianego w Działaniu 12 BEPS </w:t>
      </w:r>
      <w:r w:rsidR="00660161" w:rsidRPr="00660161">
        <w:rPr>
          <w:lang w:val="en-GB"/>
        </w:rPr>
        <w:t>Mandatory</w:t>
      </w:r>
      <w:r w:rsidR="00660161">
        <w:t xml:space="preserve"> </w:t>
      </w:r>
      <w:r w:rsidR="00660161" w:rsidRPr="00660161">
        <w:rPr>
          <w:lang w:val="en-GB"/>
        </w:rPr>
        <w:t>Disclosure</w:t>
      </w:r>
      <w:r w:rsidR="00660161">
        <w:t xml:space="preserve"> </w:t>
      </w:r>
      <w:r w:rsidR="00660161" w:rsidRPr="00660161">
        <w:rPr>
          <w:lang w:val="en-GB"/>
        </w:rPr>
        <w:t>Rules</w:t>
      </w:r>
      <w:r w:rsidR="00660161">
        <w:t xml:space="preserve"> (MDR). </w:t>
      </w:r>
    </w:p>
    <w:p w:rsidR="002528AF" w:rsidRDefault="002528AF" w:rsidP="002528AF">
      <w:pPr>
        <w:pStyle w:val="Akapitzlist"/>
        <w:numPr>
          <w:ilvl w:val="0"/>
          <w:numId w:val="4"/>
        </w:numPr>
        <w:spacing w:line="360" w:lineRule="auto"/>
        <w:jc w:val="both"/>
      </w:pPr>
      <w:r>
        <w:t xml:space="preserve">Przepisy o cenach transferowych zawierają już wiele obowiązków raportowania </w:t>
      </w:r>
      <w:r w:rsidR="00FC2C23">
        <w:t xml:space="preserve">do </w:t>
      </w:r>
      <w:r>
        <w:t>administracji podatkowej</w:t>
      </w:r>
      <w:r w:rsidR="002F4EA8">
        <w:t xml:space="preserve"> </w:t>
      </w:r>
      <w:r>
        <w:t xml:space="preserve">(dokumentacja lokalna, dokumentacja grupowa, raport wg krajów, informacja TP-R, oświadczenie) dlatego zbędne jest nakładanie kolejnego </w:t>
      </w:r>
      <w:r>
        <w:lastRenderedPageBreak/>
        <w:t xml:space="preserve">obowiązku o raportowaniu tych samych danych i w dodatku w układzie, który nie pomaga analizie ryzyka uszczuplenia podatku. </w:t>
      </w:r>
    </w:p>
    <w:p w:rsidR="002F4EA8" w:rsidRDefault="002F4EA8" w:rsidP="002F4EA8">
      <w:pPr>
        <w:pStyle w:val="Akapitzlist"/>
        <w:spacing w:after="240" w:line="360" w:lineRule="auto"/>
        <w:ind w:left="360"/>
        <w:jc w:val="both"/>
      </w:pPr>
      <w:r>
        <w:t xml:space="preserve">Ponadto, </w:t>
      </w:r>
      <w:r w:rsidRPr="00660161">
        <w:rPr>
          <w:u w:val="single"/>
        </w:rPr>
        <w:t xml:space="preserve">raporty dotyczące cen transferowych stanowią lex </w:t>
      </w:r>
      <w:r w:rsidRPr="00660161">
        <w:rPr>
          <w:u w:val="single"/>
          <w:lang w:val="la-Latn"/>
        </w:rPr>
        <w:t>specialis</w:t>
      </w:r>
      <w:r w:rsidRPr="00660161">
        <w:rPr>
          <w:u w:val="single"/>
        </w:rPr>
        <w:t xml:space="preserve"> w odniesieniu do innych raportów</w:t>
      </w:r>
      <w:r>
        <w:t xml:space="preserve"> i dlatego zgodnie z regułą kolizyjną </w:t>
      </w:r>
      <w:r w:rsidRPr="002F4EA8">
        <w:t xml:space="preserve">lex </w:t>
      </w:r>
      <w:r w:rsidRPr="002F4EA8">
        <w:rPr>
          <w:lang w:val="la-Latn"/>
        </w:rPr>
        <w:t>specialis</w:t>
      </w:r>
      <w:r w:rsidRPr="002F4EA8">
        <w:t xml:space="preserve"> derogat legi </w:t>
      </w:r>
      <w:r w:rsidRPr="002F4EA8">
        <w:rPr>
          <w:lang w:val="la-Latn"/>
        </w:rPr>
        <w:t>generali</w:t>
      </w:r>
      <w:r>
        <w:t xml:space="preserve"> winno się stosować tylko raportowanie określone w przepisach o cenach transferowych. </w:t>
      </w:r>
    </w:p>
    <w:p w:rsidR="002F4EA8" w:rsidRDefault="002F4EA8" w:rsidP="002F4EA8">
      <w:pPr>
        <w:pStyle w:val="Akapitzlist"/>
        <w:spacing w:after="240" w:line="360" w:lineRule="auto"/>
        <w:ind w:left="360"/>
        <w:jc w:val="both"/>
      </w:pPr>
    </w:p>
    <w:p w:rsidR="002528AF" w:rsidRDefault="002528AF" w:rsidP="002528AF">
      <w:pPr>
        <w:pStyle w:val="Akapitzlist"/>
        <w:numPr>
          <w:ilvl w:val="0"/>
          <w:numId w:val="4"/>
        </w:numPr>
        <w:spacing w:line="360" w:lineRule="auto"/>
        <w:jc w:val="both"/>
      </w:pPr>
      <w:r>
        <w:t>W myśl art. 86a. §1 pkt 10 cytowanego poniżej:</w:t>
      </w:r>
    </w:p>
    <w:p w:rsidR="002528AF" w:rsidRPr="000362CE" w:rsidRDefault="000362CE" w:rsidP="002528AF">
      <w:pPr>
        <w:pStyle w:val="Akapitzlist"/>
        <w:spacing w:line="360" w:lineRule="auto"/>
        <w:ind w:left="360"/>
        <w:jc w:val="both"/>
        <w:rPr>
          <w:i/>
          <w:color w:val="000000"/>
          <w:sz w:val="23"/>
          <w:szCs w:val="23"/>
        </w:rPr>
      </w:pPr>
      <w:r w:rsidRPr="000362CE">
        <w:rPr>
          <w:i/>
          <w:color w:val="000000"/>
          <w:sz w:val="23"/>
          <w:szCs w:val="23"/>
        </w:rPr>
        <w:t>Art. 86a. § 1. Ilekroć w niniejszym rozdziale jest mowa o:</w:t>
      </w:r>
      <w:r w:rsidR="002528AF" w:rsidRPr="000362CE">
        <w:rPr>
          <w:i/>
          <w:color w:val="000000"/>
          <w:sz w:val="23"/>
          <w:szCs w:val="23"/>
        </w:rPr>
        <w:t xml:space="preserve"> </w:t>
      </w:r>
    </w:p>
    <w:p w:rsidR="002528AF" w:rsidRPr="000362CE" w:rsidRDefault="002528AF" w:rsidP="000362CE">
      <w:pPr>
        <w:pStyle w:val="Default"/>
        <w:spacing w:line="360" w:lineRule="auto"/>
        <w:rPr>
          <w:i/>
          <w:sz w:val="23"/>
          <w:szCs w:val="23"/>
        </w:rPr>
      </w:pPr>
      <w:r w:rsidRPr="000362CE">
        <w:rPr>
          <w:i/>
          <w:sz w:val="23"/>
          <w:szCs w:val="23"/>
        </w:rPr>
        <w:t xml:space="preserve">10) schemacie podatkowym – rozumie się przez to </w:t>
      </w:r>
      <w:r w:rsidRPr="00660161">
        <w:rPr>
          <w:i/>
          <w:sz w:val="23"/>
          <w:szCs w:val="23"/>
          <w:u w:val="single"/>
        </w:rPr>
        <w:t>uzgodnienie,</w:t>
      </w:r>
      <w:r w:rsidRPr="000362CE">
        <w:rPr>
          <w:i/>
          <w:sz w:val="23"/>
          <w:szCs w:val="23"/>
        </w:rPr>
        <w:t xml:space="preserve"> które: </w:t>
      </w:r>
    </w:p>
    <w:p w:rsidR="002528AF" w:rsidRPr="000362CE" w:rsidRDefault="002528AF" w:rsidP="000362CE">
      <w:pPr>
        <w:pStyle w:val="Default"/>
        <w:spacing w:line="360" w:lineRule="auto"/>
        <w:ind w:left="708"/>
        <w:rPr>
          <w:i/>
          <w:sz w:val="23"/>
          <w:szCs w:val="23"/>
        </w:rPr>
      </w:pPr>
      <w:r w:rsidRPr="000362CE">
        <w:rPr>
          <w:i/>
          <w:sz w:val="23"/>
          <w:szCs w:val="23"/>
        </w:rPr>
        <w:t xml:space="preserve">a) spełnia kryterium głównej korzyści oraz posiada ogólną cechę rozpoznawczą, </w:t>
      </w:r>
    </w:p>
    <w:p w:rsidR="002528AF" w:rsidRPr="000362CE" w:rsidRDefault="002528AF" w:rsidP="000362CE">
      <w:pPr>
        <w:pStyle w:val="Default"/>
        <w:spacing w:line="360" w:lineRule="auto"/>
        <w:ind w:left="708"/>
        <w:rPr>
          <w:i/>
          <w:sz w:val="23"/>
          <w:szCs w:val="23"/>
        </w:rPr>
      </w:pPr>
      <w:r w:rsidRPr="000362CE">
        <w:rPr>
          <w:i/>
          <w:sz w:val="23"/>
          <w:szCs w:val="23"/>
        </w:rPr>
        <w:t xml:space="preserve">b) posiada szczególną cechę rozpoznawczą, lub </w:t>
      </w:r>
    </w:p>
    <w:p w:rsidR="002528AF" w:rsidRDefault="002528AF" w:rsidP="000362CE">
      <w:pPr>
        <w:spacing w:line="360" w:lineRule="auto"/>
        <w:ind w:left="708"/>
        <w:jc w:val="both"/>
        <w:rPr>
          <w:i/>
          <w:sz w:val="23"/>
          <w:szCs w:val="23"/>
        </w:rPr>
      </w:pPr>
      <w:r w:rsidRPr="000362CE">
        <w:rPr>
          <w:i/>
          <w:sz w:val="23"/>
          <w:szCs w:val="23"/>
        </w:rPr>
        <w:t>c) posiada inną szczególną cechę rozpoznawczą;</w:t>
      </w:r>
    </w:p>
    <w:p w:rsidR="000362CE" w:rsidRDefault="000362CE" w:rsidP="000362CE">
      <w:pPr>
        <w:spacing w:line="360" w:lineRule="auto"/>
        <w:jc w:val="both"/>
        <w:rPr>
          <w:sz w:val="23"/>
          <w:szCs w:val="23"/>
        </w:rPr>
      </w:pPr>
      <w:r>
        <w:rPr>
          <w:sz w:val="23"/>
          <w:szCs w:val="23"/>
        </w:rPr>
        <w:t xml:space="preserve">schemat podatkowy stanowi pewne uzgodnienie. </w:t>
      </w:r>
    </w:p>
    <w:p w:rsidR="000362CE" w:rsidRDefault="000362CE" w:rsidP="000362CE">
      <w:pPr>
        <w:spacing w:line="360" w:lineRule="auto"/>
        <w:jc w:val="both"/>
        <w:rPr>
          <w:sz w:val="23"/>
          <w:szCs w:val="23"/>
        </w:rPr>
      </w:pPr>
    </w:p>
    <w:p w:rsidR="000362CE" w:rsidRDefault="000362CE" w:rsidP="000362CE">
      <w:pPr>
        <w:spacing w:line="360" w:lineRule="auto"/>
        <w:jc w:val="both"/>
        <w:rPr>
          <w:sz w:val="23"/>
          <w:szCs w:val="23"/>
        </w:rPr>
      </w:pPr>
      <w:r>
        <w:rPr>
          <w:sz w:val="23"/>
          <w:szCs w:val="23"/>
        </w:rPr>
        <w:t>Definicja uzgodnienia brzmi następująco:</w:t>
      </w:r>
    </w:p>
    <w:p w:rsidR="000362CE" w:rsidRDefault="000362CE" w:rsidP="000362CE">
      <w:pPr>
        <w:pStyle w:val="Default"/>
        <w:spacing w:line="360" w:lineRule="auto"/>
        <w:rPr>
          <w:i/>
          <w:sz w:val="23"/>
          <w:szCs w:val="23"/>
        </w:rPr>
      </w:pPr>
      <w:r w:rsidRPr="000362CE">
        <w:rPr>
          <w:i/>
          <w:sz w:val="23"/>
          <w:szCs w:val="23"/>
        </w:rPr>
        <w:t xml:space="preserve">16) </w:t>
      </w:r>
      <w:r w:rsidRPr="00660161">
        <w:rPr>
          <w:i/>
          <w:sz w:val="23"/>
          <w:szCs w:val="23"/>
          <w:u w:val="single"/>
        </w:rPr>
        <w:t xml:space="preserve">uzgodnieniu </w:t>
      </w:r>
      <w:r w:rsidRPr="000362CE">
        <w:rPr>
          <w:i/>
          <w:sz w:val="23"/>
          <w:szCs w:val="23"/>
        </w:rPr>
        <w:t>– rozumie się przez to czynność lub zespół powiązanych ze sobą czynności, w tym czynność planowaną lub zespół czynności planowanych, których co najmniej jedna strona jest podatnikiem lub które mają lub mogą mieć wpływ na powstanie lub niepowstanie obowiązku podatkowego;</w:t>
      </w:r>
    </w:p>
    <w:p w:rsidR="000362CE" w:rsidRDefault="000362CE" w:rsidP="000362CE">
      <w:pPr>
        <w:pStyle w:val="Default"/>
        <w:spacing w:line="360" w:lineRule="auto"/>
        <w:rPr>
          <w:i/>
          <w:sz w:val="23"/>
          <w:szCs w:val="23"/>
        </w:rPr>
      </w:pPr>
    </w:p>
    <w:p w:rsidR="000362CE" w:rsidRDefault="000362CE" w:rsidP="000362CE">
      <w:pPr>
        <w:pStyle w:val="Default"/>
        <w:spacing w:line="360" w:lineRule="auto"/>
        <w:rPr>
          <w:sz w:val="23"/>
          <w:szCs w:val="23"/>
        </w:rPr>
      </w:pPr>
      <w:r w:rsidRPr="00A45B67">
        <w:rPr>
          <w:sz w:val="23"/>
          <w:szCs w:val="23"/>
        </w:rPr>
        <w:t xml:space="preserve">Samo dążenie do określenia warunków rynkowych (tj. analiza </w:t>
      </w:r>
      <w:r w:rsidR="00A45B67" w:rsidRPr="00A45B67">
        <w:rPr>
          <w:sz w:val="23"/>
          <w:szCs w:val="23"/>
        </w:rPr>
        <w:t>danych porównawczych, bench-marking</w:t>
      </w:r>
      <w:r w:rsidRPr="00A45B67">
        <w:rPr>
          <w:sz w:val="23"/>
          <w:szCs w:val="23"/>
        </w:rPr>
        <w:t xml:space="preserve">, analiza cen transferowych) </w:t>
      </w:r>
      <w:r w:rsidR="00A45B67" w:rsidRPr="00A45B67">
        <w:rPr>
          <w:sz w:val="23"/>
          <w:szCs w:val="23"/>
        </w:rPr>
        <w:t>nie</w:t>
      </w:r>
      <w:r w:rsidRPr="00A45B67">
        <w:rPr>
          <w:sz w:val="23"/>
          <w:szCs w:val="23"/>
        </w:rPr>
        <w:t xml:space="preserve"> stanowi </w:t>
      </w:r>
      <w:r w:rsidR="00A45B67" w:rsidRPr="00A45B67">
        <w:rPr>
          <w:sz w:val="23"/>
          <w:szCs w:val="23"/>
        </w:rPr>
        <w:t>uzgodnienia</w:t>
      </w:r>
      <w:r w:rsidR="00BC6BB3">
        <w:rPr>
          <w:sz w:val="23"/>
          <w:szCs w:val="23"/>
        </w:rPr>
        <w:t xml:space="preserve"> czy czynności biznesowej podejmowanej przez podatnika</w:t>
      </w:r>
      <w:r w:rsidRPr="00A45B67">
        <w:rPr>
          <w:sz w:val="23"/>
          <w:szCs w:val="23"/>
        </w:rPr>
        <w:t xml:space="preserve">, lecz dążenie do </w:t>
      </w:r>
      <w:r w:rsidR="00A45B67" w:rsidRPr="00A45B67">
        <w:rPr>
          <w:sz w:val="23"/>
          <w:szCs w:val="23"/>
        </w:rPr>
        <w:t>zapewnienia</w:t>
      </w:r>
      <w:r w:rsidRPr="00A45B67">
        <w:rPr>
          <w:sz w:val="23"/>
          <w:szCs w:val="23"/>
        </w:rPr>
        <w:t xml:space="preserve"> </w:t>
      </w:r>
      <w:r w:rsidR="00A45B67" w:rsidRPr="00A45B67">
        <w:rPr>
          <w:sz w:val="23"/>
          <w:szCs w:val="23"/>
        </w:rPr>
        <w:t>właściwego</w:t>
      </w:r>
      <w:r w:rsidRPr="00A45B67">
        <w:rPr>
          <w:sz w:val="23"/>
          <w:szCs w:val="23"/>
        </w:rPr>
        <w:t xml:space="preserve"> opodatkowania</w:t>
      </w:r>
      <w:r w:rsidR="00BC6BB3">
        <w:rPr>
          <w:sz w:val="23"/>
          <w:szCs w:val="23"/>
        </w:rPr>
        <w:t xml:space="preserve"> </w:t>
      </w:r>
      <w:r w:rsidR="00BC6BB3" w:rsidRPr="00660161">
        <w:rPr>
          <w:sz w:val="23"/>
          <w:szCs w:val="23"/>
          <w:u w:val="single"/>
        </w:rPr>
        <w:t xml:space="preserve">czynności już podjętych </w:t>
      </w:r>
      <w:r w:rsidR="00660161">
        <w:rPr>
          <w:sz w:val="23"/>
          <w:szCs w:val="23"/>
          <w:u w:val="single"/>
        </w:rPr>
        <w:t xml:space="preserve">lub już zaplanowanych </w:t>
      </w:r>
      <w:r w:rsidR="00BC6BB3" w:rsidRPr="00660161">
        <w:rPr>
          <w:sz w:val="23"/>
          <w:szCs w:val="23"/>
          <w:u w:val="single"/>
        </w:rPr>
        <w:t>przez podatnika.</w:t>
      </w:r>
      <w:r w:rsidR="00BC6BB3">
        <w:rPr>
          <w:sz w:val="23"/>
          <w:szCs w:val="23"/>
        </w:rPr>
        <w:t xml:space="preserve"> D</w:t>
      </w:r>
      <w:r w:rsidR="00A45B67" w:rsidRPr="00A45B67">
        <w:rPr>
          <w:sz w:val="23"/>
          <w:szCs w:val="23"/>
        </w:rPr>
        <w:t>latego</w:t>
      </w:r>
      <w:r w:rsidRPr="00A45B67">
        <w:rPr>
          <w:sz w:val="23"/>
          <w:szCs w:val="23"/>
        </w:rPr>
        <w:t xml:space="preserve"> </w:t>
      </w:r>
      <w:r w:rsidR="00BC6BB3">
        <w:rPr>
          <w:sz w:val="23"/>
          <w:szCs w:val="23"/>
        </w:rPr>
        <w:t xml:space="preserve">doradztwo w zakresie ustalenia warunków rynkowych </w:t>
      </w:r>
      <w:r w:rsidRPr="00A45B67">
        <w:rPr>
          <w:sz w:val="23"/>
          <w:szCs w:val="23"/>
        </w:rPr>
        <w:t xml:space="preserve">nie powinno być </w:t>
      </w:r>
      <w:r w:rsidR="00A45B67" w:rsidRPr="00A45B67">
        <w:rPr>
          <w:sz w:val="23"/>
          <w:szCs w:val="23"/>
        </w:rPr>
        <w:t xml:space="preserve">raportowane </w:t>
      </w:r>
      <w:r w:rsidR="00A45B67">
        <w:rPr>
          <w:sz w:val="23"/>
          <w:szCs w:val="23"/>
        </w:rPr>
        <w:t>jako schemat podatkowy. Tak wynika z wykładni przepisów o raportowaniu schematów podatkowych</w:t>
      </w:r>
      <w:r w:rsidR="00660161">
        <w:rPr>
          <w:sz w:val="23"/>
          <w:szCs w:val="23"/>
        </w:rPr>
        <w:t xml:space="preserve"> i wykładni przepisów o cenach transferowych</w:t>
      </w:r>
      <w:r w:rsidR="00A45B67">
        <w:rPr>
          <w:sz w:val="23"/>
          <w:szCs w:val="23"/>
        </w:rPr>
        <w:t xml:space="preserve">.  Pożądane jest, aby taka wykładnia znalazła się w o Objaśnieniach. </w:t>
      </w:r>
    </w:p>
    <w:p w:rsidR="00BC6BB3" w:rsidRDefault="00BC6BB3" w:rsidP="000362CE">
      <w:pPr>
        <w:pStyle w:val="Default"/>
        <w:spacing w:line="360" w:lineRule="auto"/>
        <w:rPr>
          <w:sz w:val="23"/>
          <w:szCs w:val="23"/>
        </w:rPr>
      </w:pPr>
    </w:p>
    <w:p w:rsidR="00BC6BB3" w:rsidRDefault="00BC6BB3" w:rsidP="00BC6BB3">
      <w:pPr>
        <w:pStyle w:val="Nagwek1"/>
      </w:pPr>
      <w:bookmarkStart w:id="3" w:name="_Toc534795889"/>
      <w:r>
        <w:t xml:space="preserve">Uwagi dotyczące metody polegającej </w:t>
      </w:r>
      <w:r w:rsidR="004B5928">
        <w:t>na</w:t>
      </w:r>
      <w:r>
        <w:t xml:space="preserve"> zastosowaniu techniki wyceny</w:t>
      </w:r>
      <w:bookmarkEnd w:id="3"/>
    </w:p>
    <w:p w:rsidR="004B5928" w:rsidRDefault="004B5928" w:rsidP="004B5928"/>
    <w:p w:rsidR="004B5928" w:rsidRDefault="004B5928" w:rsidP="004B5928">
      <w:pPr>
        <w:spacing w:line="360" w:lineRule="auto"/>
        <w:jc w:val="both"/>
        <w:rPr>
          <w:color w:val="000000"/>
          <w:sz w:val="23"/>
          <w:szCs w:val="23"/>
        </w:rPr>
      </w:pPr>
      <w:r>
        <w:rPr>
          <w:sz w:val="23"/>
          <w:szCs w:val="23"/>
        </w:rPr>
        <w:t>W</w:t>
      </w:r>
      <w:r w:rsidRPr="00BC6BB3">
        <w:rPr>
          <w:sz w:val="23"/>
          <w:szCs w:val="23"/>
        </w:rPr>
        <w:t xml:space="preserve"> praktyce</w:t>
      </w:r>
      <w:r>
        <w:rPr>
          <w:sz w:val="23"/>
          <w:szCs w:val="23"/>
        </w:rPr>
        <w:t xml:space="preserve">, </w:t>
      </w:r>
      <w:r w:rsidRPr="00BC6BB3">
        <w:rPr>
          <w:sz w:val="23"/>
          <w:szCs w:val="23"/>
        </w:rPr>
        <w:t xml:space="preserve">techniki wyceny, </w:t>
      </w:r>
      <w:r>
        <w:rPr>
          <w:sz w:val="23"/>
          <w:szCs w:val="23"/>
        </w:rPr>
        <w:t xml:space="preserve">w szczególności wyceny </w:t>
      </w:r>
      <w:r w:rsidRPr="00BC6BB3">
        <w:rPr>
          <w:sz w:val="23"/>
          <w:szCs w:val="23"/>
        </w:rPr>
        <w:t>nieruchomości polegają na pobraniu danych z najnowszych aktów notarialnych z danej okolicy, bez badania czy strony tej transakcji były powiązane.</w:t>
      </w:r>
      <w:r>
        <w:rPr>
          <w:sz w:val="23"/>
          <w:szCs w:val="23"/>
        </w:rPr>
        <w:t xml:space="preserve"> </w:t>
      </w:r>
      <w:r w:rsidRPr="004B5928">
        <w:rPr>
          <w:color w:val="000000"/>
          <w:sz w:val="23"/>
          <w:szCs w:val="23"/>
        </w:rPr>
        <w:t xml:space="preserve">W Objaśnieniach powinna znaleźć się uwaga, że </w:t>
      </w:r>
      <w:r w:rsidR="00B77F5E" w:rsidRPr="00B77F5E">
        <w:rPr>
          <w:color w:val="000000"/>
          <w:sz w:val="23"/>
          <w:szCs w:val="23"/>
          <w:u w:val="single"/>
        </w:rPr>
        <w:t xml:space="preserve">wycena </w:t>
      </w:r>
      <w:r w:rsidRPr="00B77F5E">
        <w:rPr>
          <w:color w:val="000000"/>
          <w:sz w:val="23"/>
          <w:szCs w:val="23"/>
          <w:u w:val="single"/>
        </w:rPr>
        <w:t xml:space="preserve">powinna zostać oparta na danych pochodzących z transakcji zawartych pomiędzy podmiotami </w:t>
      </w:r>
      <w:r w:rsidR="00B77F5E">
        <w:rPr>
          <w:color w:val="000000"/>
          <w:sz w:val="23"/>
          <w:szCs w:val="23"/>
          <w:u w:val="single"/>
        </w:rPr>
        <w:t xml:space="preserve">niepowiązanymi. </w:t>
      </w:r>
      <w:r w:rsidRPr="004B5928">
        <w:rPr>
          <w:color w:val="000000"/>
          <w:sz w:val="23"/>
          <w:szCs w:val="23"/>
        </w:rPr>
        <w:t xml:space="preserve"> </w:t>
      </w:r>
    </w:p>
    <w:p w:rsidR="004B5928" w:rsidRDefault="004B5928" w:rsidP="004B5928">
      <w:pPr>
        <w:spacing w:line="360" w:lineRule="auto"/>
        <w:jc w:val="both"/>
        <w:rPr>
          <w:color w:val="000000"/>
          <w:sz w:val="23"/>
          <w:szCs w:val="23"/>
        </w:rPr>
      </w:pPr>
    </w:p>
    <w:p w:rsidR="004B5928" w:rsidRDefault="004B5928" w:rsidP="004B5928">
      <w:pPr>
        <w:spacing w:line="360" w:lineRule="auto"/>
        <w:jc w:val="both"/>
        <w:rPr>
          <w:color w:val="000000"/>
          <w:sz w:val="23"/>
          <w:szCs w:val="23"/>
        </w:rPr>
      </w:pPr>
      <w:r>
        <w:rPr>
          <w:color w:val="000000"/>
          <w:sz w:val="23"/>
          <w:szCs w:val="23"/>
        </w:rPr>
        <w:t xml:space="preserve">Kolejna uwaga dotyczy określenia ceny rynkowej </w:t>
      </w:r>
      <w:r w:rsidR="00B77F5E">
        <w:rPr>
          <w:color w:val="000000"/>
          <w:sz w:val="23"/>
          <w:szCs w:val="23"/>
        </w:rPr>
        <w:t xml:space="preserve">należnej </w:t>
      </w:r>
      <w:r w:rsidR="00B77F5E" w:rsidRPr="00660161">
        <w:rPr>
          <w:color w:val="000000"/>
          <w:sz w:val="23"/>
          <w:szCs w:val="23"/>
          <w:u w:val="single"/>
        </w:rPr>
        <w:t>poszczególnej</w:t>
      </w:r>
      <w:r w:rsidRPr="00660161">
        <w:rPr>
          <w:color w:val="000000"/>
          <w:sz w:val="23"/>
          <w:szCs w:val="23"/>
          <w:u w:val="single"/>
        </w:rPr>
        <w:t xml:space="preserve"> stronie </w:t>
      </w:r>
      <w:r w:rsidR="00B77F5E" w:rsidRPr="00660161">
        <w:rPr>
          <w:color w:val="000000"/>
          <w:sz w:val="23"/>
          <w:szCs w:val="23"/>
          <w:u w:val="single"/>
        </w:rPr>
        <w:t>transakcji</w:t>
      </w:r>
      <w:r>
        <w:rPr>
          <w:color w:val="000000"/>
          <w:sz w:val="23"/>
          <w:szCs w:val="23"/>
        </w:rPr>
        <w:t xml:space="preserve"> czy ewentualnie </w:t>
      </w:r>
      <w:r w:rsidR="00B77F5E" w:rsidRPr="00660161">
        <w:rPr>
          <w:color w:val="000000"/>
          <w:sz w:val="23"/>
          <w:szCs w:val="23"/>
          <w:u w:val="single"/>
        </w:rPr>
        <w:t xml:space="preserve">innemu podmiotowi </w:t>
      </w:r>
      <w:r w:rsidRPr="00660161">
        <w:rPr>
          <w:color w:val="000000"/>
          <w:sz w:val="23"/>
          <w:szCs w:val="23"/>
          <w:u w:val="single"/>
        </w:rPr>
        <w:t xml:space="preserve"> powiązane</w:t>
      </w:r>
      <w:r w:rsidR="00B77F5E" w:rsidRPr="00660161">
        <w:rPr>
          <w:color w:val="000000"/>
          <w:sz w:val="23"/>
          <w:szCs w:val="23"/>
          <w:u w:val="single"/>
        </w:rPr>
        <w:t>mu niebędącego</w:t>
      </w:r>
      <w:r w:rsidRPr="00660161">
        <w:rPr>
          <w:color w:val="000000"/>
          <w:sz w:val="23"/>
          <w:szCs w:val="23"/>
          <w:u w:val="single"/>
        </w:rPr>
        <w:t xml:space="preserve"> stroną transakcji</w:t>
      </w:r>
      <w:r>
        <w:rPr>
          <w:color w:val="000000"/>
          <w:sz w:val="23"/>
          <w:szCs w:val="23"/>
        </w:rPr>
        <w:t xml:space="preserve">, który </w:t>
      </w:r>
      <w:r w:rsidR="00B77F5E">
        <w:rPr>
          <w:color w:val="000000"/>
          <w:sz w:val="23"/>
          <w:szCs w:val="23"/>
        </w:rPr>
        <w:t>przyczynił</w:t>
      </w:r>
      <w:r>
        <w:rPr>
          <w:color w:val="000000"/>
          <w:sz w:val="23"/>
          <w:szCs w:val="23"/>
        </w:rPr>
        <w:t xml:space="preserve"> się do </w:t>
      </w:r>
      <w:r w:rsidR="00B77F5E">
        <w:rPr>
          <w:color w:val="000000"/>
          <w:sz w:val="23"/>
          <w:szCs w:val="23"/>
        </w:rPr>
        <w:t xml:space="preserve">wzrostu wartości wycenianego dobra, bez względu na posiadany tytuł prawny. </w:t>
      </w:r>
      <w:r>
        <w:rPr>
          <w:color w:val="000000"/>
          <w:sz w:val="23"/>
          <w:szCs w:val="23"/>
        </w:rPr>
        <w:t xml:space="preserve"> </w:t>
      </w:r>
    </w:p>
    <w:p w:rsidR="00B77F5E" w:rsidRDefault="00B77F5E" w:rsidP="004B5928">
      <w:pPr>
        <w:spacing w:line="360" w:lineRule="auto"/>
        <w:jc w:val="both"/>
        <w:rPr>
          <w:color w:val="000000"/>
          <w:sz w:val="23"/>
          <w:szCs w:val="23"/>
        </w:rPr>
      </w:pPr>
    </w:p>
    <w:p w:rsidR="00B77F5E" w:rsidRDefault="00B77F5E" w:rsidP="00C62C7E">
      <w:pPr>
        <w:pStyle w:val="Default"/>
        <w:spacing w:line="360" w:lineRule="auto"/>
        <w:jc w:val="both"/>
        <w:rPr>
          <w:sz w:val="23"/>
          <w:szCs w:val="23"/>
        </w:rPr>
      </w:pPr>
      <w:r w:rsidRPr="00BC6BB3">
        <w:rPr>
          <w:sz w:val="23"/>
          <w:szCs w:val="23"/>
        </w:rPr>
        <w:t xml:space="preserve">Zgodnie z art. 11d ustawy CIT, ceny transferowe weryfikuje </w:t>
      </w:r>
      <w:r w:rsidRPr="00BC6BB3">
        <w:rPr>
          <w:sz w:val="23"/>
          <w:szCs w:val="23"/>
        </w:rPr>
        <w:t>się stosując</w:t>
      </w:r>
      <w:r w:rsidRPr="00BC6BB3">
        <w:rPr>
          <w:sz w:val="23"/>
          <w:szCs w:val="23"/>
        </w:rPr>
        <w:t xml:space="preserve"> jedną z wymienionych w ustawie metod. Zastosowana metoda winna </w:t>
      </w:r>
      <w:r w:rsidRPr="00BC6BB3">
        <w:rPr>
          <w:sz w:val="23"/>
          <w:szCs w:val="23"/>
        </w:rPr>
        <w:t>wskazać rynkowy</w:t>
      </w:r>
      <w:r w:rsidRPr="00BC6BB3">
        <w:rPr>
          <w:sz w:val="23"/>
          <w:szCs w:val="23"/>
        </w:rPr>
        <w:t xml:space="preserve"> poziom ceny w konkretnej transakcji, przeprowadzonej między podmiotami powiązanymi. Tymczasem  spotykane techniki wyceny służą temu, aby określić  poziom wartości danego dobra na rynku, bez względu na to, jaka będzie transakcja i bez względu na to, jakie będą strony tej transakcji.   Ponadto, techniki wyceny identyfikują przedmiot wyceny  wg tytułu własności. Tymczasem, pomiędzy  podmiotami powiązanymi często występuje sytuacja, że tytuły własności zostały </w:t>
      </w:r>
      <w:r>
        <w:rPr>
          <w:sz w:val="23"/>
          <w:szCs w:val="23"/>
        </w:rPr>
        <w:t xml:space="preserve">przekazane do </w:t>
      </w:r>
      <w:r w:rsidRPr="00BC6BB3">
        <w:rPr>
          <w:sz w:val="23"/>
          <w:szCs w:val="23"/>
        </w:rPr>
        <w:t xml:space="preserve">  podmiotów, które </w:t>
      </w:r>
      <w:r>
        <w:rPr>
          <w:sz w:val="23"/>
          <w:szCs w:val="23"/>
        </w:rPr>
        <w:t xml:space="preserve">nie ponosiły nakładów na  wzrostu wartości danego dobra. </w:t>
      </w:r>
      <w:r w:rsidRPr="00BC6BB3">
        <w:rPr>
          <w:sz w:val="23"/>
          <w:szCs w:val="23"/>
        </w:rPr>
        <w:t xml:space="preserve">.  Dla przykładu, wszelkie tytuły własności są skupione w odrębnym podmiocie ( np. w spółce holdingowej czy u nestora w grupie rodzinnej) lub w podmiotach pełniących  funkcje wsparcia ( np. takich, które działają  jak kancelarie prawne). Taka organizacja w grupie podmiotów powiązanych ma na celu skoncentrowanie funkcji związanych z obsługa prawną majątku w jednym podmiocie.  W takich sytuacjach trudno jest uznać, że cała ceny ze sprzedaży danego dobra czy licencje za używanie danego dobra  należą  się właścicielowi.  </w:t>
      </w:r>
      <w:r>
        <w:rPr>
          <w:sz w:val="23"/>
          <w:szCs w:val="23"/>
        </w:rPr>
        <w:t xml:space="preserve">Zostało to podkreślone w </w:t>
      </w:r>
      <w:r w:rsidRPr="00C62C7E">
        <w:rPr>
          <w:sz w:val="23"/>
          <w:szCs w:val="23"/>
        </w:rPr>
        <w:t>Wytycznych</w:t>
      </w:r>
      <w:r>
        <w:rPr>
          <w:sz w:val="23"/>
          <w:szCs w:val="23"/>
        </w:rPr>
        <w:t xml:space="preserve"> OECD</w:t>
      </w:r>
      <w:r w:rsidR="00660161">
        <w:rPr>
          <w:sz w:val="23"/>
          <w:szCs w:val="23"/>
        </w:rPr>
        <w:t xml:space="preserve"> cytowanych częściowo poniżej</w:t>
      </w:r>
      <w:r>
        <w:rPr>
          <w:sz w:val="23"/>
          <w:szCs w:val="23"/>
        </w:rPr>
        <w:t xml:space="preserve">. </w:t>
      </w:r>
      <w:r w:rsidRPr="00BC6BB3">
        <w:rPr>
          <w:sz w:val="23"/>
          <w:szCs w:val="23"/>
        </w:rPr>
        <w:t>Cena rynkowa powinna odzwierciedlać ekonomiczny wkład poszczególnego podmiotu powiązanego w tworzenie  przedmiotowej wartości. Dlatego powinno zastosować się narzędzia ekonomiczne  w celu określenia warunków transakcji dla poszczególnego podmiotu powiązanego.   Takim narzędziem jest analiza funkcji, ryzyk i aktywów angażowanych przez poszczególne podmioty powiązane.</w:t>
      </w:r>
    </w:p>
    <w:p w:rsidR="00B77F5E" w:rsidRPr="004B5928" w:rsidRDefault="00B77F5E" w:rsidP="004B5928">
      <w:pPr>
        <w:spacing w:line="360" w:lineRule="auto"/>
        <w:jc w:val="both"/>
        <w:rPr>
          <w:color w:val="000000"/>
          <w:sz w:val="23"/>
          <w:szCs w:val="23"/>
        </w:rPr>
      </w:pPr>
    </w:p>
    <w:p w:rsidR="00BC6BB3" w:rsidRDefault="00660161" w:rsidP="000362CE">
      <w:pPr>
        <w:pStyle w:val="Default"/>
        <w:spacing w:line="360" w:lineRule="auto"/>
        <w:rPr>
          <w:sz w:val="23"/>
          <w:szCs w:val="23"/>
        </w:rPr>
      </w:pPr>
      <w:r>
        <w:rPr>
          <w:sz w:val="23"/>
          <w:szCs w:val="23"/>
        </w:rPr>
        <w:t>Wybrane fragmenty Wytycznych OECD</w:t>
      </w:r>
      <w:r w:rsidR="00A10C87">
        <w:rPr>
          <w:sz w:val="23"/>
          <w:szCs w:val="23"/>
        </w:rPr>
        <w:t xml:space="preserve"> wraz z podsumowaniem w języku polskim</w:t>
      </w:r>
      <w:r>
        <w:rPr>
          <w:sz w:val="23"/>
          <w:szCs w:val="23"/>
        </w:rPr>
        <w:t>:</w:t>
      </w:r>
    </w:p>
    <w:p w:rsidR="00660161" w:rsidRDefault="00660161" w:rsidP="000362CE">
      <w:pPr>
        <w:pStyle w:val="Default"/>
        <w:spacing w:line="360" w:lineRule="auto"/>
        <w:rPr>
          <w:sz w:val="23"/>
          <w:szCs w:val="23"/>
        </w:rPr>
      </w:pPr>
    </w:p>
    <w:p w:rsidR="00660161" w:rsidRDefault="00660161" w:rsidP="000362CE">
      <w:pPr>
        <w:pStyle w:val="Default"/>
        <w:spacing w:line="360" w:lineRule="auto"/>
        <w:rPr>
          <w:sz w:val="23"/>
          <w:szCs w:val="23"/>
        </w:rPr>
      </w:pPr>
      <w:r>
        <w:rPr>
          <w:noProof/>
          <w:lang w:eastAsia="pl-PL"/>
        </w:rPr>
        <w:drawing>
          <wp:inline distT="0" distB="0" distL="0" distR="0" wp14:anchorId="7526559C" wp14:editId="71CA15FB">
            <wp:extent cx="5760720" cy="1517655"/>
            <wp:effectExtent l="0" t="0" r="0" b="635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517655"/>
                    </a:xfrm>
                    <a:prstGeom prst="rect">
                      <a:avLst/>
                    </a:prstGeom>
                    <a:noFill/>
                    <a:ln>
                      <a:noFill/>
                    </a:ln>
                    <a:extLst/>
                  </pic:spPr>
                </pic:pic>
              </a:graphicData>
            </a:graphic>
          </wp:inline>
        </w:drawing>
      </w:r>
    </w:p>
    <w:p w:rsidR="00A10C87" w:rsidRDefault="00A10C87" w:rsidP="000362CE">
      <w:pPr>
        <w:pStyle w:val="Default"/>
        <w:spacing w:line="360" w:lineRule="auto"/>
        <w:rPr>
          <w:sz w:val="23"/>
          <w:szCs w:val="23"/>
        </w:rPr>
      </w:pPr>
    </w:p>
    <w:p w:rsidR="00A10C87" w:rsidRDefault="00A10C87" w:rsidP="000362CE">
      <w:pPr>
        <w:pStyle w:val="Default"/>
        <w:spacing w:line="360" w:lineRule="auto"/>
        <w:rPr>
          <w:sz w:val="23"/>
          <w:szCs w:val="23"/>
        </w:rPr>
      </w:pPr>
    </w:p>
    <w:p w:rsidR="00A10C87" w:rsidRDefault="00A10C87" w:rsidP="00A10C87">
      <w:pPr>
        <w:pStyle w:val="NormalnyWeb"/>
        <w:spacing w:before="0" w:beforeAutospacing="0" w:after="0" w:afterAutospacing="0"/>
      </w:pPr>
      <w:r>
        <w:rPr>
          <w:rFonts w:asciiTheme="minorHAnsi" w:eastAsiaTheme="minorEastAsia" w:hAnsi="Calibri" w:cstheme="minorBidi"/>
          <w:color w:val="000000" w:themeColor="text1"/>
          <w:kern w:val="24"/>
          <w:sz w:val="36"/>
          <w:szCs w:val="36"/>
        </w:rPr>
        <w:t xml:space="preserve">Ustalenie, który podmiot w grupie jest prawnym właścicielem danego dobra niematerialnego, nie oznacza samo w sobie, że właściciel prawny jest uprawniony do otrzymania ewentualnego wypracowanego przez biznes zysku, który  pozostanie  po przydzieleniu zysku innym podmiotom w grupie za ich wkład w formie pełnionych funkcji, angażowanych aktywów czy ponoszonych ryzyk.  </w:t>
      </w:r>
    </w:p>
    <w:p w:rsidR="00A10C87" w:rsidRDefault="00A10C87" w:rsidP="000362CE">
      <w:pPr>
        <w:pStyle w:val="Default"/>
        <w:spacing w:line="360" w:lineRule="auto"/>
        <w:rPr>
          <w:sz w:val="23"/>
          <w:szCs w:val="23"/>
        </w:rPr>
      </w:pPr>
    </w:p>
    <w:p w:rsidR="00A10C87" w:rsidRDefault="00A10C87" w:rsidP="000362CE">
      <w:pPr>
        <w:pStyle w:val="Default"/>
        <w:spacing w:line="360" w:lineRule="auto"/>
        <w:rPr>
          <w:sz w:val="23"/>
          <w:szCs w:val="23"/>
        </w:rPr>
      </w:pPr>
      <w:r>
        <w:rPr>
          <w:noProof/>
          <w:lang w:eastAsia="pl-PL"/>
        </w:rPr>
        <w:drawing>
          <wp:inline distT="0" distB="0" distL="0" distR="0" wp14:anchorId="088351F8" wp14:editId="6BE0FBE0">
            <wp:extent cx="5760720" cy="3691858"/>
            <wp:effectExtent l="0" t="0" r="0" b="444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691858"/>
                    </a:xfrm>
                    <a:prstGeom prst="rect">
                      <a:avLst/>
                    </a:prstGeom>
                    <a:noFill/>
                    <a:ln>
                      <a:noFill/>
                    </a:ln>
                    <a:extLst/>
                  </pic:spPr>
                </pic:pic>
              </a:graphicData>
            </a:graphic>
          </wp:inline>
        </w:drawing>
      </w:r>
    </w:p>
    <w:p w:rsidR="00A10C87" w:rsidRDefault="00A10C87" w:rsidP="000362CE">
      <w:pPr>
        <w:pStyle w:val="Default"/>
        <w:spacing w:line="360" w:lineRule="auto"/>
        <w:rPr>
          <w:sz w:val="23"/>
          <w:szCs w:val="23"/>
        </w:rPr>
      </w:pPr>
    </w:p>
    <w:p w:rsidR="00A10C87" w:rsidRDefault="00A10C87" w:rsidP="00A10C87">
      <w:pPr>
        <w:pStyle w:val="NormalnyWeb"/>
        <w:spacing w:before="0" w:beforeAutospacing="0" w:after="0" w:afterAutospacing="0"/>
        <w:rPr>
          <w:rFonts w:asciiTheme="minorHAnsi" w:eastAsiaTheme="minorEastAsia" w:hAnsi="Calibri" w:cstheme="minorBidi"/>
          <w:color w:val="000000" w:themeColor="text1"/>
          <w:kern w:val="24"/>
          <w:sz w:val="36"/>
          <w:szCs w:val="36"/>
        </w:rPr>
      </w:pPr>
      <w:r>
        <w:rPr>
          <w:rFonts w:asciiTheme="minorHAnsi" w:eastAsiaTheme="minorEastAsia" w:hAnsi="Calibri" w:cstheme="minorBidi"/>
          <w:color w:val="000000" w:themeColor="text1"/>
          <w:kern w:val="24"/>
          <w:sz w:val="36"/>
          <w:szCs w:val="36"/>
        </w:rPr>
        <w:t xml:space="preserve">Dla przykładu, jeśli  właściciel  prawny nie wykonuje istotnych funkcji, nie angażuje  istotnych aktywów i nie ponosi istotnych ryzyk,  a działa  wyłącznie jako posiadacz tytułu prawnego,  wtedy wynagrodzenie  na zasadach rynkowych jest ekwiwalentne do pełnienia funkcji  w zakresie posiadania tytułu prawnego (głównie będzie to  zwrot kosztów prawnych posiadania tytułu). </w:t>
      </w:r>
    </w:p>
    <w:p w:rsidR="00A10C87" w:rsidRDefault="00A10C87" w:rsidP="00A10C87">
      <w:pPr>
        <w:pStyle w:val="NormalnyWeb"/>
        <w:spacing w:before="0" w:beforeAutospacing="0" w:after="0" w:afterAutospacing="0"/>
      </w:pPr>
    </w:p>
    <w:p w:rsidR="00A10C87" w:rsidRDefault="00A10C87" w:rsidP="000362CE">
      <w:pPr>
        <w:pStyle w:val="Default"/>
        <w:spacing w:line="360" w:lineRule="auto"/>
        <w:rPr>
          <w:sz w:val="23"/>
          <w:szCs w:val="23"/>
        </w:rPr>
      </w:pPr>
      <w:r>
        <w:rPr>
          <w:noProof/>
          <w:lang w:eastAsia="pl-PL"/>
        </w:rPr>
        <w:lastRenderedPageBreak/>
        <w:drawing>
          <wp:inline distT="0" distB="0" distL="0" distR="0" wp14:anchorId="0078EF52" wp14:editId="214AB070">
            <wp:extent cx="4453309" cy="2496974"/>
            <wp:effectExtent l="0" t="0" r="4445" b="0"/>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3309" cy="2496974"/>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Pr>
          <w:noProof/>
          <w:lang w:eastAsia="pl-PL"/>
        </w:rPr>
        <w:drawing>
          <wp:inline distT="0" distB="0" distL="0" distR="0" wp14:anchorId="7EFD9ED4" wp14:editId="71AED3EC">
            <wp:extent cx="4544439" cy="2232248"/>
            <wp:effectExtent l="0" t="0" r="8890" b="0"/>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4439" cy="22322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A10C87" w:rsidRDefault="00A10C87" w:rsidP="000362CE">
      <w:pPr>
        <w:pStyle w:val="Default"/>
        <w:spacing w:line="360" w:lineRule="auto"/>
        <w:rPr>
          <w:sz w:val="23"/>
          <w:szCs w:val="23"/>
        </w:rPr>
      </w:pPr>
    </w:p>
    <w:p w:rsidR="00A10C87" w:rsidRDefault="00A10C87" w:rsidP="00A10C87">
      <w:pPr>
        <w:pStyle w:val="NormalnyWeb"/>
        <w:spacing w:before="0" w:beforeAutospacing="0" w:after="0" w:afterAutospacing="0"/>
      </w:pPr>
      <w:r>
        <w:rPr>
          <w:rFonts w:asciiTheme="minorHAnsi" w:eastAsiaTheme="minorEastAsia" w:hAnsi="Calibri" w:cstheme="minorBidi"/>
          <w:color w:val="000000" w:themeColor="text1"/>
          <w:kern w:val="24"/>
          <w:sz w:val="36"/>
          <w:szCs w:val="36"/>
        </w:rPr>
        <w:t xml:space="preserve">Właściciel prawny może otrzymywać wynagrodzenie z tytułu wykorzystania dobra niematerialnego, nawet jeśli inni członkowie grupy pełnili funkcje, angażowali aktywa lub ponosili ryzyka, które przyczyniają się do wzrostu wartości danego dobra niematerialnego. </w:t>
      </w:r>
    </w:p>
    <w:p w:rsidR="00A10C87" w:rsidRDefault="00A10C87" w:rsidP="00A10C87">
      <w:pPr>
        <w:pStyle w:val="NormalnyWeb"/>
        <w:spacing w:before="0" w:beforeAutospacing="0" w:after="0" w:afterAutospacing="0"/>
      </w:pPr>
      <w:r>
        <w:rPr>
          <w:rFonts w:asciiTheme="minorHAnsi" w:eastAsiaTheme="minorEastAsia" w:hAnsi="Calibri" w:cstheme="minorBidi"/>
          <w:color w:val="000000" w:themeColor="text1"/>
          <w:kern w:val="24"/>
          <w:sz w:val="36"/>
          <w:szCs w:val="36"/>
        </w:rPr>
        <w:t xml:space="preserve">W takiej sytuacji powinni oni otrzymać za to wynagrodzenie na zasadach rynkowych.  </w:t>
      </w:r>
    </w:p>
    <w:p w:rsidR="00A10C87" w:rsidRDefault="00A10C87" w:rsidP="00A10C87">
      <w:pPr>
        <w:pStyle w:val="Nagwek1"/>
      </w:pPr>
    </w:p>
    <w:p w:rsidR="00A10C87" w:rsidRDefault="00A10C87" w:rsidP="00A10C87">
      <w:pPr>
        <w:pStyle w:val="Nagwek1"/>
      </w:pPr>
      <w:bookmarkStart w:id="4" w:name="_Toc534795890"/>
      <w:r>
        <w:t>Objaśnienie kwestii sprawowania kontroli nad ryzkiem oraz zdolności do pełnienia przypisanej funkcji</w:t>
      </w:r>
      <w:bookmarkEnd w:id="4"/>
      <w:r>
        <w:t xml:space="preserve"> </w:t>
      </w:r>
    </w:p>
    <w:p w:rsidR="00A10C87" w:rsidRDefault="00A10C87" w:rsidP="001A28D3">
      <w:pPr>
        <w:spacing w:line="360" w:lineRule="auto"/>
        <w:jc w:val="both"/>
      </w:pPr>
      <w:r>
        <w:t>Sprawowanie kontroli nad ryzkiem</w:t>
      </w:r>
      <w:r w:rsidR="001A28D3">
        <w:t xml:space="preserve"> czy zdolności do pełnienia przypisanej funkcji </w:t>
      </w:r>
      <w:r>
        <w:t xml:space="preserve"> jest zagadnieniem nowym i nieznanym  podatnikom – dlatego pożądane jest zamieszczenie w </w:t>
      </w:r>
      <w:r>
        <w:lastRenderedPageBreak/>
        <w:t xml:space="preserve">Objaśnieniach tej kwestii, łącznie z powołaniem na Wytyczne OECD, w celu uwiarygodnienia tej normy prawnej.  Może </w:t>
      </w:r>
      <w:r w:rsidR="00521273">
        <w:t xml:space="preserve">to </w:t>
      </w:r>
      <w:r>
        <w:t xml:space="preserve"> być m.in. poniższa wytyczna:</w:t>
      </w:r>
    </w:p>
    <w:p w:rsidR="00A10C87" w:rsidRDefault="00A10C87" w:rsidP="00A10C87"/>
    <w:p w:rsidR="00A10C87" w:rsidRDefault="00A10C87" w:rsidP="00A10C87"/>
    <w:p w:rsidR="00A10C87" w:rsidRDefault="00A10C87" w:rsidP="00A10C87">
      <w:r>
        <w:rPr>
          <w:noProof/>
          <w:lang w:eastAsia="pl-PL"/>
        </w:rPr>
        <w:drawing>
          <wp:inline distT="0" distB="0" distL="0" distR="0" wp14:anchorId="7A6D902B" wp14:editId="5840B084">
            <wp:extent cx="4705473" cy="2160240"/>
            <wp:effectExtent l="0" t="0" r="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5473" cy="216024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A10C87" w:rsidRDefault="00A10C87" w:rsidP="00A10C87"/>
    <w:p w:rsidR="00A10C87" w:rsidRDefault="00A10C87" w:rsidP="00A10C87">
      <w:pPr>
        <w:pStyle w:val="NormalnyWeb"/>
        <w:spacing w:before="0" w:beforeAutospacing="0" w:after="0" w:afterAutospacing="0"/>
      </w:pPr>
      <w:r>
        <w:rPr>
          <w:rFonts w:asciiTheme="minorHAnsi" w:eastAsiaTheme="minorEastAsia" w:hAnsi="Calibri" w:cstheme="minorBidi"/>
          <w:color w:val="000000" w:themeColor="text1"/>
          <w:kern w:val="24"/>
          <w:sz w:val="36"/>
          <w:szCs w:val="36"/>
        </w:rPr>
        <w:t xml:space="preserve">Jeśli się ustali, że powiązany podmiot , który przyjął na siebie  dane ryzyko, nie sprawuje kontroli nad nim, ani nie posiada  zdolności finansowych do przyjęcia tego ryzyka, wtedy ryzyko to powinno być przydzielone do podmiot sprawującego kontrolę  nad ryzkiem i mającego zdolności finansowe do jego przyjęcia. </w:t>
      </w:r>
    </w:p>
    <w:p w:rsidR="00A10C87" w:rsidRDefault="00A10C87" w:rsidP="00A10C87"/>
    <w:p w:rsidR="001A28D3" w:rsidRDefault="001A28D3" w:rsidP="00A10C87"/>
    <w:p w:rsidR="001A28D3" w:rsidRDefault="001A28D3" w:rsidP="001A28D3">
      <w:pPr>
        <w:spacing w:line="360" w:lineRule="auto"/>
        <w:jc w:val="both"/>
      </w:pPr>
      <w:r>
        <w:t>W Objaśnieniach</w:t>
      </w:r>
      <w:r w:rsidR="00521273">
        <w:t xml:space="preserve"> </w:t>
      </w:r>
      <w:r>
        <w:t xml:space="preserve">jako </w:t>
      </w:r>
      <w:r w:rsidR="00C62C7E">
        <w:t xml:space="preserve">jedną ze </w:t>
      </w:r>
      <w:r>
        <w:t>wskazów</w:t>
      </w:r>
      <w:r w:rsidR="00C62C7E">
        <w:t xml:space="preserve">ek, </w:t>
      </w:r>
      <w:r>
        <w:t>gdzie szukać ośrodka sprawowania kontroli można podać to co było zamieszczone w projekcie rozporządzenia, a nie znalazło się ostatecznej wersji:</w:t>
      </w:r>
    </w:p>
    <w:p w:rsidR="001A28D3" w:rsidRDefault="001A28D3" w:rsidP="00A10C87"/>
    <w:p w:rsidR="001A28D3" w:rsidRPr="001A28D3" w:rsidRDefault="001A28D3" w:rsidP="001A28D3">
      <w:pPr>
        <w:spacing w:line="360" w:lineRule="auto"/>
        <w:jc w:val="both"/>
        <w:rPr>
          <w:i/>
        </w:rPr>
      </w:pPr>
      <w:r w:rsidRPr="001A28D3">
        <w:rPr>
          <w:i/>
        </w:rPr>
        <w:t>„</w:t>
      </w:r>
      <w:r>
        <w:rPr>
          <w:i/>
        </w:rPr>
        <w:t xml:space="preserve">(…) </w:t>
      </w:r>
      <w:r w:rsidRPr="001A28D3">
        <w:rPr>
          <w:i/>
        </w:rPr>
        <w:t xml:space="preserve"> struktury zarządczej podmiotu powiązanego oraz wskazanie osób, do których</w:t>
      </w:r>
    </w:p>
    <w:p w:rsidR="001A28D3" w:rsidRPr="001A28D3" w:rsidRDefault="001A28D3" w:rsidP="001A28D3">
      <w:pPr>
        <w:spacing w:line="360" w:lineRule="auto"/>
        <w:jc w:val="both"/>
        <w:rPr>
          <w:i/>
        </w:rPr>
      </w:pPr>
      <w:r w:rsidRPr="001A28D3">
        <w:rPr>
          <w:i/>
        </w:rPr>
        <w:t>raportowane są wyniki i które faktycznie uczestniczą w procesie podejmowania</w:t>
      </w:r>
    </w:p>
    <w:p w:rsidR="001A28D3" w:rsidRPr="001A28D3" w:rsidRDefault="001A28D3" w:rsidP="00C62C7E">
      <w:pPr>
        <w:spacing w:line="360" w:lineRule="auto"/>
        <w:jc w:val="both"/>
        <w:rPr>
          <w:i/>
        </w:rPr>
      </w:pPr>
      <w:r w:rsidRPr="001A28D3">
        <w:rPr>
          <w:i/>
        </w:rPr>
        <w:t xml:space="preserve">decyzji, </w:t>
      </w:r>
      <w:r w:rsidR="00C62C7E">
        <w:rPr>
          <w:i/>
        </w:rPr>
        <w:t xml:space="preserve">(…) </w:t>
      </w:r>
      <w:r w:rsidRPr="001A28D3">
        <w:rPr>
          <w:i/>
        </w:rPr>
        <w:t xml:space="preserve"> „ </w:t>
      </w:r>
    </w:p>
    <w:p w:rsidR="001A28D3" w:rsidRDefault="001A28D3" w:rsidP="00A10C87"/>
    <w:p w:rsidR="001A28D3" w:rsidRDefault="00C62C7E" w:rsidP="001A28D3">
      <w:pPr>
        <w:pStyle w:val="Nagwek1"/>
      </w:pPr>
      <w:bookmarkStart w:id="5" w:name="_Toc534795891"/>
      <w:r>
        <w:t>Zakończenie</w:t>
      </w:r>
      <w:bookmarkEnd w:id="5"/>
      <w:r>
        <w:t xml:space="preserve"> </w:t>
      </w:r>
    </w:p>
    <w:p w:rsidR="001A28D3" w:rsidRDefault="001A28D3" w:rsidP="001A28D3">
      <w:pPr>
        <w:spacing w:line="360" w:lineRule="auto"/>
        <w:jc w:val="both"/>
      </w:pPr>
      <w:r>
        <w:t xml:space="preserve">Mamy nadzieję, że powyższe uwagi pozwolą na opracowanie </w:t>
      </w:r>
      <w:r w:rsidR="00C62C7E">
        <w:t>Objaśnień</w:t>
      </w:r>
      <w:r>
        <w:t xml:space="preserve">, które pomogą podatnikom i administracji podatkowej osiągnąć większą jasność w </w:t>
      </w:r>
      <w:r w:rsidR="00C62C7E">
        <w:t>stosowaniu</w:t>
      </w:r>
      <w:r>
        <w:t xml:space="preserve"> pr</w:t>
      </w:r>
      <w:r w:rsidR="00C62C7E">
        <w:t>ze</w:t>
      </w:r>
      <w:r>
        <w:t>p</w:t>
      </w:r>
      <w:r w:rsidR="00C62C7E">
        <w:t xml:space="preserve">isów </w:t>
      </w:r>
      <w:r w:rsidR="00521273">
        <w:t xml:space="preserve">o </w:t>
      </w:r>
      <w:r>
        <w:t xml:space="preserve">cenach </w:t>
      </w:r>
      <w:r w:rsidR="00C62C7E">
        <w:t>transferowych</w:t>
      </w:r>
      <w:r>
        <w:t xml:space="preserve"> w celu </w:t>
      </w:r>
      <w:r w:rsidR="00C62C7E">
        <w:t>sprawiedliwego,</w:t>
      </w:r>
      <w:r>
        <w:t xml:space="preserve"> i jednolitego</w:t>
      </w:r>
      <w:r w:rsidR="00C62C7E">
        <w:t xml:space="preserve">, </w:t>
      </w:r>
      <w:r>
        <w:t xml:space="preserve"> i zgodnego z </w:t>
      </w:r>
      <w:r w:rsidR="00C62C7E">
        <w:t>za</w:t>
      </w:r>
      <w:r>
        <w:t xml:space="preserve">sadami rynku </w:t>
      </w:r>
      <w:r w:rsidR="00C62C7E">
        <w:t>stosowania</w:t>
      </w:r>
      <w:r>
        <w:t xml:space="preserve"> wymogów</w:t>
      </w:r>
      <w:r w:rsidR="00C62C7E">
        <w:t xml:space="preserve"> prawnych. </w:t>
      </w:r>
      <w:r>
        <w:t xml:space="preserve"> </w:t>
      </w:r>
    </w:p>
    <w:p w:rsidR="00C62C7E" w:rsidRDefault="00C62C7E" w:rsidP="001A28D3">
      <w:pPr>
        <w:spacing w:line="360" w:lineRule="auto"/>
        <w:jc w:val="both"/>
      </w:pPr>
    </w:p>
    <w:p w:rsidR="00C62C7E" w:rsidRDefault="00C62C7E" w:rsidP="001A28D3">
      <w:pPr>
        <w:spacing w:line="360" w:lineRule="auto"/>
        <w:jc w:val="both"/>
      </w:pPr>
      <w:r>
        <w:lastRenderedPageBreak/>
        <w:t xml:space="preserve">W imieniu </w:t>
      </w:r>
    </w:p>
    <w:p w:rsidR="00C62C7E" w:rsidRDefault="00C62C7E" w:rsidP="001A28D3">
      <w:pPr>
        <w:spacing w:line="360" w:lineRule="auto"/>
        <w:jc w:val="both"/>
      </w:pPr>
      <w:r>
        <w:t xml:space="preserve">Stowarzyszenia Doradców Podatkowych Forum </w:t>
      </w:r>
    </w:p>
    <w:p w:rsidR="00521273" w:rsidRDefault="00521273" w:rsidP="001A28D3">
      <w:pPr>
        <w:spacing w:line="360" w:lineRule="auto"/>
        <w:jc w:val="both"/>
      </w:pPr>
    </w:p>
    <w:p w:rsidR="00521273" w:rsidRDefault="00521273" w:rsidP="001A28D3">
      <w:pPr>
        <w:spacing w:line="360" w:lineRule="auto"/>
        <w:jc w:val="both"/>
      </w:pPr>
      <w:bookmarkStart w:id="6" w:name="_GoBack"/>
      <w:bookmarkEnd w:id="6"/>
    </w:p>
    <w:p w:rsidR="00521273" w:rsidRDefault="00521273" w:rsidP="001A28D3">
      <w:pPr>
        <w:spacing w:line="360" w:lineRule="auto"/>
        <w:jc w:val="both"/>
      </w:pPr>
    </w:p>
    <w:p w:rsidR="00521273" w:rsidRDefault="00521273" w:rsidP="001A28D3">
      <w:pPr>
        <w:spacing w:line="360" w:lineRule="auto"/>
        <w:jc w:val="both"/>
      </w:pPr>
    </w:p>
    <w:p w:rsidR="00C62C7E" w:rsidRDefault="00C62C7E" w:rsidP="001A28D3">
      <w:pPr>
        <w:spacing w:line="360" w:lineRule="auto"/>
        <w:jc w:val="both"/>
      </w:pPr>
      <w:r>
        <w:t xml:space="preserve">Hanna Szarpak </w:t>
      </w:r>
    </w:p>
    <w:p w:rsidR="00C62C7E" w:rsidRPr="001A28D3" w:rsidRDefault="00C62C7E" w:rsidP="001A28D3">
      <w:pPr>
        <w:spacing w:line="360" w:lineRule="auto"/>
        <w:jc w:val="both"/>
      </w:pPr>
      <w:r>
        <w:t xml:space="preserve">Doradca podatkowy nr wpisu 00446 </w:t>
      </w:r>
    </w:p>
    <w:sectPr w:rsidR="00C62C7E" w:rsidRPr="001A28D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A95" w:rsidRDefault="00FD1A95" w:rsidP="00255628">
      <w:r>
        <w:separator/>
      </w:r>
    </w:p>
  </w:endnote>
  <w:endnote w:type="continuationSeparator" w:id="0">
    <w:p w:rsidR="00FD1A95" w:rsidRDefault="00FD1A95" w:rsidP="0025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08270"/>
      <w:docPartObj>
        <w:docPartGallery w:val="Page Numbers (Bottom of Page)"/>
        <w:docPartUnique/>
      </w:docPartObj>
    </w:sdtPr>
    <w:sdtContent>
      <w:p w:rsidR="00864629" w:rsidRDefault="00864629">
        <w:pPr>
          <w:pStyle w:val="Stopka"/>
          <w:jc w:val="right"/>
        </w:pPr>
        <w:r>
          <w:fldChar w:fldCharType="begin"/>
        </w:r>
        <w:r>
          <w:instrText>PAGE   \* MERGEFORMAT</w:instrText>
        </w:r>
        <w:r>
          <w:fldChar w:fldCharType="separate"/>
        </w:r>
        <w:r w:rsidR="00DA17FF">
          <w:rPr>
            <w:noProof/>
          </w:rPr>
          <w:t>2</w:t>
        </w:r>
        <w:r>
          <w:fldChar w:fldCharType="end"/>
        </w:r>
      </w:p>
    </w:sdtContent>
  </w:sdt>
  <w:p w:rsidR="00864629" w:rsidRDefault="008646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A95" w:rsidRDefault="00FD1A95" w:rsidP="00255628">
      <w:r>
        <w:separator/>
      </w:r>
    </w:p>
  </w:footnote>
  <w:footnote w:type="continuationSeparator" w:id="0">
    <w:p w:rsidR="00FD1A95" w:rsidRDefault="00FD1A95" w:rsidP="00255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29" w:rsidRDefault="00864629">
    <w:pPr>
      <w:pStyle w:val="Nagwek"/>
    </w:pPr>
    <w:r>
      <w:t xml:space="preserve">Hanna Szarpak doradca podatkowy nr 00446 </w:t>
    </w:r>
    <w:r>
      <w:tab/>
    </w:r>
    <w:r>
      <w:tab/>
      <w:t xml:space="preserve">8 stycznia 2019r. </w:t>
    </w:r>
  </w:p>
  <w:p w:rsidR="00864629" w:rsidRDefault="00864629">
    <w:pPr>
      <w:pStyle w:val="Nagwek"/>
      <w:pBdr>
        <w:bottom w:val="single" w:sz="12" w:space="1" w:color="auto"/>
      </w:pBdr>
    </w:pPr>
    <w:r>
      <w:t xml:space="preserve">Stowarzyszenie Doradców Podatkowych Forum </w:t>
    </w:r>
  </w:p>
  <w:p w:rsidR="00864629" w:rsidRDefault="008646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1C520A3"/>
    <w:multiLevelType w:val="hybridMultilevel"/>
    <w:tmpl w:val="16FE6E5A"/>
    <w:lvl w:ilvl="0" w:tplc="F0F21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E330B8"/>
    <w:multiLevelType w:val="hybridMultilevel"/>
    <w:tmpl w:val="85D82352"/>
    <w:lvl w:ilvl="0" w:tplc="AD727F7A">
      <w:start w:val="1"/>
      <w:numFmt w:val="decimal"/>
      <w:lvlText w:val="%1."/>
      <w:lvlJc w:val="left"/>
      <w:pPr>
        <w:ind w:left="360" w:hanging="360"/>
      </w:pPr>
      <w:rPr>
        <w:rFonts w:hint="eastAsi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E1"/>
    <w:rsid w:val="000362CE"/>
    <w:rsid w:val="000779C2"/>
    <w:rsid w:val="000B56E2"/>
    <w:rsid w:val="0010109E"/>
    <w:rsid w:val="001364D9"/>
    <w:rsid w:val="001A28D3"/>
    <w:rsid w:val="002528AF"/>
    <w:rsid w:val="00255628"/>
    <w:rsid w:val="00285070"/>
    <w:rsid w:val="002F4EA8"/>
    <w:rsid w:val="002F6292"/>
    <w:rsid w:val="003A6D4E"/>
    <w:rsid w:val="003F1BE2"/>
    <w:rsid w:val="00421E25"/>
    <w:rsid w:val="004B5928"/>
    <w:rsid w:val="004D5A25"/>
    <w:rsid w:val="00521273"/>
    <w:rsid w:val="0053529A"/>
    <w:rsid w:val="00642F28"/>
    <w:rsid w:val="00660161"/>
    <w:rsid w:val="006C0224"/>
    <w:rsid w:val="00764ABA"/>
    <w:rsid w:val="00803AE7"/>
    <w:rsid w:val="00864629"/>
    <w:rsid w:val="00983233"/>
    <w:rsid w:val="0098560F"/>
    <w:rsid w:val="00A10C87"/>
    <w:rsid w:val="00A45B67"/>
    <w:rsid w:val="00AA6658"/>
    <w:rsid w:val="00B73A23"/>
    <w:rsid w:val="00B77F5E"/>
    <w:rsid w:val="00BC6BB3"/>
    <w:rsid w:val="00BD5DE1"/>
    <w:rsid w:val="00C05333"/>
    <w:rsid w:val="00C62C7E"/>
    <w:rsid w:val="00D133D4"/>
    <w:rsid w:val="00D60CA1"/>
    <w:rsid w:val="00D77045"/>
    <w:rsid w:val="00DA17FF"/>
    <w:rsid w:val="00E40D11"/>
    <w:rsid w:val="00E52F26"/>
    <w:rsid w:val="00E81C68"/>
    <w:rsid w:val="00F229FA"/>
    <w:rsid w:val="00F32DC5"/>
    <w:rsid w:val="00FC2C23"/>
    <w:rsid w:val="00FD1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qFormat="1"/>
    <w:lsdException w:name="heading 6"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224"/>
    <w:rPr>
      <w:sz w:val="24"/>
      <w:szCs w:val="24"/>
    </w:rPr>
  </w:style>
  <w:style w:type="paragraph" w:styleId="Nagwek1">
    <w:name w:val="heading 1"/>
    <w:basedOn w:val="Normalny"/>
    <w:next w:val="Normalny"/>
    <w:link w:val="Nagwek1Znak"/>
    <w:uiPriority w:val="99"/>
    <w:qFormat/>
    <w:rsid w:val="00983233"/>
    <w:pPr>
      <w:keepNext/>
      <w:spacing w:line="360" w:lineRule="auto"/>
      <w:ind w:left="78"/>
      <w:jc w:val="both"/>
      <w:outlineLvl w:val="0"/>
    </w:pPr>
    <w:rPr>
      <w:rFonts w:eastAsia="Arial"/>
      <w:b/>
      <w:iCs/>
      <w:color w:val="C00000"/>
      <w:sz w:val="28"/>
    </w:rPr>
  </w:style>
  <w:style w:type="paragraph" w:styleId="Nagwek2">
    <w:name w:val="heading 2"/>
    <w:basedOn w:val="Normalny"/>
    <w:next w:val="Normalny"/>
    <w:link w:val="Nagwek2Znak"/>
    <w:uiPriority w:val="99"/>
    <w:qFormat/>
    <w:rsid w:val="006C0224"/>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6C0224"/>
    <w:pPr>
      <w:keepNext/>
      <w:spacing w:before="240" w:after="60"/>
      <w:outlineLvl w:val="2"/>
    </w:pPr>
    <w:rPr>
      <w:rFonts w:ascii="Arial" w:hAnsi="Arial"/>
      <w:b/>
      <w:sz w:val="26"/>
      <w:szCs w:val="22"/>
    </w:rPr>
  </w:style>
  <w:style w:type="paragraph" w:styleId="Nagwek5">
    <w:name w:val="heading 5"/>
    <w:basedOn w:val="Normalny"/>
    <w:next w:val="Normalny"/>
    <w:link w:val="Nagwek5Znak"/>
    <w:uiPriority w:val="99"/>
    <w:qFormat/>
    <w:rsid w:val="006C0224"/>
    <w:pPr>
      <w:keepNext/>
      <w:spacing w:before="120" w:after="120"/>
      <w:outlineLvl w:val="4"/>
    </w:pPr>
    <w:rPr>
      <w:b/>
      <w:szCs w:val="22"/>
    </w:rPr>
  </w:style>
  <w:style w:type="paragraph" w:styleId="Nagwek6">
    <w:name w:val="heading 6"/>
    <w:basedOn w:val="Normalny"/>
    <w:next w:val="Normalny"/>
    <w:link w:val="Nagwek6Znak"/>
    <w:uiPriority w:val="99"/>
    <w:qFormat/>
    <w:rsid w:val="006C0224"/>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83233"/>
    <w:rPr>
      <w:rFonts w:eastAsia="Arial"/>
      <w:b/>
      <w:iCs/>
      <w:color w:val="C00000"/>
      <w:sz w:val="28"/>
      <w:szCs w:val="24"/>
    </w:rPr>
  </w:style>
  <w:style w:type="character" w:customStyle="1" w:styleId="Nagwek2Znak">
    <w:name w:val="Nagłówek 2 Znak"/>
    <w:basedOn w:val="Domylnaczcionkaakapitu"/>
    <w:link w:val="Nagwek2"/>
    <w:uiPriority w:val="99"/>
    <w:rsid w:val="006C0224"/>
    <w:rPr>
      <w:rFonts w:ascii="Cambria" w:hAnsi="Cambria"/>
      <w:b/>
      <w:bCs/>
      <w:i/>
      <w:iCs/>
      <w:sz w:val="28"/>
      <w:szCs w:val="28"/>
    </w:rPr>
  </w:style>
  <w:style w:type="character" w:customStyle="1" w:styleId="Nagwek3Znak">
    <w:name w:val="Nagłówek 3 Znak"/>
    <w:basedOn w:val="Domylnaczcionkaakapitu"/>
    <w:link w:val="Nagwek3"/>
    <w:uiPriority w:val="99"/>
    <w:rsid w:val="006C0224"/>
    <w:rPr>
      <w:rFonts w:ascii="Arial" w:hAnsi="Arial"/>
      <w:b/>
      <w:sz w:val="26"/>
    </w:rPr>
  </w:style>
  <w:style w:type="character" w:customStyle="1" w:styleId="Nagwek5Znak">
    <w:name w:val="Nagłówek 5 Znak"/>
    <w:basedOn w:val="Domylnaczcionkaakapitu"/>
    <w:link w:val="Nagwek5"/>
    <w:uiPriority w:val="99"/>
    <w:rsid w:val="006C0224"/>
    <w:rPr>
      <w:b/>
      <w:sz w:val="24"/>
    </w:rPr>
  </w:style>
  <w:style w:type="character" w:customStyle="1" w:styleId="Nagwek6Znak">
    <w:name w:val="Nagłówek 6 Znak"/>
    <w:basedOn w:val="Domylnaczcionkaakapitu"/>
    <w:link w:val="Nagwek6"/>
    <w:uiPriority w:val="99"/>
    <w:rsid w:val="006C0224"/>
    <w:rPr>
      <w:rFonts w:ascii="Calibri" w:hAnsi="Calibri"/>
      <w:b/>
      <w:bCs/>
    </w:rPr>
  </w:style>
  <w:style w:type="paragraph" w:styleId="Tytu">
    <w:name w:val="Title"/>
    <w:basedOn w:val="Normalny"/>
    <w:link w:val="TytuZnak"/>
    <w:qFormat/>
    <w:rsid w:val="006C0224"/>
    <w:pPr>
      <w:spacing w:line="360" w:lineRule="auto"/>
      <w:jc w:val="center"/>
    </w:pPr>
    <w:rPr>
      <w:b/>
      <w:sz w:val="28"/>
      <w:szCs w:val="22"/>
    </w:rPr>
  </w:style>
  <w:style w:type="character" w:customStyle="1" w:styleId="TytuZnak">
    <w:name w:val="Tytuł Znak"/>
    <w:basedOn w:val="Domylnaczcionkaakapitu"/>
    <w:link w:val="Tytu"/>
    <w:rsid w:val="006C0224"/>
    <w:rPr>
      <w:b/>
      <w:sz w:val="28"/>
    </w:rPr>
  </w:style>
  <w:style w:type="character" w:styleId="Pogrubienie">
    <w:name w:val="Strong"/>
    <w:basedOn w:val="Domylnaczcionkaakapitu"/>
    <w:uiPriority w:val="22"/>
    <w:qFormat/>
    <w:rsid w:val="006C0224"/>
    <w:rPr>
      <w:rFonts w:cs="Times New Roman"/>
      <w:b/>
    </w:rPr>
  </w:style>
  <w:style w:type="character" w:styleId="Uwydatnienie">
    <w:name w:val="Emphasis"/>
    <w:basedOn w:val="Domylnaczcionkaakapitu"/>
    <w:uiPriority w:val="20"/>
    <w:qFormat/>
    <w:rsid w:val="006C0224"/>
    <w:rPr>
      <w:i/>
      <w:iCs/>
    </w:rPr>
  </w:style>
  <w:style w:type="paragraph" w:styleId="Bezodstpw">
    <w:name w:val="No Spacing"/>
    <w:link w:val="BezodstpwZnak"/>
    <w:uiPriority w:val="99"/>
    <w:qFormat/>
    <w:rsid w:val="006C0224"/>
    <w:rPr>
      <w:rFonts w:ascii="Calibri" w:hAnsi="Calibri"/>
    </w:rPr>
  </w:style>
  <w:style w:type="character" w:customStyle="1" w:styleId="BezodstpwZnak">
    <w:name w:val="Bez odstępów Znak"/>
    <w:link w:val="Bezodstpw"/>
    <w:uiPriority w:val="99"/>
    <w:locked/>
    <w:rsid w:val="006C0224"/>
    <w:rPr>
      <w:rFonts w:ascii="Calibri" w:hAnsi="Calibri"/>
    </w:rPr>
  </w:style>
  <w:style w:type="paragraph" w:styleId="Akapitzlist">
    <w:name w:val="List Paragraph"/>
    <w:basedOn w:val="Normalny"/>
    <w:uiPriority w:val="34"/>
    <w:qFormat/>
    <w:rsid w:val="006C0224"/>
    <w:pPr>
      <w:ind w:left="720"/>
      <w:contextualSpacing/>
    </w:pPr>
  </w:style>
  <w:style w:type="paragraph" w:styleId="Nagwekspisutreci">
    <w:name w:val="TOC Heading"/>
    <w:basedOn w:val="Nagwek1"/>
    <w:next w:val="Normalny"/>
    <w:uiPriority w:val="39"/>
    <w:qFormat/>
    <w:rsid w:val="006C0224"/>
    <w:pPr>
      <w:keepLines/>
      <w:spacing w:before="480" w:line="276" w:lineRule="auto"/>
      <w:ind w:left="0"/>
      <w:jc w:val="left"/>
      <w:outlineLvl w:val="9"/>
    </w:pPr>
    <w:rPr>
      <w:rFonts w:ascii="Cambria" w:hAnsi="Cambria"/>
      <w:b w:val="0"/>
      <w:bCs/>
      <w:i/>
      <w:iCs w:val="0"/>
      <w:color w:val="365F91"/>
      <w:szCs w:val="28"/>
    </w:rPr>
  </w:style>
  <w:style w:type="character" w:styleId="Hipercze">
    <w:name w:val="Hyperlink"/>
    <w:basedOn w:val="Domylnaczcionkaakapitu"/>
    <w:uiPriority w:val="99"/>
    <w:unhideWhenUsed/>
    <w:rsid w:val="00BD5DE1"/>
    <w:rPr>
      <w:color w:val="0000FF" w:themeColor="hyperlink"/>
      <w:u w:val="single"/>
    </w:rPr>
  </w:style>
  <w:style w:type="paragraph" w:styleId="Tekstdymka">
    <w:name w:val="Balloon Text"/>
    <w:basedOn w:val="Normalny"/>
    <w:link w:val="TekstdymkaZnak"/>
    <w:uiPriority w:val="99"/>
    <w:semiHidden/>
    <w:unhideWhenUsed/>
    <w:rsid w:val="00D133D4"/>
    <w:rPr>
      <w:rFonts w:ascii="Tahoma" w:hAnsi="Tahoma" w:cs="Tahoma"/>
      <w:sz w:val="16"/>
      <w:szCs w:val="16"/>
    </w:rPr>
  </w:style>
  <w:style w:type="character" w:customStyle="1" w:styleId="TekstdymkaZnak">
    <w:name w:val="Tekst dymka Znak"/>
    <w:basedOn w:val="Domylnaczcionkaakapitu"/>
    <w:link w:val="Tekstdymka"/>
    <w:uiPriority w:val="99"/>
    <w:semiHidden/>
    <w:rsid w:val="00D133D4"/>
    <w:rPr>
      <w:rFonts w:ascii="Tahoma" w:hAnsi="Tahoma" w:cs="Tahoma"/>
      <w:sz w:val="16"/>
      <w:szCs w:val="16"/>
    </w:rPr>
  </w:style>
  <w:style w:type="paragraph" w:styleId="Nagwek">
    <w:name w:val="header"/>
    <w:basedOn w:val="Normalny"/>
    <w:link w:val="NagwekZnak"/>
    <w:uiPriority w:val="99"/>
    <w:unhideWhenUsed/>
    <w:rsid w:val="00255628"/>
    <w:pPr>
      <w:tabs>
        <w:tab w:val="center" w:pos="4536"/>
        <w:tab w:val="right" w:pos="9072"/>
      </w:tabs>
    </w:pPr>
  </w:style>
  <w:style w:type="character" w:customStyle="1" w:styleId="NagwekZnak">
    <w:name w:val="Nagłówek Znak"/>
    <w:basedOn w:val="Domylnaczcionkaakapitu"/>
    <w:link w:val="Nagwek"/>
    <w:uiPriority w:val="99"/>
    <w:rsid w:val="00255628"/>
    <w:rPr>
      <w:sz w:val="24"/>
      <w:szCs w:val="24"/>
    </w:rPr>
  </w:style>
  <w:style w:type="paragraph" w:styleId="Stopka">
    <w:name w:val="footer"/>
    <w:basedOn w:val="Normalny"/>
    <w:link w:val="StopkaZnak"/>
    <w:uiPriority w:val="99"/>
    <w:unhideWhenUsed/>
    <w:rsid w:val="00255628"/>
    <w:pPr>
      <w:tabs>
        <w:tab w:val="center" w:pos="4536"/>
        <w:tab w:val="right" w:pos="9072"/>
      </w:tabs>
    </w:pPr>
  </w:style>
  <w:style w:type="character" w:customStyle="1" w:styleId="StopkaZnak">
    <w:name w:val="Stopka Znak"/>
    <w:basedOn w:val="Domylnaczcionkaakapitu"/>
    <w:link w:val="Stopka"/>
    <w:uiPriority w:val="99"/>
    <w:rsid w:val="00255628"/>
    <w:rPr>
      <w:sz w:val="24"/>
      <w:szCs w:val="24"/>
    </w:rPr>
  </w:style>
  <w:style w:type="paragraph" w:styleId="Spistreci1">
    <w:name w:val="toc 1"/>
    <w:basedOn w:val="Normalny"/>
    <w:next w:val="Normalny"/>
    <w:autoRedefine/>
    <w:uiPriority w:val="39"/>
    <w:unhideWhenUsed/>
    <w:rsid w:val="00255628"/>
    <w:pPr>
      <w:spacing w:after="100"/>
    </w:pPr>
  </w:style>
  <w:style w:type="paragraph" w:styleId="Tekstprzypisukocowego">
    <w:name w:val="endnote text"/>
    <w:basedOn w:val="Normalny"/>
    <w:link w:val="TekstprzypisukocowegoZnak"/>
    <w:uiPriority w:val="99"/>
    <w:semiHidden/>
    <w:unhideWhenUsed/>
    <w:rsid w:val="00764ABA"/>
    <w:rPr>
      <w:sz w:val="20"/>
      <w:szCs w:val="20"/>
    </w:rPr>
  </w:style>
  <w:style w:type="character" w:customStyle="1" w:styleId="TekstprzypisukocowegoZnak">
    <w:name w:val="Tekst przypisu końcowego Znak"/>
    <w:basedOn w:val="Domylnaczcionkaakapitu"/>
    <w:link w:val="Tekstprzypisukocowego"/>
    <w:uiPriority w:val="99"/>
    <w:semiHidden/>
    <w:rsid w:val="00764ABA"/>
    <w:rPr>
      <w:sz w:val="20"/>
      <w:szCs w:val="20"/>
    </w:rPr>
  </w:style>
  <w:style w:type="character" w:styleId="Odwoanieprzypisukocowego">
    <w:name w:val="endnote reference"/>
    <w:basedOn w:val="Domylnaczcionkaakapitu"/>
    <w:uiPriority w:val="99"/>
    <w:semiHidden/>
    <w:unhideWhenUsed/>
    <w:rsid w:val="00764ABA"/>
    <w:rPr>
      <w:vertAlign w:val="superscript"/>
    </w:rPr>
  </w:style>
  <w:style w:type="paragraph" w:customStyle="1" w:styleId="Default">
    <w:name w:val="Default"/>
    <w:rsid w:val="002528AF"/>
    <w:pPr>
      <w:autoSpaceDE w:val="0"/>
      <w:autoSpaceDN w:val="0"/>
      <w:adjustRightInd w:val="0"/>
    </w:pPr>
    <w:rPr>
      <w:color w:val="000000"/>
      <w:sz w:val="24"/>
      <w:szCs w:val="24"/>
    </w:rPr>
  </w:style>
  <w:style w:type="paragraph" w:styleId="NormalnyWeb">
    <w:name w:val="Normal (Web)"/>
    <w:basedOn w:val="Normalny"/>
    <w:uiPriority w:val="99"/>
    <w:semiHidden/>
    <w:unhideWhenUsed/>
    <w:rsid w:val="00A10C87"/>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qFormat="1"/>
    <w:lsdException w:name="heading 6"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224"/>
    <w:rPr>
      <w:sz w:val="24"/>
      <w:szCs w:val="24"/>
    </w:rPr>
  </w:style>
  <w:style w:type="paragraph" w:styleId="Nagwek1">
    <w:name w:val="heading 1"/>
    <w:basedOn w:val="Normalny"/>
    <w:next w:val="Normalny"/>
    <w:link w:val="Nagwek1Znak"/>
    <w:uiPriority w:val="99"/>
    <w:qFormat/>
    <w:rsid w:val="00983233"/>
    <w:pPr>
      <w:keepNext/>
      <w:spacing w:line="360" w:lineRule="auto"/>
      <w:ind w:left="78"/>
      <w:jc w:val="both"/>
      <w:outlineLvl w:val="0"/>
    </w:pPr>
    <w:rPr>
      <w:rFonts w:eastAsia="Arial"/>
      <w:b/>
      <w:iCs/>
      <w:color w:val="C00000"/>
      <w:sz w:val="28"/>
    </w:rPr>
  </w:style>
  <w:style w:type="paragraph" w:styleId="Nagwek2">
    <w:name w:val="heading 2"/>
    <w:basedOn w:val="Normalny"/>
    <w:next w:val="Normalny"/>
    <w:link w:val="Nagwek2Znak"/>
    <w:uiPriority w:val="99"/>
    <w:qFormat/>
    <w:rsid w:val="006C0224"/>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6C0224"/>
    <w:pPr>
      <w:keepNext/>
      <w:spacing w:before="240" w:after="60"/>
      <w:outlineLvl w:val="2"/>
    </w:pPr>
    <w:rPr>
      <w:rFonts w:ascii="Arial" w:hAnsi="Arial"/>
      <w:b/>
      <w:sz w:val="26"/>
      <w:szCs w:val="22"/>
    </w:rPr>
  </w:style>
  <w:style w:type="paragraph" w:styleId="Nagwek5">
    <w:name w:val="heading 5"/>
    <w:basedOn w:val="Normalny"/>
    <w:next w:val="Normalny"/>
    <w:link w:val="Nagwek5Znak"/>
    <w:uiPriority w:val="99"/>
    <w:qFormat/>
    <w:rsid w:val="006C0224"/>
    <w:pPr>
      <w:keepNext/>
      <w:spacing w:before="120" w:after="120"/>
      <w:outlineLvl w:val="4"/>
    </w:pPr>
    <w:rPr>
      <w:b/>
      <w:szCs w:val="22"/>
    </w:rPr>
  </w:style>
  <w:style w:type="paragraph" w:styleId="Nagwek6">
    <w:name w:val="heading 6"/>
    <w:basedOn w:val="Normalny"/>
    <w:next w:val="Normalny"/>
    <w:link w:val="Nagwek6Znak"/>
    <w:uiPriority w:val="99"/>
    <w:qFormat/>
    <w:rsid w:val="006C0224"/>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83233"/>
    <w:rPr>
      <w:rFonts w:eastAsia="Arial"/>
      <w:b/>
      <w:iCs/>
      <w:color w:val="C00000"/>
      <w:sz w:val="28"/>
      <w:szCs w:val="24"/>
    </w:rPr>
  </w:style>
  <w:style w:type="character" w:customStyle="1" w:styleId="Nagwek2Znak">
    <w:name w:val="Nagłówek 2 Znak"/>
    <w:basedOn w:val="Domylnaczcionkaakapitu"/>
    <w:link w:val="Nagwek2"/>
    <w:uiPriority w:val="99"/>
    <w:rsid w:val="006C0224"/>
    <w:rPr>
      <w:rFonts w:ascii="Cambria" w:hAnsi="Cambria"/>
      <w:b/>
      <w:bCs/>
      <w:i/>
      <w:iCs/>
      <w:sz w:val="28"/>
      <w:szCs w:val="28"/>
    </w:rPr>
  </w:style>
  <w:style w:type="character" w:customStyle="1" w:styleId="Nagwek3Znak">
    <w:name w:val="Nagłówek 3 Znak"/>
    <w:basedOn w:val="Domylnaczcionkaakapitu"/>
    <w:link w:val="Nagwek3"/>
    <w:uiPriority w:val="99"/>
    <w:rsid w:val="006C0224"/>
    <w:rPr>
      <w:rFonts w:ascii="Arial" w:hAnsi="Arial"/>
      <w:b/>
      <w:sz w:val="26"/>
    </w:rPr>
  </w:style>
  <w:style w:type="character" w:customStyle="1" w:styleId="Nagwek5Znak">
    <w:name w:val="Nagłówek 5 Znak"/>
    <w:basedOn w:val="Domylnaczcionkaakapitu"/>
    <w:link w:val="Nagwek5"/>
    <w:uiPriority w:val="99"/>
    <w:rsid w:val="006C0224"/>
    <w:rPr>
      <w:b/>
      <w:sz w:val="24"/>
    </w:rPr>
  </w:style>
  <w:style w:type="character" w:customStyle="1" w:styleId="Nagwek6Znak">
    <w:name w:val="Nagłówek 6 Znak"/>
    <w:basedOn w:val="Domylnaczcionkaakapitu"/>
    <w:link w:val="Nagwek6"/>
    <w:uiPriority w:val="99"/>
    <w:rsid w:val="006C0224"/>
    <w:rPr>
      <w:rFonts w:ascii="Calibri" w:hAnsi="Calibri"/>
      <w:b/>
      <w:bCs/>
    </w:rPr>
  </w:style>
  <w:style w:type="paragraph" w:styleId="Tytu">
    <w:name w:val="Title"/>
    <w:basedOn w:val="Normalny"/>
    <w:link w:val="TytuZnak"/>
    <w:qFormat/>
    <w:rsid w:val="006C0224"/>
    <w:pPr>
      <w:spacing w:line="360" w:lineRule="auto"/>
      <w:jc w:val="center"/>
    </w:pPr>
    <w:rPr>
      <w:b/>
      <w:sz w:val="28"/>
      <w:szCs w:val="22"/>
    </w:rPr>
  </w:style>
  <w:style w:type="character" w:customStyle="1" w:styleId="TytuZnak">
    <w:name w:val="Tytuł Znak"/>
    <w:basedOn w:val="Domylnaczcionkaakapitu"/>
    <w:link w:val="Tytu"/>
    <w:rsid w:val="006C0224"/>
    <w:rPr>
      <w:b/>
      <w:sz w:val="28"/>
    </w:rPr>
  </w:style>
  <w:style w:type="character" w:styleId="Pogrubienie">
    <w:name w:val="Strong"/>
    <w:basedOn w:val="Domylnaczcionkaakapitu"/>
    <w:uiPriority w:val="22"/>
    <w:qFormat/>
    <w:rsid w:val="006C0224"/>
    <w:rPr>
      <w:rFonts w:cs="Times New Roman"/>
      <w:b/>
    </w:rPr>
  </w:style>
  <w:style w:type="character" w:styleId="Uwydatnienie">
    <w:name w:val="Emphasis"/>
    <w:basedOn w:val="Domylnaczcionkaakapitu"/>
    <w:uiPriority w:val="20"/>
    <w:qFormat/>
    <w:rsid w:val="006C0224"/>
    <w:rPr>
      <w:i/>
      <w:iCs/>
    </w:rPr>
  </w:style>
  <w:style w:type="paragraph" w:styleId="Bezodstpw">
    <w:name w:val="No Spacing"/>
    <w:link w:val="BezodstpwZnak"/>
    <w:uiPriority w:val="99"/>
    <w:qFormat/>
    <w:rsid w:val="006C0224"/>
    <w:rPr>
      <w:rFonts w:ascii="Calibri" w:hAnsi="Calibri"/>
    </w:rPr>
  </w:style>
  <w:style w:type="character" w:customStyle="1" w:styleId="BezodstpwZnak">
    <w:name w:val="Bez odstępów Znak"/>
    <w:link w:val="Bezodstpw"/>
    <w:uiPriority w:val="99"/>
    <w:locked/>
    <w:rsid w:val="006C0224"/>
    <w:rPr>
      <w:rFonts w:ascii="Calibri" w:hAnsi="Calibri"/>
    </w:rPr>
  </w:style>
  <w:style w:type="paragraph" w:styleId="Akapitzlist">
    <w:name w:val="List Paragraph"/>
    <w:basedOn w:val="Normalny"/>
    <w:uiPriority w:val="34"/>
    <w:qFormat/>
    <w:rsid w:val="006C0224"/>
    <w:pPr>
      <w:ind w:left="720"/>
      <w:contextualSpacing/>
    </w:pPr>
  </w:style>
  <w:style w:type="paragraph" w:styleId="Nagwekspisutreci">
    <w:name w:val="TOC Heading"/>
    <w:basedOn w:val="Nagwek1"/>
    <w:next w:val="Normalny"/>
    <w:uiPriority w:val="39"/>
    <w:qFormat/>
    <w:rsid w:val="006C0224"/>
    <w:pPr>
      <w:keepLines/>
      <w:spacing w:before="480" w:line="276" w:lineRule="auto"/>
      <w:ind w:left="0"/>
      <w:jc w:val="left"/>
      <w:outlineLvl w:val="9"/>
    </w:pPr>
    <w:rPr>
      <w:rFonts w:ascii="Cambria" w:hAnsi="Cambria"/>
      <w:b w:val="0"/>
      <w:bCs/>
      <w:i/>
      <w:iCs w:val="0"/>
      <w:color w:val="365F91"/>
      <w:szCs w:val="28"/>
    </w:rPr>
  </w:style>
  <w:style w:type="character" w:styleId="Hipercze">
    <w:name w:val="Hyperlink"/>
    <w:basedOn w:val="Domylnaczcionkaakapitu"/>
    <w:uiPriority w:val="99"/>
    <w:unhideWhenUsed/>
    <w:rsid w:val="00BD5DE1"/>
    <w:rPr>
      <w:color w:val="0000FF" w:themeColor="hyperlink"/>
      <w:u w:val="single"/>
    </w:rPr>
  </w:style>
  <w:style w:type="paragraph" w:styleId="Tekstdymka">
    <w:name w:val="Balloon Text"/>
    <w:basedOn w:val="Normalny"/>
    <w:link w:val="TekstdymkaZnak"/>
    <w:uiPriority w:val="99"/>
    <w:semiHidden/>
    <w:unhideWhenUsed/>
    <w:rsid w:val="00D133D4"/>
    <w:rPr>
      <w:rFonts w:ascii="Tahoma" w:hAnsi="Tahoma" w:cs="Tahoma"/>
      <w:sz w:val="16"/>
      <w:szCs w:val="16"/>
    </w:rPr>
  </w:style>
  <w:style w:type="character" w:customStyle="1" w:styleId="TekstdymkaZnak">
    <w:name w:val="Tekst dymka Znak"/>
    <w:basedOn w:val="Domylnaczcionkaakapitu"/>
    <w:link w:val="Tekstdymka"/>
    <w:uiPriority w:val="99"/>
    <w:semiHidden/>
    <w:rsid w:val="00D133D4"/>
    <w:rPr>
      <w:rFonts w:ascii="Tahoma" w:hAnsi="Tahoma" w:cs="Tahoma"/>
      <w:sz w:val="16"/>
      <w:szCs w:val="16"/>
    </w:rPr>
  </w:style>
  <w:style w:type="paragraph" w:styleId="Nagwek">
    <w:name w:val="header"/>
    <w:basedOn w:val="Normalny"/>
    <w:link w:val="NagwekZnak"/>
    <w:uiPriority w:val="99"/>
    <w:unhideWhenUsed/>
    <w:rsid w:val="00255628"/>
    <w:pPr>
      <w:tabs>
        <w:tab w:val="center" w:pos="4536"/>
        <w:tab w:val="right" w:pos="9072"/>
      </w:tabs>
    </w:pPr>
  </w:style>
  <w:style w:type="character" w:customStyle="1" w:styleId="NagwekZnak">
    <w:name w:val="Nagłówek Znak"/>
    <w:basedOn w:val="Domylnaczcionkaakapitu"/>
    <w:link w:val="Nagwek"/>
    <w:uiPriority w:val="99"/>
    <w:rsid w:val="00255628"/>
    <w:rPr>
      <w:sz w:val="24"/>
      <w:szCs w:val="24"/>
    </w:rPr>
  </w:style>
  <w:style w:type="paragraph" w:styleId="Stopka">
    <w:name w:val="footer"/>
    <w:basedOn w:val="Normalny"/>
    <w:link w:val="StopkaZnak"/>
    <w:uiPriority w:val="99"/>
    <w:unhideWhenUsed/>
    <w:rsid w:val="00255628"/>
    <w:pPr>
      <w:tabs>
        <w:tab w:val="center" w:pos="4536"/>
        <w:tab w:val="right" w:pos="9072"/>
      </w:tabs>
    </w:pPr>
  </w:style>
  <w:style w:type="character" w:customStyle="1" w:styleId="StopkaZnak">
    <w:name w:val="Stopka Znak"/>
    <w:basedOn w:val="Domylnaczcionkaakapitu"/>
    <w:link w:val="Stopka"/>
    <w:uiPriority w:val="99"/>
    <w:rsid w:val="00255628"/>
    <w:rPr>
      <w:sz w:val="24"/>
      <w:szCs w:val="24"/>
    </w:rPr>
  </w:style>
  <w:style w:type="paragraph" w:styleId="Spistreci1">
    <w:name w:val="toc 1"/>
    <w:basedOn w:val="Normalny"/>
    <w:next w:val="Normalny"/>
    <w:autoRedefine/>
    <w:uiPriority w:val="39"/>
    <w:unhideWhenUsed/>
    <w:rsid w:val="00255628"/>
    <w:pPr>
      <w:spacing w:after="100"/>
    </w:pPr>
  </w:style>
  <w:style w:type="paragraph" w:styleId="Tekstprzypisukocowego">
    <w:name w:val="endnote text"/>
    <w:basedOn w:val="Normalny"/>
    <w:link w:val="TekstprzypisukocowegoZnak"/>
    <w:uiPriority w:val="99"/>
    <w:semiHidden/>
    <w:unhideWhenUsed/>
    <w:rsid w:val="00764ABA"/>
    <w:rPr>
      <w:sz w:val="20"/>
      <w:szCs w:val="20"/>
    </w:rPr>
  </w:style>
  <w:style w:type="character" w:customStyle="1" w:styleId="TekstprzypisukocowegoZnak">
    <w:name w:val="Tekst przypisu końcowego Znak"/>
    <w:basedOn w:val="Domylnaczcionkaakapitu"/>
    <w:link w:val="Tekstprzypisukocowego"/>
    <w:uiPriority w:val="99"/>
    <w:semiHidden/>
    <w:rsid w:val="00764ABA"/>
    <w:rPr>
      <w:sz w:val="20"/>
      <w:szCs w:val="20"/>
    </w:rPr>
  </w:style>
  <w:style w:type="character" w:styleId="Odwoanieprzypisukocowego">
    <w:name w:val="endnote reference"/>
    <w:basedOn w:val="Domylnaczcionkaakapitu"/>
    <w:uiPriority w:val="99"/>
    <w:semiHidden/>
    <w:unhideWhenUsed/>
    <w:rsid w:val="00764ABA"/>
    <w:rPr>
      <w:vertAlign w:val="superscript"/>
    </w:rPr>
  </w:style>
  <w:style w:type="paragraph" w:customStyle="1" w:styleId="Default">
    <w:name w:val="Default"/>
    <w:rsid w:val="002528AF"/>
    <w:pPr>
      <w:autoSpaceDE w:val="0"/>
      <w:autoSpaceDN w:val="0"/>
      <w:adjustRightInd w:val="0"/>
    </w:pPr>
    <w:rPr>
      <w:color w:val="000000"/>
      <w:sz w:val="24"/>
      <w:szCs w:val="24"/>
    </w:rPr>
  </w:style>
  <w:style w:type="paragraph" w:styleId="NormalnyWeb">
    <w:name w:val="Normal (Web)"/>
    <w:basedOn w:val="Normalny"/>
    <w:uiPriority w:val="99"/>
    <w:semiHidden/>
    <w:unhideWhenUsed/>
    <w:rsid w:val="00A10C87"/>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6261">
      <w:bodyDiv w:val="1"/>
      <w:marLeft w:val="0"/>
      <w:marRight w:val="0"/>
      <w:marTop w:val="0"/>
      <w:marBottom w:val="0"/>
      <w:divBdr>
        <w:top w:val="none" w:sz="0" w:space="0" w:color="auto"/>
        <w:left w:val="none" w:sz="0" w:space="0" w:color="auto"/>
        <w:bottom w:val="none" w:sz="0" w:space="0" w:color="auto"/>
        <w:right w:val="none" w:sz="0" w:space="0" w:color="auto"/>
      </w:divBdr>
    </w:div>
    <w:div w:id="492569172">
      <w:bodyDiv w:val="1"/>
      <w:marLeft w:val="0"/>
      <w:marRight w:val="0"/>
      <w:marTop w:val="0"/>
      <w:marBottom w:val="0"/>
      <w:divBdr>
        <w:top w:val="none" w:sz="0" w:space="0" w:color="auto"/>
        <w:left w:val="none" w:sz="0" w:space="0" w:color="auto"/>
        <w:bottom w:val="none" w:sz="0" w:space="0" w:color="auto"/>
        <w:right w:val="none" w:sz="0" w:space="0" w:color="auto"/>
      </w:divBdr>
    </w:div>
    <w:div w:id="874924709">
      <w:bodyDiv w:val="1"/>
      <w:marLeft w:val="0"/>
      <w:marRight w:val="0"/>
      <w:marTop w:val="0"/>
      <w:marBottom w:val="0"/>
      <w:divBdr>
        <w:top w:val="none" w:sz="0" w:space="0" w:color="auto"/>
        <w:left w:val="none" w:sz="0" w:space="0" w:color="auto"/>
        <w:bottom w:val="none" w:sz="0" w:space="0" w:color="auto"/>
        <w:right w:val="none" w:sz="0" w:space="0" w:color="auto"/>
      </w:divBdr>
    </w:div>
    <w:div w:id="915434678">
      <w:bodyDiv w:val="1"/>
      <w:marLeft w:val="0"/>
      <w:marRight w:val="0"/>
      <w:marTop w:val="0"/>
      <w:marBottom w:val="0"/>
      <w:divBdr>
        <w:top w:val="none" w:sz="0" w:space="0" w:color="auto"/>
        <w:left w:val="none" w:sz="0" w:space="0" w:color="auto"/>
        <w:bottom w:val="none" w:sz="0" w:space="0" w:color="auto"/>
        <w:right w:val="none" w:sz="0" w:space="0" w:color="auto"/>
      </w:divBdr>
    </w:div>
    <w:div w:id="1752853664">
      <w:bodyDiv w:val="1"/>
      <w:marLeft w:val="0"/>
      <w:marRight w:val="0"/>
      <w:marTop w:val="0"/>
      <w:marBottom w:val="0"/>
      <w:divBdr>
        <w:top w:val="none" w:sz="0" w:space="0" w:color="auto"/>
        <w:left w:val="none" w:sz="0" w:space="0" w:color="auto"/>
        <w:bottom w:val="none" w:sz="0" w:space="0" w:color="auto"/>
        <w:right w:val="none" w:sz="0" w:space="0" w:color="auto"/>
      </w:divBdr>
    </w:div>
    <w:div w:id="20957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at.gov.pl/obszary-tematyczne/inne-opracowania/informacje-o-sytuacji-spoleczno-gospodarczej/biuletyn-statystyczny-nr-112018,4,82.html"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Profil/Downloads/biuletyn_statystyczny_11_2018.pdf"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28BA-4296-4008-B582-6647889D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2165</Words>
  <Characters>12993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Szarpak</dc:creator>
  <cp:lastModifiedBy>Hanna Szarpak </cp:lastModifiedBy>
  <cp:revision>2</cp:revision>
  <dcterms:created xsi:type="dcterms:W3CDTF">2019-01-09T10:18:00Z</dcterms:created>
  <dcterms:modified xsi:type="dcterms:W3CDTF">2019-01-09T10:18:00Z</dcterms:modified>
</cp:coreProperties>
</file>