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77777777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2 </w:t>
      </w:r>
    </w:p>
    <w:p w14:paraId="77DE0EF4" w14:textId="4591E5A9" w:rsidR="00890320" w:rsidRPr="002C5E4E" w:rsidRDefault="00CE6B30" w:rsidP="002C5E4E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  <w:r w:rsidRPr="002C5E4E">
        <w:rPr>
          <w:b/>
          <w:bCs/>
          <w:sz w:val="20"/>
          <w:szCs w:val="20"/>
        </w:rPr>
        <w:t>do ogłoszenia o przetargu publicznym</w:t>
      </w:r>
    </w:p>
    <w:p w14:paraId="05A02A82" w14:textId="1ACAF9CE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7D02502A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457FE1">
      <w:pPr>
        <w:pStyle w:val="Nagwek2"/>
        <w:shd w:val="clear" w:color="auto" w:fill="FFFFFF"/>
        <w:spacing w:before="0" w:line="240" w:lineRule="auto"/>
        <w:ind w:left="368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Ministrów </w:t>
      </w:r>
      <w:r w:rsidRPr="00F93793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z dnia 21 października 2019 r. 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>w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33B42D7A" w:rsidR="00CE6B30" w:rsidRPr="00F93793" w:rsidRDefault="00CE6B30" w:rsidP="00F93793">
      <w:pPr>
        <w:spacing w:after="0" w:line="335" w:lineRule="auto"/>
        <w:ind w:left="6945" w:right="0" w:hanging="6936"/>
        <w:rPr>
          <w:rFonts w:ascii="Arial" w:hAnsi="Arial" w:cs="Arial"/>
          <w:sz w:val="18"/>
          <w:szCs w:val="18"/>
        </w:rPr>
      </w:pPr>
      <w:bookmarkStart w:id="0" w:name="_Hlk86064698"/>
      <w:r w:rsidRPr="005D77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(czytelny podpis)</w:t>
      </w:r>
      <w:bookmarkEnd w:id="0"/>
    </w:p>
    <w:sectPr w:rsidR="00CE6B30" w:rsidRPr="00F93793" w:rsidSect="00637F23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3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B3751"/>
    <w:rsid w:val="002C5E4E"/>
    <w:rsid w:val="0035610F"/>
    <w:rsid w:val="00457FE1"/>
    <w:rsid w:val="005D77D8"/>
    <w:rsid w:val="00637F23"/>
    <w:rsid w:val="00852DC2"/>
    <w:rsid w:val="00890320"/>
    <w:rsid w:val="009161EB"/>
    <w:rsid w:val="009847B6"/>
    <w:rsid w:val="00C9482F"/>
    <w:rsid w:val="00CE6B30"/>
    <w:rsid w:val="00DB7D2B"/>
    <w:rsid w:val="00DC5A72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2024-01-25T12:36:00Z</dcterms:created>
  <dcterms:modified xsi:type="dcterms:W3CDTF">2024-01-25T12:36:00Z</dcterms:modified>
</cp:coreProperties>
</file>