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C38C2" w:rsidRDefault="004D189E">
      <w:pPr>
        <w:spacing w:before="240" w:after="160" w:line="259" w:lineRule="auto"/>
        <w:rPr>
          <w:rFonts w:ascii="Calibri" w:hAnsi="Calibri"/>
        </w:rPr>
      </w:pPr>
      <w:r>
        <w:rPr>
          <w:rFonts w:ascii="Calibri" w:eastAsia="Arial Unicode MS" w:hAnsi="Calibri" w:cs="Arial Unicode MS"/>
          <w:b/>
        </w:rPr>
        <w:t>ინსტრუქცია</w:t>
      </w:r>
    </w:p>
    <w:p w:rsidR="00AC38C2" w:rsidRDefault="00AC38C2">
      <w:pPr>
        <w:spacing w:before="240" w:after="160" w:line="259" w:lineRule="auto"/>
        <w:rPr>
          <w:rFonts w:ascii="Calibri" w:hAnsi="Calibri"/>
        </w:rPr>
      </w:pPr>
    </w:p>
    <w:p w:rsidR="00AC38C2" w:rsidRDefault="004D189E">
      <w:pPr>
        <w:numPr>
          <w:ilvl w:val="0"/>
          <w:numId w:val="30"/>
        </w:numPr>
        <w:spacing w:before="240" w:after="240" w:line="240" w:lineRule="auto"/>
        <w:rPr>
          <w:rFonts w:ascii="Calibri" w:hAnsi="Calibri"/>
        </w:rPr>
      </w:pPr>
      <w:r>
        <w:rPr>
          <w:rFonts w:ascii="Calibri" w:eastAsia="Arial Unicode MS" w:hAnsi="Calibri" w:cs="Arial Unicode MS"/>
        </w:rPr>
        <w:t>ეს გადაწყვეტილება ინსტანციის ადმინისტრაციულ საქმეში საბოლოოა. ამ გადაწყვეტილების წინააღმდეგ შეიძლება საჩივრის შეტანა,  რომელიც უნდა წარედგინოს ვარშავის  ადმინისტრაციული სასამართლოს უცხოელთა დეპარტამენტის უფროსს გადაწყვეტილების დოკუმენტის მიღებიდან 30 დღის ვადაში (53-ე მუხლის 1-ლი პუნქტი და 54-ე მუხლის 1-ლი პუნქტი). 2002 წლის 30 აგვისტოს კანონის - ადმინისტრაციულ სასამართლოში სამართალწარმოების შესახებ / 2019 წლის კანონთა კოდექსი, პუნქტი 2325, შესწორებული /). ეს ვადა ასევე ითვლება შენარჩუნებულად, თუ მხარე საჩივრის ვადის გასვლამდე მიმართავს უშუალოდ ვარშავის ადმინისტრაციულ სასამართლოს (53 § 4 მუხლი - კანონი სასამართლო წარმოების შესახებ ).</w:t>
      </w:r>
    </w:p>
    <w:p w:rsidR="00AC38C2" w:rsidRDefault="00AC38C2">
      <w:pPr>
        <w:spacing w:before="240" w:after="160" w:line="259" w:lineRule="auto"/>
        <w:rPr>
          <w:rFonts w:ascii="Calibri" w:hAnsi="Calibri"/>
        </w:rPr>
      </w:pPr>
    </w:p>
    <w:p w:rsidR="00AC38C2" w:rsidRDefault="004D189E">
      <w:pPr>
        <w:numPr>
          <w:ilvl w:val="0"/>
          <w:numId w:val="31"/>
        </w:numPr>
        <w:spacing w:before="240" w:after="240" w:line="240" w:lineRule="auto"/>
        <w:rPr>
          <w:rFonts w:ascii="Calibri" w:hAnsi="Calibri"/>
        </w:rPr>
      </w:pPr>
      <w:r>
        <w:rPr>
          <w:rFonts w:ascii="Calibri" w:eastAsia="Arial Unicode MS" w:hAnsi="Calibri" w:cs="Arial Unicode MS"/>
        </w:rPr>
        <w:t>საჩივრის მუდმივი საფასურია 300 PLN (§ 2 პუნქტი 3 პუნქტი 8 მინისტრთა საბჭოს 2003 წლის 16 დეკემბრის ადმინისტრაციული სასამართლოების საფასურის  ოდენობისა და დეტალური წესების შესახებ /  2003 წ. კოდექსის No221, პუნქტი 2193, შესწორებული /).</w:t>
      </w:r>
    </w:p>
    <w:p w:rsidR="00AC38C2" w:rsidRDefault="00AC38C2">
      <w:pPr>
        <w:spacing w:before="240" w:after="160" w:line="259" w:lineRule="auto"/>
        <w:rPr>
          <w:rFonts w:ascii="Calibri" w:hAnsi="Calibri"/>
        </w:rPr>
      </w:pPr>
    </w:p>
    <w:p w:rsidR="00AC38C2" w:rsidRDefault="004D189E">
      <w:pPr>
        <w:numPr>
          <w:ilvl w:val="0"/>
          <w:numId w:val="32"/>
        </w:numPr>
        <w:spacing w:before="240" w:after="240" w:line="240" w:lineRule="auto"/>
        <w:rPr>
          <w:rFonts w:ascii="Calibri" w:hAnsi="Calibri"/>
        </w:rPr>
      </w:pPr>
      <w:r>
        <w:rPr>
          <w:rFonts w:ascii="Calibri" w:eastAsia="Arial Unicode MS" w:hAnsi="Calibri" w:cs="Arial Unicode MS"/>
        </w:rPr>
        <w:t>ადმინისტრაციულ სასამართლოში მონაწილე მხარეს შეიძლება მიეცეს სრული ან ნაწილობრივი დახმარების უფლება. დახმარების უფლების სრული ფარგლები მოიცავს სასამართლო ხარჯებისგან გათავისუფლებას და ადვოკატის, იურიდიული მრჩევლის, საგადასახადო მრჩევლის ან პატენტრწმუნებულის დანიშვნას. ნაწილობრივი დახმარების შესახებ კანონი მოიცავს მხოლოდ სასამართლო გადასახადებისგან გათავისუფლებას მთლიანად ან ნაწილობრივ, ან მხოლოდ ხარჯებისგან ან სასამართლოს მოსაკრებლებისა და ხარჯებისგან, ან მხოლოდ ადვოკატის, იურიდიული მრჩევლის, საგადასახადო მრჩევლის ან პატენტრწმუნებულის დანიშვნას (მუხლი 245, § 1-3 - კანონი ადმინისტრაციულ სასამართლოებში წარმოების შესახებ). განცხადება დახმარების უფლების მინიჭების თაობაზე და განცხადება გადაუხდელი იურიდიული დახმარების ხარჯების დაკისრების შესახებ წარედგინება სავოევოდოს კომპეტენტურ ადმინისტრაციულ სასამართლოს. მხარეს, რომელსაც არ აქვს საცხოვრებელი ადგილი, ადგილსამყოფელი ან ადგილსამყოფელი სასამართლოს იურისდიქციის ფარგლებში, შეუძლია მიმართოს სხვა ვოივოდის ადმინისტრაციულ სასამართლოს. ეს განცხადება დაუყოვნებლივ ეგზავნება კომპეტენტურ სასამართლოს (კანონი ადმინისტრაციულ სასამართლოებში მიმართვის შესახებ კანონის 254-ე მუხლის 1-ლი და მე-2 პუნქტები). დახმარების უფლების მინიჭების შესახებ განაცხადი წარდგენილი უნდა იქნას  1 („PPF“ - ფიზიკური პირების შემთხვევაში) ან 2 („PPPr“ - იურიდიული პირები ან ორგანიზაციული ერთეულები იურიდიული პიროვნების გარეშე) დანართში მითითებული ფორმით, რომელიც განსაზღვრულია მინისტრთა საბჭოს 2015 წლის 19 აგვისტოს ადმინისტრაციულ სასამართლოებში დახმარების უფლების მინიჭების მეთოდის და განმცხადებლის ქონებრივი მდგომარეობის, შემოსავლის ან ოჯახური მდგომარეობის დოკუმენტირების წესით(კანონი 1257, შესწორებული).</w:t>
      </w:r>
    </w:p>
    <w:p w:rsidR="00AC38C2" w:rsidRDefault="00AC38C2">
      <w:pPr>
        <w:spacing w:before="240" w:after="160" w:line="259" w:lineRule="auto"/>
        <w:rPr>
          <w:rFonts w:ascii="Calibri" w:hAnsi="Calibri"/>
        </w:rPr>
      </w:pPr>
    </w:p>
    <w:p w:rsidR="00AC38C2" w:rsidRDefault="004D189E">
      <w:pPr>
        <w:numPr>
          <w:ilvl w:val="0"/>
          <w:numId w:val="33"/>
        </w:numPr>
        <w:spacing w:before="240" w:after="240" w:line="240" w:lineRule="auto"/>
        <w:rPr>
          <w:rFonts w:ascii="Calibri" w:hAnsi="Calibri"/>
        </w:rPr>
      </w:pPr>
      <w:r>
        <w:rPr>
          <w:rFonts w:ascii="Calibri" w:eastAsia="Arial Unicode MS" w:hAnsi="Calibri" w:cs="Arial Unicode MS"/>
        </w:rPr>
        <w:lastRenderedPageBreak/>
        <w:t>უცხოელთა სამსახურის უფროსის მიმოწერის მისამართია: ქ. ტაბოროვა 33, 02-699 ვარშავა. თუ საჩივრები წარდგენილია უცხოელთა სამსახურის უფროსთან ფოსტ</w:t>
      </w:r>
      <w:r>
        <w:rPr>
          <w:rFonts w:ascii="Calibri" w:eastAsia="Arial Unicode MS" w:hAnsi="Calibri" w:cs="Arial Unicode MS"/>
          <w:lang w:val="ka-GE"/>
        </w:rPr>
        <w:t>ის</w:t>
      </w:r>
      <w:r>
        <w:rPr>
          <w:rFonts w:ascii="Calibri" w:eastAsia="Arial Unicode MS" w:hAnsi="Calibri" w:cs="Arial Unicode MS"/>
        </w:rPr>
        <w:t xml:space="preserve"> მეშვეობით, ისინი უნდა გაიგზავნოს ამ მისამართზე.</w:t>
      </w:r>
    </w:p>
    <w:p w:rsidR="00AC38C2" w:rsidRDefault="00AC38C2">
      <w:pPr>
        <w:spacing w:before="240" w:after="160" w:line="259" w:lineRule="auto"/>
        <w:rPr>
          <w:rFonts w:ascii="Calibri" w:hAnsi="Calibri"/>
        </w:rPr>
      </w:pPr>
    </w:p>
    <w:p w:rsidR="00AC38C2" w:rsidRDefault="004D189E">
      <w:pPr>
        <w:spacing w:before="240" w:after="160" w:line="259" w:lineRule="auto"/>
        <w:rPr>
          <w:rFonts w:ascii="Calibri" w:hAnsi="Calibri"/>
        </w:rPr>
      </w:pPr>
      <w:r>
        <w:rPr>
          <w:rFonts w:ascii="Calibri" w:eastAsia="Arial Unicode MS" w:hAnsi="Calibri" w:cs="Arial Unicode MS"/>
        </w:rPr>
        <w:t>ასევე შესაძლებელია საჩივრის ელექტრონული დოკუმენტის სახით შეტანა უცხოელთა სამსახურის უფროსის ელექტრონული ფოსტის მეშვეობით (კანონი ადმინისტრაციულ სასამართლოებში წარმოების შესახებ კანონის 54-ე მუხლის 1 ა). თუ საჩივარი წარდგენილია ელექტრონული დოკუმენტის სახით, ის უნდა შეიცავდეს ელექტრონულ მისამართს და ხელმოწერილი იყოს მხარის ან მისი კანონიერი წარმომადგენლის ან ადვოკატის მიერ კვალიფიციური ელექტრონული ხელმოწერით, სანდო</w:t>
      </w:r>
      <w:r>
        <w:rPr>
          <w:rFonts w:ascii="Calibri" w:eastAsia="Arial Unicode MS" w:hAnsi="Calibri" w:cs="Arial Unicode MS"/>
          <w:lang w:val="ka-GE"/>
        </w:rPr>
        <w:t xml:space="preserve"> ელ. </w:t>
      </w:r>
      <w:r>
        <w:rPr>
          <w:rFonts w:ascii="Calibri" w:eastAsia="Arial Unicode MS" w:hAnsi="Calibri" w:cs="Arial Unicode MS"/>
        </w:rPr>
        <w:t>ხელმოწერით ან პირადი ხელმოწერით (46-ე მუხლის მე-2 ა  - კანონი ადმინისტრაციულ სასამართლოებში მიმართვის შესახებ).</w:t>
      </w:r>
    </w:p>
    <w:p w:rsidR="00AC38C2" w:rsidRDefault="00AC38C2">
      <w:pPr>
        <w:spacing w:before="240" w:after="160" w:line="259" w:lineRule="auto"/>
        <w:rPr>
          <w:rFonts w:ascii="Calibri" w:hAnsi="Calibri"/>
        </w:rPr>
      </w:pPr>
    </w:p>
    <w:p w:rsidR="00AC38C2" w:rsidRDefault="004D189E">
      <w:pPr>
        <w:numPr>
          <w:ilvl w:val="0"/>
          <w:numId w:val="34"/>
        </w:numPr>
        <w:spacing w:before="240" w:after="240" w:line="240" w:lineRule="auto"/>
        <w:rPr>
          <w:rFonts w:ascii="Calibri" w:hAnsi="Calibri"/>
        </w:rPr>
      </w:pPr>
      <w:r>
        <w:rPr>
          <w:rFonts w:ascii="Calibri" w:eastAsia="Arial Unicode MS" w:hAnsi="Calibri" w:cs="Arial Unicode MS"/>
        </w:rPr>
        <w:t xml:space="preserve">ეს დროებითი ბინდარობის და მუშაობის ნებართვა გაიცემა 2 წლის ვადით გადაწყვეტილების გაცემის დღიდან . ამ პერიოდში არ არის გათვალისწინებული გადაწყვეტილების მიღების დღე (კანონის მე-8 მუხლის მე-2 პუნქტი). სასამართლო ხელისუფლებას ამ საქმეში არ აქვს ვადის გაგრძელების ან შემცირების უფლება. </w:t>
      </w:r>
      <w:r>
        <w:rPr>
          <w:rFonts w:ascii="Calibri" w:eastAsia="Arial Unicode MS" w:hAnsi="Calibri" w:cs="Arial Unicode MS"/>
        </w:rPr>
        <w:tab/>
      </w:r>
    </w:p>
    <w:p w:rsidR="00AC38C2" w:rsidRDefault="00AC38C2">
      <w:pPr>
        <w:spacing w:before="240" w:after="160" w:line="259" w:lineRule="auto"/>
        <w:rPr>
          <w:rFonts w:ascii="Calibri" w:hAnsi="Calibri"/>
        </w:rPr>
      </w:pPr>
    </w:p>
    <w:p w:rsidR="00AC38C2" w:rsidRDefault="004D189E">
      <w:pPr>
        <w:numPr>
          <w:ilvl w:val="0"/>
          <w:numId w:val="35"/>
        </w:numPr>
        <w:spacing w:before="240" w:after="240" w:line="240" w:lineRule="auto"/>
      </w:pPr>
      <w:r>
        <w:rPr>
          <w:rFonts w:ascii="Calibri" w:eastAsia="Arial Unicode MS" w:hAnsi="Calibri" w:cs="Arial Unicode MS"/>
        </w:rPr>
        <w:t xml:space="preserve">უცხოელი, რომელსაც ამ გადაწყვეტილებით მინიჭებული აქვს დროებითი ბინადრობის და მუშაობის ნებართვა, </w:t>
      </w:r>
      <w:r>
        <w:rPr>
          <w:rFonts w:ascii="Calibri" w:eastAsia="Arial Unicode MS" w:hAnsi="Calibri" w:cs="Arial Unicode MS"/>
          <w:u w:val="single"/>
        </w:rPr>
        <w:t xml:space="preserve">ვალდებულია აცნობოს </w:t>
      </w:r>
      <w:r>
        <w:rPr>
          <w:rFonts w:ascii="Calibri" w:eastAsia="Arial Unicode MS" w:hAnsi="Calibri" w:cs="Arial Unicode MS"/>
          <w:u w:val="single"/>
          <w:lang w:val="ka-GE"/>
        </w:rPr>
        <w:t xml:space="preserve">პირველი ინსტანციისას </w:t>
      </w:r>
      <w:r>
        <w:rPr>
          <w:rFonts w:ascii="Calibri" w:eastAsia="Arial Unicode MS" w:hAnsi="Calibri" w:cs="Arial Unicode MS"/>
          <w:u w:val="single"/>
        </w:rPr>
        <w:t xml:space="preserve">გადაწყვეტილების </w:t>
      </w:r>
      <w:r>
        <w:rPr>
          <w:rFonts w:ascii="Calibri" w:eastAsia="Arial Unicode MS" w:hAnsi="Calibri" w:cs="Arial Unicode MS"/>
          <w:u w:val="single"/>
          <w:lang w:val="ka-GE"/>
        </w:rPr>
        <w:t>გამცემ</w:t>
      </w:r>
      <w:r>
        <w:rPr>
          <w:rFonts w:ascii="Calibri" w:eastAsia="Arial Unicode MS" w:hAnsi="Calibri" w:cs="Arial Unicode MS"/>
          <w:u w:val="single"/>
        </w:rPr>
        <w:t xml:space="preserve"> ვოევოდას ამ ნებართვის მოქმედების პერიოდში საცხოვრებელი ადგილის ნებისმიერი ცვლილების შესახებ</w:t>
      </w:r>
      <w:r>
        <w:rPr>
          <w:rFonts w:ascii="Calibri" w:eastAsia="Arial Unicode MS" w:hAnsi="Calibri" w:cs="Arial Unicode MS"/>
        </w:rPr>
        <w:t>. ვოევოდის შეტყობინება უნდა მოხდეს 15 დღის განმავლობაში. ამ ვალდებულების შეუსრულებლობის შემთხვევაში, უცხოელისთვის გაგზავნილი ყველა წერილი დაკავშირებული მის საქმესთან (მაგ. წერილი ნებართვის გაუქმების შესახებ) წინა მისამართზე მისვლისას ჩაბარებულად ჩაითვლება ( მე-9 მუხლის 21 და 22 პუნქტები).</w:t>
      </w:r>
    </w:p>
    <w:p w:rsidR="00AC38C2" w:rsidRDefault="00AC38C2">
      <w:pPr>
        <w:spacing w:before="240" w:after="160" w:line="259" w:lineRule="auto"/>
        <w:rPr>
          <w:rFonts w:ascii="Calibri" w:hAnsi="Calibri"/>
        </w:rPr>
      </w:pPr>
    </w:p>
    <w:p w:rsidR="00AC38C2" w:rsidRDefault="004D189E">
      <w:pPr>
        <w:numPr>
          <w:ilvl w:val="0"/>
          <w:numId w:val="36"/>
        </w:numPr>
        <w:spacing w:before="240" w:after="240" w:line="240" w:lineRule="auto"/>
        <w:rPr>
          <w:rFonts w:ascii="Calibri" w:hAnsi="Calibri"/>
        </w:rPr>
      </w:pPr>
      <w:r>
        <w:rPr>
          <w:rFonts w:ascii="Calibri" w:eastAsia="Arial Unicode MS" w:hAnsi="Calibri" w:cs="Arial Unicode MS"/>
          <w:b/>
        </w:rPr>
        <w:t xml:space="preserve">უცხოელი, რომელსაც ამ გადაწყვეტილებით მინიჭებული აქვს დროებითი ბინადრობისა და მუშაობის ნებართვა, </w:t>
      </w:r>
      <w:r>
        <w:rPr>
          <w:rFonts w:ascii="Calibri" w:eastAsia="Arial Unicode MS" w:hAnsi="Calibri" w:cs="Arial Unicode MS"/>
          <w:b/>
          <w:u w:val="single"/>
        </w:rPr>
        <w:t>ვალდებულია გადაწყვეტილების მიღებიდან 60 დღის ვადაში წარადგინოს მუშაობის დაწყების დამადასტურებელი მოწმობა დაწერილი სამსახურის გამცემი პირის მიერ</w:t>
      </w:r>
      <w:r>
        <w:rPr>
          <w:rFonts w:ascii="Calibri" w:hAnsi="Calibri"/>
          <w:b/>
        </w:rPr>
        <w:t>.</w:t>
      </w:r>
      <w:r>
        <w:rPr>
          <w:rFonts w:ascii="Calibri" w:hAnsi="Calibri"/>
        </w:rPr>
        <w:t xml:space="preserve"> გადაწყვეტილების მიწოდების თარიღი ვადაში არ არის გათვალისიწნებული. თუმცა, ამ პერიოდში შედის სამუშაო დღეები, ასევე კანონით დადგენილი არასამუშაო დღეები და შაბათი. თუ ვადის ბოლო დღე ემთხვევა კანონით დადგენილ უქმე დღეს ან შაბათს, ვადა იწურება მეორე დღეს, რომელიც ამავდროულად არ არის უქმე დღე ან შაბათი. ვადა შენარჩუნებულად ითვლება იმ შემთხვევაშიც თუ წერილი მიტანილი იქნა პოლონეთის  2012 წლის 23 ნოემბრის კანონის მნიშვნელობით დანიშნულ ოპერატორის საფოსტო დაწესებულებაში - საფოსტო სამართალი ( 2020 წლის კანონი, პარაგრაფი 1041 გვიან. რედ.)  ან უნივერსალური საფოსტო სერვისების მიმწოდებელი ოპერატორის ფოსტაში </w:t>
      </w:r>
      <w:r>
        <w:rPr>
          <w:rFonts w:ascii="Calibri" w:hAnsi="Calibri"/>
        </w:rPr>
        <w:lastRenderedPageBreak/>
        <w:t>ევროკავშირის სხვა წევრ ქვეყანაში, შვეიცარიის კონფედერაციაში ან ევროპის თავისუფალი ვაჭრობის ასოციაციის (EFTA) წევრ ქვეყანაში - საფოსტო კანონის მნიშვნელობით დანიშნული ოპერატორი არის Poczta Polska Spółka Akcyjna.</w:t>
      </w:r>
    </w:p>
    <w:p w:rsidR="00AC38C2" w:rsidRDefault="00AC38C2">
      <w:pPr>
        <w:spacing w:before="240" w:after="160" w:line="259" w:lineRule="auto"/>
        <w:rPr>
          <w:rFonts w:ascii="Calibri" w:hAnsi="Calibri"/>
        </w:rPr>
      </w:pPr>
    </w:p>
    <w:p w:rsidR="00AC38C2" w:rsidRDefault="004D189E">
      <w:pPr>
        <w:numPr>
          <w:ilvl w:val="0"/>
          <w:numId w:val="37"/>
        </w:numPr>
        <w:spacing w:before="240" w:after="240" w:line="240" w:lineRule="auto"/>
        <w:rPr>
          <w:rFonts w:ascii="Calibri" w:hAnsi="Calibri"/>
        </w:rPr>
      </w:pPr>
      <w:r>
        <w:rPr>
          <w:rFonts w:ascii="Calibri" w:eastAsia="Arial Unicode MS" w:hAnsi="Calibri" w:cs="Arial Unicode MS"/>
        </w:rPr>
        <w:t>მე-7 პუნქტით განსაზღვრული განაცხადის წარდგენის ვადა აღდგენას არ ექვემდებარება (სსკ 9, მე-6 მუხლი).</w:t>
      </w:r>
    </w:p>
    <w:p w:rsidR="00AC38C2" w:rsidRDefault="00AC38C2">
      <w:pPr>
        <w:spacing w:before="240" w:after="160" w:line="259" w:lineRule="auto"/>
        <w:rPr>
          <w:rFonts w:ascii="Calibri" w:hAnsi="Calibri"/>
        </w:rPr>
      </w:pPr>
    </w:p>
    <w:p w:rsidR="00AC38C2" w:rsidRDefault="004D189E">
      <w:pPr>
        <w:numPr>
          <w:ilvl w:val="0"/>
          <w:numId w:val="38"/>
        </w:numPr>
        <w:spacing w:before="240" w:after="240" w:line="240" w:lineRule="auto"/>
        <w:rPr>
          <w:rFonts w:ascii="Calibri" w:hAnsi="Calibri"/>
        </w:rPr>
      </w:pPr>
      <w:r>
        <w:rPr>
          <w:rFonts w:ascii="Calibri" w:eastAsia="Arial Unicode MS" w:hAnsi="Calibri" w:cs="Arial Unicode MS"/>
        </w:rPr>
        <w:t>დაუშვებელია მე-7 პუნქტით გათვალისწინებული დეკლარაციის განმეორებითი წარდგენა ( კოდექსის მე-9 მუხლის მე-7 ნაწილი).</w:t>
      </w:r>
    </w:p>
    <w:p w:rsidR="00AC38C2" w:rsidRDefault="00AC38C2">
      <w:pPr>
        <w:spacing w:before="240" w:after="160" w:line="259" w:lineRule="auto"/>
        <w:rPr>
          <w:rFonts w:ascii="Calibri" w:hAnsi="Calibri"/>
        </w:rPr>
      </w:pPr>
    </w:p>
    <w:p w:rsidR="00AC38C2" w:rsidRDefault="004D189E">
      <w:pPr>
        <w:numPr>
          <w:ilvl w:val="0"/>
          <w:numId w:val="39"/>
        </w:numPr>
        <w:spacing w:before="240" w:after="240" w:line="240" w:lineRule="auto"/>
      </w:pPr>
      <w:r>
        <w:rPr>
          <w:rFonts w:ascii="Calibri" w:eastAsia="Arial Unicode MS" w:hAnsi="Calibri" w:cs="Arial Unicode MS"/>
          <w:b/>
        </w:rPr>
        <w:t xml:space="preserve">მე-7 პუნქტში მითითებული დეკლარაცია წარედგინება ამ გადაწყვეტილების გამომტან ვოევოდას ( კოდექსის მე-9 მუხლის მე-4 პუნქტი). </w:t>
      </w:r>
      <w:r>
        <w:rPr>
          <w:rFonts w:ascii="Calibri" w:eastAsia="Arial Unicode MS" w:hAnsi="Calibri" w:cs="Arial Unicode MS"/>
          <w:b/>
          <w:u w:val="single"/>
        </w:rPr>
        <w:t xml:space="preserve">დეკლარაცია არ უნდა წარედგინოს უცხოელთა </w:t>
      </w:r>
      <w:r>
        <w:rPr>
          <w:rFonts w:ascii="Calibri" w:eastAsia="Arial Unicode MS" w:hAnsi="Calibri" w:cs="Arial Unicode MS"/>
          <w:b/>
          <w:u w:val="single"/>
          <w:lang w:val="ka-GE"/>
        </w:rPr>
        <w:t>საქმის დეპარტამენტის</w:t>
      </w:r>
      <w:r>
        <w:rPr>
          <w:rFonts w:ascii="Calibri" w:eastAsia="Arial Unicode MS" w:hAnsi="Calibri" w:cs="Arial Unicode MS"/>
          <w:b/>
          <w:u w:val="single"/>
        </w:rPr>
        <w:t xml:space="preserve"> უფროსს</w:t>
      </w:r>
      <w:r>
        <w:rPr>
          <w:rFonts w:ascii="Calibri" w:hAnsi="Calibri"/>
          <w:b/>
        </w:rPr>
        <w:t>.</w:t>
      </w:r>
    </w:p>
    <w:p w:rsidR="00AC38C2" w:rsidRPr="006848DD" w:rsidRDefault="00AC38C2">
      <w:pPr>
        <w:spacing w:before="240" w:after="160" w:line="259" w:lineRule="auto"/>
        <w:rPr>
          <w:rFonts w:ascii="Calibri" w:hAnsi="Calibri"/>
        </w:rPr>
      </w:pPr>
    </w:p>
    <w:p w:rsidR="00AC38C2" w:rsidRPr="006848DD" w:rsidRDefault="004D189E">
      <w:pPr>
        <w:numPr>
          <w:ilvl w:val="0"/>
          <w:numId w:val="40"/>
        </w:numPr>
        <w:spacing w:before="240" w:after="240" w:line="240" w:lineRule="auto"/>
        <w:rPr>
          <w:rFonts w:ascii="Calibri" w:hAnsi="Calibri"/>
        </w:rPr>
      </w:pPr>
      <w:r w:rsidRPr="006848DD">
        <w:rPr>
          <w:rFonts w:ascii="Calibri" w:eastAsia="Arial Unicode MS" w:hAnsi="Calibri" w:cs="Arial Unicode MS"/>
        </w:rPr>
        <w:t xml:space="preserve">მე-7 პუნქტში მითითებული განაცხადი წარდგენილი უნდა იყოს იმ ნიმუშის მიხედვით, რომელიც  დაერთვის შინაგან საქმეთა </w:t>
      </w:r>
      <w:proofErr w:type="spellStart"/>
      <w:r w:rsidRPr="006848DD">
        <w:rPr>
          <w:rFonts w:ascii="Calibri" w:eastAsia="Arial Unicode MS" w:hAnsi="Calibri" w:cs="Arial Unicode MS"/>
        </w:rPr>
        <w:t>მინისტრისა</w:t>
      </w:r>
      <w:proofErr w:type="spellEnd"/>
      <w:r w:rsidRPr="006848DD">
        <w:rPr>
          <w:rFonts w:ascii="Calibri" w:eastAsia="Arial Unicode MS" w:hAnsi="Calibri" w:cs="Arial Unicode MS"/>
        </w:rPr>
        <w:t xml:space="preserve"> </w:t>
      </w:r>
      <w:proofErr w:type="spellStart"/>
      <w:r w:rsidRPr="006848DD">
        <w:rPr>
          <w:rFonts w:ascii="Calibri" w:eastAsia="Arial Unicode MS" w:hAnsi="Calibri" w:cs="Arial Unicode MS"/>
        </w:rPr>
        <w:t>და</w:t>
      </w:r>
      <w:proofErr w:type="spellEnd"/>
      <w:r w:rsidRPr="006848DD">
        <w:rPr>
          <w:rFonts w:ascii="Calibri" w:eastAsia="Arial Unicode MS" w:hAnsi="Calibri" w:cs="Arial Unicode MS"/>
        </w:rPr>
        <w:t xml:space="preserve"> </w:t>
      </w:r>
      <w:proofErr w:type="spellStart"/>
      <w:r w:rsidRPr="006848DD">
        <w:rPr>
          <w:rFonts w:ascii="Calibri" w:eastAsia="Arial Unicode MS" w:hAnsi="Calibri" w:cs="Arial Unicode MS"/>
        </w:rPr>
        <w:t>ადმინისტრაციის</w:t>
      </w:r>
      <w:proofErr w:type="spellEnd"/>
      <w:r w:rsidRPr="006848DD">
        <w:rPr>
          <w:rFonts w:ascii="Calibri" w:eastAsia="Arial Unicode MS" w:hAnsi="Calibri" w:cs="Arial Unicode MS"/>
        </w:rPr>
        <w:t xml:space="preserve"> </w:t>
      </w:r>
      <w:proofErr w:type="spellStart"/>
      <w:r w:rsidRPr="006848DD">
        <w:rPr>
          <w:rFonts w:ascii="Calibri" w:eastAsia="Arial Unicode MS" w:hAnsi="Calibri" w:cs="Arial Unicode MS"/>
        </w:rPr>
        <w:t>მიერ</w:t>
      </w:r>
      <w:proofErr w:type="spellEnd"/>
      <w:r w:rsidRPr="006848DD">
        <w:rPr>
          <w:rFonts w:ascii="Calibri" w:eastAsia="Arial Unicode MS" w:hAnsi="Calibri" w:cs="Arial Unicode MS"/>
        </w:rPr>
        <w:t xml:space="preserve"> </w:t>
      </w:r>
      <w:proofErr w:type="spellStart"/>
      <w:r w:rsidRPr="006848DD">
        <w:rPr>
          <w:rFonts w:ascii="Calibri" w:eastAsia="Arial Unicode MS" w:hAnsi="Calibri" w:cs="Arial Unicode MS"/>
        </w:rPr>
        <w:t>გაცემულ</w:t>
      </w:r>
      <w:proofErr w:type="spellEnd"/>
      <w:r w:rsidRPr="006848DD">
        <w:rPr>
          <w:rFonts w:ascii="Calibri" w:eastAsia="Arial Unicode MS" w:hAnsi="Calibri" w:cs="Arial Unicode MS"/>
        </w:rPr>
        <w:t xml:space="preserve"> </w:t>
      </w:r>
      <w:proofErr w:type="spellStart"/>
      <w:r w:rsidRPr="006848DD">
        <w:rPr>
          <w:rFonts w:ascii="Calibri" w:eastAsia="Arial Unicode MS" w:hAnsi="Calibri" w:cs="Arial Unicode MS"/>
        </w:rPr>
        <w:t>რეგულაციას</w:t>
      </w:r>
      <w:proofErr w:type="spellEnd"/>
      <w:r w:rsidRPr="006848DD">
        <w:rPr>
          <w:rFonts w:ascii="Calibri" w:eastAsia="Arial Unicode MS" w:hAnsi="Calibri" w:cs="Arial Unicode MS"/>
        </w:rPr>
        <w:t xml:space="preserve"> .</w:t>
      </w:r>
      <w:r w:rsidR="00652B9E" w:rsidRPr="006848DD">
        <w:rPr>
          <w:rFonts w:ascii="Calibri" w:eastAsia="Arial Unicode MS" w:hAnsi="Calibri" w:cs="Arial Unicode MS"/>
        </w:rPr>
        <w:t>25</w:t>
      </w:r>
      <w:r w:rsidRPr="006848DD">
        <w:rPr>
          <w:rFonts w:ascii="Calibri" w:eastAsia="Arial Unicode MS" w:hAnsi="Calibri" w:cs="Arial Unicode MS"/>
        </w:rPr>
        <w:t xml:space="preserve"> </w:t>
      </w:r>
      <w:proofErr w:type="spellStart"/>
      <w:r w:rsidRPr="006848DD">
        <w:rPr>
          <w:rFonts w:ascii="Calibri" w:eastAsia="Arial Unicode MS" w:hAnsi="Calibri" w:cs="Arial Unicode MS"/>
        </w:rPr>
        <w:t>იანვარს</w:t>
      </w:r>
      <w:proofErr w:type="spellEnd"/>
      <w:r w:rsidRPr="006848DD">
        <w:rPr>
          <w:rFonts w:ascii="Calibri" w:eastAsia="Arial Unicode MS" w:hAnsi="Calibri" w:cs="Arial Unicode MS"/>
        </w:rPr>
        <w:t xml:space="preserve"> 2022 </w:t>
      </w:r>
      <w:proofErr w:type="spellStart"/>
      <w:r w:rsidRPr="006848DD">
        <w:rPr>
          <w:rFonts w:ascii="Calibri" w:eastAsia="Arial Unicode MS" w:hAnsi="Calibri" w:cs="Arial Unicode MS"/>
        </w:rPr>
        <w:t>წელს</w:t>
      </w:r>
      <w:proofErr w:type="spellEnd"/>
      <w:r w:rsidRPr="006848DD">
        <w:rPr>
          <w:rFonts w:ascii="Calibri" w:eastAsia="Arial Unicode MS" w:hAnsi="Calibri" w:cs="Arial Unicode MS"/>
        </w:rPr>
        <w:t xml:space="preserve">. ნიმუში ეხება უცხოელისთვის სამსახურის გაცემის განაცხადს (კოდ. </w:t>
      </w:r>
      <w:proofErr w:type="spellStart"/>
      <w:r w:rsidRPr="006848DD">
        <w:rPr>
          <w:rFonts w:ascii="Calibri" w:eastAsia="Arial Unicode MS" w:hAnsi="Calibri" w:cs="Arial Unicode MS"/>
        </w:rPr>
        <w:t>პუნქტი</w:t>
      </w:r>
      <w:proofErr w:type="spellEnd"/>
      <w:r w:rsidRPr="006848DD">
        <w:rPr>
          <w:rFonts w:ascii="Calibri" w:eastAsia="Arial Unicode MS" w:hAnsi="Calibri" w:cs="Arial Unicode MS"/>
        </w:rPr>
        <w:t xml:space="preserve">  </w:t>
      </w:r>
      <w:r w:rsidR="00652B9E" w:rsidRPr="006848DD">
        <w:rPr>
          <w:rFonts w:ascii="Calibri" w:eastAsia="Arial Unicode MS" w:hAnsi="Calibri" w:cs="Arial Unicode MS"/>
        </w:rPr>
        <w:t>193</w:t>
      </w:r>
      <w:r w:rsidRPr="006848DD">
        <w:rPr>
          <w:rFonts w:ascii="Calibri" w:eastAsia="Arial Unicode MS" w:hAnsi="Calibri" w:cs="Arial Unicode MS"/>
        </w:rPr>
        <w:t>).</w:t>
      </w:r>
      <w:proofErr w:type="spellStart"/>
      <w:r w:rsidRPr="006848DD">
        <w:rPr>
          <w:rFonts w:ascii="Calibri" w:eastAsia="Arial Unicode MS" w:hAnsi="Calibri" w:cs="Arial Unicode MS"/>
        </w:rPr>
        <w:t>დეკლარაციის</w:t>
      </w:r>
      <w:proofErr w:type="spellEnd"/>
      <w:r w:rsidRPr="006848DD">
        <w:rPr>
          <w:rFonts w:ascii="Calibri" w:eastAsia="Arial Unicode MS" w:hAnsi="Calibri" w:cs="Arial Unicode MS"/>
        </w:rPr>
        <w:t xml:space="preserve"> </w:t>
      </w:r>
      <w:proofErr w:type="spellStart"/>
      <w:r w:rsidRPr="006848DD">
        <w:rPr>
          <w:rFonts w:ascii="Calibri" w:eastAsia="Arial Unicode MS" w:hAnsi="Calibri" w:cs="Arial Unicode MS"/>
        </w:rPr>
        <w:t>ფორმის</w:t>
      </w:r>
      <w:proofErr w:type="spellEnd"/>
      <w:r w:rsidRPr="006848DD">
        <w:rPr>
          <w:rFonts w:ascii="Calibri" w:eastAsia="Arial Unicode MS" w:hAnsi="Calibri" w:cs="Arial Unicode MS"/>
        </w:rPr>
        <w:t xml:space="preserve"> </w:t>
      </w:r>
      <w:proofErr w:type="spellStart"/>
      <w:r w:rsidRPr="006848DD">
        <w:rPr>
          <w:rFonts w:ascii="Calibri" w:eastAsia="Arial Unicode MS" w:hAnsi="Calibri" w:cs="Arial Unicode MS"/>
        </w:rPr>
        <w:t>ნიმუში</w:t>
      </w:r>
      <w:proofErr w:type="spellEnd"/>
      <w:r w:rsidRPr="006848DD">
        <w:rPr>
          <w:rFonts w:ascii="Calibri" w:eastAsia="Arial Unicode MS" w:hAnsi="Calibri" w:cs="Arial Unicode MS"/>
        </w:rPr>
        <w:t xml:space="preserve"> </w:t>
      </w:r>
      <w:proofErr w:type="spellStart"/>
      <w:r w:rsidRPr="006848DD">
        <w:rPr>
          <w:rFonts w:ascii="Calibri" w:eastAsia="Arial Unicode MS" w:hAnsi="Calibri" w:cs="Arial Unicode MS"/>
        </w:rPr>
        <w:t>ხელმისაწვდომია</w:t>
      </w:r>
      <w:proofErr w:type="spellEnd"/>
      <w:r w:rsidRPr="006848DD">
        <w:rPr>
          <w:rFonts w:ascii="Calibri" w:eastAsia="Arial Unicode MS" w:hAnsi="Calibri" w:cs="Arial Unicode MS"/>
        </w:rPr>
        <w:t xml:space="preserve"> </w:t>
      </w:r>
      <w:proofErr w:type="spellStart"/>
      <w:r w:rsidRPr="006848DD">
        <w:rPr>
          <w:rFonts w:ascii="Calibri" w:eastAsia="Arial Unicode MS" w:hAnsi="Calibri" w:cs="Arial Unicode MS"/>
        </w:rPr>
        <w:t>უცხოელთა</w:t>
      </w:r>
      <w:proofErr w:type="spellEnd"/>
      <w:r w:rsidRPr="006848DD">
        <w:rPr>
          <w:rFonts w:ascii="Calibri" w:eastAsia="Arial Unicode MS" w:hAnsi="Calibri" w:cs="Arial Unicode MS"/>
        </w:rPr>
        <w:t xml:space="preserve"> ოფისის ვებგვერდზე: https://www.gov.pl/udsc.</w:t>
      </w:r>
    </w:p>
    <w:p w:rsidR="00AC38C2" w:rsidRDefault="00AC38C2">
      <w:pPr>
        <w:spacing w:before="240" w:after="160" w:line="259" w:lineRule="auto"/>
        <w:rPr>
          <w:rFonts w:ascii="Calibri" w:hAnsi="Calibri"/>
        </w:rPr>
      </w:pPr>
    </w:p>
    <w:p w:rsidR="00AC38C2" w:rsidRDefault="004D189E">
      <w:pPr>
        <w:numPr>
          <w:ilvl w:val="0"/>
          <w:numId w:val="41"/>
        </w:numPr>
        <w:spacing w:before="240" w:after="240" w:line="240" w:lineRule="auto"/>
        <w:rPr>
          <w:rFonts w:ascii="Calibri" w:hAnsi="Calibri"/>
        </w:rPr>
      </w:pPr>
      <w:r>
        <w:rPr>
          <w:rFonts w:ascii="Calibri" w:eastAsia="Arial Unicode MS" w:hAnsi="Calibri" w:cs="Arial Unicode MS"/>
        </w:rPr>
        <w:t>თუ მე-7 პუნქტში მითითებულ დეკლარაციას ხელს აწერს პირი, რომელიც მოქმედებს დამსაქმებლის  სახელით, დეკლარაციას უნდა დაერთოს ამ პირის ხელმოწერის უფლებამოსილების დამადასტურებელი დოკუმენტები (მე-9 მუხლის მე-3 ნაწილი).</w:t>
      </w:r>
    </w:p>
    <w:p w:rsidR="00AC38C2" w:rsidRDefault="00AC38C2">
      <w:pPr>
        <w:spacing w:before="240" w:after="160" w:line="259" w:lineRule="auto"/>
        <w:rPr>
          <w:rFonts w:ascii="Calibri" w:hAnsi="Calibri"/>
        </w:rPr>
      </w:pPr>
    </w:p>
    <w:p w:rsidR="00AC38C2" w:rsidRPr="00224EA4" w:rsidRDefault="004D189E" w:rsidP="00224EA4">
      <w:pPr>
        <w:numPr>
          <w:ilvl w:val="0"/>
          <w:numId w:val="42"/>
        </w:numPr>
        <w:spacing w:before="240" w:after="240" w:line="240" w:lineRule="auto"/>
        <w:rPr>
          <w:rFonts w:ascii="Calibri" w:hAnsi="Calibri"/>
        </w:rPr>
      </w:pPr>
      <w:r>
        <w:rPr>
          <w:rFonts w:ascii="Calibri" w:eastAsia="Arial Unicode MS" w:hAnsi="Calibri" w:cs="Arial Unicode MS"/>
        </w:rPr>
        <w:t>მე-7 პუნქტში მითითებული დეკლარაცია არ ექვემდებარება ფორმალური ხარვეზების მოხსნის პროცედურას, რომელიც  მითითებულია ადმინისტრაციული საპროცესო კოდექსის 64 § 2 ( მე-9 მუხლის მე-8 ნაწილი).</w:t>
      </w:r>
    </w:p>
    <w:p w:rsidR="00AC38C2" w:rsidRDefault="00AC38C2">
      <w:pPr>
        <w:spacing w:before="240" w:after="240" w:line="240" w:lineRule="auto"/>
        <w:ind w:left="720" w:hanging="360"/>
        <w:rPr>
          <w:rFonts w:ascii="Calibri" w:hAnsi="Calibri"/>
        </w:rPr>
      </w:pPr>
    </w:p>
    <w:p w:rsidR="00AC38C2" w:rsidRDefault="004D189E">
      <w:pPr>
        <w:numPr>
          <w:ilvl w:val="0"/>
          <w:numId w:val="43"/>
        </w:numPr>
        <w:spacing w:before="240" w:after="240" w:line="240" w:lineRule="auto"/>
        <w:rPr>
          <w:rFonts w:ascii="Calibri" w:hAnsi="Calibri"/>
        </w:rPr>
      </w:pPr>
      <w:r>
        <w:rPr>
          <w:rFonts w:ascii="Calibri" w:eastAsia="Arial Unicode MS" w:hAnsi="Calibri" w:cs="Arial Unicode MS"/>
        </w:rPr>
        <w:t xml:space="preserve">თუ მე-7 პუნქტში მითითებული </w:t>
      </w:r>
      <w:r>
        <w:rPr>
          <w:rFonts w:ascii="Calibri" w:eastAsia="Arial Unicode MS" w:hAnsi="Calibri" w:cs="Arial Unicode MS"/>
          <w:u w:val="single"/>
        </w:rPr>
        <w:t xml:space="preserve">დეკლარაცია </w:t>
      </w:r>
      <w:r>
        <w:rPr>
          <w:rFonts w:ascii="Calibri" w:eastAsia="Arial Unicode MS" w:hAnsi="Calibri" w:cs="Arial Unicode MS"/>
        </w:rPr>
        <w:t>არ იქნა წარდგენილი ამ გადაწყვეტილების მიღებიდა</w:t>
      </w:r>
      <w:r>
        <w:rPr>
          <w:rFonts w:ascii="Calibri" w:eastAsia="Arial Unicode MS" w:hAnsi="Calibri" w:cs="Arial Unicode MS"/>
          <w:u w:val="single"/>
        </w:rPr>
        <w:t>ნ 60 დღის ვადაში</w:t>
      </w:r>
      <w:r>
        <w:rPr>
          <w:rFonts w:ascii="Calibri" w:eastAsia="Arial Unicode MS" w:hAnsi="Calibri" w:cs="Arial Unicode MS"/>
        </w:rPr>
        <w:t>, დროებითი ბინადრობისა და მუშაობის ნებართვა კანონის შესაბამისად</w:t>
      </w:r>
      <w:r>
        <w:rPr>
          <w:rFonts w:ascii="Calibri" w:eastAsia="Arial Unicode MS" w:hAnsi="Calibri" w:cs="Arial Unicode MS"/>
          <w:u w:val="single"/>
        </w:rPr>
        <w:t xml:space="preserve"> იწურება ამ ვადის გასვლის მომდევნო დღეს</w:t>
      </w:r>
      <w:r>
        <w:rPr>
          <w:rFonts w:ascii="Calibri" w:eastAsia="Arial Unicode MS" w:hAnsi="Calibri" w:cs="Arial Unicode MS"/>
        </w:rPr>
        <w:t xml:space="preserve"> (მე-9 მუხლის მე-10 პუნქტი და მე-12 მუხლი).</w:t>
      </w:r>
      <w:r>
        <w:rPr>
          <w:rFonts w:ascii="Calibri" w:eastAsia="Arial Unicode MS" w:hAnsi="Calibri" w:cs="Arial Unicode MS"/>
        </w:rPr>
        <w:tab/>
      </w:r>
      <w:r>
        <w:rPr>
          <w:rFonts w:ascii="Calibri" w:eastAsia="Arial Unicode MS" w:hAnsi="Calibri" w:cs="Arial Unicode MS"/>
        </w:rPr>
        <w:br/>
      </w:r>
    </w:p>
    <w:p w:rsidR="00AC38C2" w:rsidRDefault="004D189E">
      <w:pPr>
        <w:numPr>
          <w:ilvl w:val="0"/>
          <w:numId w:val="44"/>
        </w:numPr>
        <w:spacing w:before="240" w:line="240" w:lineRule="auto"/>
        <w:rPr>
          <w:rFonts w:ascii="Calibri" w:hAnsi="Calibri"/>
        </w:rPr>
      </w:pPr>
      <w:r>
        <w:rPr>
          <w:rFonts w:ascii="Calibri" w:eastAsia="Arial Unicode MS" w:hAnsi="Calibri" w:cs="Arial Unicode MS"/>
        </w:rPr>
        <w:lastRenderedPageBreak/>
        <w:t>მე-5 პუნქტში აღნიშნული დეკლარაციის შედეგად უცხოელის მიერ სამუშაოს შესრულების პირობები უნდა შეესაბამებოდეს შემდეგ  მინიმალურ პირობებს:</w:t>
      </w:r>
      <w:r>
        <w:rPr>
          <w:rFonts w:ascii="Calibri" w:eastAsia="Arial Unicode MS" w:hAnsi="Calibri" w:cs="Arial Unicode MS"/>
        </w:rPr>
        <w:br/>
      </w:r>
    </w:p>
    <w:p w:rsidR="00AC38C2" w:rsidRDefault="004D189E">
      <w:pPr>
        <w:numPr>
          <w:ilvl w:val="0"/>
          <w:numId w:val="45"/>
        </w:numPr>
        <w:spacing w:line="240" w:lineRule="auto"/>
        <w:rPr>
          <w:rFonts w:ascii="Calibri" w:hAnsi="Calibri"/>
        </w:rPr>
      </w:pPr>
      <w:r>
        <w:rPr>
          <w:rFonts w:ascii="Calibri" w:eastAsia="Arial Unicode MS" w:hAnsi="Calibri" w:cs="Arial Unicode MS"/>
        </w:rPr>
        <w:t>უცხოელის მიერ მიღებული ხელფასი არ უნდა იყოს იმაზე დაბალი, ვიდრე</w:t>
      </w:r>
      <w:r w:rsidR="00BB77DB">
        <w:rPr>
          <w:rFonts w:ascii="Calibri" w:eastAsia="Arial Unicode MS" w:hAnsi="Calibri" w:cs="Arial Unicode MS"/>
        </w:rPr>
        <w:t xml:space="preserve"> 200</w:t>
      </w:r>
      <w:bookmarkStart w:id="0" w:name="_GoBack"/>
      <w:bookmarkEnd w:id="0"/>
      <w:r>
        <w:rPr>
          <w:rFonts w:ascii="Calibri" w:eastAsia="Arial Unicode MS" w:hAnsi="Calibri" w:cs="Arial Unicode MS"/>
        </w:rPr>
        <w:t xml:space="preserve">2 წლის 10 ოქტომბრის კანონის მე-2 მუხლის შესაბამისად დადგენილი  საარსებო მინიმუმი (ძ. კოდ. 2020, პუნქტი 2207) მიუხედავად სამუშაო დროის ოდენობისა და სამართლებრივი ურთიერთობების ტიპისა, რომელიც უდევს საფუძვლად  უცხოელის სამუშაოს შესრულებას; </w:t>
      </w:r>
      <w:r>
        <w:rPr>
          <w:rFonts w:ascii="Calibri" w:eastAsia="Arial Unicode MS" w:hAnsi="Calibri" w:cs="Arial Unicode MS"/>
        </w:rPr>
        <w:br/>
        <w:t xml:space="preserve"> </w:t>
      </w:r>
      <w:r>
        <w:rPr>
          <w:rFonts w:ascii="Calibri" w:eastAsia="Arial Unicode MS" w:hAnsi="Calibri" w:cs="Arial Unicode MS"/>
        </w:rPr>
        <w:tab/>
      </w:r>
    </w:p>
    <w:p w:rsidR="00AC38C2" w:rsidRDefault="004D189E">
      <w:pPr>
        <w:numPr>
          <w:ilvl w:val="0"/>
          <w:numId w:val="26"/>
        </w:numPr>
        <w:spacing w:after="240" w:line="240" w:lineRule="auto"/>
        <w:rPr>
          <w:rFonts w:ascii="Calibri" w:hAnsi="Calibri"/>
        </w:rPr>
      </w:pPr>
      <w:r>
        <w:rPr>
          <w:rFonts w:ascii="Calibri" w:eastAsia="Arial Unicode MS" w:hAnsi="Calibri" w:cs="Arial Unicode MS"/>
        </w:rPr>
        <w:t>უცხოელის მიერ შესრულებული სამუშაო უნდა იყოს მისი სამსახურის შესაბამისი ან გათვალისწინებული მის ხელშეკრულებაში (კოდექსის მე-9 მუხლის 1-ლი პუნქტები და მე-2 მუხლი).</w:t>
      </w:r>
    </w:p>
    <w:p w:rsidR="00AC38C2" w:rsidRDefault="00AC38C2">
      <w:pPr>
        <w:spacing w:before="240" w:after="160" w:line="259" w:lineRule="auto"/>
        <w:rPr>
          <w:rFonts w:ascii="Calibri" w:hAnsi="Calibri"/>
        </w:rPr>
      </w:pPr>
    </w:p>
    <w:p w:rsidR="00AC38C2" w:rsidRDefault="004D189E">
      <w:pPr>
        <w:spacing w:before="240" w:after="160" w:line="259" w:lineRule="auto"/>
        <w:rPr>
          <w:rFonts w:ascii="Calibri" w:hAnsi="Calibri"/>
        </w:rPr>
      </w:pPr>
      <w:r>
        <w:rPr>
          <w:rFonts w:ascii="Calibri" w:eastAsia="Arial Unicode MS" w:hAnsi="Calibri" w:cs="Arial Unicode MS"/>
        </w:rPr>
        <w:t>2022 წელს მუშაობის საარსებო მინიმუმი 3,010 ზლოტია 2021 წლის 14 სექტემბრის მინისტრთა საბჭოს დადგენილების 1-ლი ნაწილის შესაბამისად სამუშაოსთვის საარსებო მინიმუმის ოდენობისა და 2022 წელს საარსებო საათობრივი განაკვეთის ოდენობის შესახებ (სსკ 1690).</w:t>
      </w:r>
    </w:p>
    <w:p w:rsidR="00AC38C2" w:rsidRDefault="00AC38C2">
      <w:pPr>
        <w:spacing w:before="240" w:after="160" w:line="259" w:lineRule="auto"/>
        <w:rPr>
          <w:rFonts w:ascii="Calibri" w:hAnsi="Calibri"/>
        </w:rPr>
      </w:pPr>
    </w:p>
    <w:p w:rsidR="00AC38C2" w:rsidRDefault="004D189E">
      <w:pPr>
        <w:numPr>
          <w:ilvl w:val="0"/>
          <w:numId w:val="46"/>
        </w:numPr>
        <w:spacing w:before="240" w:after="240" w:line="240" w:lineRule="auto"/>
        <w:rPr>
          <w:rFonts w:ascii="Calibri" w:hAnsi="Calibri"/>
        </w:rPr>
      </w:pPr>
      <w:r>
        <w:rPr>
          <w:rFonts w:ascii="Calibri" w:eastAsia="Arial Unicode MS" w:hAnsi="Calibri" w:cs="Arial Unicode MS"/>
        </w:rPr>
        <w:t xml:space="preserve">თუ მე-7 პუნქტში მითითებული დეკლარაციის შედეგად მიღებული უცხოელის მიერ სამუშაოს პირობები არ შეესაბამება ზემოაღნიშნულ მინიმალურ პირობებს, ამ გადაწყვეტილებით მინიჭებული დროებითი ბინადრობის და მუშაობის ნებართვა იწურება კანონის შესაბამისად, ხოლო ვოევოდა, რომელმაც მიიღო ეს გადაწყვეტილება პირველ ინსტანციაში ვალდებული იქნება    გამოსცეს გადაწყვეტილება რომელიც მოისაზრებს ნებართვის მოქმედების ვადის გასვლას </w:t>
      </w:r>
      <w:r>
        <w:rPr>
          <w:rFonts w:ascii="Calibri" w:eastAsia="Arial Unicode MS" w:hAnsi="Calibri" w:cs="Arial Unicode MS"/>
          <w:u w:val="single"/>
        </w:rPr>
        <w:t>და მიუთითებს მისი ვადის გასვლის თარიღის</w:t>
      </w:r>
      <w:r>
        <w:rPr>
          <w:rFonts w:ascii="Calibri" w:eastAsia="Arial Unicode MS" w:hAnsi="Calibri" w:cs="Arial Unicode MS"/>
        </w:rPr>
        <w:t xml:space="preserve"> ( მე-9 მუხლის მე-10 ნაწილი  მე-2 პუნქტი, მე-11 და მე-12 მუხლები).</w:t>
      </w:r>
    </w:p>
    <w:p w:rsidR="00AC38C2" w:rsidRDefault="00AC38C2">
      <w:pPr>
        <w:spacing w:before="240" w:after="160" w:line="259" w:lineRule="auto"/>
        <w:rPr>
          <w:rFonts w:ascii="Calibri" w:hAnsi="Calibri"/>
        </w:rPr>
      </w:pPr>
    </w:p>
    <w:p w:rsidR="00AC38C2" w:rsidRDefault="004D189E">
      <w:pPr>
        <w:numPr>
          <w:ilvl w:val="0"/>
          <w:numId w:val="47"/>
        </w:numPr>
        <w:spacing w:before="240" w:after="240" w:line="240" w:lineRule="auto"/>
        <w:rPr>
          <w:rFonts w:ascii="Calibri" w:hAnsi="Calibri"/>
        </w:rPr>
      </w:pPr>
      <w:r>
        <w:rPr>
          <w:rFonts w:ascii="Calibri" w:eastAsia="Arial Unicode MS" w:hAnsi="Calibri" w:cs="Arial Unicode MS"/>
        </w:rPr>
        <w:t>თუ დროებითი ბინადრობისა და მუშაობის ნებართვა იწურება კანონის შესაბამისად (პუნქტი 1</w:t>
      </w:r>
      <w:r w:rsidR="00224EA4">
        <w:rPr>
          <w:rFonts w:ascii="Calibri" w:eastAsia="Arial Unicode MS" w:hAnsi="Calibri" w:cs="Arial Unicode MS"/>
        </w:rPr>
        <w:t>4</w:t>
      </w:r>
      <w:r>
        <w:rPr>
          <w:rFonts w:ascii="Calibri" w:eastAsia="Arial Unicode MS" w:hAnsi="Calibri" w:cs="Arial Unicode MS"/>
        </w:rPr>
        <w:t xml:space="preserve"> ან 16) და უცხოელს არ აქვს მოქმედი დოკუმენტი, რომელიც მას პოლონეთის რესპუბლიკის ტერიტორიაზე დარჩენის უფლებას აძლევს, ან კანონიდან არ გამომდინარეობს , რომ მისი ამ ტერიტორიაზე ყოფნა ითვლება ლეგალურად, უცხოელს აქვს  30-დღიანი პერიოდი პოლონეთის რესპუბლიკის ტერიტორიიდან გასვლისთვის, რაც მითითებულია  299 მუხლის 6 ნაწილის 1 პუნქტში  უცხოელთა შესახებ 2013 წლის 12 დეკემბრის კანონი (2021 წლის კანონთა კოდექსი, პუნქტი 2354, შესწორებული) ( მე-9 მუხლის 13 პუნქტი).</w:t>
      </w:r>
    </w:p>
    <w:p w:rsidR="00AC38C2" w:rsidRDefault="00AC38C2">
      <w:pPr>
        <w:spacing w:before="240" w:after="240" w:line="240" w:lineRule="auto"/>
        <w:ind w:left="720" w:hanging="360"/>
        <w:rPr>
          <w:rFonts w:ascii="Calibri" w:hAnsi="Calibri"/>
        </w:rPr>
      </w:pPr>
    </w:p>
    <w:p w:rsidR="00AC38C2" w:rsidRDefault="004D189E">
      <w:pPr>
        <w:numPr>
          <w:ilvl w:val="0"/>
          <w:numId w:val="48"/>
        </w:numPr>
        <w:spacing w:before="240" w:after="240" w:line="240" w:lineRule="auto"/>
        <w:rPr>
          <w:rFonts w:ascii="Calibri" w:hAnsi="Calibri"/>
        </w:rPr>
      </w:pPr>
      <w:r>
        <w:rPr>
          <w:rFonts w:ascii="Calibri" w:eastAsia="Arial Unicode MS" w:hAnsi="Calibri" w:cs="Arial Unicode MS"/>
        </w:rPr>
        <w:t xml:space="preserve">თუ დროებითი ბინადრობის და მუშაობის ნებართვას კანონით არ ვადა არ გასდის, ვოევოდა, რომელმაც ეს გადაწყვეტილება მიიღო, გასცემს პირველ ბარათს იმ ვადით, რა ვადითაც გაიცა ნებართვა (კანონის მე-9 მუხლი, მე-14 პუნქტი). თუ გადაწყვეტილების დოკუმენტი იქნა გაცემული რეგიონალურ ოფისში პირადად არ ყოფნისას , პირველი ბინადრობის მოწმობა გაიცემა იმ პირობით, რომ უცხოელი ჩააბარებს თითის </w:t>
      </w:r>
      <w:r>
        <w:rPr>
          <w:rFonts w:ascii="Calibri" w:eastAsia="Arial Unicode MS" w:hAnsi="Calibri" w:cs="Arial Unicode MS"/>
        </w:rPr>
        <w:lastRenderedPageBreak/>
        <w:t>ანაბეჭდებს , თუ გარკვეული რეგულაციები არ ათავისუფლებს მას ამ მოთხოვნისგან (მუხლი 8, პუნქტი 15 სსკ).</w:t>
      </w:r>
    </w:p>
    <w:p w:rsidR="00AC38C2" w:rsidRDefault="00AC38C2">
      <w:pPr>
        <w:spacing w:before="240" w:after="160" w:line="259" w:lineRule="auto"/>
        <w:rPr>
          <w:rFonts w:ascii="Calibri" w:hAnsi="Calibri"/>
        </w:rPr>
      </w:pPr>
    </w:p>
    <w:p w:rsidR="00AC38C2" w:rsidRDefault="004D189E">
      <w:pPr>
        <w:numPr>
          <w:ilvl w:val="0"/>
          <w:numId w:val="49"/>
        </w:numPr>
        <w:spacing w:before="240" w:line="240" w:lineRule="auto"/>
        <w:rPr>
          <w:rFonts w:ascii="Calibri" w:hAnsi="Calibri"/>
        </w:rPr>
      </w:pPr>
      <w:r>
        <w:rPr>
          <w:rFonts w:ascii="Calibri" w:eastAsia="Arial Unicode MS" w:hAnsi="Calibri" w:cs="Arial Unicode MS"/>
        </w:rPr>
        <w:t>თუ მე-7 პუნქტში მითითებული დეკლარაცია წარდგენილი იქნება ამ გადაწყვეტილების მიღებიდან 60 დღის ვადაში და უცხოელის მიერ სამუშაოს შესრულების შედეგად მიღებული პირობები შეესაბამება მე-1</w:t>
      </w:r>
      <w:r w:rsidR="00224EA4">
        <w:rPr>
          <w:rFonts w:ascii="Calibri" w:eastAsia="Arial Unicode MS" w:hAnsi="Calibri" w:cs="Arial Unicode MS"/>
        </w:rPr>
        <w:t>5</w:t>
      </w:r>
      <w:r>
        <w:rPr>
          <w:rFonts w:ascii="Calibri" w:eastAsia="Arial Unicode MS" w:hAnsi="Calibri" w:cs="Arial Unicode MS"/>
        </w:rPr>
        <w:t xml:space="preserve"> პუნქტში მითითებულ მინიმალურ პირობებს, გამომცემელი ვოევოდა ამ გადაწყვეტილებას ათავსებს ქვემოხსენებულ მუხლში,  428 კანონი 1, მუხლის 2 პუნქტი,  2013 წლის 12 დეკემბრის კანონი უცხოელების შესახებ, მითითებულ დროებით ბინადრობის ნებართვებთან დაკავშირებულ საქმეების რეესტრში ინფორმაციას იმ სუბიექტის შესახებ, რომელიც ანდობს სამუშაოს შესრულებას და მუშაობის შემდგომ პირობებს:</w:t>
      </w:r>
      <w:r>
        <w:rPr>
          <w:rFonts w:ascii="Calibri" w:eastAsia="Arial Unicode MS" w:hAnsi="Calibri" w:cs="Arial Unicode MS"/>
        </w:rPr>
        <w:br/>
      </w:r>
    </w:p>
    <w:p w:rsidR="00AC38C2" w:rsidRDefault="004D189E">
      <w:pPr>
        <w:numPr>
          <w:ilvl w:val="0"/>
          <w:numId w:val="50"/>
        </w:numPr>
        <w:spacing w:after="240" w:line="240" w:lineRule="auto"/>
        <w:rPr>
          <w:rFonts w:ascii="Calibri" w:hAnsi="Calibri"/>
        </w:rPr>
      </w:pPr>
      <w:r>
        <w:rPr>
          <w:rFonts w:ascii="Calibri" w:eastAsia="Arial Unicode MS" w:hAnsi="Calibri" w:cs="Arial Unicode MS"/>
        </w:rPr>
        <w:t>პოზიციის შესახებ, რომელზეც უცხოელმა უნდა შეასრულოს სამუშაო ან აღნიშნული სამუშაოს სახეობის შესახებ;</w:t>
      </w:r>
    </w:p>
    <w:p w:rsidR="00AC38C2" w:rsidRDefault="004D189E">
      <w:pPr>
        <w:numPr>
          <w:ilvl w:val="0"/>
          <w:numId w:val="17"/>
        </w:numPr>
        <w:spacing w:before="240" w:after="240" w:line="240" w:lineRule="auto"/>
        <w:rPr>
          <w:rFonts w:ascii="Calibri" w:hAnsi="Calibri"/>
        </w:rPr>
      </w:pPr>
      <w:r>
        <w:rPr>
          <w:rFonts w:ascii="Calibri" w:eastAsia="Arial Unicode MS" w:hAnsi="Calibri" w:cs="Arial Unicode MS"/>
        </w:rPr>
        <w:t>მინიმალური ანაზღაურება, რომელიც შეიძლება მიიღოს უცხოელმა მოცემულ თანამდებობაზე;</w:t>
      </w:r>
    </w:p>
    <w:p w:rsidR="00AC38C2" w:rsidRDefault="004D189E">
      <w:pPr>
        <w:numPr>
          <w:ilvl w:val="0"/>
          <w:numId w:val="17"/>
        </w:numPr>
        <w:spacing w:before="240" w:line="240" w:lineRule="auto"/>
        <w:rPr>
          <w:rFonts w:ascii="Calibri" w:hAnsi="Calibri"/>
        </w:rPr>
      </w:pPr>
      <w:r>
        <w:rPr>
          <w:rFonts w:ascii="Calibri" w:eastAsia="Arial Unicode MS" w:hAnsi="Calibri" w:cs="Arial Unicode MS"/>
        </w:rPr>
        <w:t xml:space="preserve">სამუშაო დრო; </w:t>
      </w:r>
      <w:r>
        <w:rPr>
          <w:rFonts w:ascii="Calibri" w:eastAsia="Arial Unicode MS" w:hAnsi="Calibri" w:cs="Arial Unicode MS"/>
        </w:rPr>
        <w:br/>
        <w:t xml:space="preserve"> </w:t>
      </w:r>
      <w:r>
        <w:rPr>
          <w:rFonts w:ascii="Calibri" w:eastAsia="Arial Unicode MS" w:hAnsi="Calibri" w:cs="Arial Unicode MS"/>
        </w:rPr>
        <w:tab/>
      </w:r>
    </w:p>
    <w:p w:rsidR="00AC38C2" w:rsidRDefault="004D189E">
      <w:pPr>
        <w:numPr>
          <w:ilvl w:val="0"/>
          <w:numId w:val="17"/>
        </w:numPr>
        <w:spacing w:after="240" w:line="240" w:lineRule="auto"/>
        <w:rPr>
          <w:rFonts w:ascii="Calibri" w:hAnsi="Calibri"/>
        </w:rPr>
      </w:pPr>
      <w:r>
        <w:rPr>
          <w:rFonts w:ascii="Calibri" w:eastAsia="Arial Unicode MS" w:hAnsi="Calibri" w:cs="Arial Unicode MS"/>
        </w:rPr>
        <w:t>ხელშეკრულების სახეობა, რომლითაც უცხოელმა უნდა შეასრულოს სამუშაო (კანონის მე-9 მუხლის მე-16 ნაწილი).</w:t>
      </w:r>
      <w:r>
        <w:rPr>
          <w:rFonts w:ascii="Calibri" w:eastAsia="Arial Unicode MS" w:hAnsi="Calibri" w:cs="Arial Unicode MS"/>
        </w:rPr>
        <w:br/>
      </w:r>
    </w:p>
    <w:p w:rsidR="00AC38C2" w:rsidRDefault="004D189E">
      <w:pPr>
        <w:spacing w:before="240" w:after="240" w:line="240" w:lineRule="auto"/>
        <w:ind w:left="720"/>
        <w:rPr>
          <w:rFonts w:ascii="Calibri" w:hAnsi="Calibri"/>
        </w:rPr>
      </w:pPr>
      <w:r>
        <w:rPr>
          <w:rFonts w:ascii="Calibri" w:eastAsia="Arial Unicode MS" w:hAnsi="Calibri" w:cs="Arial Unicode MS"/>
        </w:rPr>
        <w:t>ეს რეესტრი არის უცხოელთა საქმეების რეესტრების, ჩანაწერებისა და სიების ეროვნული ნაკრების ნაწილი, რომელიც ინახება ICT სისტემაში.</w:t>
      </w:r>
    </w:p>
    <w:p w:rsidR="00AC38C2" w:rsidRDefault="00AC38C2">
      <w:pPr>
        <w:spacing w:before="240" w:after="160" w:line="259" w:lineRule="auto"/>
        <w:rPr>
          <w:rFonts w:ascii="Calibri" w:hAnsi="Calibri"/>
        </w:rPr>
      </w:pPr>
    </w:p>
    <w:p w:rsidR="00AC38C2" w:rsidRPr="00885D95" w:rsidRDefault="004D189E" w:rsidP="00885D95">
      <w:pPr>
        <w:numPr>
          <w:ilvl w:val="0"/>
          <w:numId w:val="51"/>
        </w:numPr>
        <w:spacing w:before="240" w:after="240" w:line="240" w:lineRule="auto"/>
        <w:rPr>
          <w:rFonts w:ascii="Calibri" w:hAnsi="Calibri"/>
        </w:rPr>
      </w:pPr>
      <w:r>
        <w:rPr>
          <w:rFonts w:ascii="Calibri" w:eastAsia="Arial Unicode MS" w:hAnsi="Calibri" w:cs="Arial Unicode MS"/>
        </w:rPr>
        <w:t xml:space="preserve">იმ შემთხვევაში, თუ უცხოელი აპირებს სამუშაოს შესრულებას ერთზე მეტი პირისთვის, რომელიც ანდობს, მან უნდა წარადგინოს ამ პირების განცხადებები </w:t>
      </w:r>
      <w:r>
        <w:rPr>
          <w:rFonts w:ascii="Calibri" w:eastAsia="Arial Unicode MS" w:hAnsi="Calibri" w:cs="Arial Unicode MS"/>
          <w:u w:val="single"/>
        </w:rPr>
        <w:t xml:space="preserve">ერთდროულად </w:t>
      </w:r>
      <w:r>
        <w:rPr>
          <w:rFonts w:ascii="Calibri" w:eastAsia="Arial Unicode MS" w:hAnsi="Calibri" w:cs="Arial Unicode MS"/>
        </w:rPr>
        <w:t>ამ გადაწყვეტილების დოკუმენტის მიღების დღიდან 60 დღის ვადაში. ამ შემთხვევაში,  პირობა მიღებულ ანაზღაურების ოდენობასთან დაკავშირებით შესრულდება, როდესაც სამუშაოს ანაზღაურების ჯამი ცალკეული სუბიექტებისთვის,, არ იქნება დაბალი, სამუშაოს მინიმალურ ანაზღაურებაზე, რომელიც განსაზღვრულია 2002 წლის 10 ოქტომბრის სსსკ  2 ნაწილში სამუშაოს მინიმალური ანაზღაურების შესახებ (სსკ 9 მუხლი 15 ). ამ შემთხვევაში, დროებითი ბინადრობის ნებართვასთან დაკავშირებულ საკითხთა რეესტრში, რომელიც მითითებულია,  სსკ 428  1, მუხლის 2 პუნქტი,  2013 წლის 12 დეკემბრის კანონი უცხოელების შესახებ ,განთავსდება ინფორმაცია ცალკეულ სუბიექტებზე და მათთვის სამუშაოს შესრულების პირობებზე (სსკ 9 მუხლი 17).</w:t>
      </w:r>
      <w:r>
        <w:rPr>
          <w:rFonts w:ascii="Calibri" w:eastAsia="Arial Unicode MS" w:hAnsi="Calibri" w:cs="Arial Unicode MS"/>
        </w:rPr>
        <w:br/>
      </w:r>
      <w:r>
        <w:rPr>
          <w:rFonts w:ascii="Calibri" w:eastAsia="Arial Unicode MS" w:hAnsi="Calibri" w:cs="Arial Unicode MS"/>
        </w:rPr>
        <w:br/>
      </w:r>
    </w:p>
    <w:p w:rsidR="00AC38C2" w:rsidRDefault="004D189E">
      <w:pPr>
        <w:numPr>
          <w:ilvl w:val="0"/>
          <w:numId w:val="52"/>
        </w:numPr>
        <w:spacing w:before="240" w:after="240" w:line="240" w:lineRule="auto"/>
        <w:rPr>
          <w:rFonts w:ascii="Calibri" w:hAnsi="Calibri"/>
        </w:rPr>
      </w:pPr>
      <w:r>
        <w:rPr>
          <w:rFonts w:ascii="Calibri" w:eastAsia="Arial Unicode MS" w:hAnsi="Calibri" w:cs="Arial Unicode MS"/>
        </w:rPr>
        <w:t xml:space="preserve">თუ უცხოელს სურს შეცვალოს დამსაქმებელი,  ან სამუშაო პირობები, რომელიც შეტანილია ხელოვნებაში მითითებული დროებითი ბინადრობის ნებართვებთან დაკავშირებულ საკითხთა რეესტრში. სსკ 428  1, მუხლის 2 პუნქტი,  2013 წლის 12 </w:t>
      </w:r>
      <w:r>
        <w:rPr>
          <w:rFonts w:ascii="Calibri" w:eastAsia="Arial Unicode MS" w:hAnsi="Calibri" w:cs="Arial Unicode MS"/>
        </w:rPr>
        <w:lastRenderedPageBreak/>
        <w:t>დეკემბრის კანონში უცხოელების შესახებ,  მას შეეძლება მიმართოს თავისი საცხოვრებელი ადგილის კომპეტენტურ ვოევოდას დროებითი ბინადრობისა და სამუშაო ნებართვის  შეცვლის შესახებ განცხადებით ( მე-9 მუხლის 18პუნქტი). ამასთანავე, დამსაქმებელს შეეძლება მიიღოს მუშაობის ნებართვა უცხოელისთვის,  ამ შემთხვევაში დროებითი ბინადრობისა და მუშაობის ნებართვა გაუქმებას არ ექვემდებარება ( მე-10 მუხლის მე-2 ნაწილი; ინფორმაცია ნებართვის გაუქმების შესახებ - ინსტრუქციის 2</w:t>
      </w:r>
      <w:r w:rsidR="00885D95">
        <w:rPr>
          <w:rFonts w:ascii="Calibri" w:eastAsia="Arial Unicode MS" w:hAnsi="Calibri" w:cs="Arial Unicode MS"/>
        </w:rPr>
        <w:t>5</w:t>
      </w:r>
      <w:r>
        <w:rPr>
          <w:rFonts w:ascii="Calibri" w:eastAsia="Arial Unicode MS" w:hAnsi="Calibri" w:cs="Arial Unicode MS"/>
        </w:rPr>
        <w:t>-ე პუნქტი).</w:t>
      </w:r>
    </w:p>
    <w:p w:rsidR="00AC38C2" w:rsidRDefault="00AC38C2">
      <w:pPr>
        <w:spacing w:before="240" w:after="160" w:line="259" w:lineRule="auto"/>
        <w:rPr>
          <w:rFonts w:ascii="Calibri" w:hAnsi="Calibri"/>
        </w:rPr>
      </w:pPr>
    </w:p>
    <w:p w:rsidR="00AC38C2" w:rsidRDefault="004D189E">
      <w:pPr>
        <w:numPr>
          <w:ilvl w:val="0"/>
          <w:numId w:val="53"/>
        </w:numPr>
        <w:spacing w:before="240" w:after="240" w:line="240" w:lineRule="auto"/>
        <w:rPr>
          <w:rFonts w:ascii="Calibri" w:hAnsi="Calibri"/>
        </w:rPr>
      </w:pPr>
      <w:r>
        <w:rPr>
          <w:rFonts w:ascii="Calibri" w:eastAsia="Arial Unicode MS" w:hAnsi="Calibri" w:cs="Arial Unicode MS"/>
        </w:rPr>
        <w:t>იმ შემთხვევაში, თუ ამ გადაწყვეტილების მიღების დღიდან განაცხადის შეტანის თარიღამდე უცხოელი ასრულებს სამუშაოს, ჩაითვლება ის ლეგალურ სამსახურად, იმ პირობით, თუ შესრულდება ის  დამსაქმებლის  სასარგებლოდ და იმ პირობებზე, რომლებიც მითითებული იქნება ამავე განაცხადში (კანონის მე -9 მუხლი, მე -19 პუნქტი).</w:t>
      </w:r>
    </w:p>
    <w:p w:rsidR="00AC38C2" w:rsidRDefault="00AC38C2">
      <w:pPr>
        <w:spacing w:before="240" w:after="160" w:line="259" w:lineRule="auto"/>
        <w:rPr>
          <w:rFonts w:ascii="Calibri" w:hAnsi="Calibri"/>
        </w:rPr>
      </w:pPr>
    </w:p>
    <w:p w:rsidR="00AC38C2" w:rsidRDefault="004D189E">
      <w:pPr>
        <w:numPr>
          <w:ilvl w:val="0"/>
          <w:numId w:val="54"/>
        </w:numPr>
        <w:spacing w:before="240" w:after="240" w:line="240" w:lineRule="auto"/>
        <w:rPr>
          <w:rFonts w:ascii="Calibri" w:hAnsi="Calibri"/>
        </w:rPr>
      </w:pPr>
      <w:r>
        <w:rPr>
          <w:rFonts w:ascii="Calibri" w:eastAsia="Arial Unicode MS" w:hAnsi="Calibri" w:cs="Arial Unicode MS"/>
        </w:rPr>
        <w:t>თუ უცხოელი დაკარგავს სამუშაოს მე-</w:t>
      </w:r>
      <w:r w:rsidR="00885D95">
        <w:rPr>
          <w:rFonts w:ascii="Calibri" w:eastAsia="Arial Unicode MS" w:hAnsi="Calibri" w:cs="Arial Unicode MS"/>
        </w:rPr>
        <w:t>7</w:t>
      </w:r>
      <w:r>
        <w:rPr>
          <w:rFonts w:ascii="Calibri" w:eastAsia="Arial Unicode MS" w:hAnsi="Calibri" w:cs="Arial Unicode MS"/>
        </w:rPr>
        <w:t xml:space="preserve"> პუნქტში მითითებულ დეკლარაციაში მითითებულ სამუშაოს მინდობილ სუბიექტთან, იგი ვალდებული იქნება 15 სამუშაო დღის ვადაში წერილობით აცნობოს ამ გადაწყვეტილების გამომტან ვოევოდას ან წარადგინოს განცხადება ცვლილების შესახებ ( მე-9 მუხლის მე-20 ნაწილი).</w:t>
      </w:r>
    </w:p>
    <w:p w:rsidR="00AC38C2" w:rsidRDefault="00AC38C2">
      <w:pPr>
        <w:spacing w:before="240" w:after="240" w:line="240" w:lineRule="auto"/>
        <w:rPr>
          <w:rFonts w:ascii="Calibri" w:hAnsi="Calibri"/>
        </w:rPr>
      </w:pPr>
    </w:p>
    <w:p w:rsidR="00AC38C2" w:rsidRDefault="004D189E">
      <w:pPr>
        <w:numPr>
          <w:ilvl w:val="0"/>
          <w:numId w:val="55"/>
        </w:numPr>
        <w:spacing w:before="240" w:after="240" w:line="240" w:lineRule="auto"/>
        <w:rPr>
          <w:rFonts w:ascii="Calibri" w:hAnsi="Calibri"/>
        </w:rPr>
      </w:pPr>
      <w:r>
        <w:rPr>
          <w:rFonts w:ascii="Calibri" w:eastAsia="Arial Unicode MS" w:hAnsi="Calibri" w:cs="Arial Unicode MS"/>
        </w:rPr>
        <w:t>თუ უცხოელი აკმაყოფილებს სამუშაო ნებართვის მიღების ვალდებულებისგან გათავისუფლების პირობებს, ვოევოდი შეიტანს დროებითი ბინადრობის ნებართვასთან დაკავშირებულ საკითხთა რეესტრში ინფორმაციას იმის შესახებ, რომ უცხოელს უფლება აქვს შეასრულოს სამუშაო, რომელიც მითითებულია დებულებაში, რაც ანთავისუფლებს მას მუშაობის ნებართვის ქონის ვალდებულებისგან ( მე-9 მუხლი 24 და 25 პუქტი).</w:t>
      </w:r>
    </w:p>
    <w:p w:rsidR="00AC38C2" w:rsidRDefault="00AC38C2">
      <w:pPr>
        <w:spacing w:before="240" w:after="160" w:line="259" w:lineRule="auto"/>
        <w:rPr>
          <w:rFonts w:ascii="Calibri" w:hAnsi="Calibri"/>
        </w:rPr>
      </w:pPr>
    </w:p>
    <w:p w:rsidR="00AC38C2" w:rsidRDefault="004D189E">
      <w:pPr>
        <w:numPr>
          <w:ilvl w:val="0"/>
          <w:numId w:val="56"/>
        </w:numPr>
        <w:spacing w:before="240" w:line="240" w:lineRule="auto"/>
        <w:rPr>
          <w:rFonts w:ascii="Calibri" w:hAnsi="Calibri"/>
        </w:rPr>
      </w:pPr>
      <w:r>
        <w:rPr>
          <w:rFonts w:ascii="Calibri" w:eastAsia="Arial Unicode MS" w:hAnsi="Calibri" w:cs="Arial Unicode MS"/>
        </w:rPr>
        <w:t>ამ გადაწყვეტილებით მინიჭებული დროებითი ბინადრობისა და მუშაობის ნებართვა გაუქმდება, თუ:</w:t>
      </w:r>
      <w:r>
        <w:rPr>
          <w:rFonts w:ascii="Calibri" w:eastAsia="Arial Unicode MS" w:hAnsi="Calibri" w:cs="Arial Unicode MS"/>
        </w:rPr>
        <w:br/>
      </w:r>
    </w:p>
    <w:p w:rsidR="00AC38C2" w:rsidRDefault="004D189E">
      <w:pPr>
        <w:numPr>
          <w:ilvl w:val="0"/>
          <w:numId w:val="57"/>
        </w:numPr>
        <w:spacing w:after="240" w:line="240" w:lineRule="auto"/>
        <w:rPr>
          <w:rFonts w:ascii="Calibri" w:hAnsi="Calibri"/>
        </w:rPr>
      </w:pPr>
      <w:r>
        <w:rPr>
          <w:rFonts w:ascii="Calibri" w:eastAsia="Arial Unicode MS" w:hAnsi="Calibri" w:cs="Arial Unicode MS"/>
        </w:rPr>
        <w:t>ყოფნის მიზანი, რომელიც იყო დროებითი ბინადრობის ნებართვის გაცემის მიზეზი, წყვეტს არსებობას,</w:t>
      </w:r>
    </w:p>
    <w:p w:rsidR="00AC38C2" w:rsidRDefault="004D189E">
      <w:pPr>
        <w:numPr>
          <w:ilvl w:val="0"/>
          <w:numId w:val="9"/>
        </w:numPr>
        <w:spacing w:before="240" w:line="240" w:lineRule="auto"/>
        <w:rPr>
          <w:rFonts w:ascii="Calibri" w:hAnsi="Calibri"/>
        </w:rPr>
      </w:pPr>
      <w:r>
        <w:rPr>
          <w:rFonts w:ascii="Calibri" w:eastAsia="Arial Unicode MS" w:hAnsi="Calibri" w:cs="Arial Unicode MS"/>
        </w:rPr>
        <w:t>უცხოელის მონაცემები შეიტანება იმ უცხოელთა სიაში, რომელთა ყოფნა პოლონეთის რესპუბლიკის ტერიტორიაზე არასასურველია,</w:t>
      </w:r>
      <w:r>
        <w:rPr>
          <w:rFonts w:ascii="Calibri" w:eastAsia="Arial Unicode MS" w:hAnsi="Calibri" w:cs="Arial Unicode MS"/>
        </w:rPr>
        <w:br/>
        <w:t xml:space="preserve"> </w:t>
      </w:r>
      <w:r>
        <w:rPr>
          <w:rFonts w:ascii="Calibri" w:eastAsia="Arial Unicode MS" w:hAnsi="Calibri" w:cs="Arial Unicode MS"/>
        </w:rPr>
        <w:tab/>
      </w:r>
    </w:p>
    <w:p w:rsidR="00AC38C2" w:rsidRDefault="004D189E">
      <w:pPr>
        <w:numPr>
          <w:ilvl w:val="0"/>
          <w:numId w:val="9"/>
        </w:numPr>
        <w:spacing w:line="240" w:lineRule="auto"/>
        <w:rPr>
          <w:rFonts w:ascii="Calibri" w:hAnsi="Calibri"/>
        </w:rPr>
      </w:pPr>
      <w:r>
        <w:rPr>
          <w:rFonts w:ascii="Calibri" w:eastAsia="Arial Unicode MS" w:hAnsi="Calibri" w:cs="Arial Unicode MS"/>
        </w:rPr>
        <w:t>ეს საჭირო იქნება სახელმწიფოს თავდაცვის ან უსაფრთხოების ან საზოგადოებრივი უსაფრთხოებისა და წესრიგის დაცვის მიზნით ან ვალდებულებების გამო, რომლებიც გამომდინარეობს რატიფიცირებული საერთაშორისო შეთანხმებების დებულებებიდან, რომლებიც სავალდებულოა პოლონეთის რესპუბლიკისთვის,</w:t>
      </w:r>
      <w:r>
        <w:rPr>
          <w:rFonts w:ascii="Calibri" w:eastAsia="Arial Unicode MS" w:hAnsi="Calibri" w:cs="Arial Unicode MS"/>
        </w:rPr>
        <w:br/>
        <w:t xml:space="preserve"> </w:t>
      </w:r>
      <w:r>
        <w:rPr>
          <w:rFonts w:ascii="Calibri" w:eastAsia="Arial Unicode MS" w:hAnsi="Calibri" w:cs="Arial Unicode MS"/>
        </w:rPr>
        <w:tab/>
      </w:r>
    </w:p>
    <w:p w:rsidR="00AC38C2" w:rsidRDefault="004D189E">
      <w:pPr>
        <w:numPr>
          <w:ilvl w:val="0"/>
          <w:numId w:val="9"/>
        </w:numPr>
        <w:spacing w:line="240" w:lineRule="auto"/>
        <w:rPr>
          <w:rFonts w:ascii="Calibri" w:hAnsi="Calibri"/>
        </w:rPr>
      </w:pPr>
      <w:r>
        <w:rPr>
          <w:rFonts w:ascii="Calibri" w:eastAsia="Arial Unicode MS" w:hAnsi="Calibri" w:cs="Arial Unicode MS"/>
        </w:rPr>
        <w:lastRenderedPageBreak/>
        <w:t>არ დაკმაყოფილდება ანაზღაურების ოდენობასთან დაკავშირებული ერთი მინიმალური პირობა მაინც, ან არ დაკმაყოფილდება სამართლებრივი პირობა რომელიც სამსახურის შესრულებას საფუძვლად უდევს,</w:t>
      </w:r>
      <w:r>
        <w:rPr>
          <w:rFonts w:ascii="Calibri" w:eastAsia="Arial Unicode MS" w:hAnsi="Calibri" w:cs="Arial Unicode MS"/>
        </w:rPr>
        <w:br/>
        <w:t xml:space="preserve"> </w:t>
      </w:r>
      <w:r>
        <w:rPr>
          <w:rFonts w:ascii="Calibri" w:eastAsia="Arial Unicode MS" w:hAnsi="Calibri" w:cs="Arial Unicode MS"/>
        </w:rPr>
        <w:tab/>
      </w:r>
    </w:p>
    <w:p w:rsidR="00AC38C2" w:rsidRDefault="004D189E">
      <w:pPr>
        <w:numPr>
          <w:ilvl w:val="0"/>
          <w:numId w:val="9"/>
        </w:numPr>
        <w:spacing w:line="240" w:lineRule="auto"/>
        <w:rPr>
          <w:rFonts w:ascii="Calibri" w:hAnsi="Calibri"/>
        </w:rPr>
      </w:pPr>
      <w:r>
        <w:rPr>
          <w:rFonts w:ascii="Calibri" w:eastAsia="Arial Unicode MS" w:hAnsi="Calibri" w:cs="Arial Unicode MS"/>
        </w:rPr>
        <w:t>უცხოელი არ შეასრულებს სამუშაოს მე-7 პუნქტში მითითებული დეკლარაციის შედეგად მიღებული და მუხლში მითითებული დროებითი ბინადრობის ნებართვის საკითხთა რეესტრში შეტანილი პირობებით. 428 მუხლი 1 პუნქტი 2 -დ.  2013 წლის 12 დეკემბრის კოდექსი უცხოელთა შესახებ,</w:t>
      </w:r>
      <w:r>
        <w:rPr>
          <w:rFonts w:ascii="Calibri" w:eastAsia="Arial Unicode MS" w:hAnsi="Calibri" w:cs="Arial Unicode MS"/>
        </w:rPr>
        <w:br/>
        <w:t xml:space="preserve"> </w:t>
      </w:r>
      <w:r>
        <w:rPr>
          <w:rFonts w:ascii="Calibri" w:eastAsia="Arial Unicode MS" w:hAnsi="Calibri" w:cs="Arial Unicode MS"/>
        </w:rPr>
        <w:tab/>
      </w:r>
    </w:p>
    <w:p w:rsidR="00AC38C2" w:rsidRDefault="004D189E">
      <w:pPr>
        <w:numPr>
          <w:ilvl w:val="0"/>
          <w:numId w:val="9"/>
        </w:numPr>
        <w:spacing w:after="240" w:line="240" w:lineRule="auto"/>
        <w:rPr>
          <w:rFonts w:ascii="Calibri" w:hAnsi="Calibri"/>
        </w:rPr>
      </w:pPr>
      <w:r>
        <w:rPr>
          <w:rFonts w:ascii="Calibri" w:eastAsia="Arial Unicode MS" w:hAnsi="Calibri" w:cs="Arial Unicode MS"/>
        </w:rPr>
        <w:t>უცხოელს არ ექნება  2004 წლის 27 აგვისტოს კანონით გათვალისწინებული ჯანმრთელობის დაზღვევა,  რომელიც დაფინანსებულია სახელმწიფო სახსრებიდან (2021 წლის კანონთა ჟურნალი, პუნქტი 1285, შესწორებული) ან დამზღვევის მიერ მკურნალობის ხარჯების დაფარვის დადასტურება პოლონეთის რესპუბლიკის ტერიტორიაზე ( მე-10 მუხლის 1-ლი ნაწილი).</w:t>
      </w:r>
      <w:r>
        <w:rPr>
          <w:rFonts w:ascii="Calibri" w:eastAsia="Arial Unicode MS" w:hAnsi="Calibri" w:cs="Arial Unicode MS"/>
        </w:rPr>
        <w:tab/>
      </w:r>
    </w:p>
    <w:p w:rsidR="00AC38C2" w:rsidRDefault="00AC38C2">
      <w:pPr>
        <w:spacing w:before="240" w:after="160" w:line="259" w:lineRule="auto"/>
        <w:rPr>
          <w:rFonts w:ascii="Calibri" w:hAnsi="Calibri"/>
        </w:rPr>
      </w:pPr>
    </w:p>
    <w:p w:rsidR="00AC38C2" w:rsidRDefault="004D189E">
      <w:pPr>
        <w:numPr>
          <w:ilvl w:val="0"/>
          <w:numId w:val="58"/>
        </w:numPr>
        <w:spacing w:before="240" w:after="240" w:line="240" w:lineRule="auto"/>
      </w:pPr>
      <w:r>
        <w:rPr>
          <w:rFonts w:ascii="Calibri" w:eastAsia="Arial Unicode MS" w:hAnsi="Calibri" w:cs="Arial Unicode MS"/>
        </w:rPr>
        <w:t>ვოევოდას, რომელიც საქმეს პირველ ინსტანციაში განაგებდა და უცხოელების დეპარტამენტის უფროსს  შეუძლიათ შეამოწმონ უცხოელის მიერ დროებითი ბინადრობისა და მუშაობის ნებართვის გამოყენების წესი, იმის შესამოწმებლად მისი ქმედებები წარმოადგენს თუ არა  მისი გაუქმების საფუძველს ( 11-ე მუხლის პირველი ნაწილი). შემოწმებას ახორციელებს სავოევოდოს აპარატის ან უცხოელთა საქმეთა დეპარტამენტის უფლებამოსილი თანამშრომელი, სახელისა და გვარის მიცემის და შემოწმების ჩატარების უფლების დამადასტურებელი დოკუმენტის წარდგენის შემდეგ ( მე-11 მუხლის მე-3 ნაწილი). კონტროლი ტარდება სავოევოდოს ოფისში ან უცხოელთა საქმეთა დეპარტამენტში უცხოელისათვის  დადგენილ ვადაში ( მე-11 მუხლის მე-4 ნაწილი). კონტროლირებადი უცხოელი ვალდებულია გამოცხადდეს პირადად გამოძახებაში მითითებულ დროსა და ადგილას და წარმოადგინოს მე-1</w:t>
      </w:r>
      <w:r w:rsidR="007E5578">
        <w:rPr>
          <w:rFonts w:ascii="Calibri" w:eastAsia="Arial Unicode MS" w:hAnsi="Calibri" w:cs="Arial Unicode MS"/>
        </w:rPr>
        <w:t>5</w:t>
      </w:r>
      <w:r>
        <w:rPr>
          <w:rFonts w:ascii="Calibri" w:eastAsia="Arial Unicode MS" w:hAnsi="Calibri" w:cs="Arial Unicode MS"/>
        </w:rPr>
        <w:t xml:space="preserve"> პუნქტში მითითებული მინიმალური პირობების შესრულების და ჯანმრთელობის დაზღვევის არსებობის დამადასტურებელი დოკუმენტები გათვალისწინებული  2004 წლის 27 აგვისტოს კოდექსით  სახელმწიფო სახსრებიდან დაფინანსებული ჯანდაცვის სერვისების შესახებ ან დადასტურება იმისა, რომ </w:t>
      </w:r>
      <w:r>
        <w:rPr>
          <w:rFonts w:ascii="Calibri" w:eastAsia="Arial Unicode MS" w:hAnsi="Calibri" w:cs="Arial Unicode MS"/>
          <w:lang w:val="ka-GE"/>
        </w:rPr>
        <w:t>დამზღვევი</w:t>
      </w:r>
      <w:r>
        <w:rPr>
          <w:rFonts w:ascii="Calibri" w:eastAsia="Arial Unicode MS" w:hAnsi="Calibri" w:cs="Arial Unicode MS"/>
        </w:rPr>
        <w:t xml:space="preserve"> ფარავს მკურნალობის ხარჯებს პოლონეთის რესპუბლიკის ტერიტორიაზე (11 მუხლის 5 პუნქტი). კონტროლის მიმდინარეობა და შედეგები დოკუმენტირებულია ოქმის სახით ( მე-11 მუხლის მე-6 ნაწილი). სავოევოდოს ოფისში ან უცხოელთა საქმეთა დეპარტამენტში ორი დაუსაბუთებელი გამოუცხადებლობის შემთხვევაში, ითვლება, რომ ყოფნის მიზანი, რომელიც იყო დროებითი ბინადრობისა და მუშაობის ნებართვის მინიჭების მიზეზი, შეწყდა (მუხლი 11 მე-7 ნაწილი).</w:t>
      </w:r>
    </w:p>
    <w:p w:rsidR="00AC38C2" w:rsidRDefault="00AC38C2">
      <w:pPr>
        <w:spacing w:before="240" w:after="160" w:line="259" w:lineRule="auto"/>
        <w:rPr>
          <w:rFonts w:ascii="Calibri" w:hAnsi="Calibri"/>
        </w:rPr>
      </w:pPr>
    </w:p>
    <w:p w:rsidR="00AC38C2" w:rsidRDefault="00AC38C2">
      <w:pPr>
        <w:spacing w:before="240" w:after="160" w:line="259" w:lineRule="auto"/>
      </w:pPr>
    </w:p>
    <w:p w:rsidR="00AC38C2" w:rsidRDefault="00AC38C2"/>
    <w:sectPr w:rsidR="00AC38C2">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08" w:footer="708"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7497A" w:rsidRDefault="0087497A">
      <w:pPr>
        <w:spacing w:line="240" w:lineRule="auto"/>
      </w:pPr>
      <w:r>
        <w:separator/>
      </w:r>
    </w:p>
  </w:endnote>
  <w:endnote w:type="continuationSeparator" w:id="0">
    <w:p w:rsidR="0087497A" w:rsidRDefault="0087497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Liberation Sans">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Mangal">
    <w:altName w:val="Courier New"/>
    <w:panose1 w:val="00000400000000000000"/>
    <w:charset w:val="00"/>
    <w:family w:val="roman"/>
    <w:pitch w:val="variable"/>
    <w:sig w:usb0="00000003" w:usb1="00000000" w:usb2="00000000" w:usb3="00000000" w:csb0="00000001" w:csb1="00000000"/>
  </w:font>
  <w:font w:name="Calibri">
    <w:panose1 w:val="020F0502020204030204"/>
    <w:charset w:val="EE"/>
    <w:family w:val="swiss"/>
    <w:pitch w:val="variable"/>
    <w:sig w:usb0="E4002EFF" w:usb1="C000247B" w:usb2="00000009" w:usb3="00000000" w:csb0="000001FF" w:csb1="00000000"/>
  </w:font>
  <w:font w:name="Arial Unicode MS">
    <w:panose1 w:val="020B0604020202020204"/>
    <w:charset w:val="00"/>
    <w:family w:val="auto"/>
    <w:pitch w:val="variable"/>
  </w:font>
  <w:font w:name="Sylfaen">
    <w:panose1 w:val="010A0502050306030303"/>
    <w:charset w:val="EE"/>
    <w:family w:val="roman"/>
    <w:pitch w:val="variable"/>
    <w:sig w:usb0="04000687" w:usb1="000000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848DD" w:rsidRDefault="006848DD">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848DD" w:rsidRDefault="006848DD">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848DD" w:rsidRDefault="006848DD">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7497A" w:rsidRDefault="0087497A">
      <w:pPr>
        <w:spacing w:line="240" w:lineRule="auto"/>
      </w:pPr>
      <w:r>
        <w:rPr>
          <w:color w:val="000000"/>
        </w:rPr>
        <w:separator/>
      </w:r>
    </w:p>
  </w:footnote>
  <w:footnote w:type="continuationSeparator" w:id="0">
    <w:p w:rsidR="0087497A" w:rsidRDefault="0087497A">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848DD" w:rsidRDefault="006848DD">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24EA4" w:rsidRDefault="00224EA4">
    <w:pPr>
      <w:pStyle w:val="Nagwek"/>
      <w:rPr>
        <w:rFonts w:ascii="Sylfaen" w:hAnsi="Sylfaen" w:cs="Sylfaen"/>
      </w:rPr>
    </w:pPr>
    <w:r w:rsidRPr="00224EA4">
      <w:rPr>
        <w:rFonts w:ascii="Sylfaen" w:hAnsi="Sylfaen" w:cs="Sylfaen"/>
      </w:rPr>
      <w:t>სამაშველო</w:t>
    </w:r>
    <w:r w:rsidRPr="00224EA4">
      <w:t xml:space="preserve"> </w:t>
    </w:r>
    <w:proofErr w:type="spellStart"/>
    <w:r w:rsidRPr="00224EA4">
      <w:rPr>
        <w:rFonts w:ascii="Sylfaen" w:hAnsi="Sylfaen" w:cs="Sylfaen"/>
      </w:rPr>
      <w:t>კოდექსის</w:t>
    </w:r>
    <w:proofErr w:type="spellEnd"/>
    <w:r w:rsidRPr="00224EA4">
      <w:t xml:space="preserve"> </w:t>
    </w:r>
    <w:proofErr w:type="spellStart"/>
    <w:r w:rsidRPr="00224EA4">
      <w:rPr>
        <w:rFonts w:ascii="Sylfaen" w:hAnsi="Sylfaen" w:cs="Sylfaen"/>
      </w:rPr>
      <w:t>ინსტრუქცია</w:t>
    </w:r>
    <w:proofErr w:type="spellEnd"/>
    <w:r w:rsidRPr="00224EA4">
      <w:t xml:space="preserve"> - UDSC-</w:t>
    </w:r>
    <w:proofErr w:type="spellStart"/>
    <w:r w:rsidRPr="00224EA4">
      <w:rPr>
        <w:rFonts w:ascii="Sylfaen" w:hAnsi="Sylfaen" w:cs="Sylfaen"/>
      </w:rPr>
      <w:t>ის</w:t>
    </w:r>
    <w:proofErr w:type="spellEnd"/>
    <w:r w:rsidRPr="00224EA4">
      <w:t xml:space="preserve"> </w:t>
    </w:r>
    <w:proofErr w:type="spellStart"/>
    <w:r w:rsidRPr="00224EA4">
      <w:rPr>
        <w:rFonts w:ascii="Sylfaen" w:hAnsi="Sylfaen" w:cs="Sylfaen"/>
      </w:rPr>
      <w:t>უფროსის</w:t>
    </w:r>
    <w:proofErr w:type="spellEnd"/>
    <w:r w:rsidRPr="00224EA4">
      <w:t xml:space="preserve"> </w:t>
    </w:r>
    <w:proofErr w:type="spellStart"/>
    <w:r w:rsidRPr="00224EA4">
      <w:rPr>
        <w:rFonts w:ascii="Sylfaen" w:hAnsi="Sylfaen" w:cs="Sylfaen"/>
      </w:rPr>
      <w:t>გადაწყვეტილება</w:t>
    </w:r>
    <w:proofErr w:type="spellEnd"/>
  </w:p>
  <w:p w:rsidR="006848DD" w:rsidRDefault="006848DD">
    <w:pPr>
      <w:pStyle w:val="Nagwek"/>
    </w:pPr>
    <w:r>
      <w:rPr>
        <w:rFonts w:ascii="Sylfaen" w:hAnsi="Sylfaen" w:cs="Sylfaen"/>
      </w:rPr>
      <w:t>Pouczenie do decyzji pozytywnej - gruziński</w:t>
    </w:r>
  </w:p>
  <w:p w:rsidR="00224EA4" w:rsidRDefault="00224EA4">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848DD" w:rsidRDefault="006848DD">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F24EE"/>
    <w:multiLevelType w:val="multilevel"/>
    <w:tmpl w:val="F2D4573A"/>
    <w:styleLink w:val="WWNum1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 w15:restartNumberingAfterBreak="0">
    <w:nsid w:val="03917604"/>
    <w:multiLevelType w:val="multilevel"/>
    <w:tmpl w:val="A0602F8E"/>
    <w:styleLink w:val="WWNum28"/>
    <w:lvl w:ilvl="0">
      <w:start w:val="26"/>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 w15:restartNumberingAfterBreak="0">
    <w:nsid w:val="03E22F92"/>
    <w:multiLevelType w:val="multilevel"/>
    <w:tmpl w:val="5D2AA1DC"/>
    <w:styleLink w:val="WWNum19"/>
    <w:lvl w:ilvl="0">
      <w:start w:val="2"/>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 w15:restartNumberingAfterBreak="0">
    <w:nsid w:val="06C60179"/>
    <w:multiLevelType w:val="multilevel"/>
    <w:tmpl w:val="4524D21E"/>
    <w:styleLink w:val="WWNum4"/>
    <w:lvl w:ilvl="0">
      <w:start w:val="4"/>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4" w15:restartNumberingAfterBreak="0">
    <w:nsid w:val="07E87BBE"/>
    <w:multiLevelType w:val="multilevel"/>
    <w:tmpl w:val="A1B0703C"/>
    <w:styleLink w:val="WWNum9"/>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lef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lef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left"/>
      <w:pPr>
        <w:ind w:left="7200" w:hanging="360"/>
      </w:pPr>
      <w:rPr>
        <w:u w:val="none"/>
      </w:rPr>
    </w:lvl>
  </w:abstractNum>
  <w:abstractNum w:abstractNumId="5" w15:restartNumberingAfterBreak="0">
    <w:nsid w:val="0E6B5D7A"/>
    <w:multiLevelType w:val="multilevel"/>
    <w:tmpl w:val="B0EE1CDE"/>
    <w:styleLink w:val="WWNum14"/>
    <w:lvl w:ilvl="0">
      <w:start w:val="19"/>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6" w15:restartNumberingAfterBreak="0">
    <w:nsid w:val="16126498"/>
    <w:multiLevelType w:val="multilevel"/>
    <w:tmpl w:val="AB50CD42"/>
    <w:styleLink w:val="WWNum3"/>
    <w:lvl w:ilvl="0">
      <w:start w:val="14"/>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7" w15:restartNumberingAfterBreak="0">
    <w:nsid w:val="1A172359"/>
    <w:multiLevelType w:val="multilevel"/>
    <w:tmpl w:val="679E8F00"/>
    <w:styleLink w:val="WWNum24"/>
    <w:lvl w:ilvl="0">
      <w:start w:val="10"/>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8" w15:restartNumberingAfterBreak="0">
    <w:nsid w:val="250F7149"/>
    <w:multiLevelType w:val="multilevel"/>
    <w:tmpl w:val="33CEEF9A"/>
    <w:styleLink w:val="WWNum17"/>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lef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lef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left"/>
      <w:pPr>
        <w:ind w:left="7200" w:hanging="360"/>
      </w:pPr>
      <w:rPr>
        <w:u w:val="none"/>
      </w:rPr>
    </w:lvl>
  </w:abstractNum>
  <w:abstractNum w:abstractNumId="9" w15:restartNumberingAfterBreak="0">
    <w:nsid w:val="25F572C7"/>
    <w:multiLevelType w:val="multilevel"/>
    <w:tmpl w:val="335801B2"/>
    <w:styleLink w:val="WWNum5"/>
    <w:lvl w:ilvl="0">
      <w:start w:val="9"/>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0" w15:restartNumberingAfterBreak="0">
    <w:nsid w:val="29653759"/>
    <w:multiLevelType w:val="multilevel"/>
    <w:tmpl w:val="38FC8732"/>
    <w:styleLink w:val="WWNum8"/>
    <w:lvl w:ilvl="0">
      <w:start w:val="16"/>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1" w15:restartNumberingAfterBreak="0">
    <w:nsid w:val="30DC1332"/>
    <w:multiLevelType w:val="multilevel"/>
    <w:tmpl w:val="4B9891BC"/>
    <w:styleLink w:val="WWNum16"/>
    <w:lvl w:ilvl="0">
      <w:start w:val="7"/>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2" w15:restartNumberingAfterBreak="0">
    <w:nsid w:val="345D11E0"/>
    <w:multiLevelType w:val="multilevel"/>
    <w:tmpl w:val="C72EB0CC"/>
    <w:styleLink w:val="WWNum2"/>
    <w:lvl w:ilvl="0">
      <w:start w:val="6"/>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3" w15:restartNumberingAfterBreak="0">
    <w:nsid w:val="3B2C41F9"/>
    <w:multiLevelType w:val="multilevel"/>
    <w:tmpl w:val="63588532"/>
    <w:styleLink w:val="WWNum1"/>
    <w:lvl w:ilvl="0">
      <w:start w:val="17"/>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4" w15:restartNumberingAfterBreak="0">
    <w:nsid w:val="3C7B0DAB"/>
    <w:multiLevelType w:val="multilevel"/>
    <w:tmpl w:val="2C52C35C"/>
    <w:styleLink w:val="WWNum7"/>
    <w:lvl w:ilvl="0">
      <w:start w:val="5"/>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5" w15:restartNumberingAfterBreak="0">
    <w:nsid w:val="3F514CAA"/>
    <w:multiLevelType w:val="multilevel"/>
    <w:tmpl w:val="FED49700"/>
    <w:styleLink w:val="WWNum26"/>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lef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lef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left"/>
      <w:pPr>
        <w:ind w:left="7200" w:hanging="360"/>
      </w:pPr>
      <w:rPr>
        <w:u w:val="none"/>
      </w:rPr>
    </w:lvl>
  </w:abstractNum>
  <w:abstractNum w:abstractNumId="16" w15:restartNumberingAfterBreak="0">
    <w:nsid w:val="40E42B63"/>
    <w:multiLevelType w:val="multilevel"/>
    <w:tmpl w:val="7F66089C"/>
    <w:styleLink w:val="WWNum21"/>
    <w:lvl w:ilvl="0">
      <w:start w:val="23"/>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7" w15:restartNumberingAfterBreak="0">
    <w:nsid w:val="42947831"/>
    <w:multiLevelType w:val="multilevel"/>
    <w:tmpl w:val="A192D4B0"/>
    <w:styleLink w:val="WWNum22"/>
    <w:lvl w:ilvl="0">
      <w:start w:val="1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8" w15:restartNumberingAfterBreak="0">
    <w:nsid w:val="4630614C"/>
    <w:multiLevelType w:val="multilevel"/>
    <w:tmpl w:val="CE229304"/>
    <w:styleLink w:val="WWNum6"/>
    <w:lvl w:ilvl="0">
      <w:start w:val="12"/>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19" w15:restartNumberingAfterBreak="0">
    <w:nsid w:val="49503BAC"/>
    <w:multiLevelType w:val="multilevel"/>
    <w:tmpl w:val="D83E480C"/>
    <w:styleLink w:val="WWNum25"/>
    <w:lvl w:ilvl="0">
      <w:start w:val="20"/>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0" w15:restartNumberingAfterBreak="0">
    <w:nsid w:val="50C54AA0"/>
    <w:multiLevelType w:val="multilevel"/>
    <w:tmpl w:val="408214D6"/>
    <w:styleLink w:val="WWNum12"/>
    <w:lvl w:ilvl="0">
      <w:start w:val="24"/>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1" w15:restartNumberingAfterBreak="0">
    <w:nsid w:val="613A3BB0"/>
    <w:multiLevelType w:val="multilevel"/>
    <w:tmpl w:val="30AED776"/>
    <w:styleLink w:val="WWNum15"/>
    <w:lvl w:ilvl="0">
      <w:start w:val="25"/>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2" w15:restartNumberingAfterBreak="0">
    <w:nsid w:val="62964E35"/>
    <w:multiLevelType w:val="multilevel"/>
    <w:tmpl w:val="1B445A42"/>
    <w:styleLink w:val="WWNum13"/>
    <w:lvl w:ilvl="0">
      <w:start w:val="3"/>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3" w15:restartNumberingAfterBreak="0">
    <w:nsid w:val="6CB34E8B"/>
    <w:multiLevelType w:val="multilevel"/>
    <w:tmpl w:val="C37039E0"/>
    <w:styleLink w:val="WWNum11"/>
    <w:lvl w:ilvl="0">
      <w:start w:val="2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4" w15:restartNumberingAfterBreak="0">
    <w:nsid w:val="6EA74098"/>
    <w:multiLevelType w:val="multilevel"/>
    <w:tmpl w:val="9D1242B2"/>
    <w:styleLink w:val="WWNum18"/>
    <w:lvl w:ilvl="0">
      <w:start w:val="22"/>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5" w15:restartNumberingAfterBreak="0">
    <w:nsid w:val="6ED65B55"/>
    <w:multiLevelType w:val="multilevel"/>
    <w:tmpl w:val="3FE0D038"/>
    <w:styleLink w:val="WWNum29"/>
    <w:lvl w:ilvl="0">
      <w:start w:val="18"/>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6" w15:restartNumberingAfterBreak="0">
    <w:nsid w:val="78CE551A"/>
    <w:multiLevelType w:val="multilevel"/>
    <w:tmpl w:val="20AA9730"/>
    <w:styleLink w:val="WWNum20"/>
    <w:lvl w:ilvl="0">
      <w:start w:val="13"/>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7" w15:restartNumberingAfterBreak="0">
    <w:nsid w:val="79C71909"/>
    <w:multiLevelType w:val="multilevel"/>
    <w:tmpl w:val="2B68C2C2"/>
    <w:styleLink w:val="WWNum23"/>
    <w:lvl w:ilvl="0">
      <w:start w:val="8"/>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8" w15:restartNumberingAfterBreak="0">
    <w:nsid w:val="7FCB64A9"/>
    <w:multiLevelType w:val="multilevel"/>
    <w:tmpl w:val="F792293A"/>
    <w:styleLink w:val="WWNum27"/>
    <w:lvl w:ilvl="0">
      <w:start w:val="15"/>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num w:numId="1">
    <w:abstractNumId w:val="13"/>
  </w:num>
  <w:num w:numId="2">
    <w:abstractNumId w:val="12"/>
  </w:num>
  <w:num w:numId="3">
    <w:abstractNumId w:val="6"/>
  </w:num>
  <w:num w:numId="4">
    <w:abstractNumId w:val="3"/>
  </w:num>
  <w:num w:numId="5">
    <w:abstractNumId w:val="9"/>
  </w:num>
  <w:num w:numId="6">
    <w:abstractNumId w:val="18"/>
  </w:num>
  <w:num w:numId="7">
    <w:abstractNumId w:val="14"/>
  </w:num>
  <w:num w:numId="8">
    <w:abstractNumId w:val="10"/>
  </w:num>
  <w:num w:numId="9">
    <w:abstractNumId w:val="4"/>
  </w:num>
  <w:num w:numId="10">
    <w:abstractNumId w:val="0"/>
  </w:num>
  <w:num w:numId="11">
    <w:abstractNumId w:val="23"/>
  </w:num>
  <w:num w:numId="12">
    <w:abstractNumId w:val="20"/>
  </w:num>
  <w:num w:numId="13">
    <w:abstractNumId w:val="22"/>
  </w:num>
  <w:num w:numId="14">
    <w:abstractNumId w:val="5"/>
  </w:num>
  <w:num w:numId="15">
    <w:abstractNumId w:val="21"/>
  </w:num>
  <w:num w:numId="16">
    <w:abstractNumId w:val="11"/>
  </w:num>
  <w:num w:numId="17">
    <w:abstractNumId w:val="8"/>
  </w:num>
  <w:num w:numId="18">
    <w:abstractNumId w:val="24"/>
  </w:num>
  <w:num w:numId="19">
    <w:abstractNumId w:val="2"/>
  </w:num>
  <w:num w:numId="20">
    <w:abstractNumId w:val="26"/>
  </w:num>
  <w:num w:numId="21">
    <w:abstractNumId w:val="16"/>
  </w:num>
  <w:num w:numId="22">
    <w:abstractNumId w:val="17"/>
  </w:num>
  <w:num w:numId="23">
    <w:abstractNumId w:val="27"/>
  </w:num>
  <w:num w:numId="24">
    <w:abstractNumId w:val="7"/>
  </w:num>
  <w:num w:numId="25">
    <w:abstractNumId w:val="19"/>
  </w:num>
  <w:num w:numId="26">
    <w:abstractNumId w:val="15"/>
  </w:num>
  <w:num w:numId="27">
    <w:abstractNumId w:val="28"/>
  </w:num>
  <w:num w:numId="28">
    <w:abstractNumId w:val="1"/>
  </w:num>
  <w:num w:numId="29">
    <w:abstractNumId w:val="25"/>
  </w:num>
  <w:num w:numId="30">
    <w:abstractNumId w:val="0"/>
    <w:lvlOverride w:ilvl="0">
      <w:startOverride w:val="1"/>
    </w:lvlOverride>
  </w:num>
  <w:num w:numId="31">
    <w:abstractNumId w:val="2"/>
    <w:lvlOverride w:ilvl="0">
      <w:startOverride w:val="2"/>
    </w:lvlOverride>
  </w:num>
  <w:num w:numId="32">
    <w:abstractNumId w:val="22"/>
    <w:lvlOverride w:ilvl="0">
      <w:startOverride w:val="3"/>
    </w:lvlOverride>
  </w:num>
  <w:num w:numId="33">
    <w:abstractNumId w:val="3"/>
    <w:lvlOverride w:ilvl="0">
      <w:startOverride w:val="4"/>
    </w:lvlOverride>
  </w:num>
  <w:num w:numId="34">
    <w:abstractNumId w:val="14"/>
    <w:lvlOverride w:ilvl="0">
      <w:startOverride w:val="5"/>
    </w:lvlOverride>
  </w:num>
  <w:num w:numId="35">
    <w:abstractNumId w:val="12"/>
    <w:lvlOverride w:ilvl="0">
      <w:startOverride w:val="6"/>
    </w:lvlOverride>
  </w:num>
  <w:num w:numId="36">
    <w:abstractNumId w:val="11"/>
    <w:lvlOverride w:ilvl="0">
      <w:startOverride w:val="7"/>
    </w:lvlOverride>
  </w:num>
  <w:num w:numId="37">
    <w:abstractNumId w:val="27"/>
    <w:lvlOverride w:ilvl="0">
      <w:startOverride w:val="8"/>
    </w:lvlOverride>
  </w:num>
  <w:num w:numId="38">
    <w:abstractNumId w:val="9"/>
    <w:lvlOverride w:ilvl="0">
      <w:startOverride w:val="9"/>
    </w:lvlOverride>
  </w:num>
  <w:num w:numId="39">
    <w:abstractNumId w:val="7"/>
    <w:lvlOverride w:ilvl="0">
      <w:startOverride w:val="10"/>
    </w:lvlOverride>
  </w:num>
  <w:num w:numId="40">
    <w:abstractNumId w:val="17"/>
    <w:lvlOverride w:ilvl="0">
      <w:startOverride w:val="11"/>
    </w:lvlOverride>
  </w:num>
  <w:num w:numId="41">
    <w:abstractNumId w:val="18"/>
    <w:lvlOverride w:ilvl="0">
      <w:startOverride w:val="12"/>
    </w:lvlOverride>
  </w:num>
  <w:num w:numId="42">
    <w:abstractNumId w:val="26"/>
    <w:lvlOverride w:ilvl="0">
      <w:startOverride w:val="13"/>
    </w:lvlOverride>
  </w:num>
  <w:num w:numId="43">
    <w:abstractNumId w:val="6"/>
    <w:lvlOverride w:ilvl="0">
      <w:startOverride w:val="14"/>
    </w:lvlOverride>
  </w:num>
  <w:num w:numId="44">
    <w:abstractNumId w:val="28"/>
    <w:lvlOverride w:ilvl="0">
      <w:startOverride w:val="15"/>
    </w:lvlOverride>
  </w:num>
  <w:num w:numId="45">
    <w:abstractNumId w:val="15"/>
  </w:num>
  <w:num w:numId="46">
    <w:abstractNumId w:val="10"/>
    <w:lvlOverride w:ilvl="0">
      <w:startOverride w:val="16"/>
    </w:lvlOverride>
  </w:num>
  <w:num w:numId="47">
    <w:abstractNumId w:val="13"/>
    <w:lvlOverride w:ilvl="0">
      <w:startOverride w:val="17"/>
    </w:lvlOverride>
  </w:num>
  <w:num w:numId="48">
    <w:abstractNumId w:val="25"/>
    <w:lvlOverride w:ilvl="0">
      <w:startOverride w:val="18"/>
    </w:lvlOverride>
  </w:num>
  <w:num w:numId="49">
    <w:abstractNumId w:val="5"/>
    <w:lvlOverride w:ilvl="0">
      <w:startOverride w:val="19"/>
    </w:lvlOverride>
  </w:num>
  <w:num w:numId="50">
    <w:abstractNumId w:val="8"/>
  </w:num>
  <w:num w:numId="51">
    <w:abstractNumId w:val="19"/>
    <w:lvlOverride w:ilvl="0">
      <w:startOverride w:val="20"/>
    </w:lvlOverride>
  </w:num>
  <w:num w:numId="52">
    <w:abstractNumId w:val="23"/>
    <w:lvlOverride w:ilvl="0">
      <w:startOverride w:val="21"/>
    </w:lvlOverride>
  </w:num>
  <w:num w:numId="53">
    <w:abstractNumId w:val="24"/>
    <w:lvlOverride w:ilvl="0">
      <w:startOverride w:val="22"/>
    </w:lvlOverride>
  </w:num>
  <w:num w:numId="54">
    <w:abstractNumId w:val="16"/>
    <w:lvlOverride w:ilvl="0">
      <w:startOverride w:val="23"/>
    </w:lvlOverride>
  </w:num>
  <w:num w:numId="55">
    <w:abstractNumId w:val="20"/>
    <w:lvlOverride w:ilvl="0">
      <w:startOverride w:val="24"/>
    </w:lvlOverride>
  </w:num>
  <w:num w:numId="56">
    <w:abstractNumId w:val="21"/>
    <w:lvlOverride w:ilvl="0">
      <w:startOverride w:val="25"/>
    </w:lvlOverride>
  </w:num>
  <w:num w:numId="57">
    <w:abstractNumId w:val="4"/>
  </w:num>
  <w:num w:numId="58">
    <w:abstractNumId w:val="1"/>
    <w:lvlOverride w:ilvl="0">
      <w:startOverride w:val="26"/>
    </w:lvlOverride>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3"/>
  <w:removePersonalInformation/>
  <w:removeDateAndTime/>
  <w:proofState w:spelling="clean"/>
  <w:defaultTabStop w:val="720"/>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38C2"/>
    <w:rsid w:val="00224EA4"/>
    <w:rsid w:val="004D189E"/>
    <w:rsid w:val="00546049"/>
    <w:rsid w:val="00652B9E"/>
    <w:rsid w:val="006848DD"/>
    <w:rsid w:val="007E5578"/>
    <w:rsid w:val="0087497A"/>
    <w:rsid w:val="00885D95"/>
    <w:rsid w:val="00941926"/>
    <w:rsid w:val="00AC38C2"/>
    <w:rsid w:val="00BB77D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F7521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pl-PL" w:eastAsia="zh-CN" w:bidi="hi-IN"/>
      </w:rPr>
    </w:rPrDefault>
    <w:pPrDefault>
      <w:pPr>
        <w:widowControl w:val="0"/>
        <w:suppressAutoHyphens/>
        <w:autoSpaceDN w:val="0"/>
        <w:textAlignment w:val="baseline"/>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pPr>
      <w:widowControl/>
      <w:spacing w:line="276" w:lineRule="auto"/>
    </w:pPr>
  </w:style>
  <w:style w:type="paragraph" w:styleId="Nagwek1">
    <w:name w:val="heading 1"/>
    <w:basedOn w:val="Normalny"/>
    <w:next w:val="Normalny"/>
    <w:uiPriority w:val="9"/>
    <w:qFormat/>
    <w:pPr>
      <w:keepNext/>
      <w:keepLines/>
      <w:spacing w:before="400" w:after="120" w:line="240" w:lineRule="auto"/>
      <w:outlineLvl w:val="0"/>
    </w:pPr>
    <w:rPr>
      <w:sz w:val="40"/>
      <w:szCs w:val="40"/>
    </w:rPr>
  </w:style>
  <w:style w:type="paragraph" w:styleId="Nagwek2">
    <w:name w:val="heading 2"/>
    <w:basedOn w:val="Normalny"/>
    <w:next w:val="Normalny"/>
    <w:uiPriority w:val="9"/>
    <w:semiHidden/>
    <w:unhideWhenUsed/>
    <w:qFormat/>
    <w:pPr>
      <w:keepNext/>
      <w:keepLines/>
      <w:spacing w:before="360" w:after="120" w:line="240" w:lineRule="auto"/>
      <w:outlineLvl w:val="1"/>
    </w:pPr>
    <w:rPr>
      <w:sz w:val="32"/>
      <w:szCs w:val="32"/>
    </w:rPr>
  </w:style>
  <w:style w:type="paragraph" w:styleId="Nagwek3">
    <w:name w:val="heading 3"/>
    <w:basedOn w:val="Normalny"/>
    <w:next w:val="Normalny"/>
    <w:uiPriority w:val="9"/>
    <w:semiHidden/>
    <w:unhideWhenUsed/>
    <w:qFormat/>
    <w:pPr>
      <w:keepNext/>
      <w:keepLines/>
      <w:spacing w:before="320" w:after="80" w:line="240" w:lineRule="auto"/>
      <w:outlineLvl w:val="2"/>
    </w:pPr>
    <w:rPr>
      <w:color w:val="434343"/>
      <w:sz w:val="28"/>
      <w:szCs w:val="28"/>
    </w:rPr>
  </w:style>
  <w:style w:type="paragraph" w:styleId="Nagwek4">
    <w:name w:val="heading 4"/>
    <w:basedOn w:val="Normalny"/>
    <w:next w:val="Normalny"/>
    <w:uiPriority w:val="9"/>
    <w:semiHidden/>
    <w:unhideWhenUsed/>
    <w:qFormat/>
    <w:pPr>
      <w:keepNext/>
      <w:keepLines/>
      <w:spacing w:before="280" w:after="80" w:line="240" w:lineRule="auto"/>
      <w:outlineLvl w:val="3"/>
    </w:pPr>
    <w:rPr>
      <w:color w:val="666666"/>
      <w:sz w:val="24"/>
      <w:szCs w:val="24"/>
    </w:rPr>
  </w:style>
  <w:style w:type="paragraph" w:styleId="Nagwek5">
    <w:name w:val="heading 5"/>
    <w:basedOn w:val="Normalny"/>
    <w:next w:val="Normalny"/>
    <w:uiPriority w:val="9"/>
    <w:semiHidden/>
    <w:unhideWhenUsed/>
    <w:qFormat/>
    <w:pPr>
      <w:keepNext/>
      <w:keepLines/>
      <w:spacing w:before="240" w:after="80" w:line="240" w:lineRule="auto"/>
      <w:outlineLvl w:val="4"/>
    </w:pPr>
    <w:rPr>
      <w:color w:val="666666"/>
    </w:rPr>
  </w:style>
  <w:style w:type="paragraph" w:styleId="Nagwek6">
    <w:name w:val="heading 6"/>
    <w:basedOn w:val="Normalny"/>
    <w:next w:val="Normalny"/>
    <w:uiPriority w:val="9"/>
    <w:semiHidden/>
    <w:unhideWhenUsed/>
    <w:qFormat/>
    <w:pPr>
      <w:keepNext/>
      <w:keepLines/>
      <w:spacing w:before="240" w:after="80" w:line="240" w:lineRule="auto"/>
      <w:outlineLvl w:val="5"/>
    </w:pPr>
    <w:rPr>
      <w:i/>
      <w:color w:val="66666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Standard">
    <w:name w:val="Standard"/>
  </w:style>
  <w:style w:type="paragraph" w:customStyle="1" w:styleId="Heading">
    <w:name w:val="Heading"/>
    <w:basedOn w:val="Standard"/>
    <w:next w:val="Textbody"/>
    <w:pPr>
      <w:keepNext/>
      <w:spacing w:before="240" w:after="120"/>
    </w:pPr>
    <w:rPr>
      <w:rFonts w:ascii="Liberation Sans" w:eastAsia="Microsoft YaHei" w:hAnsi="Liberation Sans"/>
      <w:sz w:val="28"/>
      <w:szCs w:val="28"/>
    </w:rPr>
  </w:style>
  <w:style w:type="paragraph" w:customStyle="1" w:styleId="Textbody">
    <w:name w:val="Text body"/>
    <w:basedOn w:val="Standard"/>
    <w:pPr>
      <w:spacing w:after="140" w:line="276" w:lineRule="auto"/>
    </w:pPr>
  </w:style>
  <w:style w:type="paragraph" w:styleId="Lista">
    <w:name w:val="List"/>
    <w:basedOn w:val="Textbody"/>
    <w:rPr>
      <w:sz w:val="24"/>
    </w:rPr>
  </w:style>
  <w:style w:type="paragraph" w:styleId="Legenda">
    <w:name w:val="caption"/>
    <w:basedOn w:val="Standard"/>
    <w:pPr>
      <w:suppressLineNumbers/>
      <w:spacing w:before="120" w:after="120"/>
    </w:pPr>
    <w:rPr>
      <w:i/>
      <w:iCs/>
      <w:sz w:val="24"/>
      <w:szCs w:val="24"/>
    </w:rPr>
  </w:style>
  <w:style w:type="paragraph" w:customStyle="1" w:styleId="Index">
    <w:name w:val="Index"/>
    <w:basedOn w:val="Standard"/>
    <w:pPr>
      <w:suppressLineNumbers/>
    </w:pPr>
    <w:rPr>
      <w:sz w:val="24"/>
    </w:rPr>
  </w:style>
  <w:style w:type="paragraph" w:styleId="Tytu">
    <w:name w:val="Title"/>
    <w:basedOn w:val="Normalny"/>
    <w:next w:val="Normalny"/>
    <w:uiPriority w:val="10"/>
    <w:qFormat/>
    <w:pPr>
      <w:keepNext/>
      <w:keepLines/>
      <w:spacing w:after="60" w:line="240" w:lineRule="auto"/>
    </w:pPr>
    <w:rPr>
      <w:sz w:val="52"/>
      <w:szCs w:val="52"/>
    </w:rPr>
  </w:style>
  <w:style w:type="paragraph" w:styleId="Podtytu">
    <w:name w:val="Subtitle"/>
    <w:basedOn w:val="Normalny"/>
    <w:next w:val="Normalny"/>
    <w:uiPriority w:val="11"/>
    <w:qFormat/>
    <w:pPr>
      <w:keepNext/>
      <w:keepLines/>
      <w:spacing w:after="320" w:line="240" w:lineRule="auto"/>
    </w:pPr>
    <w:rPr>
      <w:color w:val="666666"/>
      <w:sz w:val="30"/>
      <w:szCs w:val="30"/>
    </w:rPr>
  </w:style>
  <w:style w:type="character" w:customStyle="1" w:styleId="ListLabel1">
    <w:name w:val="ListLabel 1"/>
    <w:rPr>
      <w:u w:val="none"/>
    </w:rPr>
  </w:style>
  <w:style w:type="character" w:customStyle="1" w:styleId="ListLabel2">
    <w:name w:val="ListLabel 2"/>
    <w:rPr>
      <w:u w:val="none"/>
    </w:rPr>
  </w:style>
  <w:style w:type="character" w:customStyle="1" w:styleId="ListLabel3">
    <w:name w:val="ListLabel 3"/>
    <w:rPr>
      <w:u w:val="none"/>
    </w:rPr>
  </w:style>
  <w:style w:type="character" w:customStyle="1" w:styleId="ListLabel4">
    <w:name w:val="ListLabel 4"/>
    <w:rPr>
      <w:u w:val="none"/>
    </w:rPr>
  </w:style>
  <w:style w:type="character" w:customStyle="1" w:styleId="ListLabel5">
    <w:name w:val="ListLabel 5"/>
    <w:rPr>
      <w:u w:val="none"/>
    </w:rPr>
  </w:style>
  <w:style w:type="character" w:customStyle="1" w:styleId="ListLabel6">
    <w:name w:val="ListLabel 6"/>
    <w:rPr>
      <w:u w:val="none"/>
    </w:rPr>
  </w:style>
  <w:style w:type="character" w:customStyle="1" w:styleId="ListLabel7">
    <w:name w:val="ListLabel 7"/>
    <w:rPr>
      <w:u w:val="none"/>
    </w:rPr>
  </w:style>
  <w:style w:type="character" w:customStyle="1" w:styleId="ListLabel8">
    <w:name w:val="ListLabel 8"/>
    <w:rPr>
      <w:u w:val="none"/>
    </w:rPr>
  </w:style>
  <w:style w:type="character" w:customStyle="1" w:styleId="ListLabel9">
    <w:name w:val="ListLabel 9"/>
    <w:rPr>
      <w:u w:val="none"/>
    </w:rPr>
  </w:style>
  <w:style w:type="character" w:customStyle="1" w:styleId="ListLabel10">
    <w:name w:val="ListLabel 10"/>
    <w:rPr>
      <w:u w:val="none"/>
    </w:rPr>
  </w:style>
  <w:style w:type="character" w:customStyle="1" w:styleId="ListLabel11">
    <w:name w:val="ListLabel 11"/>
    <w:rPr>
      <w:u w:val="none"/>
    </w:rPr>
  </w:style>
  <w:style w:type="character" w:customStyle="1" w:styleId="ListLabel12">
    <w:name w:val="ListLabel 12"/>
    <w:rPr>
      <w:u w:val="none"/>
    </w:rPr>
  </w:style>
  <w:style w:type="character" w:customStyle="1" w:styleId="ListLabel13">
    <w:name w:val="ListLabel 13"/>
    <w:rPr>
      <w:u w:val="none"/>
    </w:rPr>
  </w:style>
  <w:style w:type="character" w:customStyle="1" w:styleId="ListLabel14">
    <w:name w:val="ListLabel 14"/>
    <w:rPr>
      <w:u w:val="none"/>
    </w:rPr>
  </w:style>
  <w:style w:type="character" w:customStyle="1" w:styleId="ListLabel15">
    <w:name w:val="ListLabel 15"/>
    <w:rPr>
      <w:u w:val="none"/>
    </w:rPr>
  </w:style>
  <w:style w:type="character" w:customStyle="1" w:styleId="ListLabel16">
    <w:name w:val="ListLabel 16"/>
    <w:rPr>
      <w:u w:val="none"/>
    </w:rPr>
  </w:style>
  <w:style w:type="character" w:customStyle="1" w:styleId="ListLabel17">
    <w:name w:val="ListLabel 17"/>
    <w:rPr>
      <w:u w:val="none"/>
    </w:rPr>
  </w:style>
  <w:style w:type="character" w:customStyle="1" w:styleId="ListLabel18">
    <w:name w:val="ListLabel 18"/>
    <w:rPr>
      <w:u w:val="none"/>
    </w:rPr>
  </w:style>
  <w:style w:type="character" w:customStyle="1" w:styleId="ListLabel19">
    <w:name w:val="ListLabel 19"/>
    <w:rPr>
      <w:u w:val="none"/>
    </w:rPr>
  </w:style>
  <w:style w:type="character" w:customStyle="1" w:styleId="ListLabel20">
    <w:name w:val="ListLabel 20"/>
    <w:rPr>
      <w:u w:val="none"/>
    </w:rPr>
  </w:style>
  <w:style w:type="character" w:customStyle="1" w:styleId="ListLabel21">
    <w:name w:val="ListLabel 21"/>
    <w:rPr>
      <w:u w:val="none"/>
    </w:rPr>
  </w:style>
  <w:style w:type="character" w:customStyle="1" w:styleId="ListLabel22">
    <w:name w:val="ListLabel 22"/>
    <w:rPr>
      <w:u w:val="none"/>
    </w:rPr>
  </w:style>
  <w:style w:type="character" w:customStyle="1" w:styleId="ListLabel23">
    <w:name w:val="ListLabel 23"/>
    <w:rPr>
      <w:u w:val="none"/>
    </w:rPr>
  </w:style>
  <w:style w:type="character" w:customStyle="1" w:styleId="ListLabel24">
    <w:name w:val="ListLabel 24"/>
    <w:rPr>
      <w:u w:val="none"/>
    </w:rPr>
  </w:style>
  <w:style w:type="character" w:customStyle="1" w:styleId="ListLabel25">
    <w:name w:val="ListLabel 25"/>
    <w:rPr>
      <w:u w:val="none"/>
    </w:rPr>
  </w:style>
  <w:style w:type="character" w:customStyle="1" w:styleId="ListLabel26">
    <w:name w:val="ListLabel 26"/>
    <w:rPr>
      <w:u w:val="none"/>
    </w:rPr>
  </w:style>
  <w:style w:type="character" w:customStyle="1" w:styleId="ListLabel27">
    <w:name w:val="ListLabel 27"/>
    <w:rPr>
      <w:u w:val="none"/>
    </w:rPr>
  </w:style>
  <w:style w:type="character" w:customStyle="1" w:styleId="ListLabel28">
    <w:name w:val="ListLabel 28"/>
    <w:rPr>
      <w:u w:val="none"/>
    </w:rPr>
  </w:style>
  <w:style w:type="character" w:customStyle="1" w:styleId="ListLabel29">
    <w:name w:val="ListLabel 29"/>
    <w:rPr>
      <w:u w:val="none"/>
    </w:rPr>
  </w:style>
  <w:style w:type="character" w:customStyle="1" w:styleId="ListLabel30">
    <w:name w:val="ListLabel 30"/>
    <w:rPr>
      <w:u w:val="none"/>
    </w:rPr>
  </w:style>
  <w:style w:type="character" w:customStyle="1" w:styleId="ListLabel31">
    <w:name w:val="ListLabel 31"/>
    <w:rPr>
      <w:u w:val="none"/>
    </w:rPr>
  </w:style>
  <w:style w:type="character" w:customStyle="1" w:styleId="ListLabel32">
    <w:name w:val="ListLabel 32"/>
    <w:rPr>
      <w:u w:val="none"/>
    </w:rPr>
  </w:style>
  <w:style w:type="character" w:customStyle="1" w:styleId="ListLabel33">
    <w:name w:val="ListLabel 33"/>
    <w:rPr>
      <w:u w:val="none"/>
    </w:rPr>
  </w:style>
  <w:style w:type="character" w:customStyle="1" w:styleId="ListLabel34">
    <w:name w:val="ListLabel 34"/>
    <w:rPr>
      <w:u w:val="none"/>
    </w:rPr>
  </w:style>
  <w:style w:type="character" w:customStyle="1" w:styleId="ListLabel35">
    <w:name w:val="ListLabel 35"/>
    <w:rPr>
      <w:u w:val="none"/>
    </w:rPr>
  </w:style>
  <w:style w:type="character" w:customStyle="1" w:styleId="ListLabel36">
    <w:name w:val="ListLabel 36"/>
    <w:rPr>
      <w:u w:val="none"/>
    </w:rPr>
  </w:style>
  <w:style w:type="character" w:customStyle="1" w:styleId="ListLabel37">
    <w:name w:val="ListLabel 37"/>
    <w:rPr>
      <w:u w:val="none"/>
    </w:rPr>
  </w:style>
  <w:style w:type="character" w:customStyle="1" w:styleId="ListLabel38">
    <w:name w:val="ListLabel 38"/>
    <w:rPr>
      <w:u w:val="none"/>
    </w:rPr>
  </w:style>
  <w:style w:type="character" w:customStyle="1" w:styleId="ListLabel39">
    <w:name w:val="ListLabel 39"/>
    <w:rPr>
      <w:u w:val="none"/>
    </w:rPr>
  </w:style>
  <w:style w:type="character" w:customStyle="1" w:styleId="ListLabel40">
    <w:name w:val="ListLabel 40"/>
    <w:rPr>
      <w:u w:val="none"/>
    </w:rPr>
  </w:style>
  <w:style w:type="character" w:customStyle="1" w:styleId="ListLabel41">
    <w:name w:val="ListLabel 41"/>
    <w:rPr>
      <w:u w:val="none"/>
    </w:rPr>
  </w:style>
  <w:style w:type="character" w:customStyle="1" w:styleId="ListLabel42">
    <w:name w:val="ListLabel 42"/>
    <w:rPr>
      <w:u w:val="none"/>
    </w:rPr>
  </w:style>
  <w:style w:type="character" w:customStyle="1" w:styleId="ListLabel43">
    <w:name w:val="ListLabel 43"/>
    <w:rPr>
      <w:u w:val="none"/>
    </w:rPr>
  </w:style>
  <w:style w:type="character" w:customStyle="1" w:styleId="ListLabel44">
    <w:name w:val="ListLabel 44"/>
    <w:rPr>
      <w:u w:val="none"/>
    </w:rPr>
  </w:style>
  <w:style w:type="character" w:customStyle="1" w:styleId="ListLabel45">
    <w:name w:val="ListLabel 45"/>
    <w:rPr>
      <w:u w:val="none"/>
    </w:rPr>
  </w:style>
  <w:style w:type="character" w:customStyle="1" w:styleId="ListLabel46">
    <w:name w:val="ListLabel 46"/>
    <w:rPr>
      <w:u w:val="none"/>
    </w:rPr>
  </w:style>
  <w:style w:type="character" w:customStyle="1" w:styleId="ListLabel47">
    <w:name w:val="ListLabel 47"/>
    <w:rPr>
      <w:u w:val="none"/>
    </w:rPr>
  </w:style>
  <w:style w:type="character" w:customStyle="1" w:styleId="ListLabel48">
    <w:name w:val="ListLabel 48"/>
    <w:rPr>
      <w:u w:val="none"/>
    </w:rPr>
  </w:style>
  <w:style w:type="character" w:customStyle="1" w:styleId="ListLabel49">
    <w:name w:val="ListLabel 49"/>
    <w:rPr>
      <w:u w:val="none"/>
    </w:rPr>
  </w:style>
  <w:style w:type="character" w:customStyle="1" w:styleId="ListLabel50">
    <w:name w:val="ListLabel 50"/>
    <w:rPr>
      <w:u w:val="none"/>
    </w:rPr>
  </w:style>
  <w:style w:type="character" w:customStyle="1" w:styleId="ListLabel51">
    <w:name w:val="ListLabel 51"/>
    <w:rPr>
      <w:u w:val="none"/>
    </w:rPr>
  </w:style>
  <w:style w:type="character" w:customStyle="1" w:styleId="ListLabel52">
    <w:name w:val="ListLabel 52"/>
    <w:rPr>
      <w:u w:val="none"/>
    </w:rPr>
  </w:style>
  <w:style w:type="character" w:customStyle="1" w:styleId="ListLabel53">
    <w:name w:val="ListLabel 53"/>
    <w:rPr>
      <w:u w:val="none"/>
    </w:rPr>
  </w:style>
  <w:style w:type="character" w:customStyle="1" w:styleId="ListLabel54">
    <w:name w:val="ListLabel 54"/>
    <w:rPr>
      <w:u w:val="none"/>
    </w:rPr>
  </w:style>
  <w:style w:type="character" w:customStyle="1" w:styleId="ListLabel55">
    <w:name w:val="ListLabel 55"/>
    <w:rPr>
      <w:u w:val="none"/>
    </w:rPr>
  </w:style>
  <w:style w:type="character" w:customStyle="1" w:styleId="ListLabel56">
    <w:name w:val="ListLabel 56"/>
    <w:rPr>
      <w:u w:val="none"/>
    </w:rPr>
  </w:style>
  <w:style w:type="character" w:customStyle="1" w:styleId="ListLabel57">
    <w:name w:val="ListLabel 57"/>
    <w:rPr>
      <w:u w:val="none"/>
    </w:rPr>
  </w:style>
  <w:style w:type="character" w:customStyle="1" w:styleId="ListLabel58">
    <w:name w:val="ListLabel 58"/>
    <w:rPr>
      <w:u w:val="none"/>
    </w:rPr>
  </w:style>
  <w:style w:type="character" w:customStyle="1" w:styleId="ListLabel59">
    <w:name w:val="ListLabel 59"/>
    <w:rPr>
      <w:u w:val="none"/>
    </w:rPr>
  </w:style>
  <w:style w:type="character" w:customStyle="1" w:styleId="ListLabel60">
    <w:name w:val="ListLabel 60"/>
    <w:rPr>
      <w:u w:val="none"/>
    </w:rPr>
  </w:style>
  <w:style w:type="character" w:customStyle="1" w:styleId="ListLabel61">
    <w:name w:val="ListLabel 61"/>
    <w:rPr>
      <w:u w:val="none"/>
    </w:rPr>
  </w:style>
  <w:style w:type="character" w:customStyle="1" w:styleId="ListLabel62">
    <w:name w:val="ListLabel 62"/>
    <w:rPr>
      <w:u w:val="none"/>
    </w:rPr>
  </w:style>
  <w:style w:type="character" w:customStyle="1" w:styleId="ListLabel63">
    <w:name w:val="ListLabel 63"/>
    <w:rPr>
      <w:u w:val="none"/>
    </w:rPr>
  </w:style>
  <w:style w:type="character" w:customStyle="1" w:styleId="ListLabel64">
    <w:name w:val="ListLabel 64"/>
    <w:rPr>
      <w:u w:val="none"/>
    </w:rPr>
  </w:style>
  <w:style w:type="character" w:customStyle="1" w:styleId="ListLabel65">
    <w:name w:val="ListLabel 65"/>
    <w:rPr>
      <w:u w:val="none"/>
    </w:rPr>
  </w:style>
  <w:style w:type="character" w:customStyle="1" w:styleId="ListLabel66">
    <w:name w:val="ListLabel 66"/>
    <w:rPr>
      <w:u w:val="none"/>
    </w:rPr>
  </w:style>
  <w:style w:type="character" w:customStyle="1" w:styleId="ListLabel67">
    <w:name w:val="ListLabel 67"/>
    <w:rPr>
      <w:u w:val="none"/>
    </w:rPr>
  </w:style>
  <w:style w:type="character" w:customStyle="1" w:styleId="ListLabel68">
    <w:name w:val="ListLabel 68"/>
    <w:rPr>
      <w:u w:val="none"/>
    </w:rPr>
  </w:style>
  <w:style w:type="character" w:customStyle="1" w:styleId="ListLabel69">
    <w:name w:val="ListLabel 69"/>
    <w:rPr>
      <w:u w:val="none"/>
    </w:rPr>
  </w:style>
  <w:style w:type="character" w:customStyle="1" w:styleId="ListLabel70">
    <w:name w:val="ListLabel 70"/>
    <w:rPr>
      <w:u w:val="none"/>
    </w:rPr>
  </w:style>
  <w:style w:type="character" w:customStyle="1" w:styleId="ListLabel71">
    <w:name w:val="ListLabel 71"/>
    <w:rPr>
      <w:u w:val="none"/>
    </w:rPr>
  </w:style>
  <w:style w:type="character" w:customStyle="1" w:styleId="ListLabel72">
    <w:name w:val="ListLabel 72"/>
    <w:rPr>
      <w:u w:val="none"/>
    </w:rPr>
  </w:style>
  <w:style w:type="character" w:customStyle="1" w:styleId="ListLabel73">
    <w:name w:val="ListLabel 73"/>
    <w:rPr>
      <w:u w:val="none"/>
    </w:rPr>
  </w:style>
  <w:style w:type="character" w:customStyle="1" w:styleId="ListLabel74">
    <w:name w:val="ListLabel 74"/>
    <w:rPr>
      <w:u w:val="none"/>
    </w:rPr>
  </w:style>
  <w:style w:type="character" w:customStyle="1" w:styleId="ListLabel75">
    <w:name w:val="ListLabel 75"/>
    <w:rPr>
      <w:u w:val="none"/>
    </w:rPr>
  </w:style>
  <w:style w:type="character" w:customStyle="1" w:styleId="ListLabel76">
    <w:name w:val="ListLabel 76"/>
    <w:rPr>
      <w:u w:val="none"/>
    </w:rPr>
  </w:style>
  <w:style w:type="character" w:customStyle="1" w:styleId="ListLabel77">
    <w:name w:val="ListLabel 77"/>
    <w:rPr>
      <w:u w:val="none"/>
    </w:rPr>
  </w:style>
  <w:style w:type="character" w:customStyle="1" w:styleId="ListLabel78">
    <w:name w:val="ListLabel 78"/>
    <w:rPr>
      <w:u w:val="none"/>
    </w:rPr>
  </w:style>
  <w:style w:type="character" w:customStyle="1" w:styleId="ListLabel79">
    <w:name w:val="ListLabel 79"/>
    <w:rPr>
      <w:u w:val="none"/>
    </w:rPr>
  </w:style>
  <w:style w:type="character" w:customStyle="1" w:styleId="ListLabel80">
    <w:name w:val="ListLabel 80"/>
    <w:rPr>
      <w:u w:val="none"/>
    </w:rPr>
  </w:style>
  <w:style w:type="character" w:customStyle="1" w:styleId="ListLabel81">
    <w:name w:val="ListLabel 81"/>
    <w:rPr>
      <w:u w:val="none"/>
    </w:rPr>
  </w:style>
  <w:style w:type="character" w:customStyle="1" w:styleId="ListLabel82">
    <w:name w:val="ListLabel 82"/>
    <w:rPr>
      <w:u w:val="none"/>
    </w:rPr>
  </w:style>
  <w:style w:type="character" w:customStyle="1" w:styleId="ListLabel83">
    <w:name w:val="ListLabel 83"/>
    <w:rPr>
      <w:u w:val="none"/>
    </w:rPr>
  </w:style>
  <w:style w:type="character" w:customStyle="1" w:styleId="ListLabel84">
    <w:name w:val="ListLabel 84"/>
    <w:rPr>
      <w:u w:val="none"/>
    </w:rPr>
  </w:style>
  <w:style w:type="character" w:customStyle="1" w:styleId="ListLabel85">
    <w:name w:val="ListLabel 85"/>
    <w:rPr>
      <w:u w:val="none"/>
    </w:rPr>
  </w:style>
  <w:style w:type="character" w:customStyle="1" w:styleId="ListLabel86">
    <w:name w:val="ListLabel 86"/>
    <w:rPr>
      <w:u w:val="none"/>
    </w:rPr>
  </w:style>
  <w:style w:type="character" w:customStyle="1" w:styleId="ListLabel87">
    <w:name w:val="ListLabel 87"/>
    <w:rPr>
      <w:u w:val="none"/>
    </w:rPr>
  </w:style>
  <w:style w:type="character" w:customStyle="1" w:styleId="ListLabel88">
    <w:name w:val="ListLabel 88"/>
    <w:rPr>
      <w:u w:val="none"/>
    </w:rPr>
  </w:style>
  <w:style w:type="character" w:customStyle="1" w:styleId="ListLabel89">
    <w:name w:val="ListLabel 89"/>
    <w:rPr>
      <w:u w:val="none"/>
    </w:rPr>
  </w:style>
  <w:style w:type="character" w:customStyle="1" w:styleId="ListLabel90">
    <w:name w:val="ListLabel 90"/>
    <w:rPr>
      <w:u w:val="none"/>
    </w:rPr>
  </w:style>
  <w:style w:type="character" w:customStyle="1" w:styleId="ListLabel91">
    <w:name w:val="ListLabel 91"/>
    <w:rPr>
      <w:u w:val="none"/>
    </w:rPr>
  </w:style>
  <w:style w:type="character" w:customStyle="1" w:styleId="ListLabel92">
    <w:name w:val="ListLabel 92"/>
    <w:rPr>
      <w:u w:val="none"/>
    </w:rPr>
  </w:style>
  <w:style w:type="character" w:customStyle="1" w:styleId="ListLabel93">
    <w:name w:val="ListLabel 93"/>
    <w:rPr>
      <w:u w:val="none"/>
    </w:rPr>
  </w:style>
  <w:style w:type="character" w:customStyle="1" w:styleId="ListLabel94">
    <w:name w:val="ListLabel 94"/>
    <w:rPr>
      <w:u w:val="none"/>
    </w:rPr>
  </w:style>
  <w:style w:type="character" w:customStyle="1" w:styleId="ListLabel95">
    <w:name w:val="ListLabel 95"/>
    <w:rPr>
      <w:u w:val="none"/>
    </w:rPr>
  </w:style>
  <w:style w:type="character" w:customStyle="1" w:styleId="ListLabel96">
    <w:name w:val="ListLabel 96"/>
    <w:rPr>
      <w:u w:val="none"/>
    </w:rPr>
  </w:style>
  <w:style w:type="character" w:customStyle="1" w:styleId="ListLabel97">
    <w:name w:val="ListLabel 97"/>
    <w:rPr>
      <w:u w:val="none"/>
    </w:rPr>
  </w:style>
  <w:style w:type="character" w:customStyle="1" w:styleId="ListLabel98">
    <w:name w:val="ListLabel 98"/>
    <w:rPr>
      <w:u w:val="none"/>
    </w:rPr>
  </w:style>
  <w:style w:type="character" w:customStyle="1" w:styleId="ListLabel99">
    <w:name w:val="ListLabel 99"/>
    <w:rPr>
      <w:u w:val="none"/>
    </w:rPr>
  </w:style>
  <w:style w:type="character" w:customStyle="1" w:styleId="ListLabel100">
    <w:name w:val="ListLabel 100"/>
    <w:rPr>
      <w:u w:val="none"/>
    </w:rPr>
  </w:style>
  <w:style w:type="character" w:customStyle="1" w:styleId="ListLabel101">
    <w:name w:val="ListLabel 101"/>
    <w:rPr>
      <w:u w:val="none"/>
    </w:rPr>
  </w:style>
  <w:style w:type="character" w:customStyle="1" w:styleId="ListLabel102">
    <w:name w:val="ListLabel 102"/>
    <w:rPr>
      <w:u w:val="none"/>
    </w:rPr>
  </w:style>
  <w:style w:type="character" w:customStyle="1" w:styleId="ListLabel103">
    <w:name w:val="ListLabel 103"/>
    <w:rPr>
      <w:u w:val="none"/>
    </w:rPr>
  </w:style>
  <w:style w:type="character" w:customStyle="1" w:styleId="ListLabel104">
    <w:name w:val="ListLabel 104"/>
    <w:rPr>
      <w:u w:val="none"/>
    </w:rPr>
  </w:style>
  <w:style w:type="character" w:customStyle="1" w:styleId="ListLabel105">
    <w:name w:val="ListLabel 105"/>
    <w:rPr>
      <w:u w:val="none"/>
    </w:rPr>
  </w:style>
  <w:style w:type="character" w:customStyle="1" w:styleId="ListLabel106">
    <w:name w:val="ListLabel 106"/>
    <w:rPr>
      <w:u w:val="none"/>
    </w:rPr>
  </w:style>
  <w:style w:type="character" w:customStyle="1" w:styleId="ListLabel107">
    <w:name w:val="ListLabel 107"/>
    <w:rPr>
      <w:u w:val="none"/>
    </w:rPr>
  </w:style>
  <w:style w:type="character" w:customStyle="1" w:styleId="ListLabel108">
    <w:name w:val="ListLabel 108"/>
    <w:rPr>
      <w:u w:val="none"/>
    </w:rPr>
  </w:style>
  <w:style w:type="character" w:customStyle="1" w:styleId="ListLabel109">
    <w:name w:val="ListLabel 109"/>
    <w:rPr>
      <w:u w:val="none"/>
    </w:rPr>
  </w:style>
  <w:style w:type="character" w:customStyle="1" w:styleId="ListLabel110">
    <w:name w:val="ListLabel 110"/>
    <w:rPr>
      <w:u w:val="none"/>
    </w:rPr>
  </w:style>
  <w:style w:type="character" w:customStyle="1" w:styleId="ListLabel111">
    <w:name w:val="ListLabel 111"/>
    <w:rPr>
      <w:u w:val="none"/>
    </w:rPr>
  </w:style>
  <w:style w:type="character" w:customStyle="1" w:styleId="ListLabel112">
    <w:name w:val="ListLabel 112"/>
    <w:rPr>
      <w:u w:val="none"/>
    </w:rPr>
  </w:style>
  <w:style w:type="character" w:customStyle="1" w:styleId="ListLabel113">
    <w:name w:val="ListLabel 113"/>
    <w:rPr>
      <w:u w:val="none"/>
    </w:rPr>
  </w:style>
  <w:style w:type="character" w:customStyle="1" w:styleId="ListLabel114">
    <w:name w:val="ListLabel 114"/>
    <w:rPr>
      <w:u w:val="none"/>
    </w:rPr>
  </w:style>
  <w:style w:type="character" w:customStyle="1" w:styleId="ListLabel115">
    <w:name w:val="ListLabel 115"/>
    <w:rPr>
      <w:u w:val="none"/>
    </w:rPr>
  </w:style>
  <w:style w:type="character" w:customStyle="1" w:styleId="ListLabel116">
    <w:name w:val="ListLabel 116"/>
    <w:rPr>
      <w:u w:val="none"/>
    </w:rPr>
  </w:style>
  <w:style w:type="character" w:customStyle="1" w:styleId="ListLabel117">
    <w:name w:val="ListLabel 117"/>
    <w:rPr>
      <w:u w:val="none"/>
    </w:rPr>
  </w:style>
  <w:style w:type="character" w:customStyle="1" w:styleId="ListLabel118">
    <w:name w:val="ListLabel 118"/>
    <w:rPr>
      <w:u w:val="none"/>
    </w:rPr>
  </w:style>
  <w:style w:type="character" w:customStyle="1" w:styleId="ListLabel119">
    <w:name w:val="ListLabel 119"/>
    <w:rPr>
      <w:u w:val="none"/>
    </w:rPr>
  </w:style>
  <w:style w:type="character" w:customStyle="1" w:styleId="ListLabel120">
    <w:name w:val="ListLabel 120"/>
    <w:rPr>
      <w:u w:val="none"/>
    </w:rPr>
  </w:style>
  <w:style w:type="character" w:customStyle="1" w:styleId="ListLabel121">
    <w:name w:val="ListLabel 121"/>
    <w:rPr>
      <w:u w:val="none"/>
    </w:rPr>
  </w:style>
  <w:style w:type="character" w:customStyle="1" w:styleId="ListLabel122">
    <w:name w:val="ListLabel 122"/>
    <w:rPr>
      <w:u w:val="none"/>
    </w:rPr>
  </w:style>
  <w:style w:type="character" w:customStyle="1" w:styleId="ListLabel123">
    <w:name w:val="ListLabel 123"/>
    <w:rPr>
      <w:u w:val="none"/>
    </w:rPr>
  </w:style>
  <w:style w:type="character" w:customStyle="1" w:styleId="ListLabel124">
    <w:name w:val="ListLabel 124"/>
    <w:rPr>
      <w:u w:val="none"/>
    </w:rPr>
  </w:style>
  <w:style w:type="character" w:customStyle="1" w:styleId="ListLabel125">
    <w:name w:val="ListLabel 125"/>
    <w:rPr>
      <w:u w:val="none"/>
    </w:rPr>
  </w:style>
  <w:style w:type="character" w:customStyle="1" w:styleId="ListLabel126">
    <w:name w:val="ListLabel 126"/>
    <w:rPr>
      <w:u w:val="none"/>
    </w:rPr>
  </w:style>
  <w:style w:type="character" w:customStyle="1" w:styleId="ListLabel127">
    <w:name w:val="ListLabel 127"/>
    <w:rPr>
      <w:u w:val="none"/>
    </w:rPr>
  </w:style>
  <w:style w:type="character" w:customStyle="1" w:styleId="ListLabel128">
    <w:name w:val="ListLabel 128"/>
    <w:rPr>
      <w:u w:val="none"/>
    </w:rPr>
  </w:style>
  <w:style w:type="character" w:customStyle="1" w:styleId="ListLabel129">
    <w:name w:val="ListLabel 129"/>
    <w:rPr>
      <w:u w:val="none"/>
    </w:rPr>
  </w:style>
  <w:style w:type="character" w:customStyle="1" w:styleId="ListLabel130">
    <w:name w:val="ListLabel 130"/>
    <w:rPr>
      <w:u w:val="none"/>
    </w:rPr>
  </w:style>
  <w:style w:type="character" w:customStyle="1" w:styleId="ListLabel131">
    <w:name w:val="ListLabel 131"/>
    <w:rPr>
      <w:u w:val="none"/>
    </w:rPr>
  </w:style>
  <w:style w:type="character" w:customStyle="1" w:styleId="ListLabel132">
    <w:name w:val="ListLabel 132"/>
    <w:rPr>
      <w:u w:val="none"/>
    </w:rPr>
  </w:style>
  <w:style w:type="character" w:customStyle="1" w:styleId="ListLabel133">
    <w:name w:val="ListLabel 133"/>
    <w:rPr>
      <w:u w:val="none"/>
    </w:rPr>
  </w:style>
  <w:style w:type="character" w:customStyle="1" w:styleId="ListLabel134">
    <w:name w:val="ListLabel 134"/>
    <w:rPr>
      <w:u w:val="none"/>
    </w:rPr>
  </w:style>
  <w:style w:type="character" w:customStyle="1" w:styleId="ListLabel135">
    <w:name w:val="ListLabel 135"/>
    <w:rPr>
      <w:u w:val="none"/>
    </w:rPr>
  </w:style>
  <w:style w:type="character" w:customStyle="1" w:styleId="ListLabel136">
    <w:name w:val="ListLabel 136"/>
    <w:rPr>
      <w:u w:val="none"/>
    </w:rPr>
  </w:style>
  <w:style w:type="character" w:customStyle="1" w:styleId="ListLabel137">
    <w:name w:val="ListLabel 137"/>
    <w:rPr>
      <w:u w:val="none"/>
    </w:rPr>
  </w:style>
  <w:style w:type="character" w:customStyle="1" w:styleId="ListLabel138">
    <w:name w:val="ListLabel 138"/>
    <w:rPr>
      <w:u w:val="none"/>
    </w:rPr>
  </w:style>
  <w:style w:type="character" w:customStyle="1" w:styleId="ListLabel139">
    <w:name w:val="ListLabel 139"/>
    <w:rPr>
      <w:u w:val="none"/>
    </w:rPr>
  </w:style>
  <w:style w:type="character" w:customStyle="1" w:styleId="ListLabel140">
    <w:name w:val="ListLabel 140"/>
    <w:rPr>
      <w:u w:val="none"/>
    </w:rPr>
  </w:style>
  <w:style w:type="character" w:customStyle="1" w:styleId="ListLabel141">
    <w:name w:val="ListLabel 141"/>
    <w:rPr>
      <w:u w:val="none"/>
    </w:rPr>
  </w:style>
  <w:style w:type="character" w:customStyle="1" w:styleId="ListLabel142">
    <w:name w:val="ListLabel 142"/>
    <w:rPr>
      <w:u w:val="none"/>
    </w:rPr>
  </w:style>
  <w:style w:type="character" w:customStyle="1" w:styleId="ListLabel143">
    <w:name w:val="ListLabel 143"/>
    <w:rPr>
      <w:u w:val="none"/>
    </w:rPr>
  </w:style>
  <w:style w:type="character" w:customStyle="1" w:styleId="ListLabel144">
    <w:name w:val="ListLabel 144"/>
    <w:rPr>
      <w:u w:val="none"/>
    </w:rPr>
  </w:style>
  <w:style w:type="character" w:customStyle="1" w:styleId="ListLabel145">
    <w:name w:val="ListLabel 145"/>
    <w:rPr>
      <w:u w:val="none"/>
    </w:rPr>
  </w:style>
  <w:style w:type="character" w:customStyle="1" w:styleId="ListLabel146">
    <w:name w:val="ListLabel 146"/>
    <w:rPr>
      <w:u w:val="none"/>
    </w:rPr>
  </w:style>
  <w:style w:type="character" w:customStyle="1" w:styleId="ListLabel147">
    <w:name w:val="ListLabel 147"/>
    <w:rPr>
      <w:u w:val="none"/>
    </w:rPr>
  </w:style>
  <w:style w:type="character" w:customStyle="1" w:styleId="ListLabel148">
    <w:name w:val="ListLabel 148"/>
    <w:rPr>
      <w:u w:val="none"/>
    </w:rPr>
  </w:style>
  <w:style w:type="character" w:customStyle="1" w:styleId="ListLabel149">
    <w:name w:val="ListLabel 149"/>
    <w:rPr>
      <w:u w:val="none"/>
    </w:rPr>
  </w:style>
  <w:style w:type="character" w:customStyle="1" w:styleId="ListLabel150">
    <w:name w:val="ListLabel 150"/>
    <w:rPr>
      <w:u w:val="none"/>
    </w:rPr>
  </w:style>
  <w:style w:type="character" w:customStyle="1" w:styleId="ListLabel151">
    <w:name w:val="ListLabel 151"/>
    <w:rPr>
      <w:u w:val="none"/>
    </w:rPr>
  </w:style>
  <w:style w:type="character" w:customStyle="1" w:styleId="ListLabel152">
    <w:name w:val="ListLabel 152"/>
    <w:rPr>
      <w:u w:val="none"/>
    </w:rPr>
  </w:style>
  <w:style w:type="character" w:customStyle="1" w:styleId="ListLabel153">
    <w:name w:val="ListLabel 153"/>
    <w:rPr>
      <w:u w:val="none"/>
    </w:rPr>
  </w:style>
  <w:style w:type="character" w:customStyle="1" w:styleId="ListLabel154">
    <w:name w:val="ListLabel 154"/>
    <w:rPr>
      <w:u w:val="none"/>
    </w:rPr>
  </w:style>
  <w:style w:type="character" w:customStyle="1" w:styleId="ListLabel155">
    <w:name w:val="ListLabel 155"/>
    <w:rPr>
      <w:u w:val="none"/>
    </w:rPr>
  </w:style>
  <w:style w:type="character" w:customStyle="1" w:styleId="ListLabel156">
    <w:name w:val="ListLabel 156"/>
    <w:rPr>
      <w:u w:val="none"/>
    </w:rPr>
  </w:style>
  <w:style w:type="character" w:customStyle="1" w:styleId="ListLabel157">
    <w:name w:val="ListLabel 157"/>
    <w:rPr>
      <w:u w:val="none"/>
    </w:rPr>
  </w:style>
  <w:style w:type="character" w:customStyle="1" w:styleId="ListLabel158">
    <w:name w:val="ListLabel 158"/>
    <w:rPr>
      <w:u w:val="none"/>
    </w:rPr>
  </w:style>
  <w:style w:type="character" w:customStyle="1" w:styleId="ListLabel159">
    <w:name w:val="ListLabel 159"/>
    <w:rPr>
      <w:u w:val="none"/>
    </w:rPr>
  </w:style>
  <w:style w:type="character" w:customStyle="1" w:styleId="ListLabel160">
    <w:name w:val="ListLabel 160"/>
    <w:rPr>
      <w:u w:val="none"/>
    </w:rPr>
  </w:style>
  <w:style w:type="character" w:customStyle="1" w:styleId="ListLabel161">
    <w:name w:val="ListLabel 161"/>
    <w:rPr>
      <w:u w:val="none"/>
    </w:rPr>
  </w:style>
  <w:style w:type="character" w:customStyle="1" w:styleId="ListLabel162">
    <w:name w:val="ListLabel 162"/>
    <w:rPr>
      <w:u w:val="none"/>
    </w:rPr>
  </w:style>
  <w:style w:type="character" w:customStyle="1" w:styleId="ListLabel163">
    <w:name w:val="ListLabel 163"/>
    <w:rPr>
      <w:u w:val="none"/>
    </w:rPr>
  </w:style>
  <w:style w:type="character" w:customStyle="1" w:styleId="ListLabel164">
    <w:name w:val="ListLabel 164"/>
    <w:rPr>
      <w:u w:val="none"/>
    </w:rPr>
  </w:style>
  <w:style w:type="character" w:customStyle="1" w:styleId="ListLabel165">
    <w:name w:val="ListLabel 165"/>
    <w:rPr>
      <w:u w:val="none"/>
    </w:rPr>
  </w:style>
  <w:style w:type="character" w:customStyle="1" w:styleId="ListLabel166">
    <w:name w:val="ListLabel 166"/>
    <w:rPr>
      <w:u w:val="none"/>
    </w:rPr>
  </w:style>
  <w:style w:type="character" w:customStyle="1" w:styleId="ListLabel167">
    <w:name w:val="ListLabel 167"/>
    <w:rPr>
      <w:u w:val="none"/>
    </w:rPr>
  </w:style>
  <w:style w:type="character" w:customStyle="1" w:styleId="ListLabel168">
    <w:name w:val="ListLabel 168"/>
    <w:rPr>
      <w:u w:val="none"/>
    </w:rPr>
  </w:style>
  <w:style w:type="character" w:customStyle="1" w:styleId="ListLabel169">
    <w:name w:val="ListLabel 169"/>
    <w:rPr>
      <w:u w:val="none"/>
    </w:rPr>
  </w:style>
  <w:style w:type="character" w:customStyle="1" w:styleId="ListLabel170">
    <w:name w:val="ListLabel 170"/>
    <w:rPr>
      <w:u w:val="none"/>
    </w:rPr>
  </w:style>
  <w:style w:type="character" w:customStyle="1" w:styleId="ListLabel171">
    <w:name w:val="ListLabel 171"/>
    <w:rPr>
      <w:u w:val="none"/>
    </w:rPr>
  </w:style>
  <w:style w:type="character" w:customStyle="1" w:styleId="ListLabel172">
    <w:name w:val="ListLabel 172"/>
    <w:rPr>
      <w:u w:val="none"/>
    </w:rPr>
  </w:style>
  <w:style w:type="character" w:customStyle="1" w:styleId="ListLabel173">
    <w:name w:val="ListLabel 173"/>
    <w:rPr>
      <w:u w:val="none"/>
    </w:rPr>
  </w:style>
  <w:style w:type="character" w:customStyle="1" w:styleId="ListLabel174">
    <w:name w:val="ListLabel 174"/>
    <w:rPr>
      <w:u w:val="none"/>
    </w:rPr>
  </w:style>
  <w:style w:type="character" w:customStyle="1" w:styleId="ListLabel175">
    <w:name w:val="ListLabel 175"/>
    <w:rPr>
      <w:u w:val="none"/>
    </w:rPr>
  </w:style>
  <w:style w:type="character" w:customStyle="1" w:styleId="ListLabel176">
    <w:name w:val="ListLabel 176"/>
    <w:rPr>
      <w:u w:val="none"/>
    </w:rPr>
  </w:style>
  <w:style w:type="character" w:customStyle="1" w:styleId="ListLabel177">
    <w:name w:val="ListLabel 177"/>
    <w:rPr>
      <w:u w:val="none"/>
    </w:rPr>
  </w:style>
  <w:style w:type="character" w:customStyle="1" w:styleId="ListLabel178">
    <w:name w:val="ListLabel 178"/>
    <w:rPr>
      <w:u w:val="none"/>
    </w:rPr>
  </w:style>
  <w:style w:type="character" w:customStyle="1" w:styleId="ListLabel179">
    <w:name w:val="ListLabel 179"/>
    <w:rPr>
      <w:u w:val="none"/>
    </w:rPr>
  </w:style>
  <w:style w:type="character" w:customStyle="1" w:styleId="ListLabel180">
    <w:name w:val="ListLabel 180"/>
    <w:rPr>
      <w:u w:val="none"/>
    </w:rPr>
  </w:style>
  <w:style w:type="character" w:customStyle="1" w:styleId="ListLabel181">
    <w:name w:val="ListLabel 181"/>
    <w:rPr>
      <w:u w:val="none"/>
    </w:rPr>
  </w:style>
  <w:style w:type="character" w:customStyle="1" w:styleId="ListLabel182">
    <w:name w:val="ListLabel 182"/>
    <w:rPr>
      <w:u w:val="none"/>
    </w:rPr>
  </w:style>
  <w:style w:type="character" w:customStyle="1" w:styleId="ListLabel183">
    <w:name w:val="ListLabel 183"/>
    <w:rPr>
      <w:u w:val="none"/>
    </w:rPr>
  </w:style>
  <w:style w:type="character" w:customStyle="1" w:styleId="ListLabel184">
    <w:name w:val="ListLabel 184"/>
    <w:rPr>
      <w:u w:val="none"/>
    </w:rPr>
  </w:style>
  <w:style w:type="character" w:customStyle="1" w:styleId="ListLabel185">
    <w:name w:val="ListLabel 185"/>
    <w:rPr>
      <w:u w:val="none"/>
    </w:rPr>
  </w:style>
  <w:style w:type="character" w:customStyle="1" w:styleId="ListLabel186">
    <w:name w:val="ListLabel 186"/>
    <w:rPr>
      <w:u w:val="none"/>
    </w:rPr>
  </w:style>
  <w:style w:type="character" w:customStyle="1" w:styleId="ListLabel187">
    <w:name w:val="ListLabel 187"/>
    <w:rPr>
      <w:u w:val="none"/>
    </w:rPr>
  </w:style>
  <w:style w:type="character" w:customStyle="1" w:styleId="ListLabel188">
    <w:name w:val="ListLabel 188"/>
    <w:rPr>
      <w:u w:val="none"/>
    </w:rPr>
  </w:style>
  <w:style w:type="character" w:customStyle="1" w:styleId="ListLabel189">
    <w:name w:val="ListLabel 189"/>
    <w:rPr>
      <w:u w:val="none"/>
    </w:rPr>
  </w:style>
  <w:style w:type="character" w:customStyle="1" w:styleId="ListLabel190">
    <w:name w:val="ListLabel 190"/>
    <w:rPr>
      <w:u w:val="none"/>
    </w:rPr>
  </w:style>
  <w:style w:type="character" w:customStyle="1" w:styleId="ListLabel191">
    <w:name w:val="ListLabel 191"/>
    <w:rPr>
      <w:u w:val="none"/>
    </w:rPr>
  </w:style>
  <w:style w:type="character" w:customStyle="1" w:styleId="ListLabel192">
    <w:name w:val="ListLabel 192"/>
    <w:rPr>
      <w:u w:val="none"/>
    </w:rPr>
  </w:style>
  <w:style w:type="character" w:customStyle="1" w:styleId="ListLabel193">
    <w:name w:val="ListLabel 193"/>
    <w:rPr>
      <w:u w:val="none"/>
    </w:rPr>
  </w:style>
  <w:style w:type="character" w:customStyle="1" w:styleId="ListLabel194">
    <w:name w:val="ListLabel 194"/>
    <w:rPr>
      <w:u w:val="none"/>
    </w:rPr>
  </w:style>
  <w:style w:type="character" w:customStyle="1" w:styleId="ListLabel195">
    <w:name w:val="ListLabel 195"/>
    <w:rPr>
      <w:u w:val="none"/>
    </w:rPr>
  </w:style>
  <w:style w:type="character" w:customStyle="1" w:styleId="ListLabel196">
    <w:name w:val="ListLabel 196"/>
    <w:rPr>
      <w:u w:val="none"/>
    </w:rPr>
  </w:style>
  <w:style w:type="character" w:customStyle="1" w:styleId="ListLabel197">
    <w:name w:val="ListLabel 197"/>
    <w:rPr>
      <w:u w:val="none"/>
    </w:rPr>
  </w:style>
  <w:style w:type="character" w:customStyle="1" w:styleId="ListLabel198">
    <w:name w:val="ListLabel 198"/>
    <w:rPr>
      <w:u w:val="none"/>
    </w:rPr>
  </w:style>
  <w:style w:type="character" w:customStyle="1" w:styleId="ListLabel199">
    <w:name w:val="ListLabel 199"/>
    <w:rPr>
      <w:u w:val="none"/>
    </w:rPr>
  </w:style>
  <w:style w:type="character" w:customStyle="1" w:styleId="ListLabel200">
    <w:name w:val="ListLabel 200"/>
    <w:rPr>
      <w:u w:val="none"/>
    </w:rPr>
  </w:style>
  <w:style w:type="character" w:customStyle="1" w:styleId="ListLabel201">
    <w:name w:val="ListLabel 201"/>
    <w:rPr>
      <w:u w:val="none"/>
    </w:rPr>
  </w:style>
  <w:style w:type="character" w:customStyle="1" w:styleId="ListLabel202">
    <w:name w:val="ListLabel 202"/>
    <w:rPr>
      <w:u w:val="none"/>
    </w:rPr>
  </w:style>
  <w:style w:type="character" w:customStyle="1" w:styleId="ListLabel203">
    <w:name w:val="ListLabel 203"/>
    <w:rPr>
      <w:u w:val="none"/>
    </w:rPr>
  </w:style>
  <w:style w:type="character" w:customStyle="1" w:styleId="ListLabel204">
    <w:name w:val="ListLabel 204"/>
    <w:rPr>
      <w:u w:val="none"/>
    </w:rPr>
  </w:style>
  <w:style w:type="character" w:customStyle="1" w:styleId="ListLabel205">
    <w:name w:val="ListLabel 205"/>
    <w:rPr>
      <w:u w:val="none"/>
    </w:rPr>
  </w:style>
  <w:style w:type="character" w:customStyle="1" w:styleId="ListLabel206">
    <w:name w:val="ListLabel 206"/>
    <w:rPr>
      <w:u w:val="none"/>
    </w:rPr>
  </w:style>
  <w:style w:type="character" w:customStyle="1" w:styleId="ListLabel207">
    <w:name w:val="ListLabel 207"/>
    <w:rPr>
      <w:u w:val="none"/>
    </w:rPr>
  </w:style>
  <w:style w:type="character" w:customStyle="1" w:styleId="ListLabel208">
    <w:name w:val="ListLabel 208"/>
    <w:rPr>
      <w:u w:val="none"/>
    </w:rPr>
  </w:style>
  <w:style w:type="character" w:customStyle="1" w:styleId="ListLabel209">
    <w:name w:val="ListLabel 209"/>
    <w:rPr>
      <w:u w:val="none"/>
    </w:rPr>
  </w:style>
  <w:style w:type="character" w:customStyle="1" w:styleId="ListLabel210">
    <w:name w:val="ListLabel 210"/>
    <w:rPr>
      <w:u w:val="none"/>
    </w:rPr>
  </w:style>
  <w:style w:type="character" w:customStyle="1" w:styleId="ListLabel211">
    <w:name w:val="ListLabel 211"/>
    <w:rPr>
      <w:u w:val="none"/>
    </w:rPr>
  </w:style>
  <w:style w:type="character" w:customStyle="1" w:styleId="ListLabel212">
    <w:name w:val="ListLabel 212"/>
    <w:rPr>
      <w:u w:val="none"/>
    </w:rPr>
  </w:style>
  <w:style w:type="character" w:customStyle="1" w:styleId="ListLabel213">
    <w:name w:val="ListLabel 213"/>
    <w:rPr>
      <w:u w:val="none"/>
    </w:rPr>
  </w:style>
  <w:style w:type="character" w:customStyle="1" w:styleId="ListLabel214">
    <w:name w:val="ListLabel 214"/>
    <w:rPr>
      <w:u w:val="none"/>
    </w:rPr>
  </w:style>
  <w:style w:type="character" w:customStyle="1" w:styleId="ListLabel215">
    <w:name w:val="ListLabel 215"/>
    <w:rPr>
      <w:u w:val="none"/>
    </w:rPr>
  </w:style>
  <w:style w:type="character" w:customStyle="1" w:styleId="ListLabel216">
    <w:name w:val="ListLabel 216"/>
    <w:rPr>
      <w:u w:val="none"/>
    </w:rPr>
  </w:style>
  <w:style w:type="character" w:customStyle="1" w:styleId="ListLabel217">
    <w:name w:val="ListLabel 217"/>
    <w:rPr>
      <w:u w:val="none"/>
    </w:rPr>
  </w:style>
  <w:style w:type="character" w:customStyle="1" w:styleId="ListLabel218">
    <w:name w:val="ListLabel 218"/>
    <w:rPr>
      <w:u w:val="none"/>
    </w:rPr>
  </w:style>
  <w:style w:type="character" w:customStyle="1" w:styleId="ListLabel219">
    <w:name w:val="ListLabel 219"/>
    <w:rPr>
      <w:u w:val="none"/>
    </w:rPr>
  </w:style>
  <w:style w:type="character" w:customStyle="1" w:styleId="ListLabel220">
    <w:name w:val="ListLabel 220"/>
    <w:rPr>
      <w:u w:val="none"/>
    </w:rPr>
  </w:style>
  <w:style w:type="character" w:customStyle="1" w:styleId="ListLabel221">
    <w:name w:val="ListLabel 221"/>
    <w:rPr>
      <w:u w:val="none"/>
    </w:rPr>
  </w:style>
  <w:style w:type="character" w:customStyle="1" w:styleId="ListLabel222">
    <w:name w:val="ListLabel 222"/>
    <w:rPr>
      <w:u w:val="none"/>
    </w:rPr>
  </w:style>
  <w:style w:type="character" w:customStyle="1" w:styleId="ListLabel223">
    <w:name w:val="ListLabel 223"/>
    <w:rPr>
      <w:u w:val="none"/>
    </w:rPr>
  </w:style>
  <w:style w:type="character" w:customStyle="1" w:styleId="ListLabel224">
    <w:name w:val="ListLabel 224"/>
    <w:rPr>
      <w:u w:val="none"/>
    </w:rPr>
  </w:style>
  <w:style w:type="character" w:customStyle="1" w:styleId="ListLabel225">
    <w:name w:val="ListLabel 225"/>
    <w:rPr>
      <w:u w:val="none"/>
    </w:rPr>
  </w:style>
  <w:style w:type="character" w:customStyle="1" w:styleId="ListLabel226">
    <w:name w:val="ListLabel 226"/>
    <w:rPr>
      <w:u w:val="none"/>
    </w:rPr>
  </w:style>
  <w:style w:type="character" w:customStyle="1" w:styleId="ListLabel227">
    <w:name w:val="ListLabel 227"/>
    <w:rPr>
      <w:u w:val="none"/>
    </w:rPr>
  </w:style>
  <w:style w:type="character" w:customStyle="1" w:styleId="ListLabel228">
    <w:name w:val="ListLabel 228"/>
    <w:rPr>
      <w:u w:val="none"/>
    </w:rPr>
  </w:style>
  <w:style w:type="character" w:customStyle="1" w:styleId="ListLabel229">
    <w:name w:val="ListLabel 229"/>
    <w:rPr>
      <w:u w:val="none"/>
    </w:rPr>
  </w:style>
  <w:style w:type="character" w:customStyle="1" w:styleId="ListLabel230">
    <w:name w:val="ListLabel 230"/>
    <w:rPr>
      <w:u w:val="none"/>
    </w:rPr>
  </w:style>
  <w:style w:type="character" w:customStyle="1" w:styleId="ListLabel231">
    <w:name w:val="ListLabel 231"/>
    <w:rPr>
      <w:u w:val="none"/>
    </w:rPr>
  </w:style>
  <w:style w:type="character" w:customStyle="1" w:styleId="ListLabel232">
    <w:name w:val="ListLabel 232"/>
    <w:rPr>
      <w:u w:val="none"/>
    </w:rPr>
  </w:style>
  <w:style w:type="character" w:customStyle="1" w:styleId="ListLabel233">
    <w:name w:val="ListLabel 233"/>
    <w:rPr>
      <w:u w:val="none"/>
    </w:rPr>
  </w:style>
  <w:style w:type="character" w:customStyle="1" w:styleId="ListLabel234">
    <w:name w:val="ListLabel 234"/>
    <w:rPr>
      <w:u w:val="none"/>
    </w:rPr>
  </w:style>
  <w:style w:type="character" w:customStyle="1" w:styleId="ListLabel235">
    <w:name w:val="ListLabel 235"/>
    <w:rPr>
      <w:u w:val="none"/>
    </w:rPr>
  </w:style>
  <w:style w:type="character" w:customStyle="1" w:styleId="ListLabel236">
    <w:name w:val="ListLabel 236"/>
    <w:rPr>
      <w:u w:val="none"/>
    </w:rPr>
  </w:style>
  <w:style w:type="character" w:customStyle="1" w:styleId="ListLabel237">
    <w:name w:val="ListLabel 237"/>
    <w:rPr>
      <w:u w:val="none"/>
    </w:rPr>
  </w:style>
  <w:style w:type="character" w:customStyle="1" w:styleId="ListLabel238">
    <w:name w:val="ListLabel 238"/>
    <w:rPr>
      <w:u w:val="none"/>
    </w:rPr>
  </w:style>
  <w:style w:type="character" w:customStyle="1" w:styleId="ListLabel239">
    <w:name w:val="ListLabel 239"/>
    <w:rPr>
      <w:u w:val="none"/>
    </w:rPr>
  </w:style>
  <w:style w:type="character" w:customStyle="1" w:styleId="ListLabel240">
    <w:name w:val="ListLabel 240"/>
    <w:rPr>
      <w:u w:val="none"/>
    </w:rPr>
  </w:style>
  <w:style w:type="character" w:customStyle="1" w:styleId="ListLabel241">
    <w:name w:val="ListLabel 241"/>
    <w:rPr>
      <w:u w:val="none"/>
    </w:rPr>
  </w:style>
  <w:style w:type="character" w:customStyle="1" w:styleId="ListLabel242">
    <w:name w:val="ListLabel 242"/>
    <w:rPr>
      <w:u w:val="none"/>
    </w:rPr>
  </w:style>
  <w:style w:type="character" w:customStyle="1" w:styleId="ListLabel243">
    <w:name w:val="ListLabel 243"/>
    <w:rPr>
      <w:u w:val="none"/>
    </w:rPr>
  </w:style>
  <w:style w:type="character" w:customStyle="1" w:styleId="ListLabel244">
    <w:name w:val="ListLabel 244"/>
    <w:rPr>
      <w:u w:val="none"/>
    </w:rPr>
  </w:style>
  <w:style w:type="character" w:customStyle="1" w:styleId="ListLabel245">
    <w:name w:val="ListLabel 245"/>
    <w:rPr>
      <w:u w:val="none"/>
    </w:rPr>
  </w:style>
  <w:style w:type="character" w:customStyle="1" w:styleId="ListLabel246">
    <w:name w:val="ListLabel 246"/>
    <w:rPr>
      <w:u w:val="none"/>
    </w:rPr>
  </w:style>
  <w:style w:type="character" w:customStyle="1" w:styleId="ListLabel247">
    <w:name w:val="ListLabel 247"/>
    <w:rPr>
      <w:u w:val="none"/>
    </w:rPr>
  </w:style>
  <w:style w:type="character" w:customStyle="1" w:styleId="ListLabel248">
    <w:name w:val="ListLabel 248"/>
    <w:rPr>
      <w:u w:val="none"/>
    </w:rPr>
  </w:style>
  <w:style w:type="character" w:customStyle="1" w:styleId="ListLabel249">
    <w:name w:val="ListLabel 249"/>
    <w:rPr>
      <w:u w:val="none"/>
    </w:rPr>
  </w:style>
  <w:style w:type="character" w:customStyle="1" w:styleId="ListLabel250">
    <w:name w:val="ListLabel 250"/>
    <w:rPr>
      <w:u w:val="none"/>
    </w:rPr>
  </w:style>
  <w:style w:type="character" w:customStyle="1" w:styleId="ListLabel251">
    <w:name w:val="ListLabel 251"/>
    <w:rPr>
      <w:u w:val="none"/>
    </w:rPr>
  </w:style>
  <w:style w:type="character" w:customStyle="1" w:styleId="ListLabel252">
    <w:name w:val="ListLabel 252"/>
    <w:rPr>
      <w:u w:val="none"/>
    </w:rPr>
  </w:style>
  <w:style w:type="character" w:customStyle="1" w:styleId="ListLabel253">
    <w:name w:val="ListLabel 253"/>
    <w:rPr>
      <w:u w:val="none"/>
    </w:rPr>
  </w:style>
  <w:style w:type="character" w:customStyle="1" w:styleId="ListLabel254">
    <w:name w:val="ListLabel 254"/>
    <w:rPr>
      <w:u w:val="none"/>
    </w:rPr>
  </w:style>
  <w:style w:type="character" w:customStyle="1" w:styleId="ListLabel255">
    <w:name w:val="ListLabel 255"/>
    <w:rPr>
      <w:u w:val="none"/>
    </w:rPr>
  </w:style>
  <w:style w:type="character" w:customStyle="1" w:styleId="ListLabel256">
    <w:name w:val="ListLabel 256"/>
    <w:rPr>
      <w:u w:val="none"/>
    </w:rPr>
  </w:style>
  <w:style w:type="character" w:customStyle="1" w:styleId="ListLabel257">
    <w:name w:val="ListLabel 257"/>
    <w:rPr>
      <w:u w:val="none"/>
    </w:rPr>
  </w:style>
  <w:style w:type="character" w:customStyle="1" w:styleId="ListLabel258">
    <w:name w:val="ListLabel 258"/>
    <w:rPr>
      <w:u w:val="none"/>
    </w:rPr>
  </w:style>
  <w:style w:type="character" w:customStyle="1" w:styleId="ListLabel259">
    <w:name w:val="ListLabel 259"/>
    <w:rPr>
      <w:u w:val="none"/>
    </w:rPr>
  </w:style>
  <w:style w:type="character" w:customStyle="1" w:styleId="ListLabel260">
    <w:name w:val="ListLabel 260"/>
    <w:rPr>
      <w:u w:val="none"/>
    </w:rPr>
  </w:style>
  <w:style w:type="character" w:customStyle="1" w:styleId="ListLabel261">
    <w:name w:val="ListLabel 261"/>
    <w:rPr>
      <w:u w:val="none"/>
    </w:rPr>
  </w:style>
  <w:style w:type="numbering" w:customStyle="1" w:styleId="WWNum1">
    <w:name w:val="WWNum1"/>
    <w:basedOn w:val="Bezlisty"/>
    <w:pPr>
      <w:numPr>
        <w:numId w:val="1"/>
      </w:numPr>
    </w:pPr>
  </w:style>
  <w:style w:type="numbering" w:customStyle="1" w:styleId="WWNum2">
    <w:name w:val="WWNum2"/>
    <w:basedOn w:val="Bezlisty"/>
    <w:pPr>
      <w:numPr>
        <w:numId w:val="2"/>
      </w:numPr>
    </w:pPr>
  </w:style>
  <w:style w:type="numbering" w:customStyle="1" w:styleId="WWNum3">
    <w:name w:val="WWNum3"/>
    <w:basedOn w:val="Bezlisty"/>
    <w:pPr>
      <w:numPr>
        <w:numId w:val="3"/>
      </w:numPr>
    </w:pPr>
  </w:style>
  <w:style w:type="numbering" w:customStyle="1" w:styleId="WWNum4">
    <w:name w:val="WWNum4"/>
    <w:basedOn w:val="Bezlisty"/>
    <w:pPr>
      <w:numPr>
        <w:numId w:val="4"/>
      </w:numPr>
    </w:pPr>
  </w:style>
  <w:style w:type="numbering" w:customStyle="1" w:styleId="WWNum5">
    <w:name w:val="WWNum5"/>
    <w:basedOn w:val="Bezlisty"/>
    <w:pPr>
      <w:numPr>
        <w:numId w:val="5"/>
      </w:numPr>
    </w:pPr>
  </w:style>
  <w:style w:type="numbering" w:customStyle="1" w:styleId="WWNum6">
    <w:name w:val="WWNum6"/>
    <w:basedOn w:val="Bezlisty"/>
    <w:pPr>
      <w:numPr>
        <w:numId w:val="6"/>
      </w:numPr>
    </w:pPr>
  </w:style>
  <w:style w:type="numbering" w:customStyle="1" w:styleId="WWNum7">
    <w:name w:val="WWNum7"/>
    <w:basedOn w:val="Bezlisty"/>
    <w:pPr>
      <w:numPr>
        <w:numId w:val="7"/>
      </w:numPr>
    </w:pPr>
  </w:style>
  <w:style w:type="numbering" w:customStyle="1" w:styleId="WWNum8">
    <w:name w:val="WWNum8"/>
    <w:basedOn w:val="Bezlisty"/>
    <w:pPr>
      <w:numPr>
        <w:numId w:val="8"/>
      </w:numPr>
    </w:pPr>
  </w:style>
  <w:style w:type="numbering" w:customStyle="1" w:styleId="WWNum9">
    <w:name w:val="WWNum9"/>
    <w:basedOn w:val="Bezlisty"/>
    <w:pPr>
      <w:numPr>
        <w:numId w:val="9"/>
      </w:numPr>
    </w:pPr>
  </w:style>
  <w:style w:type="numbering" w:customStyle="1" w:styleId="WWNum10">
    <w:name w:val="WWNum10"/>
    <w:basedOn w:val="Bezlisty"/>
    <w:pPr>
      <w:numPr>
        <w:numId w:val="10"/>
      </w:numPr>
    </w:pPr>
  </w:style>
  <w:style w:type="numbering" w:customStyle="1" w:styleId="WWNum11">
    <w:name w:val="WWNum11"/>
    <w:basedOn w:val="Bezlisty"/>
    <w:pPr>
      <w:numPr>
        <w:numId w:val="11"/>
      </w:numPr>
    </w:pPr>
  </w:style>
  <w:style w:type="numbering" w:customStyle="1" w:styleId="WWNum12">
    <w:name w:val="WWNum12"/>
    <w:basedOn w:val="Bezlisty"/>
    <w:pPr>
      <w:numPr>
        <w:numId w:val="12"/>
      </w:numPr>
    </w:pPr>
  </w:style>
  <w:style w:type="numbering" w:customStyle="1" w:styleId="WWNum13">
    <w:name w:val="WWNum13"/>
    <w:basedOn w:val="Bezlisty"/>
    <w:pPr>
      <w:numPr>
        <w:numId w:val="13"/>
      </w:numPr>
    </w:pPr>
  </w:style>
  <w:style w:type="numbering" w:customStyle="1" w:styleId="WWNum14">
    <w:name w:val="WWNum14"/>
    <w:basedOn w:val="Bezlisty"/>
    <w:pPr>
      <w:numPr>
        <w:numId w:val="14"/>
      </w:numPr>
    </w:pPr>
  </w:style>
  <w:style w:type="numbering" w:customStyle="1" w:styleId="WWNum15">
    <w:name w:val="WWNum15"/>
    <w:basedOn w:val="Bezlisty"/>
    <w:pPr>
      <w:numPr>
        <w:numId w:val="15"/>
      </w:numPr>
    </w:pPr>
  </w:style>
  <w:style w:type="numbering" w:customStyle="1" w:styleId="WWNum16">
    <w:name w:val="WWNum16"/>
    <w:basedOn w:val="Bezlisty"/>
    <w:pPr>
      <w:numPr>
        <w:numId w:val="16"/>
      </w:numPr>
    </w:pPr>
  </w:style>
  <w:style w:type="numbering" w:customStyle="1" w:styleId="WWNum17">
    <w:name w:val="WWNum17"/>
    <w:basedOn w:val="Bezlisty"/>
    <w:pPr>
      <w:numPr>
        <w:numId w:val="17"/>
      </w:numPr>
    </w:pPr>
  </w:style>
  <w:style w:type="numbering" w:customStyle="1" w:styleId="WWNum18">
    <w:name w:val="WWNum18"/>
    <w:basedOn w:val="Bezlisty"/>
    <w:pPr>
      <w:numPr>
        <w:numId w:val="18"/>
      </w:numPr>
    </w:pPr>
  </w:style>
  <w:style w:type="numbering" w:customStyle="1" w:styleId="WWNum19">
    <w:name w:val="WWNum19"/>
    <w:basedOn w:val="Bezlisty"/>
    <w:pPr>
      <w:numPr>
        <w:numId w:val="19"/>
      </w:numPr>
    </w:pPr>
  </w:style>
  <w:style w:type="numbering" w:customStyle="1" w:styleId="WWNum20">
    <w:name w:val="WWNum20"/>
    <w:basedOn w:val="Bezlisty"/>
    <w:pPr>
      <w:numPr>
        <w:numId w:val="20"/>
      </w:numPr>
    </w:pPr>
  </w:style>
  <w:style w:type="numbering" w:customStyle="1" w:styleId="WWNum21">
    <w:name w:val="WWNum21"/>
    <w:basedOn w:val="Bezlisty"/>
    <w:pPr>
      <w:numPr>
        <w:numId w:val="21"/>
      </w:numPr>
    </w:pPr>
  </w:style>
  <w:style w:type="numbering" w:customStyle="1" w:styleId="WWNum22">
    <w:name w:val="WWNum22"/>
    <w:basedOn w:val="Bezlisty"/>
    <w:pPr>
      <w:numPr>
        <w:numId w:val="22"/>
      </w:numPr>
    </w:pPr>
  </w:style>
  <w:style w:type="numbering" w:customStyle="1" w:styleId="WWNum23">
    <w:name w:val="WWNum23"/>
    <w:basedOn w:val="Bezlisty"/>
    <w:pPr>
      <w:numPr>
        <w:numId w:val="23"/>
      </w:numPr>
    </w:pPr>
  </w:style>
  <w:style w:type="numbering" w:customStyle="1" w:styleId="WWNum24">
    <w:name w:val="WWNum24"/>
    <w:basedOn w:val="Bezlisty"/>
    <w:pPr>
      <w:numPr>
        <w:numId w:val="24"/>
      </w:numPr>
    </w:pPr>
  </w:style>
  <w:style w:type="numbering" w:customStyle="1" w:styleId="WWNum25">
    <w:name w:val="WWNum25"/>
    <w:basedOn w:val="Bezlisty"/>
    <w:pPr>
      <w:numPr>
        <w:numId w:val="25"/>
      </w:numPr>
    </w:pPr>
  </w:style>
  <w:style w:type="numbering" w:customStyle="1" w:styleId="WWNum26">
    <w:name w:val="WWNum26"/>
    <w:basedOn w:val="Bezlisty"/>
    <w:pPr>
      <w:numPr>
        <w:numId w:val="26"/>
      </w:numPr>
    </w:pPr>
  </w:style>
  <w:style w:type="numbering" w:customStyle="1" w:styleId="WWNum27">
    <w:name w:val="WWNum27"/>
    <w:basedOn w:val="Bezlisty"/>
    <w:pPr>
      <w:numPr>
        <w:numId w:val="27"/>
      </w:numPr>
    </w:pPr>
  </w:style>
  <w:style w:type="numbering" w:customStyle="1" w:styleId="WWNum28">
    <w:name w:val="WWNum28"/>
    <w:basedOn w:val="Bezlisty"/>
    <w:pPr>
      <w:numPr>
        <w:numId w:val="28"/>
      </w:numPr>
    </w:pPr>
  </w:style>
  <w:style w:type="numbering" w:customStyle="1" w:styleId="WWNum29">
    <w:name w:val="WWNum29"/>
    <w:basedOn w:val="Bezlisty"/>
    <w:pPr>
      <w:numPr>
        <w:numId w:val="29"/>
      </w:numPr>
    </w:pPr>
  </w:style>
  <w:style w:type="paragraph" w:styleId="Nagwek">
    <w:name w:val="header"/>
    <w:basedOn w:val="Normalny"/>
    <w:link w:val="NagwekZnak"/>
    <w:uiPriority w:val="99"/>
    <w:unhideWhenUsed/>
    <w:rsid w:val="00224EA4"/>
    <w:pPr>
      <w:tabs>
        <w:tab w:val="center" w:pos="4536"/>
        <w:tab w:val="right" w:pos="9072"/>
      </w:tabs>
      <w:spacing w:line="240" w:lineRule="auto"/>
    </w:pPr>
    <w:rPr>
      <w:rFonts w:cs="Mangal"/>
      <w:szCs w:val="20"/>
    </w:rPr>
  </w:style>
  <w:style w:type="character" w:customStyle="1" w:styleId="NagwekZnak">
    <w:name w:val="Nagłówek Znak"/>
    <w:basedOn w:val="Domylnaczcionkaakapitu"/>
    <w:link w:val="Nagwek"/>
    <w:uiPriority w:val="99"/>
    <w:rsid w:val="00224EA4"/>
    <w:rPr>
      <w:rFonts w:cs="Mangal"/>
      <w:szCs w:val="20"/>
    </w:rPr>
  </w:style>
  <w:style w:type="paragraph" w:styleId="Stopka">
    <w:name w:val="footer"/>
    <w:basedOn w:val="Normalny"/>
    <w:link w:val="StopkaZnak"/>
    <w:uiPriority w:val="99"/>
    <w:unhideWhenUsed/>
    <w:rsid w:val="00224EA4"/>
    <w:pPr>
      <w:tabs>
        <w:tab w:val="center" w:pos="4536"/>
        <w:tab w:val="right" w:pos="9072"/>
      </w:tabs>
      <w:spacing w:line="240" w:lineRule="auto"/>
    </w:pPr>
    <w:rPr>
      <w:rFonts w:cs="Mangal"/>
      <w:szCs w:val="20"/>
    </w:rPr>
  </w:style>
  <w:style w:type="character" w:customStyle="1" w:styleId="StopkaZnak">
    <w:name w:val="Stopka Znak"/>
    <w:basedOn w:val="Domylnaczcionkaakapitu"/>
    <w:link w:val="Stopka"/>
    <w:uiPriority w:val="99"/>
    <w:rsid w:val="00224EA4"/>
    <w:rPr>
      <w:rFonts w:cs="Mangal"/>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2149</Words>
  <Characters>12899</Characters>
  <Application>Microsoft Office Word</Application>
  <DocSecurity>0</DocSecurity>
  <Lines>107</Lines>
  <Paragraphs>30</Paragraphs>
  <ScaleCrop>false</ScaleCrop>
  <Company/>
  <LinksUpToDate>false</LinksUpToDate>
  <CharactersWithSpaces>15018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2022-01-25T09:48:00Z</dcterms:created>
  <dcterms:modified xsi:type="dcterms:W3CDTF">2022-01-28T07:17:00Z</dcterms:modified>
</cp:coreProperties>
</file>